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CFC22">
      <w:pPr>
        <w:spacing w:line="353" w:lineRule="auto"/>
        <w:outlineLvl w:val="9"/>
        <w:rPr>
          <w:rFonts w:ascii="Arial"/>
          <w:color w:val="auto"/>
          <w:highlight w:val="none"/>
        </w:rPr>
      </w:pPr>
      <w:bookmarkStart w:id="87" w:name="_GoBack"/>
    </w:p>
    <w:p w14:paraId="41F9BAF6">
      <w:pPr>
        <w:spacing w:line="354" w:lineRule="auto"/>
        <w:outlineLvl w:val="9"/>
        <w:rPr>
          <w:rFonts w:ascii="Arial"/>
          <w:color w:val="auto"/>
          <w:highlight w:val="none"/>
        </w:rPr>
      </w:pPr>
    </w:p>
    <w:p w14:paraId="2A85F81D">
      <w:pPr>
        <w:pStyle w:val="27"/>
        <w:outlineLvl w:val="9"/>
        <w:rPr>
          <w:color w:val="auto"/>
          <w:highlight w:val="none"/>
        </w:rPr>
      </w:pPr>
    </w:p>
    <w:p w14:paraId="30A82847">
      <w:pPr>
        <w:spacing w:line="360" w:lineRule="auto"/>
        <w:jc w:val="both"/>
        <w:outlineLvl w:val="9"/>
        <w:rPr>
          <w:rFonts w:hint="eastAsia" w:ascii="宋体"/>
          <w:b/>
          <w:bCs/>
          <w:color w:val="auto"/>
          <w:sz w:val="48"/>
          <w:szCs w:val="48"/>
          <w:highlight w:val="none"/>
          <w:lang w:val="en-US" w:eastAsia="zh-CN"/>
        </w:rPr>
      </w:pPr>
      <w:bookmarkStart w:id="0" w:name="_Toc13950"/>
      <w:bookmarkStart w:id="1" w:name="_Toc5999"/>
    </w:p>
    <w:bookmarkEnd w:id="0"/>
    <w:bookmarkEnd w:id="1"/>
    <w:p w14:paraId="0F12371E">
      <w:pPr>
        <w:spacing w:line="360" w:lineRule="auto"/>
        <w:jc w:val="center"/>
        <w:outlineLvl w:val="0"/>
        <w:rPr>
          <w:rFonts w:hint="eastAsia" w:ascii="宋体"/>
          <w:b/>
          <w:bCs/>
          <w:color w:val="auto"/>
          <w:sz w:val="48"/>
          <w:szCs w:val="48"/>
          <w:highlight w:val="none"/>
          <w:lang w:val="en-US" w:eastAsia="zh-CN"/>
        </w:rPr>
      </w:pPr>
      <w:r>
        <w:rPr>
          <w:rFonts w:hint="eastAsia" w:ascii="宋体"/>
          <w:b/>
          <w:bCs/>
          <w:color w:val="auto"/>
          <w:sz w:val="48"/>
          <w:szCs w:val="48"/>
          <w:highlight w:val="none"/>
          <w:lang w:val="en-US" w:eastAsia="zh-CN"/>
        </w:rPr>
        <w:t>长春市人民医院外科微创能力提升项目</w:t>
      </w:r>
    </w:p>
    <w:p w14:paraId="036CF328">
      <w:pPr>
        <w:spacing w:line="360" w:lineRule="auto"/>
        <w:jc w:val="center"/>
        <w:outlineLvl w:val="0"/>
        <w:rPr>
          <w:rFonts w:hint="default" w:ascii="宋体"/>
          <w:b/>
          <w:bCs/>
          <w:color w:val="auto"/>
          <w:sz w:val="48"/>
          <w:szCs w:val="48"/>
          <w:highlight w:val="none"/>
          <w:lang w:val="en-US" w:eastAsia="zh-CN"/>
        </w:rPr>
      </w:pPr>
      <w:r>
        <w:rPr>
          <w:rFonts w:hint="eastAsia" w:ascii="宋体"/>
          <w:b/>
          <w:bCs/>
          <w:color w:val="auto"/>
          <w:sz w:val="48"/>
          <w:szCs w:val="48"/>
          <w:highlight w:val="none"/>
          <w:lang w:val="en-US" w:eastAsia="zh-CN"/>
        </w:rPr>
        <w:t>腹腔镜采购项目</w:t>
      </w:r>
    </w:p>
    <w:p w14:paraId="0EDB117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highlight w:val="none"/>
          <w:lang w:val="en-US" w:eastAsia="zh-CN"/>
        </w:rPr>
      </w:pPr>
    </w:p>
    <w:p w14:paraId="7B8600C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highlight w:val="none"/>
          <w:lang w:val="en-US" w:eastAsia="zh-CN"/>
        </w:rPr>
      </w:pPr>
    </w:p>
    <w:p w14:paraId="0D8408FB">
      <w:pPr>
        <w:pStyle w:val="27"/>
        <w:outlineLvl w:val="9"/>
        <w:rPr>
          <w:rFonts w:hint="eastAsia"/>
          <w:color w:val="auto"/>
          <w:highlight w:val="none"/>
          <w:lang w:val="en-US" w:eastAsia="zh-CN"/>
        </w:rPr>
      </w:pPr>
    </w:p>
    <w:p w14:paraId="72428C4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highlight w:val="none"/>
          <w:lang w:eastAsia="zh-CN"/>
        </w:rPr>
      </w:pPr>
    </w:p>
    <w:p w14:paraId="5E976327">
      <w:pPr>
        <w:spacing w:before="231" w:line="223" w:lineRule="auto"/>
        <w:jc w:val="center"/>
        <w:outlineLvl w:val="0"/>
        <w:rPr>
          <w:rFonts w:ascii="宋体" w:hAnsi="宋体" w:cs="宋体"/>
          <w:b/>
          <w:bCs/>
          <w:color w:val="auto"/>
          <w:sz w:val="71"/>
          <w:szCs w:val="71"/>
          <w:highlight w:val="none"/>
        </w:rPr>
      </w:pPr>
      <w:bookmarkStart w:id="2" w:name="_Toc30689"/>
      <w:bookmarkStart w:id="3" w:name="_Toc17122"/>
      <w:bookmarkStart w:id="4" w:name="_Toc22249"/>
      <w:bookmarkStart w:id="5" w:name="_Toc17134"/>
      <w:bookmarkStart w:id="6" w:name="_Toc2252"/>
      <w:bookmarkStart w:id="7" w:name="_Toc4675"/>
      <w:bookmarkStart w:id="8" w:name="_Toc14568"/>
      <w:r>
        <w:rPr>
          <w:rFonts w:hint="eastAsia" w:ascii="宋体" w:hAnsi="宋体" w:eastAsia="宋体" w:cs="宋体"/>
          <w:b/>
          <w:bCs/>
          <w:color w:val="auto"/>
          <w:spacing w:val="7"/>
          <w:sz w:val="71"/>
          <w:szCs w:val="71"/>
          <w:highlight w:val="none"/>
          <w:lang w:eastAsia="zh-CN"/>
        </w:rPr>
        <w:t>招标</w:t>
      </w:r>
      <w:r>
        <w:rPr>
          <w:rFonts w:ascii="宋体" w:hAnsi="宋体" w:cs="宋体"/>
          <w:b/>
          <w:bCs/>
          <w:color w:val="auto"/>
          <w:spacing w:val="7"/>
          <w:sz w:val="71"/>
          <w:szCs w:val="71"/>
          <w:highlight w:val="none"/>
        </w:rPr>
        <w:t>文</w:t>
      </w:r>
      <w:r>
        <w:rPr>
          <w:rFonts w:ascii="宋体" w:hAnsi="宋体" w:cs="宋体"/>
          <w:b/>
          <w:bCs/>
          <w:color w:val="auto"/>
          <w:spacing w:val="5"/>
          <w:sz w:val="71"/>
          <w:szCs w:val="71"/>
          <w:highlight w:val="none"/>
        </w:rPr>
        <w:t>件</w:t>
      </w:r>
      <w:bookmarkEnd w:id="2"/>
      <w:bookmarkEnd w:id="3"/>
      <w:bookmarkEnd w:id="4"/>
      <w:bookmarkEnd w:id="5"/>
      <w:bookmarkEnd w:id="6"/>
      <w:bookmarkEnd w:id="7"/>
      <w:bookmarkEnd w:id="8"/>
    </w:p>
    <w:p w14:paraId="4CE6C487">
      <w:pPr>
        <w:keepNext w:val="0"/>
        <w:keepLines w:val="0"/>
        <w:pageBreakBefore w:val="0"/>
        <w:widowControl w:val="0"/>
        <w:kinsoku/>
        <w:wordWrap/>
        <w:overflowPunct/>
        <w:topLinePunct w:val="0"/>
        <w:autoSpaceDE/>
        <w:autoSpaceDN/>
        <w:bidi w:val="0"/>
        <w:adjustRightInd/>
        <w:snapToGrid/>
        <w:spacing w:before="0" w:beforeLines="50"/>
        <w:jc w:val="center"/>
        <w:textAlignment w:val="auto"/>
        <w:outlineLvl w:val="9"/>
        <w:rPr>
          <w:rFonts w:hint="eastAsia" w:ascii="宋体" w:hAnsi="宋体" w:eastAsia="宋体" w:cs="宋体"/>
          <w:b/>
          <w:bCs/>
          <w:color w:val="auto"/>
          <w:sz w:val="28"/>
          <w:szCs w:val="28"/>
          <w:highlight w:val="none"/>
        </w:rPr>
      </w:pPr>
      <w:bookmarkStart w:id="9" w:name="_Toc1303"/>
      <w:bookmarkStart w:id="10" w:name="_Toc31309"/>
      <w:bookmarkStart w:id="11" w:name="_Toc13447"/>
      <w:bookmarkStart w:id="12" w:name="_Toc17955"/>
      <w:r>
        <w:rPr>
          <w:rFonts w:hint="eastAsia" w:ascii="宋体" w:hAnsi="宋体" w:eastAsia="宋体" w:cs="宋体"/>
          <w:b/>
          <w:bCs/>
          <w:color w:val="auto"/>
          <w:sz w:val="28"/>
          <w:szCs w:val="28"/>
          <w:highlight w:val="none"/>
        </w:rPr>
        <w:t>采购项目编号：ZYGJ-CZHW-2508</w:t>
      </w:r>
    </w:p>
    <w:p w14:paraId="1179FDC4">
      <w:pPr>
        <w:keepNext w:val="0"/>
        <w:keepLines w:val="0"/>
        <w:pageBreakBefore w:val="0"/>
        <w:widowControl w:val="0"/>
        <w:kinsoku/>
        <w:wordWrap/>
        <w:overflowPunct/>
        <w:topLinePunct w:val="0"/>
        <w:autoSpaceDE/>
        <w:autoSpaceDN/>
        <w:bidi w:val="0"/>
        <w:adjustRightInd/>
        <w:snapToGrid/>
        <w:spacing w:before="0" w:beforeLines="50"/>
        <w:jc w:val="center"/>
        <w:textAlignment w:val="auto"/>
        <w:outlineLvl w:val="9"/>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w:t>
      </w:r>
      <w:bookmarkEnd w:id="9"/>
      <w:bookmarkEnd w:id="10"/>
      <w:bookmarkEnd w:id="11"/>
      <w:bookmarkEnd w:id="12"/>
      <w:r>
        <w:rPr>
          <w:rFonts w:hint="eastAsia" w:ascii="宋体" w:hAnsi="宋体" w:eastAsia="宋体" w:cs="宋体"/>
          <w:b/>
          <w:bCs/>
          <w:color w:val="auto"/>
          <w:sz w:val="28"/>
          <w:szCs w:val="28"/>
          <w:highlight w:val="none"/>
          <w:lang w:val="en-US" w:eastAsia="zh-CN"/>
        </w:rPr>
        <w:t>JM-2024-12-01789</w:t>
      </w:r>
    </w:p>
    <w:p w14:paraId="60AB216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highlight w:val="none"/>
          <w:lang w:val="en-US" w:eastAsia="zh-CN"/>
        </w:rPr>
      </w:pPr>
      <w:bookmarkStart w:id="13" w:name="_Toc20466"/>
    </w:p>
    <w:p w14:paraId="362EE1F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highlight w:val="none"/>
          <w:lang w:val="en-US" w:eastAsia="zh-CN"/>
        </w:rPr>
      </w:pPr>
    </w:p>
    <w:p w14:paraId="5785951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highlight w:val="none"/>
          <w:lang w:val="en-US" w:eastAsia="zh-CN"/>
        </w:rPr>
      </w:pPr>
    </w:p>
    <w:p w14:paraId="33257FD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highlight w:val="none"/>
          <w:lang w:val="en-US" w:eastAsia="zh-CN"/>
        </w:rPr>
      </w:pPr>
    </w:p>
    <w:p w14:paraId="29F9B23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highlight w:val="none"/>
          <w:lang w:val="en-US" w:eastAsia="zh-CN"/>
        </w:rPr>
      </w:pPr>
    </w:p>
    <w:p w14:paraId="3CD5FEB1">
      <w:pPr>
        <w:pStyle w:val="14"/>
        <w:rPr>
          <w:rFonts w:hint="eastAsia"/>
          <w:color w:val="auto"/>
          <w:highlight w:val="none"/>
          <w:lang w:val="en-US" w:eastAsia="zh-CN"/>
        </w:rPr>
      </w:pPr>
    </w:p>
    <w:p w14:paraId="6B04F2E0">
      <w:pPr>
        <w:rPr>
          <w:rFonts w:hint="eastAsia"/>
          <w:color w:val="auto"/>
          <w:highlight w:val="none"/>
          <w:lang w:val="en-US" w:eastAsia="zh-CN"/>
        </w:rPr>
      </w:pPr>
    </w:p>
    <w:p w14:paraId="3BF6D993">
      <w:pPr>
        <w:keepNext w:val="0"/>
        <w:keepLines w:val="0"/>
        <w:pageBreakBefore w:val="0"/>
        <w:widowControl w:val="0"/>
        <w:kinsoku/>
        <w:wordWrap/>
        <w:overflowPunct/>
        <w:topLinePunct w:val="0"/>
        <w:autoSpaceDE/>
        <w:autoSpaceDN/>
        <w:bidi w:val="0"/>
        <w:adjustRightInd/>
        <w:snapToGrid/>
        <w:spacing w:line="360" w:lineRule="auto"/>
        <w:ind w:firstLine="900" w:firstLineChars="300"/>
        <w:jc w:val="center"/>
        <w:textAlignment w:val="auto"/>
        <w:outlineLvl w:val="0"/>
        <w:rPr>
          <w:rFonts w:hint="eastAsia"/>
          <w:b/>
          <w:bCs/>
          <w:color w:val="auto"/>
          <w:sz w:val="30"/>
          <w:szCs w:val="30"/>
          <w:highlight w:val="none"/>
        </w:rPr>
      </w:pPr>
      <w:bookmarkStart w:id="14" w:name="_Toc26824"/>
      <w:bookmarkStart w:id="15" w:name="_Toc17357"/>
      <w:bookmarkStart w:id="16" w:name="_Toc19489"/>
      <w:bookmarkStart w:id="17" w:name="_Toc10370"/>
      <w:bookmarkStart w:id="18" w:name="_Toc18741"/>
      <w:r>
        <w:rPr>
          <w:rFonts w:hint="eastAsia"/>
          <w:b/>
          <w:bCs/>
          <w:color w:val="auto"/>
          <w:sz w:val="30"/>
          <w:szCs w:val="30"/>
          <w:highlight w:val="none"/>
        </w:rPr>
        <w:t>采   购   人：</w:t>
      </w:r>
      <w:bookmarkEnd w:id="13"/>
      <w:bookmarkEnd w:id="14"/>
      <w:bookmarkEnd w:id="15"/>
      <w:bookmarkEnd w:id="16"/>
      <w:bookmarkEnd w:id="17"/>
      <w:bookmarkEnd w:id="18"/>
      <w:r>
        <w:rPr>
          <w:rFonts w:hint="eastAsia"/>
          <w:b/>
          <w:bCs/>
          <w:color w:val="auto"/>
          <w:sz w:val="30"/>
          <w:szCs w:val="30"/>
          <w:highlight w:val="none"/>
        </w:rPr>
        <w:t>长春中医药大学附属第四临床医院</w:t>
      </w:r>
    </w:p>
    <w:p w14:paraId="6760D238">
      <w:pPr>
        <w:keepNext w:val="0"/>
        <w:keepLines w:val="0"/>
        <w:pageBreakBefore w:val="0"/>
        <w:widowControl w:val="0"/>
        <w:kinsoku/>
        <w:wordWrap/>
        <w:overflowPunct/>
        <w:topLinePunct w:val="0"/>
        <w:autoSpaceDE/>
        <w:autoSpaceDN/>
        <w:bidi w:val="0"/>
        <w:adjustRightInd/>
        <w:snapToGrid/>
        <w:spacing w:line="360" w:lineRule="auto"/>
        <w:ind w:firstLine="900" w:firstLineChars="300"/>
        <w:jc w:val="center"/>
        <w:textAlignment w:val="auto"/>
        <w:outlineLvl w:val="0"/>
        <w:rPr>
          <w:rFonts w:hint="eastAsia" w:eastAsia="宋体"/>
          <w:b/>
          <w:bCs/>
          <w:color w:val="auto"/>
          <w:sz w:val="30"/>
          <w:szCs w:val="30"/>
          <w:highlight w:val="none"/>
          <w:lang w:eastAsia="zh-CN"/>
        </w:rPr>
      </w:pPr>
      <w:r>
        <w:rPr>
          <w:rFonts w:hint="eastAsia"/>
          <w:b/>
          <w:bCs/>
          <w:color w:val="auto"/>
          <w:sz w:val="30"/>
          <w:szCs w:val="30"/>
          <w:highlight w:val="none"/>
        </w:rPr>
        <w:t>（长春市人民医院）</w:t>
      </w:r>
    </w:p>
    <w:p w14:paraId="4705C5E3">
      <w:pPr>
        <w:keepNext w:val="0"/>
        <w:keepLines w:val="0"/>
        <w:pageBreakBefore w:val="0"/>
        <w:widowControl w:val="0"/>
        <w:kinsoku/>
        <w:wordWrap/>
        <w:overflowPunct/>
        <w:topLinePunct w:val="0"/>
        <w:autoSpaceDE/>
        <w:autoSpaceDN/>
        <w:bidi w:val="0"/>
        <w:adjustRightInd/>
        <w:snapToGrid/>
        <w:spacing w:line="360" w:lineRule="auto"/>
        <w:ind w:firstLine="900" w:firstLineChars="300"/>
        <w:jc w:val="center"/>
        <w:textAlignment w:val="auto"/>
        <w:outlineLvl w:val="9"/>
        <w:rPr>
          <w:rFonts w:hint="eastAsia" w:eastAsia="宋体"/>
          <w:b/>
          <w:bCs/>
          <w:color w:val="auto"/>
          <w:sz w:val="30"/>
          <w:szCs w:val="30"/>
          <w:highlight w:val="none"/>
          <w:lang w:eastAsia="zh-CN"/>
        </w:rPr>
      </w:pPr>
      <w:r>
        <w:rPr>
          <w:rFonts w:hint="eastAsia"/>
          <w:b/>
          <w:bCs/>
          <w:color w:val="auto"/>
          <w:sz w:val="30"/>
          <w:szCs w:val="30"/>
          <w:highlight w:val="none"/>
        </w:rPr>
        <w:t>采购代理机构：</w:t>
      </w:r>
      <w:r>
        <w:rPr>
          <w:rFonts w:hint="eastAsia" w:eastAsia="宋体"/>
          <w:b/>
          <w:bCs/>
          <w:color w:val="auto"/>
          <w:sz w:val="30"/>
          <w:szCs w:val="30"/>
          <w:highlight w:val="none"/>
          <w:lang w:eastAsia="zh-CN"/>
        </w:rPr>
        <w:t>中峪国际项目管理有限公司</w:t>
      </w:r>
    </w:p>
    <w:p w14:paraId="67F10B82">
      <w:pPr>
        <w:keepNext w:val="0"/>
        <w:keepLines w:val="0"/>
        <w:pageBreakBefore w:val="0"/>
        <w:widowControl w:val="0"/>
        <w:kinsoku/>
        <w:wordWrap/>
        <w:overflowPunct/>
        <w:topLinePunct w:val="0"/>
        <w:autoSpaceDE/>
        <w:autoSpaceDN/>
        <w:bidi w:val="0"/>
        <w:adjustRightInd/>
        <w:snapToGrid/>
        <w:spacing w:line="360" w:lineRule="auto"/>
        <w:ind w:firstLine="900" w:firstLineChars="300"/>
        <w:jc w:val="center"/>
        <w:textAlignment w:val="auto"/>
        <w:outlineLvl w:val="0"/>
        <w:rPr>
          <w:rFonts w:hint="eastAsia"/>
          <w:b/>
          <w:bCs/>
          <w:color w:val="auto"/>
          <w:sz w:val="30"/>
          <w:szCs w:val="30"/>
          <w:highlight w:val="none"/>
        </w:rPr>
      </w:pPr>
      <w:bookmarkStart w:id="19" w:name="_Toc10255"/>
      <w:bookmarkStart w:id="20" w:name="_Toc17061"/>
      <w:bookmarkStart w:id="21" w:name="_Toc2467"/>
      <w:bookmarkStart w:id="22" w:name="_Toc7538"/>
      <w:bookmarkStart w:id="23" w:name="_Toc8956"/>
      <w:bookmarkStart w:id="24" w:name="_Toc1588"/>
      <w:r>
        <w:rPr>
          <w:rFonts w:hint="eastAsia"/>
          <w:b/>
          <w:bCs/>
          <w:color w:val="auto"/>
          <w:sz w:val="30"/>
          <w:szCs w:val="30"/>
          <w:highlight w:val="none"/>
          <w:lang w:eastAsia="zh-CN"/>
        </w:rPr>
        <w:t>日</w:t>
      </w:r>
      <w:r>
        <w:rPr>
          <w:rFonts w:hint="eastAsia"/>
          <w:b/>
          <w:bCs/>
          <w:color w:val="auto"/>
          <w:sz w:val="30"/>
          <w:szCs w:val="30"/>
          <w:highlight w:val="none"/>
          <w:lang w:val="en-US" w:eastAsia="zh-CN"/>
        </w:rPr>
        <w:t xml:space="preserve">        </w:t>
      </w:r>
      <w:r>
        <w:rPr>
          <w:rFonts w:hint="eastAsia"/>
          <w:b/>
          <w:bCs/>
          <w:color w:val="auto"/>
          <w:sz w:val="30"/>
          <w:szCs w:val="30"/>
          <w:highlight w:val="none"/>
          <w:lang w:eastAsia="zh-CN"/>
        </w:rPr>
        <w:t>期：</w:t>
      </w:r>
      <w:r>
        <w:rPr>
          <w:rFonts w:hint="eastAsia"/>
          <w:b/>
          <w:bCs/>
          <w:color w:val="auto"/>
          <w:sz w:val="30"/>
          <w:szCs w:val="30"/>
          <w:highlight w:val="none"/>
        </w:rPr>
        <w:t>二〇</w:t>
      </w:r>
      <w:r>
        <w:rPr>
          <w:rFonts w:hint="eastAsia"/>
          <w:b/>
          <w:bCs/>
          <w:color w:val="auto"/>
          <w:sz w:val="30"/>
          <w:szCs w:val="30"/>
          <w:highlight w:val="none"/>
          <w:lang w:eastAsia="zh-CN"/>
        </w:rPr>
        <w:t>二</w:t>
      </w:r>
      <w:r>
        <w:rPr>
          <w:rFonts w:hint="eastAsia"/>
          <w:b/>
          <w:bCs/>
          <w:color w:val="auto"/>
          <w:sz w:val="30"/>
          <w:szCs w:val="30"/>
          <w:highlight w:val="none"/>
          <w:lang w:val="en-US" w:eastAsia="zh-CN"/>
        </w:rPr>
        <w:t>五</w:t>
      </w:r>
      <w:r>
        <w:rPr>
          <w:rFonts w:hint="eastAsia"/>
          <w:b/>
          <w:bCs/>
          <w:color w:val="auto"/>
          <w:sz w:val="30"/>
          <w:szCs w:val="30"/>
          <w:highlight w:val="none"/>
        </w:rPr>
        <w:t>年</w:t>
      </w:r>
      <w:r>
        <w:rPr>
          <w:rFonts w:hint="eastAsia" w:eastAsia="宋体"/>
          <w:b/>
          <w:bCs/>
          <w:color w:val="auto"/>
          <w:sz w:val="30"/>
          <w:szCs w:val="30"/>
          <w:highlight w:val="none"/>
          <w:lang w:val="en-US" w:eastAsia="zh-CN"/>
        </w:rPr>
        <w:t>一</w:t>
      </w:r>
      <w:r>
        <w:rPr>
          <w:rFonts w:hint="eastAsia"/>
          <w:b/>
          <w:bCs/>
          <w:color w:val="auto"/>
          <w:sz w:val="30"/>
          <w:szCs w:val="30"/>
          <w:highlight w:val="none"/>
        </w:rPr>
        <w:t>月</w:t>
      </w:r>
      <w:bookmarkEnd w:id="19"/>
      <w:bookmarkEnd w:id="20"/>
      <w:bookmarkEnd w:id="21"/>
      <w:bookmarkEnd w:id="22"/>
      <w:bookmarkEnd w:id="23"/>
      <w:bookmarkEnd w:id="24"/>
    </w:p>
    <w:p w14:paraId="0D8EE2FC">
      <w:pPr>
        <w:rPr>
          <w:rFonts w:hint="eastAsia"/>
          <w:color w:val="auto"/>
          <w:highlight w:val="none"/>
          <w:lang w:val="en-US" w:eastAsia="en-US"/>
        </w:rPr>
      </w:pPr>
      <w:r>
        <w:rPr>
          <w:rFonts w:hint="eastAsia"/>
          <w:color w:val="auto"/>
          <w:highlight w:val="none"/>
          <w:lang w:val="en-US" w:eastAsia="en-US"/>
        </w:rPr>
        <w:br w:type="page"/>
      </w:r>
    </w:p>
    <w:p w14:paraId="5EE8AEA7">
      <w:pPr>
        <w:rPr>
          <w:rFonts w:hint="eastAsia"/>
          <w:color w:val="auto"/>
          <w:highlight w:val="none"/>
          <w:lang w:val="en-US" w:eastAsia="en-US"/>
        </w:rPr>
        <w:sectPr>
          <w:footerReference r:id="rId5" w:type="default"/>
          <w:pgSz w:w="11906" w:h="16839"/>
          <w:pgMar w:top="1440" w:right="1310" w:bottom="1440" w:left="1310" w:header="0" w:footer="886" w:gutter="0"/>
          <w:pgNumType w:fmt="decimal"/>
          <w:cols w:space="720" w:num="1"/>
        </w:sectPr>
      </w:pPr>
    </w:p>
    <w:sdt>
      <w:sdtPr>
        <w:rPr>
          <w:rFonts w:hint="eastAsia" w:ascii="宋体" w:hAnsi="宋体" w:eastAsia="宋体" w:cs="宋体"/>
          <w:b/>
          <w:bCs/>
          <w:snapToGrid w:val="0"/>
          <w:color w:val="auto"/>
          <w:kern w:val="0"/>
          <w:sz w:val="28"/>
          <w:szCs w:val="28"/>
          <w:highlight w:val="none"/>
          <w:lang w:val="en-US" w:eastAsia="en-US" w:bidi="ar-SA"/>
        </w:rPr>
        <w:id w:val="147481105"/>
        <w15:color w:val="DBDBDB"/>
        <w:docPartObj>
          <w:docPartGallery w:val="Table of Contents"/>
          <w:docPartUnique/>
        </w:docPartObj>
      </w:sdtPr>
      <w:sdtEndPr>
        <w:rPr>
          <w:rFonts w:hint="eastAsia" w:ascii="宋体" w:hAnsi="宋体" w:eastAsia="宋体" w:cs="宋体"/>
          <w:b/>
          <w:bCs/>
          <w:snapToGrid w:val="0"/>
          <w:color w:val="auto"/>
          <w:kern w:val="0"/>
          <w:sz w:val="28"/>
          <w:szCs w:val="28"/>
          <w:highlight w:val="none"/>
          <w:lang w:val="en-US" w:eastAsia="en-US" w:bidi="ar-SA"/>
        </w:rPr>
      </w:sdtEndPr>
      <w:sdtContent>
        <w:p w14:paraId="32BC1CD8">
          <w:pPr>
            <w:keepNext w:val="0"/>
            <w:keepLines w:val="0"/>
            <w:pageBreakBefore w:val="0"/>
            <w:widowControl/>
            <w:wordWrap/>
            <w:overflowPunct/>
            <w:topLinePunct w:val="0"/>
            <w:bidi w:val="0"/>
            <w:spacing w:line="360" w:lineRule="auto"/>
            <w:ind w:left="0" w:leftChars="0" w:right="0" w:rightChars="0" w:firstLine="0" w:firstLineChars="0"/>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目</w:t>
          </w:r>
          <w:r>
            <w:rPr>
              <w:rFonts w:hint="eastAsia" w:ascii="宋体" w:hAnsi="宋体" w:eastAsia="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p>
        <w:p w14:paraId="172D776C">
          <w:pPr>
            <w:pStyle w:val="17"/>
            <w:tabs>
              <w:tab w:val="right" w:leader="dot" w:pos="9286"/>
            </w:tabs>
            <w:rPr>
              <w:color w:val="auto"/>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p>
        <w:p w14:paraId="35994459">
          <w:pPr>
            <w:pStyle w:val="17"/>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_Toc27731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xml:space="preserve">第一章 </w:t>
          </w:r>
          <w:r>
            <w:rPr>
              <w:rFonts w:hint="eastAsia" w:ascii="宋体" w:hAnsi="宋体" w:eastAsia="宋体" w:cs="宋体"/>
              <w:b/>
              <w:bCs/>
              <w:color w:val="auto"/>
              <w:sz w:val="28"/>
              <w:szCs w:val="28"/>
              <w:highlight w:val="none"/>
              <w:lang w:eastAsia="zh-CN"/>
            </w:rPr>
            <w:t>招标公告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_Toc27731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9FE23E9">
          <w:pPr>
            <w:pStyle w:val="17"/>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_Toc23171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投标人须知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_Toc23171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7722B0F6">
          <w:pPr>
            <w:pStyle w:val="17"/>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_Toc1701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第三章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评标办法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_Toc1701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18</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10EE7C2">
          <w:pPr>
            <w:pStyle w:val="17"/>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_Toc12764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第四章 合同条款（参考格式）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_Toc12764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23</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20F108C">
          <w:pPr>
            <w:pStyle w:val="17"/>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_Toc9810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第五章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_Toc9810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28</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F8A67B5">
          <w:pPr>
            <w:pStyle w:val="17"/>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_Toc6096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第六章 投标文件构成及格式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_Toc6096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38</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111D675">
          <w:pPr>
            <w:pStyle w:val="17"/>
            <w:tabs>
              <w:tab w:val="right" w:leader="dot" w:pos="9286"/>
            </w:tabs>
            <w:rPr>
              <w:color w:val="auto"/>
              <w:highlight w:val="none"/>
            </w:rPr>
          </w:pPr>
        </w:p>
        <w:p w14:paraId="7DCE70DB">
          <w:pPr>
            <w:keepNext w:val="0"/>
            <w:keepLines w:val="0"/>
            <w:pageBreakBefore w:val="0"/>
            <w:widowControl/>
            <w:wordWrap/>
            <w:overflowPunct/>
            <w:topLinePunct w:val="0"/>
            <w:bidi w:val="0"/>
            <w:spacing w:before="0" w:beforeLines="0" w:after="0" w:afterLines="0" w:line="360" w:lineRule="auto"/>
            <w:rPr>
              <w:color w:val="auto"/>
              <w:highlight w:val="none"/>
            </w:rPr>
          </w:pPr>
          <w:r>
            <w:rPr>
              <w:rFonts w:hint="eastAsia" w:ascii="宋体" w:hAnsi="宋体" w:eastAsia="宋体" w:cs="宋体"/>
              <w:bCs/>
              <w:color w:val="auto"/>
              <w:szCs w:val="28"/>
              <w:highlight w:val="none"/>
            </w:rPr>
            <w:fldChar w:fldCharType="end"/>
          </w:r>
        </w:p>
      </w:sdtContent>
    </w:sdt>
    <w:p w14:paraId="23C84009">
      <w:pPr>
        <w:outlineLvl w:val="9"/>
        <w:rPr>
          <w:rFonts w:hint="eastAsia" w:ascii="宋体" w:hAnsi="宋体" w:eastAsia="宋体" w:cs="宋体"/>
          <w:color w:val="auto"/>
          <w:spacing w:val="8"/>
          <w:sz w:val="35"/>
          <w:szCs w:val="35"/>
          <w:highlight w:val="none"/>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highlight w:val="none"/>
          <w14:textOutline w14:w="6537" w14:cap="sq" w14:cmpd="sng">
            <w14:solidFill>
              <w14:srgbClr w14:val="000000"/>
            </w14:solidFill>
            <w14:prstDash w14:val="solid"/>
            <w14:bevel/>
          </w14:textOutline>
        </w:rPr>
        <w:br w:type="page"/>
      </w:r>
    </w:p>
    <w:p w14:paraId="6477EB52">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eastAsia="宋体"/>
          <w:color w:val="auto"/>
          <w:sz w:val="32"/>
          <w:szCs w:val="32"/>
          <w:highlight w:val="none"/>
          <w:lang w:eastAsia="zh-CN"/>
        </w:rPr>
      </w:pPr>
      <w:bookmarkStart w:id="25" w:name="_Toc4225"/>
      <w:bookmarkStart w:id="26" w:name="_Toc27731"/>
      <w:r>
        <w:rPr>
          <w:rFonts w:hint="eastAsia"/>
          <w:color w:val="auto"/>
          <w:sz w:val="32"/>
          <w:szCs w:val="32"/>
          <w:highlight w:val="none"/>
        </w:rPr>
        <w:t xml:space="preserve">第一章   </w:t>
      </w:r>
      <w:bookmarkEnd w:id="25"/>
      <w:bookmarkEnd w:id="26"/>
      <w:r>
        <w:rPr>
          <w:rFonts w:hint="eastAsia"/>
          <w:color w:val="auto"/>
          <w:sz w:val="32"/>
          <w:szCs w:val="32"/>
          <w:highlight w:val="none"/>
          <w:lang w:eastAsia="zh-CN"/>
        </w:rPr>
        <w:t>招标公告</w:t>
      </w:r>
    </w:p>
    <w:tbl>
      <w:tblPr>
        <w:tblStyle w:val="25"/>
        <w:tblW w:w="9471"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5B70582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09" w:hRule="atLeast"/>
        </w:trPr>
        <w:tc>
          <w:tcPr>
            <w:tcW w:w="9471" w:type="dxa"/>
            <w:vAlign w:val="top"/>
          </w:tcPr>
          <w:p w14:paraId="277A66A9">
            <w:pPr>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9C8A677">
            <w:pPr>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长春市人民医院外科微创能力提升项目腹腔镜采购项目</w:t>
            </w:r>
            <w:r>
              <w:rPr>
                <w:rFonts w:hint="eastAsia" w:ascii="宋体" w:hAnsi="宋体" w:eastAsia="宋体" w:cs="宋体"/>
                <w:color w:val="auto"/>
                <w:sz w:val="24"/>
                <w:szCs w:val="24"/>
                <w:highlight w:val="none"/>
              </w:rPr>
              <w:t>的潜在投标人应在政采云平台</w:t>
            </w:r>
          </w:p>
          <w:p w14:paraId="6779CAA4">
            <w:pPr>
              <w:bidi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shd w:val="clear" w:color="auto" w:fill="auto"/>
              </w:rPr>
              <w:t>202</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shd w:val="clear" w:color="auto" w:fill="auto"/>
                <w:lang w:val="en-US" w:eastAsia="zh-CN"/>
              </w:rPr>
              <w:t>02</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rPr>
              <w:t>日</w:t>
            </w:r>
            <w:r>
              <w:rPr>
                <w:rFonts w:hint="eastAsia" w:ascii="宋体" w:hAnsi="宋体" w:eastAsia="宋体" w:cs="宋体"/>
                <w:color w:val="auto"/>
                <w:sz w:val="24"/>
                <w:szCs w:val="24"/>
                <w:highlight w:val="none"/>
                <w:shd w:val="clear" w:color="auto" w:fill="auto"/>
                <w:lang w:val="en-US" w:eastAsia="zh-CN"/>
              </w:rPr>
              <w:t>09</w:t>
            </w:r>
            <w:r>
              <w:rPr>
                <w:rFonts w:hint="eastAsia" w:ascii="宋体" w:hAnsi="宋体" w:eastAsia="宋体" w:cs="宋体"/>
                <w:color w:val="auto"/>
                <w:sz w:val="24"/>
                <w:szCs w:val="24"/>
                <w:highlight w:val="none"/>
                <w:shd w:val="clear" w:color="auto" w:fill="auto"/>
              </w:rPr>
              <w:t>点</w:t>
            </w:r>
            <w:r>
              <w:rPr>
                <w:rFonts w:hint="eastAsia" w:ascii="宋体" w:hAnsi="宋体" w:eastAsia="宋体" w:cs="宋体"/>
                <w:color w:val="auto"/>
                <w:sz w:val="24"/>
                <w:szCs w:val="24"/>
                <w:highlight w:val="none"/>
                <w:shd w:val="clear" w:color="auto" w:fill="auto"/>
                <w:lang w:val="en-US" w:eastAsia="zh-CN"/>
              </w:rPr>
              <w:t>00</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rPr>
              <w:t>（北京时间）前递交投标文件。</w:t>
            </w:r>
          </w:p>
        </w:tc>
      </w:tr>
    </w:tbl>
    <w:p w14:paraId="3C941B6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642392C2">
      <w:pPr>
        <w:bidi w:val="0"/>
        <w:spacing w:line="360" w:lineRule="auto"/>
        <w:ind w:firstLine="240" w:firstLineChars="1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1.项目编号：ZYGJ-CZHW-2508</w:t>
      </w:r>
    </w:p>
    <w:p w14:paraId="6D2A404D">
      <w:pPr>
        <w:bidi w:val="0"/>
        <w:spacing w:line="360" w:lineRule="auto"/>
        <w:ind w:firstLine="240" w:firstLineChars="100"/>
        <w:outlineLvl w:val="9"/>
        <w:rPr>
          <w:rFonts w:hint="default" w:ascii="宋体" w:hAnsi="宋体" w:eastAsia="宋体" w:cs="宋体"/>
          <w:color w:val="auto"/>
          <w:sz w:val="24"/>
          <w:szCs w:val="24"/>
          <w:highlight w:val="none"/>
          <w:shd w:val="clear" w:color="FFFFFF" w:fill="D9D9D9"/>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采购项目</w:t>
      </w:r>
      <w:r>
        <w:rPr>
          <w:rFonts w:hint="eastAsia" w:ascii="宋体" w:hAnsi="宋体" w:eastAsia="宋体" w:cs="宋体"/>
          <w:color w:val="auto"/>
          <w:sz w:val="24"/>
          <w:szCs w:val="24"/>
          <w:highlight w:val="none"/>
          <w:shd w:val="clear" w:color="auto" w:fill="auto"/>
        </w:rPr>
        <w:t>编号：JM-2024-12-01789</w:t>
      </w:r>
    </w:p>
    <w:p w14:paraId="3D0BA977">
      <w:pPr>
        <w:bidi w:val="0"/>
        <w:spacing w:line="360" w:lineRule="auto"/>
        <w:ind w:firstLine="240" w:firstLineChars="1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长春市人民医院外科微创能力提升项目腹腔镜采购项目</w:t>
      </w:r>
    </w:p>
    <w:p w14:paraId="7EA8897D">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380万元</w:t>
      </w:r>
    </w:p>
    <w:p w14:paraId="52B51CBC">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腹腔镜采购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具体参数</w:t>
      </w:r>
      <w:r>
        <w:rPr>
          <w:rFonts w:hint="eastAsia" w:ascii="宋体" w:hAnsi="宋体" w:eastAsia="宋体" w:cs="宋体"/>
          <w:color w:val="auto"/>
          <w:sz w:val="24"/>
          <w:szCs w:val="24"/>
          <w:highlight w:val="none"/>
        </w:rPr>
        <w:t>详见招标文件采购需求）</w:t>
      </w:r>
    </w:p>
    <w:p w14:paraId="028C524F">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6.标段划分：本项目共计</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个标段；</w:t>
      </w:r>
    </w:p>
    <w:p w14:paraId="5DD3BD1C">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合同履行期限（交货时间）：合同签订后30日</w:t>
      </w:r>
    </w:p>
    <w:p w14:paraId="63B7D719">
      <w:pPr>
        <w:bidi w:val="0"/>
        <w:spacing w:line="360" w:lineRule="auto"/>
        <w:ind w:firstLine="240" w:firstLineChars="1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8.供货地点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采购人指定地点</w:t>
      </w:r>
    </w:p>
    <w:p w14:paraId="3165688F">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9.质量标准：</w:t>
      </w:r>
      <w:r>
        <w:rPr>
          <w:rFonts w:hint="eastAsia" w:ascii="宋体" w:hAnsi="宋体" w:eastAsia="宋体" w:cs="宋体"/>
          <w:color w:val="auto"/>
          <w:sz w:val="24"/>
          <w:szCs w:val="24"/>
          <w:highlight w:val="none"/>
        </w:rPr>
        <w:t>满足国家及行业规范标准及采购人要求</w:t>
      </w:r>
    </w:p>
    <w:p w14:paraId="4DFD975E">
      <w:pPr>
        <w:bidi w:val="0"/>
        <w:spacing w:line="360" w:lineRule="auto"/>
        <w:ind w:firstLine="240" w:firstLineChars="1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10.分包详细信息：</w:t>
      </w:r>
    </w:p>
    <w:tbl>
      <w:tblPr>
        <w:tblStyle w:val="21"/>
        <w:tblW w:w="504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79"/>
        <w:gridCol w:w="3180"/>
        <w:gridCol w:w="1101"/>
        <w:gridCol w:w="1358"/>
        <w:gridCol w:w="1358"/>
      </w:tblGrid>
      <w:tr w14:paraId="02691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68" w:type="pct"/>
            <w:tcBorders>
              <w:top w:val="single" w:color="auto" w:sz="4" w:space="0"/>
              <w:left w:val="single" w:color="auto" w:sz="4" w:space="0"/>
              <w:bottom w:val="single" w:color="auto" w:sz="4" w:space="0"/>
              <w:right w:val="single" w:color="auto" w:sz="4" w:space="0"/>
            </w:tcBorders>
            <w:vAlign w:val="center"/>
          </w:tcPr>
          <w:p w14:paraId="5065CD68">
            <w:pPr>
              <w:jc w:val="center"/>
              <w:textAlignment w:val="auto"/>
              <w:rPr>
                <w:rStyle w:val="30"/>
                <w:rFonts w:ascii="宋体" w:hAnsi="宋体" w:cs="宋体"/>
                <w:color w:val="auto"/>
                <w:sz w:val="21"/>
                <w:szCs w:val="21"/>
                <w:highlight w:val="none"/>
                <w:shd w:val="clear" w:color="auto" w:fill="auto"/>
              </w:rPr>
            </w:pPr>
            <w:r>
              <w:rPr>
                <w:rStyle w:val="30"/>
                <w:rFonts w:hint="eastAsia" w:ascii="宋体" w:hAnsi="宋体" w:cs="宋体"/>
                <w:color w:val="auto"/>
                <w:sz w:val="21"/>
                <w:szCs w:val="21"/>
                <w:highlight w:val="none"/>
                <w:shd w:val="clear" w:color="auto" w:fill="auto"/>
              </w:rPr>
              <w:t>标段编号</w:t>
            </w:r>
          </w:p>
        </w:tc>
        <w:tc>
          <w:tcPr>
            <w:tcW w:w="1695" w:type="pct"/>
            <w:tcBorders>
              <w:top w:val="single" w:color="auto" w:sz="4" w:space="0"/>
              <w:left w:val="single" w:color="auto" w:sz="4" w:space="0"/>
              <w:bottom w:val="single" w:color="auto" w:sz="4" w:space="0"/>
              <w:right w:val="single" w:color="auto" w:sz="4" w:space="0"/>
            </w:tcBorders>
            <w:vAlign w:val="center"/>
          </w:tcPr>
          <w:p w14:paraId="67DC59AB">
            <w:pPr>
              <w:jc w:val="center"/>
              <w:textAlignment w:val="auto"/>
              <w:rPr>
                <w:rStyle w:val="30"/>
                <w:rFonts w:ascii="宋体" w:hAnsi="宋体" w:cs="宋体"/>
                <w:color w:val="auto"/>
                <w:sz w:val="21"/>
                <w:szCs w:val="21"/>
                <w:highlight w:val="none"/>
                <w:shd w:val="clear" w:color="auto" w:fill="auto"/>
              </w:rPr>
            </w:pPr>
            <w:r>
              <w:rPr>
                <w:rStyle w:val="30"/>
                <w:rFonts w:hint="eastAsia" w:ascii="宋体" w:hAnsi="宋体" w:cs="宋体"/>
                <w:color w:val="auto"/>
                <w:sz w:val="21"/>
                <w:szCs w:val="21"/>
                <w:highlight w:val="none"/>
                <w:shd w:val="clear" w:color="auto" w:fill="auto"/>
              </w:rPr>
              <w:t>采购内容</w:t>
            </w:r>
          </w:p>
        </w:tc>
        <w:tc>
          <w:tcPr>
            <w:tcW w:w="587" w:type="pct"/>
            <w:tcBorders>
              <w:top w:val="single" w:color="auto" w:sz="4" w:space="0"/>
              <w:left w:val="single" w:color="auto" w:sz="4" w:space="0"/>
              <w:bottom w:val="single" w:color="auto" w:sz="4" w:space="0"/>
              <w:right w:val="single" w:color="auto" w:sz="4" w:space="0"/>
            </w:tcBorders>
            <w:vAlign w:val="center"/>
          </w:tcPr>
          <w:p w14:paraId="42DA6DE4">
            <w:pPr>
              <w:jc w:val="center"/>
              <w:textAlignment w:val="auto"/>
              <w:rPr>
                <w:rStyle w:val="30"/>
                <w:rFonts w:ascii="宋体" w:hAnsi="宋体" w:cs="宋体"/>
                <w:color w:val="auto"/>
                <w:sz w:val="21"/>
                <w:szCs w:val="21"/>
                <w:highlight w:val="none"/>
                <w:shd w:val="clear" w:color="auto" w:fill="auto"/>
              </w:rPr>
            </w:pPr>
            <w:r>
              <w:rPr>
                <w:rStyle w:val="30"/>
                <w:rFonts w:hint="eastAsia" w:ascii="宋体" w:hAnsi="宋体" w:cs="宋体"/>
                <w:color w:val="auto"/>
                <w:sz w:val="21"/>
                <w:szCs w:val="21"/>
                <w:highlight w:val="none"/>
                <w:shd w:val="clear" w:color="auto" w:fill="auto"/>
              </w:rPr>
              <w:t>数量</w:t>
            </w:r>
          </w:p>
        </w:tc>
        <w:tc>
          <w:tcPr>
            <w:tcW w:w="724" w:type="pct"/>
            <w:tcBorders>
              <w:top w:val="single" w:color="auto" w:sz="4" w:space="0"/>
              <w:left w:val="single" w:color="auto" w:sz="4" w:space="0"/>
              <w:bottom w:val="single" w:color="auto" w:sz="4" w:space="0"/>
              <w:right w:val="single" w:color="auto" w:sz="4" w:space="0"/>
            </w:tcBorders>
            <w:vAlign w:val="center"/>
          </w:tcPr>
          <w:p w14:paraId="4A4402B3">
            <w:pPr>
              <w:jc w:val="center"/>
              <w:textAlignment w:val="auto"/>
              <w:rPr>
                <w:rStyle w:val="30"/>
                <w:rFonts w:ascii="宋体" w:hAnsi="宋体" w:cs="宋体"/>
                <w:color w:val="auto"/>
                <w:sz w:val="21"/>
                <w:szCs w:val="21"/>
                <w:highlight w:val="none"/>
                <w:shd w:val="clear" w:color="auto" w:fill="auto"/>
              </w:rPr>
            </w:pPr>
            <w:r>
              <w:rPr>
                <w:rStyle w:val="30"/>
                <w:rFonts w:hint="eastAsia" w:ascii="宋体" w:hAnsi="宋体" w:cs="宋体"/>
                <w:color w:val="auto"/>
                <w:sz w:val="21"/>
                <w:szCs w:val="21"/>
                <w:highlight w:val="none"/>
                <w:shd w:val="clear" w:color="auto" w:fill="auto"/>
              </w:rPr>
              <w:t>标段预算</w:t>
            </w:r>
          </w:p>
        </w:tc>
        <w:tc>
          <w:tcPr>
            <w:tcW w:w="724" w:type="pct"/>
            <w:tcBorders>
              <w:top w:val="single" w:color="auto" w:sz="4" w:space="0"/>
              <w:left w:val="single" w:color="auto" w:sz="4" w:space="0"/>
              <w:bottom w:val="single" w:color="auto" w:sz="4" w:space="0"/>
              <w:right w:val="single" w:color="auto" w:sz="4" w:space="0"/>
            </w:tcBorders>
            <w:vAlign w:val="center"/>
          </w:tcPr>
          <w:p w14:paraId="3D8FF670">
            <w:pPr>
              <w:jc w:val="center"/>
              <w:textAlignment w:val="auto"/>
              <w:rPr>
                <w:rStyle w:val="30"/>
                <w:rFonts w:ascii="宋体" w:hAnsi="宋体" w:cs="宋体"/>
                <w:color w:val="auto"/>
                <w:sz w:val="21"/>
                <w:szCs w:val="21"/>
                <w:highlight w:val="none"/>
                <w:shd w:val="clear" w:color="auto" w:fill="auto"/>
              </w:rPr>
            </w:pPr>
            <w:r>
              <w:rPr>
                <w:rStyle w:val="30"/>
                <w:rFonts w:hint="eastAsia" w:ascii="宋体" w:hAnsi="宋体" w:cs="宋体"/>
                <w:color w:val="auto"/>
                <w:sz w:val="21"/>
                <w:szCs w:val="21"/>
                <w:highlight w:val="none"/>
                <w:shd w:val="clear" w:color="auto" w:fill="auto"/>
              </w:rPr>
              <w:t>质保期</w:t>
            </w:r>
          </w:p>
        </w:tc>
      </w:tr>
      <w:tr w14:paraId="519D1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68" w:type="pct"/>
            <w:tcBorders>
              <w:top w:val="single" w:color="auto" w:sz="4" w:space="0"/>
              <w:left w:val="single" w:color="auto" w:sz="4" w:space="0"/>
              <w:bottom w:val="single" w:color="auto" w:sz="4" w:space="0"/>
              <w:right w:val="single" w:color="auto" w:sz="4" w:space="0"/>
            </w:tcBorders>
            <w:vAlign w:val="center"/>
          </w:tcPr>
          <w:p w14:paraId="286957BC">
            <w:pPr>
              <w:jc w:val="center"/>
              <w:textAlignment w:val="auto"/>
              <w:rPr>
                <w:rFonts w:hint="eastAsia" w:ascii="宋体" w:hAnsi="宋体" w:eastAsia="宋体" w:cs="宋体"/>
                <w:color w:val="auto"/>
                <w:sz w:val="21"/>
                <w:szCs w:val="21"/>
                <w:highlight w:val="none"/>
                <w:shd w:val="clear" w:color="auto" w:fill="auto"/>
                <w:lang w:eastAsia="zh-CN"/>
              </w:rPr>
            </w:pPr>
            <w:r>
              <w:rPr>
                <w:rStyle w:val="30"/>
                <w:rFonts w:hint="eastAsia" w:ascii="宋体" w:hAnsi="宋体" w:cs="宋体"/>
                <w:color w:val="auto"/>
                <w:sz w:val="21"/>
                <w:szCs w:val="21"/>
                <w:highlight w:val="none"/>
                <w:shd w:val="clear" w:color="auto" w:fill="auto"/>
              </w:rPr>
              <w:t>ZYGJ-CZHW-2508/</w:t>
            </w:r>
            <w:r>
              <w:rPr>
                <w:rFonts w:hint="eastAsia" w:ascii="宋体" w:hAnsi="宋体" w:cs="宋体"/>
                <w:color w:val="auto"/>
                <w:sz w:val="21"/>
                <w:szCs w:val="21"/>
                <w:highlight w:val="none"/>
                <w:shd w:val="clear" w:color="auto" w:fill="auto"/>
              </w:rPr>
              <w:t>0</w:t>
            </w:r>
            <w:r>
              <w:rPr>
                <w:rFonts w:hint="eastAsia" w:ascii="宋体" w:hAnsi="宋体" w:eastAsia="宋体" w:cs="宋体"/>
                <w:color w:val="auto"/>
                <w:sz w:val="21"/>
                <w:szCs w:val="21"/>
                <w:highlight w:val="none"/>
                <w:shd w:val="clear" w:color="auto" w:fill="auto"/>
                <w:lang w:val="en-US" w:eastAsia="zh-CN"/>
              </w:rPr>
              <w:t>1</w:t>
            </w:r>
          </w:p>
        </w:tc>
        <w:tc>
          <w:tcPr>
            <w:tcW w:w="1695" w:type="pct"/>
            <w:tcBorders>
              <w:top w:val="single" w:color="auto" w:sz="4" w:space="0"/>
              <w:left w:val="single" w:color="auto" w:sz="4" w:space="0"/>
              <w:bottom w:val="single" w:color="auto" w:sz="4" w:space="0"/>
              <w:right w:val="single" w:color="auto" w:sz="4" w:space="0"/>
            </w:tcBorders>
            <w:shd w:val="clear" w:color="auto" w:fill="auto"/>
            <w:vAlign w:val="center"/>
          </w:tcPr>
          <w:p w14:paraId="4E738D5B">
            <w:pPr>
              <w:jc w:val="center"/>
              <w:textAlignment w:val="center"/>
              <w:rPr>
                <w:rFonts w:hint="default" w:ascii="宋体" w:hAnsi="宋体" w:eastAsia="宋体" w:cs="宋体"/>
                <w:snapToGrid w:val="0"/>
                <w:color w:val="auto"/>
                <w:kern w:val="0"/>
                <w:sz w:val="21"/>
                <w:szCs w:val="21"/>
                <w:highlight w:val="none"/>
                <w:shd w:val="clear" w:color="auto" w:fill="auto"/>
                <w:lang w:val="en-US" w:eastAsia="zh-CN" w:bidi="ar"/>
              </w:rPr>
            </w:pPr>
            <w:r>
              <w:rPr>
                <w:rFonts w:hint="eastAsia" w:ascii="宋体" w:hAnsi="宋体" w:eastAsia="宋体" w:cs="宋体"/>
                <w:color w:val="auto"/>
                <w:sz w:val="21"/>
                <w:szCs w:val="21"/>
                <w:highlight w:val="none"/>
                <w:shd w:val="clear" w:color="auto" w:fill="auto"/>
                <w:lang w:val="en-US" w:eastAsia="zh-CN" w:bidi="ar"/>
              </w:rPr>
              <w:t>4K荧光腹腔镜</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14:paraId="7E10F1B5">
            <w:pPr>
              <w:jc w:val="center"/>
              <w:textAlignment w:val="auto"/>
              <w:rPr>
                <w:rFonts w:hint="default" w:ascii="宋体" w:hAnsi="宋体" w:eastAsia="Arial" w:cs="宋体"/>
                <w:snapToGrid w:val="0"/>
                <w:color w:val="auto"/>
                <w:kern w:val="0"/>
                <w:sz w:val="21"/>
                <w:szCs w:val="21"/>
                <w:highlight w:val="none"/>
                <w:shd w:val="clear" w:color="auto" w:fill="auto"/>
                <w:lang w:val="en-US" w:eastAsia="zh-CN" w:bidi="ar-SA"/>
              </w:rPr>
            </w:pPr>
            <w:r>
              <w:rPr>
                <w:rStyle w:val="30"/>
                <w:rFonts w:hint="eastAsia" w:ascii="宋体" w:hAnsi="宋体" w:eastAsia="宋体" w:cs="宋体"/>
                <w:color w:val="auto"/>
                <w:sz w:val="21"/>
                <w:szCs w:val="21"/>
                <w:highlight w:val="none"/>
                <w:shd w:val="clear" w:color="auto" w:fill="auto"/>
                <w:lang w:val="en-US" w:eastAsia="zh-CN"/>
              </w:rPr>
              <w:t>1台</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14:paraId="062AF834">
            <w:pPr>
              <w:jc w:val="center"/>
              <w:textAlignment w:val="auto"/>
              <w:rPr>
                <w:rFonts w:hint="default" w:ascii="宋体" w:hAnsi="宋体" w:eastAsia="宋体" w:cs="宋体"/>
                <w:snapToGrid w:val="0"/>
                <w:color w:val="auto"/>
                <w:kern w:val="0"/>
                <w:sz w:val="21"/>
                <w:szCs w:val="21"/>
                <w:highlight w:val="none"/>
                <w:shd w:val="clear" w:color="auto" w:fill="auto"/>
                <w:lang w:val="en-US" w:eastAsia="en-US" w:bidi="ar-SA"/>
              </w:rPr>
            </w:pPr>
            <w:r>
              <w:rPr>
                <w:rStyle w:val="30"/>
                <w:rFonts w:hint="eastAsia" w:ascii="宋体" w:hAnsi="宋体" w:eastAsia="宋体" w:cs="宋体"/>
                <w:color w:val="auto"/>
                <w:sz w:val="21"/>
                <w:szCs w:val="21"/>
                <w:highlight w:val="none"/>
                <w:shd w:val="clear" w:color="auto" w:fill="auto"/>
                <w:lang w:val="en-US" w:eastAsia="zh-CN"/>
              </w:rPr>
              <w:t>160万元</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14:paraId="72B70D66">
            <w:pPr>
              <w:jc w:val="center"/>
              <w:textAlignment w:val="center"/>
              <w:rPr>
                <w:rFonts w:hint="eastAsia" w:ascii="宋体" w:hAnsi="宋体" w:eastAsia="Arial" w:cs="宋体"/>
                <w:snapToGrid w:val="0"/>
                <w:color w:val="auto"/>
                <w:kern w:val="0"/>
                <w:sz w:val="21"/>
                <w:szCs w:val="21"/>
                <w:highlight w:val="none"/>
                <w:shd w:val="clear" w:color="auto" w:fill="auto"/>
                <w:lang w:val="en-US" w:eastAsia="en-US" w:bidi="ar"/>
              </w:rPr>
            </w:pPr>
            <w:r>
              <w:rPr>
                <w:rFonts w:hint="eastAsia" w:ascii="宋体" w:hAnsi="宋体" w:eastAsia="宋体" w:cs="宋体"/>
                <w:color w:val="auto"/>
                <w:sz w:val="21"/>
                <w:szCs w:val="21"/>
                <w:highlight w:val="none"/>
                <w:shd w:val="clear" w:color="auto" w:fill="auto"/>
                <w:lang w:val="en-US" w:eastAsia="zh-CN" w:bidi="ar"/>
              </w:rPr>
              <w:t>三</w:t>
            </w:r>
            <w:r>
              <w:rPr>
                <w:rFonts w:hint="eastAsia" w:ascii="宋体" w:hAnsi="宋体" w:cs="宋体"/>
                <w:color w:val="auto"/>
                <w:sz w:val="21"/>
                <w:szCs w:val="21"/>
                <w:highlight w:val="none"/>
                <w:shd w:val="clear" w:color="auto" w:fill="auto"/>
                <w:lang w:bidi="ar"/>
              </w:rPr>
              <w:t>年</w:t>
            </w:r>
          </w:p>
        </w:tc>
      </w:tr>
      <w:tr w14:paraId="08B87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68" w:type="pct"/>
            <w:tcBorders>
              <w:top w:val="single" w:color="auto" w:sz="4" w:space="0"/>
              <w:left w:val="single" w:color="auto" w:sz="4" w:space="0"/>
              <w:bottom w:val="single" w:color="auto" w:sz="4" w:space="0"/>
              <w:right w:val="single" w:color="auto" w:sz="4" w:space="0"/>
            </w:tcBorders>
            <w:vAlign w:val="center"/>
          </w:tcPr>
          <w:p w14:paraId="6BEEFFE0">
            <w:pPr>
              <w:jc w:val="center"/>
              <w:textAlignment w:val="auto"/>
              <w:rPr>
                <w:rStyle w:val="30"/>
                <w:rFonts w:hint="eastAsia" w:ascii="宋体" w:hAnsi="宋体" w:eastAsia="宋体" w:cs="宋体"/>
                <w:color w:val="auto"/>
                <w:sz w:val="21"/>
                <w:szCs w:val="21"/>
                <w:highlight w:val="none"/>
                <w:shd w:val="clear" w:color="auto" w:fill="auto"/>
                <w:lang w:val="en-US" w:eastAsia="zh-CN"/>
              </w:rPr>
            </w:pPr>
            <w:r>
              <w:rPr>
                <w:rStyle w:val="30"/>
                <w:rFonts w:hint="eastAsia" w:ascii="宋体" w:hAnsi="宋体" w:cs="宋体"/>
                <w:color w:val="auto"/>
                <w:sz w:val="21"/>
                <w:szCs w:val="21"/>
                <w:highlight w:val="none"/>
                <w:shd w:val="clear" w:color="auto" w:fill="auto"/>
              </w:rPr>
              <w:t>ZYGJ-CZHW-2508/</w:t>
            </w:r>
            <w:r>
              <w:rPr>
                <w:rFonts w:hint="eastAsia" w:ascii="宋体" w:hAnsi="宋体" w:cs="宋体"/>
                <w:color w:val="auto"/>
                <w:sz w:val="21"/>
                <w:szCs w:val="21"/>
                <w:highlight w:val="none"/>
                <w:shd w:val="clear" w:color="auto" w:fill="auto"/>
              </w:rPr>
              <w:t>0</w:t>
            </w:r>
            <w:r>
              <w:rPr>
                <w:rFonts w:hint="eastAsia" w:ascii="宋体" w:hAnsi="宋体" w:eastAsia="宋体" w:cs="宋体"/>
                <w:color w:val="auto"/>
                <w:sz w:val="21"/>
                <w:szCs w:val="21"/>
                <w:highlight w:val="none"/>
                <w:shd w:val="clear" w:color="auto" w:fill="auto"/>
                <w:lang w:val="en-US" w:eastAsia="zh-CN"/>
              </w:rPr>
              <w:t>2</w:t>
            </w:r>
          </w:p>
        </w:tc>
        <w:tc>
          <w:tcPr>
            <w:tcW w:w="1695" w:type="pct"/>
            <w:tcBorders>
              <w:top w:val="single" w:color="auto" w:sz="4" w:space="0"/>
              <w:left w:val="single" w:color="auto" w:sz="4" w:space="0"/>
              <w:bottom w:val="single" w:color="auto" w:sz="4" w:space="0"/>
              <w:right w:val="single" w:color="auto" w:sz="4" w:space="0"/>
            </w:tcBorders>
            <w:shd w:val="clear" w:color="auto" w:fill="auto"/>
            <w:vAlign w:val="center"/>
          </w:tcPr>
          <w:p w14:paraId="696F5FE4">
            <w:pPr>
              <w:jc w:val="center"/>
              <w:textAlignment w:val="center"/>
              <w:rPr>
                <w:rFonts w:hint="default" w:ascii="宋体" w:hAnsi="宋体" w:eastAsia="宋体" w:cs="宋体"/>
                <w:snapToGrid w:val="0"/>
                <w:color w:val="auto"/>
                <w:kern w:val="0"/>
                <w:sz w:val="21"/>
                <w:szCs w:val="21"/>
                <w:highlight w:val="none"/>
                <w:shd w:val="clear" w:color="auto" w:fill="auto"/>
                <w:lang w:val="en-US" w:eastAsia="zh-CN" w:bidi="ar"/>
              </w:rPr>
            </w:pPr>
            <w:r>
              <w:rPr>
                <w:rFonts w:hint="eastAsia" w:ascii="宋体" w:hAnsi="宋体" w:eastAsia="宋体" w:cs="宋体"/>
                <w:color w:val="auto"/>
                <w:sz w:val="21"/>
                <w:szCs w:val="21"/>
                <w:highlight w:val="none"/>
                <w:shd w:val="clear" w:color="auto" w:fill="auto"/>
                <w:lang w:val="en-US" w:eastAsia="zh-CN" w:bidi="ar"/>
              </w:rPr>
              <w:t>3D腹腔镜</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14:paraId="300A4C76">
            <w:pPr>
              <w:jc w:val="center"/>
              <w:textAlignment w:val="auto"/>
              <w:rPr>
                <w:rFonts w:hint="eastAsia" w:ascii="宋体" w:hAnsi="宋体" w:eastAsia="宋体" w:cs="宋体"/>
                <w:snapToGrid w:val="0"/>
                <w:color w:val="auto"/>
                <w:kern w:val="0"/>
                <w:sz w:val="21"/>
                <w:szCs w:val="21"/>
                <w:highlight w:val="none"/>
                <w:shd w:val="clear" w:color="auto" w:fill="auto"/>
                <w:lang w:val="en-US" w:eastAsia="zh-CN" w:bidi="ar-SA"/>
              </w:rPr>
            </w:pPr>
            <w:r>
              <w:rPr>
                <w:rStyle w:val="30"/>
                <w:rFonts w:hint="eastAsia" w:ascii="宋体" w:hAnsi="宋体" w:eastAsia="宋体" w:cs="宋体"/>
                <w:color w:val="auto"/>
                <w:sz w:val="21"/>
                <w:szCs w:val="21"/>
                <w:highlight w:val="none"/>
                <w:shd w:val="clear" w:color="auto" w:fill="auto"/>
                <w:lang w:val="en-US" w:eastAsia="zh-CN"/>
              </w:rPr>
              <w:t>1台</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14:paraId="62E446AC">
            <w:pPr>
              <w:jc w:val="center"/>
              <w:textAlignment w:val="auto"/>
              <w:rPr>
                <w:rFonts w:hint="default" w:ascii="宋体" w:hAnsi="宋体" w:eastAsia="Arial" w:cs="宋体"/>
                <w:snapToGrid w:val="0"/>
                <w:color w:val="auto"/>
                <w:kern w:val="0"/>
                <w:sz w:val="21"/>
                <w:szCs w:val="21"/>
                <w:highlight w:val="none"/>
                <w:shd w:val="clear" w:color="auto" w:fill="auto"/>
                <w:lang w:val="en-US" w:eastAsia="zh-CN" w:bidi="ar-SA"/>
              </w:rPr>
            </w:pPr>
            <w:r>
              <w:rPr>
                <w:rStyle w:val="30"/>
                <w:rFonts w:hint="eastAsia" w:ascii="宋体" w:hAnsi="宋体" w:eastAsia="宋体" w:cs="宋体"/>
                <w:color w:val="auto"/>
                <w:sz w:val="21"/>
                <w:szCs w:val="21"/>
                <w:highlight w:val="none"/>
                <w:shd w:val="clear" w:color="auto" w:fill="auto"/>
                <w:lang w:val="en-US" w:eastAsia="zh-CN"/>
              </w:rPr>
              <w:t>220</w:t>
            </w:r>
            <w:r>
              <w:rPr>
                <w:rStyle w:val="30"/>
                <w:rFonts w:hint="eastAsia" w:ascii="宋体" w:hAnsi="宋体" w:cs="宋体"/>
                <w:color w:val="auto"/>
                <w:sz w:val="21"/>
                <w:szCs w:val="21"/>
                <w:highlight w:val="none"/>
                <w:shd w:val="clear" w:color="auto" w:fill="auto"/>
              </w:rPr>
              <w:t>万元</w:t>
            </w:r>
          </w:p>
        </w:tc>
        <w:tc>
          <w:tcPr>
            <w:tcW w:w="724" w:type="pct"/>
            <w:tcBorders>
              <w:top w:val="single" w:color="auto" w:sz="4" w:space="0"/>
              <w:left w:val="single" w:color="auto" w:sz="4" w:space="0"/>
              <w:bottom w:val="single" w:color="auto" w:sz="4" w:space="0"/>
              <w:right w:val="single" w:color="auto" w:sz="4" w:space="0"/>
            </w:tcBorders>
            <w:shd w:val="clear" w:color="auto" w:fill="auto"/>
            <w:vAlign w:val="center"/>
          </w:tcPr>
          <w:p w14:paraId="0687F0E7">
            <w:pPr>
              <w:jc w:val="center"/>
              <w:textAlignment w:val="center"/>
              <w:rPr>
                <w:rFonts w:hint="eastAsia" w:ascii="宋体" w:hAnsi="宋体" w:eastAsia="Arial" w:cs="宋体"/>
                <w:snapToGrid w:val="0"/>
                <w:color w:val="auto"/>
                <w:kern w:val="0"/>
                <w:sz w:val="21"/>
                <w:szCs w:val="21"/>
                <w:highlight w:val="none"/>
                <w:shd w:val="clear" w:color="auto" w:fill="auto"/>
                <w:lang w:val="en-US" w:eastAsia="zh-CN" w:bidi="ar"/>
              </w:rPr>
            </w:pPr>
            <w:r>
              <w:rPr>
                <w:rFonts w:hint="eastAsia" w:ascii="宋体" w:hAnsi="宋体" w:eastAsia="宋体" w:cs="宋体"/>
                <w:color w:val="auto"/>
                <w:sz w:val="21"/>
                <w:szCs w:val="21"/>
                <w:highlight w:val="none"/>
                <w:shd w:val="clear" w:color="auto" w:fill="auto"/>
                <w:lang w:val="en-US" w:eastAsia="zh-CN" w:bidi="ar"/>
              </w:rPr>
              <w:t>三</w:t>
            </w:r>
            <w:r>
              <w:rPr>
                <w:rFonts w:hint="eastAsia" w:ascii="宋体" w:hAnsi="宋体" w:cs="宋体"/>
                <w:color w:val="auto"/>
                <w:sz w:val="21"/>
                <w:szCs w:val="21"/>
                <w:highlight w:val="none"/>
                <w:shd w:val="clear" w:color="auto" w:fill="auto"/>
                <w:lang w:bidi="ar"/>
              </w:rPr>
              <w:t>年</w:t>
            </w:r>
          </w:p>
        </w:tc>
      </w:tr>
    </w:tbl>
    <w:p w14:paraId="2A7D2898">
      <w:pPr>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5E346F1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6E829E1F">
      <w:pPr>
        <w:bidi w:val="0"/>
        <w:spacing w:line="360" w:lineRule="auto"/>
        <w:ind w:firstLine="240" w:firstLineChars="1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.满足《中华人民共和国政府采购法》第二十二条规定：</w:t>
      </w:r>
    </w:p>
    <w:p w14:paraId="207C8D84">
      <w:pPr>
        <w:bidi w:val="0"/>
        <w:spacing w:line="360" w:lineRule="auto"/>
        <w:ind w:firstLine="240" w:firstLineChars="1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（1）具有独立承担民事责任的能力,具备有效的营业执照；</w:t>
      </w:r>
    </w:p>
    <w:p w14:paraId="1B57F7CF">
      <w:pPr>
        <w:bidi w:val="0"/>
        <w:spacing w:line="360" w:lineRule="auto"/>
        <w:ind w:firstLine="240" w:firstLineChars="1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（2）具有良好的商业信誉和健全的财务会计制度（提供资格条件承诺函）；</w:t>
      </w:r>
    </w:p>
    <w:p w14:paraId="1E2B01AE">
      <w:pPr>
        <w:bidi w:val="0"/>
        <w:spacing w:line="360" w:lineRule="auto"/>
        <w:ind w:firstLine="240" w:firstLineChars="1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（3）具有依法缴纳税收和社会保障资金的良好记录（提供资格条件承诺函）；</w:t>
      </w:r>
    </w:p>
    <w:p w14:paraId="232DCB6B">
      <w:pPr>
        <w:bidi w:val="0"/>
        <w:spacing w:line="360" w:lineRule="auto"/>
        <w:ind w:firstLine="240" w:firstLineChars="1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（4）具有履行合同所必需的设备和专业技术能力；</w:t>
      </w:r>
    </w:p>
    <w:p w14:paraId="010A649B">
      <w:pPr>
        <w:bidi w:val="0"/>
        <w:spacing w:line="360" w:lineRule="auto"/>
        <w:ind w:firstLine="240" w:firstLineChars="1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（5）参加政府采购活动前三年内，在经营活动中没有重大违法记录；</w:t>
      </w:r>
    </w:p>
    <w:p w14:paraId="617E07AB">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（6）法律、行政法规规定的其他条件。</w:t>
      </w:r>
    </w:p>
    <w:p w14:paraId="32915D34">
      <w:pPr>
        <w:bidi w:val="0"/>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2.落实政府采购政策需满足的资格要求：本项目</w:t>
      </w:r>
      <w:r>
        <w:rPr>
          <w:rFonts w:hint="eastAsia" w:ascii="宋体" w:hAnsi="宋体" w:eastAsia="宋体" w:cs="宋体"/>
          <w:b/>
          <w:bCs/>
          <w:color w:val="auto"/>
          <w:sz w:val="24"/>
          <w:szCs w:val="24"/>
          <w:highlight w:val="none"/>
          <w:lang w:eastAsia="zh-CN"/>
        </w:rPr>
        <w:t>非</w:t>
      </w:r>
      <w:r>
        <w:rPr>
          <w:rFonts w:hint="eastAsia" w:ascii="宋体" w:hAnsi="宋体" w:eastAsia="宋体" w:cs="宋体"/>
          <w:b/>
          <w:bCs/>
          <w:color w:val="auto"/>
          <w:sz w:val="24"/>
          <w:szCs w:val="24"/>
          <w:highlight w:val="none"/>
        </w:rPr>
        <w:t>专门</w:t>
      </w:r>
      <w:r>
        <w:rPr>
          <w:rFonts w:hint="eastAsia" w:ascii="宋体" w:hAnsi="宋体" w:eastAsia="宋体" w:cs="宋体"/>
          <w:color w:val="auto"/>
          <w:sz w:val="24"/>
          <w:szCs w:val="24"/>
          <w:highlight w:val="none"/>
        </w:rPr>
        <w:t>面向中小企业采购</w:t>
      </w:r>
      <w:r>
        <w:rPr>
          <w:rFonts w:hint="eastAsia" w:ascii="宋体" w:hAnsi="宋体" w:eastAsia="宋体" w:cs="宋体"/>
          <w:color w:val="auto"/>
          <w:sz w:val="24"/>
          <w:szCs w:val="24"/>
          <w:highlight w:val="none"/>
          <w:lang w:eastAsia="zh-CN"/>
        </w:rPr>
        <w:t>；</w:t>
      </w:r>
    </w:p>
    <w:p w14:paraId="54FCDBFB">
      <w:pPr>
        <w:snapToGrid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eastAsia="宋体" w:cs="宋体"/>
          <w:color w:val="auto"/>
          <w:sz w:val="24"/>
          <w:szCs w:val="24"/>
          <w:highlight w:val="none"/>
        </w:rPr>
        <w:t>3.本项目的特定资格</w:t>
      </w:r>
      <w:r>
        <w:rPr>
          <w:rFonts w:hint="eastAsia" w:ascii="宋体" w:hAnsi="宋体" w:eastAsia="宋体" w:cs="宋体"/>
          <w:color w:val="auto"/>
          <w:kern w:val="0"/>
          <w:sz w:val="24"/>
          <w:szCs w:val="24"/>
          <w:highlight w:val="none"/>
          <w:lang w:val="zh-TW" w:eastAsia="zh-TW"/>
        </w:rPr>
        <w:t>要求：</w:t>
      </w:r>
      <w:r>
        <w:rPr>
          <w:rFonts w:hint="eastAsia" w:ascii="宋体" w:hAnsi="宋体" w:cs="宋体"/>
          <w:color w:val="auto"/>
          <w:sz w:val="24"/>
          <w:szCs w:val="24"/>
          <w:highlight w:val="none"/>
          <w:shd w:val="clear" w:color="auto" w:fill="auto"/>
        </w:rPr>
        <w:t>（1）投标人为生产企业，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03901862">
      <w:pPr>
        <w:snapToGrid w:val="0"/>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 xml:space="preserve">（2）投标人为经营企业，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 </w:t>
      </w:r>
    </w:p>
    <w:p w14:paraId="7D7699ED">
      <w:pPr>
        <w:bidi w:val="0"/>
        <w:spacing w:line="360" w:lineRule="auto"/>
        <w:ind w:firstLine="240" w:firstLineChars="100"/>
        <w:outlineLvl w:val="9"/>
        <w:rPr>
          <w:color w:val="auto"/>
          <w:highlight w:val="none"/>
        </w:rPr>
      </w:pPr>
      <w:r>
        <w:rPr>
          <w:rFonts w:hint="eastAsia" w:ascii="宋体" w:hAnsi="宋体" w:cs="宋体"/>
          <w:color w:val="auto"/>
          <w:sz w:val="24"/>
          <w:szCs w:val="24"/>
          <w:highlight w:val="none"/>
          <w:shd w:val="clear" w:color="auto" w:fill="auto"/>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5F90B0F8">
      <w:pPr>
        <w:bidi w:val="0"/>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4.信誉要求：（1）拒绝列入政府取消投标资格记录期间的企业或个人投标。</w:t>
      </w:r>
    </w:p>
    <w:p w14:paraId="3BD4D7A8">
      <w:pPr>
        <w:bidi w:val="0"/>
        <w:spacing w:line="360" w:lineRule="auto"/>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p w14:paraId="3FA096BF">
      <w:pPr>
        <w:bidi w:val="0"/>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与采购人存在利害关系可能影响采购公正性的法人、其它组织或者个人，不得参加投标；单位负责人为同一人或者存在直接控股、管理关系的不同供应商，不得参加同一合同项下的政府采购活动。否则相关投标无效</w:t>
      </w:r>
      <w:r>
        <w:rPr>
          <w:rFonts w:hint="eastAsia" w:ascii="宋体" w:hAnsi="宋体" w:eastAsia="宋体" w:cs="宋体"/>
          <w:color w:val="auto"/>
          <w:sz w:val="24"/>
          <w:szCs w:val="24"/>
          <w:highlight w:val="none"/>
          <w:lang w:eastAsia="zh-CN"/>
        </w:rPr>
        <w:t>。</w:t>
      </w:r>
    </w:p>
    <w:p w14:paraId="6B925D5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14403DDD">
      <w:pPr>
        <w:bidi w:val="0"/>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w:t>
      </w:r>
      <w:r>
        <w:rPr>
          <w:rFonts w:hint="eastAsia" w:ascii="宋体" w:hAnsi="宋体" w:eastAsia="宋体" w:cs="宋体"/>
          <w:color w:val="auto"/>
          <w:sz w:val="24"/>
          <w:szCs w:val="24"/>
          <w:highlight w:val="none"/>
          <w:lang w:val="en-US" w:eastAsia="zh-CN"/>
        </w:rPr>
        <w:t>2025年01月13日至2025年01月20日</w:t>
      </w:r>
      <w:r>
        <w:rPr>
          <w:rFonts w:hint="eastAsia" w:ascii="宋体" w:hAnsi="宋体" w:eastAsia="宋体" w:cs="宋体"/>
          <w:color w:val="auto"/>
          <w:sz w:val="24"/>
          <w:szCs w:val="24"/>
          <w:highlight w:val="none"/>
          <w:lang w:val="en-US" w:eastAsia="zh-CN"/>
        </w:rPr>
        <w:t>（每天08时30分至16时00分止）</w:t>
      </w:r>
    </w:p>
    <w:p w14:paraId="5BA9BEFB">
      <w:pPr>
        <w:bidi w:val="0"/>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2.地点：政采云平台（</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"https://www.zcygov.cn/"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https://www.zcygov.cn/</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w:t>
      </w:r>
    </w:p>
    <w:p w14:paraId="1C5C4D68">
      <w:pPr>
        <w:bidi w:val="0"/>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3.方式：网上免费获取；</w:t>
      </w:r>
    </w:p>
    <w:p w14:paraId="743331B9">
      <w:pPr>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潜在供应商自行登录政府采购云平台（网址：http://www.zcygov.cn）注册（https://middle.zcygov.cn/v-settle-front/registry）并下载</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文件（操作路径：登录“政采云”平台-项目采购-获取</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文件-找到本项目-点击“申请获取</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文件”），电子</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文件制作需要基于“政采云”平台获取的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文件采购需求编制，其他途径获取的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文件开标时一律按无效投标处理。</w:t>
      </w:r>
    </w:p>
    <w:p w14:paraId="3FDEF84F">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3.4售价：0元。</w:t>
      </w:r>
    </w:p>
    <w:p w14:paraId="0719363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四、提交投标文件截止时间、开标时间和地点</w:t>
      </w:r>
    </w:p>
    <w:p w14:paraId="1CE92B31">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4.1提交投标文件截止时间、开标时间：</w:t>
      </w:r>
      <w:r>
        <w:rPr>
          <w:rFonts w:hint="eastAsia" w:ascii="宋体" w:hAnsi="宋体" w:eastAsia="宋体" w:cs="宋体"/>
          <w:color w:val="auto"/>
          <w:sz w:val="24"/>
          <w:szCs w:val="32"/>
          <w:highlight w:val="none"/>
          <w:lang w:eastAsia="zh-CN"/>
        </w:rPr>
        <w:t>202</w:t>
      </w: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lang w:eastAsia="zh-CN"/>
        </w:rPr>
        <w:t>年</w:t>
      </w:r>
      <w:r>
        <w:rPr>
          <w:rFonts w:hint="eastAsia" w:ascii="宋体" w:hAnsi="宋体" w:eastAsia="宋体" w:cs="宋体"/>
          <w:color w:val="auto"/>
          <w:sz w:val="24"/>
          <w:szCs w:val="32"/>
          <w:highlight w:val="none"/>
          <w:lang w:val="en-US" w:eastAsia="zh-CN"/>
        </w:rPr>
        <w:t>02</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rPr>
        <w:t>日</w:t>
      </w:r>
      <w:r>
        <w:rPr>
          <w:rFonts w:hint="eastAsia" w:ascii="宋体" w:hAnsi="宋体" w:eastAsia="宋体" w:cs="宋体"/>
          <w:color w:val="auto"/>
          <w:sz w:val="24"/>
          <w:szCs w:val="24"/>
          <w:highlight w:val="none"/>
          <w:shd w:val="clear" w:color="auto" w:fill="auto"/>
          <w:lang w:val="en-US" w:eastAsia="zh-CN"/>
        </w:rPr>
        <w:t>09</w:t>
      </w:r>
      <w:r>
        <w:rPr>
          <w:rFonts w:hint="eastAsia" w:ascii="宋体" w:hAnsi="宋体" w:eastAsia="宋体" w:cs="宋体"/>
          <w:color w:val="auto"/>
          <w:sz w:val="24"/>
          <w:szCs w:val="24"/>
          <w:highlight w:val="none"/>
          <w:shd w:val="clear" w:color="auto" w:fill="auto"/>
        </w:rPr>
        <w:t>点</w:t>
      </w:r>
      <w:r>
        <w:rPr>
          <w:rFonts w:hint="eastAsia" w:ascii="宋体" w:hAnsi="宋体" w:eastAsia="宋体" w:cs="宋体"/>
          <w:color w:val="auto"/>
          <w:sz w:val="24"/>
          <w:szCs w:val="24"/>
          <w:highlight w:val="none"/>
          <w:shd w:val="clear" w:color="auto" w:fill="auto"/>
          <w:lang w:val="en-US" w:eastAsia="zh-CN"/>
        </w:rPr>
        <w:t>00</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rPr>
        <w:t>（北京时间）（北京时间）</w:t>
      </w:r>
    </w:p>
    <w:p w14:paraId="0A1D2940">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4.2地点：政采云平台（https://www.zcygov.cn/）。</w:t>
      </w:r>
    </w:p>
    <w:p w14:paraId="53199359">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4.3投标文件的提交方式：本项目为全流程电子化项目，通过政采云平台（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14:paraId="706B9239">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4.4开标地点：长春市二道区洋浦大街6999号凯利中心AB栋101</w:t>
      </w:r>
      <w:r>
        <w:rPr>
          <w:rFonts w:hint="eastAsia" w:ascii="宋体" w:hAnsi="宋体" w:eastAsia="宋体" w:cs="宋体"/>
          <w:color w:val="auto"/>
          <w:sz w:val="24"/>
          <w:szCs w:val="24"/>
          <w:highlight w:val="none"/>
          <w:shd w:val="clear" w:color="auto" w:fill="auto"/>
        </w:rPr>
        <w:t>开标</w:t>
      </w:r>
      <w:r>
        <w:rPr>
          <w:rFonts w:hint="eastAsia" w:ascii="宋体" w:hAnsi="宋体" w:eastAsia="宋体" w:cs="宋体"/>
          <w:color w:val="auto"/>
          <w:sz w:val="24"/>
          <w:szCs w:val="24"/>
          <w:highlight w:val="none"/>
          <w:shd w:val="clear" w:color="auto" w:fill="auto"/>
          <w:lang w:val="en-US" w:eastAsia="zh-CN"/>
        </w:rPr>
        <w:t>二</w:t>
      </w:r>
      <w:r>
        <w:rPr>
          <w:rFonts w:hint="eastAsia" w:ascii="宋体" w:hAnsi="宋体" w:eastAsia="宋体" w:cs="宋体"/>
          <w:color w:val="auto"/>
          <w:sz w:val="24"/>
          <w:szCs w:val="24"/>
          <w:highlight w:val="none"/>
          <w:shd w:val="clear" w:color="auto" w:fill="auto"/>
        </w:rPr>
        <w:t>室</w:t>
      </w:r>
      <w:r>
        <w:rPr>
          <w:rFonts w:hint="eastAsia" w:ascii="宋体" w:hAnsi="宋体" w:eastAsia="宋体" w:cs="宋体"/>
          <w:color w:val="auto"/>
          <w:sz w:val="24"/>
          <w:szCs w:val="24"/>
          <w:highlight w:val="none"/>
        </w:rPr>
        <w:t>。</w:t>
      </w:r>
    </w:p>
    <w:p w14:paraId="021676C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14:paraId="4B69D065">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1E4C85E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0ADD5D86">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公</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媒介</w:t>
      </w:r>
      <w:r>
        <w:rPr>
          <w:rFonts w:hint="eastAsia" w:ascii="宋体" w:hAnsi="宋体" w:eastAsia="宋体" w:cs="宋体"/>
          <w:color w:val="auto"/>
          <w:sz w:val="24"/>
          <w:szCs w:val="24"/>
          <w:highlight w:val="none"/>
          <w:lang w:eastAsia="zh-CN"/>
        </w:rPr>
        <w:t>：本次招标公告在“政采云”平台（http://www.zcygov.cn）（同步推送到中国政府采购网、吉林省政府采购网）上发布。</w:t>
      </w:r>
    </w:p>
    <w:p w14:paraId="4C278F13">
      <w:pPr>
        <w:bidi w:val="0"/>
        <w:spacing w:line="360" w:lineRule="auto"/>
        <w:ind w:firstLine="240" w:firstLineChars="1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rPr>
        <w:t>采购项目需要落实的政府采购政策：《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关于调整优化节能产品、环境标志产品政府采购执行机制的通知》(财库〔2019〕9号)等</w:t>
      </w:r>
      <w:r>
        <w:rPr>
          <w:rFonts w:hint="eastAsia" w:ascii="宋体" w:hAnsi="宋体" w:eastAsia="宋体" w:cs="宋体"/>
          <w:color w:val="auto"/>
          <w:sz w:val="24"/>
          <w:szCs w:val="24"/>
          <w:highlight w:val="none"/>
          <w:lang w:eastAsia="zh-CN"/>
        </w:rPr>
        <w:t>最新政策</w:t>
      </w:r>
      <w:r>
        <w:rPr>
          <w:rFonts w:hint="eastAsia" w:ascii="宋体" w:hAnsi="宋体" w:eastAsia="宋体" w:cs="宋体"/>
          <w:color w:val="auto"/>
          <w:sz w:val="24"/>
          <w:szCs w:val="24"/>
          <w:highlight w:val="none"/>
        </w:rPr>
        <w:t>。</w:t>
      </w:r>
    </w:p>
    <w:p w14:paraId="36A85701">
      <w:pPr>
        <w:bidi w:val="0"/>
        <w:spacing w:line="360" w:lineRule="auto"/>
        <w:ind w:firstLine="240" w:firstLineChars="1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3政采云平台相关流程：</w:t>
      </w:r>
    </w:p>
    <w:p w14:paraId="50A9DE13">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（1）投标人在电子化平台参与政府采购项目前，应在电子化平台完成信息注册（如已注册长春市政府采购电子商城则无需重复注册），注册链接：</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"https://middle.zcygov.cn/v-settle-front/registry"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https://middle.zcygov.cn/v-settle-front/registry</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，政采云平台客服热线：95763；</w:t>
      </w:r>
    </w:p>
    <w:p w14:paraId="172CA39A">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（2）政采云投标客户端及CA驱动下载地址：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"https://customer.zcygov.cn/CA-driver-download?utm=web-login-front.52cebfa2.0"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https://customer.zcygov.cn/CA-driver-download?utm=web-login-front.52cebfa2.0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.0.04df4040034511edaac705fda12edb43；</w:t>
      </w:r>
    </w:p>
    <w:p w14:paraId="00CDC32E">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（3）CA数字证书申请流程链接：</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"http://www.anxinca.com/kehu/zcy/kh-zcy-zsshenqing.html"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http://www.anxinca.com/kehu/zcy/kh-zcy-zsshenqing.html</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，未进行政采云注册并办理数字证书（CA认证）的投标人将无法参与本项目政府采购活动，潜在投标人应当在投标 截止时间前，完成政采云平台上的CA数字证书办理及投标文件的提交。投标人须自行考虑办理时间，由于投标人自身原因导致无法完成办理的，后果自负；</w:t>
      </w:r>
    </w:p>
    <w:p w14:paraId="557569AF">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（4）为确保网上操作合法、有效和安全，请投标人确保在电子响应过程中能够对相 关数据电文进行加密和使用电子签章，妥善保管CA数字证书并使用有效的CA数字证书参与整个采购活动；</w:t>
      </w:r>
    </w:p>
    <w:p w14:paraId="570DAC1C">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（5）若对项目采购电子交易系统操作有疑问，可登录政采云平台，点击右侧咨询小采获取采小蜜智能服务管家帮助或点击右侧帮助文档查看投标人指南或拨打政采云服务热线95763获取热线服务帮助。</w:t>
      </w:r>
    </w:p>
    <w:p w14:paraId="33D704CF">
      <w:pPr>
        <w:bidi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七、对本次招标提出询问，请按以下方式联系。</w:t>
      </w:r>
    </w:p>
    <w:p w14:paraId="63C3B606">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采购人信息</w:t>
      </w:r>
    </w:p>
    <w:p w14:paraId="426F2779">
      <w:pPr>
        <w:bidi w:val="0"/>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采购人：长春中医药大学附属第四临床医院（长春市人民医院）</w:t>
      </w:r>
    </w:p>
    <w:p w14:paraId="6CE856E9">
      <w:pPr>
        <w:bidi w:val="0"/>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吉林省长春市宽城区南京大街728号</w:t>
      </w:r>
    </w:p>
    <w:p w14:paraId="04E7B936">
      <w:pPr>
        <w:bidi w:val="0"/>
        <w:spacing w:line="360" w:lineRule="auto"/>
        <w:ind w:firstLine="480" w:firstLineChars="200"/>
        <w:outlineLvl w:val="9"/>
        <w:rPr>
          <w:rStyle w:val="30"/>
          <w:rFonts w:hint="eastAsia" w:ascii="宋体" w:hAnsi="宋体" w:eastAsia="宋体" w:cs="宋体"/>
          <w:bCs/>
          <w:color w:val="auto"/>
          <w:sz w:val="24"/>
          <w:szCs w:val="24"/>
          <w:highlight w:val="none"/>
          <w:lang w:val="en-US" w:eastAsia="zh-CN"/>
        </w:rPr>
      </w:pPr>
      <w:r>
        <w:rPr>
          <w:rStyle w:val="30"/>
          <w:rFonts w:hint="eastAsia" w:ascii="宋体" w:hAnsi="宋体" w:eastAsia="宋体" w:cs="宋体"/>
          <w:bCs/>
          <w:color w:val="auto"/>
          <w:sz w:val="24"/>
          <w:szCs w:val="24"/>
          <w:highlight w:val="none"/>
          <w:lang w:val="en-US" w:eastAsia="zh-CN"/>
        </w:rPr>
        <w:t>联系人：汤浩</w:t>
      </w:r>
    </w:p>
    <w:p w14:paraId="60875A61">
      <w:pPr>
        <w:bidi w:val="0"/>
        <w:spacing w:line="360" w:lineRule="auto"/>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联系电话：0431-86097414</w:t>
      </w:r>
    </w:p>
    <w:p w14:paraId="55750FE0">
      <w:pPr>
        <w:bidi w:val="0"/>
        <w:spacing w:line="360" w:lineRule="auto"/>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采购代理机构信息</w:t>
      </w:r>
    </w:p>
    <w:p w14:paraId="1F72408D">
      <w:pPr>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eastAsia="zh-CN"/>
        </w:rPr>
        <w:t>中峪国际项目管理有限公司</w:t>
      </w:r>
    </w:p>
    <w:p w14:paraId="4F396967">
      <w:pPr>
        <w:bidi w:val="0"/>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长春市浦东路12号虹湾国际A座15层</w:t>
      </w:r>
    </w:p>
    <w:p w14:paraId="62646002">
      <w:pPr>
        <w:bidi w:val="0"/>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项目联系人：刘诗杭18186837075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办公电话</w:t>
      </w:r>
      <w:r>
        <w:rPr>
          <w:rFonts w:hint="eastAsia" w:ascii="宋体" w:hAnsi="宋体" w:eastAsia="宋体" w:cs="宋体"/>
          <w:color w:val="auto"/>
          <w:sz w:val="24"/>
          <w:szCs w:val="24"/>
          <w:highlight w:val="none"/>
          <w:lang w:eastAsia="zh-CN"/>
        </w:rPr>
        <w:t>）</w:t>
      </w:r>
    </w:p>
    <w:p w14:paraId="372EBBD9">
      <w:pPr>
        <w:bidi w:val="0"/>
        <w:spacing w:line="360" w:lineRule="auto"/>
        <w:ind w:firstLine="240" w:firstLineChars="1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14:paraId="3E9A23C8">
      <w:pPr>
        <w:bidi w:val="0"/>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项目联系人：刘诗杭</w:t>
      </w:r>
    </w:p>
    <w:p w14:paraId="5766D6EB">
      <w:pPr>
        <w:bidi w:val="0"/>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r>
        <w:rPr>
          <w:rStyle w:val="30"/>
          <w:rFonts w:hint="eastAsia" w:ascii="宋体" w:hAnsi="宋体" w:eastAsia="宋体" w:cs="宋体"/>
          <w:bCs/>
          <w:color w:val="auto"/>
          <w:sz w:val="24"/>
          <w:szCs w:val="24"/>
          <w:highlight w:val="none"/>
          <w:lang w:val="en-US" w:eastAsia="zh-CN"/>
        </w:rPr>
        <w:t>18186837075、18844133735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办公电话</w:t>
      </w:r>
      <w:r>
        <w:rPr>
          <w:rFonts w:hint="eastAsia" w:ascii="宋体" w:hAnsi="宋体" w:eastAsia="宋体" w:cs="宋体"/>
          <w:color w:val="auto"/>
          <w:sz w:val="24"/>
          <w:szCs w:val="24"/>
          <w:highlight w:val="none"/>
          <w:lang w:eastAsia="zh-CN"/>
        </w:rPr>
        <w:t>）</w:t>
      </w:r>
    </w:p>
    <w:p w14:paraId="3DF4B5A4">
      <w:pPr>
        <w:bidi w:val="0"/>
        <w:ind w:left="479" w:leftChars="228" w:firstLine="0" w:firstLineChars="0"/>
        <w:outlineLvl w:val="9"/>
        <w:rPr>
          <w:rFonts w:hint="eastAsia" w:ascii="宋体" w:hAnsi="宋体" w:eastAsia="宋体" w:cs="宋体"/>
          <w:color w:val="auto"/>
          <w:sz w:val="24"/>
          <w:szCs w:val="24"/>
          <w:highlight w:val="none"/>
          <w:lang w:val="en-US" w:eastAsia="zh-CN"/>
        </w:rPr>
      </w:pPr>
    </w:p>
    <w:p w14:paraId="5BD67EDF">
      <w:pPr>
        <w:outlineLvl w:val="9"/>
        <w:rPr>
          <w:rFonts w:hint="eastAsia" w:ascii="宋体" w:hAnsi="宋体" w:eastAsia="宋体" w:cs="宋体"/>
          <w:color w:val="auto"/>
          <w:spacing w:val="8"/>
          <w:sz w:val="35"/>
          <w:szCs w:val="35"/>
          <w:highlight w:val="none"/>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highlight w:val="none"/>
          <w14:textOutline w14:w="6537" w14:cap="sq" w14:cmpd="sng">
            <w14:solidFill>
              <w14:srgbClr w14:val="000000"/>
            </w14:solidFill>
            <w14:prstDash w14:val="solid"/>
            <w14:bevel/>
          </w14:textOutline>
        </w:rPr>
        <w:br w:type="page"/>
      </w:r>
    </w:p>
    <w:p w14:paraId="7D4299BC">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highlight w:val="none"/>
        </w:rPr>
      </w:pPr>
      <w:bookmarkStart w:id="27" w:name="_Toc23171"/>
      <w:bookmarkStart w:id="28" w:name="_Toc4106"/>
      <w:r>
        <w:rPr>
          <w:rFonts w:hint="eastAsia"/>
          <w:color w:val="auto"/>
          <w:sz w:val="32"/>
          <w:szCs w:val="22"/>
          <w:highlight w:val="none"/>
        </w:rPr>
        <w:t>第二章</w:t>
      </w:r>
      <w:r>
        <w:rPr>
          <w:rFonts w:hint="eastAsia"/>
          <w:color w:val="auto"/>
          <w:sz w:val="32"/>
          <w:szCs w:val="22"/>
          <w:highlight w:val="none"/>
          <w:lang w:val="en-US" w:eastAsia="zh-CN"/>
        </w:rPr>
        <w:t xml:space="preserve">  </w:t>
      </w:r>
      <w:r>
        <w:rPr>
          <w:rFonts w:hint="eastAsia"/>
          <w:color w:val="auto"/>
          <w:sz w:val="32"/>
          <w:szCs w:val="22"/>
          <w:highlight w:val="none"/>
        </w:rPr>
        <w:t xml:space="preserve"> 投标人须知</w:t>
      </w:r>
      <w:bookmarkEnd w:id="27"/>
      <w:bookmarkEnd w:id="28"/>
    </w:p>
    <w:p w14:paraId="4110879C">
      <w:pPr>
        <w:spacing w:before="254" w:line="221" w:lineRule="auto"/>
        <w:ind w:left="4050"/>
        <w:outlineLvl w:val="9"/>
        <w:rPr>
          <w:rFonts w:hint="eastAsia" w:ascii="宋体" w:hAnsi="宋体" w:eastAsia="宋体" w:cs="宋体"/>
          <w:color w:val="auto"/>
          <w:sz w:val="24"/>
          <w:szCs w:val="24"/>
          <w:highlight w:val="none"/>
        </w:rPr>
      </w:pPr>
      <w:bookmarkStart w:id="29" w:name="_Toc15682"/>
      <w:r>
        <w:rPr>
          <w:rFonts w:hint="eastAsia" w:ascii="宋体" w:hAnsi="宋体" w:eastAsia="宋体" w:cs="宋体"/>
          <w:color w:val="auto"/>
          <w:spacing w:val="-10"/>
          <w:sz w:val="24"/>
          <w:szCs w:val="24"/>
          <w:highlight w:val="none"/>
          <w14:textOutline w14:w="4358" w14:cap="sq" w14:cmpd="sng">
            <w14:solidFill>
              <w14:srgbClr w14:val="000000"/>
            </w14:solidFill>
            <w14:prstDash w14:val="solid"/>
            <w14:bevel/>
          </w14:textOutline>
        </w:rPr>
        <w:t>一</w:t>
      </w: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0"/>
          <w:sz w:val="24"/>
          <w:szCs w:val="24"/>
          <w:highlight w:val="none"/>
          <w14:textOutline w14:w="4358" w14:cap="sq" w14:cmpd="sng">
            <w14:solidFill>
              <w14:srgbClr w14:val="000000"/>
            </w14:solidFill>
            <w14:prstDash w14:val="solid"/>
            <w14:bevel/>
          </w14:textOutline>
        </w:rPr>
        <w:t>总</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10"/>
          <w:sz w:val="24"/>
          <w:szCs w:val="24"/>
          <w:highlight w:val="none"/>
          <w14:textOutline w14:w="4358" w14:cap="sq" w14:cmpd="sng">
            <w14:solidFill>
              <w14:srgbClr w14:val="000000"/>
            </w14:solidFill>
            <w14:prstDash w14:val="solid"/>
            <w14:bevel/>
          </w14:textOutline>
        </w:rPr>
        <w:t>则</w:t>
      </w:r>
      <w:bookmarkEnd w:id="29"/>
    </w:p>
    <w:p w14:paraId="4029DD54">
      <w:pPr>
        <w:spacing w:before="181" w:line="219" w:lineRule="auto"/>
        <w:outlineLvl w:val="9"/>
        <w:rPr>
          <w:rFonts w:hint="eastAsia" w:ascii="宋体" w:hAnsi="宋体" w:eastAsia="宋体" w:cs="宋体"/>
          <w:b/>
          <w:bCs/>
          <w:color w:val="auto"/>
          <w:spacing w:val="-2"/>
          <w:sz w:val="24"/>
          <w:szCs w:val="24"/>
          <w:highlight w:val="none"/>
          <w:lang w:eastAsia="zh-CN"/>
        </w:rPr>
      </w:pPr>
      <w:bookmarkStart w:id="30" w:name="_Toc20563"/>
      <w:r>
        <w:rPr>
          <w:rFonts w:hint="eastAsia" w:ascii="宋体" w:hAnsi="宋体" w:eastAsia="宋体" w:cs="宋体"/>
          <w:b/>
          <w:bCs/>
          <w:color w:val="auto"/>
          <w:spacing w:val="-2"/>
          <w:sz w:val="24"/>
          <w:szCs w:val="24"/>
          <w:highlight w:val="none"/>
          <w:lang w:eastAsia="zh-CN"/>
        </w:rPr>
        <w:t>1</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lang w:eastAsia="zh-CN"/>
        </w:rPr>
        <w:t>资金来源：</w:t>
      </w:r>
      <w:r>
        <w:rPr>
          <w:rFonts w:hint="eastAsia" w:ascii="宋体" w:hAnsi="宋体" w:eastAsia="宋体" w:cs="宋体"/>
          <w:b/>
          <w:bCs/>
          <w:color w:val="auto"/>
          <w:spacing w:val="-2"/>
          <w:sz w:val="24"/>
          <w:szCs w:val="24"/>
          <w:highlight w:val="none"/>
          <w:lang w:val="en-US" w:eastAsia="zh-CN"/>
        </w:rPr>
        <w:t>自筹资金</w:t>
      </w:r>
      <w:r>
        <w:rPr>
          <w:rFonts w:hint="eastAsia" w:ascii="宋体" w:hAnsi="宋体" w:eastAsia="宋体" w:cs="宋体"/>
          <w:b/>
          <w:bCs/>
          <w:color w:val="auto"/>
          <w:spacing w:val="-2"/>
          <w:sz w:val="24"/>
          <w:szCs w:val="24"/>
          <w:highlight w:val="none"/>
          <w:lang w:eastAsia="zh-CN"/>
        </w:rPr>
        <w:t>。</w:t>
      </w:r>
      <w:bookmarkEnd w:id="30"/>
    </w:p>
    <w:p w14:paraId="52315BCA">
      <w:pPr>
        <w:spacing w:before="181" w:line="219" w:lineRule="auto"/>
        <w:outlineLvl w:val="9"/>
        <w:rPr>
          <w:rFonts w:hint="eastAsia" w:ascii="宋体" w:hAnsi="宋体" w:eastAsia="宋体" w:cs="宋体"/>
          <w:b/>
          <w:bCs/>
          <w:color w:val="auto"/>
          <w:spacing w:val="-2"/>
          <w:sz w:val="24"/>
          <w:szCs w:val="24"/>
          <w:highlight w:val="none"/>
          <w:lang w:eastAsia="zh-CN"/>
        </w:rPr>
      </w:pPr>
      <w:bookmarkStart w:id="31" w:name="_Toc11362"/>
      <w:r>
        <w:rPr>
          <w:rFonts w:hint="eastAsia" w:ascii="宋体" w:hAnsi="宋体" w:eastAsia="宋体" w:cs="宋体"/>
          <w:b/>
          <w:bCs/>
          <w:color w:val="auto"/>
          <w:spacing w:val="-2"/>
          <w:sz w:val="24"/>
          <w:szCs w:val="24"/>
          <w:highlight w:val="none"/>
          <w:lang w:eastAsia="zh-CN"/>
        </w:rPr>
        <w:t>2</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lang w:eastAsia="zh-CN"/>
        </w:rPr>
        <w:t>采购人、采购代理机构、投标人</w:t>
      </w:r>
      <w:bookmarkEnd w:id="31"/>
    </w:p>
    <w:p w14:paraId="6A8C6DA1">
      <w:pPr>
        <w:spacing w:before="181" w:line="219" w:lineRule="auto"/>
        <w:ind w:firstLine="236"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2.1“采购人”是指：长春中医药大学附属第四临床医院（长春市人民医院）</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项目采购单位，合同的需方。</w:t>
      </w:r>
    </w:p>
    <w:p w14:paraId="72C36A30">
      <w:pPr>
        <w:spacing w:before="183" w:line="219" w:lineRule="auto"/>
        <w:ind w:firstLine="236"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2.2“采购代理机构”是指：</w:t>
      </w:r>
      <w:r>
        <w:rPr>
          <w:rFonts w:hint="eastAsia" w:ascii="宋体" w:hAnsi="宋体" w:eastAsia="宋体" w:cs="宋体"/>
          <w:color w:val="auto"/>
          <w:spacing w:val="-2"/>
          <w:sz w:val="24"/>
          <w:szCs w:val="24"/>
          <w:highlight w:val="none"/>
          <w:lang w:eastAsia="zh-CN"/>
        </w:rPr>
        <w:t>中峪国际项目管理有限公司</w:t>
      </w:r>
      <w:r>
        <w:rPr>
          <w:rFonts w:hint="eastAsia" w:ascii="宋体" w:hAnsi="宋体" w:eastAsia="宋体" w:cs="宋体"/>
          <w:color w:val="auto"/>
          <w:spacing w:val="-2"/>
          <w:sz w:val="24"/>
          <w:szCs w:val="24"/>
          <w:highlight w:val="none"/>
        </w:rPr>
        <w:t>。</w:t>
      </w:r>
    </w:p>
    <w:p w14:paraId="39E70CEA">
      <w:pPr>
        <w:tabs>
          <w:tab w:val="left" w:pos="201"/>
        </w:tabs>
        <w:spacing w:before="183" w:line="219" w:lineRule="auto"/>
        <w:ind w:firstLine="234" w:firstLineChars="100"/>
        <w:outlineLvl w:val="9"/>
        <w:rPr>
          <w:rFonts w:hint="eastAsia" w:ascii="宋体" w:hAnsi="宋体" w:eastAsia="宋体" w:cs="宋体"/>
          <w:color w:val="auto"/>
          <w:sz w:val="24"/>
          <w:szCs w:val="24"/>
          <w:highlight w:val="none"/>
        </w:rPr>
      </w:pPr>
      <w:bookmarkStart w:id="32" w:name="_Toc26658"/>
      <w:r>
        <w:rPr>
          <w:rFonts w:hint="eastAsia" w:ascii="宋体" w:hAnsi="宋体" w:eastAsia="宋体" w:cs="宋体"/>
          <w:color w:val="auto"/>
          <w:spacing w:val="-3"/>
          <w:sz w:val="24"/>
          <w:szCs w:val="24"/>
          <w:highlight w:val="none"/>
        </w:rPr>
        <w:t>2.3“投标人（也称“供应商”、</w:t>
      </w:r>
      <w:r>
        <w:rPr>
          <w:rFonts w:hint="eastAsia" w:ascii="宋体" w:hAnsi="宋体" w:eastAsia="宋体" w:cs="宋体"/>
          <w:color w:val="auto"/>
          <w:spacing w:val="-3"/>
          <w:sz w:val="24"/>
          <w:szCs w:val="24"/>
          <w:highlight w:val="none"/>
          <w:lang w:eastAsia="zh-CN"/>
        </w:rPr>
        <w:t>“申请人”</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86"/>
          <w:sz w:val="24"/>
          <w:szCs w:val="24"/>
          <w:highlight w:val="none"/>
          <w:lang w:eastAsia="zh-CN"/>
        </w:rPr>
        <w:t>”</w:t>
      </w:r>
      <w:r>
        <w:rPr>
          <w:rFonts w:hint="eastAsia" w:ascii="宋体" w:hAnsi="宋体" w:eastAsia="宋体" w:cs="宋体"/>
          <w:color w:val="auto"/>
          <w:spacing w:val="-3"/>
          <w:sz w:val="24"/>
          <w:szCs w:val="24"/>
          <w:highlight w:val="none"/>
        </w:rPr>
        <w:t>是指响应招标、参加投标竞争的法</w:t>
      </w:r>
      <w:bookmarkEnd w:id="32"/>
    </w:p>
    <w:p w14:paraId="2B34F5F1">
      <w:pPr>
        <w:spacing w:before="180" w:line="221" w:lineRule="auto"/>
        <w:ind w:left="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人、其他组织或者自然人。</w:t>
      </w:r>
    </w:p>
    <w:p w14:paraId="51536B77">
      <w:pPr>
        <w:spacing w:before="181" w:line="219" w:lineRule="auto"/>
        <w:outlineLvl w:val="9"/>
        <w:rPr>
          <w:rFonts w:hint="eastAsia" w:ascii="宋体" w:hAnsi="宋体" w:eastAsia="宋体" w:cs="宋体"/>
          <w:b/>
          <w:bCs/>
          <w:color w:val="auto"/>
          <w:spacing w:val="-2"/>
          <w:sz w:val="24"/>
          <w:szCs w:val="24"/>
          <w:highlight w:val="none"/>
          <w:lang w:eastAsia="zh-CN"/>
        </w:rPr>
      </w:pPr>
      <w:bookmarkStart w:id="33" w:name="_Toc22020"/>
      <w:r>
        <w:rPr>
          <w:rFonts w:hint="eastAsia" w:ascii="宋体" w:hAnsi="宋体" w:eastAsia="宋体" w:cs="宋体"/>
          <w:b/>
          <w:bCs/>
          <w:color w:val="auto"/>
          <w:spacing w:val="-2"/>
          <w:sz w:val="24"/>
          <w:szCs w:val="24"/>
          <w:highlight w:val="none"/>
          <w:lang w:eastAsia="zh-CN"/>
        </w:rPr>
        <w:t>3</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lang w:eastAsia="zh-CN"/>
        </w:rPr>
        <w:t>合格投标人</w:t>
      </w:r>
      <w:bookmarkEnd w:id="33"/>
    </w:p>
    <w:p w14:paraId="122B98F2">
      <w:pPr>
        <w:spacing w:before="183" w:line="219" w:lineRule="auto"/>
        <w:ind w:left="482"/>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详见招标公告“二、申请人的资格要求”</w:t>
      </w:r>
    </w:p>
    <w:p w14:paraId="3D83BF5A">
      <w:pPr>
        <w:spacing w:before="181" w:line="219" w:lineRule="auto"/>
        <w:outlineLvl w:val="9"/>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4</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lang w:eastAsia="zh-CN"/>
        </w:rPr>
        <w:t>投标费用</w:t>
      </w:r>
    </w:p>
    <w:p w14:paraId="719F71F2">
      <w:pPr>
        <w:keepNext w:val="0"/>
        <w:keepLines w:val="0"/>
        <w:pageBreakBefore w:val="0"/>
        <w:widowControl/>
        <w:kinsoku w:val="0"/>
        <w:wordWrap/>
        <w:overflowPunct/>
        <w:topLinePunct w:val="0"/>
        <w:autoSpaceDE w:val="0"/>
        <w:autoSpaceDN w:val="0"/>
        <w:bidi w:val="0"/>
        <w:adjustRightInd w:val="0"/>
        <w:snapToGrid w:val="0"/>
        <w:spacing w:before="181" w:line="240" w:lineRule="auto"/>
        <w:ind w:left="0" w:firstLine="476" w:firstLineChars="200"/>
        <w:textAlignment w:val="baseline"/>
        <w:outlineLvl w:val="9"/>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投标人应承担所有与编写和提交投标文件有关的费用，无论投标的结果如何，采购人和采购代理机构在任何情况下均无义务和责任承担这些费用。</w:t>
      </w:r>
    </w:p>
    <w:p w14:paraId="24E1A0AD">
      <w:pPr>
        <w:spacing w:before="183" w:line="219" w:lineRule="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eastAsia="zh-CN"/>
        </w:rPr>
        <w:t>5</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lang w:eastAsia="zh-CN"/>
        </w:rPr>
        <w:t>政府采购政策（包括但不限于下列具体政策要求）</w:t>
      </w:r>
    </w:p>
    <w:p w14:paraId="03F14F8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采购本国货物、工程和服务</w:t>
      </w:r>
    </w:p>
    <w:p w14:paraId="5DCC6F8C">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政府采购应当采购本国货物、工程和服务。但有《中华人民共和国政府采购法》第十条规定情形的除外。</w:t>
      </w:r>
    </w:p>
    <w:p w14:paraId="080B790D">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 本项目如接受非本国货物、工程、服务参与投标，则具体要求见第五章《采购需求》。采购标的中标注“接受进口产品”的已经财政部门审核同意购买进口产品，参加进口产品采购的投标人仅限于国内投标人，国内投标人可以提供进口产品来参加。优先采购向我国企业转让技术、与我国企业签订消化吸收再创新方案的投标人的进口产品。</w:t>
      </w:r>
    </w:p>
    <w:p w14:paraId="0BF602FB">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 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w:t>
      </w:r>
      <w:r>
        <w:rPr>
          <w:rFonts w:hint="eastAsia" w:ascii="宋体" w:hAnsi="宋体" w:eastAsia="宋体" w:cs="宋体"/>
          <w:b/>
          <w:bCs/>
          <w:color w:val="auto"/>
          <w:sz w:val="24"/>
          <w:szCs w:val="24"/>
          <w:highlight w:val="none"/>
        </w:rPr>
        <w:t>投标进口产品的为无效投标</w:t>
      </w:r>
      <w:r>
        <w:rPr>
          <w:rFonts w:hint="eastAsia" w:ascii="宋体" w:hAnsi="宋体" w:eastAsia="宋体" w:cs="宋体"/>
          <w:color w:val="auto"/>
          <w:sz w:val="24"/>
          <w:szCs w:val="24"/>
          <w:highlight w:val="none"/>
        </w:rPr>
        <w:t>。在中国境内生产或组装的外国品牌产品须标明该产品在中国国内制造厂商名称。否则，按进口产品对待。</w:t>
      </w:r>
    </w:p>
    <w:p w14:paraId="3A57D9F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政府采购节能产品、环境标志产品</w:t>
      </w:r>
    </w:p>
    <w:p w14:paraId="45DE795D">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E99B550">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D189851">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30F1B5C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 非政府强制采购的节能产品或环境标志产品，依据品目清单和认证证书实施政府优先采购。优先采购的具体规定见第三章《评标办法》。</w:t>
      </w:r>
    </w:p>
    <w:p w14:paraId="03D3281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正版软件</w:t>
      </w:r>
    </w:p>
    <w:p w14:paraId="76B605D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 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2B4194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78CC1CDC">
      <w:pPr>
        <w:spacing w:before="178" w:line="220" w:lineRule="auto"/>
        <w:ind w:left="393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二、招标文件</w:t>
      </w:r>
    </w:p>
    <w:p w14:paraId="5FE4C816">
      <w:pPr>
        <w:spacing w:before="183" w:line="219" w:lineRule="auto"/>
        <w:outlineLvl w:val="9"/>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6</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lang w:eastAsia="zh-CN"/>
        </w:rPr>
        <w:t>招标文件</w:t>
      </w:r>
    </w:p>
    <w:p w14:paraId="0B959250">
      <w:pPr>
        <w:spacing w:before="179" w:line="220" w:lineRule="auto"/>
        <w:ind w:firstLine="234" w:firstLineChars="100"/>
        <w:outlineLvl w:val="9"/>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6.1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招标文件的构成</w:t>
      </w:r>
    </w:p>
    <w:p w14:paraId="1AAA3BAB">
      <w:pPr>
        <w:spacing w:before="179" w:line="220" w:lineRule="auto"/>
        <w:ind w:left="482" w:firstLine="234" w:firstLineChars="100"/>
        <w:outlineLvl w:val="9"/>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rPr>
        <w:t>第一章</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lang w:eastAsia="zh-CN"/>
        </w:rPr>
        <w:t>招标公告</w:t>
      </w:r>
    </w:p>
    <w:p w14:paraId="76FC2B22">
      <w:pPr>
        <w:spacing w:before="179" w:line="220" w:lineRule="auto"/>
        <w:ind w:left="482" w:firstLine="234" w:firstLineChars="100"/>
        <w:outlineLvl w:val="9"/>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第二章</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投标人须知</w:t>
      </w:r>
    </w:p>
    <w:p w14:paraId="768D4857">
      <w:pPr>
        <w:spacing w:before="179" w:line="220" w:lineRule="auto"/>
        <w:ind w:left="482" w:firstLine="234" w:firstLineChars="100"/>
        <w:outlineLvl w:val="9"/>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第三章</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评标办法</w:t>
      </w:r>
    </w:p>
    <w:p w14:paraId="188D02F3">
      <w:pPr>
        <w:spacing w:before="179" w:line="220" w:lineRule="auto"/>
        <w:ind w:left="482" w:firstLine="234" w:firstLineChars="100"/>
        <w:outlineLvl w:val="9"/>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第四章</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合同条款(参考格式)</w:t>
      </w:r>
    </w:p>
    <w:p w14:paraId="30460CE6">
      <w:pPr>
        <w:spacing w:before="179" w:line="220" w:lineRule="auto"/>
        <w:ind w:left="482" w:firstLine="234" w:firstLineChars="100"/>
        <w:outlineLvl w:val="9"/>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第五章</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采购需求</w:t>
      </w:r>
    </w:p>
    <w:p w14:paraId="182EB78A">
      <w:pPr>
        <w:spacing w:before="179" w:line="220" w:lineRule="auto"/>
        <w:ind w:left="482" w:firstLine="234" w:firstLineChars="100"/>
        <w:outlineLvl w:val="9"/>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第六章</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投标文件构成及格式</w:t>
      </w:r>
    </w:p>
    <w:p w14:paraId="5DBCD6F3">
      <w:pPr>
        <w:spacing w:before="227" w:line="468" w:lineRule="exact"/>
        <w:ind w:right="63" w:firstLine="238" w:firstLineChars="1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6.2</w:t>
      </w:r>
      <w:r>
        <w:rPr>
          <w:rFonts w:hint="eastAsia" w:ascii="宋体" w:hAnsi="宋体" w:eastAsia="宋体" w:cs="宋体"/>
          <w:color w:val="auto"/>
          <w:spacing w:val="-37"/>
          <w:position w:val="17"/>
          <w:sz w:val="24"/>
          <w:szCs w:val="24"/>
          <w:highlight w:val="none"/>
        </w:rPr>
        <w:t xml:space="preserve"> </w:t>
      </w:r>
      <w:r>
        <w:rPr>
          <w:rFonts w:hint="eastAsia" w:ascii="宋体" w:hAnsi="宋体" w:eastAsia="宋体" w:cs="宋体"/>
          <w:color w:val="auto"/>
          <w:spacing w:val="-1"/>
          <w:position w:val="17"/>
          <w:sz w:val="24"/>
          <w:szCs w:val="24"/>
          <w:highlight w:val="none"/>
        </w:rPr>
        <w:t>投标人应认真阅读招标文件的全部内容。投标人应按照招标文件要求提交投标文</w:t>
      </w:r>
    </w:p>
    <w:p w14:paraId="0607697E">
      <w:pPr>
        <w:spacing w:before="1" w:line="219"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件并保证所提供的全部资料的真实性，并对招标文件做出实质性响应</w:t>
      </w:r>
      <w:r>
        <w:rPr>
          <w:rFonts w:hint="eastAsia" w:ascii="宋体" w:hAnsi="宋体" w:eastAsia="宋体" w:cs="宋体"/>
          <w:color w:val="auto"/>
          <w:spacing w:val="-1"/>
          <w:sz w:val="24"/>
          <w:szCs w:val="24"/>
          <w:highlight w:val="none"/>
        </w:rPr>
        <w:t>，否则</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投标无效。</w:t>
      </w:r>
    </w:p>
    <w:p w14:paraId="0E010D50">
      <w:pPr>
        <w:spacing w:before="183" w:line="219" w:lineRule="auto"/>
        <w:outlineLvl w:val="9"/>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7</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lang w:eastAsia="zh-CN"/>
        </w:rPr>
        <w:t>招标文件的澄清和修改</w:t>
      </w:r>
    </w:p>
    <w:p w14:paraId="1E1B3B48">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14:paraId="1A5D3A6A">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采购人或者采购代理机构可以对已发出的招标文件、招标公告进行必要的澄清或 者修改，但不得改变采购标的和资格条件。澄清或者修改将在原公告发布媒体上发布澄清公告。澄清或者修改的内容为招标文件、招标公告的组成部分。澄清或者修改的内容可能影响投标文件编制的，采购人或者采购代理机构将在投标截 止时间 15 日前，以书面形式通知所有获取招标文件的潜在投标人；不足 15 日的，采购人 或者采购代理机构将顺延提交投标文件的截止时间。在这种情况下，采购人、采购代理机构和投标人受投标截止时间制约的所有权利和义务均相应顺延至新的投标截止时间。</w:t>
      </w:r>
    </w:p>
    <w:p w14:paraId="639DF8A7">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本项目不召开答疑会。</w:t>
      </w:r>
    </w:p>
    <w:p w14:paraId="03D9BAAF">
      <w:pPr>
        <w:spacing w:before="48" w:line="220" w:lineRule="auto"/>
        <w:ind w:left="392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三、投标文件</w:t>
      </w:r>
    </w:p>
    <w:p w14:paraId="24176B28">
      <w:pPr>
        <w:spacing w:before="183" w:line="219" w:lineRule="auto"/>
        <w:outlineLvl w:val="9"/>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8</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lang w:eastAsia="zh-CN"/>
        </w:rPr>
        <w:t>投标范围、投标语言及投标文件中计量单位的使用</w:t>
      </w:r>
    </w:p>
    <w:p w14:paraId="4C8A5846">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8.1</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1"/>
          <w:sz w:val="24"/>
          <w:szCs w:val="24"/>
          <w:highlight w:val="none"/>
        </w:rPr>
        <w:t>本项目如划分采购包，投标人可以对本项目的其中一个采购包进行投标，也可同</w:t>
      </w:r>
      <w:r>
        <w:rPr>
          <w:rFonts w:hint="eastAsia" w:ascii="宋体" w:hAnsi="宋体" w:eastAsia="宋体" w:cs="宋体"/>
          <w:color w:val="auto"/>
          <w:spacing w:val="-2"/>
          <w:sz w:val="24"/>
          <w:szCs w:val="24"/>
          <w:highlight w:val="none"/>
        </w:rPr>
        <w:t>时对多个采购包进行投标。</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投标人应当对所投采购包对应第五章《采购需</w:t>
      </w:r>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求》所列的全部</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内容进行投标，不得将一个采购包中的内容拆分投标，否则其对该采</w:t>
      </w:r>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购包的投标将被认定</w:t>
      </w:r>
    </w:p>
    <w:p w14:paraId="33494FE1">
      <w:pPr>
        <w:keepNext w:val="0"/>
        <w:keepLines w:val="0"/>
        <w:pageBreakBefore w:val="0"/>
        <w:widowControl/>
        <w:kinsoku w:val="0"/>
        <w:wordWrap/>
        <w:overflowPunct/>
        <w:topLinePunct w:val="0"/>
        <w:autoSpaceDE w:val="0"/>
        <w:autoSpaceDN w:val="0"/>
        <w:bidi w:val="0"/>
        <w:adjustRightInd w:val="0"/>
        <w:snapToGrid w:val="0"/>
        <w:spacing w:before="1" w:line="240" w:lineRule="auto"/>
        <w:ind w:left="1"/>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为无效投标</w:t>
      </w:r>
      <w:r>
        <w:rPr>
          <w:rFonts w:hint="eastAsia" w:ascii="宋体" w:hAnsi="宋体" w:eastAsia="宋体" w:cs="宋体"/>
          <w:color w:val="auto"/>
          <w:spacing w:val="-2"/>
          <w:sz w:val="24"/>
          <w:szCs w:val="24"/>
          <w:highlight w:val="none"/>
        </w:rPr>
        <w:t>。</w:t>
      </w:r>
    </w:p>
    <w:p w14:paraId="15A85869">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8.2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704A11B">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8.3 除招标文件有特殊要求外，本项目投标所使用的计量单位，应采用中华人民共和国法定计量单位。</w:t>
      </w:r>
    </w:p>
    <w:p w14:paraId="48581F42">
      <w:pPr>
        <w:spacing w:before="183" w:line="219" w:lineRule="auto"/>
        <w:outlineLvl w:val="9"/>
        <w:rPr>
          <w:rFonts w:hint="eastAsia" w:ascii="宋体" w:hAnsi="宋体" w:eastAsia="宋体" w:cs="宋体"/>
          <w:b/>
          <w:bCs/>
          <w:color w:val="auto"/>
          <w:spacing w:val="-2"/>
          <w:sz w:val="24"/>
          <w:szCs w:val="24"/>
          <w:highlight w:val="none"/>
          <w:lang w:eastAsia="zh-CN"/>
        </w:rPr>
      </w:pPr>
      <w:bookmarkStart w:id="34" w:name="_Toc13866"/>
      <w:r>
        <w:rPr>
          <w:rFonts w:hint="eastAsia" w:ascii="宋体" w:hAnsi="宋体" w:eastAsia="宋体" w:cs="宋体"/>
          <w:b/>
          <w:bCs/>
          <w:color w:val="auto"/>
          <w:spacing w:val="-2"/>
          <w:sz w:val="24"/>
          <w:szCs w:val="24"/>
          <w:highlight w:val="none"/>
          <w:lang w:eastAsia="zh-CN"/>
        </w:rPr>
        <w:t>9</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lang w:eastAsia="zh-CN"/>
        </w:rPr>
        <w:t>投标文件构成</w:t>
      </w:r>
      <w:bookmarkEnd w:id="34"/>
    </w:p>
    <w:p w14:paraId="57E597CD">
      <w:pPr>
        <w:spacing w:before="179" w:line="468" w:lineRule="exact"/>
        <w:ind w:firstLine="238" w:firstLineChars="1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9.1</w:t>
      </w:r>
      <w:r>
        <w:rPr>
          <w:rFonts w:hint="eastAsia" w:ascii="宋体" w:hAnsi="宋体" w:eastAsia="宋体" w:cs="宋体"/>
          <w:color w:val="auto"/>
          <w:spacing w:val="-36"/>
          <w:position w:val="17"/>
          <w:sz w:val="24"/>
          <w:szCs w:val="24"/>
          <w:highlight w:val="none"/>
        </w:rPr>
        <w:t xml:space="preserve"> </w:t>
      </w:r>
      <w:r>
        <w:rPr>
          <w:rFonts w:hint="eastAsia" w:ascii="宋体" w:hAnsi="宋体" w:eastAsia="宋体" w:cs="宋体"/>
          <w:color w:val="auto"/>
          <w:spacing w:val="-1"/>
          <w:position w:val="17"/>
          <w:sz w:val="24"/>
          <w:szCs w:val="24"/>
          <w:highlight w:val="none"/>
        </w:rPr>
        <w:t>投标人应当按照招标文件的要求编制投标文件。投标文件的部分格式要求，见第</w:t>
      </w:r>
    </w:p>
    <w:p w14:paraId="59F0FEC3">
      <w:pPr>
        <w:spacing w:line="219"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六章《投标文件构成及格式》。</w:t>
      </w:r>
    </w:p>
    <w:p w14:paraId="7104923F">
      <w:pPr>
        <w:spacing w:before="180" w:line="220" w:lineRule="auto"/>
        <w:ind w:firstLine="238" w:firstLineChars="1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9.2</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1"/>
          <w:sz w:val="24"/>
          <w:szCs w:val="24"/>
          <w:highlight w:val="none"/>
        </w:rPr>
        <w:t>投标文件应编制文件目录，准确标明文件内容所在位置。投标文件应包含但不限</w:t>
      </w:r>
    </w:p>
    <w:p w14:paraId="5A8841E9">
      <w:pPr>
        <w:spacing w:before="182" w:line="224" w:lineRule="auto"/>
        <w:ind w:left="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于：</w:t>
      </w:r>
    </w:p>
    <w:p w14:paraId="197B83C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格式一：开标一览表</w:t>
      </w:r>
    </w:p>
    <w:p w14:paraId="13EE0175">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格式二：投标函</w:t>
      </w:r>
    </w:p>
    <w:p w14:paraId="38ABAF18">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格式三：投标报价明细表</w:t>
      </w:r>
    </w:p>
    <w:p w14:paraId="6ABE378A">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格式四：采购需求偏离表</w:t>
      </w:r>
    </w:p>
    <w:p w14:paraId="1F424249">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格式五：售后服务承诺书</w:t>
      </w:r>
    </w:p>
    <w:p w14:paraId="37F2FB63">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格式六：法定代表人（单位负责人）身份证明</w:t>
      </w:r>
    </w:p>
    <w:p w14:paraId="7164AF14">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格式七：授权委托书</w:t>
      </w:r>
    </w:p>
    <w:p w14:paraId="0864D3CE">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格式八：中标服务费承诺书</w:t>
      </w:r>
    </w:p>
    <w:p w14:paraId="60E91E55">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格式九：中小企业声明函</w:t>
      </w:r>
    </w:p>
    <w:p w14:paraId="678E634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格式十：类似业绩一览表</w:t>
      </w:r>
    </w:p>
    <w:p w14:paraId="50891D72">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格式十一：资格条件承诺函</w:t>
      </w:r>
    </w:p>
    <w:p w14:paraId="1B3AFD0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格式十</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：招标文件要求提供或供应商认为需要提供的其它材料</w:t>
      </w:r>
    </w:p>
    <w:p w14:paraId="479736A2">
      <w:pPr>
        <w:spacing w:before="180" w:line="220" w:lineRule="auto"/>
        <w:ind w:firstLine="238" w:firstLineChars="100"/>
        <w:jc w:val="both"/>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9.3 第三章《评标办法》中涉及的证明文件。</w:t>
      </w:r>
    </w:p>
    <w:p w14:paraId="22BC4F64">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对照第五章《采购需求》，说明所供货物和服务已对第五章《采购需求》做出了响应，或申明与第五章《采购需求》的偏差和例外。如第五章《采购需求》中要求提供证明文件的，投标人应当按具体要求提供证明文件。</w:t>
      </w:r>
    </w:p>
    <w:p w14:paraId="62EC066C">
      <w:pPr>
        <w:spacing w:before="183" w:line="219" w:lineRule="auto"/>
        <w:ind w:firstLine="236"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9.5</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2"/>
          <w:sz w:val="24"/>
          <w:szCs w:val="24"/>
          <w:highlight w:val="none"/>
        </w:rPr>
        <w:t>投标人认为应附的其他材料。</w:t>
      </w:r>
    </w:p>
    <w:p w14:paraId="1BA5B005">
      <w:pPr>
        <w:spacing w:before="183" w:line="219" w:lineRule="auto"/>
        <w:outlineLvl w:val="9"/>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10</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lang w:eastAsia="zh-CN"/>
        </w:rPr>
        <w:t>投标报价</w:t>
      </w:r>
    </w:p>
    <w:p w14:paraId="463C605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报价原则：所有投标均以人民币报价。</w:t>
      </w:r>
    </w:p>
    <w:p w14:paraId="1417BE2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投标人的报价应包括为完成本项目所发生的一切费用和税费，采购人将不再支付报价以外的任何费用。</w:t>
      </w:r>
    </w:p>
    <w:p w14:paraId="43B8F63F">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81CEDFF">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 按照招标文件要求完成本项目的全部相关费用。</w:t>
      </w:r>
    </w:p>
    <w:p w14:paraId="14D0D3D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投标人所报的价格在合同执行过程中是固定不变的，不得以任何理由予以变更。以可调整的价格提交的，其</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48BB16C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采购人不得向投标人索要或者接受其给予的赠品、回扣或者与采购无关的其他商品、服务。</w:t>
      </w:r>
    </w:p>
    <w:p w14:paraId="4F8A6EA2">
      <w:pPr>
        <w:spacing w:before="183" w:line="219" w:lineRule="auto"/>
        <w:outlineLvl w:val="9"/>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11</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lang w:eastAsia="zh-CN"/>
        </w:rPr>
        <w:t>投标保证金</w:t>
      </w:r>
    </w:p>
    <w:p w14:paraId="0B1A3433">
      <w:pPr>
        <w:spacing w:before="179" w:line="359" w:lineRule="auto"/>
        <w:ind w:right="8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14:textOutline w14:w="4358" w14:cap="sq" w14:cmpd="sng">
            <w14:solidFill>
              <w14:srgbClr w14:val="000000"/>
            </w14:solidFill>
            <w14:prstDash w14:val="solid"/>
            <w14:bevel/>
          </w14:textOutline>
        </w:rPr>
        <w:t>本项目</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无需交纳投标保证金。</w:t>
      </w:r>
    </w:p>
    <w:p w14:paraId="7C8D3CB6">
      <w:pPr>
        <w:spacing w:before="183" w:line="219" w:lineRule="auto"/>
        <w:outlineLvl w:val="9"/>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12</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lang w:eastAsia="zh-CN"/>
        </w:rPr>
        <w:t>投标有效期</w:t>
      </w:r>
    </w:p>
    <w:p w14:paraId="27C8FD4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投标有效期为自开标之时起 90 天，投标文件在这个规定期限内应保持有效。投标有效期少于招标文件规定期限的，其</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0A6BD7A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在特殊情况下，招标方可与投标人协商延长投标有效期。这种要求和答复都应以书面形式进行。投标人可以拒绝接受延期要求而不会被没收投标保证金。同意延长投标 有效期的投标人除按照招标方要求修改投标文件的有效期外，不能修改投标文件的其他内容。</w:t>
      </w:r>
    </w:p>
    <w:p w14:paraId="52F94C43">
      <w:pPr>
        <w:spacing w:before="183" w:line="219" w:lineRule="auto"/>
        <w:outlineLvl w:val="9"/>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13</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lang w:eastAsia="zh-CN"/>
        </w:rPr>
        <w:t>投标文件的式样和签署</w:t>
      </w:r>
    </w:p>
    <w:p w14:paraId="1D9A89F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投标人应按照本须知的要求编制投标文件，逐项逐条响应招标文件并使用下载</w:t>
      </w:r>
    </w:p>
    <w:p w14:paraId="2381F27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的政采云投标客户端制作并上传</w:t>
      </w:r>
    </w:p>
    <w:p w14:paraId="60CFEA6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14:paraId="5EB8A94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14:paraId="0467A70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3DC478D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评标前准备</w:t>
      </w:r>
    </w:p>
    <w:p w14:paraId="07A0ACE1">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 本项目实行网上评审，采用电子投标文件。</w:t>
      </w:r>
    </w:p>
    <w:p w14:paraId="7926AAD0">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13.5.2 各投标人在响应文件提交截止时间前应确保成为政采云平台正式注册入库投标人，并完成CA数字证书申领。因未注册入库、未办理 CA 数字证书等原因造成无法投标或投标失败等后果由投标人自行承担。</w:t>
      </w:r>
    </w:p>
    <w:p w14:paraId="092B8801">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13.5.3 投标人将政采云电子交易客户端下载、安装完成后，可通过登录客户端进行响应文件制作。客户端请至网站下载专区查看，如有问题可拨打政采云客户服务热线95763进行咨询。</w:t>
      </w:r>
    </w:p>
    <w:p w14:paraId="3E3A8EA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其他说明</w:t>
      </w:r>
    </w:p>
    <w:p w14:paraId="4F883F16">
      <w:pPr>
        <w:keepNext w:val="0"/>
        <w:keepLines w:val="0"/>
        <w:pageBreakBefore w:val="0"/>
        <w:widowControl/>
        <w:kinsoku w:val="0"/>
        <w:wordWrap/>
        <w:overflowPunct/>
        <w:topLinePunct w:val="0"/>
        <w:autoSpaceDE w:val="0"/>
        <w:autoSpaceDN w:val="0"/>
        <w:bidi w:val="0"/>
        <w:adjustRightInd w:val="0"/>
        <w:snapToGrid w:val="0"/>
        <w:spacing w:before="183" w:line="240" w:lineRule="auto"/>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投标人应先安装“政采云投标客户端”（请自行前往政采云平台进行下载</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"https://customer.zcygov.cn/CA-driver-download?utm=web-login-front.52cebfa2.0"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https://customer.zcygov.cn/CA-driver-download?utm=web-login-front.52cebfa2.0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.0.04df4040034511edaac705fda12edb43），通过账号密码或CA登录客户端制作投标文件。</w:t>
      </w:r>
    </w:p>
    <w:p w14:paraId="2C17884C">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 xml:space="preserve">13.6.2 </w:t>
      </w:r>
      <w:r>
        <w:rPr>
          <w:rFonts w:hint="eastAsia" w:ascii="宋体" w:hAnsi="宋体" w:eastAsia="宋体" w:cs="宋体"/>
          <w:color w:val="auto"/>
          <w:spacing w:val="-1"/>
          <w:position w:val="17"/>
          <w:sz w:val="24"/>
          <w:szCs w:val="24"/>
          <w:highlight w:val="none"/>
          <w14:textOutline w14:w="4358" w14:cap="sq" w14:cmpd="sng">
            <w14:solidFill>
              <w14:srgbClr w14:val="000000"/>
            </w14:solidFill>
            <w14:prstDash w14:val="solid"/>
            <w14:bevel/>
          </w14:textOutline>
        </w:rPr>
        <w:t>投标文件按照招标文件第六章投标文件构成及格式要求在规定位置进行签署</w:t>
      </w:r>
      <w:r>
        <w:rPr>
          <w:rFonts w:hint="eastAsia" w:ascii="宋体" w:hAnsi="宋体" w:eastAsia="宋体" w:cs="宋体"/>
          <w:color w:val="auto"/>
          <w:spacing w:val="-1"/>
          <w:position w:val="17"/>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盖章。投标人的投标文件未按照招标文件要</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求签署、盖章的，其响应投标无效</w:t>
      </w:r>
      <w:r>
        <w:rPr>
          <w:rFonts w:hint="eastAsia" w:ascii="宋体" w:hAnsi="宋体" w:eastAsia="宋体" w:cs="宋体"/>
          <w:color w:val="auto"/>
          <w:sz w:val="24"/>
          <w:szCs w:val="24"/>
          <w:highlight w:val="none"/>
        </w:rPr>
        <w:t>。</w:t>
      </w:r>
    </w:p>
    <w:p w14:paraId="40AA58F8">
      <w:pPr>
        <w:keepNext w:val="0"/>
        <w:keepLines w:val="0"/>
        <w:pageBreakBefore w:val="0"/>
        <w:widowControl/>
        <w:kinsoku w:val="0"/>
        <w:wordWrap/>
        <w:overflowPunct/>
        <w:topLinePunct w:val="0"/>
        <w:autoSpaceDE w:val="0"/>
        <w:autoSpaceDN w:val="0"/>
        <w:bidi w:val="0"/>
        <w:adjustRightInd w:val="0"/>
        <w:snapToGrid w:val="0"/>
        <w:spacing w:before="183" w:line="240" w:lineRule="auto"/>
        <w:ind w:right="170" w:firstLine="476" w:firstLineChars="200"/>
        <w:textAlignment w:val="baseline"/>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rPr>
        <w:t>13.6.3 为确保网上操作合法、有效和安全，投标人应当在投标文件递交截止时间前</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2"/>
          <w:sz w:val="24"/>
          <w:szCs w:val="24"/>
          <w:highlight w:val="none"/>
        </w:rPr>
        <w:t>完成在政采云平台的身份认证，确保在电子投标过程中能够对相关数据电文进行加密和使用电子签名。</w:t>
      </w:r>
    </w:p>
    <w:p w14:paraId="28CD5620">
      <w:pPr>
        <w:spacing w:before="48" w:line="359" w:lineRule="auto"/>
        <w:ind w:left="1" w:right="230" w:firstLine="49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13.6.4 </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投标文件中标注的投标人名称应与主体资格证明（如营业执照、事业单位法</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人证书、执业许可证、个体工商户营业执照、</w:t>
      </w:r>
      <w:r>
        <w:rPr>
          <w:rFonts w:hint="eastAsia" w:ascii="宋体" w:hAnsi="宋体" w:eastAsia="宋体" w:cs="宋体"/>
          <w:color w:val="auto"/>
          <w:spacing w:val="-68"/>
          <w:sz w:val="24"/>
          <w:szCs w:val="24"/>
          <w:highlight w:val="none"/>
        </w:rPr>
        <w:t xml:space="preserve"> </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自然人身份证等）和公章/电子签章一</w:t>
      </w:r>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否则作无效投标处理</w:t>
      </w:r>
      <w:r>
        <w:rPr>
          <w:rFonts w:hint="eastAsia" w:ascii="宋体" w:hAnsi="宋体" w:eastAsia="宋体" w:cs="宋体"/>
          <w:color w:val="auto"/>
          <w:spacing w:val="-1"/>
          <w:sz w:val="24"/>
          <w:szCs w:val="24"/>
          <w:highlight w:val="none"/>
        </w:rPr>
        <w:t>。</w:t>
      </w:r>
    </w:p>
    <w:p w14:paraId="5AC40A26">
      <w:pPr>
        <w:spacing w:before="183" w:line="219" w:lineRule="auto"/>
        <w:outlineLvl w:val="9"/>
        <w:rPr>
          <w:rFonts w:hint="eastAsia" w:ascii="宋体" w:hAnsi="宋体" w:eastAsia="宋体" w:cs="宋体"/>
          <w:b/>
          <w:bCs/>
          <w:color w:val="auto"/>
          <w:spacing w:val="-2"/>
          <w:sz w:val="24"/>
          <w:szCs w:val="24"/>
          <w:highlight w:val="none"/>
          <w:lang w:eastAsia="zh-CN"/>
        </w:rPr>
      </w:pPr>
      <w:bookmarkStart w:id="35" w:name="_Toc12487"/>
      <w:r>
        <w:rPr>
          <w:rFonts w:hint="eastAsia" w:ascii="宋体" w:hAnsi="宋体" w:eastAsia="宋体" w:cs="宋体"/>
          <w:b/>
          <w:bCs/>
          <w:color w:val="auto"/>
          <w:spacing w:val="-2"/>
          <w:sz w:val="24"/>
          <w:szCs w:val="24"/>
          <w:highlight w:val="none"/>
          <w:lang w:eastAsia="zh-CN"/>
        </w:rPr>
        <w:t>14</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lang w:eastAsia="zh-CN"/>
        </w:rPr>
        <w:t>投标文件的修改和撤回</w:t>
      </w:r>
      <w:bookmarkEnd w:id="35"/>
    </w:p>
    <w:p w14:paraId="4E339C7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投标人在提交投标文件后可对其投标文件进行修改或撤回，补充或者修改投标文件的，应当先行撤回原文件，补充、修改后重新传输递交。投标文件提交截止时间前未 完成传输的，视为撤回投标文件。投标文件提交截止时间后递交的投标文件，政采云平台（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）将拒收。</w:t>
      </w:r>
    </w:p>
    <w:p w14:paraId="6446D95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在投标文件提交截止时间前，除投标人补充、修改或者撤回投标文件外，任何</w:t>
      </w:r>
    </w:p>
    <w:p w14:paraId="6B96A4B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单位和个人不得解密或提取投标文件。</w:t>
      </w:r>
    </w:p>
    <w:p w14:paraId="13407E6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在投标截止时间（开标时间）之后，投标人不得对其投标文件做任何修改。</w:t>
      </w:r>
    </w:p>
    <w:p w14:paraId="139C92B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从开标之时起，至投标有效期期满之间的这段时间内，投标人不得撤回其投标，否则根据投标人须知第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0.6条的规定，其投标保证金将被没收。与其他投标人恶意串通而撤回投标的，按照《中华人民共和国政府采购法》第七十七条的规定处理。</w:t>
      </w:r>
    </w:p>
    <w:p w14:paraId="55E0CABF">
      <w:pPr>
        <w:spacing w:before="183" w:line="219" w:lineRule="auto"/>
        <w:outlineLvl w:val="9"/>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15</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lang w:eastAsia="zh-CN"/>
        </w:rPr>
        <w:t>投标</w:t>
      </w:r>
    </w:p>
    <w:p w14:paraId="5DB520D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r>
        <w:rPr>
          <w:rFonts w:hint="eastAsia" w:ascii="宋体" w:hAnsi="宋体" w:eastAsia="宋体" w:cs="宋体"/>
          <w:color w:val="auto"/>
          <w:sz w:val="24"/>
          <w:szCs w:val="24"/>
          <w:highlight w:val="none"/>
        </w:rPr>
        <w:t>本项目开标方式为远程开标，供应商不到现场。供应商</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rPr>
        <w:t>时，需携带制作</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文件时用来加密的有效数字证书（CA认证）登录“政采云”平台电子开标大厅现场按</w:t>
      </w:r>
      <w:r>
        <w:rPr>
          <w:rFonts w:hint="eastAsia" w:ascii="宋体" w:hAnsi="宋体" w:eastAsia="宋体" w:cs="宋体"/>
          <w:color w:val="auto"/>
          <w:sz w:val="24"/>
          <w:szCs w:val="24"/>
          <w:highlight w:val="none"/>
          <w:lang w:val="en-US" w:eastAsia="zh-CN"/>
        </w:rPr>
        <w:t>规定时间对加密的响应文件进行解密。</w:t>
      </w:r>
    </w:p>
    <w:p w14:paraId="1817F8F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w:t>
      </w:r>
      <w:r>
        <w:rPr>
          <w:rFonts w:hint="eastAsia" w:ascii="宋体" w:hAnsi="宋体" w:eastAsia="宋体" w:cs="宋体"/>
          <w:b/>
          <w:bCs/>
          <w:color w:val="auto"/>
          <w:sz w:val="24"/>
          <w:szCs w:val="24"/>
          <w:highlight w:val="none"/>
          <w:lang w:val="en-US" w:eastAsia="zh-CN"/>
        </w:rPr>
        <w:t>本项目将采用腾讯会议进行远程开标活动。</w:t>
      </w:r>
      <w:r>
        <w:rPr>
          <w:rFonts w:hint="eastAsia" w:ascii="宋体" w:hAnsi="宋体" w:eastAsia="宋体" w:cs="宋体"/>
          <w:color w:val="auto"/>
          <w:sz w:val="24"/>
          <w:szCs w:val="24"/>
          <w:highlight w:val="none"/>
          <w:lang w:val="en-US" w:eastAsia="zh-CN"/>
        </w:rPr>
        <w:t>投标文件递交截止时间前请供应商进入腾讯会议，进入视频会议人员应为本项目投标单位法定代表人（或其委托代理人）并将进入会议人员姓名修改为“投标单位简称+被授权人姓名”，如无故离开会议，后果自负。</w:t>
      </w:r>
    </w:p>
    <w:p w14:paraId="49942C1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腾讯会议号：#腾讯会议：232769777。</w:t>
      </w:r>
    </w:p>
    <w:p w14:paraId="0225931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15.3投标文件提交方式：本项目为全流程电子化项目，通过“政采云”平台（http：</w:t>
      </w:r>
      <w:r>
        <w:rPr>
          <w:rFonts w:hint="eastAsia" w:ascii="宋体" w:hAnsi="宋体" w:eastAsia="宋体" w:cs="宋体"/>
          <w:color w:val="auto"/>
          <w:sz w:val="24"/>
          <w:szCs w:val="24"/>
          <w:highlight w:val="none"/>
        </w:rPr>
        <w:t>//www.zcygov.cn）实行在线电子投标，供应商应先安装“政采云电子交易客户端”（请自行前往“政采云”平台进行下载），并按照本项目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文件和“政采云”平台的要求编制、加密后在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文件提交截止时间前通过网络上传至“政采云”平台，供应商在“政采云”平台提交电子版</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文件时，请填写参加开标活动经办人联系方式。</w:t>
      </w:r>
    </w:p>
    <w:p w14:paraId="494D404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15.4</w:t>
      </w:r>
      <w:r>
        <w:rPr>
          <w:rFonts w:hint="eastAsia" w:ascii="宋体" w:hAnsi="宋体" w:eastAsia="宋体" w:cs="宋体"/>
          <w:b/>
          <w:bCs/>
          <w:color w:val="auto"/>
          <w:sz w:val="24"/>
          <w:szCs w:val="24"/>
          <w:highlight w:val="none"/>
          <w:lang w:val="en-US" w:eastAsia="zh-CN"/>
        </w:rPr>
        <w:t>※开标结束后三小时内供应商须将响应文件纸质版（一正两副）、电子版U盘递交至中峪国际项目管理有限公司（长春市浦东路12号虹湾国际A座15层）用于项目存档使用（若未及时递交纸质版文件，所造成的后果自行承担）。</w:t>
      </w:r>
      <w:r>
        <w:rPr>
          <w:rFonts w:hint="eastAsia" w:ascii="宋体" w:hAnsi="宋体" w:eastAsia="宋体" w:cs="宋体"/>
          <w:color w:val="auto"/>
          <w:sz w:val="24"/>
          <w:szCs w:val="24"/>
          <w:highlight w:val="none"/>
          <w:lang w:val="en-US" w:eastAsia="zh-CN"/>
        </w:rPr>
        <w:t>递交响应文件的同时，必须递交单独密封的响应文件电子版U盘2份（单独包装，</w:t>
      </w:r>
      <w:r>
        <w:rPr>
          <w:rFonts w:hint="eastAsia" w:ascii="宋体" w:hAnsi="宋体" w:eastAsia="宋体" w:cs="宋体"/>
          <w:b/>
          <w:bCs/>
          <w:color w:val="auto"/>
          <w:sz w:val="24"/>
          <w:szCs w:val="24"/>
          <w:highlight w:val="none"/>
          <w:lang w:val="en-US" w:eastAsia="zh-CN"/>
        </w:rPr>
        <w:t>word版及签字盖章后的PDF版</w:t>
      </w:r>
      <w:r>
        <w:rPr>
          <w:rFonts w:hint="eastAsia" w:ascii="宋体" w:hAnsi="宋体" w:eastAsia="宋体" w:cs="宋体"/>
          <w:color w:val="auto"/>
          <w:sz w:val="24"/>
          <w:szCs w:val="24"/>
          <w:highlight w:val="none"/>
          <w:lang w:val="en-US" w:eastAsia="zh-CN"/>
        </w:rPr>
        <w:t>），密封袋上写明供应商全称、项目名称，纸质版及电子版应与上传的加密文件一致</w:t>
      </w:r>
      <w:r>
        <w:rPr>
          <w:rFonts w:hint="eastAsia" w:ascii="宋体" w:hAnsi="宋体" w:eastAsia="宋体" w:cs="宋体"/>
          <w:color w:val="auto"/>
          <w:sz w:val="24"/>
          <w:szCs w:val="24"/>
          <w:highlight w:val="none"/>
        </w:rPr>
        <w:t>。采用书册方式胶装，装订应牢固、整齐便于保管和利用，不易拆散和换页，不得采用活页装订。建议正反面打印装订。</w:t>
      </w:r>
    </w:p>
    <w:p w14:paraId="007A03A6">
      <w:pPr>
        <w:spacing w:before="189" w:line="220" w:lineRule="auto"/>
        <w:ind w:left="3106"/>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四、开标、资格性审查及评标</w:t>
      </w:r>
    </w:p>
    <w:p w14:paraId="4751DED0">
      <w:pPr>
        <w:spacing w:before="183" w:line="219" w:lineRule="auto"/>
        <w:outlineLvl w:val="9"/>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16</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lang w:eastAsia="zh-CN"/>
        </w:rPr>
        <w:t>开标</w:t>
      </w:r>
    </w:p>
    <w:p w14:paraId="48E00DA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采购代理机构将在</w:t>
      </w:r>
      <w:r>
        <w:rPr>
          <w:rFonts w:hint="eastAsia" w:ascii="宋体" w:hAnsi="宋体" w:eastAsia="宋体" w:cs="宋体"/>
          <w:color w:val="auto"/>
          <w:sz w:val="24"/>
          <w:szCs w:val="24"/>
          <w:highlight w:val="none"/>
          <w:lang w:eastAsia="zh-CN"/>
        </w:rPr>
        <w:t>招标公告</w:t>
      </w:r>
      <w:r>
        <w:rPr>
          <w:rFonts w:hint="eastAsia" w:ascii="宋体" w:hAnsi="宋体" w:eastAsia="宋体" w:cs="宋体"/>
          <w:color w:val="auto"/>
          <w:sz w:val="24"/>
          <w:szCs w:val="24"/>
          <w:highlight w:val="none"/>
        </w:rPr>
        <w:t>中规定的时间和地点组织公开开标，邀请投标人线</w:t>
      </w:r>
    </w:p>
    <w:p w14:paraId="457DF7E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上通过政采云平台参加。</w:t>
      </w:r>
    </w:p>
    <w:p w14:paraId="49C8C4E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开标会由采购代理机构组织并主持。本项目开标使用政采云平台（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38DD0EE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投标人不足3家的，不开标。</w:t>
      </w:r>
    </w:p>
    <w:p w14:paraId="731E5EC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开标过程将使用政采云平台（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）宣布投标人名称、投标价格和招标文件规定的需要宣布的其他内容并进行记录，并由参加开标的各投标人确认。投标人未在规定时间内确认一览表的，视同认可开标结果。</w:t>
      </w:r>
    </w:p>
    <w:p w14:paraId="41A8822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按照规定，提交了可接受的“撤回”通知的投标将不予开封。撤回的投标文件将原封退回投标人。</w:t>
      </w:r>
    </w:p>
    <w:p w14:paraId="4A20DEA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 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7DA7D9C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 开标时有下列情形之一的，采购人有权宣布本项目废标：</w:t>
      </w:r>
    </w:p>
    <w:p w14:paraId="36D6ADD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（1）交货期/合同履行期限符合招标文件要求的投标人不足三家的；</w:t>
      </w:r>
    </w:p>
    <w:p w14:paraId="68F2A22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（2）所有投标人的报价均超过采购项目预算，采购人不能支付的。</w:t>
      </w:r>
    </w:p>
    <w:p w14:paraId="24E6D99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16.8 投标文件解密</w:t>
      </w:r>
    </w:p>
    <w:p w14:paraId="1418089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16.8.1 投标人应当在招标文件规定的投标文件解密时间内对已上传的加密投标文件进行现场解密。如无特殊情况，解密工作须在投标截止时间后 30 分钟内完成。</w:t>
      </w:r>
    </w:p>
    <w:p w14:paraId="47B919C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16.8.2 投标人授权代表解密时应当使用制作加密电子投标文件的同一把数字证书对已上传的投标文件进行解密。</w:t>
      </w:r>
    </w:p>
    <w:p w14:paraId="4D015B5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16.8.3 </w:t>
      </w:r>
      <w:r>
        <w:rPr>
          <w:rFonts w:hint="eastAsia" w:ascii="宋体" w:hAnsi="宋体" w:eastAsia="宋体" w:cs="宋体"/>
          <w:b/>
          <w:bCs/>
          <w:color w:val="auto"/>
          <w:sz w:val="24"/>
          <w:szCs w:val="24"/>
          <w:highlight w:val="none"/>
        </w:rPr>
        <w:t>因投标人自身原因，逾期未能成功解密的，视为逾期未提交投标文件，其投标无效。</w:t>
      </w:r>
    </w:p>
    <w:p w14:paraId="10370FD3">
      <w:pPr>
        <w:spacing w:before="183" w:line="219" w:lineRule="auto"/>
        <w:outlineLvl w:val="9"/>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17</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color w:val="auto"/>
          <w:spacing w:val="-2"/>
          <w:sz w:val="24"/>
          <w:szCs w:val="24"/>
          <w:highlight w:val="none"/>
          <w:lang w:eastAsia="zh-CN"/>
        </w:rPr>
        <w:t>资格性审查</w:t>
      </w:r>
    </w:p>
    <w:p w14:paraId="55A4E54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17.1 开标结束后，采购人</w:t>
      </w:r>
      <w:r>
        <w:rPr>
          <w:rFonts w:hint="eastAsia" w:ascii="宋体" w:hAnsi="宋体" w:eastAsia="宋体" w:cs="宋体"/>
          <w:color w:val="auto"/>
          <w:sz w:val="24"/>
          <w:szCs w:val="24"/>
          <w:highlight w:val="none"/>
          <w:lang w:val="en-US" w:eastAsia="zh-CN"/>
        </w:rPr>
        <w:t>或采购代理机构</w:t>
      </w:r>
      <w:r>
        <w:rPr>
          <w:rFonts w:hint="eastAsia" w:ascii="宋体" w:hAnsi="宋体" w:eastAsia="宋体" w:cs="宋体"/>
          <w:color w:val="auto"/>
          <w:sz w:val="24"/>
          <w:szCs w:val="24"/>
          <w:highlight w:val="none"/>
          <w:lang w:eastAsia="zh-CN"/>
        </w:rPr>
        <w:t>将依法对投标人的资格进行审查，并详细填写下表。合格</w:t>
      </w:r>
      <w:r>
        <w:rPr>
          <w:rFonts w:hint="eastAsia" w:ascii="宋体" w:hAnsi="宋体" w:eastAsia="宋体" w:cs="宋体"/>
          <w:color w:val="auto"/>
          <w:sz w:val="24"/>
          <w:szCs w:val="24"/>
          <w:highlight w:val="none"/>
        </w:rPr>
        <w:t>投标人不足 3 家的，不进行评标。</w:t>
      </w:r>
    </w:p>
    <w:p w14:paraId="678259C0">
      <w:pPr>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br w:type="page"/>
      </w:r>
    </w:p>
    <w:p w14:paraId="76837D48">
      <w:pPr>
        <w:keepNext w:val="0"/>
        <w:keepLines w:val="0"/>
        <w:pageBreakBefore w:val="0"/>
        <w:widowControl/>
        <w:kinsoku w:val="0"/>
        <w:wordWrap/>
        <w:overflowPunct/>
        <w:topLinePunct w:val="0"/>
        <w:autoSpaceDE w:val="0"/>
        <w:autoSpaceDN w:val="0"/>
        <w:bidi w:val="0"/>
        <w:adjustRightInd w:val="0"/>
        <w:snapToGrid w:val="0"/>
        <w:spacing w:before="178" w:after="0" w:afterLines="50" w:line="221" w:lineRule="auto"/>
        <w:jc w:val="center"/>
        <w:textAlignment w:val="baseline"/>
        <w:outlineLvl w:val="9"/>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资格性审查表</w:t>
      </w:r>
    </w:p>
    <w:tbl>
      <w:tblPr>
        <w:tblStyle w:val="22"/>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24"/>
        <w:gridCol w:w="1852"/>
        <w:gridCol w:w="5667"/>
      </w:tblGrid>
      <w:tr w14:paraId="2EA5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5" w:type="dxa"/>
            <w:vAlign w:val="center"/>
          </w:tcPr>
          <w:p w14:paraId="6272D35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1"/>
                <w:szCs w:val="21"/>
                <w:highlight w:val="none"/>
                <w:vertAlign w:val="baseline"/>
                <w:lang w:eastAsia="zh-CN"/>
              </w:rPr>
            </w:pPr>
            <w:r>
              <w:rPr>
                <w:rFonts w:hint="eastAsia" w:ascii="宋体" w:hAnsi="宋体" w:eastAsia="宋体" w:cs="宋体"/>
                <w:b/>
                <w:bCs/>
                <w:color w:val="auto"/>
                <w:spacing w:val="-5"/>
                <w:sz w:val="21"/>
                <w:szCs w:val="21"/>
                <w:highlight w:val="none"/>
              </w:rPr>
              <w:t>序号</w:t>
            </w:r>
          </w:p>
        </w:tc>
        <w:tc>
          <w:tcPr>
            <w:tcW w:w="1324" w:type="dxa"/>
            <w:vAlign w:val="center"/>
          </w:tcPr>
          <w:p w14:paraId="3C0C6E3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1"/>
                <w:szCs w:val="21"/>
                <w:highlight w:val="none"/>
                <w:vertAlign w:val="baseline"/>
                <w:lang w:eastAsia="zh-CN"/>
              </w:rPr>
            </w:pPr>
            <w:r>
              <w:rPr>
                <w:rFonts w:hint="eastAsia" w:ascii="宋体" w:hAnsi="宋体" w:eastAsia="宋体" w:cs="宋体"/>
                <w:b/>
                <w:bCs/>
                <w:color w:val="auto"/>
                <w:spacing w:val="-5"/>
                <w:sz w:val="21"/>
                <w:szCs w:val="21"/>
                <w:highlight w:val="none"/>
              </w:rPr>
              <w:t>类型</w:t>
            </w:r>
          </w:p>
        </w:tc>
        <w:tc>
          <w:tcPr>
            <w:tcW w:w="1852" w:type="dxa"/>
            <w:vAlign w:val="center"/>
          </w:tcPr>
          <w:p w14:paraId="65CAE71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1"/>
                <w:szCs w:val="21"/>
                <w:highlight w:val="none"/>
                <w:vertAlign w:val="baseline"/>
                <w:lang w:eastAsia="zh-CN"/>
              </w:rPr>
            </w:pPr>
            <w:r>
              <w:rPr>
                <w:rFonts w:hint="eastAsia" w:ascii="宋体" w:hAnsi="宋体" w:eastAsia="宋体" w:cs="宋体"/>
                <w:b/>
                <w:bCs/>
                <w:color w:val="auto"/>
                <w:spacing w:val="-5"/>
                <w:sz w:val="21"/>
                <w:szCs w:val="21"/>
                <w:highlight w:val="none"/>
              </w:rPr>
              <w:t>审查内容</w:t>
            </w:r>
          </w:p>
        </w:tc>
        <w:tc>
          <w:tcPr>
            <w:tcW w:w="5667" w:type="dxa"/>
            <w:vAlign w:val="center"/>
          </w:tcPr>
          <w:p w14:paraId="28D3889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1"/>
                <w:szCs w:val="21"/>
                <w:highlight w:val="none"/>
                <w:vertAlign w:val="baseline"/>
                <w:lang w:eastAsia="zh-CN"/>
              </w:rPr>
            </w:pPr>
            <w:r>
              <w:rPr>
                <w:rFonts w:hint="eastAsia" w:ascii="宋体" w:hAnsi="宋体" w:eastAsia="宋体" w:cs="宋体"/>
                <w:b/>
                <w:bCs/>
                <w:color w:val="auto"/>
                <w:spacing w:val="-3"/>
                <w:sz w:val="21"/>
                <w:szCs w:val="21"/>
                <w:highlight w:val="none"/>
              </w:rPr>
              <w:t>要求说明</w:t>
            </w:r>
          </w:p>
        </w:tc>
      </w:tr>
      <w:tr w14:paraId="5126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633C004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1"/>
                <w:szCs w:val="21"/>
                <w:highlight w:val="none"/>
                <w:vertAlign w:val="baseline"/>
                <w:lang w:val="en-US" w:eastAsia="zh-CN"/>
              </w:rPr>
            </w:pPr>
            <w:r>
              <w:rPr>
                <w:rFonts w:hint="eastAsia" w:ascii="宋体" w:hAnsi="宋体" w:eastAsia="宋体" w:cs="宋体"/>
                <w:color w:val="auto"/>
                <w:spacing w:val="-4"/>
                <w:sz w:val="21"/>
                <w:szCs w:val="21"/>
                <w:highlight w:val="none"/>
                <w:vertAlign w:val="baseline"/>
                <w:lang w:val="en-US" w:eastAsia="zh-CN"/>
              </w:rPr>
              <w:t>1</w:t>
            </w:r>
          </w:p>
        </w:tc>
        <w:tc>
          <w:tcPr>
            <w:tcW w:w="1324" w:type="dxa"/>
            <w:vAlign w:val="center"/>
          </w:tcPr>
          <w:p w14:paraId="7E10EBD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1"/>
                <w:szCs w:val="21"/>
                <w:highlight w:val="none"/>
                <w:vertAlign w:val="baseline"/>
                <w:lang w:eastAsia="zh-CN"/>
              </w:rPr>
            </w:pPr>
            <w:r>
              <w:rPr>
                <w:rFonts w:hint="eastAsia" w:ascii="宋体" w:hAnsi="宋体" w:eastAsia="宋体" w:cs="宋体"/>
                <w:color w:val="auto"/>
                <w:spacing w:val="-4"/>
                <w:sz w:val="21"/>
                <w:szCs w:val="21"/>
                <w:highlight w:val="none"/>
                <w:vertAlign w:val="baseline"/>
                <w:lang w:eastAsia="zh-CN"/>
              </w:rPr>
              <w:t>基本资质1</w:t>
            </w:r>
          </w:p>
        </w:tc>
        <w:tc>
          <w:tcPr>
            <w:tcW w:w="1852" w:type="dxa"/>
            <w:vAlign w:val="center"/>
          </w:tcPr>
          <w:p w14:paraId="7AAC9EB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1"/>
                <w:szCs w:val="21"/>
                <w:highlight w:val="none"/>
                <w:vertAlign w:val="baseline"/>
                <w:lang w:eastAsia="zh-CN"/>
              </w:rPr>
            </w:pPr>
            <w:r>
              <w:rPr>
                <w:rFonts w:hint="eastAsia" w:ascii="宋体" w:hAnsi="宋体" w:eastAsia="宋体" w:cs="宋体"/>
                <w:color w:val="auto"/>
                <w:spacing w:val="-4"/>
                <w:sz w:val="21"/>
                <w:szCs w:val="21"/>
                <w:highlight w:val="none"/>
                <w:vertAlign w:val="baseline"/>
                <w:lang w:eastAsia="zh-CN"/>
              </w:rPr>
              <w:t>具有独立承担民事责任的能力。</w:t>
            </w:r>
          </w:p>
        </w:tc>
        <w:tc>
          <w:tcPr>
            <w:tcW w:w="5667" w:type="dxa"/>
            <w:vAlign w:val="center"/>
          </w:tcPr>
          <w:p w14:paraId="584CA8A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1"/>
                <w:szCs w:val="21"/>
                <w:highlight w:val="none"/>
                <w:vertAlign w:val="baseline"/>
                <w:lang w:eastAsia="zh-CN"/>
              </w:rPr>
            </w:pPr>
            <w:r>
              <w:rPr>
                <w:rFonts w:hint="eastAsia" w:ascii="宋体" w:hAnsi="宋体" w:eastAsia="宋体" w:cs="宋体"/>
                <w:color w:val="auto"/>
                <w:spacing w:val="-4"/>
                <w:sz w:val="21"/>
                <w:szCs w:val="21"/>
                <w:highlight w:val="none"/>
                <w:vertAlign w:val="baseline"/>
                <w:lang w:eastAsia="zh-CN"/>
              </w:rPr>
              <w:t>投标人为企业（包括合伙企业）的，应提供有效的“营业执照”；</w:t>
            </w:r>
          </w:p>
          <w:p w14:paraId="3DBD209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1"/>
                <w:szCs w:val="21"/>
                <w:highlight w:val="none"/>
                <w:vertAlign w:val="baseline"/>
                <w:lang w:eastAsia="zh-CN"/>
              </w:rPr>
            </w:pPr>
            <w:r>
              <w:rPr>
                <w:rFonts w:hint="eastAsia" w:ascii="宋体" w:hAnsi="宋体" w:eastAsia="宋体" w:cs="宋体"/>
                <w:color w:val="auto"/>
                <w:spacing w:val="-4"/>
                <w:sz w:val="21"/>
                <w:szCs w:val="21"/>
                <w:highlight w:val="none"/>
                <w:vertAlign w:val="baseline"/>
                <w:lang w:eastAsia="zh-CN"/>
              </w:rPr>
              <w:t>投标人为事业单位的，应提供有效的“事业单位法人证书”；</w:t>
            </w:r>
          </w:p>
          <w:p w14:paraId="0F224BE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1"/>
                <w:szCs w:val="21"/>
                <w:highlight w:val="none"/>
                <w:vertAlign w:val="baseline"/>
                <w:lang w:eastAsia="zh-CN"/>
              </w:rPr>
            </w:pPr>
            <w:r>
              <w:rPr>
                <w:rFonts w:hint="eastAsia" w:ascii="宋体" w:hAnsi="宋体" w:eastAsia="宋体" w:cs="宋体"/>
                <w:color w:val="auto"/>
                <w:spacing w:val="-4"/>
                <w:sz w:val="21"/>
                <w:szCs w:val="21"/>
                <w:highlight w:val="none"/>
                <w:vertAlign w:val="baseline"/>
                <w:lang w:eastAsia="zh-CN"/>
              </w:rPr>
              <w:t>投标人是非企业机构的，应提供有效的“执业许可证”、“登记证书”等证明文件；</w:t>
            </w:r>
          </w:p>
          <w:p w14:paraId="0AB1345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1"/>
                <w:szCs w:val="21"/>
                <w:highlight w:val="none"/>
                <w:vertAlign w:val="baseline"/>
                <w:lang w:eastAsia="zh-CN"/>
              </w:rPr>
            </w:pPr>
            <w:r>
              <w:rPr>
                <w:rFonts w:hint="eastAsia" w:ascii="宋体" w:hAnsi="宋体" w:eastAsia="宋体" w:cs="宋体"/>
                <w:color w:val="auto"/>
                <w:spacing w:val="-4"/>
                <w:sz w:val="21"/>
                <w:szCs w:val="21"/>
                <w:highlight w:val="none"/>
                <w:vertAlign w:val="baseline"/>
                <w:lang w:eastAsia="zh-CN"/>
              </w:rPr>
              <w:t>投标人是个体工商户的，应提供有效的“个体工商户营业执照”；</w:t>
            </w:r>
          </w:p>
          <w:p w14:paraId="0A9FFFB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1"/>
                <w:szCs w:val="21"/>
                <w:highlight w:val="none"/>
                <w:vertAlign w:val="baseline"/>
                <w:lang w:eastAsia="zh-CN"/>
              </w:rPr>
            </w:pPr>
            <w:r>
              <w:rPr>
                <w:rFonts w:hint="eastAsia" w:ascii="宋体" w:hAnsi="宋体" w:eastAsia="宋体" w:cs="宋体"/>
                <w:color w:val="auto"/>
                <w:spacing w:val="-4"/>
                <w:sz w:val="21"/>
                <w:szCs w:val="21"/>
                <w:highlight w:val="none"/>
                <w:vertAlign w:val="baseline"/>
                <w:lang w:eastAsia="zh-CN"/>
              </w:rPr>
              <w:t>投标人是自然人的，应提供有效的自然人身份证明。</w:t>
            </w:r>
          </w:p>
        </w:tc>
      </w:tr>
      <w:tr w14:paraId="1A73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365EE2A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1"/>
                <w:szCs w:val="21"/>
                <w:highlight w:val="none"/>
                <w:vertAlign w:val="baseline"/>
                <w:lang w:val="en-US" w:eastAsia="zh-CN"/>
              </w:rPr>
            </w:pPr>
            <w:r>
              <w:rPr>
                <w:rFonts w:hint="eastAsia" w:ascii="宋体" w:hAnsi="宋体" w:eastAsia="宋体" w:cs="宋体"/>
                <w:color w:val="auto"/>
                <w:spacing w:val="-4"/>
                <w:sz w:val="21"/>
                <w:szCs w:val="21"/>
                <w:highlight w:val="none"/>
                <w:vertAlign w:val="baseline"/>
                <w:lang w:val="en-US" w:eastAsia="zh-CN"/>
              </w:rPr>
              <w:t>2</w:t>
            </w:r>
          </w:p>
        </w:tc>
        <w:tc>
          <w:tcPr>
            <w:tcW w:w="1324" w:type="dxa"/>
            <w:vAlign w:val="center"/>
          </w:tcPr>
          <w:p w14:paraId="3DE704B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1"/>
                <w:szCs w:val="21"/>
                <w:highlight w:val="none"/>
                <w:vertAlign w:val="baseline"/>
                <w:lang w:val="en-US" w:eastAsia="zh-CN"/>
              </w:rPr>
            </w:pPr>
            <w:r>
              <w:rPr>
                <w:rFonts w:hint="eastAsia" w:ascii="宋体" w:hAnsi="宋体" w:eastAsia="宋体" w:cs="宋体"/>
                <w:color w:val="auto"/>
                <w:spacing w:val="-4"/>
                <w:sz w:val="21"/>
                <w:szCs w:val="21"/>
                <w:highlight w:val="none"/>
                <w:vertAlign w:val="baseline"/>
                <w:lang w:eastAsia="zh-CN"/>
              </w:rPr>
              <w:t>基本资质</w:t>
            </w:r>
            <w:r>
              <w:rPr>
                <w:rFonts w:hint="eastAsia" w:ascii="宋体" w:hAnsi="宋体" w:eastAsia="宋体" w:cs="宋体"/>
                <w:color w:val="auto"/>
                <w:spacing w:val="-4"/>
                <w:sz w:val="21"/>
                <w:szCs w:val="21"/>
                <w:highlight w:val="none"/>
                <w:vertAlign w:val="baseline"/>
                <w:lang w:val="en-US" w:eastAsia="zh-CN"/>
              </w:rPr>
              <w:t>2</w:t>
            </w:r>
          </w:p>
        </w:tc>
        <w:tc>
          <w:tcPr>
            <w:tcW w:w="1852" w:type="dxa"/>
            <w:vAlign w:val="center"/>
          </w:tcPr>
          <w:p w14:paraId="796463E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default" w:ascii="宋体" w:hAnsi="宋体" w:eastAsia="宋体" w:cs="宋体"/>
                <w:color w:val="auto"/>
                <w:spacing w:val="-4"/>
                <w:sz w:val="21"/>
                <w:szCs w:val="21"/>
                <w:highlight w:val="none"/>
                <w:vertAlign w:val="baseline"/>
                <w:lang w:val="en-US" w:eastAsia="zh-CN"/>
              </w:rPr>
            </w:pPr>
            <w:r>
              <w:rPr>
                <w:rFonts w:hint="eastAsia" w:ascii="宋体" w:hAnsi="宋体" w:eastAsia="宋体" w:cs="宋体"/>
                <w:color w:val="auto"/>
                <w:spacing w:val="-4"/>
                <w:sz w:val="21"/>
                <w:szCs w:val="21"/>
                <w:highlight w:val="none"/>
                <w:vertAlign w:val="baseline"/>
                <w:lang w:val="en-US" w:eastAsia="zh-CN"/>
              </w:rPr>
              <w:t>财务要求及履约</w:t>
            </w:r>
            <w:r>
              <w:rPr>
                <w:rFonts w:hint="eastAsia" w:ascii="宋体" w:hAnsi="宋体" w:eastAsia="宋体" w:cs="宋体"/>
                <w:color w:val="auto"/>
                <w:spacing w:val="-4"/>
                <w:sz w:val="21"/>
                <w:szCs w:val="21"/>
                <w:highlight w:val="none"/>
                <w:vertAlign w:val="baseline"/>
                <w:lang w:eastAsia="zh-CN"/>
              </w:rPr>
              <w:t>能力</w:t>
            </w:r>
          </w:p>
        </w:tc>
        <w:tc>
          <w:tcPr>
            <w:tcW w:w="5667" w:type="dxa"/>
            <w:vAlign w:val="center"/>
          </w:tcPr>
          <w:p w14:paraId="0ADE0F8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具有良好的商业信誉和健全的财务会计制度</w:t>
            </w:r>
            <w:r>
              <w:rPr>
                <w:rFonts w:hint="eastAsia" w:ascii="宋体" w:hAnsi="宋体" w:eastAsia="宋体" w:cs="宋体"/>
                <w:color w:val="auto"/>
                <w:sz w:val="21"/>
                <w:szCs w:val="21"/>
                <w:highlight w:val="none"/>
                <w:lang w:val="en-US" w:eastAsia="zh-CN"/>
              </w:rPr>
              <w:t>；</w:t>
            </w:r>
          </w:p>
          <w:p w14:paraId="5F916BD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具有依法缴纳税收和社会保障资金的良好记录。</w:t>
            </w:r>
          </w:p>
          <w:p w14:paraId="32E3208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1"/>
                <w:szCs w:val="21"/>
                <w:highlight w:val="none"/>
                <w:vertAlign w:val="baseline"/>
                <w:lang w:eastAsia="zh-CN"/>
              </w:rPr>
            </w:pPr>
            <w:r>
              <w:rPr>
                <w:rFonts w:hint="eastAsia" w:ascii="宋体" w:hAnsi="宋体" w:eastAsia="宋体" w:cs="宋体"/>
                <w:color w:val="auto"/>
                <w:spacing w:val="-4"/>
                <w:sz w:val="21"/>
                <w:szCs w:val="21"/>
                <w:highlight w:val="none"/>
                <w:vertAlign w:val="baseline"/>
                <w:lang w:eastAsia="zh-CN"/>
              </w:rPr>
              <w:t>提供资格条件承诺函。</w:t>
            </w:r>
          </w:p>
        </w:tc>
      </w:tr>
      <w:tr w14:paraId="70A4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6F6E94F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snapToGrid w:val="0"/>
                <w:color w:val="auto"/>
                <w:spacing w:val="-4"/>
                <w:kern w:val="0"/>
                <w:sz w:val="21"/>
                <w:szCs w:val="21"/>
                <w:highlight w:val="none"/>
                <w:vertAlign w:val="baseline"/>
                <w:lang w:val="en-US" w:eastAsia="zh-CN" w:bidi="ar-SA"/>
              </w:rPr>
            </w:pPr>
            <w:r>
              <w:rPr>
                <w:rFonts w:hint="eastAsia" w:ascii="宋体" w:hAnsi="宋体" w:eastAsia="宋体" w:cs="宋体"/>
                <w:color w:val="auto"/>
                <w:spacing w:val="-4"/>
                <w:sz w:val="21"/>
                <w:szCs w:val="21"/>
                <w:highlight w:val="none"/>
                <w:vertAlign w:val="baseline"/>
                <w:lang w:val="en-US" w:eastAsia="zh-CN"/>
              </w:rPr>
              <w:t>3</w:t>
            </w:r>
          </w:p>
        </w:tc>
        <w:tc>
          <w:tcPr>
            <w:tcW w:w="1324" w:type="dxa"/>
            <w:vAlign w:val="center"/>
          </w:tcPr>
          <w:p w14:paraId="64CA142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snapToGrid w:val="0"/>
                <w:color w:val="auto"/>
                <w:spacing w:val="-4"/>
                <w:kern w:val="0"/>
                <w:sz w:val="21"/>
                <w:szCs w:val="21"/>
                <w:highlight w:val="none"/>
                <w:vertAlign w:val="baseline"/>
                <w:lang w:val="en-US" w:eastAsia="zh-CN" w:bidi="ar-SA"/>
              </w:rPr>
            </w:pPr>
            <w:r>
              <w:rPr>
                <w:rFonts w:hint="eastAsia" w:ascii="宋体" w:hAnsi="宋体" w:eastAsia="宋体" w:cs="宋体"/>
                <w:color w:val="auto"/>
                <w:spacing w:val="-4"/>
                <w:sz w:val="21"/>
                <w:szCs w:val="21"/>
                <w:highlight w:val="none"/>
                <w:vertAlign w:val="baseline"/>
                <w:lang w:eastAsia="zh-CN"/>
              </w:rPr>
              <w:t>基本资质</w:t>
            </w:r>
            <w:r>
              <w:rPr>
                <w:rFonts w:hint="eastAsia" w:ascii="宋体" w:hAnsi="宋体" w:eastAsia="宋体" w:cs="宋体"/>
                <w:color w:val="auto"/>
                <w:spacing w:val="-4"/>
                <w:sz w:val="21"/>
                <w:szCs w:val="21"/>
                <w:highlight w:val="none"/>
                <w:vertAlign w:val="baseline"/>
                <w:lang w:val="en-US" w:eastAsia="zh-CN"/>
              </w:rPr>
              <w:t>3</w:t>
            </w:r>
          </w:p>
        </w:tc>
        <w:tc>
          <w:tcPr>
            <w:tcW w:w="1852" w:type="dxa"/>
            <w:vAlign w:val="center"/>
          </w:tcPr>
          <w:p w14:paraId="44E4723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失信记录</w:t>
            </w:r>
          </w:p>
        </w:tc>
        <w:tc>
          <w:tcPr>
            <w:tcW w:w="5667" w:type="dxa"/>
            <w:vAlign w:val="center"/>
          </w:tcPr>
          <w:p w14:paraId="7EE8D30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参加政府采购活动前三年内，在经营活动中没有重大违法记录</w:t>
            </w:r>
            <w:r>
              <w:rPr>
                <w:rFonts w:hint="eastAsia" w:ascii="宋体" w:hAnsi="宋体" w:eastAsia="宋体" w:cs="宋体"/>
                <w:color w:val="auto"/>
                <w:sz w:val="21"/>
                <w:szCs w:val="21"/>
                <w:highlight w:val="none"/>
                <w:lang w:val="en-US" w:eastAsia="zh-CN"/>
              </w:rPr>
              <w:t>。</w:t>
            </w:r>
          </w:p>
          <w:p w14:paraId="6F8D754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1"/>
                <w:szCs w:val="21"/>
                <w:highlight w:val="none"/>
                <w:vertAlign w:val="baseline"/>
                <w:lang w:eastAsia="zh-CN"/>
              </w:rPr>
            </w:pPr>
            <w:r>
              <w:rPr>
                <w:rFonts w:hint="eastAsia" w:ascii="宋体" w:hAnsi="宋体" w:eastAsia="宋体" w:cs="宋体"/>
                <w:color w:val="auto"/>
                <w:spacing w:val="-4"/>
                <w:sz w:val="21"/>
                <w:szCs w:val="21"/>
                <w:highlight w:val="none"/>
                <w:vertAlign w:val="baseline"/>
                <w:lang w:eastAsia="zh-CN"/>
              </w:rPr>
              <w:t>提供承诺书，格式自拟</w:t>
            </w:r>
          </w:p>
        </w:tc>
      </w:tr>
      <w:tr w14:paraId="6D5C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7452E22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1"/>
                <w:szCs w:val="21"/>
                <w:highlight w:val="none"/>
                <w:vertAlign w:val="baseline"/>
                <w:lang w:val="en-US" w:eastAsia="zh-CN"/>
              </w:rPr>
            </w:pPr>
            <w:r>
              <w:rPr>
                <w:rFonts w:hint="eastAsia" w:ascii="宋体" w:hAnsi="宋体" w:eastAsia="宋体" w:cs="宋体"/>
                <w:color w:val="auto"/>
                <w:spacing w:val="-4"/>
                <w:sz w:val="21"/>
                <w:szCs w:val="21"/>
                <w:highlight w:val="none"/>
                <w:vertAlign w:val="baseline"/>
                <w:lang w:val="en-US" w:eastAsia="zh-CN"/>
              </w:rPr>
              <w:t>4</w:t>
            </w:r>
          </w:p>
        </w:tc>
        <w:tc>
          <w:tcPr>
            <w:tcW w:w="1324" w:type="dxa"/>
            <w:vAlign w:val="center"/>
          </w:tcPr>
          <w:p w14:paraId="2CEF24B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1"/>
                <w:szCs w:val="21"/>
                <w:highlight w:val="none"/>
                <w:vertAlign w:val="baseline"/>
                <w:lang w:val="en-US" w:eastAsia="zh-CN"/>
              </w:rPr>
            </w:pPr>
            <w:r>
              <w:rPr>
                <w:rFonts w:hint="eastAsia" w:ascii="宋体" w:hAnsi="宋体" w:eastAsia="宋体" w:cs="宋体"/>
                <w:color w:val="auto"/>
                <w:spacing w:val="-4"/>
                <w:sz w:val="21"/>
                <w:szCs w:val="21"/>
                <w:highlight w:val="none"/>
                <w:vertAlign w:val="baseline"/>
                <w:lang w:eastAsia="zh-CN"/>
              </w:rPr>
              <w:t>基本资质</w:t>
            </w:r>
            <w:r>
              <w:rPr>
                <w:rFonts w:hint="eastAsia" w:ascii="宋体" w:hAnsi="宋体" w:eastAsia="宋体" w:cs="宋体"/>
                <w:color w:val="auto"/>
                <w:spacing w:val="-4"/>
                <w:sz w:val="21"/>
                <w:szCs w:val="21"/>
                <w:highlight w:val="none"/>
                <w:vertAlign w:val="baseline"/>
                <w:lang w:val="en-US" w:eastAsia="zh-CN"/>
              </w:rPr>
              <w:t>4</w:t>
            </w:r>
          </w:p>
        </w:tc>
        <w:tc>
          <w:tcPr>
            <w:tcW w:w="1852" w:type="dxa"/>
            <w:vAlign w:val="center"/>
          </w:tcPr>
          <w:p w14:paraId="7CA682E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default" w:ascii="宋体" w:hAnsi="宋体" w:eastAsia="宋体" w:cs="宋体"/>
                <w:snapToGrid w:val="0"/>
                <w:color w:val="auto"/>
                <w:spacing w:val="-4"/>
                <w:kern w:val="0"/>
                <w:sz w:val="21"/>
                <w:szCs w:val="21"/>
                <w:highlight w:val="none"/>
                <w:vertAlign w:val="baseline"/>
                <w:lang w:val="en-US" w:eastAsia="zh-CN" w:bidi="ar-SA"/>
              </w:rPr>
            </w:pPr>
            <w:r>
              <w:rPr>
                <w:rFonts w:hint="eastAsia" w:ascii="宋体" w:hAnsi="宋体" w:eastAsia="宋体" w:cs="宋体"/>
                <w:snapToGrid w:val="0"/>
                <w:color w:val="auto"/>
                <w:spacing w:val="-4"/>
                <w:kern w:val="0"/>
                <w:sz w:val="21"/>
                <w:szCs w:val="21"/>
                <w:highlight w:val="none"/>
                <w:vertAlign w:val="baseline"/>
                <w:lang w:val="en-US" w:eastAsia="zh-CN" w:bidi="ar-SA"/>
              </w:rPr>
              <w:t>信誉要求</w:t>
            </w:r>
          </w:p>
        </w:tc>
        <w:tc>
          <w:tcPr>
            <w:tcW w:w="5667" w:type="dxa"/>
            <w:vAlign w:val="center"/>
          </w:tcPr>
          <w:p w14:paraId="1AB55A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1"/>
                <w:szCs w:val="21"/>
                <w:highlight w:val="none"/>
                <w:vertAlign w:val="baseline"/>
                <w:lang w:eastAsia="zh-CN"/>
              </w:rPr>
            </w:pPr>
            <w:r>
              <w:rPr>
                <w:rFonts w:hint="eastAsia" w:ascii="宋体" w:hAnsi="宋体" w:eastAsia="宋体" w:cs="宋体"/>
                <w:snapToGrid w:val="0"/>
                <w:color w:val="auto"/>
                <w:spacing w:val="-4"/>
                <w:kern w:val="0"/>
                <w:sz w:val="21"/>
                <w:szCs w:val="21"/>
                <w:highlight w:val="none"/>
                <w:vertAlign w:val="baseline"/>
                <w:lang w:val="en-US" w:eastAsia="zh-CN" w:bidi="ar-SA"/>
              </w:rPr>
              <w:t>（1）</w:t>
            </w:r>
            <w:r>
              <w:rPr>
                <w:rFonts w:hint="eastAsia" w:ascii="宋体" w:hAnsi="宋体" w:eastAsia="宋体" w:cs="宋体"/>
                <w:color w:val="auto"/>
                <w:spacing w:val="-4"/>
                <w:sz w:val="21"/>
                <w:szCs w:val="21"/>
                <w:highlight w:val="none"/>
                <w:vertAlign w:val="baseline"/>
                <w:lang w:eastAsia="zh-CN"/>
              </w:rPr>
              <w:t>拒绝列入政府取消投标资格记录期间的企业或个人投标。（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p w14:paraId="6476C2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1"/>
                <w:szCs w:val="21"/>
                <w:highlight w:val="none"/>
                <w:vertAlign w:val="baseline"/>
                <w:lang w:val="en-US" w:eastAsia="zh-CN" w:bidi="ar-SA"/>
              </w:rPr>
            </w:pPr>
            <w:r>
              <w:rPr>
                <w:rFonts w:hint="eastAsia" w:ascii="宋体" w:hAnsi="宋体" w:eastAsia="宋体" w:cs="宋体"/>
                <w:color w:val="auto"/>
                <w:spacing w:val="-4"/>
                <w:sz w:val="21"/>
                <w:szCs w:val="21"/>
                <w:highlight w:val="none"/>
                <w:vertAlign w:val="baseline"/>
                <w:lang w:eastAsia="zh-CN"/>
              </w:rPr>
              <w:t>提供承诺书及相关网站截图，格式自拟。</w:t>
            </w:r>
          </w:p>
        </w:tc>
      </w:tr>
      <w:tr w14:paraId="2A62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2F210E3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1"/>
                <w:szCs w:val="21"/>
                <w:highlight w:val="none"/>
                <w:vertAlign w:val="baseline"/>
                <w:lang w:val="en-US" w:eastAsia="zh-CN"/>
              </w:rPr>
            </w:pPr>
            <w:r>
              <w:rPr>
                <w:rFonts w:hint="eastAsia" w:ascii="宋体" w:hAnsi="宋体" w:eastAsia="宋体" w:cs="宋体"/>
                <w:color w:val="auto"/>
                <w:spacing w:val="-4"/>
                <w:sz w:val="21"/>
                <w:szCs w:val="21"/>
                <w:highlight w:val="none"/>
                <w:vertAlign w:val="baseline"/>
                <w:lang w:val="en-US" w:eastAsia="zh-CN"/>
              </w:rPr>
              <w:t>5</w:t>
            </w:r>
          </w:p>
        </w:tc>
        <w:tc>
          <w:tcPr>
            <w:tcW w:w="1324" w:type="dxa"/>
            <w:vAlign w:val="center"/>
          </w:tcPr>
          <w:p w14:paraId="3DE9285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1"/>
                <w:szCs w:val="21"/>
                <w:highlight w:val="none"/>
                <w:vertAlign w:val="baseline"/>
                <w:lang w:val="en-US" w:eastAsia="zh-CN"/>
              </w:rPr>
            </w:pPr>
            <w:r>
              <w:rPr>
                <w:rFonts w:hint="eastAsia" w:ascii="宋体" w:hAnsi="宋体" w:eastAsia="宋体" w:cs="宋体"/>
                <w:color w:val="auto"/>
                <w:spacing w:val="-4"/>
                <w:sz w:val="21"/>
                <w:szCs w:val="21"/>
                <w:highlight w:val="none"/>
                <w:vertAlign w:val="baseline"/>
                <w:lang w:eastAsia="zh-CN"/>
              </w:rPr>
              <w:t>基本资质</w:t>
            </w:r>
            <w:r>
              <w:rPr>
                <w:rFonts w:hint="eastAsia" w:ascii="宋体" w:hAnsi="宋体" w:eastAsia="宋体" w:cs="宋体"/>
                <w:color w:val="auto"/>
                <w:spacing w:val="-4"/>
                <w:sz w:val="21"/>
                <w:szCs w:val="21"/>
                <w:highlight w:val="none"/>
                <w:vertAlign w:val="baseline"/>
                <w:lang w:val="en-US" w:eastAsia="zh-CN"/>
              </w:rPr>
              <w:t>5</w:t>
            </w:r>
          </w:p>
        </w:tc>
        <w:tc>
          <w:tcPr>
            <w:tcW w:w="1852" w:type="dxa"/>
            <w:vAlign w:val="center"/>
          </w:tcPr>
          <w:p w14:paraId="683D7B7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default" w:ascii="宋体" w:hAnsi="宋体" w:eastAsia="宋体" w:cs="宋体"/>
                <w:snapToGrid w:val="0"/>
                <w:color w:val="auto"/>
                <w:spacing w:val="-4"/>
                <w:kern w:val="0"/>
                <w:sz w:val="21"/>
                <w:szCs w:val="21"/>
                <w:highlight w:val="none"/>
                <w:vertAlign w:val="baseline"/>
                <w:lang w:val="en-US" w:eastAsia="zh-CN" w:bidi="ar-SA"/>
              </w:rPr>
            </w:pPr>
            <w:r>
              <w:rPr>
                <w:rFonts w:hint="eastAsia" w:ascii="宋体" w:hAnsi="宋体" w:eastAsia="宋体" w:cs="宋体"/>
                <w:snapToGrid w:val="0"/>
                <w:color w:val="auto"/>
                <w:spacing w:val="-4"/>
                <w:kern w:val="0"/>
                <w:sz w:val="21"/>
                <w:szCs w:val="21"/>
                <w:highlight w:val="none"/>
                <w:vertAlign w:val="baseline"/>
                <w:lang w:val="en-US" w:eastAsia="zh-CN" w:bidi="ar-SA"/>
              </w:rPr>
              <w:t>其他要求</w:t>
            </w:r>
          </w:p>
        </w:tc>
        <w:tc>
          <w:tcPr>
            <w:tcW w:w="5667" w:type="dxa"/>
            <w:vAlign w:val="center"/>
          </w:tcPr>
          <w:p w14:paraId="3F46C82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1"/>
                <w:szCs w:val="21"/>
                <w:highlight w:val="none"/>
                <w:vertAlign w:val="baseline"/>
                <w:lang w:val="en-US" w:eastAsia="zh-CN" w:bidi="ar-SA"/>
              </w:rPr>
            </w:pPr>
            <w:r>
              <w:rPr>
                <w:rFonts w:hint="eastAsia" w:ascii="宋体" w:hAnsi="宋体" w:eastAsia="宋体" w:cs="宋体"/>
                <w:snapToGrid w:val="0"/>
                <w:color w:val="auto"/>
                <w:spacing w:val="-4"/>
                <w:kern w:val="0"/>
                <w:sz w:val="21"/>
                <w:szCs w:val="21"/>
                <w:highlight w:val="none"/>
                <w:vertAlign w:val="baseline"/>
                <w:lang w:val="en-US" w:eastAsia="zh-CN" w:bidi="ar-SA"/>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6A94CEC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1"/>
                <w:szCs w:val="21"/>
                <w:highlight w:val="none"/>
                <w:vertAlign w:val="baseline"/>
                <w:lang w:val="en-US" w:eastAsia="zh-CN" w:bidi="ar-SA"/>
              </w:rPr>
            </w:pPr>
            <w:r>
              <w:rPr>
                <w:rFonts w:hint="eastAsia" w:ascii="宋体" w:hAnsi="宋体" w:eastAsia="宋体" w:cs="宋体"/>
                <w:color w:val="auto"/>
                <w:spacing w:val="-4"/>
                <w:sz w:val="21"/>
                <w:szCs w:val="21"/>
                <w:highlight w:val="none"/>
                <w:vertAlign w:val="baseline"/>
                <w:lang w:eastAsia="zh-CN"/>
              </w:rPr>
              <w:t>提供书面声明，格式自拟。</w:t>
            </w:r>
          </w:p>
        </w:tc>
      </w:tr>
      <w:tr w14:paraId="0925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69F12B7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1"/>
                <w:szCs w:val="21"/>
                <w:highlight w:val="none"/>
                <w:vertAlign w:val="baseline"/>
                <w:lang w:val="en-US" w:eastAsia="zh-CN"/>
              </w:rPr>
            </w:pPr>
            <w:r>
              <w:rPr>
                <w:rFonts w:hint="eastAsia" w:ascii="宋体" w:hAnsi="宋体" w:eastAsia="宋体" w:cs="宋体"/>
                <w:color w:val="auto"/>
                <w:spacing w:val="-4"/>
                <w:sz w:val="21"/>
                <w:szCs w:val="21"/>
                <w:highlight w:val="none"/>
                <w:vertAlign w:val="baseline"/>
                <w:lang w:val="en-US" w:eastAsia="zh-CN"/>
              </w:rPr>
              <w:t>6</w:t>
            </w:r>
          </w:p>
        </w:tc>
        <w:tc>
          <w:tcPr>
            <w:tcW w:w="1324" w:type="dxa"/>
            <w:vAlign w:val="center"/>
          </w:tcPr>
          <w:p w14:paraId="0693D3E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1"/>
                <w:szCs w:val="21"/>
                <w:highlight w:val="none"/>
                <w:vertAlign w:val="baseline"/>
                <w:lang w:val="en-US" w:eastAsia="zh-CN"/>
              </w:rPr>
            </w:pPr>
            <w:r>
              <w:rPr>
                <w:rFonts w:hint="eastAsia" w:ascii="宋体" w:hAnsi="宋体" w:eastAsia="宋体" w:cs="宋体"/>
                <w:color w:val="auto"/>
                <w:spacing w:val="-4"/>
                <w:sz w:val="21"/>
                <w:szCs w:val="21"/>
                <w:highlight w:val="none"/>
                <w:vertAlign w:val="baseline"/>
                <w:lang w:eastAsia="zh-CN"/>
              </w:rPr>
              <w:t>基本资质</w:t>
            </w:r>
            <w:r>
              <w:rPr>
                <w:rFonts w:hint="eastAsia" w:ascii="宋体" w:hAnsi="宋体" w:eastAsia="宋体" w:cs="宋体"/>
                <w:color w:val="auto"/>
                <w:spacing w:val="-4"/>
                <w:sz w:val="21"/>
                <w:szCs w:val="21"/>
                <w:highlight w:val="none"/>
                <w:vertAlign w:val="baseline"/>
                <w:lang w:val="en-US" w:eastAsia="zh-CN"/>
              </w:rPr>
              <w:t>6</w:t>
            </w:r>
          </w:p>
        </w:tc>
        <w:tc>
          <w:tcPr>
            <w:tcW w:w="1852" w:type="dxa"/>
            <w:vAlign w:val="center"/>
          </w:tcPr>
          <w:p w14:paraId="0EAF5FE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default" w:ascii="宋体" w:hAnsi="宋体" w:eastAsia="宋体" w:cs="宋体"/>
                <w:snapToGrid w:val="0"/>
                <w:color w:val="auto"/>
                <w:spacing w:val="-4"/>
                <w:kern w:val="0"/>
                <w:sz w:val="21"/>
                <w:szCs w:val="21"/>
                <w:highlight w:val="none"/>
                <w:vertAlign w:val="baseline"/>
                <w:lang w:val="en-US" w:eastAsia="zh-CN" w:bidi="ar-SA"/>
              </w:rPr>
            </w:pPr>
            <w:r>
              <w:rPr>
                <w:rFonts w:hint="eastAsia" w:ascii="宋体" w:hAnsi="宋体" w:eastAsia="宋体" w:cs="宋体"/>
                <w:color w:val="auto"/>
                <w:spacing w:val="-4"/>
                <w:sz w:val="21"/>
                <w:szCs w:val="21"/>
                <w:highlight w:val="none"/>
                <w:vertAlign w:val="baseline"/>
                <w:lang w:eastAsia="zh-CN"/>
              </w:rPr>
              <w:t>联合体</w:t>
            </w:r>
            <w:r>
              <w:rPr>
                <w:rFonts w:hint="eastAsia" w:ascii="宋体" w:hAnsi="宋体" w:eastAsia="宋体" w:cs="宋体"/>
                <w:color w:val="auto"/>
                <w:spacing w:val="-4"/>
                <w:sz w:val="21"/>
                <w:szCs w:val="21"/>
                <w:highlight w:val="none"/>
                <w:vertAlign w:val="baseline"/>
                <w:lang w:val="en-US" w:eastAsia="zh-CN"/>
              </w:rPr>
              <w:t>要求</w:t>
            </w:r>
          </w:p>
        </w:tc>
        <w:tc>
          <w:tcPr>
            <w:tcW w:w="5667" w:type="dxa"/>
            <w:vAlign w:val="center"/>
          </w:tcPr>
          <w:p w14:paraId="22DBCCA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1"/>
                <w:szCs w:val="21"/>
                <w:highlight w:val="none"/>
                <w:vertAlign w:val="baseline"/>
                <w:lang w:val="en-US" w:eastAsia="zh-CN" w:bidi="ar-SA"/>
              </w:rPr>
            </w:pPr>
            <w:r>
              <w:rPr>
                <w:rFonts w:hint="eastAsia" w:ascii="宋体" w:hAnsi="宋体" w:eastAsia="宋体" w:cs="宋体"/>
                <w:color w:val="auto"/>
                <w:spacing w:val="-4"/>
                <w:sz w:val="21"/>
                <w:szCs w:val="21"/>
                <w:highlight w:val="none"/>
                <w:vertAlign w:val="baseline"/>
                <w:lang w:eastAsia="zh-CN"/>
              </w:rPr>
              <w:t>不接受联合体投标。</w:t>
            </w:r>
          </w:p>
        </w:tc>
      </w:tr>
      <w:tr w14:paraId="261C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1C53FA5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1"/>
                <w:szCs w:val="21"/>
                <w:highlight w:val="none"/>
                <w:vertAlign w:val="baseline"/>
                <w:lang w:val="en-US" w:eastAsia="zh-CN"/>
              </w:rPr>
            </w:pPr>
            <w:r>
              <w:rPr>
                <w:rFonts w:hint="eastAsia" w:ascii="宋体" w:hAnsi="宋体" w:eastAsia="宋体" w:cs="宋体"/>
                <w:color w:val="auto"/>
                <w:spacing w:val="-4"/>
                <w:sz w:val="21"/>
                <w:szCs w:val="21"/>
                <w:highlight w:val="none"/>
                <w:vertAlign w:val="baseline"/>
                <w:lang w:val="en-US" w:eastAsia="zh-CN"/>
              </w:rPr>
              <w:t>7</w:t>
            </w:r>
          </w:p>
        </w:tc>
        <w:tc>
          <w:tcPr>
            <w:tcW w:w="1324" w:type="dxa"/>
            <w:vAlign w:val="center"/>
          </w:tcPr>
          <w:p w14:paraId="294C093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1"/>
                <w:szCs w:val="21"/>
                <w:highlight w:val="none"/>
                <w:vertAlign w:val="baseline"/>
                <w:lang w:val="en-US" w:eastAsia="zh-CN"/>
              </w:rPr>
            </w:pPr>
            <w:r>
              <w:rPr>
                <w:rFonts w:hint="eastAsia" w:ascii="宋体" w:hAnsi="宋体" w:eastAsia="宋体" w:cs="宋体"/>
                <w:color w:val="auto"/>
                <w:spacing w:val="-4"/>
                <w:sz w:val="21"/>
                <w:szCs w:val="21"/>
                <w:highlight w:val="none"/>
                <w:vertAlign w:val="baseline"/>
                <w:lang w:eastAsia="zh-CN"/>
              </w:rPr>
              <w:t>基本资质</w:t>
            </w:r>
            <w:r>
              <w:rPr>
                <w:rFonts w:hint="eastAsia" w:ascii="宋体" w:hAnsi="宋体" w:eastAsia="宋体" w:cs="宋体"/>
                <w:color w:val="auto"/>
                <w:spacing w:val="-4"/>
                <w:sz w:val="21"/>
                <w:szCs w:val="21"/>
                <w:highlight w:val="none"/>
                <w:vertAlign w:val="baseline"/>
                <w:lang w:val="en-US" w:eastAsia="zh-CN"/>
              </w:rPr>
              <w:t>7</w:t>
            </w:r>
          </w:p>
        </w:tc>
        <w:tc>
          <w:tcPr>
            <w:tcW w:w="1852" w:type="dxa"/>
            <w:vAlign w:val="center"/>
          </w:tcPr>
          <w:p w14:paraId="5CDFEFF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1"/>
                <w:szCs w:val="21"/>
                <w:highlight w:val="none"/>
                <w:vertAlign w:val="baseline"/>
                <w:lang w:val="en-US" w:eastAsia="zh-CN" w:bidi="ar-SA"/>
              </w:rPr>
            </w:pPr>
            <w:r>
              <w:rPr>
                <w:rFonts w:hint="eastAsia" w:ascii="宋体" w:hAnsi="宋体" w:eastAsia="宋体" w:cs="宋体"/>
                <w:color w:val="auto"/>
                <w:spacing w:val="-4"/>
                <w:sz w:val="21"/>
                <w:szCs w:val="21"/>
                <w:highlight w:val="none"/>
                <w:vertAlign w:val="baseline"/>
                <w:lang w:eastAsia="zh-CN"/>
              </w:rPr>
              <w:t>本项目特定的资格要求的证明材料</w:t>
            </w:r>
          </w:p>
        </w:tc>
        <w:tc>
          <w:tcPr>
            <w:tcW w:w="5667" w:type="dxa"/>
            <w:vAlign w:val="center"/>
          </w:tcPr>
          <w:p w14:paraId="35E8F34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1"/>
                <w:szCs w:val="21"/>
                <w:highlight w:val="none"/>
                <w:vertAlign w:val="baseline"/>
                <w:lang w:val="en-US" w:eastAsia="zh-CN" w:bidi="ar-SA"/>
              </w:rPr>
            </w:pPr>
            <w:r>
              <w:rPr>
                <w:rFonts w:hint="eastAsia" w:ascii="宋体" w:hAnsi="宋体" w:eastAsia="宋体" w:cs="宋体"/>
                <w:snapToGrid w:val="0"/>
                <w:color w:val="auto"/>
                <w:spacing w:val="-4"/>
                <w:kern w:val="0"/>
                <w:sz w:val="21"/>
                <w:szCs w:val="21"/>
                <w:highlight w:val="none"/>
                <w:vertAlign w:val="baseline"/>
                <w:lang w:val="en-US" w:eastAsia="zh-CN" w:bidi="ar-SA"/>
              </w:rPr>
              <w:t>（1）投标人为生产企业，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4803246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1"/>
                <w:szCs w:val="21"/>
                <w:highlight w:val="none"/>
                <w:vertAlign w:val="baseline"/>
                <w:lang w:val="en-US" w:eastAsia="zh-CN" w:bidi="ar-SA"/>
              </w:rPr>
            </w:pPr>
            <w:r>
              <w:rPr>
                <w:rFonts w:hint="eastAsia" w:ascii="宋体" w:hAnsi="宋体" w:eastAsia="宋体" w:cs="宋体"/>
                <w:snapToGrid w:val="0"/>
                <w:color w:val="auto"/>
                <w:spacing w:val="-4"/>
                <w:kern w:val="0"/>
                <w:sz w:val="21"/>
                <w:szCs w:val="21"/>
                <w:highlight w:val="none"/>
                <w:vertAlign w:val="baseline"/>
                <w:lang w:val="en-US" w:eastAsia="zh-CN" w:bidi="ar-SA"/>
              </w:rPr>
              <w:t xml:space="preserve">（2）投标人为经营企业，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 </w:t>
            </w:r>
          </w:p>
          <w:p w14:paraId="262B43E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1"/>
                <w:szCs w:val="21"/>
                <w:highlight w:val="none"/>
                <w:vertAlign w:val="baseline"/>
                <w:lang w:val="en-US" w:eastAsia="zh-CN" w:bidi="ar-SA"/>
              </w:rPr>
            </w:pPr>
            <w:r>
              <w:rPr>
                <w:rFonts w:hint="eastAsia" w:ascii="宋体" w:hAnsi="宋体" w:eastAsia="宋体" w:cs="宋体"/>
                <w:snapToGrid w:val="0"/>
                <w:color w:val="auto"/>
                <w:spacing w:val="-4"/>
                <w:kern w:val="0"/>
                <w:sz w:val="21"/>
                <w:szCs w:val="21"/>
                <w:highlight w:val="none"/>
                <w:vertAlign w:val="baseline"/>
                <w:lang w:val="en-US" w:eastAsia="zh-CN" w:bidi="ar-SA"/>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tc>
      </w:tr>
      <w:tr w14:paraId="2560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2D199F2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1"/>
                <w:szCs w:val="21"/>
                <w:highlight w:val="none"/>
                <w:vertAlign w:val="baseline"/>
                <w:lang w:val="en-US" w:eastAsia="zh-CN"/>
              </w:rPr>
            </w:pPr>
            <w:r>
              <w:rPr>
                <w:rFonts w:hint="eastAsia" w:ascii="宋体" w:hAnsi="宋体" w:eastAsia="宋体" w:cs="宋体"/>
                <w:color w:val="auto"/>
                <w:spacing w:val="-4"/>
                <w:sz w:val="21"/>
                <w:szCs w:val="21"/>
                <w:highlight w:val="none"/>
                <w:vertAlign w:val="baseline"/>
                <w:lang w:val="en-US" w:eastAsia="zh-CN"/>
              </w:rPr>
              <w:t>8</w:t>
            </w:r>
          </w:p>
        </w:tc>
        <w:tc>
          <w:tcPr>
            <w:tcW w:w="1324" w:type="dxa"/>
            <w:vAlign w:val="center"/>
          </w:tcPr>
          <w:p w14:paraId="412788C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1"/>
                <w:szCs w:val="21"/>
                <w:highlight w:val="none"/>
                <w:vertAlign w:val="baseline"/>
                <w:lang w:val="en-US" w:eastAsia="zh-CN"/>
              </w:rPr>
            </w:pPr>
            <w:r>
              <w:rPr>
                <w:rFonts w:hint="eastAsia" w:ascii="宋体" w:hAnsi="宋体" w:eastAsia="宋体" w:cs="宋体"/>
                <w:color w:val="auto"/>
                <w:spacing w:val="-4"/>
                <w:sz w:val="21"/>
                <w:szCs w:val="21"/>
                <w:highlight w:val="none"/>
                <w:vertAlign w:val="baseline"/>
                <w:lang w:eastAsia="zh-CN"/>
              </w:rPr>
              <w:t>基本资质</w:t>
            </w:r>
            <w:r>
              <w:rPr>
                <w:rFonts w:hint="eastAsia" w:ascii="宋体" w:hAnsi="宋体" w:eastAsia="宋体" w:cs="宋体"/>
                <w:color w:val="auto"/>
                <w:spacing w:val="-4"/>
                <w:sz w:val="21"/>
                <w:szCs w:val="21"/>
                <w:highlight w:val="none"/>
                <w:vertAlign w:val="baseline"/>
                <w:lang w:val="en-US" w:eastAsia="zh-CN"/>
              </w:rPr>
              <w:t>8</w:t>
            </w:r>
          </w:p>
        </w:tc>
        <w:tc>
          <w:tcPr>
            <w:tcW w:w="1852" w:type="dxa"/>
            <w:vAlign w:val="center"/>
          </w:tcPr>
          <w:p w14:paraId="6C0BF7A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1"/>
                <w:szCs w:val="21"/>
                <w:highlight w:val="none"/>
                <w:vertAlign w:val="baseline"/>
                <w:lang w:val="en-US" w:eastAsia="zh-CN" w:bidi="ar-SA"/>
              </w:rPr>
            </w:pPr>
            <w:r>
              <w:rPr>
                <w:rFonts w:hint="eastAsia" w:ascii="宋体" w:hAnsi="宋体" w:eastAsia="宋体" w:cs="宋体"/>
                <w:color w:val="auto"/>
                <w:spacing w:val="-4"/>
                <w:sz w:val="21"/>
                <w:szCs w:val="21"/>
                <w:highlight w:val="none"/>
                <w:vertAlign w:val="baseline"/>
                <w:lang w:eastAsia="zh-CN"/>
              </w:rPr>
              <w:t>按招标文件中的要求提交了投标保证金，保证金金额和形式符合招标文件要求</w:t>
            </w:r>
          </w:p>
        </w:tc>
        <w:tc>
          <w:tcPr>
            <w:tcW w:w="5667" w:type="dxa"/>
            <w:vAlign w:val="center"/>
          </w:tcPr>
          <w:p w14:paraId="6922A6B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1"/>
                <w:szCs w:val="21"/>
                <w:highlight w:val="none"/>
                <w:vertAlign w:val="baseline"/>
                <w:lang w:val="en-US" w:eastAsia="zh-CN" w:bidi="ar-SA"/>
              </w:rPr>
            </w:pPr>
            <w:r>
              <w:rPr>
                <w:rFonts w:hint="eastAsia" w:ascii="宋体" w:hAnsi="宋体" w:eastAsia="宋体" w:cs="宋体"/>
                <w:snapToGrid w:val="0"/>
                <w:color w:val="auto"/>
                <w:spacing w:val="-4"/>
                <w:kern w:val="0"/>
                <w:sz w:val="21"/>
                <w:szCs w:val="21"/>
                <w:highlight w:val="none"/>
                <w:vertAlign w:val="baseline"/>
                <w:lang w:val="en-US" w:eastAsia="zh-CN" w:bidi="ar-SA"/>
              </w:rPr>
              <w:t>注：依据长财采购【2021】695号文件的规定，对于满足《中华人民共和国政府采购法》第二十二条有关规定，经“信用中国”网站查询不存在行政处罚信息的、诚信记录良好的投标人，无需交纳投标保证金。</w:t>
            </w:r>
          </w:p>
        </w:tc>
      </w:tr>
    </w:tbl>
    <w:p w14:paraId="69ABF47C">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注：本表中符合评审内容要求的写“√”,不符合评审内容要求的写“×”。结论为“合格”或“不合格”。</w:t>
      </w:r>
    </w:p>
    <w:p w14:paraId="69D83066">
      <w:pPr>
        <w:bidi w:val="0"/>
        <w:outlineLvl w:val="9"/>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p>
    <w:p w14:paraId="79458214">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18</w:t>
      </w: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评标过程的保密性</w:t>
      </w:r>
    </w:p>
    <w:p w14:paraId="724FD093">
      <w:pPr>
        <w:spacing w:before="178" w:line="360" w:lineRule="auto"/>
        <w:ind w:right="159" w:firstLine="244" w:firstLineChars="1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18.1</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2"/>
          <w:sz w:val="24"/>
          <w:szCs w:val="24"/>
          <w:highlight w:val="none"/>
        </w:rPr>
        <w:t>公开开标后，直至向中标的投标人授予合同时止，除按招标文件</w:t>
      </w:r>
      <w:r>
        <w:rPr>
          <w:rFonts w:hint="eastAsia" w:ascii="宋体" w:hAnsi="宋体" w:eastAsia="宋体" w:cs="宋体"/>
          <w:color w:val="auto"/>
          <w:spacing w:val="1"/>
          <w:sz w:val="24"/>
          <w:szCs w:val="24"/>
          <w:highlight w:val="none"/>
        </w:rPr>
        <w:t>规定予以公开</w:t>
      </w:r>
      <w:r>
        <w:rPr>
          <w:rFonts w:hint="eastAsia" w:ascii="宋体" w:hAnsi="宋体" w:eastAsia="宋体" w:cs="宋体"/>
          <w:color w:val="auto"/>
          <w:spacing w:val="-2"/>
          <w:sz w:val="24"/>
          <w:szCs w:val="24"/>
          <w:highlight w:val="none"/>
        </w:rPr>
        <w:t>的评标结果外，凡与审查、澄清、评价和比较投标有关</w:t>
      </w:r>
      <w:r>
        <w:rPr>
          <w:rFonts w:hint="eastAsia" w:ascii="宋体" w:hAnsi="宋体" w:eastAsia="宋体" w:cs="宋体"/>
          <w:color w:val="auto"/>
          <w:spacing w:val="-3"/>
          <w:sz w:val="24"/>
          <w:szCs w:val="24"/>
          <w:highlight w:val="none"/>
        </w:rPr>
        <w:t>的资料以及授标意见等，均不得向</w:t>
      </w:r>
      <w:r>
        <w:rPr>
          <w:rFonts w:hint="eastAsia" w:ascii="宋体" w:hAnsi="宋体" w:eastAsia="宋体" w:cs="宋体"/>
          <w:color w:val="auto"/>
          <w:spacing w:val="-1"/>
          <w:sz w:val="24"/>
          <w:szCs w:val="24"/>
          <w:highlight w:val="none"/>
        </w:rPr>
        <w:t>投标人及与评标无关的其他人透露。</w:t>
      </w:r>
    </w:p>
    <w:p w14:paraId="5463D975">
      <w:pPr>
        <w:spacing w:before="178" w:line="221"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14:textOutline w14:w="4358" w14:cap="sq" w14:cmpd="sng">
            <w14:solidFill>
              <w14:srgbClr w14:val="000000"/>
            </w14:solidFill>
            <w14:prstDash w14:val="solid"/>
            <w14:bevel/>
          </w14:textOutline>
        </w:rPr>
        <w:t>19</w:t>
      </w:r>
      <w:r>
        <w:rPr>
          <w:rFonts w:hint="eastAsia" w:ascii="宋体" w:hAnsi="宋体" w:eastAsia="宋体" w:cs="宋体"/>
          <w:color w:val="auto"/>
          <w:spacing w:val="-5"/>
          <w:sz w:val="24"/>
          <w:szCs w:val="24"/>
          <w:highlight w:val="none"/>
          <w:lang w:val="en-US"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5"/>
          <w:sz w:val="24"/>
          <w:szCs w:val="24"/>
          <w:highlight w:val="none"/>
          <w14:textOutline w14:w="4358" w14:cap="sq" w14:cmpd="sng">
            <w14:solidFill>
              <w14:srgbClr w14:val="000000"/>
            </w14:solidFill>
            <w14:prstDash w14:val="solid"/>
            <w14:bevel/>
          </w14:textOutline>
        </w:rPr>
        <w:t>评标</w:t>
      </w:r>
    </w:p>
    <w:p w14:paraId="615B00C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采购代理机构负责组织评标工作，并履行下列职责：</w:t>
      </w:r>
    </w:p>
    <w:p w14:paraId="17550E19">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核对评审专家身份和采购人代表授权函，对评审专家在政府采购活动中的职责履行情况予以记录，并及时将有关违法违规行为向财政部门报告；</w:t>
      </w:r>
    </w:p>
    <w:p w14:paraId="3DE8BF6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宣布评标纪律；</w:t>
      </w:r>
    </w:p>
    <w:p w14:paraId="45D9EABE">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公布投标人名单，告知评审专家应当回避的情形；</w:t>
      </w:r>
    </w:p>
    <w:p w14:paraId="6877CE80">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组织评标委员会推选评标组长，采购人代表不得担任组长；</w:t>
      </w:r>
    </w:p>
    <w:p w14:paraId="6CCAEEA4">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在评标期间采取必要的通讯管理措施，保证评标活动不受外界干扰；</w:t>
      </w:r>
    </w:p>
    <w:p w14:paraId="76630AF1">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根据评标委员会的要求介绍政府采购相关政策法规、招标文件；</w:t>
      </w:r>
    </w:p>
    <w:p w14:paraId="36AADDB8">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维护评标秩序，监督评标委员会依照招标文件规定的评标程序、方法和标准进行独立评审，及时制止和纠正采购人代表、评审专家的倾向性言论或者违法违规行为；</w:t>
      </w:r>
    </w:p>
    <w:p w14:paraId="12EAB6FE">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评标委员会根据有关法律法规和招标文件规定的方法和标准独立评标，负责完成评标的全过程直至评定预中标人。招标代理机构只负责评标组织工作，不参加评标。</w:t>
      </w:r>
    </w:p>
    <w:p w14:paraId="47CD2F3B">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核对评标结果，有《政府采购货物和服务招标投标管理办法》（中华人民共和国财政部令第87号）规定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772F501D">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处理与评标有关的其他事项。</w:t>
      </w:r>
    </w:p>
    <w:p w14:paraId="57270BFB">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采购人可以在评标前说明项目背景和采购需求，说明内容不得含有歧视性、倾向性意见，不得超出招标文件所述范围。说明应当提交书面材料，并随采购文件一并存。</w:t>
      </w:r>
    </w:p>
    <w:p w14:paraId="064D8DB2">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评标委员会由采购人代表和评审专家组成，采购人代表由采购人委派，专家成员从政采云平台专家库中随机抽取产生。评标委员会根据有关法律法规和招标文件规定的方法和标准独立评标，负责完成评标的全过程直至评定预中标人，成员人数应当为5人以上单数，其中随机抽取的评审专家不得少于成员总数的三分之二。</w:t>
      </w:r>
    </w:p>
    <w:p w14:paraId="5B5F19AC">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采购项目符合下列情形之一的，评标委员会成员人数应当为 7 人以上单数：</w:t>
      </w:r>
    </w:p>
    <w:p w14:paraId="7123D9D6">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（一）采购预算金额在 1000 万元以上；</w:t>
      </w:r>
    </w:p>
    <w:p w14:paraId="63B43E43">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（二）技术复杂；</w:t>
      </w:r>
    </w:p>
    <w:p w14:paraId="3FE5624C">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（三）社会影响较大。</w:t>
      </w:r>
    </w:p>
    <w:p w14:paraId="521A69B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 评标委员会负责具体评标事物，并独立履行下列职责：</w:t>
      </w:r>
    </w:p>
    <w:p w14:paraId="3499BC61">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（一）审查、评价投标文件是否符合招标文件的商务、技术等实质性要求；</w:t>
      </w:r>
    </w:p>
    <w:p w14:paraId="75C3B92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（二）要求投标人对投标文件有关事项作出澄清或者说明；</w:t>
      </w:r>
    </w:p>
    <w:p w14:paraId="70B01B05">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（三）对投标文件进行比较和评价；</w:t>
      </w:r>
    </w:p>
    <w:p w14:paraId="03A3E64A">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（四）确定中标候选人名单；</w:t>
      </w:r>
    </w:p>
    <w:p w14:paraId="6D7C7AEB">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（五）向采购人、采购代理机构或者有关部门报告评标中发现的违法行为。</w:t>
      </w:r>
    </w:p>
    <w:p w14:paraId="7101883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19.6 评标委员会对投标文件的判定，只依据投标文件内容本身，不依据任何外来证明。</w:t>
      </w:r>
    </w:p>
    <w:p w14:paraId="38A19DFC">
      <w:pPr>
        <w:spacing w:before="181" w:line="221" w:lineRule="auto"/>
        <w:ind w:left="392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五、确定中标</w:t>
      </w:r>
    </w:p>
    <w:p w14:paraId="17834689">
      <w:pPr>
        <w:spacing w:before="179" w:line="221"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20</w:t>
      </w: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中标</w:t>
      </w:r>
    </w:p>
    <w:p w14:paraId="6B487AC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采购代理机构将在评标结束后2个工作日内将评标报告送采购人。</w:t>
      </w:r>
    </w:p>
    <w:p w14:paraId="0CFAC01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采购人将自收到评标报告之日起5个工作日内，在评标报告确定的中标候选人名单中按顺序确定中标人。中标候选人并列的，采购人将采取随机抽取的方式确定。</w:t>
      </w:r>
    </w:p>
    <w:p w14:paraId="15F9192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采购人在收到评标报告 5 个工作日内未按评标报告推荐的中标候选人顺序确定中标人，又不能说明合法理由的，视同按评标报告推荐的顺序确定排名第一的中标候选人为中标人。</w:t>
      </w:r>
    </w:p>
    <w:p w14:paraId="796A23F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采购代理机构将自中标人确定之日起 2 个工作日内，在市级政府采购媒介上公告中标结果，招标文件应当随中标结果同时公告。中标公告期限为 1 个工作日。</w:t>
      </w:r>
    </w:p>
    <w:p w14:paraId="48E573F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 在公告中标结果的同时，采购代理机构向中标人发出中标通知书；对未通过资格审查的投标人，将告知其未通过的原因；采用综合评分法评审的，还将告知未中标人本人的评审得分与排序。</w:t>
      </w:r>
    </w:p>
    <w:p w14:paraId="06ADC052">
      <w:pPr>
        <w:spacing w:before="182" w:line="222"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21</w:t>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签订合同</w:t>
      </w:r>
    </w:p>
    <w:p w14:paraId="33EA66C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中标通知书发出后，采购人不得违法改变中标结果，中标人无正当理由不得放弃中标。</w:t>
      </w:r>
    </w:p>
    <w:p w14:paraId="05E3B3A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采购人应当自中标通知书发出之日起 30 日内，按照招标文件和中标人投标文件的规定，与中标人签订书面合同。所签订的合同不得对招标文件确定的事项和中标人投标文件作实质性修改。</w:t>
      </w:r>
    </w:p>
    <w:p w14:paraId="5C9652B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采购人不得向中标人提出任何不合理的要求作为签订合同的条件。</w:t>
      </w:r>
    </w:p>
    <w:p w14:paraId="3C35809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中标人拒绝与采购人签订合同的，采购人可以按照评标报告推荐的中标候选人名单排序，确定下一候选人为中标人，也可以重新开展政府采购活动。</w:t>
      </w:r>
    </w:p>
    <w:p w14:paraId="66728B7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 根据《中华人民共和国政府采购法实施条例》采购人应当自政府采购合同签订之日起 2 个工作日内，将政府采购合同在省级以上人民政府财政部门指定的媒体上公，但政府采购合同中涉及国家秘密、商业秘密的内容除外。</w:t>
      </w:r>
    </w:p>
    <w:p w14:paraId="46B192D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 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 10%。</w:t>
      </w:r>
    </w:p>
    <w:p w14:paraId="280BC92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 政府采购合同不能转包。</w:t>
      </w:r>
    </w:p>
    <w:p w14:paraId="01F4056C">
      <w:pPr>
        <w:spacing w:before="180" w:line="221"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22</w:t>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保密和披露</w:t>
      </w:r>
    </w:p>
    <w:p w14:paraId="40E52E3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投标人自购买招标文件之日起，须承诺承担本招标项目下的保密义务，不得将因本次招标获得的信息向第三人外传。</w:t>
      </w:r>
    </w:p>
    <w:p w14:paraId="4A65925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22.2采购人有权将投标人提供的所有资料向其他政府部门或有关的非政府机构负责评审标书的人员或与评标有关的人员披露。</w:t>
      </w:r>
    </w:p>
    <w:p w14:paraId="7683720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0FC794C7">
      <w:pPr>
        <w:numPr>
          <w:ilvl w:val="0"/>
          <w:numId w:val="0"/>
        </w:numPr>
        <w:spacing w:before="181" w:line="221" w:lineRule="auto"/>
        <w:outlineLvl w:val="9"/>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23.</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质疑和投诉</w:t>
      </w:r>
    </w:p>
    <w:p w14:paraId="4B7C12B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采购方提出质疑（如投标人所参与项目须要在网上提交质疑程序，须同时将纸质版质疑材料递交至采购代理机构，并附网上投标报名或下载文件截图）。投标人应在法定质疑期内一次性提出针对同一采购程序环节的质疑。（质疑联系人及联系方式：</w:t>
      </w:r>
      <w:r>
        <w:rPr>
          <w:rFonts w:hint="eastAsia" w:ascii="宋体" w:hAnsi="宋体" w:eastAsia="宋体" w:cs="宋体"/>
          <w:color w:val="auto"/>
          <w:sz w:val="24"/>
          <w:szCs w:val="24"/>
          <w:highlight w:val="none"/>
          <w:lang w:val="en-US" w:eastAsia="zh-CN"/>
        </w:rPr>
        <w:t>刘诗杭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18844133735</w:t>
      </w:r>
      <w:r>
        <w:rPr>
          <w:rFonts w:hint="eastAsia" w:ascii="宋体" w:hAnsi="宋体" w:eastAsia="宋体" w:cs="宋体"/>
          <w:color w:val="auto"/>
          <w:sz w:val="24"/>
          <w:szCs w:val="24"/>
          <w:highlight w:val="none"/>
        </w:rPr>
        <w:t>）投标人对采购人的质疑答复不满意或者采购人未在规定时间内作出答复的，可以在答复期满后十五个工作日内向同级采购监管部门投诉。</w:t>
      </w:r>
    </w:p>
    <w:p w14:paraId="17B16D0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质疑书、投诉书均应明确阐述招标文件、招标过程和中标结果中使自己合法权益受到损害的实质性内容，提供相关事实、依据和证据及其来源或线索，便于有关单位调查、答复和处理。</w:t>
      </w:r>
    </w:p>
    <w:p w14:paraId="6803AE68">
      <w:pPr>
        <w:spacing w:before="181" w:line="22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24</w:t>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中标服务费</w:t>
      </w:r>
    </w:p>
    <w:p w14:paraId="0288210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中标人在接到中标通知书后，应向采购代理机构足额交纳中标服务费，收费标准：参考招标代理服务费计费计价格〔2002〕1980号文件、代理机构按国家发改委发改办价格〔2003〕857号文件费率标准，执行国家发展计划委员会计价格〔2015〕299号文件的取费标准，由</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供应商支付。</w:t>
      </w:r>
    </w:p>
    <w:p w14:paraId="38DF2BB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收款人：</w:t>
      </w:r>
      <w:r>
        <w:rPr>
          <w:rFonts w:hint="eastAsia" w:ascii="宋体" w:hAnsi="宋体" w:eastAsia="宋体" w:cs="宋体"/>
          <w:color w:val="auto"/>
          <w:sz w:val="24"/>
          <w:szCs w:val="24"/>
          <w:highlight w:val="none"/>
          <w:lang w:eastAsia="zh-CN"/>
        </w:rPr>
        <w:t>中峪国际项目管理有限公司</w:t>
      </w:r>
    </w:p>
    <w:p w14:paraId="330169D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开户行：交通银行长春德惠路支行</w:t>
      </w:r>
    </w:p>
    <w:p w14:paraId="5C40F94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号：221000611018170197148</w:t>
      </w:r>
    </w:p>
    <w:p w14:paraId="60BFDA19">
      <w:pPr>
        <w:spacing w:before="181" w:line="22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5.要补充的其他内容</w:t>
      </w:r>
    </w:p>
    <w:p w14:paraId="28B5FBC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25.1付款方式：分期付款；验收后当月付合同总金额的70%，验收合格3个月后，支付合同总金额的5%，验收合格两年后，付合同总金额的10%，维保到期后（既验收合格三年后），付合同总金额的15%（以上付款以甲方实际支付为准）。</w:t>
      </w:r>
    </w:p>
    <w:p w14:paraId="58759773">
      <w:pPr>
        <w:rPr>
          <w:rFonts w:hint="eastAsia"/>
          <w:color w:val="auto"/>
          <w:sz w:val="32"/>
          <w:szCs w:val="32"/>
          <w:highlight w:val="none"/>
        </w:rPr>
      </w:pPr>
      <w:bookmarkStart w:id="36" w:name="_Toc1701"/>
      <w:bookmarkStart w:id="37" w:name="_Toc26230"/>
      <w:r>
        <w:rPr>
          <w:rFonts w:hint="eastAsia"/>
          <w:color w:val="auto"/>
          <w:sz w:val="32"/>
          <w:szCs w:val="32"/>
          <w:highlight w:val="none"/>
        </w:rPr>
        <w:br w:type="page"/>
      </w:r>
    </w:p>
    <w:bookmarkEnd w:id="36"/>
    <w:bookmarkEnd w:id="37"/>
    <w:p w14:paraId="35A9A19A">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32"/>
          <w:highlight w:val="none"/>
        </w:rPr>
      </w:pPr>
      <w:bookmarkStart w:id="38" w:name="_Toc12484"/>
      <w:bookmarkStart w:id="39" w:name="_Toc12764"/>
      <w:r>
        <w:rPr>
          <w:rFonts w:hint="eastAsia"/>
          <w:color w:val="auto"/>
          <w:sz w:val="32"/>
          <w:szCs w:val="32"/>
          <w:highlight w:val="none"/>
        </w:rPr>
        <w:t>第三章</w:t>
      </w:r>
      <w:r>
        <w:rPr>
          <w:rFonts w:hint="eastAsia"/>
          <w:color w:val="auto"/>
          <w:sz w:val="32"/>
          <w:szCs w:val="32"/>
          <w:highlight w:val="none"/>
          <w:lang w:val="en-US" w:eastAsia="zh-CN"/>
        </w:rPr>
        <w:t xml:space="preserve">  </w:t>
      </w:r>
      <w:r>
        <w:rPr>
          <w:rFonts w:hint="eastAsia"/>
          <w:color w:val="auto"/>
          <w:sz w:val="32"/>
          <w:szCs w:val="32"/>
          <w:highlight w:val="none"/>
        </w:rPr>
        <w:t xml:space="preserve"> 评标办法</w:t>
      </w:r>
    </w:p>
    <w:p w14:paraId="383024EE">
      <w:pPr>
        <w:spacing w:before="233" w:line="220" w:lineRule="auto"/>
        <w:ind w:left="37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评标应当遵循下列工作程序：</w:t>
      </w:r>
    </w:p>
    <w:p w14:paraId="59F1BD1E">
      <w:pPr>
        <w:spacing w:before="179" w:line="22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3.1</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符合性审查。</w:t>
      </w:r>
    </w:p>
    <w:p w14:paraId="267C920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评标委员会将对符合资格的投标人的投标文件进行符合性审查，以确定其是否满足招标文件的实质性要求。</w:t>
      </w:r>
    </w:p>
    <w:p w14:paraId="3B257C88">
      <w:pPr>
        <w:spacing w:before="182" w:line="220" w:lineRule="auto"/>
        <w:jc w:val="center"/>
        <w:outlineLvl w:val="9"/>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符合性审查表</w:t>
      </w:r>
    </w:p>
    <w:tbl>
      <w:tblPr>
        <w:tblStyle w:val="25"/>
        <w:tblW w:w="93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825"/>
        <w:gridCol w:w="2904"/>
        <w:gridCol w:w="4919"/>
      </w:tblGrid>
      <w:tr w14:paraId="57678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6E9F54B4">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5"/>
                <w:sz w:val="24"/>
                <w:szCs w:val="24"/>
                <w:highlight w:val="none"/>
              </w:rPr>
              <w:t>序号</w:t>
            </w:r>
          </w:p>
        </w:tc>
        <w:tc>
          <w:tcPr>
            <w:tcW w:w="825" w:type="dxa"/>
            <w:tcBorders>
              <w:top w:val="single" w:color="000000" w:sz="4" w:space="0"/>
              <w:bottom w:val="single" w:color="000000" w:sz="4" w:space="0"/>
            </w:tcBorders>
            <w:vAlign w:val="center"/>
          </w:tcPr>
          <w:p w14:paraId="6150D6DA">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5"/>
                <w:sz w:val="24"/>
                <w:szCs w:val="24"/>
                <w:highlight w:val="none"/>
              </w:rPr>
              <w:t>类型</w:t>
            </w:r>
          </w:p>
        </w:tc>
        <w:tc>
          <w:tcPr>
            <w:tcW w:w="2904" w:type="dxa"/>
            <w:tcBorders>
              <w:top w:val="single" w:color="000000" w:sz="4" w:space="0"/>
              <w:bottom w:val="single" w:color="000000" w:sz="4" w:space="0"/>
              <w:right w:val="single" w:color="000000" w:sz="4" w:space="0"/>
            </w:tcBorders>
            <w:vAlign w:val="center"/>
          </w:tcPr>
          <w:p w14:paraId="6C31FC94">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5"/>
                <w:sz w:val="24"/>
                <w:szCs w:val="24"/>
                <w:highlight w:val="none"/>
              </w:rPr>
              <w:t>审查内容</w:t>
            </w:r>
          </w:p>
        </w:tc>
        <w:tc>
          <w:tcPr>
            <w:tcW w:w="4919" w:type="dxa"/>
            <w:tcBorders>
              <w:top w:val="single" w:color="000000" w:sz="4" w:space="0"/>
              <w:left w:val="single" w:color="000000" w:sz="4" w:space="0"/>
              <w:bottom w:val="single" w:color="000000" w:sz="4" w:space="0"/>
            </w:tcBorders>
            <w:vAlign w:val="center"/>
          </w:tcPr>
          <w:p w14:paraId="0CCF8F34">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要求说明</w:t>
            </w:r>
          </w:p>
        </w:tc>
      </w:tr>
      <w:tr w14:paraId="78F4A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7CE92049">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1</w:t>
            </w:r>
          </w:p>
        </w:tc>
        <w:tc>
          <w:tcPr>
            <w:tcW w:w="825" w:type="dxa"/>
            <w:tcBorders>
              <w:top w:val="single" w:color="000000" w:sz="4" w:space="0"/>
              <w:bottom w:val="single" w:color="000000" w:sz="4" w:space="0"/>
            </w:tcBorders>
            <w:vAlign w:val="center"/>
          </w:tcPr>
          <w:p w14:paraId="50659C05">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报价1</w:t>
            </w:r>
          </w:p>
        </w:tc>
        <w:tc>
          <w:tcPr>
            <w:tcW w:w="2904" w:type="dxa"/>
            <w:tcBorders>
              <w:top w:val="single" w:color="000000" w:sz="4" w:space="0"/>
              <w:bottom w:val="single" w:color="000000" w:sz="4" w:space="0"/>
              <w:right w:val="single" w:color="000000" w:sz="4" w:space="0"/>
            </w:tcBorders>
            <w:vAlign w:val="center"/>
          </w:tcPr>
          <w:p w14:paraId="5903580B">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投标报价</w:t>
            </w:r>
          </w:p>
        </w:tc>
        <w:tc>
          <w:tcPr>
            <w:tcW w:w="4919" w:type="dxa"/>
            <w:tcBorders>
              <w:top w:val="single" w:color="000000" w:sz="4" w:space="0"/>
              <w:left w:val="single" w:color="000000" w:sz="4" w:space="0"/>
              <w:bottom w:val="single" w:color="000000" w:sz="4" w:space="0"/>
            </w:tcBorders>
            <w:vAlign w:val="center"/>
          </w:tcPr>
          <w:p w14:paraId="000C18E9">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1"/>
                <w:sz w:val="24"/>
                <w:szCs w:val="24"/>
                <w:highlight w:val="none"/>
              </w:rPr>
              <w:t>投标报价未超过招标文件中规定的最</w:t>
            </w:r>
            <w:r>
              <w:rPr>
                <w:rFonts w:hint="eastAsia" w:ascii="宋体" w:hAnsi="宋体" w:eastAsia="宋体" w:cs="宋体"/>
                <w:color w:val="auto"/>
                <w:spacing w:val="-4"/>
                <w:sz w:val="24"/>
                <w:szCs w:val="24"/>
                <w:highlight w:val="none"/>
              </w:rPr>
              <w:t>高限价的</w:t>
            </w:r>
            <w:r>
              <w:rPr>
                <w:rFonts w:hint="eastAsia" w:cs="宋体"/>
                <w:color w:val="auto"/>
                <w:spacing w:val="-4"/>
                <w:sz w:val="24"/>
                <w:szCs w:val="24"/>
                <w:highlight w:val="none"/>
                <w:lang w:eastAsia="zh-CN"/>
              </w:rPr>
              <w:t>。</w:t>
            </w:r>
          </w:p>
        </w:tc>
      </w:tr>
      <w:tr w14:paraId="32408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6FE34FAD">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val="en-US" w:eastAsia="en-US"/>
              </w:rPr>
            </w:pPr>
            <w:r>
              <w:rPr>
                <w:rFonts w:hint="eastAsia" w:ascii="宋体" w:hAnsi="宋体" w:eastAsia="宋体" w:cs="宋体"/>
                <w:color w:val="auto"/>
                <w:spacing w:val="-3"/>
                <w:sz w:val="24"/>
                <w:szCs w:val="24"/>
                <w:highlight w:val="none"/>
              </w:rPr>
              <w:t>2</w:t>
            </w:r>
          </w:p>
        </w:tc>
        <w:tc>
          <w:tcPr>
            <w:tcW w:w="825" w:type="dxa"/>
            <w:tcBorders>
              <w:top w:val="single" w:color="000000" w:sz="4" w:space="0"/>
              <w:bottom w:val="single" w:color="000000" w:sz="4" w:space="0"/>
            </w:tcBorders>
            <w:vAlign w:val="center"/>
          </w:tcPr>
          <w:p w14:paraId="638C922D">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color w:val="auto"/>
                <w:spacing w:val="-3"/>
                <w:sz w:val="24"/>
                <w:szCs w:val="24"/>
                <w:highlight w:val="none"/>
              </w:rPr>
              <w:t>报价</w:t>
            </w:r>
            <w:r>
              <w:rPr>
                <w:rFonts w:hint="eastAsia" w:ascii="宋体" w:hAnsi="宋体" w:eastAsia="宋体" w:cs="宋体"/>
                <w:color w:val="auto"/>
                <w:spacing w:val="-3"/>
                <w:sz w:val="24"/>
                <w:szCs w:val="24"/>
                <w:highlight w:val="none"/>
                <w:lang w:val="en-US" w:eastAsia="zh-CN"/>
              </w:rPr>
              <w:t>2</w:t>
            </w:r>
          </w:p>
        </w:tc>
        <w:tc>
          <w:tcPr>
            <w:tcW w:w="2904" w:type="dxa"/>
            <w:tcBorders>
              <w:top w:val="single" w:color="000000" w:sz="4" w:space="0"/>
              <w:bottom w:val="single" w:color="000000" w:sz="4" w:space="0"/>
              <w:right w:val="single" w:color="000000" w:sz="4" w:space="0"/>
            </w:tcBorders>
            <w:vAlign w:val="center"/>
          </w:tcPr>
          <w:p w14:paraId="289B2775">
            <w:pPr>
              <w:keepNext w:val="0"/>
              <w:keepLines w:val="0"/>
              <w:widowControl/>
              <w:suppressLineNumbers w:val="0"/>
              <w:jc w:val="left"/>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
              </w:rPr>
              <w:t>报价唯一性</w:t>
            </w:r>
          </w:p>
        </w:tc>
        <w:tc>
          <w:tcPr>
            <w:tcW w:w="4919" w:type="dxa"/>
            <w:tcBorders>
              <w:top w:val="single" w:color="000000" w:sz="4" w:space="0"/>
              <w:left w:val="single" w:color="000000" w:sz="4" w:space="0"/>
              <w:bottom w:val="single" w:color="000000" w:sz="4" w:space="0"/>
            </w:tcBorders>
            <w:vAlign w:val="center"/>
          </w:tcPr>
          <w:p w14:paraId="596C1C2B">
            <w:pPr>
              <w:keepNext w:val="0"/>
              <w:keepLines w:val="0"/>
              <w:widowControl/>
              <w:suppressLineNumbers w:val="0"/>
              <w:jc w:val="left"/>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
              </w:rPr>
              <w:t>投标文件未出现可选择性或可调整的报价（招标文件另有规定的除外）。</w:t>
            </w:r>
          </w:p>
        </w:tc>
      </w:tr>
      <w:tr w14:paraId="1EFB8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7F7C0959">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val="en-US" w:eastAsia="en-US"/>
              </w:rPr>
            </w:pPr>
            <w:r>
              <w:rPr>
                <w:rFonts w:hint="eastAsia" w:ascii="宋体" w:hAnsi="宋体" w:eastAsia="宋体" w:cs="宋体"/>
                <w:color w:val="auto"/>
                <w:spacing w:val="-3"/>
                <w:sz w:val="24"/>
                <w:szCs w:val="24"/>
                <w:highlight w:val="none"/>
              </w:rPr>
              <w:t>3</w:t>
            </w:r>
          </w:p>
        </w:tc>
        <w:tc>
          <w:tcPr>
            <w:tcW w:w="825" w:type="dxa"/>
            <w:tcBorders>
              <w:top w:val="single" w:color="000000" w:sz="4" w:space="0"/>
              <w:bottom w:val="single" w:color="000000" w:sz="4" w:space="0"/>
            </w:tcBorders>
            <w:vAlign w:val="center"/>
          </w:tcPr>
          <w:p w14:paraId="4ACA89B1">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3</w:t>
            </w:r>
          </w:p>
        </w:tc>
        <w:tc>
          <w:tcPr>
            <w:tcW w:w="2904" w:type="dxa"/>
            <w:tcBorders>
              <w:top w:val="single" w:color="000000" w:sz="4" w:space="0"/>
              <w:bottom w:val="single" w:color="000000" w:sz="4" w:space="0"/>
              <w:right w:val="single" w:color="000000" w:sz="4" w:space="0"/>
            </w:tcBorders>
            <w:vAlign w:val="center"/>
          </w:tcPr>
          <w:p w14:paraId="22F02257">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投标有效期</w:t>
            </w:r>
          </w:p>
        </w:tc>
        <w:tc>
          <w:tcPr>
            <w:tcW w:w="4919" w:type="dxa"/>
            <w:tcBorders>
              <w:top w:val="single" w:color="000000" w:sz="4" w:space="0"/>
              <w:left w:val="single" w:color="000000" w:sz="4" w:space="0"/>
              <w:bottom w:val="single" w:color="000000" w:sz="4" w:space="0"/>
            </w:tcBorders>
            <w:vAlign w:val="center"/>
          </w:tcPr>
          <w:p w14:paraId="647A6194">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投标文件中承诺的投标有效期满足招标文件中载明的投标有效期的。</w:t>
            </w:r>
          </w:p>
        </w:tc>
      </w:tr>
      <w:tr w14:paraId="3A251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09ED7D24">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val="en-US" w:eastAsia="en-US"/>
              </w:rPr>
            </w:pPr>
            <w:r>
              <w:rPr>
                <w:rFonts w:hint="eastAsia" w:ascii="宋体" w:hAnsi="宋体" w:eastAsia="宋体" w:cs="宋体"/>
                <w:color w:val="auto"/>
                <w:spacing w:val="-3"/>
                <w:sz w:val="24"/>
                <w:szCs w:val="24"/>
                <w:highlight w:val="none"/>
              </w:rPr>
              <w:t>4</w:t>
            </w:r>
          </w:p>
        </w:tc>
        <w:tc>
          <w:tcPr>
            <w:tcW w:w="825" w:type="dxa"/>
            <w:tcBorders>
              <w:top w:val="single" w:color="000000" w:sz="4" w:space="0"/>
              <w:bottom w:val="single" w:color="000000" w:sz="4" w:space="0"/>
            </w:tcBorders>
            <w:vAlign w:val="center"/>
          </w:tcPr>
          <w:p w14:paraId="34B7C263">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cs="宋体"/>
                <w:color w:val="auto"/>
                <w:spacing w:val="-5"/>
                <w:sz w:val="24"/>
                <w:szCs w:val="24"/>
                <w:highlight w:val="none"/>
                <w:lang w:val="en-US" w:eastAsia="zh-CN"/>
              </w:rPr>
              <w:t>技术</w:t>
            </w:r>
            <w:r>
              <w:rPr>
                <w:rFonts w:hint="eastAsia" w:ascii="宋体" w:hAnsi="宋体" w:eastAsia="宋体" w:cs="宋体"/>
                <w:color w:val="auto"/>
                <w:spacing w:val="-5"/>
                <w:sz w:val="24"/>
                <w:szCs w:val="24"/>
                <w:highlight w:val="none"/>
                <w:lang w:val="en-US" w:eastAsia="zh-CN"/>
              </w:rPr>
              <w:t>4</w:t>
            </w:r>
          </w:p>
        </w:tc>
        <w:tc>
          <w:tcPr>
            <w:tcW w:w="2904" w:type="dxa"/>
            <w:tcBorders>
              <w:top w:val="single" w:color="000000" w:sz="4" w:space="0"/>
              <w:bottom w:val="single" w:color="000000" w:sz="4" w:space="0"/>
              <w:right w:val="single" w:color="000000" w:sz="4" w:space="0"/>
            </w:tcBorders>
            <w:vAlign w:val="center"/>
          </w:tcPr>
          <w:p w14:paraId="044DD153">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ascii="Segoe UI Symbol" w:hAnsi="Segoe UI Symbol" w:eastAsia="Segoe UI Symbol" w:cs="Segoe UI Symbol"/>
                <w:snapToGrid w:val="0"/>
                <w:color w:val="auto"/>
                <w:kern w:val="0"/>
                <w:sz w:val="24"/>
                <w:szCs w:val="24"/>
                <w:highlight w:val="none"/>
                <w:lang w:val="en-US" w:eastAsia="zh-CN" w:bidi="ar"/>
              </w:rPr>
              <w:t>★</w:t>
            </w:r>
            <w:r>
              <w:rPr>
                <w:rFonts w:hint="eastAsia" w:ascii="宋体" w:hAnsi="宋体" w:eastAsia="宋体" w:cs="宋体"/>
                <w:snapToGrid w:val="0"/>
                <w:color w:val="auto"/>
                <w:kern w:val="0"/>
                <w:sz w:val="24"/>
                <w:szCs w:val="24"/>
                <w:highlight w:val="none"/>
                <w:lang w:val="en-US" w:eastAsia="zh-CN" w:bidi="ar"/>
              </w:rPr>
              <w:t>号条款响应</w:t>
            </w:r>
          </w:p>
        </w:tc>
        <w:tc>
          <w:tcPr>
            <w:tcW w:w="4919" w:type="dxa"/>
            <w:tcBorders>
              <w:top w:val="single" w:color="000000" w:sz="4" w:space="0"/>
              <w:left w:val="single" w:color="000000" w:sz="4" w:space="0"/>
              <w:bottom w:val="single" w:color="000000" w:sz="4" w:space="0"/>
            </w:tcBorders>
            <w:vAlign w:val="center"/>
          </w:tcPr>
          <w:p w14:paraId="5473F9E1">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投标文件满足招标文件第五章《采购需求》中</w:t>
            </w:r>
            <w:r>
              <w:rPr>
                <w:rFonts w:ascii="Segoe UI Symbol" w:hAnsi="Segoe UI Symbol" w:eastAsia="Segoe UI Symbol" w:cs="Segoe UI Symbol"/>
                <w:snapToGrid w:val="0"/>
                <w:color w:val="auto"/>
                <w:kern w:val="0"/>
                <w:sz w:val="24"/>
                <w:szCs w:val="24"/>
                <w:highlight w:val="none"/>
                <w:lang w:val="en-US" w:eastAsia="zh-CN" w:bidi="ar"/>
              </w:rPr>
              <w:t>★</w:t>
            </w:r>
            <w:r>
              <w:rPr>
                <w:rFonts w:hint="eastAsia" w:ascii="宋体" w:hAnsi="宋体" w:eastAsia="宋体" w:cs="宋体"/>
                <w:snapToGrid w:val="0"/>
                <w:color w:val="auto"/>
                <w:kern w:val="0"/>
                <w:sz w:val="24"/>
                <w:szCs w:val="24"/>
                <w:highlight w:val="none"/>
                <w:lang w:val="en-US" w:eastAsia="zh-CN" w:bidi="ar"/>
              </w:rPr>
              <w:t>号条款要求的。</w:t>
            </w:r>
          </w:p>
        </w:tc>
      </w:tr>
      <w:tr w14:paraId="0D6CF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0C3E3FAC">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5</w:t>
            </w:r>
          </w:p>
        </w:tc>
        <w:tc>
          <w:tcPr>
            <w:tcW w:w="825" w:type="dxa"/>
            <w:tcBorders>
              <w:top w:val="single" w:color="000000" w:sz="4" w:space="0"/>
            </w:tcBorders>
            <w:vAlign w:val="center"/>
          </w:tcPr>
          <w:p w14:paraId="5B6AE7A5">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5</w:t>
            </w:r>
          </w:p>
        </w:tc>
        <w:tc>
          <w:tcPr>
            <w:tcW w:w="2904" w:type="dxa"/>
            <w:tcBorders>
              <w:top w:val="single" w:color="000000" w:sz="4" w:space="0"/>
              <w:right w:val="single" w:color="000000" w:sz="4" w:space="0"/>
            </w:tcBorders>
            <w:vAlign w:val="center"/>
          </w:tcPr>
          <w:p w14:paraId="54377AA9">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4" w:firstLineChars="0"/>
              <w:jc w:val="left"/>
              <w:textAlignment w:val="baseline"/>
              <w:outlineLvl w:val="9"/>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8"/>
                <w:sz w:val="24"/>
                <w:szCs w:val="24"/>
                <w:highlight w:val="none"/>
              </w:rPr>
              <w:t>合同履行期限（交货期</w:t>
            </w:r>
            <w:r>
              <w:rPr>
                <w:rFonts w:hint="eastAsia" w:ascii="宋体" w:hAnsi="宋体" w:eastAsia="宋体" w:cs="宋体"/>
                <w:color w:val="auto"/>
                <w:spacing w:val="-5"/>
                <w:sz w:val="24"/>
                <w:szCs w:val="24"/>
                <w:highlight w:val="none"/>
              </w:rPr>
              <w:t>限）</w:t>
            </w:r>
          </w:p>
        </w:tc>
        <w:tc>
          <w:tcPr>
            <w:tcW w:w="4919" w:type="dxa"/>
            <w:tcBorders>
              <w:top w:val="single" w:color="000000" w:sz="4" w:space="0"/>
              <w:left w:val="single" w:color="000000" w:sz="4" w:space="0"/>
              <w:bottom w:val="single" w:color="000000" w:sz="4" w:space="0"/>
            </w:tcBorders>
            <w:vAlign w:val="center"/>
          </w:tcPr>
          <w:p w14:paraId="1893CD9E">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4"/>
                <w:sz w:val="24"/>
                <w:szCs w:val="24"/>
                <w:highlight w:val="none"/>
                <w:lang w:eastAsia="zh-CN"/>
              </w:rPr>
              <w:t>合同签订后30日。</w:t>
            </w:r>
          </w:p>
        </w:tc>
      </w:tr>
      <w:tr w14:paraId="76F86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15D35309">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rPr>
              <w:t>6</w:t>
            </w:r>
          </w:p>
        </w:tc>
        <w:tc>
          <w:tcPr>
            <w:tcW w:w="825" w:type="dxa"/>
            <w:tcBorders>
              <w:top w:val="single" w:color="000000" w:sz="4" w:space="0"/>
            </w:tcBorders>
            <w:vAlign w:val="center"/>
          </w:tcPr>
          <w:p w14:paraId="0BB7BF30">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cs="宋体"/>
                <w:color w:val="auto"/>
                <w:spacing w:val="-5"/>
                <w:sz w:val="24"/>
                <w:szCs w:val="24"/>
                <w:highlight w:val="none"/>
                <w:lang w:val="en-US" w:eastAsia="zh-CN"/>
              </w:rPr>
              <w:t>技术</w:t>
            </w:r>
            <w:r>
              <w:rPr>
                <w:rFonts w:hint="eastAsia" w:ascii="宋体" w:hAnsi="宋体" w:eastAsia="宋体" w:cs="宋体"/>
                <w:color w:val="auto"/>
                <w:spacing w:val="-5"/>
                <w:sz w:val="24"/>
                <w:szCs w:val="24"/>
                <w:highlight w:val="none"/>
                <w:lang w:val="en-US" w:eastAsia="zh-CN"/>
              </w:rPr>
              <w:t>6</w:t>
            </w:r>
          </w:p>
        </w:tc>
        <w:tc>
          <w:tcPr>
            <w:tcW w:w="2904" w:type="dxa"/>
            <w:tcBorders>
              <w:top w:val="single" w:color="000000" w:sz="4" w:space="0"/>
              <w:right w:val="single" w:color="000000" w:sz="4" w:space="0"/>
            </w:tcBorders>
            <w:vAlign w:val="center"/>
          </w:tcPr>
          <w:p w14:paraId="2CA9261D">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4" w:firstLineChars="0"/>
              <w:jc w:val="left"/>
              <w:textAlignment w:val="baseline"/>
              <w:outlineLvl w:val="9"/>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质保期</w:t>
            </w:r>
          </w:p>
        </w:tc>
        <w:tc>
          <w:tcPr>
            <w:tcW w:w="4919" w:type="dxa"/>
            <w:tcBorders>
              <w:top w:val="single" w:color="000000" w:sz="4" w:space="0"/>
              <w:left w:val="single" w:color="000000" w:sz="4" w:space="0"/>
              <w:bottom w:val="single" w:color="000000" w:sz="4" w:space="0"/>
            </w:tcBorders>
            <w:vAlign w:val="center"/>
          </w:tcPr>
          <w:p w14:paraId="69CB5903">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outlineLvl w:val="9"/>
              <w:rPr>
                <w:rFonts w:hint="default" w:ascii="宋体" w:hAnsi="宋体" w:eastAsia="宋体" w:cs="宋体"/>
                <w:color w:val="auto"/>
                <w:spacing w:val="-4"/>
                <w:sz w:val="24"/>
                <w:szCs w:val="24"/>
                <w:highlight w:val="none"/>
                <w:lang w:val="en-US" w:eastAsia="zh-CN"/>
              </w:rPr>
            </w:pPr>
            <w:r>
              <w:rPr>
                <w:rFonts w:hint="eastAsia" w:cs="宋体"/>
                <w:color w:val="auto"/>
                <w:spacing w:val="-4"/>
                <w:sz w:val="24"/>
                <w:szCs w:val="24"/>
                <w:highlight w:val="none"/>
                <w:lang w:val="en-US" w:eastAsia="zh-CN"/>
              </w:rPr>
              <w:t>三</w:t>
            </w:r>
            <w:r>
              <w:rPr>
                <w:rFonts w:hint="eastAsia" w:ascii="宋体" w:hAnsi="宋体" w:eastAsia="宋体" w:cs="宋体"/>
                <w:color w:val="auto"/>
                <w:spacing w:val="-4"/>
                <w:sz w:val="24"/>
                <w:szCs w:val="24"/>
                <w:highlight w:val="none"/>
                <w:lang w:val="en-US" w:eastAsia="zh-CN"/>
              </w:rPr>
              <w:t>年</w:t>
            </w:r>
          </w:p>
        </w:tc>
      </w:tr>
      <w:tr w14:paraId="2094E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0FCD3272">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rPr>
              <w:t>7</w:t>
            </w:r>
          </w:p>
        </w:tc>
        <w:tc>
          <w:tcPr>
            <w:tcW w:w="825" w:type="dxa"/>
            <w:tcBorders>
              <w:top w:val="single" w:color="000000" w:sz="4" w:space="0"/>
            </w:tcBorders>
            <w:vAlign w:val="center"/>
          </w:tcPr>
          <w:p w14:paraId="2D473FBB">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7</w:t>
            </w:r>
          </w:p>
        </w:tc>
        <w:tc>
          <w:tcPr>
            <w:tcW w:w="2904" w:type="dxa"/>
            <w:tcBorders>
              <w:top w:val="single" w:color="000000" w:sz="4" w:space="0"/>
              <w:right w:val="single" w:color="000000" w:sz="4" w:space="0"/>
            </w:tcBorders>
            <w:vAlign w:val="center"/>
          </w:tcPr>
          <w:p w14:paraId="5E507FA4">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 w:firstLineChars="0"/>
              <w:jc w:val="left"/>
              <w:textAlignment w:val="baseline"/>
              <w:outlineLvl w:val="9"/>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投标文件</w:t>
            </w:r>
            <w:r>
              <w:rPr>
                <w:rFonts w:hint="eastAsia" w:cs="宋体"/>
                <w:color w:val="auto"/>
                <w:spacing w:val="-1"/>
                <w:sz w:val="24"/>
                <w:szCs w:val="24"/>
                <w:highlight w:val="none"/>
                <w:lang w:eastAsia="zh-CN"/>
              </w:rPr>
              <w:t>格式</w:t>
            </w:r>
          </w:p>
        </w:tc>
        <w:tc>
          <w:tcPr>
            <w:tcW w:w="4919" w:type="dxa"/>
            <w:tcBorders>
              <w:top w:val="single" w:color="000000" w:sz="4" w:space="0"/>
              <w:left w:val="single" w:color="000000" w:sz="4" w:space="0"/>
              <w:bottom w:val="single" w:color="000000" w:sz="4" w:space="0"/>
            </w:tcBorders>
            <w:vAlign w:val="center"/>
          </w:tcPr>
          <w:p w14:paraId="2CEAF7D0">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 w:firstLine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1"/>
                <w:sz w:val="24"/>
                <w:szCs w:val="24"/>
                <w:highlight w:val="none"/>
              </w:rPr>
              <w:t>投标文件中包括了招标文件中提供格</w:t>
            </w:r>
            <w:r>
              <w:rPr>
                <w:rFonts w:hint="eastAsia" w:ascii="宋体" w:hAnsi="宋体" w:eastAsia="宋体" w:cs="宋体"/>
                <w:color w:val="auto"/>
                <w:spacing w:val="-6"/>
                <w:sz w:val="24"/>
                <w:szCs w:val="24"/>
                <w:highlight w:val="none"/>
              </w:rPr>
              <w:t>式的文本，形式上符合招标文件规定</w:t>
            </w:r>
            <w:r>
              <w:rPr>
                <w:rFonts w:hint="eastAsia" w:cs="宋体"/>
                <w:color w:val="auto"/>
                <w:spacing w:val="-6"/>
                <w:sz w:val="24"/>
                <w:szCs w:val="24"/>
                <w:highlight w:val="none"/>
                <w:lang w:eastAsia="zh-CN"/>
              </w:rPr>
              <w:t>。</w:t>
            </w:r>
          </w:p>
        </w:tc>
      </w:tr>
      <w:tr w14:paraId="34355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71CF48AE">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rPr>
              <w:t>8</w:t>
            </w:r>
          </w:p>
        </w:tc>
        <w:tc>
          <w:tcPr>
            <w:tcW w:w="825" w:type="dxa"/>
            <w:tcBorders>
              <w:top w:val="single" w:color="000000" w:sz="4" w:space="0"/>
            </w:tcBorders>
            <w:vAlign w:val="center"/>
          </w:tcPr>
          <w:p w14:paraId="343E69BC">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8</w:t>
            </w:r>
          </w:p>
        </w:tc>
        <w:tc>
          <w:tcPr>
            <w:tcW w:w="2904" w:type="dxa"/>
            <w:tcBorders>
              <w:top w:val="single" w:color="000000" w:sz="4" w:space="0"/>
              <w:right w:val="single" w:color="000000" w:sz="4" w:space="0"/>
            </w:tcBorders>
            <w:vAlign w:val="center"/>
          </w:tcPr>
          <w:p w14:paraId="17046CD8">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5" w:firstLine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8"/>
                <w:sz w:val="24"/>
                <w:szCs w:val="24"/>
                <w:highlight w:val="none"/>
              </w:rPr>
              <w:t>投标</w:t>
            </w:r>
            <w:r>
              <w:rPr>
                <w:rFonts w:hint="eastAsia" w:cs="宋体"/>
                <w:color w:val="auto"/>
                <w:spacing w:val="-8"/>
                <w:sz w:val="24"/>
                <w:szCs w:val="24"/>
                <w:highlight w:val="none"/>
                <w:lang w:eastAsia="zh-CN"/>
              </w:rPr>
              <w:t>文件签字</w:t>
            </w:r>
            <w:r>
              <w:rPr>
                <w:rFonts w:hint="eastAsia" w:ascii="宋体" w:hAnsi="宋体" w:eastAsia="宋体" w:cs="宋体"/>
                <w:color w:val="auto"/>
                <w:spacing w:val="-8"/>
                <w:sz w:val="24"/>
                <w:szCs w:val="24"/>
                <w:highlight w:val="none"/>
              </w:rPr>
              <w:t>、盖</w:t>
            </w:r>
            <w:r>
              <w:rPr>
                <w:rFonts w:hint="eastAsia" w:ascii="宋体" w:hAnsi="宋体" w:eastAsia="宋体" w:cs="宋体"/>
                <w:color w:val="auto"/>
                <w:spacing w:val="-9"/>
                <w:sz w:val="24"/>
                <w:szCs w:val="24"/>
                <w:highlight w:val="none"/>
              </w:rPr>
              <w:t>章</w:t>
            </w:r>
          </w:p>
        </w:tc>
        <w:tc>
          <w:tcPr>
            <w:tcW w:w="4919" w:type="dxa"/>
            <w:tcBorders>
              <w:top w:val="single" w:color="000000" w:sz="4" w:space="0"/>
              <w:left w:val="single" w:color="000000" w:sz="4" w:space="0"/>
              <w:bottom w:val="single" w:color="000000" w:sz="4" w:space="0"/>
            </w:tcBorders>
            <w:vAlign w:val="center"/>
          </w:tcPr>
          <w:p w14:paraId="135A38A5">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1" w:firstLine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4"/>
                <w:sz w:val="24"/>
                <w:szCs w:val="24"/>
                <w:highlight w:val="none"/>
              </w:rPr>
              <w:t>投标人按照招标文件规定要求签署、盖章</w:t>
            </w:r>
            <w:r>
              <w:rPr>
                <w:rFonts w:hint="eastAsia" w:cs="宋体"/>
                <w:color w:val="auto"/>
                <w:spacing w:val="-4"/>
                <w:sz w:val="24"/>
                <w:szCs w:val="24"/>
                <w:highlight w:val="none"/>
                <w:lang w:eastAsia="zh-CN"/>
              </w:rPr>
              <w:t>。</w:t>
            </w:r>
          </w:p>
        </w:tc>
      </w:tr>
      <w:tr w14:paraId="2A83C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6423A2D1">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default"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9</w:t>
            </w:r>
          </w:p>
        </w:tc>
        <w:tc>
          <w:tcPr>
            <w:tcW w:w="825" w:type="dxa"/>
            <w:tcBorders>
              <w:top w:val="single" w:color="000000" w:sz="4" w:space="0"/>
            </w:tcBorders>
            <w:vAlign w:val="center"/>
          </w:tcPr>
          <w:p w14:paraId="484E023F">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9</w:t>
            </w:r>
          </w:p>
        </w:tc>
        <w:tc>
          <w:tcPr>
            <w:tcW w:w="2904" w:type="dxa"/>
            <w:tcBorders>
              <w:top w:val="single" w:color="000000" w:sz="4" w:space="0"/>
              <w:right w:val="single" w:color="000000" w:sz="4" w:space="0"/>
            </w:tcBorders>
            <w:vAlign w:val="center"/>
          </w:tcPr>
          <w:p w14:paraId="67F44910">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其他要求</w:t>
            </w:r>
          </w:p>
        </w:tc>
        <w:tc>
          <w:tcPr>
            <w:tcW w:w="4919" w:type="dxa"/>
            <w:tcBorders>
              <w:top w:val="single" w:color="000000" w:sz="4" w:space="0"/>
              <w:left w:val="single" w:color="000000" w:sz="4" w:space="0"/>
              <w:bottom w:val="single" w:color="000000" w:sz="4" w:space="0"/>
            </w:tcBorders>
            <w:vAlign w:val="center"/>
          </w:tcPr>
          <w:p w14:paraId="5D429975">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投标文件未含有采购人不能接受的附</w:t>
            </w:r>
            <w:r>
              <w:rPr>
                <w:rFonts w:hint="eastAsia" w:ascii="宋体" w:hAnsi="宋体" w:eastAsia="宋体" w:cs="宋体"/>
                <w:color w:val="auto"/>
                <w:spacing w:val="-2"/>
                <w:sz w:val="24"/>
                <w:szCs w:val="24"/>
                <w:highlight w:val="none"/>
              </w:rPr>
              <w:t>加条件的</w:t>
            </w:r>
            <w:r>
              <w:rPr>
                <w:rFonts w:hint="eastAsia" w:ascii="宋体" w:hAnsi="宋体" w:eastAsia="宋体" w:cs="宋体"/>
                <w:color w:val="auto"/>
                <w:spacing w:val="-2"/>
                <w:sz w:val="24"/>
                <w:szCs w:val="24"/>
                <w:highlight w:val="none"/>
                <w:lang w:eastAsia="zh-CN"/>
              </w:rPr>
              <w:t>。</w:t>
            </w:r>
          </w:p>
          <w:p w14:paraId="6A8452BA">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对招标文件的实质性要求作出响应</w:t>
            </w:r>
            <w:r>
              <w:rPr>
                <w:rFonts w:hint="eastAsia" w:ascii="宋体" w:hAnsi="宋体" w:eastAsia="宋体" w:cs="宋体"/>
                <w:color w:val="auto"/>
                <w:spacing w:val="-1"/>
                <w:sz w:val="24"/>
                <w:szCs w:val="24"/>
                <w:highlight w:val="none"/>
                <w:lang w:eastAsia="zh-CN"/>
              </w:rPr>
              <w:t>。</w:t>
            </w:r>
          </w:p>
          <w:p w14:paraId="4D954501">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投标人不存在串通投标行为</w:t>
            </w:r>
            <w:r>
              <w:rPr>
                <w:rFonts w:hint="eastAsia" w:ascii="宋体" w:hAnsi="宋体" w:eastAsia="宋体" w:cs="宋体"/>
                <w:color w:val="auto"/>
                <w:spacing w:val="-1"/>
                <w:sz w:val="24"/>
                <w:szCs w:val="24"/>
                <w:highlight w:val="none"/>
                <w:lang w:eastAsia="zh-CN"/>
              </w:rPr>
              <w:t>。</w:t>
            </w:r>
          </w:p>
          <w:p w14:paraId="63619845">
            <w:pPr>
              <w:pStyle w:val="2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lang w:val="en-US" w:eastAsia="zh-CN"/>
              </w:rPr>
              <w:t>4</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投标人、投标文件不存在不符合法律、</w:t>
            </w:r>
            <w:r>
              <w:rPr>
                <w:rFonts w:hint="eastAsia" w:ascii="宋体" w:hAnsi="宋体" w:eastAsia="宋体" w:cs="宋体"/>
                <w:color w:val="auto"/>
                <w:spacing w:val="-1"/>
                <w:sz w:val="24"/>
                <w:szCs w:val="24"/>
                <w:highlight w:val="none"/>
              </w:rPr>
              <w:t>法规和招标文件规定的其他无效情</w:t>
            </w:r>
            <w:r>
              <w:rPr>
                <w:rFonts w:hint="eastAsia" w:ascii="宋体" w:hAnsi="宋体" w:eastAsia="宋体" w:cs="宋体"/>
                <w:color w:val="auto"/>
                <w:spacing w:val="-7"/>
                <w:sz w:val="24"/>
                <w:szCs w:val="24"/>
                <w:highlight w:val="none"/>
              </w:rPr>
              <w:t>形。</w:t>
            </w:r>
          </w:p>
        </w:tc>
      </w:tr>
    </w:tbl>
    <w:p w14:paraId="23FCF882">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中符合评审内容要求的写“√”,不符合评审内容要求的写“×”。结论为“合格”或“不合格”。结论不合格的不进入综合评审阶段。审查投标人是否存在串通投标行为：评标委员会发现有下列情形之一的，视为投标人串通投标，其投标无效：</w:t>
      </w:r>
    </w:p>
    <w:p w14:paraId="5060D0BA">
      <w:pPr>
        <w:bidi w:val="0"/>
        <w:outlineLvl w:val="9"/>
        <w:rPr>
          <w:rFonts w:hint="eastAsia" w:ascii="宋体" w:hAnsi="宋体" w:eastAsia="宋体" w:cs="宋体"/>
          <w:color w:val="auto"/>
          <w:sz w:val="24"/>
          <w:szCs w:val="24"/>
          <w:highlight w:val="none"/>
        </w:rPr>
      </w:pPr>
    </w:p>
    <w:p w14:paraId="2D89D5DB">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一、有下列情形之一的，属于投标人相互串通投标：</w:t>
      </w:r>
    </w:p>
    <w:p w14:paraId="1C03C6E4">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（一）投标人之间协商投标报价等投标文件的实质性内容；</w:t>
      </w:r>
    </w:p>
    <w:p w14:paraId="5D671A0F">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（二）投标人之间约定中标人；</w:t>
      </w:r>
    </w:p>
    <w:p w14:paraId="189E2681">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（三）投标人之间约定部分投标人放弃投标或者中标；</w:t>
      </w:r>
    </w:p>
    <w:p w14:paraId="302EF6CE">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（四）属于同一集团、协会、商会等组织成员的投标人按照该组织要求协同投标；</w:t>
      </w:r>
    </w:p>
    <w:p w14:paraId="727B1C0E">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（五）投标人之间为谋取中标或者排斥特定投标人而采取的其他联合行动。</w:t>
      </w:r>
    </w:p>
    <w:p w14:paraId="3BDE6894">
      <w:pPr>
        <w:bidi w:val="0"/>
        <w:outlineLvl w:val="9"/>
        <w:rPr>
          <w:rFonts w:hint="eastAsia" w:ascii="宋体" w:hAnsi="宋体" w:eastAsia="宋体" w:cs="宋体"/>
          <w:color w:val="auto"/>
          <w:sz w:val="24"/>
          <w:szCs w:val="24"/>
          <w:highlight w:val="none"/>
        </w:rPr>
      </w:pPr>
    </w:p>
    <w:p w14:paraId="38212337">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二、有下列情形之一的，视为投标人相互串通投标：</w:t>
      </w:r>
    </w:p>
    <w:p w14:paraId="518C9F5B">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（一）不同投标人的投标文件由同一单位或者个人编制；</w:t>
      </w:r>
    </w:p>
    <w:p w14:paraId="54D71F12">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（二）不同投标人委托同一单位或者个人办理投标事宜；</w:t>
      </w:r>
    </w:p>
    <w:p w14:paraId="5A3FDC91">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（三）不同投标人的投标文件载明的项目管理成员为同一人；</w:t>
      </w:r>
    </w:p>
    <w:p w14:paraId="4DFDE041">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（四）不同投标人的投标文件异常一致或者投标报价呈规律性差异；</w:t>
      </w:r>
    </w:p>
    <w:p w14:paraId="45362936">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（五）不同投标人的投标文件相互混装；</w:t>
      </w:r>
    </w:p>
    <w:p w14:paraId="1C751BDF">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（六）不同投标人的投标保证金从同一单位或者个人的账户转出；</w:t>
      </w:r>
    </w:p>
    <w:p w14:paraId="4A706C05">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（七）《关于禁止串通招标投标行为的暂行规定》（国家工商行政管理局令第 82 号）第三条规定的串通投标行为；</w:t>
      </w:r>
    </w:p>
    <w:p w14:paraId="05E4B6E9">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（八）投标人串通投标的其他情形。</w:t>
      </w:r>
    </w:p>
    <w:p w14:paraId="34A347C3">
      <w:pPr>
        <w:bidi w:val="0"/>
        <w:outlineLvl w:val="9"/>
        <w:rPr>
          <w:rFonts w:hint="eastAsia" w:ascii="宋体" w:hAnsi="宋体" w:eastAsia="宋体" w:cs="宋体"/>
          <w:color w:val="auto"/>
          <w:sz w:val="24"/>
          <w:szCs w:val="24"/>
          <w:highlight w:val="none"/>
        </w:rPr>
      </w:pPr>
    </w:p>
    <w:p w14:paraId="3E3C19F0">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三、有下列情形之一的，属于采购人与投标人串通投标：</w:t>
      </w:r>
    </w:p>
    <w:p w14:paraId="3D0AD7F0">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（一）采购人在开标前开启投标文件并将有关信息泄露给其他投标人；</w:t>
      </w:r>
    </w:p>
    <w:p w14:paraId="0F23A3EB">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（二）采购人直接或者间接向投标人泄露标底、评标委员会成员等信息；</w:t>
      </w:r>
    </w:p>
    <w:p w14:paraId="7145E79D">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（三）采购人明示或者暗示投标人压低或者抬高投标报价；</w:t>
      </w:r>
    </w:p>
    <w:p w14:paraId="0D4835CF">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（四）采购人授意投标人撤换、修改投标文件；</w:t>
      </w:r>
    </w:p>
    <w:p w14:paraId="5921709A">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（五）采购人明示或者暗示投标人为特定投标人中标提供方便；</w:t>
      </w:r>
    </w:p>
    <w:p w14:paraId="657C845A">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（六）采购人与投标人为谋求特定投标人中标而采取的其他串通行为。</w:t>
      </w:r>
    </w:p>
    <w:p w14:paraId="112EDB4E">
      <w:pPr>
        <w:bidi w:val="0"/>
        <w:outlineLvl w:val="9"/>
        <w:rPr>
          <w:rFonts w:hint="eastAsia" w:ascii="宋体" w:hAnsi="宋体" w:eastAsia="宋体" w:cs="宋体"/>
          <w:color w:val="auto"/>
          <w:sz w:val="24"/>
          <w:szCs w:val="24"/>
          <w:highlight w:val="none"/>
          <w:lang w:val="en-US" w:eastAsia="zh-CN"/>
        </w:rPr>
      </w:pPr>
    </w:p>
    <w:p w14:paraId="3554D0A4">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依据政府采购货物和服务招标投标管理办法第 三十一条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A5A7390">
      <w:pPr>
        <w:bidi w:val="0"/>
        <w:outlineLvl w:val="9"/>
        <w:rPr>
          <w:rFonts w:hint="eastAsia" w:ascii="宋体" w:hAnsi="宋体" w:eastAsia="宋体" w:cs="宋体"/>
          <w:color w:val="auto"/>
          <w:sz w:val="24"/>
          <w:szCs w:val="24"/>
          <w:highlight w:val="none"/>
        </w:rPr>
      </w:pPr>
    </w:p>
    <w:p w14:paraId="72E15034">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注：经评标委员会评审合格投标人的家数不足三家，该项目废标，采购人有权委托采购代理机构重新组织招标。</w:t>
      </w:r>
    </w:p>
    <w:p w14:paraId="68B9D12C">
      <w:pPr>
        <w:bidi w:val="0"/>
        <w:outlineLvl w:val="9"/>
        <w:rPr>
          <w:rFonts w:hint="eastAsia" w:ascii="宋体" w:hAnsi="宋体" w:eastAsia="宋体" w:cs="宋体"/>
          <w:color w:val="auto"/>
          <w:sz w:val="24"/>
          <w:szCs w:val="24"/>
          <w:highlight w:val="none"/>
        </w:rPr>
      </w:pPr>
    </w:p>
    <w:p w14:paraId="1D9983AC">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澄清有关问题。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投标人的澄清、说明或者补正应当采用书面形式，由投标人单位负责人或其授权代理人签字 （须提交签字人身份证件并与投标文件签字人一致），并不得超出投标文件的范围或者改 变投标文件的实质性内容。投标人拒不进行澄清、说明、补正的，或者不能在规定时间内 作出书面澄清、说明、补正的，评标委员会将拒绝其投标。</w:t>
      </w:r>
    </w:p>
    <w:p w14:paraId="560B77CD">
      <w:pPr>
        <w:bidi w:val="0"/>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评标委员会将允许修正投标文件中不构成重大偏离的细微偏离，但这些修正应不会 对实质上响应招标文件要求的投标人的竞争地位（相互排序）产生不公正的影响。</w:t>
      </w:r>
    </w:p>
    <w:p w14:paraId="62B04EB9">
      <w:pPr>
        <w:bidi w:val="0"/>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投标文件报价出现前后不一致的，除招标文件另有规定外，按照下列规定修正：（一）投标文件中开标一览表（报价表）内容与投标文件中相应内容不一致的，以开标一览表（报价表）为准；</w:t>
      </w:r>
    </w:p>
    <w:p w14:paraId="5B920080">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（二）大写金额和小写金额不一致的，以大写金额为准；</w:t>
      </w:r>
    </w:p>
    <w:p w14:paraId="0011662E">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（三）单价金额小数点或者百分比有明显错位的，以开标一览表的总价为准，并修改单价；</w:t>
      </w:r>
    </w:p>
    <w:p w14:paraId="7DD3B65A">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（四）总价金额与按单价汇总金额不一致的，以单价金额计算结果为准。同时出现两种以上不一致的，按照规定的顺序修正。修正后的报价经投标人确认后产生约束力，投标人不确认的，其投标</w:t>
      </w:r>
    </w:p>
    <w:p w14:paraId="01B31813">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无效。</w:t>
      </w:r>
    </w:p>
    <w:p w14:paraId="1DF264E1">
      <w:pPr>
        <w:bidi w:val="0"/>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 效投标处理。</w:t>
      </w:r>
    </w:p>
    <w:p w14:paraId="6B736A0E">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评标委员会应当按照招标文件中规定的评标方法和标准，对符合性审查合格的投标文 件进行商务和技术评估，综合比较与评价。</w:t>
      </w:r>
    </w:p>
    <w:p w14:paraId="3A19E45F">
      <w:pPr>
        <w:bidi w:val="0"/>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DDFF9EF">
      <w:pPr>
        <w:spacing w:before="182" w:line="219" w:lineRule="auto"/>
        <w:ind w:left="15" w:firstLine="238"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3.3.2</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
          <w:sz w:val="24"/>
          <w:szCs w:val="24"/>
          <w:highlight w:val="none"/>
        </w:rPr>
        <w:t>综合评分法评分方法（计算结果精确到小数点后两位</w:t>
      </w:r>
      <w:r>
        <w:rPr>
          <w:rFonts w:hint="eastAsia" w:ascii="宋体" w:hAnsi="宋体" w:eastAsia="宋体" w:cs="宋体"/>
          <w:color w:val="auto"/>
          <w:sz w:val="24"/>
          <w:szCs w:val="24"/>
          <w:highlight w:val="none"/>
        </w:rPr>
        <w:t>）：</w:t>
      </w:r>
    </w:p>
    <w:tbl>
      <w:tblPr>
        <w:tblStyle w:val="21"/>
        <w:tblW w:w="92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1488"/>
        <w:gridCol w:w="6624"/>
        <w:gridCol w:w="634"/>
      </w:tblGrid>
      <w:tr w14:paraId="74834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549" w:type="dxa"/>
            <w:shd w:val="clear" w:color="auto" w:fill="auto"/>
            <w:noWrap w:val="0"/>
            <w:vAlign w:val="center"/>
          </w:tcPr>
          <w:p w14:paraId="1C8F7C79">
            <w:pPr>
              <w:widowControl/>
              <w:kinsoku w:val="0"/>
              <w:autoSpaceDE w:val="0"/>
              <w:autoSpaceDN w:val="0"/>
              <w:adjustRightInd w:val="0"/>
              <w:snapToGrid w:val="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88" w:type="dxa"/>
            <w:shd w:val="clear" w:color="auto" w:fill="auto"/>
            <w:noWrap w:val="0"/>
            <w:vAlign w:val="center"/>
          </w:tcPr>
          <w:p w14:paraId="3E2C7819">
            <w:pPr>
              <w:widowControl/>
              <w:kinsoku w:val="0"/>
              <w:autoSpaceDE w:val="0"/>
              <w:autoSpaceDN w:val="0"/>
              <w:adjustRightInd w:val="0"/>
              <w:snapToGrid w:val="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评审项目</w:t>
            </w:r>
          </w:p>
        </w:tc>
        <w:tc>
          <w:tcPr>
            <w:tcW w:w="6624" w:type="dxa"/>
            <w:shd w:val="clear" w:color="auto" w:fill="auto"/>
            <w:noWrap w:val="0"/>
            <w:vAlign w:val="center"/>
          </w:tcPr>
          <w:p w14:paraId="256323BB">
            <w:pPr>
              <w:widowControl/>
              <w:kinsoku w:val="0"/>
              <w:autoSpaceDE w:val="0"/>
              <w:autoSpaceDN w:val="0"/>
              <w:adjustRightInd w:val="0"/>
              <w:snapToGrid w:val="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c>
          <w:tcPr>
            <w:tcW w:w="634" w:type="dxa"/>
            <w:shd w:val="clear" w:color="auto" w:fill="auto"/>
            <w:noWrap w:val="0"/>
            <w:vAlign w:val="center"/>
          </w:tcPr>
          <w:p w14:paraId="040B9BB5">
            <w:pPr>
              <w:widowControl/>
              <w:kinsoku w:val="0"/>
              <w:autoSpaceDE w:val="0"/>
              <w:autoSpaceDN w:val="0"/>
              <w:adjustRightInd w:val="0"/>
              <w:snapToGrid w:val="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4602B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661" w:type="dxa"/>
            <w:gridSpan w:val="3"/>
            <w:shd w:val="clear" w:color="auto" w:fill="auto"/>
            <w:noWrap w:val="0"/>
            <w:vAlign w:val="center"/>
          </w:tcPr>
          <w:p w14:paraId="41551674">
            <w:pPr>
              <w:widowControl/>
              <w:kinsoku w:val="0"/>
              <w:autoSpaceDE w:val="0"/>
              <w:autoSpaceDN w:val="0"/>
              <w:adjustRightInd w:val="0"/>
              <w:snapToGri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一、价格部分</w:t>
            </w:r>
          </w:p>
        </w:tc>
        <w:tc>
          <w:tcPr>
            <w:tcW w:w="634" w:type="dxa"/>
            <w:shd w:val="clear" w:color="auto" w:fill="auto"/>
            <w:noWrap w:val="0"/>
            <w:vAlign w:val="center"/>
          </w:tcPr>
          <w:p w14:paraId="25A42DA0">
            <w:pPr>
              <w:widowControl/>
              <w:kinsoku w:val="0"/>
              <w:autoSpaceDE w:val="0"/>
              <w:autoSpaceDN w:val="0"/>
              <w:adjustRightInd w:val="0"/>
              <w:snapToGri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r>
      <w:tr w14:paraId="47115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jc w:val="center"/>
        </w:trPr>
        <w:tc>
          <w:tcPr>
            <w:tcW w:w="549" w:type="dxa"/>
            <w:shd w:val="clear" w:color="auto" w:fill="auto"/>
            <w:noWrap w:val="0"/>
            <w:vAlign w:val="center"/>
          </w:tcPr>
          <w:p w14:paraId="508333E6">
            <w:pPr>
              <w:widowControl/>
              <w:kinsoku w:val="0"/>
              <w:autoSpaceDE w:val="0"/>
              <w:autoSpaceDN w:val="0"/>
              <w:adjustRightInd w:val="0"/>
              <w:snapToGri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88" w:type="dxa"/>
            <w:shd w:val="clear" w:color="auto" w:fill="auto"/>
            <w:noWrap w:val="0"/>
            <w:vAlign w:val="center"/>
          </w:tcPr>
          <w:p w14:paraId="58D4D159">
            <w:pPr>
              <w:widowControl/>
              <w:kinsoku w:val="0"/>
              <w:autoSpaceDE w:val="0"/>
              <w:autoSpaceDN w:val="0"/>
              <w:adjustRightInd w:val="0"/>
              <w:snapToGri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价格因素分</w:t>
            </w:r>
          </w:p>
        </w:tc>
        <w:tc>
          <w:tcPr>
            <w:tcW w:w="6624" w:type="dxa"/>
            <w:shd w:val="clear" w:color="auto" w:fill="auto"/>
            <w:noWrap w:val="0"/>
            <w:vAlign w:val="center"/>
          </w:tcPr>
          <w:p w14:paraId="0BB498BC">
            <w:pPr>
              <w:widowControl/>
              <w:kinsoku w:val="0"/>
              <w:autoSpaceDE w:val="0"/>
              <w:autoSpaceDN w:val="0"/>
              <w:adjustRightInd w:val="0"/>
              <w:snapToGrid w:val="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c>
          <w:tcPr>
            <w:tcW w:w="634" w:type="dxa"/>
            <w:shd w:val="clear" w:color="auto" w:fill="auto"/>
            <w:noWrap w:val="0"/>
            <w:vAlign w:val="center"/>
          </w:tcPr>
          <w:p w14:paraId="2ACD6AFF">
            <w:pPr>
              <w:widowControl/>
              <w:kinsoku w:val="0"/>
              <w:autoSpaceDE w:val="0"/>
              <w:autoSpaceDN w:val="0"/>
              <w:adjustRightInd w:val="0"/>
              <w:snapToGri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r>
      <w:tr w14:paraId="333B2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661" w:type="dxa"/>
            <w:gridSpan w:val="3"/>
            <w:shd w:val="clear" w:color="auto" w:fill="auto"/>
            <w:noWrap w:val="0"/>
            <w:vAlign w:val="center"/>
          </w:tcPr>
          <w:p w14:paraId="7C4FA150">
            <w:pPr>
              <w:widowControl/>
              <w:kinsoku w:val="0"/>
              <w:autoSpaceDE w:val="0"/>
              <w:autoSpaceDN w:val="0"/>
              <w:adjustRightInd w:val="0"/>
              <w:snapToGri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w:t>
            </w:r>
          </w:p>
        </w:tc>
        <w:tc>
          <w:tcPr>
            <w:tcW w:w="634" w:type="dxa"/>
            <w:shd w:val="clear" w:color="auto" w:fill="auto"/>
            <w:noWrap w:val="0"/>
            <w:vAlign w:val="center"/>
          </w:tcPr>
          <w:p w14:paraId="64B23A0A">
            <w:pPr>
              <w:widowControl/>
              <w:kinsoku w:val="0"/>
              <w:autoSpaceDE w:val="0"/>
              <w:autoSpaceDN w:val="0"/>
              <w:adjustRightInd w:val="0"/>
              <w:snapToGrid w:val="0"/>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755B8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549" w:type="dxa"/>
            <w:shd w:val="clear" w:color="auto" w:fill="auto"/>
            <w:noWrap w:val="0"/>
            <w:vAlign w:val="center"/>
          </w:tcPr>
          <w:p w14:paraId="42AEB38F">
            <w:pPr>
              <w:widowControl/>
              <w:kinsoku w:val="0"/>
              <w:autoSpaceDE w:val="0"/>
              <w:autoSpaceDN w:val="0"/>
              <w:adjustRightInd w:val="0"/>
              <w:snapToGri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88" w:type="dxa"/>
            <w:shd w:val="clear" w:color="auto" w:fill="auto"/>
            <w:noWrap w:val="0"/>
            <w:vAlign w:val="center"/>
          </w:tcPr>
          <w:p w14:paraId="1F074AF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tc>
        <w:tc>
          <w:tcPr>
            <w:tcW w:w="6624" w:type="dxa"/>
            <w:shd w:val="clear" w:color="auto" w:fill="auto"/>
            <w:noWrap w:val="0"/>
            <w:vAlign w:val="center"/>
          </w:tcPr>
          <w:p w14:paraId="5A93FEE7">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近三年（202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lang w:val="en-US" w:eastAsia="zh-CN"/>
              </w:rPr>
              <w:t>与本项目</w:t>
            </w:r>
            <w:r>
              <w:rPr>
                <w:rFonts w:hint="eastAsia" w:ascii="宋体" w:hAnsi="宋体" w:eastAsia="宋体" w:cs="宋体"/>
                <w:color w:val="auto"/>
                <w:sz w:val="24"/>
                <w:szCs w:val="24"/>
                <w:highlight w:val="none"/>
              </w:rPr>
              <w:t>类似项目业绩，每提供一个业绩得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分，满分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投标文件内附业绩中标通知书或合同复印件加盖单位公章。</w:t>
            </w:r>
          </w:p>
        </w:tc>
        <w:tc>
          <w:tcPr>
            <w:tcW w:w="634" w:type="dxa"/>
            <w:shd w:val="clear" w:color="auto" w:fill="auto"/>
            <w:noWrap w:val="0"/>
            <w:vAlign w:val="center"/>
          </w:tcPr>
          <w:p w14:paraId="2E5CC13E">
            <w:pPr>
              <w:spacing w:line="0" w:lineRule="atLeast"/>
              <w:jc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2</w:t>
            </w:r>
          </w:p>
        </w:tc>
      </w:tr>
      <w:tr w14:paraId="7780E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549" w:type="dxa"/>
            <w:shd w:val="clear" w:color="auto" w:fill="auto"/>
            <w:noWrap w:val="0"/>
            <w:vAlign w:val="center"/>
          </w:tcPr>
          <w:p w14:paraId="2D3B2BBC">
            <w:pPr>
              <w:widowControl/>
              <w:kinsoku w:val="0"/>
              <w:autoSpaceDE w:val="0"/>
              <w:autoSpaceDN w:val="0"/>
              <w:adjustRightInd w:val="0"/>
              <w:snapToGrid w:val="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88" w:type="dxa"/>
            <w:shd w:val="clear" w:color="auto" w:fill="auto"/>
            <w:noWrap w:val="0"/>
            <w:vAlign w:val="center"/>
          </w:tcPr>
          <w:p w14:paraId="01EA1AE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624" w:type="dxa"/>
            <w:shd w:val="clear" w:color="auto" w:fill="auto"/>
            <w:noWrap w:val="0"/>
            <w:vAlign w:val="center"/>
          </w:tcPr>
          <w:p w14:paraId="46066BD7">
            <w:pPr>
              <w:spacing w:line="0" w:lineRule="atLeas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在招标文件要求（三年）的基础上，每延长一年质保期得1分，满分2分。</w:t>
            </w:r>
          </w:p>
        </w:tc>
        <w:tc>
          <w:tcPr>
            <w:tcW w:w="634" w:type="dxa"/>
            <w:shd w:val="clear" w:color="auto" w:fill="auto"/>
            <w:noWrap w:val="0"/>
            <w:vAlign w:val="center"/>
          </w:tcPr>
          <w:p w14:paraId="1AA26CB4">
            <w:pPr>
              <w:spacing w:line="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w:t>
            </w:r>
          </w:p>
        </w:tc>
      </w:tr>
      <w:tr w14:paraId="45617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549" w:type="dxa"/>
            <w:shd w:val="clear" w:color="auto" w:fill="auto"/>
            <w:noWrap w:val="0"/>
            <w:vAlign w:val="center"/>
          </w:tcPr>
          <w:p w14:paraId="7BF36A45">
            <w:pPr>
              <w:widowControl/>
              <w:kinsoku w:val="0"/>
              <w:autoSpaceDE w:val="0"/>
              <w:autoSpaceDN w:val="0"/>
              <w:adjustRightInd w:val="0"/>
              <w:snapToGri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88" w:type="dxa"/>
            <w:shd w:val="clear" w:color="auto" w:fill="auto"/>
            <w:noWrap w:val="0"/>
            <w:vAlign w:val="center"/>
          </w:tcPr>
          <w:p w14:paraId="6321F347">
            <w:pPr>
              <w:spacing w:line="0" w:lineRule="atLeast"/>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优惠条件</w:t>
            </w:r>
          </w:p>
        </w:tc>
        <w:tc>
          <w:tcPr>
            <w:tcW w:w="6624" w:type="dxa"/>
            <w:shd w:val="clear" w:color="auto" w:fill="auto"/>
            <w:noWrap w:val="0"/>
            <w:vAlign w:val="center"/>
          </w:tcPr>
          <w:p w14:paraId="106E54DF">
            <w:pPr>
              <w:pStyle w:val="7"/>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根据投标人提出针对本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的实质性优惠条件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每有一项得1分，</w:t>
            </w:r>
            <w:r>
              <w:rPr>
                <w:rFonts w:hint="eastAsia" w:ascii="宋体" w:hAnsi="宋体" w:eastAsia="宋体" w:cs="宋体"/>
                <w:color w:val="auto"/>
                <w:sz w:val="24"/>
                <w:szCs w:val="24"/>
                <w:highlight w:val="none"/>
                <w:lang w:val="en-US" w:eastAsia="zh-CN"/>
              </w:rPr>
              <w:t>满分3</w:t>
            </w:r>
            <w:r>
              <w:rPr>
                <w:rFonts w:hint="eastAsia" w:ascii="宋体" w:hAnsi="宋体" w:eastAsia="宋体" w:cs="宋体"/>
                <w:color w:val="auto"/>
                <w:sz w:val="24"/>
                <w:szCs w:val="24"/>
                <w:highlight w:val="none"/>
              </w:rPr>
              <w:t>分。</w:t>
            </w:r>
          </w:p>
        </w:tc>
        <w:tc>
          <w:tcPr>
            <w:tcW w:w="634" w:type="dxa"/>
            <w:shd w:val="clear" w:color="auto" w:fill="auto"/>
            <w:noWrap w:val="0"/>
            <w:vAlign w:val="center"/>
          </w:tcPr>
          <w:p w14:paraId="59A00AB3">
            <w:pPr>
              <w:spacing w:line="0" w:lineRule="atLeast"/>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p>
        </w:tc>
      </w:tr>
      <w:tr w14:paraId="17A1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549" w:type="dxa"/>
            <w:shd w:val="clear" w:color="auto" w:fill="auto"/>
            <w:noWrap w:val="0"/>
            <w:vAlign w:val="center"/>
          </w:tcPr>
          <w:p w14:paraId="49DE190E">
            <w:pPr>
              <w:widowControl/>
              <w:kinsoku w:val="0"/>
              <w:autoSpaceDE w:val="0"/>
              <w:autoSpaceDN w:val="0"/>
              <w:adjustRightInd w:val="0"/>
              <w:snapToGrid w:val="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88" w:type="dxa"/>
            <w:shd w:val="clear" w:color="auto" w:fill="auto"/>
            <w:noWrap w:val="0"/>
            <w:vAlign w:val="center"/>
          </w:tcPr>
          <w:p w14:paraId="24509F2B">
            <w:pPr>
              <w:pStyle w:val="20"/>
              <w:ind w:firstLine="0" w:firstLineChars="0"/>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服务承诺</w:t>
            </w:r>
          </w:p>
        </w:tc>
        <w:tc>
          <w:tcPr>
            <w:tcW w:w="6624" w:type="dxa"/>
            <w:shd w:val="clear" w:color="auto" w:fill="auto"/>
            <w:noWrap w:val="0"/>
            <w:vAlign w:val="center"/>
          </w:tcPr>
          <w:p w14:paraId="0F0227B3">
            <w:pPr>
              <w:pStyle w:val="7"/>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根据投标人提出针对本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的实质性服务承诺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每有一项得1分，</w:t>
            </w:r>
            <w:r>
              <w:rPr>
                <w:rFonts w:hint="eastAsia" w:ascii="宋体" w:hAnsi="宋体" w:eastAsia="宋体" w:cs="宋体"/>
                <w:color w:val="auto"/>
                <w:sz w:val="24"/>
                <w:szCs w:val="24"/>
                <w:highlight w:val="none"/>
                <w:lang w:val="en-US" w:eastAsia="zh-CN"/>
              </w:rPr>
              <w:t>满分3</w:t>
            </w:r>
            <w:r>
              <w:rPr>
                <w:rFonts w:hint="eastAsia" w:ascii="宋体" w:hAnsi="宋体" w:eastAsia="宋体" w:cs="宋体"/>
                <w:color w:val="auto"/>
                <w:sz w:val="24"/>
                <w:szCs w:val="24"/>
                <w:highlight w:val="none"/>
              </w:rPr>
              <w:t>分。</w:t>
            </w:r>
          </w:p>
        </w:tc>
        <w:tc>
          <w:tcPr>
            <w:tcW w:w="634" w:type="dxa"/>
            <w:shd w:val="clear" w:color="auto" w:fill="auto"/>
            <w:noWrap w:val="0"/>
            <w:vAlign w:val="center"/>
          </w:tcPr>
          <w:p w14:paraId="5A9015FB">
            <w:pPr>
              <w:spacing w:line="0" w:lineRule="atLeast"/>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p>
        </w:tc>
      </w:tr>
      <w:tr w14:paraId="0FD12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8661" w:type="dxa"/>
            <w:gridSpan w:val="3"/>
            <w:shd w:val="clear" w:color="auto" w:fill="auto"/>
            <w:noWrap w:val="0"/>
            <w:vAlign w:val="center"/>
          </w:tcPr>
          <w:p w14:paraId="35C07956">
            <w:pPr>
              <w:widowControl/>
              <w:kinsoku w:val="0"/>
              <w:autoSpaceDE w:val="0"/>
              <w:autoSpaceDN w:val="0"/>
              <w:adjustRightInd w:val="0"/>
              <w:snapToGri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三、技术部分</w:t>
            </w:r>
          </w:p>
        </w:tc>
        <w:tc>
          <w:tcPr>
            <w:tcW w:w="634" w:type="dxa"/>
            <w:shd w:val="clear" w:color="auto" w:fill="auto"/>
            <w:noWrap w:val="0"/>
            <w:vAlign w:val="center"/>
          </w:tcPr>
          <w:p w14:paraId="5D8EE43E">
            <w:pPr>
              <w:widowControl/>
              <w:kinsoku w:val="0"/>
              <w:autoSpaceDE w:val="0"/>
              <w:autoSpaceDN w:val="0"/>
              <w:adjustRightInd w:val="0"/>
              <w:snapToGrid w:val="0"/>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w:t>
            </w:r>
          </w:p>
        </w:tc>
      </w:tr>
      <w:tr w14:paraId="1016C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549" w:type="dxa"/>
            <w:shd w:val="clear" w:color="auto" w:fill="auto"/>
            <w:noWrap w:val="0"/>
            <w:vAlign w:val="center"/>
          </w:tcPr>
          <w:p w14:paraId="14BF2E80">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color w:val="auto"/>
                <w:sz w:val="24"/>
                <w:szCs w:val="24"/>
                <w:highlight w:val="none"/>
              </w:rPr>
              <w:t>1</w:t>
            </w:r>
          </w:p>
        </w:tc>
        <w:tc>
          <w:tcPr>
            <w:tcW w:w="1488" w:type="dxa"/>
            <w:shd w:val="clear" w:color="auto" w:fill="auto"/>
            <w:noWrap w:val="0"/>
            <w:vAlign w:val="center"/>
          </w:tcPr>
          <w:p w14:paraId="0DDF1F3B">
            <w:pPr>
              <w:spacing w:line="280" w:lineRule="exact"/>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技术参数</w:t>
            </w:r>
          </w:p>
        </w:tc>
        <w:tc>
          <w:tcPr>
            <w:tcW w:w="6624" w:type="dxa"/>
            <w:tcBorders>
              <w:bottom w:val="single" w:color="auto" w:sz="4" w:space="0"/>
            </w:tcBorders>
            <w:shd w:val="clear" w:color="auto" w:fill="auto"/>
            <w:noWrap w:val="0"/>
            <w:vAlign w:val="center"/>
          </w:tcPr>
          <w:p w14:paraId="7C85291C">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技术需求中的▲条款，每有一项参数负偏离扣2分；一般条款（即非星号、非▲条款），每有一项参数负偏离扣</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p>
          <w:p w14:paraId="4B81E2B7">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分依据：投标人需如实对招标文件中的技术需求进行点对点应答，并详细填写采购需求偏离表，如虚假响应或提供虚假证明材料，采购人及评标委员会有权追究其法律责任，并将违法情况上报主管部门，申请将其行为公示于信用中国网站（www.creditchina.gov.cn）和中国政府采购网（www.ccgp.gov.cn）。</w:t>
            </w:r>
          </w:p>
          <w:p w14:paraId="2429DE94">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注：1.▲号参数须提供相关要求的技术支持资料，且标明所在响应文件中的页码，供应商的技术偏离表中仅作出应答而未提供要求的有效技术支持资料，评审委员会均有权不予认可，并扣除相应分值。</w:t>
            </w:r>
          </w:p>
          <w:p w14:paraId="70AE0AC5">
            <w:pPr>
              <w:adjustRightInd w:val="0"/>
              <w:snapToGrid w:val="0"/>
              <w:spacing w:line="260" w:lineRule="exact"/>
              <w:jc w:val="left"/>
              <w:rPr>
                <w:rFonts w:hint="eastAsia" w:ascii="宋体" w:hAnsi="宋体" w:eastAsia="宋体" w:cs="宋体"/>
                <w:snapToGrid w:val="0"/>
                <w:color w:val="auto"/>
                <w:kern w:val="0"/>
                <w:sz w:val="24"/>
                <w:szCs w:val="24"/>
                <w:highlight w:val="none"/>
                <w:lang w:val="zh-CN" w:eastAsia="en-US" w:bidi="ar-SA"/>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需求中对技术支持资料有要求的以需求为准，没有要求的，技术支持资料包括但不限于：公开发布的印刷资料（彩页或产品宣传册）、国家认可的第三方检测机构出具的检测报告、官方网站发布的技术资料截图等相关证明文件并加盖公章。如证明材料与应答不符，以证明材料为准，不满足上述要求，视为该条技术条款未响应。</w:t>
            </w:r>
          </w:p>
        </w:tc>
        <w:tc>
          <w:tcPr>
            <w:tcW w:w="634" w:type="dxa"/>
            <w:tcBorders>
              <w:bottom w:val="single" w:color="auto" w:sz="4" w:space="0"/>
            </w:tcBorders>
            <w:shd w:val="clear" w:color="auto" w:fill="auto"/>
            <w:noWrap w:val="0"/>
            <w:vAlign w:val="center"/>
          </w:tcPr>
          <w:p w14:paraId="146AE349">
            <w:pPr>
              <w:spacing w:line="0" w:lineRule="atLeas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p>
        </w:tc>
      </w:tr>
      <w:tr w14:paraId="3BD3F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jc w:val="center"/>
        </w:trPr>
        <w:tc>
          <w:tcPr>
            <w:tcW w:w="549" w:type="dxa"/>
            <w:shd w:val="clear" w:color="auto" w:fill="auto"/>
            <w:noWrap w:val="0"/>
            <w:vAlign w:val="center"/>
          </w:tcPr>
          <w:p w14:paraId="36943CCD">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color w:val="auto"/>
                <w:sz w:val="24"/>
                <w:szCs w:val="24"/>
                <w:highlight w:val="none"/>
              </w:rPr>
              <w:t>2</w:t>
            </w:r>
          </w:p>
        </w:tc>
        <w:tc>
          <w:tcPr>
            <w:tcW w:w="1488" w:type="dxa"/>
            <w:shd w:val="clear" w:color="auto" w:fill="auto"/>
            <w:noWrap w:val="0"/>
            <w:vAlign w:val="center"/>
          </w:tcPr>
          <w:p w14:paraId="7323919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项目实施方案</w:t>
            </w:r>
          </w:p>
        </w:tc>
        <w:tc>
          <w:tcPr>
            <w:tcW w:w="6624" w:type="dxa"/>
            <w:shd w:val="clear" w:color="auto" w:fill="auto"/>
            <w:noWrap w:val="0"/>
            <w:vAlign w:val="center"/>
          </w:tcPr>
          <w:p w14:paraId="57C35DD4">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方案应包含但不限于以下内容：</w:t>
            </w:r>
          </w:p>
          <w:p w14:paraId="5C4D7442">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1.进度管理；</w:t>
            </w:r>
          </w:p>
          <w:p w14:paraId="078F298A">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2.质量管理；</w:t>
            </w:r>
          </w:p>
          <w:p w14:paraId="2C983E29">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3.应急预案及措施；</w:t>
            </w:r>
          </w:p>
          <w:p w14:paraId="59838F7A">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4.风险管理；</w:t>
            </w:r>
          </w:p>
          <w:p w14:paraId="0AC68BC5">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5.运输方案等。</w:t>
            </w:r>
          </w:p>
          <w:p w14:paraId="74F792EF">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评审要求：以上方案制度标准每提供一小项内容适用于本项目且无缺失的方案得2分，方案有缺失的得1分，满分10分，未提供的得0分。（缺失是指：不符合实际，存在偏离内容、内容前后不一致、文不对题、前后逻辑错误、内容缺失有瑕疵、无具体流程细节描述之处）</w:t>
            </w:r>
          </w:p>
        </w:tc>
        <w:tc>
          <w:tcPr>
            <w:tcW w:w="634" w:type="dxa"/>
            <w:shd w:val="clear" w:color="auto" w:fill="auto"/>
            <w:noWrap w:val="0"/>
            <w:vAlign w:val="center"/>
          </w:tcPr>
          <w:p w14:paraId="2B78EC21">
            <w:pPr>
              <w:spacing w:line="0" w:lineRule="atLeast"/>
              <w:jc w:val="center"/>
              <w:rPr>
                <w:rFonts w:hint="default"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10</w:t>
            </w:r>
          </w:p>
        </w:tc>
      </w:tr>
      <w:tr w14:paraId="16139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549" w:type="dxa"/>
            <w:shd w:val="clear" w:color="auto" w:fill="auto"/>
            <w:noWrap w:val="0"/>
            <w:vAlign w:val="center"/>
          </w:tcPr>
          <w:p w14:paraId="78F33475">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color w:val="auto"/>
                <w:sz w:val="24"/>
                <w:szCs w:val="24"/>
                <w:highlight w:val="none"/>
              </w:rPr>
              <w:t>3</w:t>
            </w:r>
          </w:p>
        </w:tc>
        <w:tc>
          <w:tcPr>
            <w:tcW w:w="1488" w:type="dxa"/>
            <w:shd w:val="clear" w:color="auto" w:fill="auto"/>
            <w:noWrap w:val="0"/>
            <w:vAlign w:val="center"/>
          </w:tcPr>
          <w:p w14:paraId="2BA04C6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highlight w:val="none"/>
                <w:lang w:val="zh-CN" w:eastAsia="en-US" w:bidi="ar-SA"/>
              </w:rPr>
            </w:pPr>
            <w:r>
              <w:rPr>
                <w:rFonts w:hint="eastAsia" w:ascii="宋体" w:hAnsi="宋体" w:eastAsia="宋体" w:cs="宋体"/>
                <w:color w:val="auto"/>
                <w:sz w:val="24"/>
                <w:szCs w:val="24"/>
                <w:highlight w:val="none"/>
              </w:rPr>
              <w:t>售后服务</w:t>
            </w:r>
          </w:p>
        </w:tc>
        <w:tc>
          <w:tcPr>
            <w:tcW w:w="6624" w:type="dxa"/>
            <w:shd w:val="clear" w:color="auto" w:fill="auto"/>
            <w:noWrap w:val="0"/>
            <w:vAlign w:val="center"/>
          </w:tcPr>
          <w:p w14:paraId="5AC52687">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方案应包含但不限于以下内容：</w:t>
            </w:r>
          </w:p>
          <w:p w14:paraId="5E9898E5">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1.售后服务计划；</w:t>
            </w:r>
          </w:p>
          <w:p w14:paraId="4F566A12">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2.提供咨询技术指导；</w:t>
            </w:r>
          </w:p>
          <w:p w14:paraId="753457C0">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3.提供日常巡检；</w:t>
            </w:r>
          </w:p>
          <w:p w14:paraId="7E0DE34E">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4.备品备件供应情况；</w:t>
            </w:r>
          </w:p>
          <w:p w14:paraId="7D887F32">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5.提供产品保修等。</w:t>
            </w:r>
          </w:p>
          <w:p w14:paraId="6AE1B682">
            <w:pPr>
              <w:keepNext w:val="0"/>
              <w:keepLines w:val="0"/>
              <w:widowControl/>
              <w:suppressLineNumbers w:val="0"/>
              <w:jc w:val="left"/>
              <w:rPr>
                <w:rFonts w:hint="eastAsia" w:ascii="宋体" w:hAnsi="宋体" w:eastAsia="宋体" w:cs="宋体"/>
                <w:snapToGrid w:val="0"/>
                <w:color w:val="auto"/>
                <w:kern w:val="0"/>
                <w:sz w:val="24"/>
                <w:szCs w:val="24"/>
                <w:highlight w:val="none"/>
                <w:lang w:val="zh-CN" w:eastAsia="zh-CN" w:bidi="ar"/>
              </w:rPr>
            </w:pPr>
            <w:r>
              <w:rPr>
                <w:rFonts w:hint="eastAsia" w:ascii="宋体" w:hAnsi="宋体" w:eastAsia="宋体" w:cs="宋体"/>
                <w:snapToGrid w:val="0"/>
                <w:color w:val="auto"/>
                <w:kern w:val="0"/>
                <w:sz w:val="24"/>
                <w:szCs w:val="24"/>
                <w:highlight w:val="none"/>
                <w:lang w:val="en-US" w:eastAsia="zh-CN" w:bidi="ar"/>
              </w:rPr>
              <w:t>评审要求：以上方案制度标准每提供一小项内容适用于本项目且无缺失的方案得2分，方案有缺失的得1分，满分10分，未提供的得0分。（缺失是指：不符合实际，存在偏离内容、内容前后不一致、文不对题、前后逻辑错误、内容缺失有瑕疵、无具体流程细节描述之处）</w:t>
            </w:r>
          </w:p>
        </w:tc>
        <w:tc>
          <w:tcPr>
            <w:tcW w:w="634" w:type="dxa"/>
            <w:shd w:val="clear" w:color="auto" w:fill="auto"/>
            <w:noWrap w:val="0"/>
            <w:vAlign w:val="center"/>
          </w:tcPr>
          <w:p w14:paraId="7BD06B1B">
            <w:pPr>
              <w:spacing w:line="0" w:lineRule="atLeast"/>
              <w:jc w:val="center"/>
              <w:rPr>
                <w:rFonts w:hint="default"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10</w:t>
            </w:r>
          </w:p>
        </w:tc>
      </w:tr>
      <w:tr w14:paraId="516D9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549" w:type="dxa"/>
            <w:shd w:val="clear" w:color="auto" w:fill="auto"/>
            <w:noWrap w:val="0"/>
            <w:vAlign w:val="center"/>
          </w:tcPr>
          <w:p w14:paraId="27C049AC">
            <w:pPr>
              <w:widowControl/>
              <w:kinsoku w:val="0"/>
              <w:autoSpaceDE w:val="0"/>
              <w:autoSpaceDN w:val="0"/>
              <w:adjustRightInd w:val="0"/>
              <w:snapToGrid w:val="0"/>
              <w:jc w:val="center"/>
              <w:textAlignment w:val="baseline"/>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color w:val="auto"/>
                <w:sz w:val="24"/>
                <w:szCs w:val="24"/>
                <w:highlight w:val="none"/>
              </w:rPr>
              <w:t>4</w:t>
            </w:r>
          </w:p>
        </w:tc>
        <w:tc>
          <w:tcPr>
            <w:tcW w:w="1488" w:type="dxa"/>
            <w:shd w:val="clear" w:color="auto" w:fill="auto"/>
            <w:noWrap w:val="0"/>
            <w:vAlign w:val="center"/>
          </w:tcPr>
          <w:p w14:paraId="6ABA634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color w:val="auto"/>
                <w:sz w:val="24"/>
                <w:szCs w:val="24"/>
                <w:highlight w:val="none"/>
                <w:lang w:eastAsia="zh-CN"/>
              </w:rPr>
              <w:t>运行及培训</w:t>
            </w:r>
          </w:p>
        </w:tc>
        <w:tc>
          <w:tcPr>
            <w:tcW w:w="6624" w:type="dxa"/>
            <w:shd w:val="clear" w:color="auto" w:fill="auto"/>
            <w:noWrap w:val="0"/>
            <w:vAlign w:val="center"/>
          </w:tcPr>
          <w:p w14:paraId="5F2417E8">
            <w:pPr>
              <w:keepNext w:val="0"/>
              <w:keepLines w:val="0"/>
              <w:pageBreakBefore w:val="0"/>
              <w:widowControl/>
              <w:numPr>
                <w:ilvl w:val="0"/>
                <w:numId w:val="0"/>
              </w:numPr>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方案应包含但不限于以下内容：</w:t>
            </w:r>
          </w:p>
          <w:p w14:paraId="63F8D58A">
            <w:pPr>
              <w:keepNext w:val="0"/>
              <w:keepLines w:val="0"/>
              <w:pageBreakBefore w:val="0"/>
              <w:widowControl/>
              <w:numPr>
                <w:ilvl w:val="0"/>
                <w:numId w:val="0"/>
              </w:numPr>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质量保证体系</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措施</w:t>
            </w:r>
            <w:r>
              <w:rPr>
                <w:rFonts w:hint="eastAsia" w:ascii="宋体" w:hAnsi="宋体" w:eastAsia="宋体" w:cs="宋体"/>
                <w:color w:val="auto"/>
                <w:sz w:val="24"/>
                <w:szCs w:val="24"/>
                <w:highlight w:val="none"/>
                <w:lang w:eastAsia="zh-CN"/>
              </w:rPr>
              <w:t>；</w:t>
            </w:r>
          </w:p>
          <w:p w14:paraId="78C1DB5F">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.培训计划及培训讲义</w:t>
            </w:r>
            <w:r>
              <w:rPr>
                <w:rFonts w:hint="eastAsia" w:ascii="宋体" w:hAnsi="宋体" w:eastAsia="宋体" w:cs="宋体"/>
                <w:color w:val="auto"/>
                <w:sz w:val="24"/>
                <w:szCs w:val="24"/>
                <w:highlight w:val="none"/>
                <w:lang w:eastAsia="zh-CN"/>
              </w:rPr>
              <w:t>；</w:t>
            </w:r>
          </w:p>
          <w:p w14:paraId="341B0E35">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.人员分类培训</w:t>
            </w:r>
            <w:r>
              <w:rPr>
                <w:rFonts w:hint="eastAsia" w:ascii="宋体" w:hAnsi="宋体" w:eastAsia="宋体" w:cs="宋体"/>
                <w:color w:val="auto"/>
                <w:sz w:val="24"/>
                <w:szCs w:val="24"/>
                <w:highlight w:val="none"/>
                <w:lang w:eastAsia="zh-CN"/>
              </w:rPr>
              <w:t>；</w:t>
            </w:r>
          </w:p>
          <w:p w14:paraId="4FC9F578">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4.安装调试方案；</w:t>
            </w:r>
          </w:p>
          <w:p w14:paraId="71294B4A">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资料</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设备验收管理</w:t>
            </w:r>
            <w:r>
              <w:rPr>
                <w:rFonts w:hint="eastAsia" w:ascii="宋体" w:hAnsi="宋体" w:eastAsia="宋体" w:cs="宋体"/>
                <w:color w:val="auto"/>
                <w:sz w:val="24"/>
                <w:szCs w:val="24"/>
                <w:highlight w:val="none"/>
                <w:lang w:eastAsia="zh-CN"/>
              </w:rPr>
              <w:t>等。</w:t>
            </w:r>
          </w:p>
          <w:p w14:paraId="35416252">
            <w:pPr>
              <w:keepNext w:val="0"/>
              <w:keepLines w:val="0"/>
              <w:widowControl/>
              <w:suppressLineNumbers w:val="0"/>
              <w:jc w:val="left"/>
              <w:rPr>
                <w:rFonts w:hint="eastAsia" w:ascii="宋体" w:hAnsi="宋体" w:eastAsia="宋体" w:cs="宋体"/>
                <w:snapToGrid w:val="0"/>
                <w:color w:val="auto"/>
                <w:kern w:val="0"/>
                <w:sz w:val="24"/>
                <w:szCs w:val="24"/>
                <w:highlight w:val="none"/>
                <w:lang w:val="zh-CN" w:eastAsia="zh-CN" w:bidi="ar"/>
              </w:rPr>
            </w:pPr>
            <w:r>
              <w:rPr>
                <w:rFonts w:hint="eastAsia" w:ascii="宋体" w:hAnsi="宋体" w:eastAsia="宋体" w:cs="宋体"/>
                <w:snapToGrid w:val="0"/>
                <w:color w:val="auto"/>
                <w:kern w:val="0"/>
                <w:sz w:val="24"/>
                <w:szCs w:val="24"/>
                <w:highlight w:val="none"/>
                <w:lang w:val="en-US" w:eastAsia="zh-CN" w:bidi="ar"/>
              </w:rPr>
              <w:t>评审要求：以上方案制度标准每提供一小项内容适用于本项目且无缺失的方案得2分，方案有缺失的得1分，满分10分，未提供的得0分。（缺失是指：不符合实际，存在偏离内容、内容前后不一致、文不对题、前后逻辑错误、内容缺失有瑕疵、无具体流程细节描述之处）</w:t>
            </w:r>
          </w:p>
        </w:tc>
        <w:tc>
          <w:tcPr>
            <w:tcW w:w="634" w:type="dxa"/>
            <w:shd w:val="clear" w:color="auto" w:fill="auto"/>
            <w:noWrap w:val="0"/>
            <w:vAlign w:val="center"/>
          </w:tcPr>
          <w:p w14:paraId="7CA4505D">
            <w:pPr>
              <w:spacing w:line="0" w:lineRule="atLeast"/>
              <w:jc w:val="center"/>
              <w:rPr>
                <w:rFonts w:hint="default"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10</w:t>
            </w:r>
          </w:p>
        </w:tc>
      </w:tr>
      <w:tr w14:paraId="29F17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8661" w:type="dxa"/>
            <w:gridSpan w:val="3"/>
            <w:shd w:val="clear" w:color="auto" w:fill="auto"/>
            <w:noWrap w:val="0"/>
            <w:vAlign w:val="center"/>
          </w:tcPr>
          <w:p w14:paraId="0A26EEF7">
            <w:pPr>
              <w:widowControl/>
              <w:kinsoku w:val="0"/>
              <w:autoSpaceDE w:val="0"/>
              <w:autoSpaceDN w:val="0"/>
              <w:adjustRightInd w:val="0"/>
              <w:snapToGri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得分合计</w:t>
            </w:r>
          </w:p>
        </w:tc>
        <w:tc>
          <w:tcPr>
            <w:tcW w:w="634" w:type="dxa"/>
            <w:shd w:val="clear" w:color="auto" w:fill="auto"/>
            <w:noWrap w:val="0"/>
            <w:vAlign w:val="center"/>
          </w:tcPr>
          <w:p w14:paraId="3FECE58E">
            <w:pPr>
              <w:widowControl/>
              <w:kinsoku w:val="0"/>
              <w:autoSpaceDE w:val="0"/>
              <w:autoSpaceDN w:val="0"/>
              <w:adjustRightInd w:val="0"/>
              <w:snapToGri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bl>
    <w:p w14:paraId="3DF42E96">
      <w:pPr>
        <w:bidi w:val="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3.3.3 评标委员会在评审时，价格分扣除：</w:t>
      </w:r>
    </w:p>
    <w:p w14:paraId="16DBF82C">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于列入财政部、发展改革委、生态环境部、市场监管总局发布的《节能产品、环境标志产品政府采购品目清单》但不属于国家强制采购的产品，对其投标价格给予3%的价格扣除，并按照扣除后的价格参加评审，需提供节能产品/环境标志产品清单说明表（格式自拟）。</w:t>
      </w:r>
    </w:p>
    <w:p w14:paraId="16C5299A">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（2）对于列入财政部、国家发改委、信息产业部发布的《无线局域网认证产品政府采购清单》的产品，对其投标价格给予 3%的价格扣除，并按扣除后的价格参加评审。采购项目或者分包中既包含清单中产品也包含非清单中产品的，只对列入清单的产品按其在总报价中所占的比例给予价格扣除，需提供无线局域网认证产品政府采购清单说明表（格式自拟）。</w:t>
      </w:r>
    </w:p>
    <w:p w14:paraId="3AB5B8F9">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（3）投标产品同时列入上述多个清单的，将上述规定的价格扣除比例叠加后计算价格扣除。</w:t>
      </w:r>
    </w:p>
    <w:p w14:paraId="2119EE70">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（4）根据《进一步加大政府采购支持中小企业力度的通知》（财库[2022]19号）规定，</w:t>
      </w:r>
      <w:r>
        <w:rPr>
          <w:rFonts w:hint="eastAsia" w:ascii="宋体" w:hAnsi="宋体" w:eastAsia="宋体" w:cs="宋体"/>
          <w:b/>
          <w:bCs/>
          <w:color w:val="auto"/>
          <w:sz w:val="24"/>
          <w:szCs w:val="24"/>
          <w:highlight w:val="none"/>
        </w:rPr>
        <w:t>对小型和微型企业的产品给予10%的价格扣除，并按照扣除后的价格参加评审。</w:t>
      </w:r>
    </w:p>
    <w:p w14:paraId="62D57575">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（5）监狱企业视同小型、微型企业，监狱企业投标的提供省级以上监狱管理局、戒毒管理局(含新疆生产建设兵团)出具的属于监狱企业的证明文件，不再提供《中小企业声明函》；</w:t>
      </w:r>
    </w:p>
    <w:p w14:paraId="46BA6264">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（6）残疾人福利性单位视同小型、微型企业，残疾人福利性单位属于小型、微型企业的，不重复享受政策。符合条件的残疾人福利性单位在参加政府采购活动时，应当提供《残疾人福利性单位声明函》。</w:t>
      </w:r>
    </w:p>
    <w:p w14:paraId="41F2F5CA">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价格扣除的依据：第（1）至（2）条提供投标货物相关认证证书复印件和清单说明表（格式自拟）加盖投标人公章。第（4）条提供《中小企业声明函（货物）》、第（5）条提供由省级以上监狱管理局、戒毒管理局(含新疆生产建设兵团)出具的属于监狱企业的证明文件、第（6）条提供《残疾人福利性单位声明函》。</w:t>
      </w:r>
    </w:p>
    <w:p w14:paraId="2A830FD8">
      <w:pPr>
        <w:bidi w:val="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3.4 编写评标报告，授权评标委员会确定中标人。</w:t>
      </w:r>
    </w:p>
    <w:p w14:paraId="216A0BD0">
      <w:pPr>
        <w:outlineLvl w:val="9"/>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pPr>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br w:type="page"/>
      </w:r>
    </w:p>
    <w:p w14:paraId="161FA7B5">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b/>
          <w:bCs w:val="0"/>
          <w:color w:val="auto"/>
          <w:sz w:val="32"/>
          <w:szCs w:val="32"/>
          <w:highlight w:val="none"/>
        </w:rPr>
      </w:pPr>
      <w:r>
        <w:rPr>
          <w:rFonts w:hint="eastAsia"/>
          <w:b/>
          <w:bCs w:val="0"/>
          <w:color w:val="auto"/>
          <w:sz w:val="32"/>
          <w:szCs w:val="32"/>
          <w:highlight w:val="none"/>
        </w:rPr>
        <w:t>第四章 合同条款（参考格式）</w:t>
      </w:r>
      <w:bookmarkEnd w:id="38"/>
      <w:bookmarkEnd w:id="39"/>
    </w:p>
    <w:p w14:paraId="6447C965">
      <w:pPr>
        <w:spacing w:line="360" w:lineRule="auto"/>
        <w:ind w:firstLine="480" w:firstLineChars="200"/>
        <w:jc w:val="both"/>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以下合同模版仅供参考，</w:t>
      </w:r>
      <w:r>
        <w:rPr>
          <w:rFonts w:hint="eastAsia" w:ascii="宋体" w:hAnsi="宋体" w:cs="宋体"/>
          <w:b/>
          <w:color w:val="auto"/>
          <w:sz w:val="24"/>
          <w:szCs w:val="24"/>
          <w:highlight w:val="none"/>
        </w:rPr>
        <w:t>实际合同以双方签订为准）</w:t>
      </w:r>
    </w:p>
    <w:p w14:paraId="575761B9">
      <w:pPr>
        <w:spacing w:before="243" w:line="225" w:lineRule="auto"/>
        <w:ind w:left="2897"/>
        <w:outlineLvl w:val="9"/>
        <w:rPr>
          <w:rFonts w:hint="eastAsia" w:ascii="宋体" w:hAnsi="宋体" w:eastAsia="宋体" w:cs="宋体"/>
          <w:color w:val="auto"/>
          <w:sz w:val="31"/>
          <w:szCs w:val="31"/>
          <w:highlight w:val="none"/>
        </w:rPr>
      </w:pPr>
      <w:r>
        <w:rPr>
          <w:rFonts w:hint="eastAsia" w:ascii="宋体" w:hAnsi="宋体" w:eastAsia="宋体" w:cs="宋体"/>
          <w:color w:val="auto"/>
          <w:spacing w:val="10"/>
          <w:sz w:val="31"/>
          <w:szCs w:val="31"/>
          <w:highlight w:val="none"/>
          <w14:textOutline w14:w="5793" w14:cap="sq" w14:cmpd="sng">
            <w14:solidFill>
              <w14:srgbClr w14:val="000000"/>
            </w14:solidFill>
            <w14:prstDash w14:val="solid"/>
            <w14:bevel/>
          </w14:textOutline>
        </w:rPr>
        <w:t>政府采购合同条款及格式</w:t>
      </w:r>
    </w:p>
    <w:p w14:paraId="007FB97E">
      <w:pPr>
        <w:spacing w:before="232" w:line="466" w:lineRule="exact"/>
        <w:ind w:left="49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position w:val="17"/>
          <w:sz w:val="24"/>
          <w:szCs w:val="24"/>
          <w:highlight w:val="none"/>
        </w:rPr>
        <w:t>合同编号：</w:t>
      </w:r>
    </w:p>
    <w:p w14:paraId="1E58949C">
      <w:pPr>
        <w:spacing w:before="1" w:line="222" w:lineRule="auto"/>
        <w:ind w:left="49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签订地点：</w:t>
      </w:r>
    </w:p>
    <w:p w14:paraId="0CB42880">
      <w:pPr>
        <w:spacing w:before="177" w:line="221" w:lineRule="auto"/>
        <w:ind w:left="49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签订日期：</w:t>
      </w:r>
    </w:p>
    <w:p w14:paraId="3D171CA7">
      <w:pPr>
        <w:spacing w:before="182" w:line="219" w:lineRule="auto"/>
        <w:ind w:left="49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采购任务编号：</w:t>
      </w:r>
    </w:p>
    <w:p w14:paraId="14527040">
      <w:pPr>
        <w:spacing w:before="182" w:line="359" w:lineRule="auto"/>
        <w:ind w:left="14" w:right="92" w:firstLine="49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（需方）需求的“</w:t>
      </w:r>
      <w:r>
        <w:rPr>
          <w:rFonts w:hint="eastAsia" w:ascii="宋体" w:hAnsi="宋体" w:eastAsia="宋体" w:cs="宋体"/>
          <w:color w:val="auto"/>
          <w:spacing w:val="-118"/>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z w:val="24"/>
          <w:szCs w:val="24"/>
          <w:highlight w:val="none"/>
        </w:rPr>
        <w:t>”（货物名称）经以编号为的招标文件在国内公开招</w:t>
      </w:r>
      <w:r>
        <w:rPr>
          <w:rFonts w:hint="eastAsia" w:ascii="宋体" w:hAnsi="宋体" w:eastAsia="宋体" w:cs="宋体"/>
          <w:color w:val="auto"/>
          <w:spacing w:val="-1"/>
          <w:sz w:val="24"/>
          <w:szCs w:val="24"/>
          <w:highlight w:val="none"/>
        </w:rPr>
        <w:t>标，经评标委员会评定（供方</w:t>
      </w: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1"/>
          <w:sz w:val="24"/>
          <w:szCs w:val="24"/>
          <w:highlight w:val="none"/>
        </w:rPr>
        <w:t>包号）为中标单位。供需双方按照《中华人民共和国合同法》和</w:t>
      </w:r>
      <w:r>
        <w:rPr>
          <w:rFonts w:hint="eastAsia" w:ascii="宋体" w:hAnsi="宋体" w:eastAsia="宋体" w:cs="宋体"/>
          <w:color w:val="auto"/>
          <w:spacing w:val="-2"/>
          <w:sz w:val="24"/>
          <w:szCs w:val="24"/>
          <w:highlight w:val="none"/>
        </w:rPr>
        <w:t>有关法律法规，遵循平等、自愿、公平和诚实信用原则，同意按照下面的条款和条件订立本合同，共同信守。</w:t>
      </w:r>
    </w:p>
    <w:p w14:paraId="5DB658CB">
      <w:pPr>
        <w:spacing w:before="181" w:line="219" w:lineRule="auto"/>
        <w:ind w:left="497"/>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一、货物名称、产地、规格、数量</w:t>
      </w:r>
    </w:p>
    <w:p w14:paraId="76CF0761">
      <w:pPr>
        <w:spacing w:line="147" w:lineRule="exact"/>
        <w:outlineLvl w:val="9"/>
        <w:rPr>
          <w:rFonts w:hint="eastAsia" w:ascii="宋体" w:hAnsi="宋体" w:eastAsia="宋体" w:cs="宋体"/>
          <w:color w:val="auto"/>
          <w:highlight w:val="none"/>
        </w:rPr>
      </w:pPr>
    </w:p>
    <w:tbl>
      <w:tblPr>
        <w:tblStyle w:val="25"/>
        <w:tblW w:w="938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2"/>
        <w:gridCol w:w="1151"/>
        <w:gridCol w:w="2519"/>
        <w:gridCol w:w="899"/>
        <w:gridCol w:w="1259"/>
        <w:gridCol w:w="2008"/>
      </w:tblGrid>
      <w:tr w14:paraId="02359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52" w:type="dxa"/>
            <w:tcBorders>
              <w:top w:val="single" w:color="000000" w:sz="2" w:space="0"/>
              <w:left w:val="single" w:color="000000" w:sz="2" w:space="0"/>
            </w:tcBorders>
            <w:vAlign w:val="top"/>
          </w:tcPr>
          <w:p w14:paraId="536A8497">
            <w:pPr>
              <w:pStyle w:val="26"/>
              <w:spacing w:before="81" w:line="219" w:lineRule="auto"/>
              <w:ind w:left="309"/>
              <w:outlineLvl w:val="9"/>
              <w:rPr>
                <w:rFonts w:hint="eastAsia" w:ascii="宋体" w:hAnsi="宋体" w:eastAsia="宋体" w:cs="宋体"/>
                <w:color w:val="auto"/>
                <w:highlight w:val="none"/>
              </w:rPr>
            </w:pPr>
            <w:r>
              <w:rPr>
                <w:rFonts w:hint="eastAsia" w:ascii="宋体" w:hAnsi="宋体" w:eastAsia="宋体" w:cs="宋体"/>
                <w:color w:val="auto"/>
                <w:spacing w:val="-4"/>
                <w:highlight w:val="none"/>
              </w:rPr>
              <w:t>货物名称</w:t>
            </w:r>
          </w:p>
        </w:tc>
        <w:tc>
          <w:tcPr>
            <w:tcW w:w="1151" w:type="dxa"/>
            <w:tcBorders>
              <w:top w:val="single" w:color="000000" w:sz="2" w:space="0"/>
            </w:tcBorders>
            <w:vAlign w:val="top"/>
          </w:tcPr>
          <w:p w14:paraId="36B15EF2">
            <w:pPr>
              <w:pStyle w:val="26"/>
              <w:spacing w:before="81" w:line="220" w:lineRule="auto"/>
              <w:ind w:left="457"/>
              <w:outlineLvl w:val="9"/>
              <w:rPr>
                <w:rFonts w:hint="eastAsia" w:ascii="宋体" w:hAnsi="宋体" w:eastAsia="宋体" w:cs="宋体"/>
                <w:color w:val="auto"/>
                <w:highlight w:val="none"/>
              </w:rPr>
            </w:pPr>
            <w:r>
              <w:rPr>
                <w:rFonts w:hint="eastAsia" w:ascii="宋体" w:hAnsi="宋体" w:eastAsia="宋体" w:cs="宋体"/>
                <w:color w:val="auto"/>
                <w:spacing w:val="-5"/>
                <w:highlight w:val="none"/>
              </w:rPr>
              <w:t>产地</w:t>
            </w:r>
          </w:p>
        </w:tc>
        <w:tc>
          <w:tcPr>
            <w:tcW w:w="2519" w:type="dxa"/>
            <w:tcBorders>
              <w:top w:val="single" w:color="000000" w:sz="2" w:space="0"/>
            </w:tcBorders>
            <w:vAlign w:val="top"/>
          </w:tcPr>
          <w:p w14:paraId="08438BE1">
            <w:pPr>
              <w:pStyle w:val="26"/>
              <w:spacing w:before="81" w:line="220" w:lineRule="auto"/>
              <w:ind w:left="1023"/>
              <w:outlineLvl w:val="9"/>
              <w:rPr>
                <w:rFonts w:hint="eastAsia" w:ascii="宋体" w:hAnsi="宋体" w:eastAsia="宋体" w:cs="宋体"/>
                <w:color w:val="auto"/>
                <w:highlight w:val="none"/>
              </w:rPr>
            </w:pPr>
            <w:r>
              <w:rPr>
                <w:rFonts w:hint="eastAsia" w:ascii="宋体" w:hAnsi="宋体" w:eastAsia="宋体" w:cs="宋体"/>
                <w:color w:val="auto"/>
                <w:spacing w:val="-6"/>
                <w:highlight w:val="none"/>
              </w:rPr>
              <w:t>规格</w:t>
            </w:r>
          </w:p>
        </w:tc>
        <w:tc>
          <w:tcPr>
            <w:tcW w:w="899" w:type="dxa"/>
            <w:tcBorders>
              <w:top w:val="single" w:color="000000" w:sz="2" w:space="0"/>
            </w:tcBorders>
            <w:vAlign w:val="top"/>
          </w:tcPr>
          <w:p w14:paraId="23C7A235">
            <w:pPr>
              <w:pStyle w:val="26"/>
              <w:spacing w:before="81" w:line="220" w:lineRule="auto"/>
              <w:ind w:left="216"/>
              <w:outlineLvl w:val="9"/>
              <w:rPr>
                <w:rFonts w:hint="eastAsia" w:ascii="宋体" w:hAnsi="宋体" w:eastAsia="宋体" w:cs="宋体"/>
                <w:color w:val="auto"/>
                <w:highlight w:val="none"/>
              </w:rPr>
            </w:pPr>
            <w:r>
              <w:rPr>
                <w:rFonts w:hint="eastAsia" w:ascii="宋体" w:hAnsi="宋体" w:eastAsia="宋体" w:cs="宋体"/>
                <w:color w:val="auto"/>
                <w:spacing w:val="-6"/>
                <w:highlight w:val="none"/>
              </w:rPr>
              <w:t>数量</w:t>
            </w:r>
          </w:p>
        </w:tc>
        <w:tc>
          <w:tcPr>
            <w:tcW w:w="1259" w:type="dxa"/>
            <w:tcBorders>
              <w:top w:val="single" w:color="000000" w:sz="2" w:space="0"/>
            </w:tcBorders>
            <w:vAlign w:val="top"/>
          </w:tcPr>
          <w:p w14:paraId="2353CE08">
            <w:pPr>
              <w:pStyle w:val="26"/>
              <w:spacing w:before="80" w:line="219" w:lineRule="auto"/>
              <w:ind w:left="157"/>
              <w:outlineLvl w:val="9"/>
              <w:rPr>
                <w:rFonts w:hint="eastAsia" w:ascii="宋体" w:hAnsi="宋体" w:eastAsia="宋体" w:cs="宋体"/>
                <w:color w:val="auto"/>
                <w:highlight w:val="none"/>
              </w:rPr>
            </w:pPr>
            <w:r>
              <w:rPr>
                <w:rFonts w:hint="eastAsia" w:ascii="宋体" w:hAnsi="宋体" w:eastAsia="宋体" w:cs="宋体"/>
                <w:color w:val="auto"/>
                <w:spacing w:val="-3"/>
                <w:highlight w:val="none"/>
              </w:rPr>
              <w:t>单价(元)</w:t>
            </w:r>
          </w:p>
        </w:tc>
        <w:tc>
          <w:tcPr>
            <w:tcW w:w="2008" w:type="dxa"/>
            <w:tcBorders>
              <w:top w:val="single" w:color="000000" w:sz="2" w:space="0"/>
              <w:right w:val="single" w:color="000000" w:sz="2" w:space="0"/>
            </w:tcBorders>
            <w:vAlign w:val="top"/>
          </w:tcPr>
          <w:p w14:paraId="0606DC24">
            <w:pPr>
              <w:pStyle w:val="26"/>
              <w:spacing w:before="81" w:line="220" w:lineRule="auto"/>
              <w:ind w:left="295"/>
              <w:outlineLvl w:val="9"/>
              <w:rPr>
                <w:rFonts w:hint="eastAsia" w:ascii="宋体" w:hAnsi="宋体" w:eastAsia="宋体" w:cs="宋体"/>
                <w:color w:val="auto"/>
                <w:highlight w:val="none"/>
              </w:rPr>
            </w:pPr>
            <w:r>
              <w:rPr>
                <w:rFonts w:hint="eastAsia" w:ascii="宋体" w:hAnsi="宋体" w:eastAsia="宋体" w:cs="宋体"/>
                <w:color w:val="auto"/>
                <w:spacing w:val="-3"/>
                <w:highlight w:val="none"/>
              </w:rPr>
              <w:t>小计金额(元)</w:t>
            </w:r>
          </w:p>
        </w:tc>
      </w:tr>
      <w:tr w14:paraId="7683C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52" w:type="dxa"/>
            <w:tcBorders>
              <w:left w:val="single" w:color="000000" w:sz="2" w:space="0"/>
            </w:tcBorders>
            <w:vAlign w:val="top"/>
          </w:tcPr>
          <w:p w14:paraId="2B2905CC">
            <w:pPr>
              <w:outlineLvl w:val="9"/>
              <w:rPr>
                <w:rFonts w:hint="eastAsia" w:ascii="宋体" w:hAnsi="宋体" w:eastAsia="宋体" w:cs="宋体"/>
                <w:color w:val="auto"/>
                <w:sz w:val="21"/>
                <w:highlight w:val="none"/>
              </w:rPr>
            </w:pPr>
          </w:p>
        </w:tc>
        <w:tc>
          <w:tcPr>
            <w:tcW w:w="1151" w:type="dxa"/>
            <w:vAlign w:val="top"/>
          </w:tcPr>
          <w:p w14:paraId="7C7F0BF3">
            <w:pPr>
              <w:outlineLvl w:val="9"/>
              <w:rPr>
                <w:rFonts w:hint="eastAsia" w:ascii="宋体" w:hAnsi="宋体" w:eastAsia="宋体" w:cs="宋体"/>
                <w:color w:val="auto"/>
                <w:sz w:val="21"/>
                <w:highlight w:val="none"/>
              </w:rPr>
            </w:pPr>
          </w:p>
        </w:tc>
        <w:tc>
          <w:tcPr>
            <w:tcW w:w="2519" w:type="dxa"/>
            <w:vAlign w:val="top"/>
          </w:tcPr>
          <w:p w14:paraId="731B6E32">
            <w:pPr>
              <w:outlineLvl w:val="9"/>
              <w:rPr>
                <w:rFonts w:hint="eastAsia" w:ascii="宋体" w:hAnsi="宋体" w:eastAsia="宋体" w:cs="宋体"/>
                <w:color w:val="auto"/>
                <w:sz w:val="21"/>
                <w:highlight w:val="none"/>
              </w:rPr>
            </w:pPr>
          </w:p>
        </w:tc>
        <w:tc>
          <w:tcPr>
            <w:tcW w:w="899" w:type="dxa"/>
            <w:vAlign w:val="top"/>
          </w:tcPr>
          <w:p w14:paraId="1141800A">
            <w:pPr>
              <w:outlineLvl w:val="9"/>
              <w:rPr>
                <w:rFonts w:hint="eastAsia" w:ascii="宋体" w:hAnsi="宋体" w:eastAsia="宋体" w:cs="宋体"/>
                <w:color w:val="auto"/>
                <w:sz w:val="21"/>
                <w:highlight w:val="none"/>
              </w:rPr>
            </w:pPr>
          </w:p>
        </w:tc>
        <w:tc>
          <w:tcPr>
            <w:tcW w:w="1259" w:type="dxa"/>
            <w:vAlign w:val="top"/>
          </w:tcPr>
          <w:p w14:paraId="1A592B33">
            <w:pPr>
              <w:outlineLvl w:val="9"/>
              <w:rPr>
                <w:rFonts w:hint="eastAsia" w:ascii="宋体" w:hAnsi="宋体" w:eastAsia="宋体" w:cs="宋体"/>
                <w:color w:val="auto"/>
                <w:sz w:val="21"/>
                <w:highlight w:val="none"/>
              </w:rPr>
            </w:pPr>
          </w:p>
        </w:tc>
        <w:tc>
          <w:tcPr>
            <w:tcW w:w="2008" w:type="dxa"/>
            <w:tcBorders>
              <w:right w:val="single" w:color="000000" w:sz="2" w:space="0"/>
            </w:tcBorders>
            <w:vAlign w:val="top"/>
          </w:tcPr>
          <w:p w14:paraId="3A0D869F">
            <w:pPr>
              <w:outlineLvl w:val="9"/>
              <w:rPr>
                <w:rFonts w:hint="eastAsia" w:ascii="宋体" w:hAnsi="宋体" w:eastAsia="宋体" w:cs="宋体"/>
                <w:color w:val="auto"/>
                <w:sz w:val="21"/>
                <w:highlight w:val="none"/>
              </w:rPr>
            </w:pPr>
          </w:p>
        </w:tc>
      </w:tr>
      <w:tr w14:paraId="3BD4F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52" w:type="dxa"/>
            <w:tcBorders>
              <w:left w:val="single" w:color="000000" w:sz="2" w:space="0"/>
            </w:tcBorders>
            <w:vAlign w:val="top"/>
          </w:tcPr>
          <w:p w14:paraId="23132302">
            <w:pPr>
              <w:outlineLvl w:val="9"/>
              <w:rPr>
                <w:rFonts w:hint="eastAsia" w:ascii="宋体" w:hAnsi="宋体" w:eastAsia="宋体" w:cs="宋体"/>
                <w:color w:val="auto"/>
                <w:sz w:val="21"/>
                <w:highlight w:val="none"/>
              </w:rPr>
            </w:pPr>
          </w:p>
        </w:tc>
        <w:tc>
          <w:tcPr>
            <w:tcW w:w="1151" w:type="dxa"/>
            <w:vAlign w:val="top"/>
          </w:tcPr>
          <w:p w14:paraId="2D3BE116">
            <w:pPr>
              <w:outlineLvl w:val="9"/>
              <w:rPr>
                <w:rFonts w:hint="eastAsia" w:ascii="宋体" w:hAnsi="宋体" w:eastAsia="宋体" w:cs="宋体"/>
                <w:color w:val="auto"/>
                <w:sz w:val="21"/>
                <w:highlight w:val="none"/>
              </w:rPr>
            </w:pPr>
          </w:p>
        </w:tc>
        <w:tc>
          <w:tcPr>
            <w:tcW w:w="2519" w:type="dxa"/>
            <w:vAlign w:val="top"/>
          </w:tcPr>
          <w:p w14:paraId="6DE3051B">
            <w:pPr>
              <w:outlineLvl w:val="9"/>
              <w:rPr>
                <w:rFonts w:hint="eastAsia" w:ascii="宋体" w:hAnsi="宋体" w:eastAsia="宋体" w:cs="宋体"/>
                <w:color w:val="auto"/>
                <w:sz w:val="21"/>
                <w:highlight w:val="none"/>
              </w:rPr>
            </w:pPr>
          </w:p>
        </w:tc>
        <w:tc>
          <w:tcPr>
            <w:tcW w:w="899" w:type="dxa"/>
            <w:vAlign w:val="top"/>
          </w:tcPr>
          <w:p w14:paraId="13D9A9F4">
            <w:pPr>
              <w:outlineLvl w:val="9"/>
              <w:rPr>
                <w:rFonts w:hint="eastAsia" w:ascii="宋体" w:hAnsi="宋体" w:eastAsia="宋体" w:cs="宋体"/>
                <w:color w:val="auto"/>
                <w:sz w:val="21"/>
                <w:highlight w:val="none"/>
              </w:rPr>
            </w:pPr>
          </w:p>
        </w:tc>
        <w:tc>
          <w:tcPr>
            <w:tcW w:w="1259" w:type="dxa"/>
            <w:vAlign w:val="top"/>
          </w:tcPr>
          <w:p w14:paraId="42B04300">
            <w:pPr>
              <w:outlineLvl w:val="9"/>
              <w:rPr>
                <w:rFonts w:hint="eastAsia" w:ascii="宋体" w:hAnsi="宋体" w:eastAsia="宋体" w:cs="宋体"/>
                <w:color w:val="auto"/>
                <w:sz w:val="21"/>
                <w:highlight w:val="none"/>
              </w:rPr>
            </w:pPr>
          </w:p>
        </w:tc>
        <w:tc>
          <w:tcPr>
            <w:tcW w:w="2008" w:type="dxa"/>
            <w:tcBorders>
              <w:right w:val="single" w:color="000000" w:sz="2" w:space="0"/>
            </w:tcBorders>
            <w:vAlign w:val="top"/>
          </w:tcPr>
          <w:p w14:paraId="542EF82E">
            <w:pPr>
              <w:outlineLvl w:val="9"/>
              <w:rPr>
                <w:rFonts w:hint="eastAsia" w:ascii="宋体" w:hAnsi="宋体" w:eastAsia="宋体" w:cs="宋体"/>
                <w:color w:val="auto"/>
                <w:sz w:val="21"/>
                <w:highlight w:val="none"/>
              </w:rPr>
            </w:pPr>
          </w:p>
        </w:tc>
      </w:tr>
      <w:tr w14:paraId="4BD98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552" w:type="dxa"/>
            <w:tcBorders>
              <w:left w:val="single" w:color="000000" w:sz="2" w:space="0"/>
              <w:bottom w:val="single" w:color="000000" w:sz="2" w:space="0"/>
            </w:tcBorders>
            <w:vAlign w:val="top"/>
          </w:tcPr>
          <w:p w14:paraId="298A341C">
            <w:pPr>
              <w:outlineLvl w:val="9"/>
              <w:rPr>
                <w:rFonts w:hint="eastAsia" w:ascii="宋体" w:hAnsi="宋体" w:eastAsia="宋体" w:cs="宋体"/>
                <w:color w:val="auto"/>
                <w:sz w:val="21"/>
                <w:highlight w:val="none"/>
              </w:rPr>
            </w:pPr>
          </w:p>
        </w:tc>
        <w:tc>
          <w:tcPr>
            <w:tcW w:w="1151" w:type="dxa"/>
            <w:tcBorders>
              <w:bottom w:val="single" w:color="000000" w:sz="2" w:space="0"/>
            </w:tcBorders>
            <w:vAlign w:val="top"/>
          </w:tcPr>
          <w:p w14:paraId="6381E115">
            <w:pPr>
              <w:outlineLvl w:val="9"/>
              <w:rPr>
                <w:rFonts w:hint="eastAsia" w:ascii="宋体" w:hAnsi="宋体" w:eastAsia="宋体" w:cs="宋体"/>
                <w:color w:val="auto"/>
                <w:sz w:val="21"/>
                <w:highlight w:val="none"/>
              </w:rPr>
            </w:pPr>
          </w:p>
        </w:tc>
        <w:tc>
          <w:tcPr>
            <w:tcW w:w="2519" w:type="dxa"/>
            <w:tcBorders>
              <w:bottom w:val="single" w:color="000000" w:sz="2" w:space="0"/>
            </w:tcBorders>
            <w:vAlign w:val="top"/>
          </w:tcPr>
          <w:p w14:paraId="79636125">
            <w:pPr>
              <w:outlineLvl w:val="9"/>
              <w:rPr>
                <w:rFonts w:hint="eastAsia" w:ascii="宋体" w:hAnsi="宋体" w:eastAsia="宋体" w:cs="宋体"/>
                <w:color w:val="auto"/>
                <w:sz w:val="21"/>
                <w:highlight w:val="none"/>
              </w:rPr>
            </w:pPr>
          </w:p>
        </w:tc>
        <w:tc>
          <w:tcPr>
            <w:tcW w:w="899" w:type="dxa"/>
            <w:tcBorders>
              <w:bottom w:val="single" w:color="000000" w:sz="2" w:space="0"/>
            </w:tcBorders>
            <w:vAlign w:val="top"/>
          </w:tcPr>
          <w:p w14:paraId="38F8FAFE">
            <w:pPr>
              <w:outlineLvl w:val="9"/>
              <w:rPr>
                <w:rFonts w:hint="eastAsia" w:ascii="宋体" w:hAnsi="宋体" w:eastAsia="宋体" w:cs="宋体"/>
                <w:color w:val="auto"/>
                <w:sz w:val="21"/>
                <w:highlight w:val="none"/>
              </w:rPr>
            </w:pPr>
          </w:p>
        </w:tc>
        <w:tc>
          <w:tcPr>
            <w:tcW w:w="1259" w:type="dxa"/>
            <w:tcBorders>
              <w:bottom w:val="single" w:color="000000" w:sz="2" w:space="0"/>
            </w:tcBorders>
            <w:vAlign w:val="top"/>
          </w:tcPr>
          <w:p w14:paraId="32BC259B">
            <w:pPr>
              <w:outlineLvl w:val="9"/>
              <w:rPr>
                <w:rFonts w:hint="eastAsia" w:ascii="宋体" w:hAnsi="宋体" w:eastAsia="宋体" w:cs="宋体"/>
                <w:color w:val="auto"/>
                <w:sz w:val="21"/>
                <w:highlight w:val="none"/>
              </w:rPr>
            </w:pPr>
          </w:p>
        </w:tc>
        <w:tc>
          <w:tcPr>
            <w:tcW w:w="2008" w:type="dxa"/>
            <w:tcBorders>
              <w:bottom w:val="single" w:color="000000" w:sz="2" w:space="0"/>
              <w:right w:val="single" w:color="000000" w:sz="2" w:space="0"/>
            </w:tcBorders>
            <w:vAlign w:val="top"/>
          </w:tcPr>
          <w:p w14:paraId="14D4D6BD">
            <w:pPr>
              <w:outlineLvl w:val="9"/>
              <w:rPr>
                <w:rFonts w:hint="eastAsia" w:ascii="宋体" w:hAnsi="宋体" w:eastAsia="宋体" w:cs="宋体"/>
                <w:color w:val="auto"/>
                <w:sz w:val="21"/>
                <w:highlight w:val="none"/>
              </w:rPr>
            </w:pPr>
          </w:p>
        </w:tc>
      </w:tr>
    </w:tbl>
    <w:p w14:paraId="0A5DF5BB">
      <w:pPr>
        <w:spacing w:before="34" w:line="219" w:lineRule="auto"/>
        <w:ind w:left="497"/>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二、合同价款</w:t>
      </w:r>
    </w:p>
    <w:p w14:paraId="581B2BE5">
      <w:pPr>
        <w:spacing w:before="183" w:line="219" w:lineRule="auto"/>
        <w:ind w:left="496"/>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
          <w:sz w:val="24"/>
          <w:szCs w:val="24"/>
          <w:highlight w:val="none"/>
        </w:rPr>
        <w:t>合同总价：人民币（大写）元</w:t>
      </w:r>
      <w:r>
        <w:rPr>
          <w:rFonts w:hint="eastAsia" w:ascii="宋体" w:hAnsi="宋体" w:eastAsia="宋体" w:cs="宋体"/>
          <w:color w:val="auto"/>
          <w:spacing w:val="-23"/>
          <w:sz w:val="24"/>
          <w:szCs w:val="24"/>
          <w:highlight w:val="none"/>
        </w:rPr>
        <w:t>，（</w:t>
      </w:r>
      <w:r>
        <w:rPr>
          <w:rFonts w:hint="eastAsia" w:ascii="宋体" w:hAnsi="宋体" w:eastAsia="宋体" w:cs="宋体"/>
          <w:color w:val="auto"/>
          <w:spacing w:val="1"/>
          <w:sz w:val="24"/>
          <w:szCs w:val="24"/>
          <w:highlight w:val="none"/>
        </w:rPr>
        <w:t>小写）元。</w:t>
      </w:r>
    </w:p>
    <w:p w14:paraId="620AF05E">
      <w:pPr>
        <w:spacing w:before="184" w:line="466" w:lineRule="exact"/>
        <w:ind w:left="493"/>
        <w:outlineLvl w:val="9"/>
        <w:rPr>
          <w:rFonts w:hint="eastAsia" w:ascii="宋体" w:hAnsi="宋体" w:eastAsia="宋体" w:cs="宋体"/>
          <w:color w:val="auto"/>
          <w:sz w:val="24"/>
          <w:szCs w:val="24"/>
          <w:highlight w:val="none"/>
        </w:rPr>
      </w:pPr>
      <w:r>
        <w:rPr>
          <w:rFonts w:hint="eastAsia" w:ascii="宋体" w:hAnsi="宋体" w:eastAsia="宋体" w:cs="宋体"/>
          <w:color w:val="auto"/>
          <w:position w:val="17"/>
          <w:sz w:val="24"/>
          <w:szCs w:val="24"/>
          <w:highlight w:val="none"/>
          <w14:textOutline w14:w="4358" w14:cap="sq" w14:cmpd="sng">
            <w14:solidFill>
              <w14:srgbClr w14:val="000000"/>
            </w14:solidFill>
            <w14:prstDash w14:val="solid"/>
            <w14:bevel/>
          </w14:textOutline>
        </w:rPr>
        <w:t>三、交货地点及交货时间</w:t>
      </w:r>
    </w:p>
    <w:p w14:paraId="527E3D34">
      <w:pPr>
        <w:spacing w:line="219" w:lineRule="auto"/>
        <w:ind w:left="49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3.1</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交货时间及地点：</w:t>
      </w:r>
    </w:p>
    <w:p w14:paraId="14944B66">
      <w:pPr>
        <w:spacing w:before="184" w:line="219" w:lineRule="auto"/>
        <w:ind w:left="49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3.1.1</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交货期/合同履行期限：</w:t>
      </w:r>
      <w:r>
        <w:rPr>
          <w:rFonts w:hint="eastAsia" w:ascii="宋体" w:hAnsi="宋体" w:eastAsia="宋体" w:cs="宋体"/>
          <w:color w:val="auto"/>
          <w:spacing w:val="-1"/>
          <w:sz w:val="24"/>
          <w:szCs w:val="24"/>
          <w:highlight w:val="none"/>
        </w:rPr>
        <w:t>。</w:t>
      </w:r>
    </w:p>
    <w:p w14:paraId="04597366">
      <w:pPr>
        <w:spacing w:before="180" w:line="290" w:lineRule="auto"/>
        <w:ind w:left="515" w:right="7321" w:hanging="17"/>
        <w:outlineLvl w:val="9"/>
        <w:rPr>
          <w:rFonts w:hint="eastAsia" w:ascii="宋体" w:hAnsi="宋体" w:eastAsia="宋体" w:cs="宋体"/>
          <w:color w:val="auto"/>
          <w:spacing w:val="2"/>
          <w:position w:val="17"/>
          <w:sz w:val="24"/>
          <w:szCs w:val="24"/>
          <w:highlight w:val="none"/>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7"/>
          <w:sz w:val="24"/>
          <w:szCs w:val="24"/>
          <w:highlight w:val="none"/>
          <w14:textOutline w14:w="4358" w14:cap="sq" w14:cmpd="sng">
            <w14:solidFill>
              <w14:srgbClr w14:val="000000"/>
            </w14:solidFill>
            <w14:prstDash w14:val="solid"/>
            <w14:bevel/>
          </w14:textOutline>
        </w:rPr>
        <w:t>3.1.2</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14:textOutline w14:w="4358" w14:cap="sq" w14:cmpd="sng">
            <w14:solidFill>
              <w14:srgbClr w14:val="000000"/>
            </w14:solidFill>
            <w14:prstDash w14:val="solid"/>
            <w14:bevel/>
          </w14:textOutline>
        </w:rPr>
        <w:t>地点：</w:t>
      </w:r>
      <w:r>
        <w:rPr>
          <w:rFonts w:hint="eastAsia" w:ascii="宋体" w:hAnsi="宋体" w:eastAsia="宋体" w:cs="宋体"/>
          <w:color w:val="auto"/>
          <w:spacing w:val="2"/>
          <w:position w:val="17"/>
          <w:sz w:val="24"/>
          <w:szCs w:val="24"/>
          <w:highlight w:val="none"/>
          <w14:textOutline w14:w="4358" w14:cap="sq" w14:cmpd="sng">
            <w14:solidFill>
              <w14:srgbClr w14:val="000000"/>
            </w14:solidFill>
            <w14:prstDash w14:val="solid"/>
            <w14:bevel/>
          </w14:textOutline>
        </w:rPr>
        <w:t>四、付款</w:t>
      </w:r>
      <w:r>
        <w:rPr>
          <w:rFonts w:hint="eastAsia" w:ascii="宋体" w:hAnsi="宋体" w:eastAsia="宋体" w:cs="宋体"/>
          <w:color w:val="auto"/>
          <w:spacing w:val="2"/>
          <w:position w:val="17"/>
          <w:sz w:val="24"/>
          <w:szCs w:val="24"/>
          <w:highlight w:val="none"/>
          <w:lang w:eastAsia="zh-CN"/>
          <w14:textOutline w14:w="4358" w14:cap="sq" w14:cmpd="sng">
            <w14:solidFill>
              <w14:srgbClr w14:val="000000"/>
            </w14:solidFill>
            <w14:prstDash w14:val="solid"/>
            <w14:bevel/>
          </w14:textOutline>
        </w:rPr>
        <w:t>：</w:t>
      </w:r>
    </w:p>
    <w:p w14:paraId="00743869">
      <w:pPr>
        <w:spacing w:before="180" w:line="468" w:lineRule="exact"/>
        <w:ind w:left="497"/>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14:textOutline w14:w="4358" w14:cap="sq" w14:cmpd="sng">
            <w14:solidFill>
              <w14:srgbClr w14:val="000000"/>
            </w14:solidFill>
            <w14:prstDash w14:val="solid"/>
            <w14:bevel/>
          </w14:textOutline>
        </w:rPr>
        <w:t>五、安装调试</w:t>
      </w:r>
      <w:r>
        <w:rPr>
          <w:rFonts w:hint="eastAsia" w:ascii="宋体" w:hAnsi="宋体" w:eastAsia="宋体" w:cs="宋体"/>
          <w:color w:val="auto"/>
          <w:spacing w:val="-16"/>
          <w:position w:val="17"/>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2"/>
          <w:position w:val="17"/>
          <w:sz w:val="24"/>
          <w:szCs w:val="24"/>
          <w:highlight w:val="none"/>
          <w14:textOutline w14:w="4358" w14:cap="sq" w14:cmpd="sng">
            <w14:solidFill>
              <w14:srgbClr w14:val="000000"/>
            </w14:solidFill>
            <w14:prstDash w14:val="solid"/>
            <w14:bevel/>
          </w14:textOutline>
        </w:rPr>
        <w:t>严格执行国家相关标准）</w:t>
      </w:r>
    </w:p>
    <w:p w14:paraId="075F5DDD">
      <w:pPr>
        <w:spacing w:line="220" w:lineRule="auto"/>
        <w:ind w:left="49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六、验收（严格执行国家相关标准）</w:t>
      </w:r>
    </w:p>
    <w:p w14:paraId="4C2D37A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1.乙方应在约定的期限内按甲方订货限期要求将产品送至甲方指定的地点。装车、运输、保险等费用由乙方承担。</w:t>
      </w:r>
    </w:p>
    <w:p w14:paraId="7C16B1F9">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2.乙方应按约定的数量交付产品。</w:t>
      </w:r>
    </w:p>
    <w:p w14:paraId="62C78EF5">
      <w:pPr>
        <w:spacing w:before="182" w:line="220" w:lineRule="auto"/>
        <w:ind w:left="49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七、知识产权及有关规定</w:t>
      </w:r>
    </w:p>
    <w:p w14:paraId="0B08DB20">
      <w:pPr>
        <w:spacing w:before="182" w:line="219" w:lineRule="auto"/>
        <w:ind w:left="49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7.1</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2"/>
          <w:sz w:val="24"/>
          <w:szCs w:val="24"/>
          <w:highlight w:val="none"/>
        </w:rPr>
        <w:t>供方应保证所供货物符合国家的有关规定。</w:t>
      </w:r>
    </w:p>
    <w:p w14:paraId="42653DE3">
      <w:pPr>
        <w:spacing w:before="181" w:line="220" w:lineRule="auto"/>
        <w:ind w:left="497"/>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八、伴随服务</w:t>
      </w:r>
    </w:p>
    <w:p w14:paraId="01A12B46">
      <w:pPr>
        <w:spacing w:before="48" w:line="219" w:lineRule="auto"/>
        <w:ind w:left="48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8.1</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
          <w:sz w:val="24"/>
          <w:szCs w:val="24"/>
          <w:highlight w:val="none"/>
        </w:rPr>
        <w:t>供方还应提供下列服务：货物的运输、装车。</w:t>
      </w:r>
    </w:p>
    <w:p w14:paraId="677653DA">
      <w:pPr>
        <w:spacing w:before="182" w:line="219" w:lineRule="auto"/>
        <w:ind w:left="48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8.2</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1"/>
          <w:sz w:val="24"/>
          <w:szCs w:val="24"/>
          <w:highlight w:val="none"/>
        </w:rPr>
        <w:t>上述伴随服务的费用应包含在合同价中，不单独进行支付。</w:t>
      </w:r>
    </w:p>
    <w:p w14:paraId="3B0F5E91">
      <w:pPr>
        <w:spacing w:before="181" w:line="220" w:lineRule="auto"/>
        <w:ind w:left="486"/>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九、质量保证期及售后服务</w:t>
      </w:r>
    </w:p>
    <w:p w14:paraId="7A8661F7">
      <w:pPr>
        <w:spacing w:before="181" w:line="221" w:lineRule="auto"/>
        <w:ind w:left="48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9.1</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3"/>
          <w:sz w:val="24"/>
          <w:szCs w:val="24"/>
          <w:highlight w:val="none"/>
        </w:rPr>
        <w:t>质量保证期：。</w:t>
      </w:r>
    </w:p>
    <w:p w14:paraId="489C05C3">
      <w:pPr>
        <w:spacing w:before="178" w:line="220" w:lineRule="auto"/>
        <w:ind w:left="48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9.2</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3"/>
          <w:sz w:val="24"/>
          <w:szCs w:val="24"/>
          <w:highlight w:val="none"/>
        </w:rPr>
        <w:t>售后服务：。</w:t>
      </w:r>
    </w:p>
    <w:p w14:paraId="1F4FCB12">
      <w:pPr>
        <w:spacing w:before="183" w:line="219" w:lineRule="auto"/>
        <w:ind w:left="48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十、供方履约延误</w:t>
      </w:r>
    </w:p>
    <w:p w14:paraId="765A91CA">
      <w:pPr>
        <w:spacing w:before="183" w:line="219" w:lineRule="auto"/>
        <w:ind w:left="49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10.1</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供方应按照合同规定的时间、地点交货和提供服务。</w:t>
      </w:r>
    </w:p>
    <w:p w14:paraId="1FA0AC34">
      <w:pPr>
        <w:spacing w:before="180" w:line="468" w:lineRule="exact"/>
        <w:ind w:right="61"/>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10.2</w:t>
      </w:r>
      <w:r>
        <w:rPr>
          <w:rFonts w:hint="eastAsia" w:ascii="宋体" w:hAnsi="宋体" w:eastAsia="宋体" w:cs="宋体"/>
          <w:color w:val="auto"/>
          <w:spacing w:val="-42"/>
          <w:position w:val="17"/>
          <w:sz w:val="24"/>
          <w:szCs w:val="24"/>
          <w:highlight w:val="none"/>
        </w:rPr>
        <w:t xml:space="preserve"> </w:t>
      </w:r>
      <w:r>
        <w:rPr>
          <w:rFonts w:hint="eastAsia" w:ascii="宋体" w:hAnsi="宋体" w:eastAsia="宋体" w:cs="宋体"/>
          <w:color w:val="auto"/>
          <w:spacing w:val="2"/>
          <w:position w:val="17"/>
          <w:sz w:val="24"/>
          <w:szCs w:val="24"/>
          <w:highlight w:val="none"/>
        </w:rPr>
        <w:t>如供方无正当理由拖延交货或不按投标文件提供服务，将受到以下制裁</w:t>
      </w:r>
      <w:r>
        <w:rPr>
          <w:rFonts w:hint="eastAsia" w:ascii="宋体" w:hAnsi="宋体" w:eastAsia="宋体" w:cs="宋体"/>
          <w:color w:val="auto"/>
          <w:spacing w:val="1"/>
          <w:position w:val="17"/>
          <w:sz w:val="24"/>
          <w:szCs w:val="24"/>
          <w:highlight w:val="none"/>
        </w:rPr>
        <w:t>：没收</w:t>
      </w:r>
    </w:p>
    <w:p w14:paraId="52A39F11">
      <w:pPr>
        <w:spacing w:line="220" w:lineRule="auto"/>
        <w:ind w:left="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履约保证金、加收误期赔偿和／或违约终止合同。</w:t>
      </w:r>
    </w:p>
    <w:p w14:paraId="4842EFE6">
      <w:pPr>
        <w:spacing w:before="181" w:line="359" w:lineRule="auto"/>
        <w:ind w:firstLine="49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10.3</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2"/>
          <w:sz w:val="24"/>
          <w:szCs w:val="24"/>
          <w:highlight w:val="none"/>
        </w:rPr>
        <w:t>在履行合同过程中，如果供方遇到可能妨碍其按时交货和提供服务的情况，应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及时以书面形式将拖延的事实，可能拖延的期限和理由通知需方。需方</w:t>
      </w:r>
      <w:r>
        <w:rPr>
          <w:rFonts w:hint="eastAsia" w:ascii="宋体" w:hAnsi="宋体" w:eastAsia="宋体" w:cs="宋体"/>
          <w:color w:val="auto"/>
          <w:spacing w:val="-7"/>
          <w:sz w:val="24"/>
          <w:szCs w:val="24"/>
          <w:highlight w:val="none"/>
        </w:rPr>
        <w:t>在收到供方通知后，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应尽快对情况进行评价，并确定是否通过修改合同，酌情延长交货时间和/或延期提供服</w:t>
      </w:r>
      <w:r>
        <w:rPr>
          <w:rFonts w:hint="eastAsia" w:ascii="宋体" w:hAnsi="宋体" w:eastAsia="宋体" w:cs="宋体"/>
          <w:color w:val="auto"/>
          <w:spacing w:val="-2"/>
          <w:sz w:val="24"/>
          <w:szCs w:val="24"/>
          <w:highlight w:val="none"/>
        </w:rPr>
        <w:t>务，或者终止合同。</w:t>
      </w:r>
    </w:p>
    <w:p w14:paraId="700D6DAC">
      <w:pPr>
        <w:spacing w:before="179" w:line="220" w:lineRule="auto"/>
        <w:ind w:left="48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十一、误期赔偿</w:t>
      </w:r>
    </w:p>
    <w:p w14:paraId="2E9A109D">
      <w:pPr>
        <w:spacing w:before="181" w:line="359" w:lineRule="auto"/>
        <w:ind w:left="1" w:right="63" w:firstLine="496"/>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11.1</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2"/>
          <w:sz w:val="24"/>
          <w:szCs w:val="24"/>
          <w:highlight w:val="none"/>
        </w:rPr>
        <w:t>除合同第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2"/>
          <w:sz w:val="24"/>
          <w:szCs w:val="24"/>
          <w:highlight w:val="none"/>
        </w:rPr>
        <w:t>14</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2"/>
          <w:sz w:val="24"/>
          <w:szCs w:val="24"/>
          <w:highlight w:val="none"/>
        </w:rPr>
        <w:t>条规定外，如果供方没有按照合</w:t>
      </w:r>
      <w:r>
        <w:rPr>
          <w:rFonts w:hint="eastAsia" w:ascii="宋体" w:hAnsi="宋体" w:eastAsia="宋体" w:cs="宋体"/>
          <w:color w:val="auto"/>
          <w:spacing w:val="-3"/>
          <w:sz w:val="24"/>
          <w:szCs w:val="24"/>
          <w:highlight w:val="none"/>
        </w:rPr>
        <w:t>同规定的时间交货和提供服务，供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方应向需方支付误期赔偿费。误期赔偿费每天按迟交货物的交货价或延期服务的服务费用</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
          <w:sz w:val="24"/>
          <w:szCs w:val="24"/>
          <w:highlight w:val="none"/>
        </w:rPr>
        <w:t>的百分之一（1%）计收，直至交货或提供服务为止。一天按</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1"/>
          <w:sz w:val="24"/>
          <w:szCs w:val="24"/>
          <w:highlight w:val="none"/>
        </w:rPr>
        <w:t>24</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1"/>
          <w:sz w:val="24"/>
          <w:szCs w:val="24"/>
          <w:highlight w:val="none"/>
        </w:rPr>
        <w:t>小时计算，不足一天按一一天计算。但误期赔偿费的最高限额不超过合同价的百分之五（5%）。</w:t>
      </w:r>
    </w:p>
    <w:p w14:paraId="51684B47">
      <w:pPr>
        <w:spacing w:before="184" w:line="219" w:lineRule="auto"/>
        <w:ind w:left="49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11.2</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误期赔偿费可从应付货款和/或履约保证金中扣除。</w:t>
      </w:r>
    </w:p>
    <w:p w14:paraId="4E0121F0">
      <w:pPr>
        <w:spacing w:before="181" w:line="219" w:lineRule="auto"/>
        <w:ind w:left="49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11.3</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1"/>
          <w:sz w:val="24"/>
          <w:szCs w:val="24"/>
          <w:highlight w:val="none"/>
        </w:rPr>
        <w:t>收取误期赔偿费不影响需方采取合同</w:t>
      </w:r>
      <w:r>
        <w:rPr>
          <w:rFonts w:hint="eastAsia" w:ascii="宋体" w:hAnsi="宋体" w:eastAsia="宋体" w:cs="宋体"/>
          <w:color w:val="auto"/>
          <w:spacing w:val="-2"/>
          <w:sz w:val="24"/>
          <w:szCs w:val="24"/>
          <w:highlight w:val="none"/>
        </w:rPr>
        <w:t>规定的其他补救措施的权利。</w:t>
      </w:r>
    </w:p>
    <w:p w14:paraId="70F5A3F0">
      <w:pPr>
        <w:spacing w:before="184" w:line="289" w:lineRule="auto"/>
        <w:ind w:left="481" w:right="2619" w:firstLine="16"/>
        <w:outlineLvl w:val="9"/>
        <w:rPr>
          <w:rFonts w:hint="eastAsia" w:ascii="宋体" w:hAnsi="宋体" w:eastAsia="宋体" w:cs="宋体"/>
          <w:b/>
          <w:bCs/>
          <w:color w:val="auto"/>
          <w:sz w:val="24"/>
          <w:szCs w:val="24"/>
          <w:highlight w:val="none"/>
        </w:rPr>
      </w:pPr>
      <w:r>
        <w:rPr>
          <w:rFonts w:hint="eastAsia" w:ascii="宋体" w:hAnsi="宋体" w:eastAsia="宋体" w:cs="宋体"/>
          <w:color w:val="auto"/>
          <w:spacing w:val="-3"/>
          <w:sz w:val="24"/>
          <w:szCs w:val="24"/>
          <w:highlight w:val="none"/>
        </w:rPr>
        <w:t>11.5</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在收取误期赔偿费期间，需方有权决定是否终止合同</w:t>
      </w:r>
      <w:r>
        <w:rPr>
          <w:rFonts w:hint="eastAsia" w:ascii="宋体" w:hAnsi="宋体" w:eastAsia="宋体" w:cs="宋体"/>
          <w:b/>
          <w:bCs/>
          <w:color w:val="auto"/>
          <w:spacing w:val="-1"/>
          <w:sz w:val="24"/>
          <w:szCs w:val="24"/>
          <w:highlight w:val="none"/>
        </w:rPr>
        <w:t>十二、</w:t>
      </w:r>
      <w:r>
        <w:rPr>
          <w:rFonts w:hint="eastAsia" w:ascii="宋体" w:hAnsi="宋体" w:eastAsia="宋体" w:cs="宋体"/>
          <w:b/>
          <w:bCs/>
          <w:color w:val="auto"/>
          <w:spacing w:val="-1"/>
          <w:sz w:val="24"/>
          <w:szCs w:val="24"/>
          <w:highlight w:val="none"/>
          <w14:textOutline w14:w="4358" w14:cap="sq" w14:cmpd="sng">
            <w14:solidFill>
              <w14:srgbClr w14:val="000000"/>
            </w14:solidFill>
            <w14:prstDash w14:val="solid"/>
            <w14:bevel/>
          </w14:textOutline>
        </w:rPr>
        <w:t>履约保证金</w:t>
      </w:r>
    </w:p>
    <w:p w14:paraId="773DDE37">
      <w:pPr>
        <w:spacing w:before="181" w:line="219" w:lineRule="auto"/>
        <w:ind w:left="49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12.1</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1"/>
          <w:sz w:val="24"/>
          <w:szCs w:val="24"/>
          <w:highlight w:val="none"/>
        </w:rPr>
        <w:t>合同价款的   %，待中标人履行完合同后，不计利息一次</w:t>
      </w:r>
      <w:r>
        <w:rPr>
          <w:rFonts w:hint="eastAsia" w:ascii="宋体" w:hAnsi="宋体" w:eastAsia="宋体" w:cs="宋体"/>
          <w:color w:val="auto"/>
          <w:spacing w:val="-2"/>
          <w:sz w:val="24"/>
          <w:szCs w:val="24"/>
          <w:highlight w:val="none"/>
        </w:rPr>
        <w:t>性退还。</w:t>
      </w:r>
    </w:p>
    <w:p w14:paraId="4BD84075">
      <w:pPr>
        <w:spacing w:before="184" w:line="220" w:lineRule="auto"/>
        <w:ind w:left="48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十三、不可抗力</w:t>
      </w:r>
    </w:p>
    <w:p w14:paraId="726DF063">
      <w:pPr>
        <w:spacing w:before="179" w:line="466" w:lineRule="exact"/>
        <w:ind w:right="61"/>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13.1</w:t>
      </w:r>
      <w:r>
        <w:rPr>
          <w:rFonts w:hint="eastAsia" w:ascii="宋体" w:hAnsi="宋体" w:eastAsia="宋体" w:cs="宋体"/>
          <w:color w:val="auto"/>
          <w:spacing w:val="-42"/>
          <w:position w:val="17"/>
          <w:sz w:val="24"/>
          <w:szCs w:val="24"/>
          <w:highlight w:val="none"/>
        </w:rPr>
        <w:t xml:space="preserve"> </w:t>
      </w:r>
      <w:r>
        <w:rPr>
          <w:rFonts w:hint="eastAsia" w:ascii="宋体" w:hAnsi="宋体" w:eastAsia="宋体" w:cs="宋体"/>
          <w:color w:val="auto"/>
          <w:spacing w:val="2"/>
          <w:position w:val="17"/>
          <w:sz w:val="24"/>
          <w:szCs w:val="24"/>
          <w:highlight w:val="none"/>
        </w:rPr>
        <w:t>如果供需双方因不可抗力而导致合同实施延误或不能履行合同义务，不</w:t>
      </w:r>
      <w:r>
        <w:rPr>
          <w:rFonts w:hint="eastAsia" w:ascii="宋体" w:hAnsi="宋体" w:eastAsia="宋体" w:cs="宋体"/>
          <w:color w:val="auto"/>
          <w:spacing w:val="1"/>
          <w:position w:val="17"/>
          <w:sz w:val="24"/>
          <w:szCs w:val="24"/>
          <w:highlight w:val="none"/>
        </w:rPr>
        <w:t>应该承</w:t>
      </w:r>
    </w:p>
    <w:p w14:paraId="1DE8B5A9">
      <w:pPr>
        <w:spacing w:line="220" w:lineRule="auto"/>
        <w:ind w:left="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担误期赔偿或不能履行合同义务的责任。</w:t>
      </w:r>
    </w:p>
    <w:p w14:paraId="631E8A3B">
      <w:pPr>
        <w:spacing w:before="182" w:line="359" w:lineRule="auto"/>
        <w:ind w:right="63" w:firstLine="497"/>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13.2</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1"/>
          <w:sz w:val="24"/>
          <w:szCs w:val="24"/>
          <w:highlight w:val="none"/>
        </w:rPr>
        <w:t>本条所述的“不可抗力</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1"/>
          <w:sz w:val="24"/>
          <w:szCs w:val="24"/>
          <w:highlight w:val="none"/>
        </w:rPr>
        <w:t>”系指那些双方无法控制，不可预见的事件，但不包括</w:t>
      </w:r>
      <w:r>
        <w:rPr>
          <w:rFonts w:hint="eastAsia" w:ascii="宋体" w:hAnsi="宋体" w:eastAsia="宋体" w:cs="宋体"/>
          <w:color w:val="auto"/>
          <w:spacing w:val="-2"/>
          <w:sz w:val="24"/>
          <w:szCs w:val="24"/>
          <w:highlight w:val="none"/>
        </w:rPr>
        <w:t>供需双方的违约或疏忽。这些事件包括但不限于：战争、严重火灾、洪水、台风、地震以</w:t>
      </w:r>
      <w:r>
        <w:rPr>
          <w:rFonts w:hint="eastAsia" w:ascii="宋体" w:hAnsi="宋体" w:eastAsia="宋体" w:cs="宋体"/>
          <w:color w:val="auto"/>
          <w:sz w:val="24"/>
          <w:szCs w:val="24"/>
          <w:highlight w:val="none"/>
        </w:rPr>
        <w:t>及其它供需双方商定的事件(供需双方认定国家政策重</w:t>
      </w:r>
      <w:r>
        <w:rPr>
          <w:rFonts w:hint="eastAsia" w:ascii="宋体" w:hAnsi="宋体" w:eastAsia="宋体" w:cs="宋体"/>
          <w:color w:val="auto"/>
          <w:spacing w:val="-1"/>
          <w:sz w:val="24"/>
          <w:szCs w:val="24"/>
          <w:highlight w:val="none"/>
        </w:rPr>
        <w:t>大变化属不可抗力)。</w:t>
      </w:r>
    </w:p>
    <w:p w14:paraId="4A35E96D">
      <w:pPr>
        <w:spacing w:before="182" w:line="359" w:lineRule="auto"/>
        <w:ind w:right="63" w:firstLine="497"/>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13.3 在不可抗力事件发生后，当事方应尽快以书面形式将不可抗力的情况和原因通知对方。供需双方应尽实际可能继续履行合同义务，并积极寻求采取合理的方案履行不受 不可抗力影响的其他事项。供需双方应通过友好协商在合理的时间内达成进一步履行合同的协议。</w:t>
      </w:r>
    </w:p>
    <w:p w14:paraId="7420FE6E">
      <w:pPr>
        <w:spacing w:before="180" w:line="221" w:lineRule="auto"/>
        <w:ind w:left="49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十四、税费</w:t>
      </w:r>
    </w:p>
    <w:p w14:paraId="31171035">
      <w:pPr>
        <w:spacing w:before="179" w:line="219" w:lineRule="auto"/>
        <w:ind w:left="51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14.1</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
          <w:sz w:val="24"/>
          <w:szCs w:val="24"/>
          <w:highlight w:val="none"/>
        </w:rPr>
        <w:t>根据现行法律规定对需方征收的与本合同有关的一切税费均由需方负</w:t>
      </w:r>
      <w:r>
        <w:rPr>
          <w:rFonts w:hint="eastAsia" w:ascii="宋体" w:hAnsi="宋体" w:eastAsia="宋体" w:cs="宋体"/>
          <w:color w:val="auto"/>
          <w:spacing w:val="-2"/>
          <w:sz w:val="24"/>
          <w:szCs w:val="24"/>
          <w:highlight w:val="none"/>
        </w:rPr>
        <w:t>担。</w:t>
      </w:r>
    </w:p>
    <w:p w14:paraId="3870FD43">
      <w:pPr>
        <w:spacing w:before="183" w:line="219" w:lineRule="auto"/>
        <w:ind w:left="51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14.2</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
          <w:sz w:val="24"/>
          <w:szCs w:val="24"/>
          <w:highlight w:val="none"/>
        </w:rPr>
        <w:t>根据现行法律规定对供方征收的与本合同有关的一切税费均由供方负</w:t>
      </w:r>
      <w:r>
        <w:rPr>
          <w:rFonts w:hint="eastAsia" w:ascii="宋体" w:hAnsi="宋体" w:eastAsia="宋体" w:cs="宋体"/>
          <w:color w:val="auto"/>
          <w:spacing w:val="-2"/>
          <w:sz w:val="24"/>
          <w:szCs w:val="24"/>
          <w:highlight w:val="none"/>
        </w:rPr>
        <w:t>担。</w:t>
      </w:r>
    </w:p>
    <w:p w14:paraId="1062566B">
      <w:pPr>
        <w:spacing w:before="183" w:line="219" w:lineRule="auto"/>
        <w:ind w:left="51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14.3</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1"/>
          <w:sz w:val="24"/>
          <w:szCs w:val="24"/>
          <w:highlight w:val="none"/>
        </w:rPr>
        <w:t>在中国境外发生的与执行本合同有关的一切税费均由</w:t>
      </w:r>
      <w:r>
        <w:rPr>
          <w:rFonts w:hint="eastAsia" w:ascii="宋体" w:hAnsi="宋体" w:eastAsia="宋体" w:cs="宋体"/>
          <w:color w:val="auto"/>
          <w:spacing w:val="-2"/>
          <w:sz w:val="24"/>
          <w:szCs w:val="24"/>
          <w:highlight w:val="none"/>
        </w:rPr>
        <w:t>供方负担。</w:t>
      </w:r>
    </w:p>
    <w:p w14:paraId="35C34A73">
      <w:pPr>
        <w:spacing w:before="180" w:line="220" w:lineRule="auto"/>
        <w:ind w:left="49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十五、争端的解决</w:t>
      </w:r>
    </w:p>
    <w:p w14:paraId="7567A95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highlight w:val="none"/>
        </w:rPr>
      </w:pPr>
      <w:r>
        <w:rPr>
          <w:rFonts w:hint="eastAsia" w:ascii="宋体" w:hAnsi="宋体" w:eastAsia="宋体" w:cs="宋体"/>
          <w:color w:val="auto"/>
          <w:spacing w:val="2"/>
          <w:position w:val="17"/>
          <w:sz w:val="24"/>
          <w:szCs w:val="24"/>
          <w:highlight w:val="none"/>
        </w:rPr>
        <w:t>15.1 供需双方应通过友好协商，解决在执行本合同过程中所发生的或与本合同有关的一切争端。如从协商开始十（10）天内仍不能解决，可以向有关合同管理部门提请调解。</w:t>
      </w:r>
    </w:p>
    <w:p w14:paraId="7CAD90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highlight w:val="none"/>
        </w:rPr>
      </w:pPr>
      <w:r>
        <w:rPr>
          <w:rFonts w:hint="eastAsia" w:ascii="宋体" w:hAnsi="宋体" w:eastAsia="宋体" w:cs="宋体"/>
          <w:color w:val="auto"/>
          <w:spacing w:val="2"/>
          <w:position w:val="17"/>
          <w:sz w:val="24"/>
          <w:szCs w:val="24"/>
          <w:highlight w:val="none"/>
        </w:rPr>
        <w:t>15.2 如果调解不成，供需双方的任何一方可以向人民法院提起诉讼。诉讼由合同签订地人民法院管辖。</w:t>
      </w:r>
    </w:p>
    <w:p w14:paraId="0B67EBB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highlight w:val="none"/>
        </w:rPr>
      </w:pPr>
      <w:r>
        <w:rPr>
          <w:rFonts w:hint="eastAsia" w:ascii="宋体" w:hAnsi="宋体" w:eastAsia="宋体" w:cs="宋体"/>
          <w:color w:val="auto"/>
          <w:spacing w:val="2"/>
          <w:position w:val="17"/>
          <w:sz w:val="24"/>
          <w:szCs w:val="24"/>
          <w:highlight w:val="none"/>
        </w:rPr>
        <w:t>15.3 诉讼费除法院另有裁决外均由败诉方负担。</w:t>
      </w:r>
    </w:p>
    <w:p w14:paraId="2264945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highlight w:val="none"/>
        </w:rPr>
      </w:pPr>
      <w:r>
        <w:rPr>
          <w:rFonts w:hint="eastAsia" w:ascii="宋体" w:hAnsi="宋体" w:eastAsia="宋体" w:cs="宋体"/>
          <w:color w:val="auto"/>
          <w:spacing w:val="2"/>
          <w:position w:val="17"/>
          <w:sz w:val="24"/>
          <w:szCs w:val="24"/>
          <w:highlight w:val="none"/>
        </w:rPr>
        <w:t>15.4 在诉讼期间，除正在进行诉讼的部分外，本合同的其它部分应继续执行。</w:t>
      </w:r>
    </w:p>
    <w:p w14:paraId="60032E3A">
      <w:pPr>
        <w:spacing w:before="182" w:line="222" w:lineRule="auto"/>
        <w:ind w:left="49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十六、违约终止合同</w:t>
      </w:r>
    </w:p>
    <w:p w14:paraId="41C932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在需方因供方违约而按合同约定采取的任何补救措施不受影响的情况下，需方可在下列情况下向供方发出书面通知，提出终止部分或全部合同。</w:t>
      </w:r>
    </w:p>
    <w:p w14:paraId="52866C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（1）如果供方未能在合同规定的限期或需方同意延长的限期内提供部分或全部货物和服务。</w:t>
      </w:r>
    </w:p>
    <w:p w14:paraId="72DD2C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（2）如果供方未能履行合同规定的其它任何义务。</w:t>
      </w:r>
    </w:p>
    <w:p w14:paraId="4AE40E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（3）如果需方认为供方在本合同的竞争或实施中有腐败和欺诈行为。为此，定义如下：“腐败行为 ”是指提供、给予、接受或索取任何有价值的东西来影响采购人员在采购过程 或合同实施过程中的行为；“欺诈行为 ”是指为了影响采购过程或合同实施过程而谎报事 实，损害采购人的利益，包括供货单位之间串通，人为地使供货活动丧失竞争性，损害采购人所能获得的权益。</w:t>
      </w:r>
    </w:p>
    <w:p w14:paraId="797672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如果需方根据上述第 16.1 款的规定，终止了全部或部分合同，需方可以依其认 为适当的条件和方法购买与未交货物类似的货物，供方应对购买类似货物所超出的那部分 费用负责。供方提交的履约保证金将被作为需方采取上述补救措施的购买资金的一部分。并且，供方应继续履行合同中未终止的部分。</w:t>
      </w:r>
    </w:p>
    <w:p w14:paraId="5769E648">
      <w:pPr>
        <w:numPr>
          <w:ilvl w:val="0"/>
          <w:numId w:val="1"/>
        </w:numPr>
        <w:spacing w:before="183" w:line="220" w:lineRule="auto"/>
        <w:ind w:left="494"/>
        <w:outlineLvl w:val="9"/>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破产终止合同</w:t>
      </w:r>
    </w:p>
    <w:p w14:paraId="0F382D30">
      <w:pPr>
        <w:spacing w:before="48" w:line="359" w:lineRule="auto"/>
        <w:ind w:left="24" w:firstLine="474"/>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17.1</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2"/>
          <w:sz w:val="24"/>
          <w:szCs w:val="24"/>
          <w:highlight w:val="none"/>
        </w:rPr>
        <w:t>如果供方破产或丧失清偿能力，需方可在任何时候以书面形式通知供方</w:t>
      </w:r>
      <w:r>
        <w:rPr>
          <w:rFonts w:hint="eastAsia" w:ascii="宋体" w:hAnsi="宋体" w:eastAsia="宋体" w:cs="宋体"/>
          <w:color w:val="auto"/>
          <w:spacing w:val="1"/>
          <w:sz w:val="24"/>
          <w:szCs w:val="24"/>
          <w:highlight w:val="none"/>
        </w:rPr>
        <w:t>终止合</w:t>
      </w:r>
      <w:r>
        <w:rPr>
          <w:rFonts w:hint="eastAsia" w:ascii="宋体" w:hAnsi="宋体" w:eastAsia="宋体" w:cs="宋体"/>
          <w:color w:val="auto"/>
          <w:spacing w:val="-2"/>
          <w:sz w:val="24"/>
          <w:szCs w:val="24"/>
          <w:highlight w:val="none"/>
        </w:rPr>
        <w:t>同而不给供方补偿。该终止合同将不损害或影</w:t>
      </w:r>
      <w:r>
        <w:rPr>
          <w:rFonts w:hint="eastAsia" w:ascii="宋体" w:hAnsi="宋体" w:eastAsia="宋体" w:cs="宋体"/>
          <w:color w:val="auto"/>
          <w:spacing w:val="-3"/>
          <w:sz w:val="24"/>
          <w:szCs w:val="24"/>
          <w:highlight w:val="none"/>
        </w:rPr>
        <w:t>响需方已经采取或将要采取任何补救措施的权力。</w:t>
      </w:r>
    </w:p>
    <w:p w14:paraId="54448081">
      <w:pPr>
        <w:spacing w:before="181" w:line="221" w:lineRule="auto"/>
        <w:ind w:left="48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十八、合同转让和分包</w:t>
      </w:r>
    </w:p>
    <w:p w14:paraId="664DB078">
      <w:pPr>
        <w:spacing w:before="179" w:line="219" w:lineRule="auto"/>
        <w:ind w:left="49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18.1</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
          <w:sz w:val="24"/>
          <w:szCs w:val="24"/>
          <w:highlight w:val="none"/>
        </w:rPr>
        <w:t>供方不得部分转让和分包或全部转让和分包其应履行的</w:t>
      </w:r>
      <w:r>
        <w:rPr>
          <w:rFonts w:hint="eastAsia" w:ascii="宋体" w:hAnsi="宋体" w:eastAsia="宋体" w:cs="宋体"/>
          <w:color w:val="auto"/>
          <w:spacing w:val="-2"/>
          <w:sz w:val="24"/>
          <w:szCs w:val="24"/>
          <w:highlight w:val="none"/>
        </w:rPr>
        <w:t>合同义务。</w:t>
      </w:r>
    </w:p>
    <w:p w14:paraId="551377FA">
      <w:pPr>
        <w:spacing w:before="182" w:line="220" w:lineRule="auto"/>
        <w:ind w:left="48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十九、需要补充的合同条款</w:t>
      </w:r>
    </w:p>
    <w:p w14:paraId="3DC868FB">
      <w:pPr>
        <w:spacing w:before="182" w:line="220" w:lineRule="auto"/>
        <w:ind w:left="55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19.1</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
          <w:sz w:val="24"/>
          <w:szCs w:val="24"/>
          <w:highlight w:val="none"/>
        </w:rPr>
        <w:t>根据评标过程中或者商务谈判时商定的条款和条件在订立合同时</w:t>
      </w:r>
      <w:r>
        <w:rPr>
          <w:rFonts w:hint="eastAsia" w:ascii="宋体" w:hAnsi="宋体" w:eastAsia="宋体" w:cs="宋体"/>
          <w:color w:val="auto"/>
          <w:spacing w:val="-2"/>
          <w:sz w:val="24"/>
          <w:szCs w:val="24"/>
          <w:highlight w:val="none"/>
        </w:rPr>
        <w:t>标明。</w:t>
      </w:r>
    </w:p>
    <w:p w14:paraId="3E687300">
      <w:pPr>
        <w:spacing w:before="179" w:line="220" w:lineRule="auto"/>
        <w:ind w:left="48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二十、适用法律</w:t>
      </w:r>
    </w:p>
    <w:p w14:paraId="1D07EF45">
      <w:pPr>
        <w:spacing w:before="183" w:line="219" w:lineRule="auto"/>
        <w:ind w:left="48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20.1</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
          <w:sz w:val="24"/>
          <w:szCs w:val="24"/>
          <w:highlight w:val="none"/>
        </w:rPr>
        <w:t>本合同按照中华人民共和国的现行法律进行解释。</w:t>
      </w:r>
    </w:p>
    <w:p w14:paraId="1AA3E78E">
      <w:pPr>
        <w:spacing w:before="180" w:line="221" w:lineRule="auto"/>
        <w:ind w:left="48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二十一、合同生效</w:t>
      </w:r>
    </w:p>
    <w:p w14:paraId="23CCB281">
      <w:pPr>
        <w:spacing w:before="178" w:line="468" w:lineRule="exact"/>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21.1</w:t>
      </w:r>
      <w:r>
        <w:rPr>
          <w:rFonts w:hint="eastAsia" w:ascii="宋体" w:hAnsi="宋体" w:eastAsia="宋体" w:cs="宋体"/>
          <w:color w:val="auto"/>
          <w:spacing w:val="-30"/>
          <w:position w:val="17"/>
          <w:sz w:val="24"/>
          <w:szCs w:val="24"/>
          <w:highlight w:val="none"/>
        </w:rPr>
        <w:t xml:space="preserve"> </w:t>
      </w:r>
      <w:r>
        <w:rPr>
          <w:rFonts w:hint="eastAsia" w:ascii="宋体" w:hAnsi="宋体" w:eastAsia="宋体" w:cs="宋体"/>
          <w:color w:val="auto"/>
          <w:spacing w:val="2"/>
          <w:position w:val="17"/>
          <w:sz w:val="24"/>
          <w:szCs w:val="24"/>
          <w:highlight w:val="none"/>
        </w:rPr>
        <w:t>本合同在供需双方法定代表人或其授权代理人签字并加盖公章并且采购方收到</w:t>
      </w:r>
    </w:p>
    <w:p w14:paraId="5A939E88">
      <w:pPr>
        <w:spacing w:before="1" w:line="219"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供方提交的履约保证金后生效。</w:t>
      </w:r>
    </w:p>
    <w:p w14:paraId="40B832A0">
      <w:pPr>
        <w:spacing w:before="183" w:line="219" w:lineRule="auto"/>
        <w:ind w:left="48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二十二、合同附件</w:t>
      </w:r>
    </w:p>
    <w:p w14:paraId="769993B8">
      <w:pPr>
        <w:spacing w:before="181" w:line="290" w:lineRule="auto"/>
        <w:ind w:left="497" w:right="660" w:hanging="14"/>
        <w:outlineLvl w:val="9"/>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22.1</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3"/>
          <w:sz w:val="24"/>
          <w:szCs w:val="24"/>
          <w:highlight w:val="none"/>
        </w:rPr>
        <w:t>下列文件构成本合同不可分割的组成部分，与本合同具有同等法律效力</w:t>
      </w:r>
    </w:p>
    <w:p w14:paraId="0BD40C5B">
      <w:pPr>
        <w:spacing w:before="181" w:line="290" w:lineRule="auto"/>
        <w:ind w:left="497" w:right="660" w:hanging="1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1、招标文件及澄清、补充文件；</w:t>
      </w:r>
    </w:p>
    <w:p w14:paraId="6D38C8E4">
      <w:pPr>
        <w:spacing w:before="180" w:line="219" w:lineRule="auto"/>
        <w:ind w:left="48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2、供方的投标文件、在投标期间的书面承诺文件和售后服务承诺书；</w:t>
      </w:r>
    </w:p>
    <w:p w14:paraId="6DB73F91">
      <w:pPr>
        <w:spacing w:before="182" w:line="466" w:lineRule="exact"/>
        <w:ind w:left="48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3、产品样本（与合同配置不符之处，以合同为准</w:t>
      </w:r>
      <w:r>
        <w:rPr>
          <w:rFonts w:hint="eastAsia" w:ascii="宋体" w:hAnsi="宋体" w:eastAsia="宋体" w:cs="宋体"/>
          <w:color w:val="auto"/>
          <w:spacing w:val="3"/>
          <w:position w:val="17"/>
          <w:sz w:val="24"/>
          <w:szCs w:val="24"/>
          <w:highlight w:val="none"/>
        </w:rPr>
        <w:t>）；</w:t>
      </w:r>
    </w:p>
    <w:p w14:paraId="5E3F5AB4">
      <w:pPr>
        <w:spacing w:line="219" w:lineRule="auto"/>
        <w:ind w:left="48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4、中标通知书；</w:t>
      </w:r>
    </w:p>
    <w:p w14:paraId="0120FDAA">
      <w:pPr>
        <w:spacing w:before="183" w:line="466" w:lineRule="exact"/>
        <w:ind w:left="48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5、政府采购验收报告单；</w:t>
      </w:r>
    </w:p>
    <w:p w14:paraId="38D4E8AB">
      <w:pPr>
        <w:spacing w:line="219" w:lineRule="auto"/>
        <w:ind w:left="48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6、合同的其他附件：</w:t>
      </w:r>
    </w:p>
    <w:p w14:paraId="0B9FAF21">
      <w:pPr>
        <w:spacing w:before="184" w:line="219" w:lineRule="auto"/>
        <w:ind w:left="48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上述合同附件如果有不一致之处，以日期在后的和对需方有利的为准。</w:t>
      </w:r>
    </w:p>
    <w:p w14:paraId="784C08A3">
      <w:pPr>
        <w:spacing w:before="180" w:line="220" w:lineRule="auto"/>
        <w:ind w:left="48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二十三、合同修改</w:t>
      </w:r>
    </w:p>
    <w:p w14:paraId="43884DA8">
      <w:pPr>
        <w:spacing w:before="182" w:line="468" w:lineRule="exact"/>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23.1</w:t>
      </w:r>
      <w:r>
        <w:rPr>
          <w:rFonts w:hint="eastAsia" w:ascii="宋体" w:hAnsi="宋体" w:eastAsia="宋体" w:cs="宋体"/>
          <w:color w:val="auto"/>
          <w:spacing w:val="-30"/>
          <w:position w:val="17"/>
          <w:sz w:val="24"/>
          <w:szCs w:val="24"/>
          <w:highlight w:val="none"/>
        </w:rPr>
        <w:t xml:space="preserve"> </w:t>
      </w:r>
      <w:r>
        <w:rPr>
          <w:rFonts w:hint="eastAsia" w:ascii="宋体" w:hAnsi="宋体" w:eastAsia="宋体" w:cs="宋体"/>
          <w:color w:val="auto"/>
          <w:spacing w:val="2"/>
          <w:position w:val="17"/>
          <w:sz w:val="24"/>
          <w:szCs w:val="24"/>
          <w:highlight w:val="none"/>
        </w:rPr>
        <w:t>除供需双方和采购方签署书面修改、补充协议，并成为本合同不可分割的一部</w:t>
      </w:r>
    </w:p>
    <w:p w14:paraId="0871CF77">
      <w:pPr>
        <w:spacing w:before="1" w:line="219" w:lineRule="auto"/>
        <w:ind w:left="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分之外，本合同条件不得有任何变化或修改。</w:t>
      </w:r>
    </w:p>
    <w:p w14:paraId="7ADE625B">
      <w:pPr>
        <w:spacing w:before="180" w:line="221" w:lineRule="auto"/>
        <w:ind w:left="48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二十四、合同备案</w:t>
      </w:r>
    </w:p>
    <w:p w14:paraId="7F1A7DD5">
      <w:pPr>
        <w:spacing w:before="179" w:line="219" w:lineRule="auto"/>
        <w:ind w:left="48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24.1 自本合同订立之日起七个工作日内，向本级政府采购监督管理部门备案。</w:t>
      </w:r>
    </w:p>
    <w:p w14:paraId="398EA99D">
      <w:pPr>
        <w:spacing w:before="184" w:line="359" w:lineRule="auto"/>
        <w:ind w:left="2" w:right="2" w:firstLine="481"/>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二十五、政府采购法对政府采购合同变更终止的规定：</w:t>
      </w:r>
      <w:r>
        <w:rPr>
          <w:rFonts w:hint="eastAsia" w:ascii="宋体" w:hAnsi="宋体" w:eastAsia="宋体" w:cs="宋体"/>
          <w:color w:val="auto"/>
          <w:spacing w:val="-2"/>
          <w:sz w:val="24"/>
          <w:szCs w:val="24"/>
          <w:highlight w:val="none"/>
        </w:rPr>
        <w:t>“政府采购合同的双方</w:t>
      </w:r>
      <w:r>
        <w:rPr>
          <w:rFonts w:hint="eastAsia" w:ascii="宋体" w:hAnsi="宋体" w:eastAsia="宋体" w:cs="宋体"/>
          <w:color w:val="auto"/>
          <w:spacing w:val="-3"/>
          <w:sz w:val="24"/>
          <w:szCs w:val="24"/>
          <w:highlight w:val="none"/>
        </w:rPr>
        <w:t>当事人</w:t>
      </w:r>
      <w:r>
        <w:rPr>
          <w:rFonts w:hint="eastAsia" w:ascii="宋体" w:hAnsi="宋体" w:eastAsia="宋体" w:cs="宋体"/>
          <w:color w:val="auto"/>
          <w:spacing w:val="-2"/>
          <w:sz w:val="24"/>
          <w:szCs w:val="24"/>
          <w:highlight w:val="none"/>
        </w:rPr>
        <w:t>不得擅自变更、中止或者终止合同。政府采购合同继续履行将损害国家利益和社会公共利益的，双方当事人应当变更、中止或者终止合同。有过错的一方应当承担赔偿责任，双方</w:t>
      </w:r>
      <w:r>
        <w:rPr>
          <w:rFonts w:hint="eastAsia" w:ascii="宋体" w:hAnsi="宋体" w:eastAsia="宋体" w:cs="宋体"/>
          <w:color w:val="auto"/>
          <w:spacing w:val="-1"/>
          <w:sz w:val="24"/>
          <w:szCs w:val="24"/>
          <w:highlight w:val="none"/>
        </w:rPr>
        <w:t>都有过错的，各自承担相应的责任。”在本合同中</w:t>
      </w:r>
      <w:r>
        <w:rPr>
          <w:rFonts w:hint="eastAsia" w:ascii="宋体" w:hAnsi="宋体" w:eastAsia="宋体" w:cs="宋体"/>
          <w:color w:val="auto"/>
          <w:spacing w:val="-2"/>
          <w:sz w:val="24"/>
          <w:szCs w:val="24"/>
          <w:highlight w:val="none"/>
        </w:rPr>
        <w:t>，双方当事人指供需双方。</w:t>
      </w:r>
    </w:p>
    <w:p w14:paraId="79D69140">
      <w:pPr>
        <w:spacing w:before="1" w:line="219" w:lineRule="auto"/>
        <w:ind w:left="4"/>
        <w:outlineLvl w:val="9"/>
        <w:rPr>
          <w:rFonts w:hint="eastAsia" w:ascii="宋体" w:hAnsi="宋体" w:eastAsia="宋体" w:cs="宋体"/>
          <w:color w:val="auto"/>
          <w:spacing w:val="-2"/>
          <w:sz w:val="24"/>
          <w:szCs w:val="24"/>
          <w:highlight w:val="none"/>
        </w:rPr>
      </w:pPr>
    </w:p>
    <w:p w14:paraId="52CAC123">
      <w:pPr>
        <w:spacing w:before="1" w:line="219" w:lineRule="auto"/>
        <w:ind w:left="4"/>
        <w:outlineLvl w:val="9"/>
        <w:rPr>
          <w:rFonts w:hint="eastAsia" w:ascii="宋体" w:hAnsi="宋体" w:eastAsia="宋体" w:cs="宋体"/>
          <w:color w:val="auto"/>
          <w:spacing w:val="-2"/>
          <w:sz w:val="24"/>
          <w:szCs w:val="24"/>
          <w:highlight w:val="none"/>
        </w:rPr>
      </w:pPr>
    </w:p>
    <w:p w14:paraId="2C1895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需方：</w:t>
      </w:r>
      <w:r>
        <w:rPr>
          <w:rFonts w:hint="eastAsia" w:ascii="宋体" w:hAnsi="宋体" w:eastAsia="宋体" w:cs="宋体"/>
          <w:color w:val="auto"/>
          <w:sz w:val="24"/>
          <w:szCs w:val="24"/>
          <w:highlight w:val="none"/>
          <w:lang w:val="en-US" w:eastAsia="zh-CN"/>
        </w:rPr>
        <w:t xml:space="preserve">                                   供方：</w:t>
      </w:r>
    </w:p>
    <w:p w14:paraId="45B55E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地址：</w:t>
      </w:r>
    </w:p>
    <w:p w14:paraId="0E01C9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14:paraId="1395E4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或授权委托人：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或授权委托人：</w:t>
      </w:r>
    </w:p>
    <w:p w14:paraId="0CBE98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签字日期：</w:t>
      </w:r>
    </w:p>
    <w:p w14:paraId="157654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p>
    <w:p w14:paraId="3825A7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14:paraId="606310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14:paraId="779899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联系人：</w:t>
      </w:r>
    </w:p>
    <w:p w14:paraId="616C51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w:t>
      </w:r>
    </w:p>
    <w:p w14:paraId="058A74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账户名称</w:t>
      </w:r>
      <w:r>
        <w:rPr>
          <w:rFonts w:hint="eastAsia" w:ascii="宋体" w:hAnsi="宋体" w:eastAsia="宋体" w:cs="宋体"/>
          <w:color w:val="auto"/>
          <w:sz w:val="24"/>
          <w:szCs w:val="24"/>
          <w:highlight w:val="none"/>
          <w:lang w:eastAsia="zh-CN"/>
        </w:rPr>
        <w:t>：</w:t>
      </w:r>
    </w:p>
    <w:p w14:paraId="1405C4EA">
      <w:pPr>
        <w:keepNext w:val="0"/>
        <w:keepLines w:val="0"/>
        <w:pageBreakBefore w:val="0"/>
        <w:widowControl/>
        <w:kinsoku w:val="0"/>
        <w:wordWrap/>
        <w:overflowPunct/>
        <w:topLinePunct w:val="0"/>
        <w:autoSpaceDE w:val="0"/>
        <w:autoSpaceDN w:val="0"/>
        <w:bidi w:val="0"/>
        <w:adjustRightInd w:val="0"/>
        <w:snapToGrid w:val="0"/>
        <w:spacing w:before="1" w:line="360" w:lineRule="auto"/>
        <w:ind w:left="4"/>
        <w:textAlignment w:val="baseline"/>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账号：</w:t>
      </w:r>
    </w:p>
    <w:p w14:paraId="66F0A453">
      <w:pPr>
        <w:outlineLvl w:val="9"/>
        <w:rPr>
          <w:rFonts w:hint="eastAsia" w:ascii="宋体" w:hAnsi="宋体" w:eastAsia="宋体" w:cs="宋体"/>
          <w:color w:val="auto"/>
          <w:spacing w:val="8"/>
          <w:sz w:val="35"/>
          <w:szCs w:val="35"/>
          <w:highlight w:val="none"/>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highlight w:val="none"/>
          <w14:textOutline w14:w="6537" w14:cap="sq" w14:cmpd="sng">
            <w14:solidFill>
              <w14:srgbClr w14:val="000000"/>
            </w14:solidFill>
            <w14:prstDash w14:val="solid"/>
            <w14:bevel/>
          </w14:textOutline>
        </w:rPr>
        <w:br w:type="page"/>
      </w:r>
    </w:p>
    <w:p w14:paraId="0947347C">
      <w:pPr>
        <w:pStyle w:val="2"/>
        <w:keepNext/>
        <w:keepLines/>
        <w:pageBreakBefore w:val="0"/>
        <w:widowControl/>
        <w:numPr>
          <w:ilvl w:val="0"/>
          <w:numId w:val="2"/>
        </w:numPr>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highlight w:val="none"/>
        </w:rPr>
      </w:pPr>
      <w:bookmarkStart w:id="40" w:name="_Toc9810"/>
      <w:r>
        <w:rPr>
          <w:rFonts w:hint="eastAsia"/>
          <w:color w:val="auto"/>
          <w:sz w:val="32"/>
          <w:szCs w:val="22"/>
          <w:highlight w:val="none"/>
        </w:rPr>
        <w:t>采购需求</w:t>
      </w:r>
      <w:bookmarkEnd w:id="40"/>
    </w:p>
    <w:p w14:paraId="74F57571">
      <w:pPr>
        <w:jc w:val="center"/>
        <w:rPr>
          <w:rFonts w:hint="eastAsia" w:ascii="宋体" w:hAnsi="宋体"/>
          <w:b/>
          <w:color w:val="auto"/>
          <w:sz w:val="28"/>
          <w:highlight w:val="none"/>
          <w:lang w:val="zh-TW"/>
        </w:rPr>
      </w:pPr>
    </w:p>
    <w:p w14:paraId="08E0641D">
      <w:pPr>
        <w:jc w:val="center"/>
        <w:rPr>
          <w:rFonts w:hint="eastAsia" w:ascii="宋体" w:hAnsi="宋体" w:cs="宋体"/>
          <w:b/>
          <w:bCs/>
          <w:color w:val="auto"/>
          <w:sz w:val="28"/>
          <w:szCs w:val="28"/>
          <w:highlight w:val="none"/>
          <w:shd w:val="clear" w:color="auto" w:fill="auto"/>
        </w:rPr>
      </w:pPr>
      <w:r>
        <w:rPr>
          <w:rFonts w:hint="eastAsia" w:ascii="宋体" w:hAnsi="宋体" w:cs="宋体"/>
          <w:b/>
          <w:bCs/>
          <w:color w:val="auto"/>
          <w:sz w:val="28"/>
          <w:szCs w:val="28"/>
          <w:highlight w:val="none"/>
          <w:shd w:val="clear" w:color="auto" w:fill="auto"/>
        </w:rPr>
        <w:t xml:space="preserve">01标段  </w:t>
      </w:r>
      <w:r>
        <w:rPr>
          <w:rFonts w:hint="eastAsia" w:ascii="宋体" w:hAnsi="宋体" w:eastAsia="宋体" w:cs="宋体"/>
          <w:b/>
          <w:bCs/>
          <w:color w:val="auto"/>
          <w:sz w:val="28"/>
          <w:szCs w:val="28"/>
          <w:highlight w:val="none"/>
          <w:shd w:val="clear" w:color="auto" w:fill="auto"/>
          <w:lang w:val="en-US" w:eastAsia="zh-CN"/>
        </w:rPr>
        <w:t>4K荧光腹腔镜</w:t>
      </w:r>
      <w:r>
        <w:rPr>
          <w:rFonts w:hint="eastAsia" w:ascii="宋体" w:hAnsi="宋体" w:cs="宋体"/>
          <w:b/>
          <w:bCs/>
          <w:color w:val="auto"/>
          <w:sz w:val="28"/>
          <w:szCs w:val="28"/>
          <w:highlight w:val="none"/>
          <w:shd w:val="clear" w:color="auto" w:fill="auto"/>
        </w:rPr>
        <w:t>技术参数</w:t>
      </w:r>
    </w:p>
    <w:p w14:paraId="3BD0F926">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数量：1台</w:t>
      </w:r>
    </w:p>
    <w:p w14:paraId="18730AA5">
      <w:pPr>
        <w:rPr>
          <w:rFonts w:hint="eastAsia"/>
          <w:color w:val="auto"/>
          <w:highlight w:val="none"/>
        </w:rPr>
      </w:pPr>
    </w:p>
    <w:p w14:paraId="7AF70960">
      <w:pPr>
        <w:numPr>
          <w:ilvl w:val="0"/>
          <w:numId w:val="0"/>
        </w:numPr>
        <w:ind w:left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一、摄像头</w:t>
      </w:r>
    </w:p>
    <w:p w14:paraId="10924588">
      <w:pPr>
        <w:widowControl w:val="0"/>
        <w:spacing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4CMOS感光器件，分光棱镜数量≤1，具有荧光专用成像芯片，可同时接收白光和近红外光</w:t>
      </w:r>
    </w:p>
    <w:p w14:paraId="1647C0C6">
      <w:pPr>
        <w:widowControl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配备光学变焦镜头，</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eastAsia="zh-CN"/>
        </w:rPr>
        <w:t>2.</w:t>
      </w:r>
      <w:r>
        <w:rPr>
          <w:rFonts w:hint="eastAsia" w:ascii="宋体" w:hAnsi="宋体" w:eastAsia="宋体" w:cs="宋体"/>
          <w:color w:val="auto"/>
          <w:kern w:val="2"/>
          <w:sz w:val="24"/>
          <w:szCs w:val="24"/>
          <w:highlight w:val="none"/>
          <w:lang w:val="en-US" w:eastAsia="zh-CN"/>
        </w:rPr>
        <w:t>5倍放大</w:t>
      </w:r>
    </w:p>
    <w:p w14:paraId="2867288D">
      <w:pPr>
        <w:widowControl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按键,摄像头功能按键数量≥</w:t>
      </w:r>
      <w:r>
        <w:rPr>
          <w:rFonts w:hint="eastAsia" w:ascii="宋体" w:hAnsi="宋体" w:eastAsia="宋体" w:cs="宋体"/>
          <w:color w:val="auto"/>
          <w:kern w:val="2"/>
          <w:sz w:val="24"/>
          <w:szCs w:val="24"/>
          <w:highlight w:val="none"/>
          <w:lang w:val="en-US" w:eastAsia="zh-CN"/>
        </w:rPr>
        <w:t>3</w:t>
      </w:r>
    </w:p>
    <w:p w14:paraId="322A14ED">
      <w:pPr>
        <w:widowControl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可通过设置摄像头按键</w:t>
      </w:r>
      <w:r>
        <w:rPr>
          <w:rFonts w:hint="eastAsia" w:ascii="宋体" w:hAnsi="宋体" w:eastAsia="宋体" w:cs="宋体"/>
          <w:color w:val="auto"/>
          <w:kern w:val="2"/>
          <w:sz w:val="24"/>
          <w:szCs w:val="24"/>
          <w:highlight w:val="none"/>
          <w:lang w:val="en-US" w:eastAsia="zh-CN"/>
        </w:rPr>
        <w:t>实现：</w:t>
      </w:r>
      <w:r>
        <w:rPr>
          <w:rFonts w:hint="eastAsia" w:ascii="宋体" w:hAnsi="宋体" w:eastAsia="宋体" w:cs="宋体"/>
          <w:color w:val="auto"/>
          <w:kern w:val="2"/>
          <w:sz w:val="24"/>
          <w:szCs w:val="24"/>
          <w:highlight w:val="none"/>
          <w:lang w:eastAsia="zh-CN"/>
        </w:rPr>
        <w:t>光源待机、一键白平衡、图像模式切换、模式切换、拍照、录像</w:t>
      </w:r>
      <w:r>
        <w:rPr>
          <w:rFonts w:hint="eastAsia" w:ascii="宋体" w:hAnsi="宋体" w:eastAsia="宋体" w:cs="宋体"/>
          <w:color w:val="auto"/>
          <w:kern w:val="2"/>
          <w:sz w:val="24"/>
          <w:szCs w:val="24"/>
          <w:highlight w:val="none"/>
          <w:lang w:val="en-US" w:eastAsia="zh-CN"/>
        </w:rPr>
        <w:t>等功能</w:t>
      </w:r>
    </w:p>
    <w:p w14:paraId="44E2FBB9">
      <w:pPr>
        <w:widowControl w:val="0"/>
        <w:spacing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安全等级和防护等级,I类、CF型，可应用于心脏，符合最高等级电气安全要求，摄像头防护等级：≥IPX7</w:t>
      </w:r>
    </w:p>
    <w:p w14:paraId="76A27FF7">
      <w:pPr>
        <w:numPr>
          <w:ilvl w:val="0"/>
          <w:numId w:val="0"/>
        </w:numPr>
        <w:ind w:left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二、主机</w:t>
      </w:r>
    </w:p>
    <w:p w14:paraId="2A8ECE56">
      <w:pPr>
        <w:widowControl w:val="0"/>
        <w:spacing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2"/>
          <w:sz w:val="24"/>
          <w:szCs w:val="24"/>
          <w:highlight w:val="none"/>
          <w:lang w:eastAsia="zh-CN"/>
        </w:rPr>
        <w:t>触控屏设计,</w:t>
      </w:r>
      <w:r>
        <w:rPr>
          <w:rFonts w:hint="eastAsia" w:ascii="宋体" w:hAnsi="宋体" w:eastAsia="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lang w:eastAsia="zh-CN"/>
        </w:rPr>
        <w:t>英寸触控屏设计，可在触控屏上实现科室选择、</w:t>
      </w:r>
      <w:r>
        <w:rPr>
          <w:rFonts w:hint="eastAsia" w:ascii="宋体" w:hAnsi="宋体" w:eastAsia="宋体" w:cs="宋体"/>
          <w:color w:val="auto"/>
          <w:kern w:val="2"/>
          <w:sz w:val="24"/>
          <w:szCs w:val="24"/>
          <w:highlight w:val="none"/>
          <w:lang w:val="en-US" w:eastAsia="zh-CN"/>
        </w:rPr>
        <w:t>动态</w:t>
      </w:r>
      <w:r>
        <w:rPr>
          <w:rFonts w:hint="eastAsia" w:ascii="宋体" w:hAnsi="宋体" w:eastAsia="宋体" w:cs="宋体"/>
          <w:color w:val="auto"/>
          <w:kern w:val="2"/>
          <w:sz w:val="24"/>
          <w:szCs w:val="24"/>
          <w:highlight w:val="none"/>
          <w:lang w:eastAsia="zh-CN"/>
        </w:rPr>
        <w:t>增强、</w:t>
      </w:r>
      <w:r>
        <w:rPr>
          <w:rFonts w:hint="eastAsia" w:ascii="宋体" w:hAnsi="宋体" w:eastAsia="宋体" w:cs="宋体"/>
          <w:color w:val="auto"/>
          <w:kern w:val="2"/>
          <w:sz w:val="24"/>
          <w:szCs w:val="24"/>
          <w:highlight w:val="none"/>
          <w:lang w:val="en-US" w:eastAsia="zh-CN"/>
        </w:rPr>
        <w:t>色彩增强、结构增强、</w:t>
      </w:r>
      <w:r>
        <w:rPr>
          <w:rFonts w:hint="eastAsia" w:ascii="宋体" w:hAnsi="宋体" w:eastAsia="宋体" w:cs="宋体"/>
          <w:color w:val="auto"/>
          <w:kern w:val="2"/>
          <w:sz w:val="24"/>
          <w:szCs w:val="24"/>
          <w:highlight w:val="none"/>
          <w:lang w:eastAsia="zh-CN"/>
        </w:rPr>
        <w:t>荧光颜色、亮度调整、录像、白平衡、荧光增强、</w:t>
      </w:r>
      <w:r>
        <w:rPr>
          <w:rFonts w:hint="eastAsia" w:ascii="宋体" w:hAnsi="宋体" w:eastAsia="宋体" w:cs="宋体"/>
          <w:color w:val="auto"/>
          <w:kern w:val="2"/>
          <w:sz w:val="24"/>
          <w:szCs w:val="24"/>
          <w:highlight w:val="none"/>
          <w:lang w:val="en-US" w:eastAsia="zh-CN"/>
        </w:rPr>
        <w:t>荧光优化、</w:t>
      </w:r>
      <w:r>
        <w:rPr>
          <w:rFonts w:hint="eastAsia" w:ascii="宋体" w:hAnsi="宋体" w:eastAsia="宋体" w:cs="宋体"/>
          <w:color w:val="auto"/>
          <w:kern w:val="2"/>
          <w:sz w:val="24"/>
          <w:szCs w:val="24"/>
          <w:highlight w:val="none"/>
          <w:lang w:eastAsia="zh-CN"/>
        </w:rPr>
        <w:t>色调</w:t>
      </w:r>
      <w:r>
        <w:rPr>
          <w:rFonts w:hint="eastAsia" w:ascii="宋体" w:hAnsi="宋体" w:eastAsia="宋体" w:cs="宋体"/>
          <w:color w:val="auto"/>
          <w:kern w:val="2"/>
          <w:sz w:val="24"/>
          <w:szCs w:val="24"/>
          <w:highlight w:val="none"/>
          <w:lang w:val="en-US" w:eastAsia="zh-CN"/>
        </w:rPr>
        <w:t>调节</w:t>
      </w:r>
      <w:r>
        <w:rPr>
          <w:rFonts w:hint="eastAsia" w:ascii="宋体" w:hAnsi="宋体" w:eastAsia="宋体" w:cs="宋体"/>
          <w:color w:val="auto"/>
          <w:kern w:val="2"/>
          <w:sz w:val="24"/>
          <w:szCs w:val="24"/>
          <w:highlight w:val="none"/>
          <w:lang w:eastAsia="zh-CN"/>
        </w:rPr>
        <w:t>、保存图片、</w:t>
      </w:r>
      <w:r>
        <w:rPr>
          <w:rFonts w:hint="eastAsia" w:ascii="宋体" w:hAnsi="宋体" w:eastAsia="宋体" w:cs="宋体"/>
          <w:color w:val="auto"/>
          <w:kern w:val="2"/>
          <w:sz w:val="24"/>
          <w:szCs w:val="24"/>
          <w:highlight w:val="none"/>
          <w:lang w:val="en-US" w:eastAsia="zh-CN"/>
        </w:rPr>
        <w:t>主动</w:t>
      </w:r>
      <w:r>
        <w:rPr>
          <w:rFonts w:hint="eastAsia" w:ascii="宋体" w:hAnsi="宋体" w:eastAsia="宋体" w:cs="宋体"/>
          <w:color w:val="auto"/>
          <w:kern w:val="2"/>
          <w:sz w:val="24"/>
          <w:szCs w:val="24"/>
          <w:highlight w:val="none"/>
          <w:lang w:eastAsia="zh-CN"/>
        </w:rPr>
        <w:t>降噪、除烟去雾、放大、旋转、冻结、暗场增强、</w:t>
      </w:r>
      <w:r>
        <w:rPr>
          <w:rFonts w:hint="eastAsia" w:ascii="宋体" w:hAnsi="宋体" w:eastAsia="宋体" w:cs="宋体"/>
          <w:color w:val="auto"/>
          <w:kern w:val="2"/>
          <w:sz w:val="24"/>
          <w:szCs w:val="24"/>
          <w:highlight w:val="none"/>
          <w:lang w:val="en-US" w:eastAsia="zh-CN"/>
        </w:rPr>
        <w:t>去摩尔纹、</w:t>
      </w:r>
      <w:r>
        <w:rPr>
          <w:rFonts w:hint="eastAsia" w:ascii="宋体" w:hAnsi="宋体" w:eastAsia="宋体" w:cs="宋体"/>
          <w:color w:val="auto"/>
          <w:kern w:val="2"/>
          <w:sz w:val="24"/>
          <w:szCs w:val="24"/>
          <w:highlight w:val="none"/>
          <w:lang w:eastAsia="zh-CN"/>
        </w:rPr>
        <w:t>参数设置等功能。</w:t>
      </w:r>
    </w:p>
    <w:p w14:paraId="7FA05501">
      <w:pPr>
        <w:numPr>
          <w:ilvl w:val="0"/>
          <w:numId w:val="0"/>
        </w:numPr>
        <w:ind w:leftChars="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2、输出分辨率,≥3840*2160P，</w:t>
      </w:r>
      <w:r>
        <w:rPr>
          <w:rFonts w:hint="eastAsia" w:ascii="宋体" w:hAnsi="宋体" w:eastAsia="宋体" w:cs="宋体"/>
          <w:color w:val="auto"/>
          <w:kern w:val="2"/>
          <w:sz w:val="24"/>
          <w:szCs w:val="24"/>
          <w:highlight w:val="none"/>
          <w:lang w:val="en-US" w:eastAsia="zh-CN"/>
        </w:rPr>
        <w:t>4096*2160P</w:t>
      </w:r>
      <w:r>
        <w:rPr>
          <w:rFonts w:hint="eastAsia" w:ascii="宋体" w:hAnsi="宋体" w:eastAsia="宋体" w:cs="宋体"/>
          <w:color w:val="auto"/>
          <w:kern w:val="2"/>
          <w:sz w:val="24"/>
          <w:szCs w:val="24"/>
          <w:highlight w:val="none"/>
          <w:lang w:eastAsia="zh-CN"/>
        </w:rPr>
        <w:t>和≥1920*1080P，逐行扫描，宽高比为16:9；</w:t>
      </w:r>
    </w:p>
    <w:p w14:paraId="5489F54F">
      <w:pPr>
        <w:widowControl w:val="0"/>
        <w:spacing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eastAsia="zh-CN"/>
        </w:rPr>
        <w:t>输出接口,超高清视频接口，≥5（包括4×12G SDI、1个HDMI）高清视频接口，≥</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组接口（包含2个SDI、2个DVI），可支持</w:t>
      </w:r>
      <w:r>
        <w:rPr>
          <w:rFonts w:hint="eastAsia" w:ascii="宋体" w:hAnsi="宋体" w:eastAsia="宋体" w:cs="宋体"/>
          <w:color w:val="auto"/>
          <w:kern w:val="2"/>
          <w:sz w:val="24"/>
          <w:szCs w:val="24"/>
          <w:highlight w:val="none"/>
          <w:lang w:val="en-US" w:eastAsia="zh-CN"/>
        </w:rPr>
        <w:t>多</w:t>
      </w:r>
      <w:r>
        <w:rPr>
          <w:rFonts w:hint="eastAsia" w:ascii="宋体" w:hAnsi="宋体" w:eastAsia="宋体" w:cs="宋体"/>
          <w:color w:val="auto"/>
          <w:kern w:val="2"/>
          <w:sz w:val="24"/>
          <w:szCs w:val="24"/>
          <w:highlight w:val="none"/>
          <w:lang w:eastAsia="zh-CN"/>
        </w:rPr>
        <w:t>路同时输出，</w:t>
      </w:r>
      <w:r>
        <w:rPr>
          <w:rFonts w:hint="eastAsia" w:ascii="宋体" w:hAnsi="宋体" w:eastAsia="宋体" w:cs="宋体"/>
          <w:color w:val="auto"/>
          <w:kern w:val="2"/>
          <w:sz w:val="24"/>
          <w:szCs w:val="24"/>
          <w:highlight w:val="none"/>
          <w:lang w:val="en-US" w:eastAsia="zh-CN"/>
        </w:rPr>
        <w:t>多</w:t>
      </w:r>
      <w:r>
        <w:rPr>
          <w:rFonts w:hint="eastAsia" w:ascii="宋体" w:hAnsi="宋体" w:eastAsia="宋体" w:cs="宋体"/>
          <w:color w:val="auto"/>
          <w:kern w:val="2"/>
          <w:sz w:val="24"/>
          <w:szCs w:val="24"/>
          <w:highlight w:val="none"/>
          <w:lang w:eastAsia="zh-CN"/>
        </w:rPr>
        <w:t>显示器同步显示，支持同步转播</w:t>
      </w:r>
    </w:p>
    <w:p w14:paraId="1C947402">
      <w:pPr>
        <w:numPr>
          <w:ilvl w:val="0"/>
          <w:numId w:val="0"/>
        </w:numPr>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rPr>
        <w:t>4、图像模式,图像显示模式≥</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种：彩色白光模式、原始荧光模式、暗荧光模式、彩色荧光模式、</w:t>
      </w:r>
      <w:r>
        <w:rPr>
          <w:rFonts w:hint="eastAsia" w:ascii="宋体" w:hAnsi="宋体" w:eastAsia="宋体" w:cs="宋体"/>
          <w:color w:val="auto"/>
          <w:kern w:val="2"/>
          <w:sz w:val="24"/>
          <w:szCs w:val="24"/>
          <w:highlight w:val="none"/>
          <w:lang w:val="en-US" w:eastAsia="zh-CN"/>
        </w:rPr>
        <w:t>多模荧光，</w:t>
      </w:r>
      <w:r>
        <w:rPr>
          <w:rFonts w:hint="eastAsia" w:ascii="宋体" w:hAnsi="宋体" w:eastAsia="宋体" w:cs="宋体"/>
          <w:color w:val="auto"/>
          <w:sz w:val="24"/>
          <w:szCs w:val="24"/>
          <w:highlight w:val="none"/>
        </w:rPr>
        <w:t>可使用</w:t>
      </w:r>
      <w:r>
        <w:rPr>
          <w:rFonts w:hint="eastAsia" w:ascii="宋体" w:hAnsi="宋体" w:eastAsia="宋体" w:cs="宋体"/>
          <w:color w:val="auto"/>
          <w:sz w:val="24"/>
          <w:szCs w:val="24"/>
          <w:highlight w:val="none"/>
          <w:lang w:val="en-US" w:eastAsia="zh-CN"/>
        </w:rPr>
        <w:t>摄像头操作</w:t>
      </w:r>
      <w:r>
        <w:rPr>
          <w:rFonts w:hint="eastAsia" w:ascii="宋体" w:hAnsi="宋体" w:eastAsia="宋体" w:cs="宋体"/>
          <w:color w:val="auto"/>
          <w:sz w:val="24"/>
          <w:szCs w:val="24"/>
          <w:highlight w:val="none"/>
        </w:rPr>
        <w:t>切换彩色模式和荧光模式</w:t>
      </w:r>
      <w:r>
        <w:rPr>
          <w:rFonts w:hint="eastAsia" w:ascii="宋体" w:hAnsi="宋体" w:eastAsia="宋体" w:cs="宋体"/>
          <w:color w:val="auto"/>
          <w:sz w:val="24"/>
          <w:szCs w:val="24"/>
          <w:highlight w:val="none"/>
          <w:lang w:eastAsia="zh-CN"/>
        </w:rPr>
        <w:t>。</w:t>
      </w:r>
    </w:p>
    <w:p w14:paraId="3FE33A38">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5、荧光技术高亮彩色荧光成像技术</w:t>
      </w:r>
    </w:p>
    <w:p w14:paraId="5535552F">
      <w:pPr>
        <w:numPr>
          <w:ilvl w:val="0"/>
          <w:numId w:val="0"/>
        </w:numPr>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kern w:val="2"/>
          <w:sz w:val="24"/>
          <w:szCs w:val="24"/>
          <w:highlight w:val="none"/>
          <w:lang w:eastAsia="zh-CN"/>
        </w:rPr>
        <w:t>荧光颜色,≥6种荧光颜色，包括：绿色、蓝色、青色、洋红色、黄色及自定义，自定义荧光颜色≥256种</w:t>
      </w:r>
    </w:p>
    <w:p w14:paraId="3B79F7B2">
      <w:pPr>
        <w:numPr>
          <w:ilvl w:val="0"/>
          <w:numId w:val="0"/>
        </w:numP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7、具有光谱染色功能</w:t>
      </w:r>
    </w:p>
    <w:p w14:paraId="5D168DC4">
      <w:pPr>
        <w:widowControl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kern w:val="2"/>
          <w:sz w:val="24"/>
          <w:szCs w:val="24"/>
          <w:highlight w:val="none"/>
          <w:lang w:eastAsia="zh-CN"/>
        </w:rPr>
        <w:t>内置全高清录像系统，主机前置U盘接口，主机前置功能键：一键录像、一键截图</w:t>
      </w:r>
    </w:p>
    <w:p w14:paraId="49AC284D">
      <w:pPr>
        <w:widowControl w:val="0"/>
        <w:numPr>
          <w:ilvl w:val="0"/>
          <w:numId w:val="0"/>
        </w:numPr>
        <w:spacing w:line="360" w:lineRule="auto"/>
        <w:ind w:leftChars="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lang w:eastAsia="zh-CN"/>
        </w:rPr>
        <w:t>场景模式,场景模式≥1</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种，可根据需求选择不同的场景模式：肝胆外科、妇科、胸外科、胃肠外科,甲乳</w:t>
      </w:r>
      <w:r>
        <w:rPr>
          <w:rFonts w:hint="eastAsia" w:ascii="宋体" w:hAnsi="宋体" w:eastAsia="宋体" w:cs="宋体"/>
          <w:color w:val="auto"/>
          <w:kern w:val="2"/>
          <w:sz w:val="24"/>
          <w:szCs w:val="24"/>
          <w:highlight w:val="none"/>
          <w:lang w:val="en-US" w:eastAsia="zh-CN"/>
        </w:rPr>
        <w:t>外</w:t>
      </w:r>
      <w:r>
        <w:rPr>
          <w:rFonts w:hint="eastAsia" w:ascii="宋体" w:hAnsi="宋体" w:eastAsia="宋体" w:cs="宋体"/>
          <w:color w:val="auto"/>
          <w:kern w:val="2"/>
          <w:sz w:val="24"/>
          <w:szCs w:val="24"/>
          <w:highlight w:val="none"/>
          <w:lang w:eastAsia="zh-CN"/>
        </w:rPr>
        <w:t>科、泌尿外科、普外科、儿科、神经、</w:t>
      </w:r>
      <w:r>
        <w:rPr>
          <w:rFonts w:hint="eastAsia" w:ascii="宋体" w:hAnsi="宋体" w:eastAsia="宋体" w:cs="宋体"/>
          <w:color w:val="auto"/>
          <w:kern w:val="2"/>
          <w:sz w:val="24"/>
          <w:szCs w:val="24"/>
          <w:highlight w:val="none"/>
          <w:lang w:val="en-US" w:eastAsia="zh-CN"/>
        </w:rPr>
        <w:t>骨科、耳鼻喉科</w:t>
      </w:r>
      <w:r>
        <w:rPr>
          <w:rFonts w:hint="eastAsia" w:ascii="宋体" w:hAnsi="宋体" w:eastAsia="宋体" w:cs="宋体"/>
          <w:color w:val="auto"/>
          <w:kern w:val="2"/>
          <w:sz w:val="24"/>
          <w:szCs w:val="24"/>
          <w:highlight w:val="none"/>
          <w:lang w:eastAsia="zh-CN"/>
        </w:rPr>
        <w:t>及自定义等场景模式</w:t>
      </w:r>
    </w:p>
    <w:p w14:paraId="441C432D">
      <w:pPr>
        <w:numPr>
          <w:ilvl w:val="0"/>
          <w:numId w:val="0"/>
        </w:numPr>
        <w:ind w:leftChars="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kern w:val="2"/>
          <w:sz w:val="24"/>
          <w:szCs w:val="24"/>
          <w:highlight w:val="none"/>
          <w:lang w:eastAsia="zh-CN"/>
        </w:rPr>
        <w:t>具有梯度荧光功能,</w:t>
      </w:r>
      <w:r>
        <w:rPr>
          <w:rFonts w:hint="eastAsia" w:ascii="宋体" w:hAnsi="宋体" w:eastAsia="宋体" w:cs="宋体"/>
          <w:color w:val="auto"/>
          <w:kern w:val="2"/>
          <w:sz w:val="24"/>
          <w:szCs w:val="24"/>
          <w:highlight w:val="none"/>
          <w:lang w:val="en-US" w:eastAsia="zh-CN"/>
        </w:rPr>
        <w:t>具有</w:t>
      </w:r>
      <w:r>
        <w:rPr>
          <w:rFonts w:hint="eastAsia" w:ascii="宋体" w:hAnsi="宋体" w:eastAsia="宋体" w:cs="宋体"/>
          <w:color w:val="auto"/>
          <w:sz w:val="24"/>
          <w:szCs w:val="24"/>
          <w:highlight w:val="none"/>
          <w:lang w:val="en-US" w:eastAsia="zh-CN"/>
        </w:rPr>
        <w:t>荧光融合算法，主机光源联动自动曝光控制</w:t>
      </w:r>
    </w:p>
    <w:p w14:paraId="12CA4E38">
      <w:pPr>
        <w:widowControl w:val="0"/>
        <w:spacing w:line="360" w:lineRule="auto"/>
        <w:ind w:left="420" w:hanging="480" w:hanging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kern w:val="2"/>
          <w:sz w:val="24"/>
          <w:szCs w:val="24"/>
          <w:highlight w:val="none"/>
          <w:lang w:eastAsia="zh-CN"/>
        </w:rPr>
        <w:t>具备一键</w:t>
      </w:r>
      <w:r>
        <w:rPr>
          <w:rFonts w:hint="eastAsia" w:ascii="宋体" w:hAnsi="宋体" w:eastAsia="宋体" w:cs="宋体"/>
          <w:color w:val="auto"/>
          <w:kern w:val="2"/>
          <w:sz w:val="24"/>
          <w:szCs w:val="24"/>
          <w:highlight w:val="none"/>
          <w:lang w:val="en-US" w:eastAsia="zh-CN"/>
        </w:rPr>
        <w:t>动态</w:t>
      </w:r>
      <w:r>
        <w:rPr>
          <w:rFonts w:hint="eastAsia" w:ascii="宋体" w:hAnsi="宋体" w:eastAsia="宋体" w:cs="宋体"/>
          <w:color w:val="auto"/>
          <w:kern w:val="2"/>
          <w:sz w:val="24"/>
          <w:szCs w:val="24"/>
          <w:highlight w:val="none"/>
          <w:lang w:eastAsia="zh-CN"/>
        </w:rPr>
        <w:t>增强功能，</w:t>
      </w:r>
      <w:r>
        <w:rPr>
          <w:rFonts w:hint="eastAsia" w:ascii="宋体" w:hAnsi="宋体" w:eastAsia="宋体" w:cs="宋体"/>
          <w:color w:val="auto"/>
          <w:kern w:val="2"/>
          <w:sz w:val="24"/>
          <w:szCs w:val="24"/>
          <w:highlight w:val="none"/>
          <w:lang w:val="en-US" w:eastAsia="zh-CN"/>
        </w:rPr>
        <w:t>动态</w:t>
      </w:r>
      <w:r>
        <w:rPr>
          <w:rFonts w:hint="eastAsia" w:ascii="宋体" w:hAnsi="宋体" w:eastAsia="宋体" w:cs="宋体"/>
          <w:color w:val="auto"/>
          <w:kern w:val="2"/>
          <w:sz w:val="24"/>
          <w:szCs w:val="24"/>
          <w:highlight w:val="none"/>
          <w:lang w:eastAsia="zh-CN"/>
        </w:rPr>
        <w:t>增强级别≥256级，具有一键荧光增强功能；</w:t>
      </w:r>
      <w:r>
        <w:rPr>
          <w:rFonts w:hint="eastAsia" w:ascii="宋体" w:hAnsi="宋体" w:eastAsia="宋体" w:cs="宋体"/>
          <w:color w:val="auto"/>
          <w:sz w:val="24"/>
          <w:szCs w:val="24"/>
          <w:highlight w:val="none"/>
          <w:lang w:val="en-US" w:eastAsia="zh-CN"/>
        </w:rPr>
        <w:t>图像的亮度可</w:t>
      </w:r>
      <w:r>
        <w:rPr>
          <w:rFonts w:hint="eastAsia" w:ascii="宋体" w:hAnsi="宋体" w:eastAsia="宋体" w:cs="宋体"/>
          <w:color w:val="auto"/>
          <w:kern w:val="2"/>
          <w:sz w:val="24"/>
          <w:szCs w:val="24"/>
          <w:highlight w:val="none"/>
          <w:lang w:eastAsia="zh-CN"/>
        </w:rPr>
        <w:t>≥256级</w:t>
      </w:r>
      <w:r>
        <w:rPr>
          <w:rFonts w:hint="eastAsia" w:ascii="宋体" w:hAnsi="宋体" w:eastAsia="宋体" w:cs="宋体"/>
          <w:color w:val="auto"/>
          <w:sz w:val="24"/>
          <w:szCs w:val="24"/>
          <w:highlight w:val="none"/>
          <w:lang w:val="en-US" w:eastAsia="zh-CN"/>
        </w:rPr>
        <w:t>调节，3</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lang w:val="en-US" w:eastAsia="zh-CN"/>
        </w:rPr>
        <w:t>种镜像翻转模式</w:t>
      </w:r>
    </w:p>
    <w:p w14:paraId="0BB960E4">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12、电子放大功能4倍</w:t>
      </w:r>
    </w:p>
    <w:p w14:paraId="5DD977DB">
      <w:pPr>
        <w:numPr>
          <w:ilvl w:val="0"/>
          <w:numId w:val="0"/>
        </w:numPr>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kern w:val="2"/>
          <w:sz w:val="24"/>
          <w:szCs w:val="24"/>
          <w:highlight w:val="none"/>
          <w:lang w:val="en-US" w:eastAsia="zh-CN"/>
        </w:rPr>
        <w:t>支持与同品牌量化分析仪器进行联合使用，根据临床需求，对荧光手术可实现术中实时分析以及术后分析功能，做到具体数值的量化分析</w:t>
      </w:r>
    </w:p>
    <w:p w14:paraId="686688B5">
      <w:pPr>
        <w:numPr>
          <w:ilvl w:val="0"/>
          <w:numId w:val="0"/>
        </w:numPr>
        <w:ind w:left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三、冷光源</w:t>
      </w:r>
    </w:p>
    <w:p w14:paraId="6B2F485E">
      <w:pPr>
        <w:widowControl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1、设备支持同时输出近红外激光和白光，且激光为3R级医用激光光源。</w:t>
      </w:r>
    </w:p>
    <w:p w14:paraId="499B3DAC">
      <w:pPr>
        <w:widowControl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2、设备采用触摸屏设计，屏幕尺寸≥7英寸，可在触摸屏上进行LED光源的常用参数调整。</w:t>
      </w:r>
    </w:p>
    <w:p w14:paraId="4B8B7DF4">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3、可见光显色指数显色指数≥90，色温5000-7000K，连续光谱</w:t>
      </w:r>
    </w:p>
    <w:p w14:paraId="271167C4">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4、激发光波长780nm激发光精度≤±5nm</w:t>
      </w:r>
    </w:p>
    <w:p w14:paraId="332CB866">
      <w:pPr>
        <w:numPr>
          <w:ilvl w:val="0"/>
          <w:numId w:val="3"/>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白光光通量光通量</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lang w:val="en-US" w:eastAsia="zh-CN"/>
        </w:rPr>
        <w:t>1600lm</w:t>
      </w:r>
    </w:p>
    <w:p w14:paraId="261E3F88">
      <w:pPr>
        <w:numPr>
          <w:ilvl w:val="0"/>
          <w:numId w:val="0"/>
        </w:numPr>
        <w:ind w:leftChars="0"/>
        <w:rPr>
          <w:rStyle w:val="24"/>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lang w:val="en-US" w:eastAsia="zh-CN"/>
        </w:rPr>
        <w:t>6、具有主机光源联动功能</w:t>
      </w:r>
    </w:p>
    <w:p w14:paraId="152C3CC2">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7、具有光纤插入检测功能</w:t>
      </w:r>
    </w:p>
    <w:p w14:paraId="75431151">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8、使用寿命≥30000小时</w:t>
      </w:r>
    </w:p>
    <w:p w14:paraId="7D06F087">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9、与摄像主机同品牌</w:t>
      </w:r>
    </w:p>
    <w:p w14:paraId="4191CD2C">
      <w:pPr>
        <w:numPr>
          <w:ilvl w:val="0"/>
          <w:numId w:val="0"/>
        </w:numPr>
        <w:ind w:left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四、医用内窥镜</w:t>
      </w:r>
    </w:p>
    <w:p w14:paraId="653ACDF0">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1、超高清双光谱内窥镜，可同时传输白光和荧光影像可同时接收可见光和近红外光</w:t>
      </w:r>
    </w:p>
    <w:p w14:paraId="10EBFD38">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2、视向角30°，工作直径10mm，工作长度</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lang w:val="en-US" w:eastAsia="zh-CN"/>
        </w:rPr>
        <w:t>334mm</w:t>
      </w:r>
    </w:p>
    <w:p w14:paraId="77E89292">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3、有效景深范围3-150m</w:t>
      </w:r>
    </w:p>
    <w:p w14:paraId="64B3E986">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4、消毒灭菌高温高压、低温等离子、浸泡</w:t>
      </w:r>
    </w:p>
    <w:p w14:paraId="5B8FA694">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5、与摄像主机同品牌</w:t>
      </w:r>
    </w:p>
    <w:p w14:paraId="6296E23E">
      <w:pPr>
        <w:numPr>
          <w:ilvl w:val="0"/>
          <w:numId w:val="0"/>
        </w:numPr>
        <w:spacing w:line="360" w:lineRule="auto"/>
        <w:ind w:leftChars="0"/>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五、气腹机</w:t>
      </w:r>
    </w:p>
    <w:p w14:paraId="50F35AC9">
      <w:pPr>
        <w:numPr>
          <w:ilvl w:val="0"/>
          <w:numId w:val="0"/>
        </w:numPr>
        <w:spacing w:line="36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1、气腹机</w:t>
      </w:r>
      <w:r>
        <w:rPr>
          <w:rFonts w:hint="eastAsia" w:ascii="宋体" w:hAnsi="宋体" w:eastAsia="宋体" w:cs="宋体"/>
          <w:color w:val="auto"/>
          <w:kern w:val="2"/>
          <w:sz w:val="24"/>
          <w:szCs w:val="24"/>
          <w:highlight w:val="none"/>
          <w:lang w:eastAsia="zh-CN"/>
        </w:rPr>
        <w:t>最大流量≥</w:t>
      </w:r>
      <w:r>
        <w:rPr>
          <w:rFonts w:hint="eastAsia" w:ascii="宋体" w:hAnsi="宋体" w:eastAsia="宋体" w:cs="宋体"/>
          <w:color w:val="auto"/>
          <w:kern w:val="2"/>
          <w:sz w:val="24"/>
          <w:szCs w:val="24"/>
          <w:highlight w:val="none"/>
          <w:lang w:val="en-US" w:eastAsia="zh-CN"/>
        </w:rPr>
        <w:t>40</w:t>
      </w:r>
      <w:r>
        <w:rPr>
          <w:rFonts w:hint="eastAsia" w:ascii="宋体" w:hAnsi="宋体" w:eastAsia="宋体" w:cs="宋体"/>
          <w:color w:val="auto"/>
          <w:kern w:val="2"/>
          <w:sz w:val="24"/>
          <w:szCs w:val="24"/>
          <w:highlight w:val="none"/>
          <w:lang w:eastAsia="zh-CN"/>
        </w:rPr>
        <w:t>L</w:t>
      </w:r>
      <w:r>
        <w:rPr>
          <w:rFonts w:hint="eastAsia" w:ascii="宋体" w:hAnsi="宋体" w:eastAsia="宋体" w:cs="宋体"/>
          <w:color w:val="auto"/>
          <w:kern w:val="2"/>
          <w:sz w:val="24"/>
          <w:szCs w:val="24"/>
          <w:highlight w:val="none"/>
          <w:lang w:val="en-US" w:eastAsia="zh-CN"/>
        </w:rPr>
        <w:t>/min</w:t>
      </w:r>
    </w:p>
    <w:p w14:paraId="125A83DD">
      <w:pPr>
        <w:numPr>
          <w:ilvl w:val="0"/>
          <w:numId w:val="0"/>
        </w:numPr>
        <w:tabs>
          <w:tab w:val="left" w:pos="1083"/>
        </w:tabs>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2、具有自动排烟、自动除雾功能</w:t>
      </w:r>
    </w:p>
    <w:p w14:paraId="70833674">
      <w:pPr>
        <w:numPr>
          <w:ilvl w:val="0"/>
          <w:numId w:val="0"/>
        </w:numPr>
        <w:tabs>
          <w:tab w:val="left" w:pos="1083"/>
        </w:tabs>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3、可联动同品牌自动排烟模块，可实现启动能量平台同时（超声刀 电刀等）自动开启排烟功能。兼容多品牌 电外科和气腹机设备，可实现旧设备功能升级。</w:t>
      </w:r>
    </w:p>
    <w:p w14:paraId="2805A1C9">
      <w:pPr>
        <w:numPr>
          <w:ilvl w:val="0"/>
          <w:numId w:val="0"/>
        </w:numPr>
        <w:tabs>
          <w:tab w:val="left" w:pos="1083"/>
        </w:tabs>
        <w:spacing w:line="360" w:lineRule="auto"/>
        <w:ind w:leftChars="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4、与</w:t>
      </w:r>
      <w:r>
        <w:rPr>
          <w:rFonts w:hint="eastAsia" w:ascii="宋体" w:hAnsi="宋体" w:eastAsia="宋体" w:cs="宋体"/>
          <w:color w:val="auto"/>
          <w:kern w:val="2"/>
          <w:sz w:val="24"/>
          <w:szCs w:val="24"/>
          <w:highlight w:val="none"/>
          <w:lang w:eastAsia="zh-CN"/>
        </w:rPr>
        <w:t>摄像系统同品牌</w:t>
      </w:r>
    </w:p>
    <w:p w14:paraId="0D4FA5B1">
      <w:pPr>
        <w:numPr>
          <w:ilvl w:val="0"/>
          <w:numId w:val="0"/>
        </w:numPr>
        <w:ind w:left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六、医用监视器</w:t>
      </w:r>
    </w:p>
    <w:p w14:paraId="6C01DFDD">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1、屏幕屏幕尺寸≥32英寸</w:t>
      </w:r>
    </w:p>
    <w:p w14:paraId="0916ED72">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2、分辨率1920×1080P / 3840×2160P/4096*2160P</w:t>
      </w:r>
    </w:p>
    <w:p w14:paraId="7D2D37BD">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3、与摄像主机同品牌</w:t>
      </w:r>
    </w:p>
    <w:p w14:paraId="43F14277">
      <w:pPr>
        <w:numPr>
          <w:ilvl w:val="0"/>
          <w:numId w:val="0"/>
        </w:numPr>
        <w:ind w:left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七、专用台车</w:t>
      </w:r>
    </w:p>
    <w:p w14:paraId="5F68575E">
      <w:pPr>
        <w:numPr>
          <w:ilvl w:val="0"/>
          <w:numId w:val="0"/>
        </w:numPr>
        <w:ind w:leftChars="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val="en-US" w:eastAsia="zh-CN"/>
        </w:rPr>
        <w:t>1、内窥镜摄像系统专用医疗台车，带显示器支臂旋转、高低、俯仰全自由度调节，静音脚轮</w:t>
      </w:r>
    </w:p>
    <w:p w14:paraId="555A0134">
      <w:pPr>
        <w:numPr>
          <w:ilvl w:val="0"/>
          <w:numId w:val="0"/>
        </w:numPr>
        <w:tabs>
          <w:tab w:val="left" w:pos="1083"/>
        </w:tabs>
        <w:spacing w:line="360" w:lineRule="auto"/>
        <w:ind w:leftChars="0"/>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八、医用加压器</w:t>
      </w:r>
    </w:p>
    <w:p w14:paraId="58CD199B">
      <w:pPr>
        <w:numPr>
          <w:ilvl w:val="0"/>
          <w:numId w:val="0"/>
        </w:numPr>
        <w:tabs>
          <w:tab w:val="left" w:pos="1083"/>
        </w:tabs>
        <w:spacing w:line="36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1、压力调节范围10Kpa~50Kpa，负压调节范围-50Kpa~-10Kpa</w:t>
      </w:r>
    </w:p>
    <w:p w14:paraId="6CF35A18">
      <w:pPr>
        <w:numPr>
          <w:ilvl w:val="0"/>
          <w:numId w:val="0"/>
        </w:numPr>
        <w:tabs>
          <w:tab w:val="left" w:pos="1083"/>
        </w:tabs>
        <w:spacing w:line="36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2、大流量工作，最大冲洗量≥1000ml/min</w:t>
      </w:r>
    </w:p>
    <w:p w14:paraId="3B7B7DED">
      <w:pPr>
        <w:numPr>
          <w:ilvl w:val="0"/>
          <w:numId w:val="0"/>
        </w:numPr>
        <w:tabs>
          <w:tab w:val="left" w:pos="1083"/>
        </w:tabs>
        <w:spacing w:line="36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3、最大吸气量≥1500ml/min</w:t>
      </w:r>
    </w:p>
    <w:p w14:paraId="4B450484">
      <w:pPr>
        <w:numPr>
          <w:ilvl w:val="0"/>
          <w:numId w:val="0"/>
        </w:numPr>
        <w:tabs>
          <w:tab w:val="left" w:pos="1083"/>
        </w:tabs>
        <w:spacing w:line="36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4、负压就有防開流装置，冲洗和吸引压力稳定，流量稳定，保证机器的安全运行</w:t>
      </w:r>
    </w:p>
    <w:p w14:paraId="1EA95252">
      <w:pPr>
        <w:numPr>
          <w:ilvl w:val="0"/>
          <w:numId w:val="0"/>
        </w:numPr>
        <w:spacing w:line="360" w:lineRule="auto"/>
        <w:ind w:leftChars="0"/>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九、超声刀</w:t>
      </w:r>
    </w:p>
    <w:p w14:paraId="58361B9A">
      <w:pPr>
        <w:numPr>
          <w:ilvl w:val="0"/>
          <w:numId w:val="0"/>
        </w:numPr>
        <w:spacing w:line="36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1、主机具有彩色液晶显示器，有功率大小的档位显示；</w:t>
      </w:r>
    </w:p>
    <w:p w14:paraId="7E4CDEA8">
      <w:pPr>
        <w:numPr>
          <w:ilvl w:val="0"/>
          <w:numId w:val="0"/>
        </w:numPr>
        <w:spacing w:line="36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2、具有主机、手柄和刀头的自动化故障检测功能，具有音声反馈功能</w:t>
      </w:r>
    </w:p>
    <w:p w14:paraId="7E6AB119">
      <w:pPr>
        <w:numPr>
          <w:ilvl w:val="0"/>
          <w:numId w:val="0"/>
        </w:numPr>
        <w:spacing w:line="36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3、可连接“手控”“脚控”，根据术者习惯进行随时切换。功能控制具有独立的按键控制。</w:t>
      </w:r>
    </w:p>
    <w:p w14:paraId="398DB89B">
      <w:pPr>
        <w:numPr>
          <w:ilvl w:val="0"/>
          <w:numId w:val="0"/>
        </w:numPr>
        <w:spacing w:line="36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4、主机有过载保护技术，智能的组织感应技术，能根据所夹持组织的状态变化相应的调整能量输出</w:t>
      </w:r>
    </w:p>
    <w:p w14:paraId="3909EE41">
      <w:pPr>
        <w:numPr>
          <w:ilvl w:val="0"/>
          <w:numId w:val="0"/>
        </w:numPr>
        <w:spacing w:line="360" w:lineRule="auto"/>
        <w:ind w:leftChars="0"/>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十、高频电刀</w:t>
      </w:r>
    </w:p>
    <w:p w14:paraId="04C3851F">
      <w:pPr>
        <w:numPr>
          <w:ilvl w:val="0"/>
          <w:numId w:val="0"/>
        </w:numPr>
        <w:spacing w:line="36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1、备为单双极一体机，三个工作模式下分9种细分模式，双极凝血模式；单极切割模式单极凝血模式，工作频率不同。</w:t>
      </w:r>
    </w:p>
    <w:p w14:paraId="42463467">
      <w:pPr>
        <w:numPr>
          <w:ilvl w:val="0"/>
          <w:numId w:val="0"/>
        </w:numPr>
        <w:spacing w:line="36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2、输出功率：单极切割：≤300W，单极凝血：≤120W，双极凝血：≤70W，</w:t>
      </w:r>
    </w:p>
    <w:p w14:paraId="09CEFA35">
      <w:pPr>
        <w:numPr>
          <w:ilvl w:val="0"/>
          <w:numId w:val="0"/>
        </w:numPr>
        <w:spacing w:line="36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3、恒功率自动识别阻抗，手术电极激发安全保护机制，单次最长启动时间超过50秒，即停止能量输出，具有单极凝血同时双端口输出功能，输出功率按组织阻抗比例分布。</w:t>
      </w:r>
    </w:p>
    <w:p w14:paraId="615AC524">
      <w:pPr>
        <w:numPr>
          <w:ilvl w:val="0"/>
          <w:numId w:val="0"/>
        </w:numPr>
        <w:spacing w:line="36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4、有配合胃镜、肠镜、腹腔镜等内镜使用器械的通用接口，可连接手术室现有耗材</w:t>
      </w:r>
    </w:p>
    <w:p w14:paraId="6A98D9B6">
      <w:pPr>
        <w:numPr>
          <w:ilvl w:val="0"/>
          <w:numId w:val="0"/>
        </w:numPr>
        <w:spacing w:line="360" w:lineRule="auto"/>
        <w:ind w:lef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rPr>
        <w:t>5、可配合同品牌陶瓷刀头术中直接切割皮肤，不产生碳化焦痂，有效减少对周边组织的热损伤</w:t>
      </w:r>
    </w:p>
    <w:p w14:paraId="0BF0B4E8">
      <w:pPr>
        <w:numPr>
          <w:ilvl w:val="0"/>
          <w:numId w:val="0"/>
        </w:numPr>
        <w:spacing w:line="360" w:lineRule="auto"/>
        <w:ind w:leftChars="0"/>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十一、手术器械</w:t>
      </w:r>
    </w:p>
    <w:p w14:paraId="7BFF17A9">
      <w:pPr>
        <w:numPr>
          <w:ilvl w:val="0"/>
          <w:numId w:val="0"/>
        </w:numPr>
        <w:spacing w:line="360" w:lineRule="auto"/>
        <w:ind w:leftChars="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rPr>
        <w:t>穿刺器（磁性片阀）带保护 Φ5.5*105，穿刺器（磁性片阀）带保护Φ10.5*105 ，转换器Φ10转φ5 ，弯剪，直剪，弯分离钳，持针钳，冲洗器，组织抓取钳，无损伤抓钳，电钩，电棒，高频电缆线，气腹针，结扎缝合引线器，胆总管切开刀，取石钳</w:t>
      </w:r>
    </w:p>
    <w:p w14:paraId="2EE5C599">
      <w:pPr>
        <w:numPr>
          <w:ilvl w:val="0"/>
          <w:numId w:val="0"/>
        </w:numPr>
        <w:spacing w:line="360" w:lineRule="auto"/>
        <w:ind w:leftChars="0"/>
        <w:rPr>
          <w:rFonts w:hint="eastAsia" w:ascii="宋体" w:hAnsi="宋体" w:eastAsia="宋体" w:cs="宋体"/>
          <w:color w:val="auto"/>
          <w:kern w:val="2"/>
          <w:sz w:val="24"/>
          <w:szCs w:val="24"/>
          <w:highlight w:val="none"/>
          <w:lang w:val="en-US" w:eastAsia="zh-CN"/>
        </w:rPr>
      </w:pPr>
    </w:p>
    <w:p w14:paraId="661BD2D9">
      <w:pPr>
        <w:numPr>
          <w:ilvl w:val="0"/>
          <w:numId w:val="0"/>
        </w:numPr>
        <w:spacing w:line="360" w:lineRule="auto"/>
        <w:ind w:left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产品配置清单</w:t>
      </w:r>
    </w:p>
    <w:tbl>
      <w:tblPr>
        <w:tblStyle w:val="21"/>
        <w:tblW w:w="6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3"/>
        <w:gridCol w:w="3128"/>
        <w:gridCol w:w="2259"/>
      </w:tblGrid>
      <w:tr w14:paraId="5F3EC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B27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446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69D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14:paraId="35BD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35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F8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4K荧光主机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A6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6BF86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67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C5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4K荧光摄像头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CE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29FC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8F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2F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医用内窥镜冷光源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BE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121F2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F1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D3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高通量导光束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B1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r>
      <w:tr w14:paraId="51B5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4D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23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胸腹腔内窥镜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EB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r>
      <w:tr w14:paraId="5E48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A3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D1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98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r>
      <w:tr w14:paraId="2B0E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D8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69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气腹机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EF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2D6CB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B7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EA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医用台车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91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1A65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7A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97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消毒盒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72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r>
      <w:tr w14:paraId="3A7D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32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FF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超声刀</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67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26074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0C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39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医用加压器（冲洗泵）</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95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626DD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8A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E5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高频电刀</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5E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3D6B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743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BB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穿刺器（磁性片阀）带保护 Φ5.5*105</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B9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r>
      <w:tr w14:paraId="0EBEF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42951">
            <w:pPr>
              <w:jc w:val="center"/>
              <w:rPr>
                <w:rFonts w:hint="eastAsia" w:ascii="宋体" w:hAnsi="宋体" w:eastAsia="宋体" w:cs="宋体"/>
                <w:i w:val="0"/>
                <w:iCs w:val="0"/>
                <w:color w:val="auto"/>
                <w:sz w:val="21"/>
                <w:szCs w:val="21"/>
                <w:highlight w:val="none"/>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A5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穿刺器（磁性片阀）带保护Φ10.5*105</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07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r>
      <w:tr w14:paraId="0565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7DBC5">
            <w:pPr>
              <w:jc w:val="center"/>
              <w:rPr>
                <w:rFonts w:hint="eastAsia" w:ascii="宋体" w:hAnsi="宋体" w:eastAsia="宋体" w:cs="宋体"/>
                <w:i w:val="0"/>
                <w:iCs w:val="0"/>
                <w:color w:val="auto"/>
                <w:sz w:val="21"/>
                <w:szCs w:val="21"/>
                <w:highlight w:val="none"/>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FA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转换器Φ10转φ5</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E7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r>
      <w:tr w14:paraId="40F2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024FF">
            <w:pPr>
              <w:jc w:val="center"/>
              <w:rPr>
                <w:rFonts w:hint="eastAsia" w:ascii="宋体" w:hAnsi="宋体" w:eastAsia="宋体" w:cs="宋体"/>
                <w:i w:val="0"/>
                <w:iCs w:val="0"/>
                <w:color w:val="auto"/>
                <w:sz w:val="21"/>
                <w:szCs w:val="21"/>
                <w:highlight w:val="none"/>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93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弯剪（双动）</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C5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4B38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A7635">
            <w:pPr>
              <w:jc w:val="center"/>
              <w:rPr>
                <w:rFonts w:hint="eastAsia" w:ascii="宋体" w:hAnsi="宋体" w:eastAsia="宋体" w:cs="宋体"/>
                <w:i w:val="0"/>
                <w:iCs w:val="0"/>
                <w:color w:val="auto"/>
                <w:sz w:val="21"/>
                <w:szCs w:val="21"/>
                <w:highlight w:val="none"/>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A2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直剪（双动）</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F1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6F3C1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26E6B">
            <w:pPr>
              <w:jc w:val="center"/>
              <w:rPr>
                <w:rFonts w:hint="eastAsia" w:ascii="宋体" w:hAnsi="宋体" w:eastAsia="宋体" w:cs="宋体"/>
                <w:i w:val="0"/>
                <w:iCs w:val="0"/>
                <w:color w:val="auto"/>
                <w:sz w:val="21"/>
                <w:szCs w:val="21"/>
                <w:highlight w:val="none"/>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1C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弯分离钳</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0A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r>
      <w:tr w14:paraId="0BE7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06787">
            <w:pPr>
              <w:jc w:val="center"/>
              <w:rPr>
                <w:rFonts w:hint="eastAsia" w:ascii="宋体" w:hAnsi="宋体" w:eastAsia="宋体" w:cs="宋体"/>
                <w:i w:val="0"/>
                <w:iCs w:val="0"/>
                <w:color w:val="auto"/>
                <w:sz w:val="21"/>
                <w:szCs w:val="21"/>
                <w:highlight w:val="none"/>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87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持针钳</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B8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1A5FF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9E301">
            <w:pPr>
              <w:jc w:val="center"/>
              <w:rPr>
                <w:rFonts w:hint="eastAsia" w:ascii="宋体" w:hAnsi="宋体" w:eastAsia="宋体" w:cs="宋体"/>
                <w:i w:val="0"/>
                <w:iCs w:val="0"/>
                <w:color w:val="auto"/>
                <w:sz w:val="21"/>
                <w:szCs w:val="21"/>
                <w:highlight w:val="none"/>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6F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冲洗器（双阀）</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DF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53C06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8F593">
            <w:pPr>
              <w:jc w:val="center"/>
              <w:rPr>
                <w:rFonts w:hint="eastAsia" w:ascii="宋体" w:hAnsi="宋体" w:eastAsia="宋体" w:cs="宋体"/>
                <w:i w:val="0"/>
                <w:iCs w:val="0"/>
                <w:color w:val="auto"/>
                <w:sz w:val="21"/>
                <w:szCs w:val="21"/>
                <w:highlight w:val="none"/>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54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组织抓取钳</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18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r>
      <w:tr w14:paraId="77E6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7CAD6">
            <w:pPr>
              <w:jc w:val="center"/>
              <w:rPr>
                <w:rFonts w:hint="eastAsia" w:ascii="宋体" w:hAnsi="宋体" w:eastAsia="宋体" w:cs="宋体"/>
                <w:i w:val="0"/>
                <w:iCs w:val="0"/>
                <w:color w:val="auto"/>
                <w:sz w:val="21"/>
                <w:szCs w:val="21"/>
                <w:highlight w:val="none"/>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F3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无损伤抓钳</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9C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r>
      <w:tr w14:paraId="328E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BB031">
            <w:pPr>
              <w:jc w:val="center"/>
              <w:rPr>
                <w:rFonts w:hint="eastAsia" w:ascii="宋体" w:hAnsi="宋体" w:eastAsia="宋体" w:cs="宋体"/>
                <w:i w:val="0"/>
                <w:iCs w:val="0"/>
                <w:color w:val="auto"/>
                <w:sz w:val="21"/>
                <w:szCs w:val="21"/>
                <w:highlight w:val="none"/>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55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电钩</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E2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40DAD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547FE">
            <w:pPr>
              <w:jc w:val="center"/>
              <w:rPr>
                <w:rFonts w:hint="eastAsia" w:ascii="宋体" w:hAnsi="宋体" w:eastAsia="宋体" w:cs="宋体"/>
                <w:i w:val="0"/>
                <w:iCs w:val="0"/>
                <w:color w:val="auto"/>
                <w:sz w:val="21"/>
                <w:szCs w:val="21"/>
                <w:highlight w:val="none"/>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0C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电棒</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D2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52BA1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657E6">
            <w:pPr>
              <w:jc w:val="center"/>
              <w:rPr>
                <w:rFonts w:hint="eastAsia" w:ascii="宋体" w:hAnsi="宋体" w:eastAsia="宋体" w:cs="宋体"/>
                <w:i w:val="0"/>
                <w:iCs w:val="0"/>
                <w:color w:val="auto"/>
                <w:sz w:val="21"/>
                <w:szCs w:val="21"/>
                <w:highlight w:val="none"/>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B5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高频电缆线</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18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75BCB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7CEE">
            <w:pPr>
              <w:jc w:val="center"/>
              <w:rPr>
                <w:rFonts w:hint="eastAsia" w:ascii="宋体" w:hAnsi="宋体" w:eastAsia="宋体" w:cs="宋体"/>
                <w:i w:val="0"/>
                <w:iCs w:val="0"/>
                <w:color w:val="auto"/>
                <w:sz w:val="21"/>
                <w:szCs w:val="21"/>
                <w:highlight w:val="none"/>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3D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气腹针</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C9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0971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E43A9">
            <w:pPr>
              <w:jc w:val="center"/>
              <w:rPr>
                <w:rFonts w:hint="eastAsia" w:ascii="宋体" w:hAnsi="宋体" w:eastAsia="宋体" w:cs="宋体"/>
                <w:i w:val="0"/>
                <w:iCs w:val="0"/>
                <w:color w:val="auto"/>
                <w:sz w:val="21"/>
                <w:szCs w:val="21"/>
                <w:highlight w:val="none"/>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3C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结扎缝合引线器</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CA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1F6E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2EF5B">
            <w:pPr>
              <w:jc w:val="center"/>
              <w:rPr>
                <w:rFonts w:hint="eastAsia" w:ascii="宋体" w:hAnsi="宋体" w:eastAsia="宋体" w:cs="宋体"/>
                <w:i w:val="0"/>
                <w:iCs w:val="0"/>
                <w:color w:val="auto"/>
                <w:sz w:val="21"/>
                <w:szCs w:val="21"/>
                <w:highlight w:val="none"/>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B3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胆总管切开刀</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4D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21560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15345">
            <w:pPr>
              <w:jc w:val="center"/>
              <w:rPr>
                <w:rFonts w:hint="eastAsia" w:ascii="宋体" w:hAnsi="宋体" w:eastAsia="宋体" w:cs="宋体"/>
                <w:i w:val="0"/>
                <w:iCs w:val="0"/>
                <w:color w:val="auto"/>
                <w:sz w:val="21"/>
                <w:szCs w:val="21"/>
                <w:highlight w:val="none"/>
                <w:u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94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取石钳</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0E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1EB65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6EA7">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14</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77A6">
            <w:pPr>
              <w:numPr>
                <w:ilvl w:val="0"/>
                <w:numId w:val="0"/>
              </w:numPr>
              <w:spacing w:line="360" w:lineRule="auto"/>
              <w:ind w:left="0" w:lef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rPr>
              <w:t>持针钳（带自固定针功能）</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9B23">
            <w:pPr>
              <w:numPr>
                <w:ilvl w:val="0"/>
                <w:numId w:val="0"/>
              </w:numPr>
              <w:spacing w:line="360" w:lineRule="auto"/>
              <w:ind w:left="0" w:leftChars="0"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kern w:val="2"/>
                <w:sz w:val="21"/>
                <w:szCs w:val="21"/>
                <w:highlight w:val="none"/>
                <w:lang w:val="en-US" w:eastAsia="zh-CN"/>
              </w:rPr>
              <w:t>1</w:t>
            </w:r>
          </w:p>
        </w:tc>
      </w:tr>
      <w:tr w14:paraId="74DEB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3C1D">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15</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C8DD">
            <w:pPr>
              <w:numPr>
                <w:ilvl w:val="0"/>
                <w:numId w:val="0"/>
              </w:numPr>
              <w:spacing w:line="360" w:lineRule="auto"/>
              <w:ind w:left="0" w:lef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rPr>
              <w:t>胆囊穿刺针</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5096">
            <w:pPr>
              <w:numPr>
                <w:ilvl w:val="0"/>
                <w:numId w:val="0"/>
              </w:numPr>
              <w:spacing w:line="360" w:lineRule="auto"/>
              <w:ind w:left="0" w:leftChars="0"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kern w:val="2"/>
                <w:sz w:val="21"/>
                <w:szCs w:val="21"/>
                <w:highlight w:val="none"/>
                <w:lang w:val="en-US" w:eastAsia="zh-CN"/>
              </w:rPr>
              <w:t>1</w:t>
            </w:r>
          </w:p>
        </w:tc>
      </w:tr>
      <w:tr w14:paraId="0D44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333B">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16</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6C81">
            <w:pPr>
              <w:numPr>
                <w:ilvl w:val="0"/>
                <w:numId w:val="0"/>
              </w:numPr>
              <w:spacing w:line="360" w:lineRule="auto"/>
              <w:ind w:left="0" w:lef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rPr>
              <w:t>单极连线</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4A0E">
            <w:pPr>
              <w:numPr>
                <w:ilvl w:val="0"/>
                <w:numId w:val="0"/>
              </w:numPr>
              <w:spacing w:line="360" w:lineRule="auto"/>
              <w:ind w:left="0" w:leftChars="0"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kern w:val="2"/>
                <w:sz w:val="21"/>
                <w:szCs w:val="21"/>
                <w:highlight w:val="none"/>
                <w:lang w:val="en-US" w:eastAsia="zh-CN"/>
              </w:rPr>
              <w:t>2</w:t>
            </w:r>
          </w:p>
        </w:tc>
      </w:tr>
      <w:tr w14:paraId="239B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037C">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17</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C053">
            <w:pPr>
              <w:numPr>
                <w:ilvl w:val="0"/>
                <w:numId w:val="0"/>
              </w:numPr>
              <w:spacing w:line="360" w:lineRule="auto"/>
              <w:ind w:left="0" w:lef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rPr>
              <w:t>双极连线</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CBEC">
            <w:pPr>
              <w:numPr>
                <w:ilvl w:val="0"/>
                <w:numId w:val="0"/>
              </w:numPr>
              <w:spacing w:line="360" w:lineRule="auto"/>
              <w:ind w:left="0" w:leftChars="0"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kern w:val="2"/>
                <w:sz w:val="21"/>
                <w:szCs w:val="21"/>
                <w:highlight w:val="none"/>
                <w:lang w:val="en-US" w:eastAsia="zh-CN"/>
              </w:rPr>
              <w:t>2</w:t>
            </w:r>
          </w:p>
        </w:tc>
      </w:tr>
      <w:tr w14:paraId="62138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211A">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18</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5500">
            <w:pPr>
              <w:numPr>
                <w:ilvl w:val="0"/>
                <w:numId w:val="0"/>
              </w:numPr>
              <w:spacing w:line="360" w:lineRule="auto"/>
              <w:ind w:left="0" w:lef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rPr>
              <w:t>肺叶钳子</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12E1">
            <w:pPr>
              <w:numPr>
                <w:ilvl w:val="0"/>
                <w:numId w:val="0"/>
              </w:numPr>
              <w:spacing w:line="360" w:lineRule="auto"/>
              <w:ind w:left="0" w:leftChars="0"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kern w:val="2"/>
                <w:sz w:val="21"/>
                <w:szCs w:val="21"/>
                <w:highlight w:val="none"/>
                <w:lang w:val="en-US" w:eastAsia="zh-CN"/>
              </w:rPr>
              <w:t>2</w:t>
            </w:r>
          </w:p>
        </w:tc>
      </w:tr>
      <w:tr w14:paraId="2C28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0065">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19</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8B47">
            <w:pPr>
              <w:numPr>
                <w:ilvl w:val="0"/>
                <w:numId w:val="0"/>
              </w:numPr>
              <w:spacing w:line="360" w:lineRule="auto"/>
              <w:ind w:left="0" w:lef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rPr>
              <w:t>卵圆钳子</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CDB0">
            <w:pPr>
              <w:numPr>
                <w:ilvl w:val="0"/>
                <w:numId w:val="0"/>
              </w:numPr>
              <w:spacing w:line="360" w:lineRule="auto"/>
              <w:ind w:left="0" w:leftChars="0"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kern w:val="2"/>
                <w:sz w:val="21"/>
                <w:szCs w:val="21"/>
                <w:highlight w:val="none"/>
                <w:lang w:val="en-US" w:eastAsia="zh-CN"/>
              </w:rPr>
              <w:t>2</w:t>
            </w:r>
          </w:p>
        </w:tc>
      </w:tr>
      <w:tr w14:paraId="4385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A14F">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20</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6A99">
            <w:pPr>
              <w:numPr>
                <w:ilvl w:val="0"/>
                <w:numId w:val="0"/>
              </w:numPr>
              <w:spacing w:line="360" w:lineRule="auto"/>
              <w:ind w:left="0" w:lef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rPr>
              <w:t>肠钳子</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3A5D">
            <w:pPr>
              <w:numPr>
                <w:ilvl w:val="0"/>
                <w:numId w:val="0"/>
              </w:numPr>
              <w:spacing w:line="360" w:lineRule="auto"/>
              <w:ind w:left="0" w:leftChars="0"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kern w:val="2"/>
                <w:sz w:val="21"/>
                <w:szCs w:val="21"/>
                <w:highlight w:val="none"/>
                <w:lang w:val="en-US" w:eastAsia="zh-CN"/>
              </w:rPr>
              <w:t>2</w:t>
            </w:r>
          </w:p>
        </w:tc>
      </w:tr>
      <w:tr w14:paraId="5D75C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F1AF">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21</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27DA">
            <w:pPr>
              <w:numPr>
                <w:ilvl w:val="0"/>
                <w:numId w:val="0"/>
              </w:numPr>
              <w:spacing w:line="360" w:lineRule="auto"/>
              <w:ind w:left="0" w:lef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rPr>
              <w:t>电铲子</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2E29">
            <w:pPr>
              <w:numPr>
                <w:ilvl w:val="0"/>
                <w:numId w:val="0"/>
              </w:numPr>
              <w:spacing w:line="360" w:lineRule="auto"/>
              <w:ind w:left="0" w:leftChars="0"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kern w:val="2"/>
                <w:sz w:val="21"/>
                <w:szCs w:val="21"/>
                <w:highlight w:val="none"/>
                <w:lang w:val="en-US" w:eastAsia="zh-CN"/>
              </w:rPr>
              <w:t>1</w:t>
            </w:r>
          </w:p>
        </w:tc>
      </w:tr>
      <w:tr w14:paraId="46489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B092">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22</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8458">
            <w:pPr>
              <w:numPr>
                <w:ilvl w:val="0"/>
                <w:numId w:val="0"/>
              </w:numPr>
              <w:spacing w:line="360" w:lineRule="auto"/>
              <w:ind w:left="0" w:lef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rPr>
              <w:t>持夹器</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E6BC">
            <w:pPr>
              <w:numPr>
                <w:ilvl w:val="0"/>
                <w:numId w:val="0"/>
              </w:numPr>
              <w:spacing w:line="360" w:lineRule="auto"/>
              <w:ind w:left="0" w:leftChars="0"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kern w:val="2"/>
                <w:sz w:val="21"/>
                <w:szCs w:val="21"/>
                <w:highlight w:val="none"/>
                <w:lang w:val="en-US" w:eastAsia="zh-CN"/>
              </w:rPr>
              <w:t>大小各1把</w:t>
            </w:r>
          </w:p>
        </w:tc>
      </w:tr>
      <w:tr w14:paraId="45BF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FFC2">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23</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3299">
            <w:pPr>
              <w:numPr>
                <w:ilvl w:val="0"/>
                <w:numId w:val="0"/>
              </w:numPr>
              <w:spacing w:line="360" w:lineRule="auto"/>
              <w:ind w:left="0" w:lef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rPr>
              <w:t>三叶钳</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6583">
            <w:pPr>
              <w:numPr>
                <w:ilvl w:val="0"/>
                <w:numId w:val="0"/>
              </w:numPr>
              <w:spacing w:line="360" w:lineRule="auto"/>
              <w:ind w:left="0" w:leftChars="0"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kern w:val="2"/>
                <w:sz w:val="21"/>
                <w:szCs w:val="21"/>
                <w:highlight w:val="none"/>
                <w:lang w:val="en-US" w:eastAsia="zh-CN"/>
              </w:rPr>
              <w:t>1</w:t>
            </w:r>
          </w:p>
        </w:tc>
      </w:tr>
      <w:tr w14:paraId="6D99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BA2E">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24</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BD32">
            <w:pPr>
              <w:numPr>
                <w:ilvl w:val="0"/>
                <w:numId w:val="0"/>
              </w:numPr>
              <w:spacing w:line="360" w:lineRule="auto"/>
              <w:ind w:left="0" w:lef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rPr>
              <w:t>直角分离钳子</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98DD">
            <w:pPr>
              <w:numPr>
                <w:ilvl w:val="0"/>
                <w:numId w:val="0"/>
              </w:numPr>
              <w:spacing w:line="360" w:lineRule="auto"/>
              <w:ind w:left="0" w:leftChars="0"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kern w:val="2"/>
                <w:sz w:val="21"/>
                <w:szCs w:val="21"/>
                <w:highlight w:val="none"/>
                <w:lang w:val="en-US" w:eastAsia="zh-CN"/>
              </w:rPr>
              <w:t>1</w:t>
            </w:r>
          </w:p>
        </w:tc>
      </w:tr>
      <w:tr w14:paraId="41CAE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EFED">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25</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BE88">
            <w:pPr>
              <w:numPr>
                <w:ilvl w:val="0"/>
                <w:numId w:val="0"/>
              </w:numPr>
              <w:spacing w:line="360" w:lineRule="auto"/>
              <w:ind w:left="0" w:lef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rPr>
              <w:t>胆囊抓钳</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6392">
            <w:pPr>
              <w:numPr>
                <w:ilvl w:val="0"/>
                <w:numId w:val="0"/>
              </w:numPr>
              <w:spacing w:line="360" w:lineRule="auto"/>
              <w:ind w:left="0" w:leftChars="0"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kern w:val="2"/>
                <w:sz w:val="21"/>
                <w:szCs w:val="21"/>
                <w:highlight w:val="none"/>
                <w:lang w:val="en-US" w:eastAsia="zh-CN"/>
              </w:rPr>
              <w:t>1</w:t>
            </w:r>
          </w:p>
        </w:tc>
      </w:tr>
    </w:tbl>
    <w:p w14:paraId="2C8BCA49">
      <w:pPr>
        <w:jc w:val="center"/>
        <w:rPr>
          <w:rFonts w:hint="eastAsia" w:ascii="宋体" w:hAnsi="宋体" w:cs="宋体"/>
          <w:b/>
          <w:bCs/>
          <w:color w:val="auto"/>
          <w:sz w:val="28"/>
          <w:szCs w:val="28"/>
          <w:highlight w:val="none"/>
          <w:shd w:val="clear" w:color="auto" w:fill="auto"/>
        </w:rPr>
      </w:pPr>
      <w:r>
        <w:rPr>
          <w:rFonts w:hint="eastAsia" w:ascii="宋体" w:hAnsi="宋体" w:cs="宋体"/>
          <w:b/>
          <w:bCs/>
          <w:color w:val="auto"/>
          <w:sz w:val="28"/>
          <w:szCs w:val="28"/>
          <w:highlight w:val="none"/>
          <w:shd w:val="clear" w:color="auto" w:fill="auto"/>
        </w:rPr>
        <w:t>0</w:t>
      </w:r>
      <w:r>
        <w:rPr>
          <w:rFonts w:hint="eastAsia" w:ascii="宋体" w:hAnsi="宋体" w:eastAsia="宋体" w:cs="宋体"/>
          <w:b/>
          <w:bCs/>
          <w:color w:val="auto"/>
          <w:sz w:val="28"/>
          <w:szCs w:val="28"/>
          <w:highlight w:val="none"/>
          <w:shd w:val="clear" w:color="auto" w:fill="auto"/>
          <w:lang w:val="en-US" w:eastAsia="zh-CN"/>
        </w:rPr>
        <w:t>2</w:t>
      </w:r>
      <w:r>
        <w:rPr>
          <w:rFonts w:hint="eastAsia" w:ascii="宋体" w:hAnsi="宋体" w:cs="宋体"/>
          <w:b/>
          <w:bCs/>
          <w:color w:val="auto"/>
          <w:sz w:val="28"/>
          <w:szCs w:val="28"/>
          <w:highlight w:val="none"/>
          <w:shd w:val="clear" w:color="auto" w:fill="auto"/>
        </w:rPr>
        <w:t xml:space="preserve">标段  </w:t>
      </w:r>
      <w:r>
        <w:rPr>
          <w:rFonts w:hint="eastAsia" w:ascii="宋体" w:hAnsi="宋体" w:eastAsia="宋体" w:cs="宋体"/>
          <w:b/>
          <w:bCs/>
          <w:color w:val="auto"/>
          <w:sz w:val="28"/>
          <w:szCs w:val="28"/>
          <w:highlight w:val="none"/>
          <w:shd w:val="clear" w:color="auto" w:fill="auto"/>
          <w:lang w:val="en-US" w:eastAsia="zh-CN"/>
        </w:rPr>
        <w:t>3D腹腔镜</w:t>
      </w:r>
      <w:r>
        <w:rPr>
          <w:rFonts w:hint="eastAsia" w:ascii="宋体" w:hAnsi="宋体" w:cs="宋体"/>
          <w:b/>
          <w:bCs/>
          <w:color w:val="auto"/>
          <w:sz w:val="28"/>
          <w:szCs w:val="28"/>
          <w:highlight w:val="none"/>
          <w:shd w:val="clear" w:color="auto" w:fill="auto"/>
        </w:rPr>
        <w:t>技术参数</w:t>
      </w:r>
    </w:p>
    <w:p w14:paraId="59BFA0E5">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数量：1台</w:t>
      </w:r>
    </w:p>
    <w:p w14:paraId="0563287F">
      <w:pPr>
        <w:spacing w:line="36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一、主机</w:t>
      </w:r>
      <w:r>
        <w:rPr>
          <w:rFonts w:hint="eastAsia" w:ascii="宋体" w:hAnsi="宋体" w:eastAsia="宋体" w:cs="宋体"/>
          <w:color w:val="auto"/>
          <w:sz w:val="24"/>
          <w:szCs w:val="24"/>
          <w:highlight w:val="none"/>
        </w:rPr>
        <w:tab/>
      </w:r>
    </w:p>
    <w:p w14:paraId="12321E70">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▲1、中心水平分辨率≥2500线</w:t>
      </w:r>
    </w:p>
    <w:p w14:paraId="35CD18B0">
      <w:pPr>
        <w:widowControl/>
        <w:numPr>
          <w:ilvl w:val="0"/>
          <w:numId w:val="0"/>
        </w:numPr>
        <w:spacing w:line="360" w:lineRule="auto"/>
        <w:jc w:val="left"/>
        <w:rPr>
          <w:rFonts w:ascii="宋体" w:hAnsi="宋体" w:eastAsia="宋体" w:cs="宋体"/>
          <w:color w:val="auto"/>
          <w:sz w:val="24"/>
          <w:szCs w:val="24"/>
          <w:highlight w:val="none"/>
        </w:rPr>
      </w:pPr>
      <w:r>
        <w:rPr>
          <w:rFonts w:ascii="宋体" w:hAnsi="宋体" w:eastAsia="宋体" w:cs="宋体"/>
          <w:snapToGrid w:val="0"/>
          <w:color w:val="auto"/>
          <w:kern w:val="0"/>
          <w:sz w:val="24"/>
          <w:szCs w:val="24"/>
          <w:highlight w:val="none"/>
          <w:lang w:val="en-US" w:eastAsia="en-US" w:bidi="ar-SA"/>
        </w:rPr>
        <w:t>2、</w:t>
      </w:r>
      <w:r>
        <w:rPr>
          <w:rFonts w:hint="eastAsia" w:ascii="宋体" w:hAnsi="宋体" w:eastAsia="宋体" w:cs="宋体"/>
          <w:color w:val="auto"/>
          <w:sz w:val="24"/>
          <w:szCs w:val="24"/>
          <w:highlight w:val="none"/>
        </w:rPr>
        <w:t>输出分辨率可分别输出</w:t>
      </w:r>
      <w:r>
        <w:rPr>
          <w:rFonts w:hint="eastAsia" w:ascii="宋体" w:hAnsi="宋体" w:eastAsia="宋体" w:cs="宋体"/>
          <w:color w:val="auto"/>
          <w:kern w:val="0"/>
          <w:sz w:val="24"/>
          <w:szCs w:val="24"/>
          <w:highlight w:val="none"/>
        </w:rPr>
        <w:t>1920×1080P 和 3840×2160P</w:t>
      </w:r>
      <w:r>
        <w:rPr>
          <w:rFonts w:hint="eastAsia" w:ascii="宋体" w:hAnsi="宋体" w:eastAsia="宋体" w:cs="宋体"/>
          <w:color w:val="auto"/>
          <w:sz w:val="24"/>
          <w:szCs w:val="24"/>
          <w:highlight w:val="none"/>
        </w:rPr>
        <w:t>影像，</w:t>
      </w:r>
      <w:r>
        <w:rPr>
          <w:rFonts w:hint="eastAsia" w:ascii="宋体" w:hAnsi="宋体" w:eastAsia="宋体" w:cs="宋体"/>
          <w:color w:val="auto"/>
          <w:sz w:val="24"/>
          <w:szCs w:val="24"/>
          <w:highlight w:val="none"/>
        </w:rPr>
        <w:t>逐行扫描，宽高比为16:9</w:t>
      </w:r>
      <w:r>
        <w:rPr>
          <w:rFonts w:hint="eastAsia" w:ascii="宋体" w:hAnsi="宋体" w:eastAsia="宋体" w:cs="宋体"/>
          <w:color w:val="auto"/>
          <w:sz w:val="24"/>
          <w:szCs w:val="24"/>
          <w:highlight w:val="none"/>
        </w:rPr>
        <w:t>。</w:t>
      </w:r>
    </w:p>
    <w:p w14:paraId="647EC52A">
      <w:pPr>
        <w:widowControl/>
        <w:numPr>
          <w:ilvl w:val="0"/>
          <w:numId w:val="0"/>
        </w:numPr>
        <w:spacing w:line="360" w:lineRule="auto"/>
        <w:jc w:val="left"/>
        <w:rPr>
          <w:rFonts w:ascii="宋体" w:hAnsi="宋体" w:eastAsia="宋体" w:cs="宋体"/>
          <w:color w:val="auto"/>
          <w:sz w:val="24"/>
          <w:szCs w:val="24"/>
          <w:highlight w:val="none"/>
        </w:rPr>
      </w:pPr>
      <w:r>
        <w:rPr>
          <w:rFonts w:ascii="宋体" w:hAnsi="宋体" w:eastAsia="宋体" w:cs="宋体"/>
          <w:snapToGrid w:val="0"/>
          <w:color w:val="auto"/>
          <w:kern w:val="0"/>
          <w:sz w:val="24"/>
          <w:szCs w:val="24"/>
          <w:highlight w:val="none"/>
          <w:lang w:val="en-US" w:eastAsia="en-US" w:bidi="ar-SA"/>
        </w:rPr>
        <w:t>3、</w:t>
      </w:r>
      <w:r>
        <w:rPr>
          <w:rFonts w:hint="eastAsia" w:ascii="宋体" w:hAnsi="宋体" w:eastAsia="宋体" w:cs="宋体"/>
          <w:color w:val="auto"/>
          <w:sz w:val="24"/>
          <w:szCs w:val="24"/>
          <w:highlight w:val="none"/>
        </w:rPr>
        <w:t>具有光谱染色功能。</w:t>
      </w:r>
    </w:p>
    <w:p w14:paraId="2623FF5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4、场景模式≥10种，肝胆外科、妇科、胸外科、胃肠外科,甲乳外科、泌尿外科、普外科、儿科、神经外科及自定义等场景模式。</w:t>
      </w:r>
    </w:p>
    <w:p w14:paraId="3265E311">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▲5、具备4倍电子放大</w:t>
      </w:r>
    </w:p>
    <w:p w14:paraId="34A95A4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6、≥7英寸触控屏设计，可在触控屏上实现科室选择、自动白平衡、图像增强、自动降噪、色调调节、冻结、录像、拍照、放大、旋转、亮度调节、除烟去雾、3D 景深、2D/3D 切换、双镜显示、U 盘弹出等功能。</w:t>
      </w:r>
    </w:p>
    <w:p w14:paraId="2B22E7EF">
      <w:pPr>
        <w:spacing w:line="360" w:lineRule="auto"/>
        <w:rPr>
          <w:rFonts w:ascii="宋体" w:hAnsi="宋体" w:eastAsia="宋体" w:cs="宋体"/>
          <w:color w:val="auto"/>
          <w:sz w:val="24"/>
          <w:szCs w:val="24"/>
          <w:highlight w:val="none"/>
        </w:rPr>
      </w:pPr>
      <w:bookmarkStart w:id="41" w:name="_Hlk152667726"/>
      <w:r>
        <w:rPr>
          <w:rFonts w:hint="eastAsia" w:ascii="宋体" w:hAnsi="宋体" w:eastAsia="宋体" w:cs="宋体"/>
          <w:color w:val="auto"/>
          <w:sz w:val="24"/>
          <w:szCs w:val="24"/>
          <w:highlight w:val="none"/>
        </w:rPr>
        <w:t>7、</w:t>
      </w:r>
      <w:bookmarkEnd w:id="41"/>
      <w:r>
        <w:rPr>
          <w:rFonts w:hint="eastAsia" w:ascii="宋体" w:hAnsi="宋体" w:eastAsia="宋体" w:cs="宋体"/>
          <w:color w:val="auto"/>
          <w:sz w:val="24"/>
          <w:szCs w:val="24"/>
          <w:highlight w:val="none"/>
        </w:rPr>
        <w:t>输出接口≥4，（至少包括1个12G SDI、1个4×3G SDI、1个HDMI、1个DP）；</w:t>
      </w:r>
    </w:p>
    <w:p w14:paraId="2DC3D97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高清视频接口，≥2组接口（包含1个3G SDI、1个DVI）；其中HDMI和DP接口可通过参数设置输出高清视频信号或4K视频信号可支持多路同时输出，多显示器同步显示，支持同步转播；</w:t>
      </w:r>
    </w:p>
    <w:p w14:paraId="40B5C9D0">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8、3D输出格式支持上下3D、左右3D、行交织，可通过配置菜单进行设置</w:t>
      </w:r>
    </w:p>
    <w:p w14:paraId="310821A9">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9、支持3D 景深调节，调节档位≥10档</w:t>
      </w:r>
    </w:p>
    <w:p w14:paraId="7E0D0DEF">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10、可与同品牌的医用内窥镜冷光源等设备联动</w:t>
      </w:r>
    </w:p>
    <w:p w14:paraId="01595A47">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11、可实现 3D 和 2D 图像之间的一键切换。</w:t>
      </w:r>
    </w:p>
    <w:p w14:paraId="7E39613B">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二、摄像头</w:t>
      </w:r>
    </w:p>
    <w:p w14:paraId="39379FA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▲1、具有4CMOS成像芯片，可接收可见光和近红外荧光，支持可见光和荧光成像。</w:t>
      </w:r>
    </w:p>
    <w:p w14:paraId="23DB7AD2">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配备光学变焦镜头，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2.5倍放大</w:t>
      </w:r>
    </w:p>
    <w:p w14:paraId="362EEBEE">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3、具有≥3个摄像头按键，可实现光源待机、一键白平衡、图像模式切换、模式切换、拍照、录像等功能</w:t>
      </w:r>
    </w:p>
    <w:p w14:paraId="6BCC0871">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、摄像头防护等级：IPX7。</w:t>
      </w:r>
    </w:p>
    <w:p w14:paraId="7042434E">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三、光学镜</w:t>
      </w:r>
    </w:p>
    <w:p w14:paraId="11C59FCA">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1、与摄像主机同品牌。</w:t>
      </w:r>
    </w:p>
    <w:p w14:paraId="2C58FDE9">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2、超高清双光谱内窥镜，可同时传输白光和荧光影像可同时接收可见光和近红外光</w:t>
      </w:r>
    </w:p>
    <w:p w14:paraId="751AF1CE">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3、有效景深范围3-150mm。</w:t>
      </w:r>
    </w:p>
    <w:p w14:paraId="0EF0853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4、视向角30°，工作直径10mm，工作长度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334mm</w:t>
      </w:r>
    </w:p>
    <w:p w14:paraId="684920B8">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四、3D电子镜</w:t>
      </w:r>
    </w:p>
    <w:p w14:paraId="5C3ABAE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1、采用 2 CMOS, 支持 3840*2160 像素图像显示。</w:t>
      </w:r>
    </w:p>
    <w:p w14:paraId="45539187">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2、电子镜上具有≥3个按键，可通过设置手柄按键快速实现：自动白平衡、冻结、录像、拍照、放大、自动降噪、暗场增强、高亮抑制、除烟去雾、防红溢出、细节增强、光源亮度调节、2D/3D切换</w:t>
      </w:r>
    </w:p>
    <w:p w14:paraId="3511DC6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3、电子镜直径10mm，视向角度30°，工作长度≥330mm</w:t>
      </w:r>
    </w:p>
    <w:p w14:paraId="1624B7CA">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4、有效景深范围20-180mm</w:t>
      </w:r>
    </w:p>
    <w:p w14:paraId="368A29E1">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5、自动对焦，免调焦。</w:t>
      </w:r>
    </w:p>
    <w:p w14:paraId="150E9100">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五、冷光源</w:t>
      </w:r>
      <w:r>
        <w:rPr>
          <w:rFonts w:hint="eastAsia" w:ascii="宋体" w:hAnsi="宋体" w:eastAsia="宋体" w:cs="宋体"/>
          <w:b/>
          <w:bCs/>
          <w:color w:val="auto"/>
          <w:sz w:val="24"/>
          <w:szCs w:val="24"/>
          <w:highlight w:val="none"/>
        </w:rPr>
        <w:tab/>
      </w:r>
    </w:p>
    <w:p w14:paraId="11E32999">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1、设备支持同时输出近红外激光和白光，且激光为3R级医用激光光源。</w:t>
      </w:r>
    </w:p>
    <w:p w14:paraId="356DD542">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2、设备采用触摸屏设计，屏幕尺寸≥7英寸，可在触摸屏上进行LED光源的常用参数调整。</w:t>
      </w:r>
    </w:p>
    <w:p w14:paraId="408A2EBD">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3、白光冷光源的输出总光通量应≥1600lm。</w:t>
      </w:r>
    </w:p>
    <w:p w14:paraId="6F770A0F">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▲4、激发光波长780nm激发光精度≤±5nm</w:t>
      </w:r>
    </w:p>
    <w:p w14:paraId="0DA41D09">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en-US" w:bidi="ar-SA"/>
        </w:rPr>
        <w:t>5、</w:t>
      </w:r>
      <w:r>
        <w:rPr>
          <w:rFonts w:hint="eastAsia" w:ascii="宋体" w:hAnsi="宋体" w:eastAsia="宋体" w:cs="宋体"/>
          <w:color w:val="auto"/>
          <w:sz w:val="24"/>
          <w:szCs w:val="24"/>
          <w:highlight w:val="none"/>
        </w:rPr>
        <w:t>LED灯泡工作寿命≥30000小时。</w:t>
      </w:r>
    </w:p>
    <w:p w14:paraId="265B5A26">
      <w:pPr>
        <w:numPr>
          <w:ilvl w:val="0"/>
          <w:numId w:val="0"/>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6、具有主机光源联动功能。</w:t>
      </w:r>
    </w:p>
    <w:p w14:paraId="35449AA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7、具有光纤插入自动检测功能。</w:t>
      </w:r>
    </w:p>
    <w:p w14:paraId="3A5CEEF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8、与摄像主机同一品牌。</w:t>
      </w:r>
    </w:p>
    <w:p w14:paraId="43265170">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六、气腹机</w:t>
      </w:r>
    </w:p>
    <w:p w14:paraId="1AB11E62">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1、气腹机最大流量≥40L/min</w:t>
      </w:r>
    </w:p>
    <w:p w14:paraId="7815747B">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2、具有自动排烟、自动除雾功能</w:t>
      </w:r>
    </w:p>
    <w:p w14:paraId="20385D0B">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3、可联动同品牌自动排烟模块，可实现启动能量平台同时（超声刀 电刀等）自动开启排烟功能。兼容多品牌 电外科和气腹机设备，可实现旧设备功能升级。</w:t>
      </w:r>
    </w:p>
    <w:p w14:paraId="4D1523AC">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七、监视器</w:t>
      </w:r>
    </w:p>
    <w:p w14:paraId="4BA540E9">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1、主屏3D医用监视器≥32英寸。</w:t>
      </w:r>
    </w:p>
    <w:p w14:paraId="63327AF2">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2、副屏4k医用监视器尺寸≥32英寸</w:t>
      </w:r>
    </w:p>
    <w:p w14:paraId="4C992F0D">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3、1920×1080P 、3840×2160P逐行扫描</w:t>
      </w:r>
      <w:r>
        <w:rPr>
          <w:rFonts w:hint="eastAsia" w:ascii="宋体" w:hAnsi="宋体" w:eastAsia="宋体" w:cs="宋体"/>
          <w:color w:val="auto"/>
          <w:sz w:val="24"/>
          <w:szCs w:val="24"/>
          <w:highlight w:val="none"/>
        </w:rPr>
        <w:t>。</w:t>
      </w:r>
    </w:p>
    <w:p w14:paraId="64AC41A0">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八、台车</w:t>
      </w:r>
    </w:p>
    <w:p w14:paraId="6176393E">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内窥镜摄像系统专用医疗台车，带显示器支臂，旋转、高低、俯仰全自由度调节，静音脚轮</w:t>
      </w:r>
    </w:p>
    <w:p w14:paraId="206C4F1D">
      <w:pPr>
        <w:tabs>
          <w:tab w:val="left" w:pos="1083"/>
        </w:tabs>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九、医用加压器</w:t>
      </w:r>
    </w:p>
    <w:p w14:paraId="31F48F8D">
      <w:pPr>
        <w:tabs>
          <w:tab w:val="left" w:pos="1083"/>
        </w:tabs>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1、压力调节范围10Kpa~50Kpa，负压调节范围-50Kpa~-10Kpa</w:t>
      </w:r>
    </w:p>
    <w:p w14:paraId="6DF60816">
      <w:pPr>
        <w:tabs>
          <w:tab w:val="left" w:pos="1083"/>
        </w:tabs>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2、大流量工作，最大冲洗量≥1000ml/min</w:t>
      </w:r>
    </w:p>
    <w:p w14:paraId="5D1E6A58">
      <w:pPr>
        <w:tabs>
          <w:tab w:val="left" w:pos="1083"/>
        </w:tabs>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3、最大吸气量≥1500ml/min</w:t>
      </w:r>
    </w:p>
    <w:p w14:paraId="59AFE9D4">
      <w:pPr>
        <w:tabs>
          <w:tab w:val="left" w:pos="1083"/>
        </w:tabs>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4、负压就有防開流装置，冲洗和吸引压力稳定，流量稳定，保证机器的安全运行</w:t>
      </w:r>
    </w:p>
    <w:p w14:paraId="393A5F23">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十、超声刀</w:t>
      </w:r>
    </w:p>
    <w:p w14:paraId="4A446B5A">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1、主机具有彩色液晶显示器，有功率大小的档位显示；</w:t>
      </w:r>
    </w:p>
    <w:p w14:paraId="4C765CA3">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2、具有主机、手柄和刀头的自动化故障检测功能，具有音声反馈功能</w:t>
      </w:r>
    </w:p>
    <w:p w14:paraId="07B90E3B">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3、可连接“手控”“脚控”，根据术者习惯进行随时切换。功能控制具有独立的按键控制。4、主机有过载保护技术，智能的组织感应技术，能根据所夹持组织的状态变化相应的调整能量输出</w:t>
      </w:r>
    </w:p>
    <w:p w14:paraId="4DDB740A">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十一、高频电刀</w:t>
      </w:r>
    </w:p>
    <w:p w14:paraId="5CBADDD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1、备为单双极一体机，三个工作模式下分9种细分模式，双极凝血模式；单极切割模式单极凝血模式，工作频率不同。</w:t>
      </w:r>
    </w:p>
    <w:p w14:paraId="177C4EE7">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2、输出功率：单极切割：≤300W，单极凝血：≤120W，双极凝血：≤70W，</w:t>
      </w:r>
    </w:p>
    <w:p w14:paraId="11E6FE99">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3、恒功率自动识别阻抗，手术电极激发安全保护机制，单次最长启动时间超过50秒，即停止能量输出，具有单极凝血同时双端口输出功能，输出功率按组织阻抗比例分布。</w:t>
      </w:r>
    </w:p>
    <w:p w14:paraId="2C3514D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4、有配合胃镜、肠镜、腹腔镜等内镜使用器械的通用接口，可连接手术室现有耗材</w:t>
      </w:r>
    </w:p>
    <w:p w14:paraId="32946A8A">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5、可配合同品牌陶瓷刀头术中直接切割皮肤，不产生碳化焦痂，有效减少对周边组织的热损伤</w:t>
      </w:r>
    </w:p>
    <w:p w14:paraId="68665215">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十一、手术器械</w:t>
      </w:r>
    </w:p>
    <w:p w14:paraId="11034630">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穿刺器（磁性片阀）带保护 Φ5.5*105，穿刺器（磁性片阀）带保护Φ10.5*105 ，转换器Φ10转φ5 ，弯剪，直剪，弯分离钳，持针钳，冲洗器，组织抓取钳，无损伤抓钳，电钩，电棒，高频电缆线，气腹针，结扎缝合引线器，胆总管切开刀，取石钳</w:t>
      </w:r>
    </w:p>
    <w:p w14:paraId="63AAF195">
      <w:pPr>
        <w:spacing w:line="360" w:lineRule="auto"/>
        <w:rPr>
          <w:rFonts w:hint="eastAsia" w:ascii="宋体" w:hAnsi="宋体" w:eastAsia="宋体" w:cs="宋体"/>
          <w:color w:val="auto"/>
          <w:sz w:val="24"/>
          <w:szCs w:val="24"/>
          <w:highlight w:val="none"/>
        </w:rPr>
      </w:pPr>
    </w:p>
    <w:p w14:paraId="274FA72C">
      <w:pPr>
        <w:spacing w:line="360" w:lineRule="auto"/>
        <w:rPr>
          <w:rFonts w:hint="eastAsia" w:ascii="宋体" w:hAnsi="宋体" w:eastAsia="宋体" w:cs="宋体"/>
          <w:color w:val="auto"/>
          <w:sz w:val="24"/>
          <w:szCs w:val="24"/>
          <w:highlight w:val="none"/>
        </w:rPr>
      </w:pPr>
    </w:p>
    <w:p w14:paraId="542DDC19">
      <w:pPr>
        <w:spacing w:line="360" w:lineRule="auto"/>
        <w:jc w:val="center"/>
        <w:rPr>
          <w:rFonts w:hint="eastAsia" w:ascii="宋体" w:hAnsi="宋体" w:eastAsia="宋体" w:cs="宋体"/>
          <w:color w:val="auto"/>
          <w:sz w:val="24"/>
          <w:szCs w:val="24"/>
          <w:highlight w:val="none"/>
        </w:rPr>
      </w:pPr>
    </w:p>
    <w:p w14:paraId="1EA4B6AA">
      <w:pPr>
        <w:spacing w:line="360" w:lineRule="auto"/>
        <w:jc w:val="center"/>
        <w:rPr>
          <w:rFonts w:hint="eastAsia" w:ascii="宋体" w:hAnsi="宋体" w:eastAsia="宋体" w:cs="宋体"/>
          <w:color w:val="auto"/>
          <w:sz w:val="24"/>
          <w:szCs w:val="24"/>
          <w:highlight w:val="none"/>
        </w:rPr>
      </w:pPr>
    </w:p>
    <w:p w14:paraId="5C35AC56">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产品配置清单</w:t>
      </w:r>
    </w:p>
    <w:tbl>
      <w:tblPr>
        <w:tblStyle w:val="21"/>
        <w:tblW w:w="6580" w:type="dxa"/>
        <w:jc w:val="center"/>
        <w:tblLayout w:type="autofit"/>
        <w:tblCellMar>
          <w:top w:w="0" w:type="dxa"/>
          <w:left w:w="108" w:type="dxa"/>
          <w:bottom w:w="0" w:type="dxa"/>
          <w:right w:w="108" w:type="dxa"/>
        </w:tblCellMar>
      </w:tblPr>
      <w:tblGrid>
        <w:gridCol w:w="1193"/>
        <w:gridCol w:w="3128"/>
        <w:gridCol w:w="2259"/>
      </w:tblGrid>
      <w:tr w14:paraId="2AE740A0">
        <w:tblPrEx>
          <w:tblCellMar>
            <w:top w:w="0" w:type="dxa"/>
            <w:left w:w="108" w:type="dxa"/>
            <w:bottom w:w="0" w:type="dxa"/>
            <w:right w:w="108" w:type="dxa"/>
          </w:tblCellMar>
        </w:tblPrEx>
        <w:trPr>
          <w:trHeight w:val="440"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F75D">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序号</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E2E6">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名称</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2CBA">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数量</w:t>
            </w:r>
          </w:p>
        </w:tc>
      </w:tr>
      <w:tr w14:paraId="1B2333BD">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1455">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2F55">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5A13">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1979860">
        <w:tblPrEx>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9A9D">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6C9F">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医用内窥镜冷光源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62EC">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089A8B75">
        <w:tblPrEx>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9E4C">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28E6">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导光束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5CE7">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63EDA56E">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5225">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E083">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摄像头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AFC7">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058966D">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7DF3">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9D68">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胸腹腔内窥镜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0F14">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8A115EE">
        <w:tblPrEx>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BA80">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DE47">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32寸显示器（主屏+副屏）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505C">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16E0B029">
        <w:tblPrEx>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1976">
            <w:pPr>
              <w:widowControl/>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E3A2">
            <w:pPr>
              <w:widowControl/>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三维电子胸腹腔内窥镜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856D">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07C1964">
        <w:tblPrEx>
          <w:tblCellMar>
            <w:top w:w="0" w:type="dxa"/>
            <w:left w:w="108" w:type="dxa"/>
            <w:bottom w:w="0" w:type="dxa"/>
            <w:right w:w="108" w:type="dxa"/>
          </w:tblCellMar>
        </w:tblPrEx>
        <w:trPr>
          <w:trHeight w:val="38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9969">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BCBF">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气腹机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152B">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C4BCCF1">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5F25">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7509">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医用台车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746A">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0B141B36">
        <w:tblPrEx>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0B69">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F280">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消毒盒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1248">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073643F9">
        <w:tblPrEx>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F0B7">
            <w:pPr>
              <w:widowControl/>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4A9A">
            <w:pPr>
              <w:widowControl/>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3D眼镜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BB65">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1CD6F19A">
        <w:tblPrEx>
          <w:tblCellMar>
            <w:top w:w="0" w:type="dxa"/>
            <w:left w:w="108" w:type="dxa"/>
            <w:bottom w:w="0" w:type="dxa"/>
            <w:right w:w="108" w:type="dxa"/>
          </w:tblCellMar>
        </w:tblPrEx>
        <w:trPr>
          <w:trHeight w:val="3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3BC6">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DAAF">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超声刀</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48B0">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093C4B3A">
        <w:tblPrEx>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B507">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4F08">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医用加压器（冲洗泵）</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9DA5">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D2B4313">
        <w:tblPrEx>
          <w:tblCellMar>
            <w:top w:w="0" w:type="dxa"/>
            <w:left w:w="108" w:type="dxa"/>
            <w:bottom w:w="0" w:type="dxa"/>
            <w:right w:w="108" w:type="dxa"/>
          </w:tblCellMar>
        </w:tblPrEx>
        <w:trPr>
          <w:trHeight w:val="277" w:hRule="atLeast"/>
          <w:jc w:val="center"/>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4EF8">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D0B0">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高频电刀</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A0C5">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r>
      <w:tr w14:paraId="5B2C5912">
        <w:tblPrEx>
          <w:tblCellMar>
            <w:top w:w="0" w:type="dxa"/>
            <w:left w:w="108" w:type="dxa"/>
            <w:bottom w:w="0" w:type="dxa"/>
            <w:right w:w="108" w:type="dxa"/>
          </w:tblCellMar>
        </w:tblPrEx>
        <w:trPr>
          <w:trHeight w:val="681" w:hRule="atLeast"/>
          <w:jc w:val="center"/>
        </w:trPr>
        <w:tc>
          <w:tcPr>
            <w:tcW w:w="1193" w:type="dxa"/>
            <w:vMerge w:val="restart"/>
            <w:tcBorders>
              <w:top w:val="single" w:color="000000" w:sz="4" w:space="0"/>
              <w:left w:val="single" w:color="000000" w:sz="4" w:space="0"/>
              <w:right w:val="single" w:color="000000" w:sz="4" w:space="0"/>
            </w:tcBorders>
            <w:shd w:val="clear" w:color="auto" w:fill="auto"/>
            <w:vAlign w:val="center"/>
          </w:tcPr>
          <w:p w14:paraId="3EFEB297">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5D03">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穿刺器（磁性片阀）带保护 Φ5.5*105 </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A49F">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7A99F4D0">
        <w:tblPrEx>
          <w:tblCellMar>
            <w:top w:w="0" w:type="dxa"/>
            <w:left w:w="108" w:type="dxa"/>
            <w:bottom w:w="0" w:type="dxa"/>
            <w:right w:w="108" w:type="dxa"/>
          </w:tblCellMar>
        </w:tblPrEx>
        <w:trPr>
          <w:trHeight w:val="681" w:hRule="atLeast"/>
          <w:jc w:val="center"/>
        </w:trPr>
        <w:tc>
          <w:tcPr>
            <w:tcW w:w="1193" w:type="dxa"/>
            <w:vMerge w:val="continue"/>
            <w:tcBorders>
              <w:left w:val="single" w:color="000000" w:sz="4" w:space="0"/>
              <w:right w:val="single" w:color="000000" w:sz="4" w:space="0"/>
            </w:tcBorders>
            <w:shd w:val="clear" w:color="auto" w:fill="auto"/>
            <w:vAlign w:val="center"/>
          </w:tcPr>
          <w:p w14:paraId="101BC58C">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174B">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穿刺器（磁性片阀）带保护Φ10.5*105 </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705E">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07C39812">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5ECE6CB8">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7B48">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转换器Φ10转φ5 </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4E45">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0F06F41C">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76A04777">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BFC0">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弯剪（双动）</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85F3">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2A282AAE">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0A5274FE">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0559">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直剪（双动）</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7573">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7CA1C3E">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0A8EE735">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86A8">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弯分离钳</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4A15">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14:paraId="3A6356A9">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3BD5DD8F">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2602">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持针钳</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D7DE">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5710424">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2429A9A7">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2E52">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冲洗器（双阀）</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C67B">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13600C68">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04B794E4">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500A">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组织抓取钳</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9C1F">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14:paraId="47066AE8">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11142CAB">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2143">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无损伤抓钳</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D1AF">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519FCE20">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7426A9EC">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A343">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电钩</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252C">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0F21416">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7EF68C61">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1EA5">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电棒</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A2EB">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4166115A">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1CCC7177">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171E">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高频电缆线</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958E">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8F0C8DB">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51C71168">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13BA">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气腹针</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E380">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4FCF0265">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71D0B1CB">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6805">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结扎缝合引线器</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3B4D">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26C2DF0B">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1296437F">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6AFE">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胆总管切开刀</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FC85">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72A07B4">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7CFC8EC4">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9137">
            <w:pPr>
              <w:widowControl/>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取石钳</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3D83">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02C924D">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1BF46138">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CF8A">
            <w:pPr>
              <w:widowControl/>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持针钳（带自固定针功能）</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988C">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0AC12093">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79ECAAAE">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5C79">
            <w:pPr>
              <w:widowControl/>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胆囊穿刺针</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AEAB">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CAD3F4E">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3058E7A6">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9F90">
            <w:pPr>
              <w:widowControl/>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单极连线</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B552">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730E24BD">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5B70388D">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EA1C">
            <w:pPr>
              <w:widowControl/>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双极连线</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011B">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682E104E">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56BBC89D">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DD9D">
            <w:pPr>
              <w:widowControl/>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肺叶钳子</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739F">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7AAAF943">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367E2D56">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45D1">
            <w:pPr>
              <w:widowControl/>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卵圆钳子</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8B13">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5269AAB5">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048C25BC">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B582">
            <w:pPr>
              <w:widowControl/>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肠钳子</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0A01">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44A260D8">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105987D2">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F856">
            <w:pPr>
              <w:widowControl/>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电铲子</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E373">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00FBB72B">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51B75F9D">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26F1">
            <w:pPr>
              <w:widowControl/>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夹持器（大小各一把）</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6F21">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5A7C9B94">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51806928">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957A">
            <w:pPr>
              <w:widowControl/>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直角分离钳子</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9E6F">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6A9439EE">
        <w:tblPrEx>
          <w:tblCellMar>
            <w:top w:w="0" w:type="dxa"/>
            <w:left w:w="108" w:type="dxa"/>
            <w:bottom w:w="0" w:type="dxa"/>
            <w:right w:w="108" w:type="dxa"/>
          </w:tblCellMar>
        </w:tblPrEx>
        <w:trPr>
          <w:trHeight w:val="277" w:hRule="atLeast"/>
          <w:jc w:val="center"/>
        </w:trPr>
        <w:tc>
          <w:tcPr>
            <w:tcW w:w="1193" w:type="dxa"/>
            <w:vMerge w:val="continue"/>
            <w:tcBorders>
              <w:left w:val="single" w:color="000000" w:sz="4" w:space="0"/>
              <w:right w:val="single" w:color="000000" w:sz="4" w:space="0"/>
            </w:tcBorders>
            <w:shd w:val="clear" w:color="auto" w:fill="auto"/>
            <w:vAlign w:val="center"/>
          </w:tcPr>
          <w:p w14:paraId="22F5AC4D">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8DB2">
            <w:pPr>
              <w:widowControl/>
              <w:jc w:val="left"/>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胆囊抓钳</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B08F">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71A62EA3">
        <w:tblPrEx>
          <w:tblCellMar>
            <w:top w:w="0" w:type="dxa"/>
            <w:left w:w="108" w:type="dxa"/>
            <w:bottom w:w="0" w:type="dxa"/>
            <w:right w:w="108" w:type="dxa"/>
          </w:tblCellMar>
        </w:tblPrEx>
        <w:trPr>
          <w:trHeight w:val="277" w:hRule="atLeast"/>
          <w:jc w:val="center"/>
        </w:trPr>
        <w:tc>
          <w:tcPr>
            <w:tcW w:w="1193" w:type="dxa"/>
            <w:tcBorders>
              <w:left w:val="single" w:color="000000" w:sz="4" w:space="0"/>
              <w:bottom w:val="single" w:color="000000" w:sz="4" w:space="0"/>
              <w:right w:val="single" w:color="000000" w:sz="4" w:space="0"/>
            </w:tcBorders>
            <w:shd w:val="clear" w:color="auto" w:fill="auto"/>
            <w:vAlign w:val="center"/>
          </w:tcPr>
          <w:p w14:paraId="42C608B9">
            <w:pPr>
              <w:jc w:val="center"/>
              <w:rPr>
                <w:rFonts w:ascii="宋体" w:hAnsi="宋体" w:eastAsia="宋体" w:cs="宋体"/>
                <w:color w:val="auto"/>
                <w:sz w:val="21"/>
                <w:szCs w:val="21"/>
                <w:highlight w:val="none"/>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6E96">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双极电凝钳子</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48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bl>
    <w:p w14:paraId="765363B4">
      <w:pPr>
        <w:jc w:val="center"/>
        <w:rPr>
          <w:rFonts w:hint="eastAsia" w:ascii="宋体" w:hAnsi="宋体" w:cs="宋体"/>
          <w:b/>
          <w:bCs/>
          <w:color w:val="auto"/>
          <w:sz w:val="28"/>
          <w:szCs w:val="28"/>
          <w:highlight w:val="none"/>
          <w:shd w:val="clear" w:color="auto" w:fill="auto"/>
        </w:rPr>
      </w:pPr>
    </w:p>
    <w:p w14:paraId="24719DAC">
      <w:pPr>
        <w:rPr>
          <w:rFonts w:hint="eastAsia" w:ascii="宋体" w:hAnsi="宋体" w:cs="宋体"/>
          <w:b/>
          <w:bCs/>
          <w:color w:val="auto"/>
          <w:sz w:val="28"/>
          <w:szCs w:val="28"/>
          <w:highlight w:val="none"/>
          <w:shd w:val="clear" w:color="auto" w:fill="auto"/>
        </w:rPr>
      </w:pPr>
      <w:r>
        <w:rPr>
          <w:rFonts w:hint="eastAsia" w:ascii="宋体" w:hAnsi="宋体" w:cs="宋体"/>
          <w:b/>
          <w:bCs/>
          <w:color w:val="auto"/>
          <w:sz w:val="28"/>
          <w:szCs w:val="28"/>
          <w:highlight w:val="none"/>
          <w:shd w:val="clear" w:color="auto" w:fill="auto"/>
        </w:rPr>
        <w:br w:type="page"/>
      </w:r>
    </w:p>
    <w:p w14:paraId="299EFEF6">
      <w:pPr>
        <w:rPr>
          <w:rFonts w:hint="eastAsia"/>
          <w:color w:val="auto"/>
          <w:sz w:val="32"/>
          <w:szCs w:val="22"/>
          <w:highlight w:val="none"/>
        </w:rPr>
      </w:pPr>
      <w:bookmarkStart w:id="42" w:name="_Toc6096"/>
      <w:r>
        <w:rPr>
          <w:rFonts w:hint="eastAsia"/>
          <w:color w:val="auto"/>
          <w:sz w:val="32"/>
          <w:szCs w:val="22"/>
          <w:highlight w:val="none"/>
        </w:rPr>
        <w:br w:type="page"/>
      </w:r>
    </w:p>
    <w:p w14:paraId="4BA2507F">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highlight w:val="none"/>
        </w:rPr>
      </w:pPr>
      <w:r>
        <w:rPr>
          <w:rFonts w:hint="eastAsia"/>
          <w:color w:val="auto"/>
          <w:sz w:val="32"/>
          <w:szCs w:val="22"/>
          <w:highlight w:val="none"/>
        </w:rPr>
        <w:t>第六章 投标文件构成及格式</w:t>
      </w:r>
      <w:bookmarkEnd w:id="42"/>
    </w:p>
    <w:p w14:paraId="09FF6D27">
      <w:pPr>
        <w:pStyle w:val="7"/>
        <w:spacing w:line="318" w:lineRule="auto"/>
        <w:outlineLvl w:val="9"/>
        <w:rPr>
          <w:rFonts w:hint="eastAsia" w:ascii="宋体" w:hAnsi="宋体" w:eastAsia="宋体" w:cs="宋体"/>
          <w:color w:val="auto"/>
          <w:highlight w:val="none"/>
        </w:rPr>
      </w:pPr>
    </w:p>
    <w:p w14:paraId="60E13E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采购人特别声明：</w:t>
      </w:r>
    </w:p>
    <w:p w14:paraId="07E714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投标人应提交本“投标文件格式 ”所列举和要求的全部投标文件，并且所提交的投标</w:t>
      </w:r>
    </w:p>
    <w:p w14:paraId="7ADB1C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文件都是真实有效的，否则，将是投标人的风险。</w:t>
      </w:r>
    </w:p>
    <w:p w14:paraId="69376BDC">
      <w:pPr>
        <w:outlineLvl w:val="9"/>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br w:type="page"/>
      </w:r>
    </w:p>
    <w:p w14:paraId="554DF860">
      <w:pPr>
        <w:pStyle w:val="19"/>
        <w:rPr>
          <w:rFonts w:hint="eastAsia" w:ascii="宋体" w:hAnsi="宋体" w:eastAsia="宋体" w:cs="宋体"/>
          <w:color w:val="auto"/>
          <w:kern w:val="44"/>
          <w:sz w:val="36"/>
          <w:highlight w:val="none"/>
          <w:lang w:val="zh-CN"/>
        </w:rPr>
      </w:pPr>
    </w:p>
    <w:p w14:paraId="51F92B39">
      <w:pPr>
        <w:pStyle w:val="19"/>
        <w:keepNext w:val="0"/>
        <w:keepLines w:val="0"/>
        <w:pageBreakBefore w:val="0"/>
        <w:widowControl w:val="0"/>
        <w:kinsoku/>
        <w:wordWrap/>
        <w:overflowPunct/>
        <w:topLinePunct w:val="0"/>
        <w:autoSpaceDE/>
        <w:autoSpaceDN/>
        <w:bidi w:val="0"/>
        <w:adjustRightInd w:val="0"/>
        <w:snapToGrid/>
        <w:textAlignment w:val="baseline"/>
        <w:outlineLvl w:val="9"/>
        <w:rPr>
          <w:rFonts w:hint="eastAsia" w:ascii="宋体" w:hAnsi="宋体" w:eastAsia="宋体" w:cs="宋体"/>
          <w:color w:val="auto"/>
          <w:sz w:val="28"/>
          <w:szCs w:val="28"/>
          <w:highlight w:val="none"/>
          <w:u w:val="single"/>
        </w:rPr>
      </w:pPr>
    </w:p>
    <w:p w14:paraId="2E46A785">
      <w:pPr>
        <w:pStyle w:val="19"/>
        <w:keepNext w:val="0"/>
        <w:keepLines w:val="0"/>
        <w:pageBreakBefore w:val="0"/>
        <w:widowControl w:val="0"/>
        <w:kinsoku/>
        <w:wordWrap/>
        <w:overflowPunct/>
        <w:topLinePunct w:val="0"/>
        <w:autoSpaceDE/>
        <w:autoSpaceDN/>
        <w:bidi w:val="0"/>
        <w:adjustRightInd w:val="0"/>
        <w:snapToGrid/>
        <w:textAlignment w:val="baseline"/>
        <w:outlineLvl w:val="9"/>
        <w:rPr>
          <w:rFonts w:hint="eastAsia" w:ascii="宋体" w:hAnsi="宋体" w:eastAsia="宋体" w:cs="宋体"/>
          <w:color w:val="auto"/>
          <w:kern w:val="44"/>
          <w:sz w:val="36"/>
          <w:highlight w:val="none"/>
          <w:lang w:val="zh-CN"/>
        </w:rPr>
      </w:pPr>
      <w:r>
        <w:rPr>
          <w:rFonts w:hint="eastAsia" w:ascii="宋体" w:hAnsi="宋体" w:eastAsia="宋体" w:cs="宋体"/>
          <w:color w:val="auto"/>
          <w:sz w:val="28"/>
          <w:szCs w:val="28"/>
          <w:highlight w:val="none"/>
          <w:u w:val="single"/>
        </w:rPr>
        <w:t xml:space="preserve">                                </w:t>
      </w:r>
      <w:bookmarkStart w:id="43" w:name="_Toc6030"/>
      <w:r>
        <w:rPr>
          <w:rFonts w:hint="eastAsia" w:ascii="宋体" w:hAnsi="宋体" w:eastAsia="宋体" w:cs="宋体"/>
          <w:color w:val="auto"/>
          <w:sz w:val="28"/>
          <w:szCs w:val="28"/>
          <w:highlight w:val="none"/>
        </w:rPr>
        <w:t>（项目名称）</w:t>
      </w:r>
      <w:bookmarkEnd w:id="43"/>
    </w:p>
    <w:p w14:paraId="47C9D001">
      <w:pPr>
        <w:spacing w:line="360" w:lineRule="auto"/>
        <w:jc w:val="center"/>
        <w:rPr>
          <w:rFonts w:hint="eastAsia" w:ascii="宋体" w:hAnsi="宋体" w:eastAsia="宋体" w:cs="宋体"/>
          <w:color w:val="auto"/>
          <w:sz w:val="28"/>
          <w:szCs w:val="28"/>
          <w:highlight w:val="none"/>
        </w:rPr>
      </w:pPr>
    </w:p>
    <w:p w14:paraId="3BFD93E6">
      <w:pPr>
        <w:spacing w:line="360" w:lineRule="auto"/>
        <w:jc w:val="center"/>
        <w:rPr>
          <w:rFonts w:hint="eastAsia" w:ascii="宋体" w:hAnsi="宋体" w:eastAsia="宋体" w:cs="宋体"/>
          <w:color w:val="auto"/>
          <w:sz w:val="28"/>
          <w:szCs w:val="28"/>
          <w:highlight w:val="none"/>
        </w:rPr>
      </w:pPr>
    </w:p>
    <w:p w14:paraId="29CE7FFC">
      <w:pPr>
        <w:spacing w:line="360" w:lineRule="auto"/>
        <w:jc w:val="center"/>
        <w:rPr>
          <w:rFonts w:hint="eastAsia" w:ascii="宋体" w:hAnsi="宋体" w:eastAsia="宋体" w:cs="宋体"/>
          <w:color w:val="auto"/>
          <w:sz w:val="28"/>
          <w:szCs w:val="28"/>
          <w:highlight w:val="none"/>
        </w:rPr>
      </w:pPr>
    </w:p>
    <w:p w14:paraId="4C8AA314">
      <w:pPr>
        <w:spacing w:line="360" w:lineRule="auto"/>
        <w:jc w:val="center"/>
        <w:rPr>
          <w:rFonts w:hint="eastAsia" w:ascii="宋体" w:hAnsi="宋体" w:eastAsia="宋体" w:cs="宋体"/>
          <w:color w:val="auto"/>
          <w:sz w:val="28"/>
          <w:szCs w:val="28"/>
          <w:highlight w:val="none"/>
        </w:rPr>
      </w:pPr>
    </w:p>
    <w:p w14:paraId="54F55DE2">
      <w:pPr>
        <w:spacing w:line="360" w:lineRule="auto"/>
        <w:jc w:val="center"/>
        <w:rPr>
          <w:rFonts w:hint="eastAsia" w:ascii="宋体" w:hAnsi="宋体" w:eastAsia="宋体" w:cs="宋体"/>
          <w:color w:val="auto"/>
          <w:sz w:val="28"/>
          <w:szCs w:val="28"/>
          <w:highlight w:val="none"/>
        </w:rPr>
      </w:pPr>
    </w:p>
    <w:p w14:paraId="6537F140">
      <w:pPr>
        <w:spacing w:line="360" w:lineRule="auto"/>
        <w:jc w:val="center"/>
        <w:rPr>
          <w:rFonts w:hint="eastAsia" w:ascii="宋体" w:hAnsi="宋体" w:eastAsia="宋体" w:cs="宋体"/>
          <w:color w:val="auto"/>
          <w:sz w:val="72"/>
          <w:szCs w:val="72"/>
          <w:highlight w:val="none"/>
          <w:lang w:eastAsia="zh-CN"/>
        </w:rPr>
      </w:pPr>
      <w:r>
        <w:rPr>
          <w:rFonts w:hint="eastAsia" w:ascii="宋体" w:hAnsi="宋体" w:eastAsia="宋体" w:cs="宋体"/>
          <w:color w:val="auto"/>
          <w:sz w:val="72"/>
          <w:szCs w:val="72"/>
          <w:highlight w:val="none"/>
          <w:lang w:eastAsia="zh-CN"/>
        </w:rPr>
        <w:t>投</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标</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文</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件</w:t>
      </w:r>
    </w:p>
    <w:p w14:paraId="4EAF12B5">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11BE5163">
      <w:pPr>
        <w:spacing w:line="480" w:lineRule="auto"/>
        <w:ind w:firstLine="3360" w:firstLineChars="1200"/>
        <w:rPr>
          <w:rFonts w:hint="eastAsia" w:ascii="宋体" w:hAnsi="宋体" w:eastAsia="宋体" w:cs="宋体"/>
          <w:color w:val="auto"/>
          <w:sz w:val="28"/>
          <w:szCs w:val="28"/>
          <w:highlight w:val="none"/>
          <w:u w:val="single"/>
        </w:rPr>
      </w:pPr>
    </w:p>
    <w:p w14:paraId="46D85076">
      <w:pPr>
        <w:spacing w:line="360" w:lineRule="auto"/>
        <w:jc w:val="center"/>
        <w:rPr>
          <w:rFonts w:hint="eastAsia" w:ascii="宋体" w:hAnsi="宋体" w:eastAsia="宋体" w:cs="宋体"/>
          <w:color w:val="auto"/>
          <w:sz w:val="28"/>
          <w:szCs w:val="28"/>
          <w:highlight w:val="none"/>
        </w:rPr>
      </w:pPr>
    </w:p>
    <w:p w14:paraId="2400EB9C">
      <w:pPr>
        <w:spacing w:line="360" w:lineRule="auto"/>
        <w:ind w:firstLine="1260" w:firstLineChars="450"/>
        <w:rPr>
          <w:rFonts w:hint="eastAsia" w:ascii="宋体" w:hAnsi="宋体" w:eastAsia="宋体" w:cs="宋体"/>
          <w:color w:val="auto"/>
          <w:sz w:val="28"/>
          <w:szCs w:val="28"/>
          <w:highlight w:val="none"/>
        </w:rPr>
      </w:pPr>
    </w:p>
    <w:p w14:paraId="04916C34">
      <w:pPr>
        <w:spacing w:line="360" w:lineRule="auto"/>
        <w:ind w:firstLine="1260" w:firstLineChars="450"/>
        <w:rPr>
          <w:rFonts w:hint="eastAsia" w:ascii="宋体" w:hAnsi="宋体" w:eastAsia="宋体" w:cs="宋体"/>
          <w:color w:val="auto"/>
          <w:sz w:val="28"/>
          <w:szCs w:val="28"/>
          <w:highlight w:val="none"/>
        </w:rPr>
      </w:pPr>
    </w:p>
    <w:p w14:paraId="78833DE7">
      <w:pPr>
        <w:spacing w:line="360" w:lineRule="auto"/>
        <w:ind w:firstLine="1260" w:firstLineChars="450"/>
        <w:rPr>
          <w:rFonts w:hint="eastAsia" w:ascii="宋体" w:hAnsi="宋体" w:eastAsia="宋体" w:cs="宋体"/>
          <w:color w:val="auto"/>
          <w:sz w:val="28"/>
          <w:szCs w:val="28"/>
          <w:highlight w:val="none"/>
        </w:rPr>
      </w:pPr>
    </w:p>
    <w:p w14:paraId="027AF67E">
      <w:pPr>
        <w:spacing w:line="360" w:lineRule="auto"/>
        <w:ind w:firstLine="1260" w:firstLineChars="450"/>
        <w:rPr>
          <w:rFonts w:hint="eastAsia" w:ascii="宋体" w:hAnsi="宋体" w:eastAsia="宋体" w:cs="宋体"/>
          <w:color w:val="auto"/>
          <w:sz w:val="28"/>
          <w:szCs w:val="28"/>
          <w:highlight w:val="none"/>
        </w:rPr>
      </w:pPr>
    </w:p>
    <w:p w14:paraId="1FC76241">
      <w:pPr>
        <w:spacing w:line="360" w:lineRule="auto"/>
        <w:ind w:firstLine="1260" w:firstLineChars="4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36450C0E">
      <w:pPr>
        <w:spacing w:line="360" w:lineRule="auto"/>
        <w:ind w:firstLine="1260" w:firstLineChars="4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136CD13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0BA1BF47">
      <w:pP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br w:type="page"/>
      </w:r>
    </w:p>
    <w:p w14:paraId="63A5E951">
      <w:pPr>
        <w:spacing w:before="182" w:line="220" w:lineRule="auto"/>
        <w:ind w:left="12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格式一：</w:t>
      </w:r>
    </w:p>
    <w:p w14:paraId="66107A15">
      <w:pPr>
        <w:spacing w:before="182" w:line="220" w:lineRule="auto"/>
        <w:ind w:left="368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开标一览表（格式）</w:t>
      </w:r>
    </w:p>
    <w:p w14:paraId="3428FF4C">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376CD2DB">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53D0A756">
      <w:pPr>
        <w:keepNext w:val="0"/>
        <w:keepLines w:val="0"/>
        <w:pageBreakBefore w:val="0"/>
        <w:widowControl/>
        <w:kinsoku w:val="0"/>
        <w:wordWrap/>
        <w:overflowPunct/>
        <w:topLinePunct w:val="0"/>
        <w:autoSpaceDE w:val="0"/>
        <w:autoSpaceDN w:val="0"/>
        <w:bidi w:val="0"/>
        <w:adjustRightInd w:val="0"/>
        <w:snapToGrid w:val="0"/>
        <w:spacing w:line="288" w:lineRule="auto"/>
        <w:jc w:val="righ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货币单位:元</w:t>
      </w:r>
    </w:p>
    <w:tbl>
      <w:tblPr>
        <w:tblStyle w:val="21"/>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55"/>
        <w:gridCol w:w="2273"/>
        <w:gridCol w:w="2136"/>
        <w:gridCol w:w="1962"/>
        <w:gridCol w:w="1070"/>
      </w:tblGrid>
      <w:tr w14:paraId="7F4BF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1" w:hRule="atLeast"/>
          <w:jc w:val="center"/>
        </w:trPr>
        <w:tc>
          <w:tcPr>
            <w:tcW w:w="1081" w:type="pct"/>
            <w:noWrap w:val="0"/>
            <w:vAlign w:val="center"/>
          </w:tcPr>
          <w:p w14:paraId="6AE81F84">
            <w:pPr>
              <w:pStyle w:val="9"/>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highlight w:val="none"/>
                <w:lang w:eastAsia="zh-CN"/>
              </w:rPr>
            </w:pPr>
            <w:r>
              <w:rPr>
                <w:rFonts w:hint="eastAsia" w:ascii="宋体" w:hAnsi="宋体" w:eastAsia="宋体" w:cs="宋体"/>
                <w:b/>
                <w:bCs/>
                <w:snapToGrid w:val="0"/>
                <w:color w:val="auto"/>
                <w:kern w:val="0"/>
                <w:sz w:val="24"/>
                <w:szCs w:val="24"/>
                <w:highlight w:val="none"/>
                <w:lang w:eastAsia="zh-CN"/>
              </w:rPr>
              <w:t>投标人名称</w:t>
            </w:r>
          </w:p>
        </w:tc>
        <w:tc>
          <w:tcPr>
            <w:tcW w:w="1196" w:type="pct"/>
            <w:noWrap w:val="0"/>
            <w:vAlign w:val="center"/>
          </w:tcPr>
          <w:p w14:paraId="0C967AD1">
            <w:pPr>
              <w:pStyle w:val="9"/>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eastAsia="zh-CN"/>
              </w:rPr>
              <w:t>投标报价</w:t>
            </w:r>
            <w:r>
              <w:rPr>
                <w:rFonts w:hint="eastAsia" w:ascii="宋体" w:hAnsi="宋体" w:eastAsia="宋体" w:cs="宋体"/>
                <w:b/>
                <w:bCs/>
                <w:snapToGrid w:val="0"/>
                <w:color w:val="auto"/>
                <w:kern w:val="0"/>
                <w:sz w:val="24"/>
                <w:szCs w:val="24"/>
                <w:highlight w:val="none"/>
                <w:lang w:val="en-US" w:eastAsia="zh-CN"/>
              </w:rPr>
              <w:t>/总价</w:t>
            </w:r>
          </w:p>
          <w:p w14:paraId="0883EB4E">
            <w:pPr>
              <w:pStyle w:val="9"/>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highlight w:val="none"/>
                <w:lang w:eastAsia="zh-CN"/>
              </w:rPr>
            </w:pPr>
            <w:r>
              <w:rPr>
                <w:rFonts w:hint="eastAsia" w:ascii="宋体" w:hAnsi="宋体" w:eastAsia="宋体" w:cs="宋体"/>
                <w:b/>
                <w:bCs/>
                <w:snapToGrid w:val="0"/>
                <w:color w:val="auto"/>
                <w:kern w:val="0"/>
                <w:sz w:val="24"/>
                <w:szCs w:val="24"/>
                <w:highlight w:val="none"/>
                <w:lang w:eastAsia="zh-CN"/>
              </w:rPr>
              <w:t>（元）</w:t>
            </w:r>
          </w:p>
        </w:tc>
        <w:tc>
          <w:tcPr>
            <w:tcW w:w="1124" w:type="pct"/>
            <w:noWrap w:val="0"/>
            <w:vAlign w:val="center"/>
          </w:tcPr>
          <w:p w14:paraId="6114E591">
            <w:pPr>
              <w:pStyle w:val="9"/>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highlight w:val="none"/>
                <w:lang w:eastAsia="zh-CN"/>
              </w:rPr>
            </w:pPr>
            <w:r>
              <w:rPr>
                <w:rFonts w:hint="eastAsia" w:ascii="宋体" w:hAnsi="宋体" w:eastAsia="宋体" w:cs="宋体"/>
                <w:b/>
                <w:bCs/>
                <w:snapToGrid w:val="0"/>
                <w:color w:val="auto"/>
                <w:kern w:val="0"/>
                <w:sz w:val="24"/>
                <w:szCs w:val="24"/>
                <w:highlight w:val="none"/>
                <w:lang w:eastAsia="zh-CN"/>
              </w:rPr>
              <w:t>合同履行期限</w:t>
            </w:r>
          </w:p>
        </w:tc>
        <w:tc>
          <w:tcPr>
            <w:tcW w:w="1032" w:type="pct"/>
            <w:noWrap w:val="0"/>
            <w:vAlign w:val="center"/>
          </w:tcPr>
          <w:p w14:paraId="0CE520E2">
            <w:pPr>
              <w:pStyle w:val="9"/>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highlight w:val="none"/>
                <w:lang w:eastAsia="zh-CN"/>
              </w:rPr>
            </w:pPr>
            <w:r>
              <w:rPr>
                <w:rFonts w:hint="eastAsia" w:ascii="宋体" w:hAnsi="宋体" w:eastAsia="宋体" w:cs="宋体"/>
                <w:b/>
                <w:bCs/>
                <w:snapToGrid w:val="0"/>
                <w:color w:val="auto"/>
                <w:kern w:val="0"/>
                <w:sz w:val="24"/>
                <w:szCs w:val="24"/>
                <w:highlight w:val="none"/>
                <w:lang w:val="en-US" w:eastAsia="zh-CN"/>
              </w:rPr>
              <w:t>质保期</w:t>
            </w:r>
          </w:p>
        </w:tc>
        <w:tc>
          <w:tcPr>
            <w:tcW w:w="563" w:type="pct"/>
            <w:noWrap w:val="0"/>
            <w:vAlign w:val="center"/>
          </w:tcPr>
          <w:p w14:paraId="459B9BDB">
            <w:pPr>
              <w:pStyle w:val="9"/>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备注</w:t>
            </w:r>
          </w:p>
        </w:tc>
      </w:tr>
      <w:tr w14:paraId="441EC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jc w:val="center"/>
        </w:trPr>
        <w:tc>
          <w:tcPr>
            <w:tcW w:w="1081" w:type="pct"/>
            <w:noWrap w:val="0"/>
            <w:vAlign w:val="center"/>
          </w:tcPr>
          <w:p w14:paraId="70BBF273">
            <w:pPr>
              <w:pStyle w:val="9"/>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highlight w:val="none"/>
              </w:rPr>
            </w:pPr>
          </w:p>
        </w:tc>
        <w:tc>
          <w:tcPr>
            <w:tcW w:w="1196" w:type="pct"/>
            <w:noWrap w:val="0"/>
            <w:vAlign w:val="center"/>
          </w:tcPr>
          <w:p w14:paraId="4A2DEAAF">
            <w:pPr>
              <w:pStyle w:val="9"/>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highlight w:val="none"/>
              </w:rPr>
            </w:pPr>
          </w:p>
        </w:tc>
        <w:tc>
          <w:tcPr>
            <w:tcW w:w="1124" w:type="pct"/>
            <w:noWrap w:val="0"/>
            <w:vAlign w:val="center"/>
          </w:tcPr>
          <w:p w14:paraId="14BF0065">
            <w:pPr>
              <w:pStyle w:val="9"/>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highlight w:val="none"/>
              </w:rPr>
            </w:pPr>
          </w:p>
        </w:tc>
        <w:tc>
          <w:tcPr>
            <w:tcW w:w="1032" w:type="pct"/>
            <w:noWrap w:val="0"/>
            <w:vAlign w:val="center"/>
          </w:tcPr>
          <w:p w14:paraId="752AB57E">
            <w:pPr>
              <w:pStyle w:val="9"/>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highlight w:val="none"/>
              </w:rPr>
            </w:pPr>
          </w:p>
        </w:tc>
        <w:tc>
          <w:tcPr>
            <w:tcW w:w="563" w:type="pct"/>
            <w:noWrap w:val="0"/>
            <w:vAlign w:val="center"/>
          </w:tcPr>
          <w:p w14:paraId="27B29E2B">
            <w:pPr>
              <w:pStyle w:val="9"/>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highlight w:val="none"/>
              </w:rPr>
            </w:pPr>
          </w:p>
        </w:tc>
      </w:tr>
    </w:tbl>
    <w:p w14:paraId="59198628">
      <w:pPr>
        <w:spacing w:before="78" w:line="22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说明：</w:t>
      </w:r>
    </w:p>
    <w:p w14:paraId="2C86C3A8">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1.本“开标一览表”用于开标时唱标使用。</w:t>
      </w:r>
    </w:p>
    <w:p w14:paraId="3043AF72">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2.此表中的各项内容应与投标文件的相应内容一致。</w:t>
      </w:r>
    </w:p>
    <w:p w14:paraId="1D2A569E">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3.只允许有一个报价，任何有选择性的报价或者有附加条件的报价采购人将不予接受。</w:t>
      </w:r>
    </w:p>
    <w:p w14:paraId="54DA7583">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highlight w:val="none"/>
        </w:rPr>
      </w:pPr>
    </w:p>
    <w:p w14:paraId="368ABF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14:paraId="09AC10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w:t>
      </w:r>
    </w:p>
    <w:p w14:paraId="7A0C35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14:paraId="01515B54">
      <w:pPr>
        <w:keepNext w:val="0"/>
        <w:keepLines w:val="0"/>
        <w:pageBreakBefore w:val="0"/>
        <w:widowControl/>
        <w:kinsoku/>
        <w:wordWrap/>
        <w:overflowPunct/>
        <w:topLinePunct w:val="0"/>
        <w:autoSpaceDE/>
        <w:autoSpaceDN/>
        <w:bidi w:val="0"/>
        <w:adjustRightInd w:val="0"/>
        <w:snapToGrid w:val="0"/>
        <w:spacing w:after="0" w:afterLines="100"/>
        <w:jc w:val="center"/>
        <w:textAlignment w:val="baseline"/>
        <w:outlineLvl w:val="9"/>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br w:type="page"/>
      </w:r>
    </w:p>
    <w:p w14:paraId="603E0D96">
      <w:pPr>
        <w:spacing w:before="78" w:line="22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格式二：</w:t>
      </w:r>
    </w:p>
    <w:p w14:paraId="455A87D6">
      <w:pPr>
        <w:spacing w:before="182" w:line="220" w:lineRule="auto"/>
        <w:ind w:left="3809"/>
        <w:outlineLvl w:val="9"/>
        <w:rPr>
          <w:rFonts w:hint="eastAsia" w:ascii="宋体" w:hAnsi="宋体" w:eastAsia="宋体" w:cs="宋体"/>
          <w:color w:val="auto"/>
          <w:sz w:val="24"/>
          <w:szCs w:val="24"/>
          <w:highlight w:val="none"/>
        </w:rPr>
      </w:pPr>
      <w:bookmarkStart w:id="44" w:name="_Toc15346"/>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投标函（格式）</w:t>
      </w:r>
      <w:bookmarkEnd w:id="44"/>
    </w:p>
    <w:p w14:paraId="60DF20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中峪国际项目管理有限公司</w:t>
      </w:r>
    </w:p>
    <w:p w14:paraId="43E996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我方参加你方就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（项目名称，项目编号/包号）组织的招标活动，并对此项目进行投标。</w:t>
      </w:r>
    </w:p>
    <w:p w14:paraId="7CF33F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我方已详细审查全部招标文件，自愿参与投标并承诺如下：</w:t>
      </w:r>
    </w:p>
    <w:p w14:paraId="5F5014C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按招标文件规定提供货物及服务的投标总价为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989486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(2)我方保证根据招标文件规定履行合同责任和义务。</w:t>
      </w:r>
    </w:p>
    <w:p w14:paraId="5635FD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(3)我方已详细审核了全部招标文件，包括招标文件的修改、补充文件（如果有的话）、参考资料及有关的附件，我们知道必须放弃提出含糊不清或误解的问题的权利。</w:t>
      </w:r>
    </w:p>
    <w:p w14:paraId="671D93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(4)我方同意在投标人须知规定的开标日期起遵循本投标书，并在投标人须知规定的投标有效期满之前均具有约束力，并有可能中标。</w:t>
      </w:r>
    </w:p>
    <w:p w14:paraId="1B9981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(5)我方如果在规定的投标有效期内撤回投标，则我们的投标保证金可被贵方没收。</w:t>
      </w:r>
    </w:p>
    <w:p w14:paraId="18C6D5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(6)我方已提供的全部文件资料是真实、准确的，并对此承担一切法律后果。</w:t>
      </w:r>
    </w:p>
    <w:p w14:paraId="60C5D1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(7)我方完全理解贵方不一定要接受最低报价的投标或收到的任何投标。</w:t>
      </w:r>
    </w:p>
    <w:p w14:paraId="7E72D8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(8)本投标自开标之日起 90 天内有效。</w:t>
      </w:r>
    </w:p>
    <w:p w14:paraId="2D9468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与本投标有关的正式通信地址为：</w:t>
      </w:r>
    </w:p>
    <w:p w14:paraId="413A06A1">
      <w:pPr>
        <w:pStyle w:val="7"/>
        <w:spacing w:line="245" w:lineRule="auto"/>
        <w:outlineLvl w:val="9"/>
        <w:rPr>
          <w:rFonts w:hint="eastAsia" w:ascii="宋体" w:hAnsi="宋体" w:eastAsia="宋体" w:cs="宋体"/>
          <w:color w:val="auto"/>
          <w:highlight w:val="none"/>
        </w:rPr>
      </w:pPr>
    </w:p>
    <w:p w14:paraId="605104CE">
      <w:pPr>
        <w:pStyle w:val="7"/>
        <w:spacing w:line="246" w:lineRule="auto"/>
        <w:outlineLvl w:val="9"/>
        <w:rPr>
          <w:rFonts w:hint="eastAsia" w:ascii="宋体" w:hAnsi="宋体" w:eastAsia="宋体" w:cs="宋体"/>
          <w:color w:val="auto"/>
          <w:highlight w:val="none"/>
        </w:rPr>
      </w:pPr>
    </w:p>
    <w:p w14:paraId="7E245FFE">
      <w:pPr>
        <w:spacing w:before="78" w:line="229"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地址：</w:t>
      </w:r>
    </w:p>
    <w:p w14:paraId="148B39A1">
      <w:pPr>
        <w:spacing w:before="170" w:line="219" w:lineRule="auto"/>
        <w:ind w:left="28"/>
        <w:outlineLvl w:val="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电话、传真或电传：</w:t>
      </w:r>
    </w:p>
    <w:p w14:paraId="5B87F255">
      <w:pPr>
        <w:spacing w:before="181" w:line="219" w:lineRule="auto"/>
        <w:ind w:left="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投标人名称（盖章</w:t>
      </w:r>
      <w:r>
        <w:rPr>
          <w:rFonts w:hint="eastAsia" w:ascii="宋体" w:hAnsi="宋体" w:eastAsia="宋体" w:cs="宋体"/>
          <w:color w:val="auto"/>
          <w:spacing w:val="1"/>
          <w:sz w:val="24"/>
          <w:szCs w:val="24"/>
          <w:highlight w:val="none"/>
        </w:rPr>
        <w:t>）：</w:t>
      </w:r>
    </w:p>
    <w:p w14:paraId="441ED35D">
      <w:pPr>
        <w:spacing w:before="181" w:line="468"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法定代表人（单位负责人）</w:t>
      </w:r>
    </w:p>
    <w:p w14:paraId="652319A9">
      <w:pPr>
        <w:spacing w:line="220" w:lineRule="auto"/>
        <w:ind w:left="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或授权代表（签字</w:t>
      </w:r>
      <w:r>
        <w:rPr>
          <w:rFonts w:hint="eastAsia" w:ascii="宋体" w:hAnsi="宋体" w:eastAsia="宋体" w:cs="宋体"/>
          <w:color w:val="auto"/>
          <w:spacing w:val="1"/>
          <w:sz w:val="24"/>
          <w:szCs w:val="24"/>
          <w:highlight w:val="none"/>
        </w:rPr>
        <w:t>）：</w:t>
      </w:r>
    </w:p>
    <w:p w14:paraId="7159D5BB">
      <w:pPr>
        <w:spacing w:before="182" w:line="220" w:lineRule="auto"/>
        <w:ind w:left="4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日期：</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pacing w:val="30"/>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pacing w:val="30"/>
          <w:sz w:val="24"/>
          <w:szCs w:val="24"/>
          <w:highlight w:val="none"/>
          <w:u w:val="single" w:color="auto"/>
        </w:rPr>
        <w:t xml:space="preserve">    </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13"/>
          <w:sz w:val="24"/>
          <w:szCs w:val="24"/>
          <w:highlight w:val="none"/>
        </w:rPr>
        <w:t>日</w:t>
      </w:r>
    </w:p>
    <w:p w14:paraId="3CBDAE0D">
      <w:pPr>
        <w:outlineLvl w:val="9"/>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br w:type="page"/>
      </w:r>
    </w:p>
    <w:p w14:paraId="1EB3E008">
      <w:pPr>
        <w:spacing w:before="48" w:line="22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格式三：</w:t>
      </w:r>
    </w:p>
    <w:p w14:paraId="0957B163">
      <w:pPr>
        <w:spacing w:before="181" w:line="219" w:lineRule="auto"/>
        <w:ind w:left="355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投标报价明细表（格式）</w:t>
      </w:r>
    </w:p>
    <w:p w14:paraId="59A66633">
      <w:pPr>
        <w:pStyle w:val="7"/>
        <w:spacing w:line="282" w:lineRule="auto"/>
        <w:outlineLvl w:val="9"/>
        <w:rPr>
          <w:rFonts w:hint="eastAsia" w:ascii="宋体" w:hAnsi="宋体" w:eastAsia="宋体" w:cs="宋体"/>
          <w:color w:val="auto"/>
          <w:highlight w:val="none"/>
        </w:rPr>
      </w:pPr>
    </w:p>
    <w:p w14:paraId="538780E1">
      <w:pPr>
        <w:pageBreakBefore w:val="0"/>
        <w:kinsoku/>
        <w:wordWrap/>
        <w:overflowPunct/>
        <w:topLinePunct w:val="0"/>
        <w:autoSpaceDE/>
        <w:autoSpaceDN/>
        <w:bidi w:val="0"/>
        <w:adjustRightInd w:val="0"/>
        <w:textAlignment w:val="baseline"/>
        <w:outlineLvl w:val="9"/>
        <w:rPr>
          <w:rFonts w:hint="eastAsia" w:ascii="宋体" w:hAnsi="宋体" w:cs="宋体"/>
          <w:color w:val="auto"/>
          <w:sz w:val="24"/>
          <w:highlight w:val="none"/>
          <w:u w:val="single"/>
        </w:rPr>
      </w:pPr>
      <w:r>
        <w:rPr>
          <w:rFonts w:hint="eastAsia" w:ascii="宋体" w:hAnsi="宋体" w:cs="宋体"/>
          <w:color w:val="auto"/>
          <w:sz w:val="24"/>
          <w:highlight w:val="none"/>
        </w:rPr>
        <w:t xml:space="preserve">项目名称： </w:t>
      </w:r>
      <w:r>
        <w:rPr>
          <w:rFonts w:hint="eastAsia" w:ascii="宋体" w:hAnsi="宋体" w:cs="宋体"/>
          <w:color w:val="auto"/>
          <w:sz w:val="24"/>
          <w:highlight w:val="none"/>
          <w:u w:val="single"/>
        </w:rPr>
        <w:t xml:space="preserve">                       </w:t>
      </w:r>
    </w:p>
    <w:p w14:paraId="23649119">
      <w:pPr>
        <w:pageBreakBefore w:val="0"/>
        <w:kinsoku/>
        <w:wordWrap/>
        <w:overflowPunct/>
        <w:topLinePunct w:val="0"/>
        <w:autoSpaceDE/>
        <w:autoSpaceDN/>
        <w:bidi w:val="0"/>
        <w:adjustRightInd w:val="0"/>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rPr>
        <w:t xml:space="preserve">项目编号：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2F611C6">
      <w:pPr>
        <w:pageBreakBefore w:val="0"/>
        <w:kinsoku/>
        <w:wordWrap/>
        <w:overflowPunct/>
        <w:topLinePunct w:val="0"/>
        <w:autoSpaceDE/>
        <w:autoSpaceDN/>
        <w:bidi w:val="0"/>
        <w:adjustRightInd w:val="0"/>
        <w:jc w:val="right"/>
        <w:textAlignment w:val="baseline"/>
        <w:outlineLvl w:val="9"/>
        <w:rPr>
          <w:rFonts w:hint="eastAsia" w:ascii="宋体" w:hAnsi="宋体" w:eastAsia="宋体"/>
          <w:color w:val="auto"/>
          <w:szCs w:val="30"/>
          <w:highlight w:val="none"/>
        </w:rPr>
      </w:pPr>
      <w:r>
        <w:rPr>
          <w:rFonts w:hint="eastAsia" w:ascii="宋体" w:hAnsi="宋体" w:cs="宋体"/>
          <w:color w:val="auto"/>
          <w:sz w:val="24"/>
          <w:highlight w:val="none"/>
        </w:rPr>
        <w:t>单位：元（人民币）</w:t>
      </w:r>
    </w:p>
    <w:tbl>
      <w:tblPr>
        <w:tblStyle w:val="21"/>
        <w:tblW w:w="9287" w:type="dxa"/>
        <w:tblInd w:w="93" w:type="dxa"/>
        <w:tblLayout w:type="fixed"/>
        <w:tblCellMar>
          <w:top w:w="0" w:type="dxa"/>
          <w:left w:w="108" w:type="dxa"/>
          <w:bottom w:w="0" w:type="dxa"/>
          <w:right w:w="108" w:type="dxa"/>
        </w:tblCellMar>
      </w:tblPr>
      <w:tblGrid>
        <w:gridCol w:w="858"/>
        <w:gridCol w:w="940"/>
        <w:gridCol w:w="1287"/>
        <w:gridCol w:w="1328"/>
        <w:gridCol w:w="715"/>
        <w:gridCol w:w="723"/>
        <w:gridCol w:w="1423"/>
        <w:gridCol w:w="1400"/>
        <w:gridCol w:w="613"/>
      </w:tblGrid>
      <w:tr w14:paraId="7FB75857">
        <w:tblPrEx>
          <w:tblCellMar>
            <w:top w:w="0" w:type="dxa"/>
            <w:left w:w="108" w:type="dxa"/>
            <w:bottom w:w="0" w:type="dxa"/>
            <w:right w:w="108" w:type="dxa"/>
          </w:tblCellMar>
        </w:tblPrEx>
        <w:trPr>
          <w:trHeight w:val="570"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029F68CB">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940" w:type="dxa"/>
            <w:tcBorders>
              <w:top w:val="single" w:color="auto" w:sz="4" w:space="0"/>
              <w:left w:val="nil"/>
              <w:bottom w:val="single" w:color="auto" w:sz="4" w:space="0"/>
              <w:right w:val="single" w:color="auto" w:sz="4" w:space="0"/>
            </w:tcBorders>
            <w:noWrap w:val="0"/>
            <w:vAlign w:val="center"/>
          </w:tcPr>
          <w:p w14:paraId="3A90AE5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内容</w:t>
            </w:r>
          </w:p>
        </w:tc>
        <w:tc>
          <w:tcPr>
            <w:tcW w:w="1287" w:type="dxa"/>
            <w:tcBorders>
              <w:top w:val="single" w:color="auto" w:sz="4" w:space="0"/>
              <w:left w:val="nil"/>
              <w:bottom w:val="single" w:color="auto" w:sz="4" w:space="0"/>
              <w:right w:val="single" w:color="auto" w:sz="4" w:space="0"/>
            </w:tcBorders>
            <w:noWrap w:val="0"/>
            <w:vAlign w:val="center"/>
          </w:tcPr>
          <w:p w14:paraId="6CF0C21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规格型号</w:t>
            </w:r>
          </w:p>
        </w:tc>
        <w:tc>
          <w:tcPr>
            <w:tcW w:w="1328" w:type="dxa"/>
            <w:tcBorders>
              <w:top w:val="single" w:color="auto" w:sz="4" w:space="0"/>
              <w:left w:val="nil"/>
              <w:bottom w:val="single" w:color="auto" w:sz="4" w:space="0"/>
              <w:right w:val="single" w:color="auto" w:sz="4" w:space="0"/>
            </w:tcBorders>
            <w:noWrap w:val="0"/>
            <w:vAlign w:val="center"/>
          </w:tcPr>
          <w:p w14:paraId="675C72C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生产厂家</w:t>
            </w:r>
          </w:p>
        </w:tc>
        <w:tc>
          <w:tcPr>
            <w:tcW w:w="715" w:type="dxa"/>
            <w:tcBorders>
              <w:top w:val="single" w:color="auto" w:sz="4" w:space="0"/>
              <w:left w:val="nil"/>
              <w:bottom w:val="single" w:color="auto" w:sz="4" w:space="0"/>
              <w:right w:val="single" w:color="auto" w:sz="4" w:space="0"/>
            </w:tcBorders>
            <w:noWrap w:val="0"/>
            <w:vAlign w:val="center"/>
          </w:tcPr>
          <w:p w14:paraId="7CC6D23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单位</w:t>
            </w:r>
          </w:p>
        </w:tc>
        <w:tc>
          <w:tcPr>
            <w:tcW w:w="723" w:type="dxa"/>
            <w:tcBorders>
              <w:top w:val="single" w:color="auto" w:sz="4" w:space="0"/>
              <w:left w:val="nil"/>
              <w:bottom w:val="single" w:color="auto" w:sz="4" w:space="0"/>
              <w:right w:val="single" w:color="auto" w:sz="4" w:space="0"/>
            </w:tcBorders>
            <w:noWrap w:val="0"/>
            <w:vAlign w:val="center"/>
          </w:tcPr>
          <w:p w14:paraId="43E30BA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数量</w:t>
            </w:r>
          </w:p>
        </w:tc>
        <w:tc>
          <w:tcPr>
            <w:tcW w:w="1423" w:type="dxa"/>
            <w:tcBorders>
              <w:top w:val="single" w:color="auto" w:sz="4" w:space="0"/>
              <w:left w:val="nil"/>
              <w:bottom w:val="single" w:color="auto" w:sz="4" w:space="0"/>
              <w:right w:val="single" w:color="auto" w:sz="4" w:space="0"/>
            </w:tcBorders>
            <w:noWrap w:val="0"/>
            <w:vAlign w:val="center"/>
          </w:tcPr>
          <w:p w14:paraId="2D29E9F8">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单价（元）</w:t>
            </w:r>
          </w:p>
        </w:tc>
        <w:tc>
          <w:tcPr>
            <w:tcW w:w="1400" w:type="dxa"/>
            <w:tcBorders>
              <w:top w:val="single" w:color="auto" w:sz="4" w:space="0"/>
              <w:left w:val="nil"/>
              <w:bottom w:val="single" w:color="auto" w:sz="4" w:space="0"/>
              <w:right w:val="single" w:color="auto" w:sz="4" w:space="0"/>
            </w:tcBorders>
            <w:noWrap w:val="0"/>
            <w:vAlign w:val="center"/>
          </w:tcPr>
          <w:p w14:paraId="4817ED3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合计（元）</w:t>
            </w:r>
          </w:p>
        </w:tc>
        <w:tc>
          <w:tcPr>
            <w:tcW w:w="613" w:type="dxa"/>
            <w:tcBorders>
              <w:top w:val="single" w:color="auto" w:sz="4" w:space="0"/>
              <w:left w:val="nil"/>
              <w:bottom w:val="single" w:color="auto" w:sz="4" w:space="0"/>
              <w:right w:val="single" w:color="auto" w:sz="4" w:space="0"/>
            </w:tcBorders>
            <w:noWrap w:val="0"/>
            <w:vAlign w:val="center"/>
          </w:tcPr>
          <w:p w14:paraId="00B07047">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33B7452D">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2DC821C8">
            <w:pPr>
              <w:widowControl/>
              <w:jc w:val="center"/>
              <w:rPr>
                <w:rFonts w:ascii="宋体" w:hAnsi="宋体" w:eastAsia="宋体" w:cs="宋体"/>
                <w:b/>
                <w:bCs/>
                <w:color w:val="auto"/>
                <w:kern w:val="0"/>
                <w:sz w:val="20"/>
                <w:szCs w:val="20"/>
                <w:highlight w:val="none"/>
              </w:rPr>
            </w:pPr>
          </w:p>
        </w:tc>
        <w:tc>
          <w:tcPr>
            <w:tcW w:w="940" w:type="dxa"/>
            <w:tcBorders>
              <w:top w:val="single" w:color="auto" w:sz="4" w:space="0"/>
              <w:left w:val="nil"/>
              <w:bottom w:val="single" w:color="auto" w:sz="4" w:space="0"/>
              <w:right w:val="single" w:color="auto" w:sz="4" w:space="0"/>
            </w:tcBorders>
            <w:noWrap w:val="0"/>
            <w:vAlign w:val="center"/>
          </w:tcPr>
          <w:p w14:paraId="5F3A93ED">
            <w:pPr>
              <w:widowControl/>
              <w:jc w:val="center"/>
              <w:rPr>
                <w:rFonts w:ascii="宋体" w:hAnsi="宋体" w:eastAsia="宋体" w:cs="宋体"/>
                <w:b/>
                <w:bCs/>
                <w:color w:val="auto"/>
                <w:kern w:val="0"/>
                <w:sz w:val="20"/>
                <w:szCs w:val="20"/>
                <w:highlight w:val="none"/>
              </w:rPr>
            </w:pPr>
          </w:p>
        </w:tc>
        <w:tc>
          <w:tcPr>
            <w:tcW w:w="1287" w:type="dxa"/>
            <w:tcBorders>
              <w:top w:val="single" w:color="auto" w:sz="4" w:space="0"/>
              <w:left w:val="nil"/>
              <w:bottom w:val="single" w:color="auto" w:sz="4" w:space="0"/>
              <w:right w:val="single" w:color="auto" w:sz="4" w:space="0"/>
            </w:tcBorders>
            <w:noWrap w:val="0"/>
            <w:vAlign w:val="center"/>
          </w:tcPr>
          <w:p w14:paraId="2BA495C2">
            <w:pPr>
              <w:widowControl/>
              <w:jc w:val="center"/>
              <w:rPr>
                <w:rFonts w:ascii="宋体" w:hAnsi="宋体" w:eastAsia="宋体" w:cs="宋体"/>
                <w:b/>
                <w:bCs/>
                <w:color w:val="auto"/>
                <w:kern w:val="0"/>
                <w:sz w:val="20"/>
                <w:szCs w:val="20"/>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1FAFF2D7">
            <w:pPr>
              <w:widowControl/>
              <w:jc w:val="center"/>
              <w:rPr>
                <w:rFonts w:ascii="宋体" w:hAnsi="宋体" w:eastAsia="宋体" w:cs="宋体"/>
                <w:b/>
                <w:bCs/>
                <w:color w:val="auto"/>
                <w:kern w:val="0"/>
                <w:sz w:val="20"/>
                <w:szCs w:val="20"/>
                <w:highlight w:val="none"/>
              </w:rPr>
            </w:pPr>
          </w:p>
        </w:tc>
        <w:tc>
          <w:tcPr>
            <w:tcW w:w="715" w:type="dxa"/>
            <w:tcBorders>
              <w:top w:val="single" w:color="auto" w:sz="4" w:space="0"/>
              <w:left w:val="nil"/>
              <w:bottom w:val="single" w:color="auto" w:sz="4" w:space="0"/>
              <w:right w:val="single" w:color="auto" w:sz="4" w:space="0"/>
            </w:tcBorders>
            <w:noWrap w:val="0"/>
            <w:vAlign w:val="center"/>
          </w:tcPr>
          <w:p w14:paraId="5ED89C62">
            <w:pPr>
              <w:widowControl/>
              <w:jc w:val="center"/>
              <w:rPr>
                <w:rFonts w:ascii="宋体" w:hAnsi="宋体" w:eastAsia="宋体" w:cs="宋体"/>
                <w:b/>
                <w:bCs/>
                <w:color w:val="auto"/>
                <w:kern w:val="0"/>
                <w:sz w:val="20"/>
                <w:szCs w:val="20"/>
                <w:highlight w:val="none"/>
              </w:rPr>
            </w:pPr>
          </w:p>
        </w:tc>
        <w:tc>
          <w:tcPr>
            <w:tcW w:w="723" w:type="dxa"/>
            <w:tcBorders>
              <w:top w:val="single" w:color="auto" w:sz="4" w:space="0"/>
              <w:left w:val="nil"/>
              <w:bottom w:val="single" w:color="auto" w:sz="4" w:space="0"/>
              <w:right w:val="single" w:color="auto" w:sz="4" w:space="0"/>
            </w:tcBorders>
            <w:noWrap w:val="0"/>
            <w:vAlign w:val="center"/>
          </w:tcPr>
          <w:p w14:paraId="747328EB">
            <w:pPr>
              <w:widowControl/>
              <w:jc w:val="center"/>
              <w:rPr>
                <w:rFonts w:ascii="宋体" w:hAnsi="宋体" w:eastAsia="宋体" w:cs="宋体"/>
                <w:b/>
                <w:bCs/>
                <w:color w:val="auto"/>
                <w:kern w:val="0"/>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2A2319A4">
            <w:pPr>
              <w:widowControl/>
              <w:jc w:val="center"/>
              <w:rPr>
                <w:rFonts w:ascii="宋体" w:hAnsi="宋体" w:eastAsia="宋体" w:cs="宋体"/>
                <w:b/>
                <w:bCs/>
                <w:color w:val="auto"/>
                <w:kern w:val="0"/>
                <w:sz w:val="20"/>
                <w:szCs w:val="20"/>
                <w:highlight w:val="none"/>
              </w:rPr>
            </w:pPr>
          </w:p>
        </w:tc>
        <w:tc>
          <w:tcPr>
            <w:tcW w:w="1400" w:type="dxa"/>
            <w:tcBorders>
              <w:top w:val="single" w:color="auto" w:sz="4" w:space="0"/>
              <w:left w:val="nil"/>
              <w:bottom w:val="single" w:color="auto" w:sz="4" w:space="0"/>
              <w:right w:val="single" w:color="auto" w:sz="4" w:space="0"/>
            </w:tcBorders>
            <w:noWrap w:val="0"/>
            <w:vAlign w:val="center"/>
          </w:tcPr>
          <w:p w14:paraId="3D9B5948">
            <w:pPr>
              <w:widowControl/>
              <w:jc w:val="center"/>
              <w:rPr>
                <w:rFonts w:ascii="宋体" w:hAnsi="宋体" w:eastAsia="宋体" w:cs="宋体"/>
                <w:b/>
                <w:bCs/>
                <w:color w:val="auto"/>
                <w:kern w:val="0"/>
                <w:sz w:val="20"/>
                <w:szCs w:val="20"/>
                <w:highlight w:val="none"/>
              </w:rPr>
            </w:pPr>
          </w:p>
        </w:tc>
        <w:tc>
          <w:tcPr>
            <w:tcW w:w="613" w:type="dxa"/>
            <w:tcBorders>
              <w:top w:val="single" w:color="auto" w:sz="4" w:space="0"/>
              <w:left w:val="nil"/>
              <w:bottom w:val="single" w:color="auto" w:sz="4" w:space="0"/>
              <w:right w:val="single" w:color="auto" w:sz="4" w:space="0"/>
            </w:tcBorders>
            <w:noWrap w:val="0"/>
            <w:vAlign w:val="center"/>
          </w:tcPr>
          <w:p w14:paraId="40EC6594">
            <w:pPr>
              <w:widowControl/>
              <w:jc w:val="center"/>
              <w:rPr>
                <w:rFonts w:ascii="宋体" w:hAnsi="宋体" w:eastAsia="宋体" w:cs="宋体"/>
                <w:color w:val="auto"/>
                <w:kern w:val="0"/>
                <w:sz w:val="20"/>
                <w:szCs w:val="20"/>
                <w:highlight w:val="none"/>
              </w:rPr>
            </w:pPr>
          </w:p>
        </w:tc>
      </w:tr>
      <w:tr w14:paraId="4E0D539E">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711128D6">
            <w:pPr>
              <w:widowControl/>
              <w:jc w:val="center"/>
              <w:rPr>
                <w:rFonts w:ascii="宋体" w:hAnsi="宋体" w:eastAsia="宋体" w:cs="宋体"/>
                <w:b/>
                <w:bCs/>
                <w:color w:val="auto"/>
                <w:kern w:val="0"/>
                <w:sz w:val="20"/>
                <w:szCs w:val="20"/>
                <w:highlight w:val="none"/>
              </w:rPr>
            </w:pPr>
          </w:p>
        </w:tc>
        <w:tc>
          <w:tcPr>
            <w:tcW w:w="940" w:type="dxa"/>
            <w:tcBorders>
              <w:top w:val="single" w:color="auto" w:sz="4" w:space="0"/>
              <w:left w:val="nil"/>
              <w:bottom w:val="single" w:color="auto" w:sz="4" w:space="0"/>
              <w:right w:val="single" w:color="auto" w:sz="4" w:space="0"/>
            </w:tcBorders>
            <w:noWrap w:val="0"/>
            <w:vAlign w:val="center"/>
          </w:tcPr>
          <w:p w14:paraId="03AC00E7">
            <w:pPr>
              <w:widowControl/>
              <w:jc w:val="center"/>
              <w:rPr>
                <w:rFonts w:ascii="宋体" w:hAnsi="宋体" w:eastAsia="宋体" w:cs="宋体"/>
                <w:b/>
                <w:bCs/>
                <w:color w:val="auto"/>
                <w:kern w:val="0"/>
                <w:sz w:val="20"/>
                <w:szCs w:val="20"/>
                <w:highlight w:val="none"/>
              </w:rPr>
            </w:pPr>
          </w:p>
        </w:tc>
        <w:tc>
          <w:tcPr>
            <w:tcW w:w="1287" w:type="dxa"/>
            <w:tcBorders>
              <w:top w:val="single" w:color="auto" w:sz="4" w:space="0"/>
              <w:left w:val="nil"/>
              <w:bottom w:val="single" w:color="auto" w:sz="4" w:space="0"/>
              <w:right w:val="single" w:color="auto" w:sz="4" w:space="0"/>
            </w:tcBorders>
            <w:noWrap w:val="0"/>
            <w:vAlign w:val="center"/>
          </w:tcPr>
          <w:p w14:paraId="68CF33B4">
            <w:pPr>
              <w:widowControl/>
              <w:jc w:val="center"/>
              <w:rPr>
                <w:rFonts w:ascii="宋体" w:hAnsi="宋体" w:eastAsia="宋体" w:cs="宋体"/>
                <w:b/>
                <w:bCs/>
                <w:color w:val="auto"/>
                <w:kern w:val="0"/>
                <w:sz w:val="20"/>
                <w:szCs w:val="20"/>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8AA7A35">
            <w:pPr>
              <w:widowControl/>
              <w:jc w:val="center"/>
              <w:rPr>
                <w:rFonts w:ascii="宋体" w:hAnsi="宋体" w:eastAsia="宋体" w:cs="宋体"/>
                <w:b/>
                <w:bCs/>
                <w:color w:val="auto"/>
                <w:kern w:val="0"/>
                <w:sz w:val="20"/>
                <w:szCs w:val="20"/>
                <w:highlight w:val="none"/>
              </w:rPr>
            </w:pPr>
          </w:p>
        </w:tc>
        <w:tc>
          <w:tcPr>
            <w:tcW w:w="715" w:type="dxa"/>
            <w:tcBorders>
              <w:top w:val="single" w:color="auto" w:sz="4" w:space="0"/>
              <w:left w:val="nil"/>
              <w:bottom w:val="single" w:color="auto" w:sz="4" w:space="0"/>
              <w:right w:val="single" w:color="auto" w:sz="4" w:space="0"/>
            </w:tcBorders>
            <w:noWrap w:val="0"/>
            <w:vAlign w:val="center"/>
          </w:tcPr>
          <w:p w14:paraId="23C6CE3B">
            <w:pPr>
              <w:widowControl/>
              <w:jc w:val="center"/>
              <w:rPr>
                <w:rFonts w:ascii="宋体" w:hAnsi="宋体" w:eastAsia="宋体" w:cs="宋体"/>
                <w:b/>
                <w:bCs/>
                <w:color w:val="auto"/>
                <w:kern w:val="0"/>
                <w:sz w:val="20"/>
                <w:szCs w:val="20"/>
                <w:highlight w:val="none"/>
              </w:rPr>
            </w:pPr>
          </w:p>
        </w:tc>
        <w:tc>
          <w:tcPr>
            <w:tcW w:w="723" w:type="dxa"/>
            <w:tcBorders>
              <w:top w:val="single" w:color="auto" w:sz="4" w:space="0"/>
              <w:left w:val="nil"/>
              <w:bottom w:val="single" w:color="auto" w:sz="4" w:space="0"/>
              <w:right w:val="single" w:color="auto" w:sz="4" w:space="0"/>
            </w:tcBorders>
            <w:noWrap w:val="0"/>
            <w:vAlign w:val="center"/>
          </w:tcPr>
          <w:p w14:paraId="7C599EF9">
            <w:pPr>
              <w:widowControl/>
              <w:jc w:val="center"/>
              <w:rPr>
                <w:rFonts w:ascii="宋体" w:hAnsi="宋体" w:eastAsia="宋体" w:cs="宋体"/>
                <w:b/>
                <w:bCs/>
                <w:color w:val="auto"/>
                <w:kern w:val="0"/>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743F1BB1">
            <w:pPr>
              <w:widowControl/>
              <w:jc w:val="center"/>
              <w:rPr>
                <w:rFonts w:ascii="宋体" w:hAnsi="宋体" w:eastAsia="宋体" w:cs="宋体"/>
                <w:b/>
                <w:bCs/>
                <w:color w:val="auto"/>
                <w:kern w:val="0"/>
                <w:sz w:val="20"/>
                <w:szCs w:val="20"/>
                <w:highlight w:val="none"/>
              </w:rPr>
            </w:pPr>
          </w:p>
        </w:tc>
        <w:tc>
          <w:tcPr>
            <w:tcW w:w="1400" w:type="dxa"/>
            <w:tcBorders>
              <w:top w:val="single" w:color="auto" w:sz="4" w:space="0"/>
              <w:left w:val="nil"/>
              <w:bottom w:val="single" w:color="auto" w:sz="4" w:space="0"/>
              <w:right w:val="single" w:color="auto" w:sz="4" w:space="0"/>
            </w:tcBorders>
            <w:noWrap w:val="0"/>
            <w:vAlign w:val="center"/>
          </w:tcPr>
          <w:p w14:paraId="3DC8387D">
            <w:pPr>
              <w:widowControl/>
              <w:jc w:val="center"/>
              <w:rPr>
                <w:rFonts w:ascii="宋体" w:hAnsi="宋体" w:eastAsia="宋体" w:cs="宋体"/>
                <w:b/>
                <w:bCs/>
                <w:color w:val="auto"/>
                <w:kern w:val="0"/>
                <w:sz w:val="20"/>
                <w:szCs w:val="20"/>
                <w:highlight w:val="none"/>
              </w:rPr>
            </w:pPr>
          </w:p>
        </w:tc>
        <w:tc>
          <w:tcPr>
            <w:tcW w:w="613" w:type="dxa"/>
            <w:tcBorders>
              <w:top w:val="single" w:color="auto" w:sz="4" w:space="0"/>
              <w:left w:val="nil"/>
              <w:bottom w:val="single" w:color="auto" w:sz="4" w:space="0"/>
              <w:right w:val="single" w:color="auto" w:sz="4" w:space="0"/>
            </w:tcBorders>
            <w:noWrap w:val="0"/>
            <w:vAlign w:val="center"/>
          </w:tcPr>
          <w:p w14:paraId="7B1161D3">
            <w:pPr>
              <w:widowControl/>
              <w:jc w:val="center"/>
              <w:rPr>
                <w:rFonts w:ascii="宋体" w:hAnsi="宋体" w:eastAsia="宋体" w:cs="宋体"/>
                <w:color w:val="auto"/>
                <w:kern w:val="0"/>
                <w:sz w:val="20"/>
                <w:szCs w:val="20"/>
                <w:highlight w:val="none"/>
              </w:rPr>
            </w:pPr>
          </w:p>
        </w:tc>
      </w:tr>
      <w:tr w14:paraId="3074D799">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35388F9C">
            <w:pPr>
              <w:widowControl/>
              <w:jc w:val="center"/>
              <w:rPr>
                <w:rFonts w:ascii="宋体" w:hAnsi="宋体" w:eastAsia="宋体" w:cs="宋体"/>
                <w:color w:val="auto"/>
                <w:kern w:val="0"/>
                <w:sz w:val="20"/>
                <w:szCs w:val="20"/>
                <w:highlight w:val="none"/>
              </w:rPr>
            </w:pPr>
          </w:p>
        </w:tc>
        <w:tc>
          <w:tcPr>
            <w:tcW w:w="940" w:type="dxa"/>
            <w:tcBorders>
              <w:top w:val="single" w:color="auto" w:sz="4" w:space="0"/>
              <w:left w:val="nil"/>
              <w:bottom w:val="single" w:color="auto" w:sz="4" w:space="0"/>
              <w:right w:val="single" w:color="auto" w:sz="4" w:space="0"/>
            </w:tcBorders>
            <w:noWrap w:val="0"/>
            <w:vAlign w:val="center"/>
          </w:tcPr>
          <w:p w14:paraId="1560BEFD">
            <w:pPr>
              <w:widowControl/>
              <w:jc w:val="center"/>
              <w:rPr>
                <w:rFonts w:ascii="宋体" w:hAnsi="宋体" w:eastAsia="宋体" w:cs="宋体"/>
                <w:color w:val="auto"/>
                <w:kern w:val="0"/>
                <w:sz w:val="20"/>
                <w:szCs w:val="20"/>
                <w:highlight w:val="none"/>
              </w:rPr>
            </w:pPr>
          </w:p>
        </w:tc>
        <w:tc>
          <w:tcPr>
            <w:tcW w:w="1287" w:type="dxa"/>
            <w:tcBorders>
              <w:top w:val="single" w:color="auto" w:sz="4" w:space="0"/>
              <w:left w:val="nil"/>
              <w:bottom w:val="single" w:color="auto" w:sz="4" w:space="0"/>
              <w:right w:val="single" w:color="auto" w:sz="4" w:space="0"/>
            </w:tcBorders>
            <w:noWrap w:val="0"/>
            <w:vAlign w:val="center"/>
          </w:tcPr>
          <w:p w14:paraId="67B9DAB4">
            <w:pPr>
              <w:widowControl/>
              <w:jc w:val="center"/>
              <w:rPr>
                <w:rFonts w:ascii="宋体" w:hAnsi="宋体" w:eastAsia="宋体" w:cs="宋体"/>
                <w:color w:val="auto"/>
                <w:kern w:val="0"/>
                <w:sz w:val="20"/>
                <w:szCs w:val="20"/>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09C77B4A">
            <w:pPr>
              <w:widowControl/>
              <w:jc w:val="center"/>
              <w:rPr>
                <w:rFonts w:ascii="宋体" w:hAnsi="宋体" w:eastAsia="宋体" w:cs="宋体"/>
                <w:color w:val="auto"/>
                <w:kern w:val="0"/>
                <w:sz w:val="20"/>
                <w:szCs w:val="20"/>
                <w:highlight w:val="none"/>
              </w:rPr>
            </w:pPr>
          </w:p>
        </w:tc>
        <w:tc>
          <w:tcPr>
            <w:tcW w:w="715" w:type="dxa"/>
            <w:tcBorders>
              <w:top w:val="single" w:color="auto" w:sz="4" w:space="0"/>
              <w:left w:val="nil"/>
              <w:bottom w:val="single" w:color="auto" w:sz="4" w:space="0"/>
              <w:right w:val="single" w:color="auto" w:sz="4" w:space="0"/>
            </w:tcBorders>
            <w:noWrap w:val="0"/>
            <w:vAlign w:val="center"/>
          </w:tcPr>
          <w:p w14:paraId="7B7AD4AD">
            <w:pPr>
              <w:widowControl/>
              <w:jc w:val="center"/>
              <w:rPr>
                <w:rFonts w:ascii="宋体" w:hAnsi="宋体" w:eastAsia="宋体" w:cs="宋体"/>
                <w:color w:val="auto"/>
                <w:kern w:val="0"/>
                <w:sz w:val="20"/>
                <w:szCs w:val="20"/>
                <w:highlight w:val="none"/>
              </w:rPr>
            </w:pPr>
          </w:p>
        </w:tc>
        <w:tc>
          <w:tcPr>
            <w:tcW w:w="723" w:type="dxa"/>
            <w:tcBorders>
              <w:top w:val="single" w:color="auto" w:sz="4" w:space="0"/>
              <w:left w:val="nil"/>
              <w:bottom w:val="single" w:color="auto" w:sz="4" w:space="0"/>
              <w:right w:val="single" w:color="auto" w:sz="4" w:space="0"/>
            </w:tcBorders>
            <w:noWrap w:val="0"/>
            <w:vAlign w:val="center"/>
          </w:tcPr>
          <w:p w14:paraId="7AAD97D4">
            <w:pPr>
              <w:widowControl/>
              <w:jc w:val="center"/>
              <w:rPr>
                <w:rFonts w:ascii="宋体" w:hAnsi="宋体" w:eastAsia="宋体" w:cs="宋体"/>
                <w:color w:val="auto"/>
                <w:kern w:val="0"/>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695219A0">
            <w:pPr>
              <w:widowControl/>
              <w:jc w:val="center"/>
              <w:rPr>
                <w:rFonts w:ascii="宋体" w:hAnsi="宋体" w:eastAsia="宋体" w:cs="宋体"/>
                <w:color w:val="auto"/>
                <w:kern w:val="0"/>
                <w:sz w:val="20"/>
                <w:szCs w:val="20"/>
                <w:highlight w:val="none"/>
              </w:rPr>
            </w:pPr>
          </w:p>
        </w:tc>
        <w:tc>
          <w:tcPr>
            <w:tcW w:w="1400" w:type="dxa"/>
            <w:tcBorders>
              <w:top w:val="single" w:color="auto" w:sz="4" w:space="0"/>
              <w:left w:val="nil"/>
              <w:bottom w:val="single" w:color="auto" w:sz="4" w:space="0"/>
              <w:right w:val="single" w:color="auto" w:sz="4" w:space="0"/>
            </w:tcBorders>
            <w:noWrap w:val="0"/>
            <w:vAlign w:val="center"/>
          </w:tcPr>
          <w:p w14:paraId="52B12474">
            <w:pPr>
              <w:widowControl/>
              <w:jc w:val="center"/>
              <w:rPr>
                <w:rFonts w:ascii="宋体" w:hAnsi="宋体" w:eastAsia="宋体" w:cs="宋体"/>
                <w:color w:val="auto"/>
                <w:kern w:val="0"/>
                <w:sz w:val="20"/>
                <w:szCs w:val="20"/>
                <w:highlight w:val="none"/>
              </w:rPr>
            </w:pPr>
          </w:p>
        </w:tc>
        <w:tc>
          <w:tcPr>
            <w:tcW w:w="613" w:type="dxa"/>
            <w:tcBorders>
              <w:top w:val="single" w:color="auto" w:sz="4" w:space="0"/>
              <w:left w:val="nil"/>
              <w:bottom w:val="single" w:color="auto" w:sz="4" w:space="0"/>
              <w:right w:val="single" w:color="auto" w:sz="4" w:space="0"/>
            </w:tcBorders>
            <w:noWrap w:val="0"/>
            <w:vAlign w:val="center"/>
          </w:tcPr>
          <w:p w14:paraId="5266F332">
            <w:pPr>
              <w:widowControl/>
              <w:jc w:val="center"/>
              <w:rPr>
                <w:rFonts w:ascii="宋体" w:hAnsi="宋体" w:eastAsia="宋体" w:cs="宋体"/>
                <w:color w:val="auto"/>
                <w:kern w:val="0"/>
                <w:sz w:val="20"/>
                <w:szCs w:val="20"/>
                <w:highlight w:val="none"/>
              </w:rPr>
            </w:pPr>
          </w:p>
        </w:tc>
      </w:tr>
      <w:tr w14:paraId="566E391A">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7139053A">
            <w:pPr>
              <w:widowControl/>
              <w:jc w:val="center"/>
              <w:rPr>
                <w:rFonts w:ascii="宋体" w:hAnsi="宋体" w:eastAsia="宋体" w:cs="宋体"/>
                <w:color w:val="auto"/>
                <w:kern w:val="0"/>
                <w:sz w:val="20"/>
                <w:szCs w:val="20"/>
                <w:highlight w:val="none"/>
              </w:rPr>
            </w:pPr>
          </w:p>
        </w:tc>
        <w:tc>
          <w:tcPr>
            <w:tcW w:w="940" w:type="dxa"/>
            <w:tcBorders>
              <w:top w:val="single" w:color="auto" w:sz="4" w:space="0"/>
              <w:left w:val="nil"/>
              <w:bottom w:val="single" w:color="auto" w:sz="4" w:space="0"/>
              <w:right w:val="single" w:color="auto" w:sz="4" w:space="0"/>
            </w:tcBorders>
            <w:noWrap w:val="0"/>
            <w:vAlign w:val="center"/>
          </w:tcPr>
          <w:p w14:paraId="739F3544">
            <w:pPr>
              <w:widowControl/>
              <w:jc w:val="center"/>
              <w:rPr>
                <w:rFonts w:ascii="宋体" w:hAnsi="宋体" w:eastAsia="宋体" w:cs="宋体"/>
                <w:color w:val="auto"/>
                <w:kern w:val="0"/>
                <w:sz w:val="20"/>
                <w:szCs w:val="20"/>
                <w:highlight w:val="none"/>
              </w:rPr>
            </w:pPr>
          </w:p>
        </w:tc>
        <w:tc>
          <w:tcPr>
            <w:tcW w:w="1287" w:type="dxa"/>
            <w:tcBorders>
              <w:top w:val="single" w:color="auto" w:sz="4" w:space="0"/>
              <w:left w:val="nil"/>
              <w:bottom w:val="single" w:color="auto" w:sz="4" w:space="0"/>
              <w:right w:val="single" w:color="auto" w:sz="4" w:space="0"/>
            </w:tcBorders>
            <w:noWrap w:val="0"/>
            <w:vAlign w:val="center"/>
          </w:tcPr>
          <w:p w14:paraId="681A7FA4">
            <w:pPr>
              <w:widowControl/>
              <w:jc w:val="center"/>
              <w:rPr>
                <w:rFonts w:ascii="宋体" w:hAnsi="宋体" w:eastAsia="宋体" w:cs="宋体"/>
                <w:color w:val="auto"/>
                <w:kern w:val="0"/>
                <w:sz w:val="20"/>
                <w:szCs w:val="20"/>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D1E8D73">
            <w:pPr>
              <w:widowControl/>
              <w:jc w:val="center"/>
              <w:rPr>
                <w:rFonts w:ascii="宋体" w:hAnsi="宋体" w:eastAsia="宋体" w:cs="宋体"/>
                <w:color w:val="auto"/>
                <w:kern w:val="0"/>
                <w:sz w:val="20"/>
                <w:szCs w:val="20"/>
                <w:highlight w:val="none"/>
              </w:rPr>
            </w:pPr>
          </w:p>
        </w:tc>
        <w:tc>
          <w:tcPr>
            <w:tcW w:w="715" w:type="dxa"/>
            <w:tcBorders>
              <w:top w:val="single" w:color="auto" w:sz="4" w:space="0"/>
              <w:left w:val="nil"/>
              <w:bottom w:val="single" w:color="auto" w:sz="4" w:space="0"/>
              <w:right w:val="single" w:color="auto" w:sz="4" w:space="0"/>
            </w:tcBorders>
            <w:noWrap w:val="0"/>
            <w:vAlign w:val="center"/>
          </w:tcPr>
          <w:p w14:paraId="21CBEA37">
            <w:pPr>
              <w:widowControl/>
              <w:jc w:val="center"/>
              <w:rPr>
                <w:rFonts w:ascii="宋体" w:hAnsi="宋体" w:eastAsia="宋体" w:cs="宋体"/>
                <w:color w:val="auto"/>
                <w:kern w:val="0"/>
                <w:sz w:val="20"/>
                <w:szCs w:val="20"/>
                <w:highlight w:val="none"/>
              </w:rPr>
            </w:pPr>
          </w:p>
        </w:tc>
        <w:tc>
          <w:tcPr>
            <w:tcW w:w="723" w:type="dxa"/>
            <w:tcBorders>
              <w:top w:val="single" w:color="auto" w:sz="4" w:space="0"/>
              <w:left w:val="nil"/>
              <w:bottom w:val="single" w:color="auto" w:sz="4" w:space="0"/>
              <w:right w:val="single" w:color="auto" w:sz="4" w:space="0"/>
            </w:tcBorders>
            <w:noWrap w:val="0"/>
            <w:vAlign w:val="center"/>
          </w:tcPr>
          <w:p w14:paraId="01C095A9">
            <w:pPr>
              <w:widowControl/>
              <w:jc w:val="center"/>
              <w:rPr>
                <w:rFonts w:ascii="宋体" w:hAnsi="宋体" w:eastAsia="宋体" w:cs="宋体"/>
                <w:color w:val="auto"/>
                <w:kern w:val="0"/>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10B82E80">
            <w:pPr>
              <w:widowControl/>
              <w:jc w:val="center"/>
              <w:rPr>
                <w:rFonts w:ascii="宋体" w:hAnsi="宋体" w:eastAsia="宋体" w:cs="宋体"/>
                <w:color w:val="auto"/>
                <w:kern w:val="0"/>
                <w:sz w:val="20"/>
                <w:szCs w:val="20"/>
                <w:highlight w:val="none"/>
              </w:rPr>
            </w:pPr>
          </w:p>
        </w:tc>
        <w:tc>
          <w:tcPr>
            <w:tcW w:w="1400" w:type="dxa"/>
            <w:tcBorders>
              <w:top w:val="single" w:color="auto" w:sz="4" w:space="0"/>
              <w:left w:val="nil"/>
              <w:bottom w:val="single" w:color="auto" w:sz="4" w:space="0"/>
              <w:right w:val="single" w:color="auto" w:sz="4" w:space="0"/>
            </w:tcBorders>
            <w:noWrap w:val="0"/>
            <w:vAlign w:val="center"/>
          </w:tcPr>
          <w:p w14:paraId="0B63054C">
            <w:pPr>
              <w:widowControl/>
              <w:jc w:val="center"/>
              <w:rPr>
                <w:rFonts w:ascii="宋体" w:hAnsi="宋体" w:eastAsia="宋体" w:cs="宋体"/>
                <w:color w:val="auto"/>
                <w:kern w:val="0"/>
                <w:sz w:val="20"/>
                <w:szCs w:val="20"/>
                <w:highlight w:val="none"/>
              </w:rPr>
            </w:pPr>
          </w:p>
        </w:tc>
        <w:tc>
          <w:tcPr>
            <w:tcW w:w="613" w:type="dxa"/>
            <w:tcBorders>
              <w:top w:val="single" w:color="auto" w:sz="4" w:space="0"/>
              <w:left w:val="nil"/>
              <w:bottom w:val="single" w:color="auto" w:sz="4" w:space="0"/>
              <w:right w:val="single" w:color="auto" w:sz="4" w:space="0"/>
            </w:tcBorders>
            <w:noWrap w:val="0"/>
            <w:vAlign w:val="center"/>
          </w:tcPr>
          <w:p w14:paraId="27804962">
            <w:pPr>
              <w:widowControl/>
              <w:jc w:val="center"/>
              <w:rPr>
                <w:rFonts w:ascii="宋体" w:hAnsi="宋体" w:eastAsia="宋体" w:cs="宋体"/>
                <w:color w:val="auto"/>
                <w:kern w:val="0"/>
                <w:sz w:val="20"/>
                <w:szCs w:val="20"/>
                <w:highlight w:val="none"/>
              </w:rPr>
            </w:pPr>
          </w:p>
        </w:tc>
      </w:tr>
      <w:tr w14:paraId="2AE32D5F">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3ECFD07F">
            <w:pPr>
              <w:widowControl/>
              <w:jc w:val="center"/>
              <w:rPr>
                <w:rFonts w:ascii="宋体" w:hAnsi="宋体" w:eastAsia="宋体" w:cs="宋体"/>
                <w:color w:val="auto"/>
                <w:kern w:val="0"/>
                <w:sz w:val="20"/>
                <w:szCs w:val="20"/>
                <w:highlight w:val="none"/>
              </w:rPr>
            </w:pPr>
          </w:p>
        </w:tc>
        <w:tc>
          <w:tcPr>
            <w:tcW w:w="940" w:type="dxa"/>
            <w:tcBorders>
              <w:top w:val="single" w:color="auto" w:sz="4" w:space="0"/>
              <w:left w:val="nil"/>
              <w:bottom w:val="single" w:color="auto" w:sz="4" w:space="0"/>
              <w:right w:val="single" w:color="auto" w:sz="4" w:space="0"/>
            </w:tcBorders>
            <w:noWrap w:val="0"/>
            <w:vAlign w:val="center"/>
          </w:tcPr>
          <w:p w14:paraId="09BC6D81">
            <w:pPr>
              <w:widowControl/>
              <w:jc w:val="center"/>
              <w:rPr>
                <w:rFonts w:ascii="宋体" w:hAnsi="宋体" w:eastAsia="宋体" w:cs="宋体"/>
                <w:color w:val="auto"/>
                <w:kern w:val="0"/>
                <w:sz w:val="20"/>
                <w:szCs w:val="20"/>
                <w:highlight w:val="none"/>
              </w:rPr>
            </w:pPr>
          </w:p>
        </w:tc>
        <w:tc>
          <w:tcPr>
            <w:tcW w:w="1287" w:type="dxa"/>
            <w:tcBorders>
              <w:top w:val="single" w:color="auto" w:sz="4" w:space="0"/>
              <w:left w:val="nil"/>
              <w:bottom w:val="single" w:color="auto" w:sz="4" w:space="0"/>
              <w:right w:val="single" w:color="auto" w:sz="4" w:space="0"/>
            </w:tcBorders>
            <w:noWrap w:val="0"/>
            <w:vAlign w:val="center"/>
          </w:tcPr>
          <w:p w14:paraId="0707F6A0">
            <w:pPr>
              <w:widowControl/>
              <w:jc w:val="center"/>
              <w:rPr>
                <w:rFonts w:ascii="宋体" w:hAnsi="宋体" w:eastAsia="宋体" w:cs="宋体"/>
                <w:color w:val="auto"/>
                <w:kern w:val="0"/>
                <w:sz w:val="20"/>
                <w:szCs w:val="20"/>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28E4A25D">
            <w:pPr>
              <w:widowControl/>
              <w:jc w:val="center"/>
              <w:rPr>
                <w:rFonts w:ascii="宋体" w:hAnsi="宋体" w:eastAsia="宋体" w:cs="宋体"/>
                <w:color w:val="auto"/>
                <w:kern w:val="0"/>
                <w:sz w:val="20"/>
                <w:szCs w:val="20"/>
                <w:highlight w:val="none"/>
              </w:rPr>
            </w:pPr>
          </w:p>
        </w:tc>
        <w:tc>
          <w:tcPr>
            <w:tcW w:w="715" w:type="dxa"/>
            <w:tcBorders>
              <w:top w:val="single" w:color="auto" w:sz="4" w:space="0"/>
              <w:left w:val="nil"/>
              <w:bottom w:val="single" w:color="auto" w:sz="4" w:space="0"/>
              <w:right w:val="single" w:color="auto" w:sz="4" w:space="0"/>
            </w:tcBorders>
            <w:noWrap w:val="0"/>
            <w:vAlign w:val="center"/>
          </w:tcPr>
          <w:p w14:paraId="3D371AAE">
            <w:pPr>
              <w:widowControl/>
              <w:jc w:val="center"/>
              <w:rPr>
                <w:rFonts w:ascii="宋体" w:hAnsi="宋体" w:eastAsia="宋体" w:cs="宋体"/>
                <w:color w:val="auto"/>
                <w:kern w:val="0"/>
                <w:sz w:val="20"/>
                <w:szCs w:val="20"/>
                <w:highlight w:val="none"/>
              </w:rPr>
            </w:pPr>
          </w:p>
        </w:tc>
        <w:tc>
          <w:tcPr>
            <w:tcW w:w="723" w:type="dxa"/>
            <w:tcBorders>
              <w:top w:val="single" w:color="auto" w:sz="4" w:space="0"/>
              <w:left w:val="nil"/>
              <w:bottom w:val="single" w:color="auto" w:sz="4" w:space="0"/>
              <w:right w:val="single" w:color="auto" w:sz="4" w:space="0"/>
            </w:tcBorders>
            <w:noWrap w:val="0"/>
            <w:vAlign w:val="center"/>
          </w:tcPr>
          <w:p w14:paraId="759F9D15">
            <w:pPr>
              <w:widowControl/>
              <w:jc w:val="center"/>
              <w:rPr>
                <w:rFonts w:ascii="宋体" w:hAnsi="宋体" w:eastAsia="宋体" w:cs="宋体"/>
                <w:color w:val="auto"/>
                <w:kern w:val="0"/>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7D3E4BC6">
            <w:pPr>
              <w:widowControl/>
              <w:jc w:val="center"/>
              <w:rPr>
                <w:rFonts w:ascii="宋体" w:hAnsi="宋体" w:eastAsia="宋体" w:cs="宋体"/>
                <w:color w:val="auto"/>
                <w:kern w:val="0"/>
                <w:sz w:val="20"/>
                <w:szCs w:val="20"/>
                <w:highlight w:val="none"/>
              </w:rPr>
            </w:pPr>
          </w:p>
        </w:tc>
        <w:tc>
          <w:tcPr>
            <w:tcW w:w="1400" w:type="dxa"/>
            <w:tcBorders>
              <w:top w:val="single" w:color="auto" w:sz="4" w:space="0"/>
              <w:left w:val="nil"/>
              <w:bottom w:val="single" w:color="auto" w:sz="4" w:space="0"/>
              <w:right w:val="single" w:color="auto" w:sz="4" w:space="0"/>
            </w:tcBorders>
            <w:noWrap w:val="0"/>
            <w:vAlign w:val="center"/>
          </w:tcPr>
          <w:p w14:paraId="4A5F0CD8">
            <w:pPr>
              <w:widowControl/>
              <w:jc w:val="center"/>
              <w:rPr>
                <w:rFonts w:ascii="宋体" w:hAnsi="宋体" w:eastAsia="宋体" w:cs="宋体"/>
                <w:color w:val="auto"/>
                <w:kern w:val="0"/>
                <w:sz w:val="20"/>
                <w:szCs w:val="20"/>
                <w:highlight w:val="none"/>
              </w:rPr>
            </w:pPr>
          </w:p>
        </w:tc>
        <w:tc>
          <w:tcPr>
            <w:tcW w:w="613" w:type="dxa"/>
            <w:tcBorders>
              <w:top w:val="single" w:color="auto" w:sz="4" w:space="0"/>
              <w:left w:val="nil"/>
              <w:bottom w:val="single" w:color="auto" w:sz="4" w:space="0"/>
              <w:right w:val="single" w:color="auto" w:sz="4" w:space="0"/>
            </w:tcBorders>
            <w:noWrap w:val="0"/>
            <w:vAlign w:val="center"/>
          </w:tcPr>
          <w:p w14:paraId="059891C8">
            <w:pPr>
              <w:widowControl/>
              <w:jc w:val="center"/>
              <w:rPr>
                <w:rFonts w:ascii="宋体" w:hAnsi="宋体" w:eastAsia="宋体" w:cs="宋体"/>
                <w:color w:val="auto"/>
                <w:kern w:val="0"/>
                <w:sz w:val="20"/>
                <w:szCs w:val="20"/>
                <w:highlight w:val="none"/>
              </w:rPr>
            </w:pPr>
          </w:p>
        </w:tc>
      </w:tr>
      <w:tr w14:paraId="43B4D5DE">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3455F02A">
            <w:pPr>
              <w:widowControl/>
              <w:jc w:val="center"/>
              <w:rPr>
                <w:rFonts w:ascii="宋体" w:hAnsi="宋体" w:eastAsia="宋体" w:cs="宋体"/>
                <w:color w:val="auto"/>
                <w:kern w:val="0"/>
                <w:sz w:val="20"/>
                <w:szCs w:val="20"/>
                <w:highlight w:val="none"/>
              </w:rPr>
            </w:pPr>
          </w:p>
        </w:tc>
        <w:tc>
          <w:tcPr>
            <w:tcW w:w="940" w:type="dxa"/>
            <w:tcBorders>
              <w:top w:val="single" w:color="auto" w:sz="4" w:space="0"/>
              <w:left w:val="nil"/>
              <w:bottom w:val="single" w:color="auto" w:sz="4" w:space="0"/>
              <w:right w:val="single" w:color="auto" w:sz="4" w:space="0"/>
            </w:tcBorders>
            <w:noWrap w:val="0"/>
            <w:vAlign w:val="center"/>
          </w:tcPr>
          <w:p w14:paraId="3FE46AEA">
            <w:pPr>
              <w:widowControl/>
              <w:jc w:val="center"/>
              <w:rPr>
                <w:rFonts w:ascii="宋体" w:hAnsi="宋体" w:eastAsia="宋体" w:cs="宋体"/>
                <w:color w:val="auto"/>
                <w:kern w:val="0"/>
                <w:sz w:val="20"/>
                <w:szCs w:val="20"/>
                <w:highlight w:val="none"/>
              </w:rPr>
            </w:pPr>
          </w:p>
        </w:tc>
        <w:tc>
          <w:tcPr>
            <w:tcW w:w="1287" w:type="dxa"/>
            <w:tcBorders>
              <w:top w:val="single" w:color="auto" w:sz="4" w:space="0"/>
              <w:left w:val="nil"/>
              <w:bottom w:val="single" w:color="auto" w:sz="4" w:space="0"/>
              <w:right w:val="single" w:color="auto" w:sz="4" w:space="0"/>
            </w:tcBorders>
            <w:noWrap w:val="0"/>
            <w:vAlign w:val="center"/>
          </w:tcPr>
          <w:p w14:paraId="58C2CB75">
            <w:pPr>
              <w:widowControl/>
              <w:jc w:val="center"/>
              <w:rPr>
                <w:rFonts w:ascii="宋体" w:hAnsi="宋体" w:eastAsia="宋体" w:cs="宋体"/>
                <w:color w:val="auto"/>
                <w:kern w:val="0"/>
                <w:sz w:val="20"/>
                <w:szCs w:val="20"/>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27765068">
            <w:pPr>
              <w:widowControl/>
              <w:jc w:val="center"/>
              <w:rPr>
                <w:rFonts w:ascii="宋体" w:hAnsi="宋体" w:eastAsia="宋体" w:cs="宋体"/>
                <w:color w:val="auto"/>
                <w:kern w:val="0"/>
                <w:sz w:val="20"/>
                <w:szCs w:val="20"/>
                <w:highlight w:val="none"/>
              </w:rPr>
            </w:pPr>
          </w:p>
        </w:tc>
        <w:tc>
          <w:tcPr>
            <w:tcW w:w="715" w:type="dxa"/>
            <w:tcBorders>
              <w:top w:val="single" w:color="auto" w:sz="4" w:space="0"/>
              <w:left w:val="nil"/>
              <w:bottom w:val="single" w:color="auto" w:sz="4" w:space="0"/>
              <w:right w:val="single" w:color="auto" w:sz="4" w:space="0"/>
            </w:tcBorders>
            <w:noWrap w:val="0"/>
            <w:vAlign w:val="center"/>
          </w:tcPr>
          <w:p w14:paraId="3520426E">
            <w:pPr>
              <w:widowControl/>
              <w:jc w:val="center"/>
              <w:rPr>
                <w:rFonts w:ascii="宋体" w:hAnsi="宋体" w:eastAsia="宋体" w:cs="宋体"/>
                <w:color w:val="auto"/>
                <w:kern w:val="0"/>
                <w:sz w:val="20"/>
                <w:szCs w:val="20"/>
                <w:highlight w:val="none"/>
              </w:rPr>
            </w:pPr>
          </w:p>
        </w:tc>
        <w:tc>
          <w:tcPr>
            <w:tcW w:w="723" w:type="dxa"/>
            <w:tcBorders>
              <w:top w:val="single" w:color="auto" w:sz="4" w:space="0"/>
              <w:left w:val="nil"/>
              <w:bottom w:val="single" w:color="auto" w:sz="4" w:space="0"/>
              <w:right w:val="single" w:color="auto" w:sz="4" w:space="0"/>
            </w:tcBorders>
            <w:noWrap w:val="0"/>
            <w:vAlign w:val="center"/>
          </w:tcPr>
          <w:p w14:paraId="5E3F4C56">
            <w:pPr>
              <w:widowControl/>
              <w:jc w:val="center"/>
              <w:rPr>
                <w:rFonts w:ascii="宋体" w:hAnsi="宋体" w:eastAsia="宋体" w:cs="宋体"/>
                <w:color w:val="auto"/>
                <w:kern w:val="0"/>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7BAD3FB8">
            <w:pPr>
              <w:widowControl/>
              <w:jc w:val="center"/>
              <w:rPr>
                <w:rFonts w:ascii="宋体" w:hAnsi="宋体" w:eastAsia="宋体" w:cs="宋体"/>
                <w:color w:val="auto"/>
                <w:kern w:val="0"/>
                <w:sz w:val="20"/>
                <w:szCs w:val="20"/>
                <w:highlight w:val="none"/>
              </w:rPr>
            </w:pPr>
          </w:p>
        </w:tc>
        <w:tc>
          <w:tcPr>
            <w:tcW w:w="1400" w:type="dxa"/>
            <w:tcBorders>
              <w:top w:val="single" w:color="auto" w:sz="4" w:space="0"/>
              <w:left w:val="nil"/>
              <w:bottom w:val="single" w:color="auto" w:sz="4" w:space="0"/>
              <w:right w:val="single" w:color="auto" w:sz="4" w:space="0"/>
            </w:tcBorders>
            <w:noWrap w:val="0"/>
            <w:vAlign w:val="center"/>
          </w:tcPr>
          <w:p w14:paraId="50F6B2E7">
            <w:pPr>
              <w:widowControl/>
              <w:jc w:val="center"/>
              <w:rPr>
                <w:rFonts w:ascii="宋体" w:hAnsi="宋体" w:eastAsia="宋体" w:cs="宋体"/>
                <w:color w:val="auto"/>
                <w:kern w:val="0"/>
                <w:sz w:val="20"/>
                <w:szCs w:val="20"/>
                <w:highlight w:val="none"/>
              </w:rPr>
            </w:pPr>
          </w:p>
        </w:tc>
        <w:tc>
          <w:tcPr>
            <w:tcW w:w="613" w:type="dxa"/>
            <w:tcBorders>
              <w:top w:val="single" w:color="auto" w:sz="4" w:space="0"/>
              <w:left w:val="nil"/>
              <w:bottom w:val="single" w:color="auto" w:sz="4" w:space="0"/>
              <w:right w:val="single" w:color="auto" w:sz="4" w:space="0"/>
            </w:tcBorders>
            <w:noWrap w:val="0"/>
            <w:vAlign w:val="center"/>
          </w:tcPr>
          <w:p w14:paraId="4FB6C4CA">
            <w:pPr>
              <w:widowControl/>
              <w:jc w:val="center"/>
              <w:rPr>
                <w:rFonts w:ascii="宋体" w:hAnsi="宋体" w:eastAsia="宋体" w:cs="宋体"/>
                <w:color w:val="auto"/>
                <w:kern w:val="0"/>
                <w:sz w:val="20"/>
                <w:szCs w:val="20"/>
                <w:highlight w:val="none"/>
              </w:rPr>
            </w:pPr>
          </w:p>
        </w:tc>
      </w:tr>
      <w:tr w14:paraId="0ED3F2B1">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05D61F29">
            <w:pPr>
              <w:widowControl/>
              <w:jc w:val="center"/>
              <w:rPr>
                <w:rFonts w:ascii="宋体" w:hAnsi="宋体" w:eastAsia="宋体" w:cs="宋体"/>
                <w:color w:val="auto"/>
                <w:kern w:val="0"/>
                <w:sz w:val="20"/>
                <w:szCs w:val="20"/>
                <w:highlight w:val="none"/>
              </w:rPr>
            </w:pPr>
          </w:p>
        </w:tc>
        <w:tc>
          <w:tcPr>
            <w:tcW w:w="940" w:type="dxa"/>
            <w:tcBorders>
              <w:top w:val="single" w:color="auto" w:sz="4" w:space="0"/>
              <w:left w:val="nil"/>
              <w:bottom w:val="single" w:color="auto" w:sz="4" w:space="0"/>
              <w:right w:val="single" w:color="auto" w:sz="4" w:space="0"/>
            </w:tcBorders>
            <w:noWrap w:val="0"/>
            <w:vAlign w:val="center"/>
          </w:tcPr>
          <w:p w14:paraId="45164BF9">
            <w:pPr>
              <w:widowControl/>
              <w:jc w:val="center"/>
              <w:rPr>
                <w:rFonts w:ascii="宋体" w:hAnsi="宋体" w:eastAsia="宋体" w:cs="宋体"/>
                <w:color w:val="auto"/>
                <w:kern w:val="0"/>
                <w:sz w:val="20"/>
                <w:szCs w:val="20"/>
                <w:highlight w:val="none"/>
              </w:rPr>
            </w:pPr>
          </w:p>
        </w:tc>
        <w:tc>
          <w:tcPr>
            <w:tcW w:w="1287" w:type="dxa"/>
            <w:tcBorders>
              <w:top w:val="single" w:color="auto" w:sz="4" w:space="0"/>
              <w:left w:val="nil"/>
              <w:bottom w:val="single" w:color="auto" w:sz="4" w:space="0"/>
              <w:right w:val="single" w:color="auto" w:sz="4" w:space="0"/>
            </w:tcBorders>
            <w:noWrap w:val="0"/>
            <w:vAlign w:val="center"/>
          </w:tcPr>
          <w:p w14:paraId="3A8EE036">
            <w:pPr>
              <w:widowControl/>
              <w:jc w:val="center"/>
              <w:rPr>
                <w:rFonts w:ascii="宋体" w:hAnsi="宋体" w:eastAsia="宋体" w:cs="宋体"/>
                <w:color w:val="auto"/>
                <w:kern w:val="0"/>
                <w:sz w:val="20"/>
                <w:szCs w:val="20"/>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2A6FB08">
            <w:pPr>
              <w:widowControl/>
              <w:jc w:val="center"/>
              <w:rPr>
                <w:rFonts w:ascii="宋体" w:hAnsi="宋体" w:eastAsia="宋体" w:cs="宋体"/>
                <w:color w:val="auto"/>
                <w:kern w:val="0"/>
                <w:sz w:val="20"/>
                <w:szCs w:val="20"/>
                <w:highlight w:val="none"/>
              </w:rPr>
            </w:pPr>
          </w:p>
        </w:tc>
        <w:tc>
          <w:tcPr>
            <w:tcW w:w="715" w:type="dxa"/>
            <w:tcBorders>
              <w:top w:val="single" w:color="auto" w:sz="4" w:space="0"/>
              <w:left w:val="nil"/>
              <w:bottom w:val="single" w:color="auto" w:sz="4" w:space="0"/>
              <w:right w:val="single" w:color="auto" w:sz="4" w:space="0"/>
            </w:tcBorders>
            <w:noWrap w:val="0"/>
            <w:vAlign w:val="center"/>
          </w:tcPr>
          <w:p w14:paraId="6B1B4BA7">
            <w:pPr>
              <w:widowControl/>
              <w:jc w:val="center"/>
              <w:rPr>
                <w:rFonts w:ascii="宋体" w:hAnsi="宋体" w:eastAsia="宋体" w:cs="宋体"/>
                <w:color w:val="auto"/>
                <w:kern w:val="0"/>
                <w:sz w:val="20"/>
                <w:szCs w:val="20"/>
                <w:highlight w:val="none"/>
              </w:rPr>
            </w:pPr>
          </w:p>
        </w:tc>
        <w:tc>
          <w:tcPr>
            <w:tcW w:w="723" w:type="dxa"/>
            <w:tcBorders>
              <w:top w:val="single" w:color="auto" w:sz="4" w:space="0"/>
              <w:left w:val="nil"/>
              <w:bottom w:val="single" w:color="auto" w:sz="4" w:space="0"/>
              <w:right w:val="single" w:color="auto" w:sz="4" w:space="0"/>
            </w:tcBorders>
            <w:noWrap w:val="0"/>
            <w:vAlign w:val="center"/>
          </w:tcPr>
          <w:p w14:paraId="5918AD96">
            <w:pPr>
              <w:widowControl/>
              <w:jc w:val="center"/>
              <w:rPr>
                <w:rFonts w:ascii="宋体" w:hAnsi="宋体" w:eastAsia="宋体" w:cs="宋体"/>
                <w:color w:val="auto"/>
                <w:kern w:val="0"/>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2A52C27A">
            <w:pPr>
              <w:widowControl/>
              <w:jc w:val="center"/>
              <w:rPr>
                <w:rFonts w:ascii="宋体" w:hAnsi="宋体" w:eastAsia="宋体" w:cs="宋体"/>
                <w:color w:val="auto"/>
                <w:kern w:val="0"/>
                <w:sz w:val="20"/>
                <w:szCs w:val="20"/>
                <w:highlight w:val="none"/>
              </w:rPr>
            </w:pPr>
          </w:p>
        </w:tc>
        <w:tc>
          <w:tcPr>
            <w:tcW w:w="1400" w:type="dxa"/>
            <w:tcBorders>
              <w:top w:val="single" w:color="auto" w:sz="4" w:space="0"/>
              <w:left w:val="nil"/>
              <w:bottom w:val="single" w:color="auto" w:sz="4" w:space="0"/>
              <w:right w:val="single" w:color="auto" w:sz="4" w:space="0"/>
            </w:tcBorders>
            <w:noWrap w:val="0"/>
            <w:vAlign w:val="center"/>
          </w:tcPr>
          <w:p w14:paraId="085F360F">
            <w:pPr>
              <w:widowControl/>
              <w:jc w:val="center"/>
              <w:rPr>
                <w:rFonts w:ascii="宋体" w:hAnsi="宋体" w:eastAsia="宋体" w:cs="宋体"/>
                <w:color w:val="auto"/>
                <w:kern w:val="0"/>
                <w:sz w:val="20"/>
                <w:szCs w:val="20"/>
                <w:highlight w:val="none"/>
              </w:rPr>
            </w:pPr>
          </w:p>
        </w:tc>
        <w:tc>
          <w:tcPr>
            <w:tcW w:w="613" w:type="dxa"/>
            <w:tcBorders>
              <w:top w:val="single" w:color="auto" w:sz="4" w:space="0"/>
              <w:left w:val="nil"/>
              <w:bottom w:val="single" w:color="auto" w:sz="4" w:space="0"/>
              <w:right w:val="single" w:color="auto" w:sz="4" w:space="0"/>
            </w:tcBorders>
            <w:noWrap w:val="0"/>
            <w:vAlign w:val="center"/>
          </w:tcPr>
          <w:p w14:paraId="3BCEBC1D">
            <w:pPr>
              <w:widowControl/>
              <w:jc w:val="center"/>
              <w:rPr>
                <w:rFonts w:ascii="宋体" w:hAnsi="宋体" w:eastAsia="宋体" w:cs="宋体"/>
                <w:color w:val="auto"/>
                <w:kern w:val="0"/>
                <w:sz w:val="20"/>
                <w:szCs w:val="20"/>
                <w:highlight w:val="none"/>
              </w:rPr>
            </w:pPr>
          </w:p>
        </w:tc>
      </w:tr>
      <w:tr w14:paraId="646EE59E">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5B640578">
            <w:pPr>
              <w:widowControl/>
              <w:jc w:val="center"/>
              <w:rPr>
                <w:rFonts w:ascii="宋体" w:hAnsi="宋体" w:eastAsia="宋体" w:cs="宋体"/>
                <w:color w:val="auto"/>
                <w:kern w:val="0"/>
                <w:sz w:val="20"/>
                <w:szCs w:val="20"/>
                <w:highlight w:val="none"/>
              </w:rPr>
            </w:pPr>
          </w:p>
        </w:tc>
        <w:tc>
          <w:tcPr>
            <w:tcW w:w="940" w:type="dxa"/>
            <w:tcBorders>
              <w:top w:val="single" w:color="auto" w:sz="4" w:space="0"/>
              <w:left w:val="nil"/>
              <w:bottom w:val="single" w:color="auto" w:sz="4" w:space="0"/>
              <w:right w:val="single" w:color="auto" w:sz="4" w:space="0"/>
            </w:tcBorders>
            <w:noWrap w:val="0"/>
            <w:vAlign w:val="center"/>
          </w:tcPr>
          <w:p w14:paraId="4D286B58">
            <w:pPr>
              <w:widowControl/>
              <w:jc w:val="center"/>
              <w:rPr>
                <w:rFonts w:ascii="宋体" w:hAnsi="宋体" w:eastAsia="宋体" w:cs="宋体"/>
                <w:color w:val="auto"/>
                <w:kern w:val="0"/>
                <w:sz w:val="20"/>
                <w:szCs w:val="20"/>
                <w:highlight w:val="none"/>
              </w:rPr>
            </w:pPr>
          </w:p>
        </w:tc>
        <w:tc>
          <w:tcPr>
            <w:tcW w:w="1287" w:type="dxa"/>
            <w:tcBorders>
              <w:top w:val="single" w:color="auto" w:sz="4" w:space="0"/>
              <w:left w:val="nil"/>
              <w:bottom w:val="single" w:color="auto" w:sz="4" w:space="0"/>
              <w:right w:val="single" w:color="auto" w:sz="4" w:space="0"/>
            </w:tcBorders>
            <w:noWrap w:val="0"/>
            <w:vAlign w:val="center"/>
          </w:tcPr>
          <w:p w14:paraId="07D289FD">
            <w:pPr>
              <w:widowControl/>
              <w:jc w:val="center"/>
              <w:rPr>
                <w:rFonts w:ascii="宋体" w:hAnsi="宋体" w:eastAsia="宋体" w:cs="宋体"/>
                <w:color w:val="auto"/>
                <w:kern w:val="0"/>
                <w:sz w:val="20"/>
                <w:szCs w:val="20"/>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123E0315">
            <w:pPr>
              <w:widowControl/>
              <w:jc w:val="center"/>
              <w:rPr>
                <w:rFonts w:ascii="宋体" w:hAnsi="宋体" w:eastAsia="宋体" w:cs="宋体"/>
                <w:color w:val="auto"/>
                <w:kern w:val="0"/>
                <w:sz w:val="20"/>
                <w:szCs w:val="20"/>
                <w:highlight w:val="none"/>
              </w:rPr>
            </w:pPr>
          </w:p>
        </w:tc>
        <w:tc>
          <w:tcPr>
            <w:tcW w:w="715" w:type="dxa"/>
            <w:tcBorders>
              <w:top w:val="single" w:color="auto" w:sz="4" w:space="0"/>
              <w:left w:val="nil"/>
              <w:bottom w:val="single" w:color="auto" w:sz="4" w:space="0"/>
              <w:right w:val="single" w:color="auto" w:sz="4" w:space="0"/>
            </w:tcBorders>
            <w:noWrap w:val="0"/>
            <w:vAlign w:val="center"/>
          </w:tcPr>
          <w:p w14:paraId="15161B60">
            <w:pPr>
              <w:widowControl/>
              <w:jc w:val="center"/>
              <w:rPr>
                <w:rFonts w:ascii="宋体" w:hAnsi="宋体" w:eastAsia="宋体" w:cs="宋体"/>
                <w:color w:val="auto"/>
                <w:kern w:val="0"/>
                <w:sz w:val="20"/>
                <w:szCs w:val="20"/>
                <w:highlight w:val="none"/>
              </w:rPr>
            </w:pPr>
          </w:p>
        </w:tc>
        <w:tc>
          <w:tcPr>
            <w:tcW w:w="723" w:type="dxa"/>
            <w:tcBorders>
              <w:top w:val="single" w:color="auto" w:sz="4" w:space="0"/>
              <w:left w:val="nil"/>
              <w:bottom w:val="single" w:color="auto" w:sz="4" w:space="0"/>
              <w:right w:val="single" w:color="auto" w:sz="4" w:space="0"/>
            </w:tcBorders>
            <w:noWrap w:val="0"/>
            <w:vAlign w:val="center"/>
          </w:tcPr>
          <w:p w14:paraId="10015434">
            <w:pPr>
              <w:widowControl/>
              <w:jc w:val="center"/>
              <w:rPr>
                <w:rFonts w:ascii="宋体" w:hAnsi="宋体" w:eastAsia="宋体" w:cs="宋体"/>
                <w:color w:val="auto"/>
                <w:kern w:val="0"/>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0FC7DB2D">
            <w:pPr>
              <w:widowControl/>
              <w:jc w:val="center"/>
              <w:rPr>
                <w:rFonts w:ascii="宋体" w:hAnsi="宋体" w:eastAsia="宋体" w:cs="宋体"/>
                <w:color w:val="auto"/>
                <w:kern w:val="0"/>
                <w:sz w:val="20"/>
                <w:szCs w:val="20"/>
                <w:highlight w:val="none"/>
              </w:rPr>
            </w:pPr>
          </w:p>
        </w:tc>
        <w:tc>
          <w:tcPr>
            <w:tcW w:w="1400" w:type="dxa"/>
            <w:tcBorders>
              <w:top w:val="single" w:color="auto" w:sz="4" w:space="0"/>
              <w:left w:val="nil"/>
              <w:bottom w:val="single" w:color="auto" w:sz="4" w:space="0"/>
              <w:right w:val="single" w:color="auto" w:sz="4" w:space="0"/>
            </w:tcBorders>
            <w:noWrap w:val="0"/>
            <w:vAlign w:val="center"/>
          </w:tcPr>
          <w:p w14:paraId="7500543A">
            <w:pPr>
              <w:widowControl/>
              <w:jc w:val="center"/>
              <w:rPr>
                <w:rFonts w:ascii="宋体" w:hAnsi="宋体" w:eastAsia="宋体" w:cs="宋体"/>
                <w:color w:val="auto"/>
                <w:kern w:val="0"/>
                <w:sz w:val="20"/>
                <w:szCs w:val="20"/>
                <w:highlight w:val="none"/>
              </w:rPr>
            </w:pPr>
          </w:p>
        </w:tc>
        <w:tc>
          <w:tcPr>
            <w:tcW w:w="613" w:type="dxa"/>
            <w:tcBorders>
              <w:top w:val="single" w:color="auto" w:sz="4" w:space="0"/>
              <w:left w:val="nil"/>
              <w:bottom w:val="single" w:color="auto" w:sz="4" w:space="0"/>
              <w:right w:val="single" w:color="auto" w:sz="4" w:space="0"/>
            </w:tcBorders>
            <w:noWrap w:val="0"/>
            <w:vAlign w:val="center"/>
          </w:tcPr>
          <w:p w14:paraId="12B16C8E">
            <w:pPr>
              <w:widowControl/>
              <w:jc w:val="center"/>
              <w:rPr>
                <w:rFonts w:ascii="宋体" w:hAnsi="宋体" w:eastAsia="宋体" w:cs="宋体"/>
                <w:color w:val="auto"/>
                <w:kern w:val="0"/>
                <w:sz w:val="20"/>
                <w:szCs w:val="20"/>
                <w:highlight w:val="none"/>
              </w:rPr>
            </w:pPr>
          </w:p>
        </w:tc>
      </w:tr>
      <w:tr w14:paraId="1013ECC1">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6E713FA6">
            <w:pPr>
              <w:widowControl/>
              <w:jc w:val="center"/>
              <w:rPr>
                <w:rFonts w:ascii="宋体" w:hAnsi="宋体" w:eastAsia="宋体" w:cs="宋体"/>
                <w:color w:val="auto"/>
                <w:kern w:val="0"/>
                <w:sz w:val="20"/>
                <w:szCs w:val="20"/>
                <w:highlight w:val="none"/>
              </w:rPr>
            </w:pPr>
          </w:p>
        </w:tc>
        <w:tc>
          <w:tcPr>
            <w:tcW w:w="940" w:type="dxa"/>
            <w:tcBorders>
              <w:top w:val="single" w:color="auto" w:sz="4" w:space="0"/>
              <w:left w:val="nil"/>
              <w:bottom w:val="single" w:color="auto" w:sz="4" w:space="0"/>
              <w:right w:val="single" w:color="auto" w:sz="4" w:space="0"/>
            </w:tcBorders>
            <w:noWrap w:val="0"/>
            <w:vAlign w:val="center"/>
          </w:tcPr>
          <w:p w14:paraId="0C98309F">
            <w:pPr>
              <w:widowControl/>
              <w:jc w:val="center"/>
              <w:rPr>
                <w:rFonts w:ascii="宋体" w:hAnsi="宋体" w:eastAsia="宋体" w:cs="宋体"/>
                <w:color w:val="auto"/>
                <w:kern w:val="0"/>
                <w:sz w:val="20"/>
                <w:szCs w:val="20"/>
                <w:highlight w:val="none"/>
              </w:rPr>
            </w:pPr>
          </w:p>
        </w:tc>
        <w:tc>
          <w:tcPr>
            <w:tcW w:w="1287" w:type="dxa"/>
            <w:tcBorders>
              <w:top w:val="single" w:color="auto" w:sz="4" w:space="0"/>
              <w:left w:val="nil"/>
              <w:bottom w:val="single" w:color="auto" w:sz="4" w:space="0"/>
              <w:right w:val="single" w:color="auto" w:sz="4" w:space="0"/>
            </w:tcBorders>
            <w:noWrap w:val="0"/>
            <w:vAlign w:val="center"/>
          </w:tcPr>
          <w:p w14:paraId="7ED930CF">
            <w:pPr>
              <w:widowControl/>
              <w:jc w:val="center"/>
              <w:rPr>
                <w:rFonts w:ascii="宋体" w:hAnsi="宋体" w:eastAsia="宋体" w:cs="宋体"/>
                <w:color w:val="auto"/>
                <w:kern w:val="0"/>
                <w:sz w:val="20"/>
                <w:szCs w:val="20"/>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E34B9A0">
            <w:pPr>
              <w:widowControl/>
              <w:jc w:val="center"/>
              <w:rPr>
                <w:rFonts w:ascii="宋体" w:hAnsi="宋体" w:eastAsia="宋体" w:cs="宋体"/>
                <w:color w:val="auto"/>
                <w:kern w:val="0"/>
                <w:sz w:val="20"/>
                <w:szCs w:val="20"/>
                <w:highlight w:val="none"/>
              </w:rPr>
            </w:pPr>
          </w:p>
        </w:tc>
        <w:tc>
          <w:tcPr>
            <w:tcW w:w="715" w:type="dxa"/>
            <w:tcBorders>
              <w:top w:val="single" w:color="auto" w:sz="4" w:space="0"/>
              <w:left w:val="nil"/>
              <w:bottom w:val="single" w:color="auto" w:sz="4" w:space="0"/>
              <w:right w:val="single" w:color="auto" w:sz="4" w:space="0"/>
            </w:tcBorders>
            <w:noWrap w:val="0"/>
            <w:vAlign w:val="center"/>
          </w:tcPr>
          <w:p w14:paraId="0DF9271E">
            <w:pPr>
              <w:widowControl/>
              <w:jc w:val="center"/>
              <w:rPr>
                <w:rFonts w:ascii="宋体" w:hAnsi="宋体" w:eastAsia="宋体" w:cs="宋体"/>
                <w:color w:val="auto"/>
                <w:kern w:val="0"/>
                <w:sz w:val="20"/>
                <w:szCs w:val="20"/>
                <w:highlight w:val="none"/>
              </w:rPr>
            </w:pPr>
          </w:p>
        </w:tc>
        <w:tc>
          <w:tcPr>
            <w:tcW w:w="723" w:type="dxa"/>
            <w:tcBorders>
              <w:top w:val="single" w:color="auto" w:sz="4" w:space="0"/>
              <w:left w:val="nil"/>
              <w:bottom w:val="single" w:color="auto" w:sz="4" w:space="0"/>
              <w:right w:val="single" w:color="auto" w:sz="4" w:space="0"/>
            </w:tcBorders>
            <w:noWrap w:val="0"/>
            <w:vAlign w:val="center"/>
          </w:tcPr>
          <w:p w14:paraId="56F497DC">
            <w:pPr>
              <w:widowControl/>
              <w:jc w:val="center"/>
              <w:rPr>
                <w:rFonts w:ascii="宋体" w:hAnsi="宋体" w:eastAsia="宋体" w:cs="宋体"/>
                <w:color w:val="auto"/>
                <w:kern w:val="0"/>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70A43249">
            <w:pPr>
              <w:widowControl/>
              <w:jc w:val="center"/>
              <w:rPr>
                <w:rFonts w:ascii="宋体" w:hAnsi="宋体" w:eastAsia="宋体" w:cs="宋体"/>
                <w:color w:val="auto"/>
                <w:kern w:val="0"/>
                <w:sz w:val="20"/>
                <w:szCs w:val="20"/>
                <w:highlight w:val="none"/>
              </w:rPr>
            </w:pPr>
          </w:p>
        </w:tc>
        <w:tc>
          <w:tcPr>
            <w:tcW w:w="1400" w:type="dxa"/>
            <w:tcBorders>
              <w:top w:val="single" w:color="auto" w:sz="4" w:space="0"/>
              <w:left w:val="nil"/>
              <w:bottom w:val="single" w:color="auto" w:sz="4" w:space="0"/>
              <w:right w:val="single" w:color="auto" w:sz="4" w:space="0"/>
            </w:tcBorders>
            <w:noWrap w:val="0"/>
            <w:vAlign w:val="center"/>
          </w:tcPr>
          <w:p w14:paraId="044EFF83">
            <w:pPr>
              <w:widowControl/>
              <w:jc w:val="center"/>
              <w:rPr>
                <w:rFonts w:ascii="宋体" w:hAnsi="宋体" w:eastAsia="宋体" w:cs="宋体"/>
                <w:color w:val="auto"/>
                <w:kern w:val="0"/>
                <w:sz w:val="20"/>
                <w:szCs w:val="20"/>
                <w:highlight w:val="none"/>
              </w:rPr>
            </w:pPr>
          </w:p>
        </w:tc>
        <w:tc>
          <w:tcPr>
            <w:tcW w:w="613" w:type="dxa"/>
            <w:tcBorders>
              <w:top w:val="single" w:color="auto" w:sz="4" w:space="0"/>
              <w:left w:val="nil"/>
              <w:bottom w:val="single" w:color="auto" w:sz="4" w:space="0"/>
              <w:right w:val="single" w:color="auto" w:sz="4" w:space="0"/>
            </w:tcBorders>
            <w:noWrap w:val="0"/>
            <w:vAlign w:val="center"/>
          </w:tcPr>
          <w:p w14:paraId="75F5CE28">
            <w:pPr>
              <w:widowControl/>
              <w:jc w:val="center"/>
              <w:rPr>
                <w:rFonts w:ascii="宋体" w:hAnsi="宋体" w:eastAsia="宋体" w:cs="宋体"/>
                <w:color w:val="auto"/>
                <w:kern w:val="0"/>
                <w:sz w:val="20"/>
                <w:szCs w:val="20"/>
                <w:highlight w:val="none"/>
              </w:rPr>
            </w:pPr>
          </w:p>
        </w:tc>
      </w:tr>
      <w:tr w14:paraId="669C2E77">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2C077AF0">
            <w:pPr>
              <w:widowControl/>
              <w:jc w:val="center"/>
              <w:rPr>
                <w:rFonts w:ascii="宋体" w:hAnsi="宋体" w:eastAsia="宋体" w:cs="宋体"/>
                <w:color w:val="auto"/>
                <w:kern w:val="0"/>
                <w:sz w:val="20"/>
                <w:szCs w:val="20"/>
                <w:highlight w:val="none"/>
              </w:rPr>
            </w:pPr>
          </w:p>
        </w:tc>
        <w:tc>
          <w:tcPr>
            <w:tcW w:w="940" w:type="dxa"/>
            <w:tcBorders>
              <w:top w:val="single" w:color="auto" w:sz="4" w:space="0"/>
              <w:left w:val="nil"/>
              <w:bottom w:val="single" w:color="auto" w:sz="4" w:space="0"/>
              <w:right w:val="single" w:color="auto" w:sz="4" w:space="0"/>
            </w:tcBorders>
            <w:noWrap w:val="0"/>
            <w:vAlign w:val="center"/>
          </w:tcPr>
          <w:p w14:paraId="71571350">
            <w:pPr>
              <w:widowControl/>
              <w:jc w:val="center"/>
              <w:rPr>
                <w:rFonts w:ascii="宋体" w:hAnsi="宋体" w:eastAsia="宋体" w:cs="宋体"/>
                <w:color w:val="auto"/>
                <w:kern w:val="0"/>
                <w:sz w:val="20"/>
                <w:szCs w:val="20"/>
                <w:highlight w:val="none"/>
              </w:rPr>
            </w:pPr>
          </w:p>
        </w:tc>
        <w:tc>
          <w:tcPr>
            <w:tcW w:w="1287" w:type="dxa"/>
            <w:tcBorders>
              <w:top w:val="single" w:color="auto" w:sz="4" w:space="0"/>
              <w:left w:val="nil"/>
              <w:bottom w:val="single" w:color="auto" w:sz="4" w:space="0"/>
              <w:right w:val="single" w:color="auto" w:sz="4" w:space="0"/>
            </w:tcBorders>
            <w:noWrap w:val="0"/>
            <w:vAlign w:val="center"/>
          </w:tcPr>
          <w:p w14:paraId="2F3334CF">
            <w:pPr>
              <w:widowControl/>
              <w:jc w:val="center"/>
              <w:rPr>
                <w:rFonts w:ascii="宋体" w:hAnsi="宋体" w:eastAsia="宋体" w:cs="宋体"/>
                <w:color w:val="auto"/>
                <w:kern w:val="0"/>
                <w:sz w:val="20"/>
                <w:szCs w:val="20"/>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3D8A8C5">
            <w:pPr>
              <w:widowControl/>
              <w:jc w:val="center"/>
              <w:rPr>
                <w:rFonts w:ascii="宋体" w:hAnsi="宋体" w:eastAsia="宋体" w:cs="宋体"/>
                <w:color w:val="auto"/>
                <w:kern w:val="0"/>
                <w:sz w:val="20"/>
                <w:szCs w:val="20"/>
                <w:highlight w:val="none"/>
              </w:rPr>
            </w:pPr>
          </w:p>
        </w:tc>
        <w:tc>
          <w:tcPr>
            <w:tcW w:w="715" w:type="dxa"/>
            <w:tcBorders>
              <w:top w:val="single" w:color="auto" w:sz="4" w:space="0"/>
              <w:left w:val="nil"/>
              <w:bottom w:val="single" w:color="auto" w:sz="4" w:space="0"/>
              <w:right w:val="single" w:color="auto" w:sz="4" w:space="0"/>
            </w:tcBorders>
            <w:noWrap w:val="0"/>
            <w:vAlign w:val="center"/>
          </w:tcPr>
          <w:p w14:paraId="660C86DA">
            <w:pPr>
              <w:widowControl/>
              <w:jc w:val="center"/>
              <w:rPr>
                <w:rFonts w:ascii="宋体" w:hAnsi="宋体" w:eastAsia="宋体" w:cs="宋体"/>
                <w:color w:val="auto"/>
                <w:kern w:val="0"/>
                <w:sz w:val="20"/>
                <w:szCs w:val="20"/>
                <w:highlight w:val="none"/>
              </w:rPr>
            </w:pPr>
          </w:p>
        </w:tc>
        <w:tc>
          <w:tcPr>
            <w:tcW w:w="723" w:type="dxa"/>
            <w:tcBorders>
              <w:top w:val="single" w:color="auto" w:sz="4" w:space="0"/>
              <w:left w:val="nil"/>
              <w:bottom w:val="single" w:color="auto" w:sz="4" w:space="0"/>
              <w:right w:val="single" w:color="auto" w:sz="4" w:space="0"/>
            </w:tcBorders>
            <w:noWrap w:val="0"/>
            <w:vAlign w:val="center"/>
          </w:tcPr>
          <w:p w14:paraId="5387CC46">
            <w:pPr>
              <w:widowControl/>
              <w:jc w:val="center"/>
              <w:rPr>
                <w:rFonts w:ascii="宋体" w:hAnsi="宋体" w:eastAsia="宋体" w:cs="宋体"/>
                <w:color w:val="auto"/>
                <w:kern w:val="0"/>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248F66F3">
            <w:pPr>
              <w:widowControl/>
              <w:jc w:val="center"/>
              <w:rPr>
                <w:rFonts w:ascii="宋体" w:hAnsi="宋体" w:eastAsia="宋体" w:cs="宋体"/>
                <w:color w:val="auto"/>
                <w:kern w:val="0"/>
                <w:sz w:val="20"/>
                <w:szCs w:val="20"/>
                <w:highlight w:val="none"/>
              </w:rPr>
            </w:pPr>
          </w:p>
        </w:tc>
        <w:tc>
          <w:tcPr>
            <w:tcW w:w="1400" w:type="dxa"/>
            <w:tcBorders>
              <w:top w:val="single" w:color="auto" w:sz="4" w:space="0"/>
              <w:left w:val="nil"/>
              <w:bottom w:val="single" w:color="auto" w:sz="4" w:space="0"/>
              <w:right w:val="single" w:color="auto" w:sz="4" w:space="0"/>
            </w:tcBorders>
            <w:noWrap w:val="0"/>
            <w:vAlign w:val="center"/>
          </w:tcPr>
          <w:p w14:paraId="0B38160B">
            <w:pPr>
              <w:widowControl/>
              <w:jc w:val="center"/>
              <w:rPr>
                <w:rFonts w:ascii="宋体" w:hAnsi="宋体" w:eastAsia="宋体" w:cs="宋体"/>
                <w:color w:val="auto"/>
                <w:kern w:val="0"/>
                <w:sz w:val="20"/>
                <w:szCs w:val="20"/>
                <w:highlight w:val="none"/>
              </w:rPr>
            </w:pPr>
          </w:p>
        </w:tc>
        <w:tc>
          <w:tcPr>
            <w:tcW w:w="613" w:type="dxa"/>
            <w:tcBorders>
              <w:top w:val="single" w:color="auto" w:sz="4" w:space="0"/>
              <w:left w:val="nil"/>
              <w:bottom w:val="single" w:color="auto" w:sz="4" w:space="0"/>
              <w:right w:val="single" w:color="auto" w:sz="4" w:space="0"/>
            </w:tcBorders>
            <w:noWrap w:val="0"/>
            <w:vAlign w:val="center"/>
          </w:tcPr>
          <w:p w14:paraId="67B9994B">
            <w:pPr>
              <w:widowControl/>
              <w:jc w:val="center"/>
              <w:rPr>
                <w:rFonts w:ascii="宋体" w:hAnsi="宋体" w:eastAsia="宋体" w:cs="宋体"/>
                <w:color w:val="auto"/>
                <w:kern w:val="0"/>
                <w:sz w:val="20"/>
                <w:szCs w:val="20"/>
                <w:highlight w:val="none"/>
              </w:rPr>
            </w:pPr>
          </w:p>
        </w:tc>
      </w:tr>
      <w:tr w14:paraId="598F3FF3">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58B5FEE0">
            <w:pPr>
              <w:widowControl/>
              <w:jc w:val="center"/>
              <w:rPr>
                <w:rFonts w:ascii="宋体" w:hAnsi="宋体" w:eastAsia="宋体" w:cs="宋体"/>
                <w:color w:val="auto"/>
                <w:kern w:val="0"/>
                <w:sz w:val="20"/>
                <w:szCs w:val="20"/>
                <w:highlight w:val="none"/>
              </w:rPr>
            </w:pPr>
          </w:p>
        </w:tc>
        <w:tc>
          <w:tcPr>
            <w:tcW w:w="940" w:type="dxa"/>
            <w:tcBorders>
              <w:top w:val="single" w:color="auto" w:sz="4" w:space="0"/>
              <w:left w:val="nil"/>
              <w:bottom w:val="single" w:color="auto" w:sz="4" w:space="0"/>
              <w:right w:val="single" w:color="auto" w:sz="4" w:space="0"/>
            </w:tcBorders>
            <w:noWrap w:val="0"/>
            <w:vAlign w:val="center"/>
          </w:tcPr>
          <w:p w14:paraId="708B660F">
            <w:pPr>
              <w:widowControl/>
              <w:jc w:val="center"/>
              <w:rPr>
                <w:rFonts w:ascii="宋体" w:hAnsi="宋体" w:eastAsia="宋体" w:cs="宋体"/>
                <w:color w:val="auto"/>
                <w:kern w:val="0"/>
                <w:sz w:val="20"/>
                <w:szCs w:val="20"/>
                <w:highlight w:val="none"/>
              </w:rPr>
            </w:pPr>
          </w:p>
        </w:tc>
        <w:tc>
          <w:tcPr>
            <w:tcW w:w="1287" w:type="dxa"/>
            <w:tcBorders>
              <w:top w:val="single" w:color="auto" w:sz="4" w:space="0"/>
              <w:left w:val="nil"/>
              <w:bottom w:val="single" w:color="auto" w:sz="4" w:space="0"/>
              <w:right w:val="single" w:color="auto" w:sz="4" w:space="0"/>
            </w:tcBorders>
            <w:noWrap w:val="0"/>
            <w:vAlign w:val="center"/>
          </w:tcPr>
          <w:p w14:paraId="723EB03E">
            <w:pPr>
              <w:widowControl/>
              <w:jc w:val="center"/>
              <w:rPr>
                <w:rFonts w:ascii="宋体" w:hAnsi="宋体" w:eastAsia="宋体" w:cs="宋体"/>
                <w:color w:val="auto"/>
                <w:kern w:val="0"/>
                <w:sz w:val="20"/>
                <w:szCs w:val="20"/>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69D87D99">
            <w:pPr>
              <w:widowControl/>
              <w:jc w:val="center"/>
              <w:rPr>
                <w:rFonts w:ascii="宋体" w:hAnsi="宋体" w:eastAsia="宋体" w:cs="宋体"/>
                <w:color w:val="auto"/>
                <w:kern w:val="0"/>
                <w:sz w:val="20"/>
                <w:szCs w:val="20"/>
                <w:highlight w:val="none"/>
              </w:rPr>
            </w:pPr>
          </w:p>
        </w:tc>
        <w:tc>
          <w:tcPr>
            <w:tcW w:w="715" w:type="dxa"/>
            <w:tcBorders>
              <w:top w:val="single" w:color="auto" w:sz="4" w:space="0"/>
              <w:left w:val="nil"/>
              <w:bottom w:val="single" w:color="auto" w:sz="4" w:space="0"/>
              <w:right w:val="single" w:color="auto" w:sz="4" w:space="0"/>
            </w:tcBorders>
            <w:noWrap w:val="0"/>
            <w:vAlign w:val="center"/>
          </w:tcPr>
          <w:p w14:paraId="5FED8456">
            <w:pPr>
              <w:widowControl/>
              <w:jc w:val="center"/>
              <w:rPr>
                <w:rFonts w:ascii="宋体" w:hAnsi="宋体" w:eastAsia="宋体" w:cs="宋体"/>
                <w:color w:val="auto"/>
                <w:kern w:val="0"/>
                <w:sz w:val="20"/>
                <w:szCs w:val="20"/>
                <w:highlight w:val="none"/>
              </w:rPr>
            </w:pPr>
          </w:p>
        </w:tc>
        <w:tc>
          <w:tcPr>
            <w:tcW w:w="723" w:type="dxa"/>
            <w:tcBorders>
              <w:top w:val="single" w:color="auto" w:sz="4" w:space="0"/>
              <w:left w:val="nil"/>
              <w:bottom w:val="single" w:color="auto" w:sz="4" w:space="0"/>
              <w:right w:val="single" w:color="auto" w:sz="4" w:space="0"/>
            </w:tcBorders>
            <w:noWrap w:val="0"/>
            <w:vAlign w:val="center"/>
          </w:tcPr>
          <w:p w14:paraId="1FDE9B5B">
            <w:pPr>
              <w:widowControl/>
              <w:jc w:val="center"/>
              <w:rPr>
                <w:rFonts w:ascii="宋体" w:hAnsi="宋体" w:eastAsia="宋体" w:cs="宋体"/>
                <w:color w:val="auto"/>
                <w:kern w:val="0"/>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40DC32A0">
            <w:pPr>
              <w:widowControl/>
              <w:jc w:val="center"/>
              <w:rPr>
                <w:rFonts w:ascii="宋体" w:hAnsi="宋体" w:eastAsia="宋体" w:cs="宋体"/>
                <w:color w:val="auto"/>
                <w:kern w:val="0"/>
                <w:sz w:val="20"/>
                <w:szCs w:val="20"/>
                <w:highlight w:val="none"/>
              </w:rPr>
            </w:pPr>
          </w:p>
        </w:tc>
        <w:tc>
          <w:tcPr>
            <w:tcW w:w="1400" w:type="dxa"/>
            <w:tcBorders>
              <w:top w:val="single" w:color="auto" w:sz="4" w:space="0"/>
              <w:left w:val="nil"/>
              <w:bottom w:val="single" w:color="auto" w:sz="4" w:space="0"/>
              <w:right w:val="single" w:color="auto" w:sz="4" w:space="0"/>
            </w:tcBorders>
            <w:noWrap w:val="0"/>
            <w:vAlign w:val="center"/>
          </w:tcPr>
          <w:p w14:paraId="07EE8B4D">
            <w:pPr>
              <w:widowControl/>
              <w:jc w:val="center"/>
              <w:rPr>
                <w:rFonts w:ascii="宋体" w:hAnsi="宋体" w:eastAsia="宋体" w:cs="宋体"/>
                <w:color w:val="auto"/>
                <w:kern w:val="0"/>
                <w:sz w:val="20"/>
                <w:szCs w:val="20"/>
                <w:highlight w:val="none"/>
              </w:rPr>
            </w:pPr>
          </w:p>
        </w:tc>
        <w:tc>
          <w:tcPr>
            <w:tcW w:w="613" w:type="dxa"/>
            <w:tcBorders>
              <w:top w:val="single" w:color="auto" w:sz="4" w:space="0"/>
              <w:left w:val="nil"/>
              <w:bottom w:val="single" w:color="auto" w:sz="4" w:space="0"/>
              <w:right w:val="single" w:color="auto" w:sz="4" w:space="0"/>
            </w:tcBorders>
            <w:noWrap w:val="0"/>
            <w:vAlign w:val="center"/>
          </w:tcPr>
          <w:p w14:paraId="621F84DC">
            <w:pPr>
              <w:widowControl/>
              <w:jc w:val="center"/>
              <w:rPr>
                <w:rFonts w:ascii="宋体" w:hAnsi="宋体" w:eastAsia="宋体" w:cs="宋体"/>
                <w:color w:val="auto"/>
                <w:kern w:val="0"/>
                <w:sz w:val="20"/>
                <w:szCs w:val="20"/>
                <w:highlight w:val="none"/>
              </w:rPr>
            </w:pPr>
          </w:p>
        </w:tc>
      </w:tr>
      <w:tr w14:paraId="6CD34EEB">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070A213D">
            <w:pPr>
              <w:widowControl/>
              <w:jc w:val="center"/>
              <w:rPr>
                <w:rFonts w:ascii="宋体" w:hAnsi="宋体" w:eastAsia="宋体" w:cs="宋体"/>
                <w:color w:val="auto"/>
                <w:kern w:val="0"/>
                <w:sz w:val="20"/>
                <w:szCs w:val="20"/>
                <w:highlight w:val="none"/>
              </w:rPr>
            </w:pPr>
          </w:p>
        </w:tc>
        <w:tc>
          <w:tcPr>
            <w:tcW w:w="940" w:type="dxa"/>
            <w:tcBorders>
              <w:top w:val="single" w:color="auto" w:sz="4" w:space="0"/>
              <w:left w:val="nil"/>
              <w:bottom w:val="single" w:color="auto" w:sz="4" w:space="0"/>
              <w:right w:val="single" w:color="auto" w:sz="4" w:space="0"/>
            </w:tcBorders>
            <w:noWrap w:val="0"/>
            <w:vAlign w:val="center"/>
          </w:tcPr>
          <w:p w14:paraId="68E9017C">
            <w:pPr>
              <w:widowControl/>
              <w:jc w:val="center"/>
              <w:rPr>
                <w:rFonts w:ascii="宋体" w:hAnsi="宋体" w:eastAsia="宋体" w:cs="宋体"/>
                <w:color w:val="auto"/>
                <w:kern w:val="0"/>
                <w:sz w:val="20"/>
                <w:szCs w:val="20"/>
                <w:highlight w:val="none"/>
              </w:rPr>
            </w:pPr>
          </w:p>
        </w:tc>
        <w:tc>
          <w:tcPr>
            <w:tcW w:w="1287" w:type="dxa"/>
            <w:tcBorders>
              <w:top w:val="single" w:color="auto" w:sz="4" w:space="0"/>
              <w:left w:val="nil"/>
              <w:bottom w:val="single" w:color="auto" w:sz="4" w:space="0"/>
              <w:right w:val="single" w:color="auto" w:sz="4" w:space="0"/>
            </w:tcBorders>
            <w:noWrap w:val="0"/>
            <w:vAlign w:val="center"/>
          </w:tcPr>
          <w:p w14:paraId="28A90866">
            <w:pPr>
              <w:widowControl/>
              <w:jc w:val="center"/>
              <w:rPr>
                <w:rFonts w:ascii="宋体" w:hAnsi="宋体" w:eastAsia="宋体" w:cs="宋体"/>
                <w:color w:val="auto"/>
                <w:kern w:val="0"/>
                <w:sz w:val="20"/>
                <w:szCs w:val="20"/>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2B4AEF00">
            <w:pPr>
              <w:widowControl/>
              <w:jc w:val="center"/>
              <w:rPr>
                <w:rFonts w:ascii="宋体" w:hAnsi="宋体" w:eastAsia="宋体" w:cs="宋体"/>
                <w:color w:val="auto"/>
                <w:kern w:val="0"/>
                <w:sz w:val="20"/>
                <w:szCs w:val="20"/>
                <w:highlight w:val="none"/>
              </w:rPr>
            </w:pPr>
          </w:p>
        </w:tc>
        <w:tc>
          <w:tcPr>
            <w:tcW w:w="715" w:type="dxa"/>
            <w:tcBorders>
              <w:top w:val="single" w:color="auto" w:sz="4" w:space="0"/>
              <w:left w:val="nil"/>
              <w:bottom w:val="single" w:color="auto" w:sz="4" w:space="0"/>
              <w:right w:val="single" w:color="auto" w:sz="4" w:space="0"/>
            </w:tcBorders>
            <w:noWrap w:val="0"/>
            <w:vAlign w:val="center"/>
          </w:tcPr>
          <w:p w14:paraId="625C3D90">
            <w:pPr>
              <w:widowControl/>
              <w:jc w:val="center"/>
              <w:rPr>
                <w:rFonts w:ascii="宋体" w:hAnsi="宋体" w:eastAsia="宋体" w:cs="宋体"/>
                <w:color w:val="auto"/>
                <w:kern w:val="0"/>
                <w:sz w:val="20"/>
                <w:szCs w:val="20"/>
                <w:highlight w:val="none"/>
              </w:rPr>
            </w:pPr>
          </w:p>
        </w:tc>
        <w:tc>
          <w:tcPr>
            <w:tcW w:w="723" w:type="dxa"/>
            <w:tcBorders>
              <w:top w:val="single" w:color="auto" w:sz="4" w:space="0"/>
              <w:left w:val="nil"/>
              <w:bottom w:val="single" w:color="auto" w:sz="4" w:space="0"/>
              <w:right w:val="single" w:color="auto" w:sz="4" w:space="0"/>
            </w:tcBorders>
            <w:noWrap w:val="0"/>
            <w:vAlign w:val="center"/>
          </w:tcPr>
          <w:p w14:paraId="1DFC47B4">
            <w:pPr>
              <w:widowControl/>
              <w:jc w:val="center"/>
              <w:rPr>
                <w:rFonts w:ascii="宋体" w:hAnsi="宋体" w:eastAsia="宋体" w:cs="宋体"/>
                <w:color w:val="auto"/>
                <w:kern w:val="0"/>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14289E3C">
            <w:pPr>
              <w:widowControl/>
              <w:jc w:val="center"/>
              <w:rPr>
                <w:rFonts w:ascii="宋体" w:hAnsi="宋体" w:eastAsia="宋体" w:cs="宋体"/>
                <w:color w:val="auto"/>
                <w:kern w:val="0"/>
                <w:sz w:val="20"/>
                <w:szCs w:val="20"/>
                <w:highlight w:val="none"/>
              </w:rPr>
            </w:pPr>
          </w:p>
        </w:tc>
        <w:tc>
          <w:tcPr>
            <w:tcW w:w="1400" w:type="dxa"/>
            <w:tcBorders>
              <w:top w:val="single" w:color="auto" w:sz="4" w:space="0"/>
              <w:left w:val="nil"/>
              <w:bottom w:val="single" w:color="auto" w:sz="4" w:space="0"/>
              <w:right w:val="single" w:color="auto" w:sz="4" w:space="0"/>
            </w:tcBorders>
            <w:noWrap w:val="0"/>
            <w:vAlign w:val="center"/>
          </w:tcPr>
          <w:p w14:paraId="468BA9D6">
            <w:pPr>
              <w:widowControl/>
              <w:jc w:val="center"/>
              <w:rPr>
                <w:rFonts w:ascii="宋体" w:hAnsi="宋体" w:eastAsia="宋体" w:cs="宋体"/>
                <w:color w:val="auto"/>
                <w:kern w:val="0"/>
                <w:sz w:val="20"/>
                <w:szCs w:val="20"/>
                <w:highlight w:val="none"/>
              </w:rPr>
            </w:pPr>
          </w:p>
        </w:tc>
        <w:tc>
          <w:tcPr>
            <w:tcW w:w="613" w:type="dxa"/>
            <w:tcBorders>
              <w:top w:val="single" w:color="auto" w:sz="4" w:space="0"/>
              <w:left w:val="nil"/>
              <w:bottom w:val="single" w:color="auto" w:sz="4" w:space="0"/>
              <w:right w:val="single" w:color="auto" w:sz="4" w:space="0"/>
            </w:tcBorders>
            <w:noWrap w:val="0"/>
            <w:vAlign w:val="center"/>
          </w:tcPr>
          <w:p w14:paraId="73E5A8A5">
            <w:pPr>
              <w:widowControl/>
              <w:jc w:val="center"/>
              <w:rPr>
                <w:rFonts w:ascii="宋体" w:hAnsi="宋体" w:eastAsia="宋体" w:cs="宋体"/>
                <w:color w:val="auto"/>
                <w:kern w:val="0"/>
                <w:sz w:val="20"/>
                <w:szCs w:val="20"/>
                <w:highlight w:val="none"/>
              </w:rPr>
            </w:pPr>
          </w:p>
        </w:tc>
      </w:tr>
    </w:tbl>
    <w:p w14:paraId="5815915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注：1.以上报价含生产制作、包装、运输、保险、安装调试、利润、税金、专利技术、培训、技术支持等一切费用。</w:t>
      </w:r>
    </w:p>
    <w:p w14:paraId="49440B23">
      <w:pPr>
        <w:bidi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按采购需求逐项列示、总价不得超过采购预算，并与《</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》保持一致。</w:t>
      </w:r>
    </w:p>
    <w:p w14:paraId="506273EC">
      <w:pPr>
        <w:bidi w:val="0"/>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szCs w:val="24"/>
          <w:highlight w:val="none"/>
        </w:rPr>
        <w:t>3.此表可自行扩展。</w:t>
      </w:r>
    </w:p>
    <w:p w14:paraId="1E7E7052">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cs="宋体"/>
          <w:color w:val="auto"/>
          <w:sz w:val="24"/>
          <w:highlight w:val="none"/>
          <w:lang w:eastAsia="zh-CN"/>
        </w:rPr>
      </w:pPr>
    </w:p>
    <w:p w14:paraId="7F4A3AD9">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7B6C493D">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2E619013">
      <w:pPr>
        <w:pageBreakBefore w:val="0"/>
        <w:kinsoku/>
        <w:wordWrap/>
        <w:overflowPunct/>
        <w:topLinePunct w:val="0"/>
        <w:autoSpaceDE/>
        <w:autoSpaceDN/>
        <w:bidi w:val="0"/>
        <w:adjustRightInd w:val="0"/>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2B0650B7">
      <w:pPr>
        <w:outlineLvl w:val="9"/>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br w:type="page"/>
      </w:r>
    </w:p>
    <w:p w14:paraId="5F598C71">
      <w:pPr>
        <w:spacing w:before="48" w:line="220" w:lineRule="auto"/>
        <w:outlineLvl w:val="9"/>
        <w:rPr>
          <w:rFonts w:hint="eastAsia" w:ascii="宋体" w:hAnsi="宋体" w:eastAsia="宋体" w:cs="宋体"/>
          <w:color w:val="auto"/>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格式四：</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采购需求偏离表（格式）</w:t>
      </w:r>
    </w:p>
    <w:p w14:paraId="054EE51E">
      <w:pPr>
        <w:spacing w:before="78" w:line="185" w:lineRule="auto"/>
        <w:outlineLvl w:val="9"/>
        <w:rPr>
          <w:rFonts w:hint="eastAsia" w:ascii="宋体" w:hAnsi="宋体" w:eastAsia="宋体" w:cs="宋体"/>
          <w:color w:val="auto"/>
          <w:spacing w:val="-1"/>
          <w:sz w:val="24"/>
          <w:szCs w:val="24"/>
          <w:highlight w:val="none"/>
        </w:rPr>
      </w:pPr>
    </w:p>
    <w:p w14:paraId="44CC9484">
      <w:pPr>
        <w:spacing w:before="78" w:line="185" w:lineRule="auto"/>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项目名称：</w:t>
      </w:r>
    </w:p>
    <w:p w14:paraId="48B9CC6E">
      <w:pPr>
        <w:spacing w:before="180" w:line="185"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项目编号：</w:t>
      </w:r>
    </w:p>
    <w:tbl>
      <w:tblPr>
        <w:tblStyle w:val="21"/>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48"/>
        <w:gridCol w:w="4063"/>
        <w:gridCol w:w="2180"/>
        <w:gridCol w:w="897"/>
        <w:gridCol w:w="756"/>
      </w:tblGrid>
      <w:tr w14:paraId="5D93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473" w:type="dxa"/>
            <w:noWrap w:val="0"/>
            <w:vAlign w:val="center"/>
          </w:tcPr>
          <w:p w14:paraId="2B46444F">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48" w:type="dxa"/>
            <w:noWrap w:val="0"/>
            <w:vAlign w:val="center"/>
          </w:tcPr>
          <w:p w14:paraId="527152D0">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4063" w:type="dxa"/>
            <w:noWrap w:val="0"/>
            <w:vAlign w:val="center"/>
          </w:tcPr>
          <w:p w14:paraId="7AD27E01">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文件规定的货物需求、技术规格</w:t>
            </w:r>
          </w:p>
        </w:tc>
        <w:tc>
          <w:tcPr>
            <w:tcW w:w="2180" w:type="dxa"/>
            <w:noWrap w:val="0"/>
            <w:vAlign w:val="center"/>
          </w:tcPr>
          <w:p w14:paraId="2C54AF2C">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对应的货物情况、技术规格</w:t>
            </w:r>
          </w:p>
        </w:tc>
        <w:tc>
          <w:tcPr>
            <w:tcW w:w="897" w:type="dxa"/>
            <w:noWrap w:val="0"/>
            <w:vAlign w:val="center"/>
          </w:tcPr>
          <w:p w14:paraId="6D32F6E6">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w:t>
            </w:r>
          </w:p>
        </w:tc>
        <w:tc>
          <w:tcPr>
            <w:tcW w:w="756" w:type="dxa"/>
            <w:noWrap w:val="0"/>
            <w:vAlign w:val="center"/>
          </w:tcPr>
          <w:p w14:paraId="630E21B8">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9C4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noWrap w:val="0"/>
            <w:vAlign w:val="center"/>
          </w:tcPr>
          <w:p w14:paraId="73C32AE0">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48" w:type="dxa"/>
            <w:noWrap w:val="0"/>
            <w:vAlign w:val="center"/>
          </w:tcPr>
          <w:p w14:paraId="64F35907">
            <w:pPr>
              <w:bidi w:val="0"/>
              <w:jc w:val="center"/>
              <w:rPr>
                <w:rFonts w:hint="eastAsia" w:ascii="宋体" w:hAnsi="宋体" w:eastAsia="宋体" w:cs="宋体"/>
                <w:color w:val="auto"/>
                <w:sz w:val="24"/>
                <w:szCs w:val="24"/>
                <w:highlight w:val="none"/>
              </w:rPr>
            </w:pPr>
          </w:p>
        </w:tc>
        <w:tc>
          <w:tcPr>
            <w:tcW w:w="4063" w:type="dxa"/>
            <w:noWrap w:val="0"/>
            <w:vAlign w:val="center"/>
          </w:tcPr>
          <w:p w14:paraId="456A796D">
            <w:pPr>
              <w:bidi w:val="0"/>
              <w:jc w:val="center"/>
              <w:rPr>
                <w:rFonts w:hint="eastAsia" w:ascii="宋体" w:hAnsi="宋体" w:eastAsia="宋体" w:cs="宋体"/>
                <w:color w:val="auto"/>
                <w:sz w:val="24"/>
                <w:szCs w:val="24"/>
                <w:highlight w:val="none"/>
                <w:lang w:val="en-US"/>
              </w:rPr>
            </w:pPr>
          </w:p>
        </w:tc>
        <w:tc>
          <w:tcPr>
            <w:tcW w:w="2180" w:type="dxa"/>
            <w:noWrap w:val="0"/>
            <w:vAlign w:val="center"/>
          </w:tcPr>
          <w:p w14:paraId="1CAD4A9E">
            <w:pPr>
              <w:bidi w:val="0"/>
              <w:jc w:val="center"/>
              <w:rPr>
                <w:rFonts w:hint="eastAsia" w:ascii="宋体" w:hAnsi="宋体" w:eastAsia="宋体" w:cs="宋体"/>
                <w:color w:val="auto"/>
                <w:sz w:val="24"/>
                <w:szCs w:val="24"/>
                <w:highlight w:val="none"/>
              </w:rPr>
            </w:pPr>
          </w:p>
        </w:tc>
        <w:tc>
          <w:tcPr>
            <w:tcW w:w="897" w:type="dxa"/>
            <w:noWrap w:val="0"/>
            <w:vAlign w:val="center"/>
          </w:tcPr>
          <w:p w14:paraId="545AF634">
            <w:pPr>
              <w:bidi w:val="0"/>
              <w:jc w:val="center"/>
              <w:rPr>
                <w:rFonts w:hint="eastAsia" w:ascii="宋体" w:hAnsi="宋体" w:eastAsia="宋体" w:cs="宋体"/>
                <w:color w:val="auto"/>
                <w:sz w:val="24"/>
                <w:szCs w:val="24"/>
                <w:highlight w:val="none"/>
              </w:rPr>
            </w:pPr>
          </w:p>
        </w:tc>
        <w:tc>
          <w:tcPr>
            <w:tcW w:w="756" w:type="dxa"/>
            <w:noWrap w:val="0"/>
            <w:vAlign w:val="center"/>
          </w:tcPr>
          <w:p w14:paraId="587628EC">
            <w:pPr>
              <w:bidi w:val="0"/>
              <w:jc w:val="center"/>
              <w:rPr>
                <w:rFonts w:hint="eastAsia" w:ascii="宋体" w:hAnsi="宋体" w:eastAsia="宋体" w:cs="宋体"/>
                <w:color w:val="auto"/>
                <w:sz w:val="24"/>
                <w:szCs w:val="24"/>
                <w:highlight w:val="none"/>
              </w:rPr>
            </w:pPr>
          </w:p>
        </w:tc>
      </w:tr>
      <w:tr w14:paraId="5085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noWrap w:val="0"/>
            <w:vAlign w:val="center"/>
          </w:tcPr>
          <w:p w14:paraId="763898FF">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48" w:type="dxa"/>
            <w:noWrap w:val="0"/>
            <w:vAlign w:val="center"/>
          </w:tcPr>
          <w:p w14:paraId="59E15213">
            <w:pPr>
              <w:bidi w:val="0"/>
              <w:jc w:val="center"/>
              <w:rPr>
                <w:rFonts w:hint="eastAsia" w:ascii="宋体" w:hAnsi="宋体" w:eastAsia="宋体" w:cs="宋体"/>
                <w:color w:val="auto"/>
                <w:sz w:val="24"/>
                <w:szCs w:val="24"/>
                <w:highlight w:val="none"/>
              </w:rPr>
            </w:pPr>
          </w:p>
        </w:tc>
        <w:tc>
          <w:tcPr>
            <w:tcW w:w="4063" w:type="dxa"/>
            <w:noWrap w:val="0"/>
            <w:vAlign w:val="center"/>
          </w:tcPr>
          <w:p w14:paraId="0D855726">
            <w:pPr>
              <w:bidi w:val="0"/>
              <w:jc w:val="center"/>
              <w:rPr>
                <w:rFonts w:hint="eastAsia" w:ascii="宋体" w:hAnsi="宋体" w:eastAsia="宋体" w:cs="宋体"/>
                <w:color w:val="auto"/>
                <w:sz w:val="24"/>
                <w:szCs w:val="24"/>
                <w:highlight w:val="none"/>
              </w:rPr>
            </w:pPr>
          </w:p>
        </w:tc>
        <w:tc>
          <w:tcPr>
            <w:tcW w:w="2180" w:type="dxa"/>
            <w:noWrap w:val="0"/>
            <w:vAlign w:val="center"/>
          </w:tcPr>
          <w:p w14:paraId="5E0924E6">
            <w:pPr>
              <w:bidi w:val="0"/>
              <w:jc w:val="center"/>
              <w:rPr>
                <w:rFonts w:hint="eastAsia" w:ascii="宋体" w:hAnsi="宋体" w:eastAsia="宋体" w:cs="宋体"/>
                <w:color w:val="auto"/>
                <w:sz w:val="24"/>
                <w:szCs w:val="24"/>
                <w:highlight w:val="none"/>
              </w:rPr>
            </w:pPr>
          </w:p>
        </w:tc>
        <w:tc>
          <w:tcPr>
            <w:tcW w:w="897" w:type="dxa"/>
            <w:noWrap w:val="0"/>
            <w:vAlign w:val="center"/>
          </w:tcPr>
          <w:p w14:paraId="383FCBFE">
            <w:pPr>
              <w:bidi w:val="0"/>
              <w:jc w:val="center"/>
              <w:rPr>
                <w:rFonts w:hint="eastAsia" w:ascii="宋体" w:hAnsi="宋体" w:eastAsia="宋体" w:cs="宋体"/>
                <w:color w:val="auto"/>
                <w:sz w:val="24"/>
                <w:szCs w:val="24"/>
                <w:highlight w:val="none"/>
              </w:rPr>
            </w:pPr>
          </w:p>
        </w:tc>
        <w:tc>
          <w:tcPr>
            <w:tcW w:w="756" w:type="dxa"/>
            <w:noWrap w:val="0"/>
            <w:vAlign w:val="center"/>
          </w:tcPr>
          <w:p w14:paraId="1B4D7554">
            <w:pPr>
              <w:bidi w:val="0"/>
              <w:jc w:val="center"/>
              <w:rPr>
                <w:rFonts w:hint="eastAsia" w:ascii="宋体" w:hAnsi="宋体" w:eastAsia="宋体" w:cs="宋体"/>
                <w:color w:val="auto"/>
                <w:sz w:val="24"/>
                <w:szCs w:val="24"/>
                <w:highlight w:val="none"/>
              </w:rPr>
            </w:pPr>
          </w:p>
        </w:tc>
      </w:tr>
      <w:tr w14:paraId="6D04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3B0B326D">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48" w:type="dxa"/>
            <w:noWrap w:val="0"/>
            <w:vAlign w:val="center"/>
          </w:tcPr>
          <w:p w14:paraId="620BE7F0">
            <w:pPr>
              <w:bidi w:val="0"/>
              <w:jc w:val="center"/>
              <w:rPr>
                <w:rFonts w:hint="eastAsia" w:ascii="宋体" w:hAnsi="宋体" w:eastAsia="宋体" w:cs="宋体"/>
                <w:color w:val="auto"/>
                <w:sz w:val="24"/>
                <w:szCs w:val="24"/>
                <w:highlight w:val="none"/>
              </w:rPr>
            </w:pPr>
          </w:p>
        </w:tc>
        <w:tc>
          <w:tcPr>
            <w:tcW w:w="4063" w:type="dxa"/>
            <w:noWrap w:val="0"/>
            <w:vAlign w:val="center"/>
          </w:tcPr>
          <w:p w14:paraId="131FB309">
            <w:pPr>
              <w:bidi w:val="0"/>
              <w:jc w:val="center"/>
              <w:rPr>
                <w:rFonts w:hint="eastAsia" w:ascii="宋体" w:hAnsi="宋体" w:eastAsia="宋体" w:cs="宋体"/>
                <w:color w:val="auto"/>
                <w:sz w:val="24"/>
                <w:szCs w:val="24"/>
                <w:highlight w:val="none"/>
              </w:rPr>
            </w:pPr>
          </w:p>
        </w:tc>
        <w:tc>
          <w:tcPr>
            <w:tcW w:w="2180" w:type="dxa"/>
            <w:noWrap w:val="0"/>
            <w:vAlign w:val="center"/>
          </w:tcPr>
          <w:p w14:paraId="32F335A8">
            <w:pPr>
              <w:bidi w:val="0"/>
              <w:jc w:val="center"/>
              <w:rPr>
                <w:rFonts w:hint="eastAsia" w:ascii="宋体" w:hAnsi="宋体" w:eastAsia="宋体" w:cs="宋体"/>
                <w:color w:val="auto"/>
                <w:sz w:val="24"/>
                <w:szCs w:val="24"/>
                <w:highlight w:val="none"/>
              </w:rPr>
            </w:pPr>
          </w:p>
        </w:tc>
        <w:tc>
          <w:tcPr>
            <w:tcW w:w="897" w:type="dxa"/>
            <w:noWrap w:val="0"/>
            <w:vAlign w:val="center"/>
          </w:tcPr>
          <w:p w14:paraId="0728D40F">
            <w:pPr>
              <w:bidi w:val="0"/>
              <w:jc w:val="center"/>
              <w:rPr>
                <w:rFonts w:hint="eastAsia" w:ascii="宋体" w:hAnsi="宋体" w:eastAsia="宋体" w:cs="宋体"/>
                <w:color w:val="auto"/>
                <w:sz w:val="24"/>
                <w:szCs w:val="24"/>
                <w:highlight w:val="none"/>
              </w:rPr>
            </w:pPr>
          </w:p>
        </w:tc>
        <w:tc>
          <w:tcPr>
            <w:tcW w:w="756" w:type="dxa"/>
            <w:noWrap w:val="0"/>
            <w:vAlign w:val="center"/>
          </w:tcPr>
          <w:p w14:paraId="1663DB7E">
            <w:pPr>
              <w:bidi w:val="0"/>
              <w:jc w:val="center"/>
              <w:rPr>
                <w:rFonts w:hint="eastAsia" w:ascii="宋体" w:hAnsi="宋体" w:eastAsia="宋体" w:cs="宋体"/>
                <w:color w:val="auto"/>
                <w:sz w:val="24"/>
                <w:szCs w:val="24"/>
                <w:highlight w:val="none"/>
              </w:rPr>
            </w:pPr>
          </w:p>
        </w:tc>
      </w:tr>
      <w:tr w14:paraId="5A17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1A2908E0">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48" w:type="dxa"/>
            <w:noWrap w:val="0"/>
            <w:vAlign w:val="center"/>
          </w:tcPr>
          <w:p w14:paraId="4F06D0C0">
            <w:pPr>
              <w:bidi w:val="0"/>
              <w:jc w:val="center"/>
              <w:rPr>
                <w:rFonts w:hint="eastAsia" w:ascii="宋体" w:hAnsi="宋体" w:eastAsia="宋体" w:cs="宋体"/>
                <w:color w:val="auto"/>
                <w:sz w:val="24"/>
                <w:szCs w:val="24"/>
                <w:highlight w:val="none"/>
              </w:rPr>
            </w:pPr>
          </w:p>
        </w:tc>
        <w:tc>
          <w:tcPr>
            <w:tcW w:w="4063" w:type="dxa"/>
            <w:noWrap w:val="0"/>
            <w:vAlign w:val="center"/>
          </w:tcPr>
          <w:p w14:paraId="67CDA358">
            <w:pPr>
              <w:bidi w:val="0"/>
              <w:jc w:val="center"/>
              <w:rPr>
                <w:rFonts w:hint="eastAsia" w:ascii="宋体" w:hAnsi="宋体" w:eastAsia="宋体" w:cs="宋体"/>
                <w:color w:val="auto"/>
                <w:sz w:val="24"/>
                <w:szCs w:val="24"/>
                <w:highlight w:val="none"/>
              </w:rPr>
            </w:pPr>
          </w:p>
        </w:tc>
        <w:tc>
          <w:tcPr>
            <w:tcW w:w="2180" w:type="dxa"/>
            <w:noWrap w:val="0"/>
            <w:vAlign w:val="center"/>
          </w:tcPr>
          <w:p w14:paraId="3F2D2B2D">
            <w:pPr>
              <w:bidi w:val="0"/>
              <w:jc w:val="center"/>
              <w:rPr>
                <w:rFonts w:hint="eastAsia" w:ascii="宋体" w:hAnsi="宋体" w:eastAsia="宋体" w:cs="宋体"/>
                <w:color w:val="auto"/>
                <w:sz w:val="24"/>
                <w:szCs w:val="24"/>
                <w:highlight w:val="none"/>
              </w:rPr>
            </w:pPr>
          </w:p>
        </w:tc>
        <w:tc>
          <w:tcPr>
            <w:tcW w:w="897" w:type="dxa"/>
            <w:noWrap w:val="0"/>
            <w:vAlign w:val="center"/>
          </w:tcPr>
          <w:p w14:paraId="09196870">
            <w:pPr>
              <w:bidi w:val="0"/>
              <w:jc w:val="center"/>
              <w:rPr>
                <w:rFonts w:hint="eastAsia" w:ascii="宋体" w:hAnsi="宋体" w:eastAsia="宋体" w:cs="宋体"/>
                <w:color w:val="auto"/>
                <w:sz w:val="24"/>
                <w:szCs w:val="24"/>
                <w:highlight w:val="none"/>
              </w:rPr>
            </w:pPr>
          </w:p>
        </w:tc>
        <w:tc>
          <w:tcPr>
            <w:tcW w:w="756" w:type="dxa"/>
            <w:noWrap w:val="0"/>
            <w:vAlign w:val="center"/>
          </w:tcPr>
          <w:p w14:paraId="600477BD">
            <w:pPr>
              <w:bidi w:val="0"/>
              <w:jc w:val="center"/>
              <w:rPr>
                <w:rFonts w:hint="eastAsia" w:ascii="宋体" w:hAnsi="宋体" w:eastAsia="宋体" w:cs="宋体"/>
                <w:color w:val="auto"/>
                <w:sz w:val="24"/>
                <w:szCs w:val="24"/>
                <w:highlight w:val="none"/>
              </w:rPr>
            </w:pPr>
          </w:p>
        </w:tc>
      </w:tr>
      <w:tr w14:paraId="6615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75E634AA">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48" w:type="dxa"/>
            <w:noWrap w:val="0"/>
            <w:vAlign w:val="center"/>
          </w:tcPr>
          <w:p w14:paraId="38F38BF7">
            <w:pPr>
              <w:bidi w:val="0"/>
              <w:jc w:val="center"/>
              <w:rPr>
                <w:rFonts w:hint="eastAsia" w:ascii="宋体" w:hAnsi="宋体" w:eastAsia="宋体" w:cs="宋体"/>
                <w:color w:val="auto"/>
                <w:sz w:val="24"/>
                <w:szCs w:val="24"/>
                <w:highlight w:val="none"/>
                <w:lang w:val="en-US" w:eastAsia="zh-CN"/>
              </w:rPr>
            </w:pPr>
          </w:p>
        </w:tc>
        <w:tc>
          <w:tcPr>
            <w:tcW w:w="4063" w:type="dxa"/>
            <w:noWrap w:val="0"/>
            <w:vAlign w:val="center"/>
          </w:tcPr>
          <w:p w14:paraId="64F16683">
            <w:pPr>
              <w:bidi w:val="0"/>
              <w:jc w:val="center"/>
              <w:rPr>
                <w:rFonts w:hint="eastAsia" w:ascii="宋体" w:hAnsi="宋体" w:eastAsia="宋体" w:cs="宋体"/>
                <w:color w:val="auto"/>
                <w:sz w:val="24"/>
                <w:szCs w:val="24"/>
                <w:highlight w:val="none"/>
              </w:rPr>
            </w:pPr>
          </w:p>
        </w:tc>
        <w:tc>
          <w:tcPr>
            <w:tcW w:w="2180" w:type="dxa"/>
            <w:noWrap w:val="0"/>
            <w:vAlign w:val="center"/>
          </w:tcPr>
          <w:p w14:paraId="1B1CA31F">
            <w:pPr>
              <w:bidi w:val="0"/>
              <w:jc w:val="center"/>
              <w:rPr>
                <w:rFonts w:hint="eastAsia" w:ascii="宋体" w:hAnsi="宋体" w:eastAsia="宋体" w:cs="宋体"/>
                <w:color w:val="auto"/>
                <w:sz w:val="24"/>
                <w:szCs w:val="24"/>
                <w:highlight w:val="none"/>
              </w:rPr>
            </w:pPr>
          </w:p>
        </w:tc>
        <w:tc>
          <w:tcPr>
            <w:tcW w:w="897" w:type="dxa"/>
            <w:noWrap w:val="0"/>
            <w:vAlign w:val="center"/>
          </w:tcPr>
          <w:p w14:paraId="720ED9F4">
            <w:pPr>
              <w:bidi w:val="0"/>
              <w:jc w:val="center"/>
              <w:rPr>
                <w:rFonts w:hint="eastAsia" w:ascii="宋体" w:hAnsi="宋体" w:eastAsia="宋体" w:cs="宋体"/>
                <w:color w:val="auto"/>
                <w:sz w:val="24"/>
                <w:szCs w:val="24"/>
                <w:highlight w:val="none"/>
              </w:rPr>
            </w:pPr>
          </w:p>
        </w:tc>
        <w:tc>
          <w:tcPr>
            <w:tcW w:w="756" w:type="dxa"/>
            <w:noWrap w:val="0"/>
            <w:vAlign w:val="center"/>
          </w:tcPr>
          <w:p w14:paraId="4B2D0094">
            <w:pPr>
              <w:bidi w:val="0"/>
              <w:jc w:val="center"/>
              <w:rPr>
                <w:rFonts w:hint="eastAsia" w:ascii="宋体" w:hAnsi="宋体" w:eastAsia="宋体" w:cs="宋体"/>
                <w:color w:val="auto"/>
                <w:sz w:val="24"/>
                <w:szCs w:val="24"/>
                <w:highlight w:val="none"/>
              </w:rPr>
            </w:pPr>
          </w:p>
        </w:tc>
      </w:tr>
      <w:tr w14:paraId="0965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44BF62BE">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48" w:type="dxa"/>
            <w:noWrap w:val="0"/>
            <w:vAlign w:val="center"/>
          </w:tcPr>
          <w:p w14:paraId="506A2F0D">
            <w:pPr>
              <w:bidi w:val="0"/>
              <w:jc w:val="center"/>
              <w:rPr>
                <w:rFonts w:hint="eastAsia" w:ascii="宋体" w:hAnsi="宋体" w:eastAsia="宋体" w:cs="宋体"/>
                <w:color w:val="auto"/>
                <w:sz w:val="24"/>
                <w:szCs w:val="24"/>
                <w:highlight w:val="none"/>
                <w:lang w:val="en-US" w:eastAsia="zh-CN"/>
              </w:rPr>
            </w:pPr>
          </w:p>
        </w:tc>
        <w:tc>
          <w:tcPr>
            <w:tcW w:w="4063" w:type="dxa"/>
            <w:noWrap w:val="0"/>
            <w:vAlign w:val="center"/>
          </w:tcPr>
          <w:p w14:paraId="3B297166">
            <w:pPr>
              <w:bidi w:val="0"/>
              <w:jc w:val="center"/>
              <w:rPr>
                <w:rFonts w:hint="eastAsia" w:ascii="宋体" w:hAnsi="宋体" w:eastAsia="宋体" w:cs="宋体"/>
                <w:color w:val="auto"/>
                <w:sz w:val="24"/>
                <w:szCs w:val="24"/>
                <w:highlight w:val="none"/>
                <w:lang w:val="en-US" w:eastAsia="zh-CN"/>
              </w:rPr>
            </w:pPr>
          </w:p>
        </w:tc>
        <w:tc>
          <w:tcPr>
            <w:tcW w:w="2180" w:type="dxa"/>
            <w:noWrap w:val="0"/>
            <w:vAlign w:val="center"/>
          </w:tcPr>
          <w:p w14:paraId="54A250EA">
            <w:pPr>
              <w:bidi w:val="0"/>
              <w:jc w:val="center"/>
              <w:rPr>
                <w:rFonts w:hint="eastAsia" w:ascii="宋体" w:hAnsi="宋体" w:eastAsia="宋体" w:cs="宋体"/>
                <w:color w:val="auto"/>
                <w:sz w:val="24"/>
                <w:szCs w:val="24"/>
                <w:highlight w:val="none"/>
              </w:rPr>
            </w:pPr>
          </w:p>
        </w:tc>
        <w:tc>
          <w:tcPr>
            <w:tcW w:w="897" w:type="dxa"/>
            <w:noWrap w:val="0"/>
            <w:vAlign w:val="center"/>
          </w:tcPr>
          <w:p w14:paraId="1EBF2795">
            <w:pPr>
              <w:bidi w:val="0"/>
              <w:jc w:val="center"/>
              <w:rPr>
                <w:rFonts w:hint="eastAsia" w:ascii="宋体" w:hAnsi="宋体" w:eastAsia="宋体" w:cs="宋体"/>
                <w:color w:val="auto"/>
                <w:sz w:val="24"/>
                <w:szCs w:val="24"/>
                <w:highlight w:val="none"/>
              </w:rPr>
            </w:pPr>
          </w:p>
        </w:tc>
        <w:tc>
          <w:tcPr>
            <w:tcW w:w="756" w:type="dxa"/>
            <w:noWrap w:val="0"/>
            <w:vAlign w:val="center"/>
          </w:tcPr>
          <w:p w14:paraId="5C204B8F">
            <w:pPr>
              <w:bidi w:val="0"/>
              <w:jc w:val="center"/>
              <w:rPr>
                <w:rFonts w:hint="eastAsia" w:ascii="宋体" w:hAnsi="宋体" w:eastAsia="宋体" w:cs="宋体"/>
                <w:color w:val="auto"/>
                <w:sz w:val="24"/>
                <w:szCs w:val="24"/>
                <w:highlight w:val="none"/>
              </w:rPr>
            </w:pPr>
          </w:p>
        </w:tc>
      </w:tr>
      <w:tr w14:paraId="7377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286C85E7">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48" w:type="dxa"/>
            <w:noWrap w:val="0"/>
            <w:vAlign w:val="center"/>
          </w:tcPr>
          <w:p w14:paraId="07D0E9D9">
            <w:pPr>
              <w:bidi w:val="0"/>
              <w:jc w:val="center"/>
              <w:rPr>
                <w:rFonts w:hint="eastAsia" w:ascii="宋体" w:hAnsi="宋体" w:eastAsia="宋体" w:cs="宋体"/>
                <w:color w:val="auto"/>
                <w:sz w:val="24"/>
                <w:szCs w:val="24"/>
                <w:highlight w:val="none"/>
                <w:lang w:val="en-US" w:eastAsia="zh-CN"/>
              </w:rPr>
            </w:pPr>
          </w:p>
        </w:tc>
        <w:tc>
          <w:tcPr>
            <w:tcW w:w="4063" w:type="dxa"/>
            <w:noWrap w:val="0"/>
            <w:vAlign w:val="center"/>
          </w:tcPr>
          <w:p w14:paraId="35BA90E6">
            <w:pPr>
              <w:bidi w:val="0"/>
              <w:jc w:val="center"/>
              <w:rPr>
                <w:rFonts w:hint="eastAsia" w:ascii="宋体" w:hAnsi="宋体" w:eastAsia="宋体" w:cs="宋体"/>
                <w:color w:val="auto"/>
                <w:sz w:val="24"/>
                <w:szCs w:val="24"/>
                <w:highlight w:val="none"/>
                <w:lang w:val="en-US" w:eastAsia="zh-CN"/>
              </w:rPr>
            </w:pPr>
          </w:p>
        </w:tc>
        <w:tc>
          <w:tcPr>
            <w:tcW w:w="2180" w:type="dxa"/>
            <w:noWrap w:val="0"/>
            <w:vAlign w:val="center"/>
          </w:tcPr>
          <w:p w14:paraId="68DB0F17">
            <w:pPr>
              <w:bidi w:val="0"/>
              <w:jc w:val="center"/>
              <w:rPr>
                <w:rFonts w:hint="eastAsia" w:ascii="宋体" w:hAnsi="宋体" w:eastAsia="宋体" w:cs="宋体"/>
                <w:color w:val="auto"/>
                <w:sz w:val="24"/>
                <w:szCs w:val="24"/>
                <w:highlight w:val="none"/>
              </w:rPr>
            </w:pPr>
          </w:p>
        </w:tc>
        <w:tc>
          <w:tcPr>
            <w:tcW w:w="897" w:type="dxa"/>
            <w:noWrap w:val="0"/>
            <w:vAlign w:val="center"/>
          </w:tcPr>
          <w:p w14:paraId="5B746121">
            <w:pPr>
              <w:bidi w:val="0"/>
              <w:jc w:val="center"/>
              <w:rPr>
                <w:rFonts w:hint="eastAsia" w:ascii="宋体" w:hAnsi="宋体" w:eastAsia="宋体" w:cs="宋体"/>
                <w:color w:val="auto"/>
                <w:sz w:val="24"/>
                <w:szCs w:val="24"/>
                <w:highlight w:val="none"/>
              </w:rPr>
            </w:pPr>
          </w:p>
        </w:tc>
        <w:tc>
          <w:tcPr>
            <w:tcW w:w="756" w:type="dxa"/>
            <w:noWrap w:val="0"/>
            <w:vAlign w:val="center"/>
          </w:tcPr>
          <w:p w14:paraId="6549B208">
            <w:pPr>
              <w:bidi w:val="0"/>
              <w:jc w:val="center"/>
              <w:rPr>
                <w:rFonts w:hint="eastAsia" w:ascii="宋体" w:hAnsi="宋体" w:eastAsia="宋体" w:cs="宋体"/>
                <w:color w:val="auto"/>
                <w:sz w:val="24"/>
                <w:szCs w:val="24"/>
                <w:highlight w:val="none"/>
              </w:rPr>
            </w:pPr>
          </w:p>
        </w:tc>
      </w:tr>
      <w:tr w14:paraId="4BA7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6194ACA7">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248" w:type="dxa"/>
            <w:noWrap w:val="0"/>
            <w:vAlign w:val="center"/>
          </w:tcPr>
          <w:p w14:paraId="143DA5F8">
            <w:pPr>
              <w:bidi w:val="0"/>
              <w:jc w:val="center"/>
              <w:rPr>
                <w:rFonts w:hint="eastAsia" w:ascii="宋体" w:hAnsi="宋体" w:eastAsia="宋体" w:cs="宋体"/>
                <w:color w:val="auto"/>
                <w:sz w:val="24"/>
                <w:szCs w:val="24"/>
                <w:highlight w:val="none"/>
                <w:lang w:val="en-US" w:eastAsia="zh-CN"/>
              </w:rPr>
            </w:pPr>
          </w:p>
        </w:tc>
        <w:tc>
          <w:tcPr>
            <w:tcW w:w="4063" w:type="dxa"/>
            <w:noWrap w:val="0"/>
            <w:vAlign w:val="center"/>
          </w:tcPr>
          <w:p w14:paraId="69D73A44">
            <w:pPr>
              <w:bidi w:val="0"/>
              <w:jc w:val="center"/>
              <w:rPr>
                <w:rFonts w:hint="eastAsia" w:ascii="宋体" w:hAnsi="宋体" w:eastAsia="宋体" w:cs="宋体"/>
                <w:color w:val="auto"/>
                <w:sz w:val="24"/>
                <w:szCs w:val="24"/>
                <w:highlight w:val="none"/>
                <w:lang w:val="en-US" w:eastAsia="zh-CN"/>
              </w:rPr>
            </w:pPr>
          </w:p>
        </w:tc>
        <w:tc>
          <w:tcPr>
            <w:tcW w:w="2180" w:type="dxa"/>
            <w:noWrap w:val="0"/>
            <w:vAlign w:val="center"/>
          </w:tcPr>
          <w:p w14:paraId="749448CC">
            <w:pPr>
              <w:bidi w:val="0"/>
              <w:jc w:val="center"/>
              <w:rPr>
                <w:rFonts w:hint="eastAsia" w:ascii="宋体" w:hAnsi="宋体" w:eastAsia="宋体" w:cs="宋体"/>
                <w:color w:val="auto"/>
                <w:sz w:val="24"/>
                <w:szCs w:val="24"/>
                <w:highlight w:val="none"/>
              </w:rPr>
            </w:pPr>
          </w:p>
        </w:tc>
        <w:tc>
          <w:tcPr>
            <w:tcW w:w="897" w:type="dxa"/>
            <w:noWrap w:val="0"/>
            <w:vAlign w:val="center"/>
          </w:tcPr>
          <w:p w14:paraId="0F703ED0">
            <w:pPr>
              <w:bidi w:val="0"/>
              <w:jc w:val="center"/>
              <w:rPr>
                <w:rFonts w:hint="eastAsia" w:ascii="宋体" w:hAnsi="宋体" w:eastAsia="宋体" w:cs="宋体"/>
                <w:color w:val="auto"/>
                <w:sz w:val="24"/>
                <w:szCs w:val="24"/>
                <w:highlight w:val="none"/>
              </w:rPr>
            </w:pPr>
          </w:p>
        </w:tc>
        <w:tc>
          <w:tcPr>
            <w:tcW w:w="756" w:type="dxa"/>
            <w:noWrap w:val="0"/>
            <w:vAlign w:val="center"/>
          </w:tcPr>
          <w:p w14:paraId="2A5119C5">
            <w:pPr>
              <w:bidi w:val="0"/>
              <w:jc w:val="center"/>
              <w:rPr>
                <w:rFonts w:hint="eastAsia" w:ascii="宋体" w:hAnsi="宋体" w:eastAsia="宋体" w:cs="宋体"/>
                <w:color w:val="auto"/>
                <w:sz w:val="24"/>
                <w:szCs w:val="24"/>
                <w:highlight w:val="none"/>
              </w:rPr>
            </w:pPr>
          </w:p>
        </w:tc>
      </w:tr>
      <w:tr w14:paraId="2230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02DEB850">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248" w:type="dxa"/>
            <w:noWrap w:val="0"/>
            <w:vAlign w:val="center"/>
          </w:tcPr>
          <w:p w14:paraId="3DBB9031">
            <w:pPr>
              <w:bidi w:val="0"/>
              <w:jc w:val="center"/>
              <w:rPr>
                <w:rFonts w:hint="eastAsia" w:ascii="宋体" w:hAnsi="宋体" w:eastAsia="宋体" w:cs="宋体"/>
                <w:color w:val="auto"/>
                <w:sz w:val="24"/>
                <w:szCs w:val="24"/>
                <w:highlight w:val="none"/>
                <w:lang w:val="en-US" w:eastAsia="zh-CN"/>
              </w:rPr>
            </w:pPr>
          </w:p>
        </w:tc>
        <w:tc>
          <w:tcPr>
            <w:tcW w:w="4063" w:type="dxa"/>
            <w:noWrap w:val="0"/>
            <w:vAlign w:val="center"/>
          </w:tcPr>
          <w:p w14:paraId="57F2635F">
            <w:pPr>
              <w:bidi w:val="0"/>
              <w:jc w:val="center"/>
              <w:rPr>
                <w:rFonts w:hint="eastAsia" w:ascii="宋体" w:hAnsi="宋体" w:eastAsia="宋体" w:cs="宋体"/>
                <w:color w:val="auto"/>
                <w:sz w:val="24"/>
                <w:szCs w:val="24"/>
                <w:highlight w:val="none"/>
                <w:lang w:val="en-US" w:eastAsia="zh-CN"/>
              </w:rPr>
            </w:pPr>
          </w:p>
        </w:tc>
        <w:tc>
          <w:tcPr>
            <w:tcW w:w="2180" w:type="dxa"/>
            <w:noWrap w:val="0"/>
            <w:vAlign w:val="center"/>
          </w:tcPr>
          <w:p w14:paraId="077FD246">
            <w:pPr>
              <w:bidi w:val="0"/>
              <w:jc w:val="center"/>
              <w:rPr>
                <w:rFonts w:hint="eastAsia" w:ascii="宋体" w:hAnsi="宋体" w:eastAsia="宋体" w:cs="宋体"/>
                <w:color w:val="auto"/>
                <w:sz w:val="24"/>
                <w:szCs w:val="24"/>
                <w:highlight w:val="none"/>
              </w:rPr>
            </w:pPr>
          </w:p>
        </w:tc>
        <w:tc>
          <w:tcPr>
            <w:tcW w:w="897" w:type="dxa"/>
            <w:noWrap w:val="0"/>
            <w:vAlign w:val="center"/>
          </w:tcPr>
          <w:p w14:paraId="3C110D84">
            <w:pPr>
              <w:bidi w:val="0"/>
              <w:jc w:val="center"/>
              <w:rPr>
                <w:rFonts w:hint="eastAsia" w:ascii="宋体" w:hAnsi="宋体" w:eastAsia="宋体" w:cs="宋体"/>
                <w:color w:val="auto"/>
                <w:sz w:val="24"/>
                <w:szCs w:val="24"/>
                <w:highlight w:val="none"/>
              </w:rPr>
            </w:pPr>
          </w:p>
        </w:tc>
        <w:tc>
          <w:tcPr>
            <w:tcW w:w="756" w:type="dxa"/>
            <w:noWrap w:val="0"/>
            <w:vAlign w:val="center"/>
          </w:tcPr>
          <w:p w14:paraId="7185ED7D">
            <w:pPr>
              <w:bidi w:val="0"/>
              <w:jc w:val="center"/>
              <w:rPr>
                <w:rFonts w:hint="eastAsia" w:ascii="宋体" w:hAnsi="宋体" w:eastAsia="宋体" w:cs="宋体"/>
                <w:color w:val="auto"/>
                <w:sz w:val="24"/>
                <w:szCs w:val="24"/>
                <w:highlight w:val="none"/>
              </w:rPr>
            </w:pPr>
          </w:p>
        </w:tc>
      </w:tr>
      <w:tr w14:paraId="2A26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1FA9606D">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248" w:type="dxa"/>
            <w:noWrap w:val="0"/>
            <w:vAlign w:val="center"/>
          </w:tcPr>
          <w:p w14:paraId="73AC0CDD">
            <w:pPr>
              <w:bidi w:val="0"/>
              <w:jc w:val="center"/>
              <w:rPr>
                <w:rFonts w:hint="eastAsia" w:ascii="宋体" w:hAnsi="宋体" w:eastAsia="宋体" w:cs="宋体"/>
                <w:color w:val="auto"/>
                <w:sz w:val="24"/>
                <w:szCs w:val="24"/>
                <w:highlight w:val="none"/>
                <w:lang w:val="en-US" w:eastAsia="zh-CN"/>
              </w:rPr>
            </w:pPr>
          </w:p>
        </w:tc>
        <w:tc>
          <w:tcPr>
            <w:tcW w:w="4063" w:type="dxa"/>
            <w:noWrap w:val="0"/>
            <w:vAlign w:val="center"/>
          </w:tcPr>
          <w:p w14:paraId="74235EB7">
            <w:pPr>
              <w:bidi w:val="0"/>
              <w:jc w:val="center"/>
              <w:rPr>
                <w:rFonts w:hint="eastAsia" w:ascii="宋体" w:hAnsi="宋体" w:eastAsia="宋体" w:cs="宋体"/>
                <w:color w:val="auto"/>
                <w:sz w:val="24"/>
                <w:szCs w:val="24"/>
                <w:highlight w:val="none"/>
                <w:lang w:val="en-US" w:eastAsia="zh-CN"/>
              </w:rPr>
            </w:pPr>
          </w:p>
        </w:tc>
        <w:tc>
          <w:tcPr>
            <w:tcW w:w="2180" w:type="dxa"/>
            <w:noWrap w:val="0"/>
            <w:vAlign w:val="center"/>
          </w:tcPr>
          <w:p w14:paraId="32381BFA">
            <w:pPr>
              <w:bidi w:val="0"/>
              <w:jc w:val="center"/>
              <w:rPr>
                <w:rFonts w:hint="eastAsia" w:ascii="宋体" w:hAnsi="宋体" w:eastAsia="宋体" w:cs="宋体"/>
                <w:color w:val="auto"/>
                <w:sz w:val="24"/>
                <w:szCs w:val="24"/>
                <w:highlight w:val="none"/>
              </w:rPr>
            </w:pPr>
          </w:p>
        </w:tc>
        <w:tc>
          <w:tcPr>
            <w:tcW w:w="897" w:type="dxa"/>
            <w:noWrap w:val="0"/>
            <w:vAlign w:val="center"/>
          </w:tcPr>
          <w:p w14:paraId="32304B2A">
            <w:pPr>
              <w:bidi w:val="0"/>
              <w:jc w:val="center"/>
              <w:rPr>
                <w:rFonts w:hint="eastAsia" w:ascii="宋体" w:hAnsi="宋体" w:eastAsia="宋体" w:cs="宋体"/>
                <w:color w:val="auto"/>
                <w:sz w:val="24"/>
                <w:szCs w:val="24"/>
                <w:highlight w:val="none"/>
              </w:rPr>
            </w:pPr>
          </w:p>
        </w:tc>
        <w:tc>
          <w:tcPr>
            <w:tcW w:w="756" w:type="dxa"/>
            <w:noWrap w:val="0"/>
            <w:vAlign w:val="center"/>
          </w:tcPr>
          <w:p w14:paraId="67880DD6">
            <w:pPr>
              <w:bidi w:val="0"/>
              <w:jc w:val="center"/>
              <w:rPr>
                <w:rFonts w:hint="eastAsia" w:ascii="宋体" w:hAnsi="宋体" w:eastAsia="宋体" w:cs="宋体"/>
                <w:color w:val="auto"/>
                <w:sz w:val="24"/>
                <w:szCs w:val="24"/>
                <w:highlight w:val="none"/>
              </w:rPr>
            </w:pPr>
          </w:p>
        </w:tc>
      </w:tr>
    </w:tbl>
    <w:p w14:paraId="460F1F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注：1.对招标文件中的所有商务、技术要求，除本表所列明的所有偏离外，均视作供应商已对之理解和响应。</w:t>
      </w:r>
    </w:p>
    <w:p w14:paraId="6AEF23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2.投标人应对招标文件“第五章 采购需求”中的所有条款进行点对点应答，此表中若无任何文字说明，内容为空白的，</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0F71BA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3.“偏离情况”列应据实填写“无偏离”、“正偏离”或“负偏离”。</w:t>
      </w:r>
    </w:p>
    <w:p w14:paraId="51126D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.招标文件“第五章采购需求中”需提供佐证材料的项，应在此表备注栏明确标注对应页码，否则将视为未提供佐证材料。</w:t>
      </w:r>
    </w:p>
    <w:p w14:paraId="345867D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p>
    <w:p w14:paraId="7895AB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14:paraId="03242E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w:t>
      </w:r>
    </w:p>
    <w:p w14:paraId="3F40AE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093F836">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D057262">
      <w:pPr>
        <w:spacing w:before="48" w:line="220" w:lineRule="auto"/>
        <w:outlineLvl w:val="9"/>
        <w:rPr>
          <w:rFonts w:hint="eastAsia" w:ascii="宋体" w:hAnsi="宋体" w:eastAsia="宋体" w:cs="宋体"/>
          <w:color w:val="auto"/>
          <w:sz w:val="24"/>
          <w:szCs w:val="24"/>
          <w:highlight w:val="none"/>
        </w:rPr>
      </w:pPr>
      <w:bookmarkStart w:id="45" w:name="_Toc6032"/>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格式五：</w:t>
      </w:r>
      <w:bookmarkEnd w:id="45"/>
    </w:p>
    <w:p w14:paraId="41A9CFA9">
      <w:pPr>
        <w:spacing w:before="182" w:line="219" w:lineRule="auto"/>
        <w:ind w:left="3324"/>
        <w:outlineLvl w:val="9"/>
        <w:rPr>
          <w:rFonts w:hint="eastAsia" w:ascii="宋体" w:hAnsi="宋体" w:eastAsia="宋体" w:cs="宋体"/>
          <w:color w:val="auto"/>
          <w:sz w:val="24"/>
          <w:szCs w:val="24"/>
          <w:highlight w:val="none"/>
        </w:rPr>
      </w:pPr>
      <w:bookmarkStart w:id="46" w:name="_Toc6896"/>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售后服务承诺书（格式）</w:t>
      </w:r>
      <w:bookmarkEnd w:id="46"/>
    </w:p>
    <w:p w14:paraId="17ADD19B">
      <w:pPr>
        <w:pStyle w:val="7"/>
        <w:spacing w:line="283" w:lineRule="auto"/>
        <w:outlineLvl w:val="9"/>
        <w:rPr>
          <w:rFonts w:hint="eastAsia" w:ascii="宋体" w:hAnsi="宋体" w:eastAsia="宋体" w:cs="宋体"/>
          <w:color w:val="auto"/>
          <w:highlight w:val="none"/>
        </w:rPr>
      </w:pPr>
    </w:p>
    <w:p w14:paraId="43F1B8E2">
      <w:pPr>
        <w:pStyle w:val="7"/>
        <w:spacing w:line="284" w:lineRule="auto"/>
        <w:outlineLvl w:val="9"/>
        <w:rPr>
          <w:rFonts w:hint="eastAsia" w:ascii="宋体" w:hAnsi="宋体" w:eastAsia="宋体" w:cs="宋体"/>
          <w:color w:val="auto"/>
          <w:highlight w:val="none"/>
        </w:rPr>
      </w:pPr>
    </w:p>
    <w:p w14:paraId="7DDC3199">
      <w:pPr>
        <w:spacing w:before="78" w:line="220" w:lineRule="auto"/>
        <w:ind w:left="22"/>
        <w:outlineLvl w:val="9"/>
        <w:rPr>
          <w:rFonts w:hint="eastAsia" w:ascii="宋体" w:hAnsi="宋体" w:eastAsia="宋体" w:cs="宋体"/>
          <w:color w:val="auto"/>
          <w:sz w:val="24"/>
          <w:szCs w:val="24"/>
          <w:highlight w:val="none"/>
        </w:rPr>
      </w:pPr>
      <w:bookmarkStart w:id="47" w:name="_Toc25879"/>
      <w:r>
        <w:rPr>
          <w:rFonts w:hint="eastAsia" w:ascii="宋体" w:hAnsi="宋体" w:eastAsia="宋体" w:cs="宋体"/>
          <w:color w:val="auto"/>
          <w:spacing w:val="-3"/>
          <w:sz w:val="24"/>
          <w:szCs w:val="24"/>
          <w:highlight w:val="none"/>
          <w:lang w:eastAsia="zh-CN"/>
        </w:rPr>
        <w:t>中峪国际项目管理有限公司</w:t>
      </w:r>
      <w:r>
        <w:rPr>
          <w:rFonts w:hint="eastAsia" w:ascii="宋体" w:hAnsi="宋体" w:eastAsia="宋体" w:cs="宋体"/>
          <w:color w:val="auto"/>
          <w:spacing w:val="-3"/>
          <w:sz w:val="24"/>
          <w:szCs w:val="24"/>
          <w:highlight w:val="none"/>
        </w:rPr>
        <w:t>：</w:t>
      </w:r>
      <w:bookmarkEnd w:id="47"/>
    </w:p>
    <w:p w14:paraId="43625690">
      <w:pPr>
        <w:spacing w:before="179" w:line="360" w:lineRule="auto"/>
        <w:ind w:left="2" w:firstLine="479"/>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我公司自愿参加</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pacing w:val="-2"/>
          <w:sz w:val="24"/>
          <w:szCs w:val="24"/>
          <w:highlight w:val="none"/>
        </w:rPr>
        <w:t>项目（项目编号）的投标。我公司郑重承诺</w:t>
      </w:r>
      <w:r>
        <w:rPr>
          <w:rFonts w:hint="eastAsia" w:ascii="宋体" w:hAnsi="宋体" w:eastAsia="宋体" w:cs="宋体"/>
          <w:color w:val="auto"/>
          <w:spacing w:val="-3"/>
          <w:sz w:val="24"/>
          <w:szCs w:val="24"/>
          <w:highlight w:val="none"/>
        </w:rPr>
        <w:t>，如果我公司的</w:t>
      </w:r>
      <w:r>
        <w:rPr>
          <w:rFonts w:hint="eastAsia" w:ascii="宋体" w:hAnsi="宋体" w:eastAsia="宋体" w:cs="宋体"/>
          <w:color w:val="auto"/>
          <w:spacing w:val="-2"/>
          <w:sz w:val="24"/>
          <w:szCs w:val="24"/>
          <w:highlight w:val="none"/>
        </w:rPr>
        <w:t>投标被评定为中标，我公司对于中标货物，除完全响应招标文件合同条款对伴随服务和售</w:t>
      </w:r>
      <w:r>
        <w:rPr>
          <w:rFonts w:hint="eastAsia" w:ascii="宋体" w:hAnsi="宋体" w:eastAsia="宋体" w:cs="宋体"/>
          <w:color w:val="auto"/>
          <w:spacing w:val="-1"/>
          <w:sz w:val="24"/>
          <w:szCs w:val="24"/>
          <w:highlight w:val="none"/>
        </w:rPr>
        <w:t>后服务的所有要求外，还将按照以下条款提供优质和完善的售后服务：</w:t>
      </w:r>
    </w:p>
    <w:p w14:paraId="0329490A">
      <w:pPr>
        <w:spacing w:before="217" w:line="469" w:lineRule="exact"/>
        <w:ind w:left="497"/>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4"/>
          <w:position w:val="21"/>
          <w:sz w:val="24"/>
          <w:szCs w:val="24"/>
          <w:highlight w:val="none"/>
        </w:rPr>
        <w:t>1.</w:t>
      </w:r>
    </w:p>
    <w:p w14:paraId="23BAD3AA">
      <w:pPr>
        <w:spacing w:line="183" w:lineRule="auto"/>
        <w:ind w:left="48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w:t>
      </w:r>
    </w:p>
    <w:p w14:paraId="7AC20C53">
      <w:pPr>
        <w:spacing w:before="210" w:line="99" w:lineRule="exact"/>
        <w:ind w:left="486"/>
        <w:outlineLvl w:val="9"/>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w:t>
      </w:r>
    </w:p>
    <w:p w14:paraId="6AC1A1B4">
      <w:pPr>
        <w:pStyle w:val="7"/>
        <w:spacing w:line="295" w:lineRule="auto"/>
        <w:outlineLvl w:val="9"/>
        <w:rPr>
          <w:rFonts w:hint="eastAsia" w:ascii="宋体" w:hAnsi="宋体" w:eastAsia="宋体" w:cs="宋体"/>
          <w:color w:val="auto"/>
          <w:highlight w:val="none"/>
        </w:rPr>
      </w:pPr>
    </w:p>
    <w:p w14:paraId="546A15D9">
      <w:pPr>
        <w:pStyle w:val="7"/>
        <w:spacing w:line="295" w:lineRule="auto"/>
        <w:outlineLvl w:val="9"/>
        <w:rPr>
          <w:rFonts w:hint="eastAsia" w:ascii="宋体" w:hAnsi="宋体" w:eastAsia="宋体" w:cs="宋体"/>
          <w:color w:val="auto"/>
          <w:highlight w:val="none"/>
        </w:rPr>
      </w:pPr>
    </w:p>
    <w:p w14:paraId="48C60F0D">
      <w:pPr>
        <w:pStyle w:val="7"/>
        <w:spacing w:line="296" w:lineRule="auto"/>
        <w:outlineLvl w:val="9"/>
        <w:rPr>
          <w:rFonts w:hint="eastAsia" w:ascii="宋体" w:hAnsi="宋体" w:eastAsia="宋体" w:cs="宋体"/>
          <w:color w:val="auto"/>
          <w:highlight w:val="none"/>
        </w:rPr>
      </w:pPr>
    </w:p>
    <w:p w14:paraId="44627565">
      <w:pPr>
        <w:spacing w:before="79" w:line="219" w:lineRule="auto"/>
        <w:ind w:left="48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投标人名称（盖章</w:t>
      </w:r>
      <w:r>
        <w:rPr>
          <w:rFonts w:hint="eastAsia" w:ascii="宋体" w:hAnsi="宋体" w:eastAsia="宋体" w:cs="宋体"/>
          <w:color w:val="auto"/>
          <w:spacing w:val="1"/>
          <w:sz w:val="24"/>
          <w:szCs w:val="24"/>
          <w:highlight w:val="none"/>
        </w:rPr>
        <w:t>）：</w:t>
      </w:r>
    </w:p>
    <w:p w14:paraId="67AD9EF6">
      <w:pPr>
        <w:spacing w:before="183" w:line="465" w:lineRule="exact"/>
        <w:ind w:left="48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法定代表人（单位负责人）</w:t>
      </w:r>
    </w:p>
    <w:p w14:paraId="2E000B0C">
      <w:pPr>
        <w:spacing w:line="220" w:lineRule="auto"/>
        <w:ind w:left="48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或授权代表（签字</w:t>
      </w:r>
      <w:r>
        <w:rPr>
          <w:rFonts w:hint="eastAsia" w:ascii="宋体" w:hAnsi="宋体" w:eastAsia="宋体" w:cs="宋体"/>
          <w:color w:val="auto"/>
          <w:spacing w:val="1"/>
          <w:sz w:val="24"/>
          <w:szCs w:val="24"/>
          <w:highlight w:val="none"/>
        </w:rPr>
        <w:t>）：</w:t>
      </w:r>
    </w:p>
    <w:p w14:paraId="50C7DD20">
      <w:pPr>
        <w:spacing w:before="180" w:line="220" w:lineRule="auto"/>
        <w:ind w:left="480"/>
        <w:outlineLvl w:val="9"/>
        <w:rPr>
          <w:rFonts w:hint="eastAsia" w:ascii="宋体" w:hAnsi="宋体" w:eastAsia="宋体" w:cs="宋体"/>
          <w:color w:val="auto"/>
          <w:sz w:val="24"/>
          <w:szCs w:val="24"/>
          <w:highlight w:val="none"/>
        </w:rPr>
      </w:pPr>
      <w:bookmarkStart w:id="48" w:name="_Toc1282"/>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9"/>
          <w:sz w:val="24"/>
          <w:szCs w:val="24"/>
          <w:highlight w:val="none"/>
        </w:rPr>
        <w:t>日</w:t>
      </w:r>
      <w:bookmarkEnd w:id="48"/>
    </w:p>
    <w:p w14:paraId="2697AA51">
      <w:pPr>
        <w:outlineLvl w:val="9"/>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br w:type="page"/>
      </w:r>
    </w:p>
    <w:p w14:paraId="7AA5878F">
      <w:pPr>
        <w:spacing w:before="48" w:line="220" w:lineRule="auto"/>
        <w:outlineLvl w:val="9"/>
        <w:rPr>
          <w:rFonts w:hint="eastAsia" w:ascii="宋体" w:hAnsi="宋体" w:eastAsia="宋体" w:cs="宋体"/>
          <w:color w:val="auto"/>
          <w:sz w:val="24"/>
          <w:szCs w:val="24"/>
          <w:highlight w:val="none"/>
        </w:rPr>
      </w:pPr>
      <w:bookmarkStart w:id="49" w:name="_Toc30861"/>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格式六：</w:t>
      </w:r>
      <w:bookmarkEnd w:id="49"/>
    </w:p>
    <w:p w14:paraId="52D1DE76">
      <w:pPr>
        <w:spacing w:before="182" w:line="220" w:lineRule="auto"/>
        <w:ind w:left="2240"/>
        <w:outlineLvl w:val="9"/>
        <w:rPr>
          <w:rFonts w:hint="eastAsia" w:ascii="宋体" w:hAnsi="宋体" w:eastAsia="宋体" w:cs="宋体"/>
          <w:color w:val="auto"/>
          <w:sz w:val="24"/>
          <w:szCs w:val="24"/>
          <w:highlight w:val="none"/>
        </w:rPr>
      </w:pPr>
      <w:bookmarkStart w:id="50" w:name="_Toc30902"/>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法定代表人（单位负责人）身份证明（格式）</w:t>
      </w:r>
      <w:bookmarkEnd w:id="50"/>
    </w:p>
    <w:p w14:paraId="51B446A7">
      <w:pPr>
        <w:pStyle w:val="7"/>
        <w:spacing w:line="283" w:lineRule="auto"/>
        <w:outlineLvl w:val="9"/>
        <w:rPr>
          <w:rFonts w:hint="eastAsia" w:ascii="宋体" w:hAnsi="宋体" w:eastAsia="宋体" w:cs="宋体"/>
          <w:color w:val="auto"/>
          <w:highlight w:val="none"/>
        </w:rPr>
      </w:pPr>
    </w:p>
    <w:p w14:paraId="784AB969">
      <w:pPr>
        <w:pStyle w:val="7"/>
        <w:spacing w:line="283" w:lineRule="auto"/>
        <w:outlineLvl w:val="9"/>
        <w:rPr>
          <w:rFonts w:hint="eastAsia" w:ascii="宋体" w:hAnsi="宋体" w:eastAsia="宋体" w:cs="宋体"/>
          <w:color w:val="auto"/>
          <w:highlight w:val="none"/>
        </w:rPr>
      </w:pPr>
    </w:p>
    <w:p w14:paraId="30387EAF">
      <w:pPr>
        <w:spacing w:before="78" w:line="219" w:lineRule="auto"/>
        <w:outlineLvl w:val="9"/>
        <w:rPr>
          <w:rFonts w:hint="eastAsia" w:ascii="宋体" w:hAnsi="宋体" w:eastAsia="宋体" w:cs="宋体"/>
          <w:color w:val="auto"/>
          <w:sz w:val="24"/>
          <w:szCs w:val="24"/>
          <w:highlight w:val="none"/>
        </w:rPr>
      </w:pPr>
      <w:bookmarkStart w:id="51" w:name="_Toc10707"/>
      <w:r>
        <w:rPr>
          <w:rFonts w:hint="eastAsia" w:ascii="宋体" w:hAnsi="宋体" w:eastAsia="宋体" w:cs="宋体"/>
          <w:color w:val="auto"/>
          <w:spacing w:val="2"/>
          <w:sz w:val="24"/>
          <w:szCs w:val="24"/>
          <w:highlight w:val="none"/>
        </w:rPr>
        <w:t>致</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2"/>
          <w:sz w:val="24"/>
          <w:szCs w:val="24"/>
          <w:highlight w:val="none"/>
        </w:rPr>
        <w:t>采购人或采购代理机构）</w:t>
      </w:r>
      <w:bookmarkEnd w:id="51"/>
    </w:p>
    <w:p w14:paraId="2EFE88EA">
      <w:pPr>
        <w:spacing w:before="180" w:line="360" w:lineRule="auto"/>
        <w:ind w:firstLine="468"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兹证明，姓名：</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3"/>
          <w:sz w:val="24"/>
          <w:szCs w:val="24"/>
          <w:highlight w:val="none"/>
        </w:rPr>
        <w:t>性别：</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pacing w:val="-3"/>
          <w:sz w:val="24"/>
          <w:szCs w:val="24"/>
          <w:highlight w:val="none"/>
        </w:rPr>
        <w:t>年龄：</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3"/>
          <w:sz w:val="24"/>
          <w:szCs w:val="24"/>
          <w:highlight w:val="none"/>
        </w:rPr>
        <w:t>职务：</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pacing w:val="-3"/>
          <w:sz w:val="24"/>
          <w:szCs w:val="24"/>
          <w:highlight w:val="none"/>
        </w:rPr>
        <w:t>系</w:t>
      </w:r>
      <w:r>
        <w:rPr>
          <w:rFonts w:hint="eastAsia" w:ascii="宋体" w:hAnsi="宋体" w:eastAsia="宋体" w:cs="宋体"/>
          <w:color w:val="auto"/>
          <w:spacing w:val="-3"/>
          <w:sz w:val="24"/>
          <w:szCs w:val="24"/>
          <w:highlight w:val="none"/>
          <w:u w:val="single"/>
        </w:rPr>
        <w:t>（投标人名称）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pacing w:val="-3"/>
          <w:sz w:val="24"/>
          <w:szCs w:val="24"/>
          <w:highlight w:val="none"/>
        </w:rPr>
        <w:t>的法定代表</w:t>
      </w:r>
      <w:r>
        <w:rPr>
          <w:rFonts w:hint="eastAsia" w:ascii="宋体" w:hAnsi="宋体" w:eastAsia="宋体" w:cs="宋体"/>
          <w:color w:val="auto"/>
          <w:spacing w:val="-2"/>
          <w:sz w:val="24"/>
          <w:szCs w:val="24"/>
          <w:highlight w:val="none"/>
        </w:rPr>
        <w:t>人（单位负责人）。</w:t>
      </w:r>
    </w:p>
    <w:p w14:paraId="2D35AA4F">
      <w:pPr>
        <w:spacing w:before="182" w:line="219" w:lineRule="auto"/>
        <w:ind w:left="18"/>
        <w:outlineLvl w:val="9"/>
        <w:rPr>
          <w:rFonts w:hint="eastAsia" w:ascii="宋体" w:hAnsi="宋体" w:eastAsia="宋体" w:cs="宋体"/>
          <w:color w:val="auto"/>
          <w:sz w:val="24"/>
          <w:szCs w:val="24"/>
          <w:highlight w:val="none"/>
        </w:rPr>
      </w:pPr>
      <w:bookmarkStart w:id="52" w:name="_Toc31712"/>
      <w:r>
        <w:rPr>
          <w:rFonts w:hint="eastAsia" w:ascii="宋体" w:hAnsi="宋体" w:eastAsia="宋体" w:cs="宋体"/>
          <w:color w:val="auto"/>
          <w:spacing w:val="-1"/>
          <w:sz w:val="24"/>
          <w:szCs w:val="24"/>
          <w:highlight w:val="none"/>
        </w:rPr>
        <w:t>附：法定代表人（单位负责人）身份证、护照等身份证明文件电子件：</w:t>
      </w:r>
      <w:bookmarkEnd w:id="52"/>
    </w:p>
    <w:p w14:paraId="6E465D74">
      <w:pPr>
        <w:pStyle w:val="7"/>
        <w:spacing w:line="283" w:lineRule="auto"/>
        <w:outlineLvl w:val="9"/>
        <w:rPr>
          <w:rFonts w:hint="eastAsia" w:ascii="宋体" w:hAnsi="宋体" w:eastAsia="宋体" w:cs="宋体"/>
          <w:color w:val="auto"/>
          <w:highlight w:val="none"/>
        </w:rPr>
      </w:pPr>
    </w:p>
    <w:p w14:paraId="74065D3D">
      <w:pPr>
        <w:pStyle w:val="7"/>
        <w:spacing w:line="284" w:lineRule="auto"/>
        <w:outlineLvl w:val="9"/>
        <w:rPr>
          <w:rFonts w:hint="eastAsia" w:ascii="宋体" w:hAnsi="宋体" w:eastAsia="宋体" w:cs="宋体"/>
          <w:color w:val="auto"/>
          <w:highlight w:val="none"/>
        </w:rPr>
      </w:pPr>
    </w:p>
    <w:p w14:paraId="2563BAB1">
      <w:pPr>
        <w:spacing w:before="78" w:line="219" w:lineRule="auto"/>
        <w:ind w:left="48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投标人名称（盖章</w:t>
      </w:r>
      <w:r>
        <w:rPr>
          <w:rFonts w:hint="eastAsia" w:ascii="宋体" w:hAnsi="宋体" w:eastAsia="宋体" w:cs="宋体"/>
          <w:color w:val="auto"/>
          <w:spacing w:val="1"/>
          <w:sz w:val="24"/>
          <w:szCs w:val="24"/>
          <w:highlight w:val="none"/>
        </w:rPr>
        <w:t>）：</w:t>
      </w:r>
    </w:p>
    <w:p w14:paraId="193A6C70">
      <w:pPr>
        <w:spacing w:before="180" w:line="219" w:lineRule="auto"/>
        <w:ind w:left="48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法定代表人（单位负责人</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1"/>
          <w:sz w:val="24"/>
          <w:szCs w:val="24"/>
          <w:highlight w:val="none"/>
        </w:rPr>
        <w:t>签字或盖章</w:t>
      </w:r>
      <w:r>
        <w:rPr>
          <w:rFonts w:hint="eastAsia" w:ascii="宋体" w:hAnsi="宋体" w:eastAsia="宋体" w:cs="宋体"/>
          <w:color w:val="auto"/>
          <w:spacing w:val="-7"/>
          <w:sz w:val="24"/>
          <w:szCs w:val="24"/>
          <w:highlight w:val="none"/>
        </w:rPr>
        <w:t>）：</w:t>
      </w:r>
    </w:p>
    <w:p w14:paraId="463DB2A0">
      <w:pPr>
        <w:spacing w:before="181" w:line="220" w:lineRule="auto"/>
        <w:ind w:left="521"/>
        <w:outlineLvl w:val="9"/>
        <w:rPr>
          <w:rFonts w:hint="eastAsia" w:ascii="宋体" w:hAnsi="宋体" w:eastAsia="宋体" w:cs="宋体"/>
          <w:color w:val="auto"/>
          <w:sz w:val="24"/>
          <w:szCs w:val="24"/>
          <w:highlight w:val="none"/>
        </w:rPr>
      </w:pPr>
      <w:bookmarkStart w:id="53" w:name="_Toc9976"/>
      <w:r>
        <w:rPr>
          <w:rFonts w:hint="eastAsia" w:ascii="宋体" w:hAnsi="宋体" w:eastAsia="宋体" w:cs="宋体"/>
          <w:color w:val="auto"/>
          <w:spacing w:val="-13"/>
          <w:sz w:val="24"/>
          <w:szCs w:val="24"/>
          <w:highlight w:val="none"/>
        </w:rPr>
        <w:t>日期：</w:t>
      </w:r>
      <w:r>
        <w:rPr>
          <w:rFonts w:hint="eastAsia" w:ascii="宋体" w:hAnsi="宋体" w:eastAsia="宋体" w:cs="宋体"/>
          <w:color w:val="auto"/>
          <w:spacing w:val="30"/>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13"/>
          <w:sz w:val="24"/>
          <w:szCs w:val="24"/>
          <w:highlight w:val="none"/>
        </w:rPr>
        <w:t>日</w:t>
      </w:r>
      <w:bookmarkEnd w:id="53"/>
    </w:p>
    <w:p w14:paraId="2AEA5B5F">
      <w:pPr>
        <w:outlineLvl w:val="9"/>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br w:type="page"/>
      </w:r>
    </w:p>
    <w:p w14:paraId="11B48D35">
      <w:pPr>
        <w:spacing w:before="48" w:line="220" w:lineRule="auto"/>
        <w:outlineLvl w:val="9"/>
        <w:rPr>
          <w:rFonts w:hint="eastAsia" w:ascii="宋体" w:hAnsi="宋体" w:eastAsia="宋体" w:cs="宋体"/>
          <w:color w:val="auto"/>
          <w:sz w:val="24"/>
          <w:szCs w:val="24"/>
          <w:highlight w:val="none"/>
        </w:rPr>
      </w:pPr>
      <w:bookmarkStart w:id="54" w:name="_Toc3491"/>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格式七：</w:t>
      </w:r>
      <w:bookmarkEnd w:id="54"/>
    </w:p>
    <w:p w14:paraId="16EB4974">
      <w:pPr>
        <w:spacing w:before="182" w:line="219" w:lineRule="auto"/>
        <w:ind w:left="3566"/>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授权委托书（格式）</w:t>
      </w:r>
    </w:p>
    <w:p w14:paraId="0DB5D35D">
      <w:pPr>
        <w:pStyle w:val="7"/>
        <w:spacing w:line="284" w:lineRule="auto"/>
        <w:outlineLvl w:val="9"/>
        <w:rPr>
          <w:rFonts w:hint="eastAsia" w:ascii="宋体" w:hAnsi="宋体" w:eastAsia="宋体" w:cs="宋体"/>
          <w:color w:val="auto"/>
          <w:highlight w:val="none"/>
        </w:rPr>
      </w:pPr>
    </w:p>
    <w:p w14:paraId="2961B659">
      <w:pPr>
        <w:pStyle w:val="7"/>
        <w:spacing w:line="284" w:lineRule="auto"/>
        <w:outlineLvl w:val="9"/>
        <w:rPr>
          <w:rFonts w:hint="eastAsia" w:ascii="宋体" w:hAnsi="宋体" w:eastAsia="宋体" w:cs="宋体"/>
          <w:color w:val="auto"/>
          <w:highlight w:val="none"/>
        </w:rPr>
      </w:pPr>
    </w:p>
    <w:p w14:paraId="3177FF13">
      <w:pPr>
        <w:spacing w:before="78" w:line="359" w:lineRule="auto"/>
        <w:ind w:right="21" w:firstLine="48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本人</w:t>
      </w:r>
      <w:r>
        <w:rPr>
          <w:rFonts w:hint="eastAsia" w:ascii="宋体" w:hAnsi="宋体" w:eastAsia="宋体" w:cs="宋体"/>
          <w:color w:val="auto"/>
          <w:spacing w:val="-118"/>
          <w:sz w:val="24"/>
          <w:szCs w:val="24"/>
          <w:highlight w:val="none"/>
        </w:rPr>
        <w:t xml:space="preserve"> </w:t>
      </w:r>
      <w:r>
        <w:rPr>
          <w:rFonts w:hint="eastAsia" w:ascii="宋体" w:hAnsi="宋体" w:eastAsia="宋体" w:cs="宋体"/>
          <w:color w:val="auto"/>
          <w:spacing w:val="20"/>
          <w:sz w:val="24"/>
          <w:szCs w:val="24"/>
          <w:highlight w:val="none"/>
          <w:u w:val="single" w:color="auto"/>
        </w:rPr>
        <w:t xml:space="preserve">      </w:t>
      </w:r>
      <w:r>
        <w:rPr>
          <w:rFonts w:hint="eastAsia" w:ascii="宋体" w:hAnsi="宋体" w:eastAsia="宋体" w:cs="宋体"/>
          <w:color w:val="auto"/>
          <w:spacing w:val="2"/>
          <w:sz w:val="24"/>
          <w:szCs w:val="24"/>
          <w:highlight w:val="none"/>
        </w:rPr>
        <w:t>（姓名）系</w:t>
      </w:r>
      <w:r>
        <w:rPr>
          <w:rFonts w:hint="eastAsia" w:ascii="宋体" w:hAnsi="宋体" w:eastAsia="宋体" w:cs="宋体"/>
          <w:color w:val="auto"/>
          <w:spacing w:val="-120"/>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2"/>
          <w:sz w:val="24"/>
          <w:szCs w:val="24"/>
          <w:highlight w:val="none"/>
        </w:rPr>
        <w:t>（投标人名称）的法定代表人（</w:t>
      </w:r>
      <w:r>
        <w:rPr>
          <w:rFonts w:hint="eastAsia" w:ascii="宋体" w:hAnsi="宋体" w:eastAsia="宋体" w:cs="宋体"/>
          <w:color w:val="auto"/>
          <w:spacing w:val="1"/>
          <w:sz w:val="24"/>
          <w:szCs w:val="24"/>
          <w:highlight w:val="none"/>
        </w:rPr>
        <w:t>单位负责人</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1"/>
          <w:sz w:val="24"/>
          <w:szCs w:val="24"/>
          <w:highlight w:val="none"/>
        </w:rPr>
        <w:t>现委托</w:t>
      </w:r>
      <w:r>
        <w:rPr>
          <w:rFonts w:hint="eastAsia" w:ascii="宋体" w:hAnsi="宋体" w:eastAsia="宋体" w:cs="宋体"/>
          <w:color w:val="auto"/>
          <w:spacing w:val="-117"/>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
          <w:sz w:val="24"/>
          <w:szCs w:val="24"/>
          <w:highlight w:val="none"/>
        </w:rPr>
        <w:t>（姓名）为我方代理人。代理人根据授权，以我方名义</w:t>
      </w:r>
      <w:r>
        <w:rPr>
          <w:rFonts w:hint="eastAsia" w:ascii="宋体" w:hAnsi="宋体" w:eastAsia="宋体" w:cs="宋体"/>
          <w:color w:val="auto"/>
          <w:sz w:val="24"/>
          <w:szCs w:val="24"/>
          <w:highlight w:val="none"/>
        </w:rPr>
        <w:t>签署、澄清</w:t>
      </w:r>
      <w:r>
        <w:rPr>
          <w:rFonts w:hint="eastAsia" w:ascii="宋体" w:hAnsi="宋体" w:eastAsia="宋体" w:cs="宋体"/>
          <w:color w:val="auto"/>
          <w:spacing w:val="-1"/>
          <w:sz w:val="24"/>
          <w:szCs w:val="24"/>
          <w:highlight w:val="none"/>
        </w:rPr>
        <w:t>确认、提交、撤回、修改</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（项目名称）投标文件和处理有关事宜，其法律后果由我方承担。</w:t>
      </w:r>
    </w:p>
    <w:p w14:paraId="28386F99">
      <w:pPr>
        <w:spacing w:before="179" w:line="468" w:lineRule="exact"/>
        <w:ind w:left="48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委托期限：</w:t>
      </w:r>
      <w:r>
        <w:rPr>
          <w:rFonts w:hint="eastAsia" w:ascii="宋体" w:hAnsi="宋体" w:eastAsia="宋体" w:cs="宋体"/>
          <w:color w:val="auto"/>
          <w:spacing w:val="-72"/>
          <w:position w:val="17"/>
          <w:sz w:val="24"/>
          <w:szCs w:val="24"/>
          <w:highlight w:val="none"/>
        </w:rPr>
        <w:t xml:space="preserve"> </w:t>
      </w:r>
      <w:r>
        <w:rPr>
          <w:rFonts w:hint="eastAsia" w:ascii="宋体" w:hAnsi="宋体" w:eastAsia="宋体" w:cs="宋体"/>
          <w:color w:val="auto"/>
          <w:spacing w:val="-2"/>
          <w:position w:val="17"/>
          <w:sz w:val="24"/>
          <w:szCs w:val="24"/>
          <w:highlight w:val="none"/>
        </w:rPr>
        <w:t>自本授权委托书签署之日起至投标有效期届满之日止。</w:t>
      </w:r>
    </w:p>
    <w:p w14:paraId="2A80E3CD">
      <w:pPr>
        <w:spacing w:line="220" w:lineRule="auto"/>
        <w:ind w:left="48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代理人无转委托权。</w:t>
      </w:r>
    </w:p>
    <w:p w14:paraId="4B218DF0">
      <w:pPr>
        <w:pStyle w:val="7"/>
        <w:spacing w:line="282" w:lineRule="auto"/>
        <w:outlineLvl w:val="9"/>
        <w:rPr>
          <w:rFonts w:hint="eastAsia" w:ascii="宋体" w:hAnsi="宋体" w:eastAsia="宋体" w:cs="宋体"/>
          <w:color w:val="auto"/>
          <w:highlight w:val="none"/>
        </w:rPr>
      </w:pPr>
    </w:p>
    <w:p w14:paraId="7E16DF67">
      <w:pPr>
        <w:pStyle w:val="7"/>
        <w:spacing w:line="282" w:lineRule="auto"/>
        <w:outlineLvl w:val="9"/>
        <w:rPr>
          <w:rFonts w:hint="eastAsia" w:ascii="宋体" w:hAnsi="宋体" w:eastAsia="宋体" w:cs="宋体"/>
          <w:color w:val="auto"/>
          <w:highlight w:val="none"/>
        </w:rPr>
      </w:pPr>
    </w:p>
    <w:p w14:paraId="7EE592A6">
      <w:pPr>
        <w:spacing w:before="78" w:line="219" w:lineRule="auto"/>
        <w:ind w:left="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投标人名称（加盖公章</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u w:val="single" w:color="auto"/>
        </w:rPr>
        <w:t xml:space="preserve">                </w:t>
      </w:r>
    </w:p>
    <w:p w14:paraId="6958775E">
      <w:pPr>
        <w:spacing w:before="182" w:line="360" w:lineRule="auto"/>
        <w:ind w:left="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法定代表人（单位负责人</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1"/>
          <w:sz w:val="24"/>
          <w:szCs w:val="24"/>
          <w:highlight w:val="none"/>
        </w:rPr>
        <w:t>签字或签章</w:t>
      </w:r>
      <w:r>
        <w:rPr>
          <w:rFonts w:hint="eastAsia" w:ascii="宋体" w:hAnsi="宋体" w:eastAsia="宋体" w:cs="宋体"/>
          <w:color w:val="auto"/>
          <w:spacing w:val="-7"/>
          <w:sz w:val="24"/>
          <w:szCs w:val="24"/>
          <w:highlight w:val="none"/>
        </w:rPr>
        <w:t>）：</w:t>
      </w:r>
      <w:r>
        <w:rPr>
          <w:rFonts w:hint="eastAsia" w:ascii="宋体" w:hAnsi="宋体" w:eastAsia="宋体" w:cs="宋体"/>
          <w:color w:val="auto"/>
          <w:sz w:val="24"/>
          <w:szCs w:val="24"/>
          <w:highlight w:val="none"/>
          <w:u w:val="single" w:color="auto"/>
        </w:rPr>
        <w:t xml:space="preserve">                </w:t>
      </w:r>
    </w:p>
    <w:p w14:paraId="7D20C1F0">
      <w:pPr>
        <w:spacing w:before="1" w:line="219"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委托代理人（签字或签章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 xml:space="preserve">                </w:t>
      </w:r>
    </w:p>
    <w:p w14:paraId="3735BDF8">
      <w:pPr>
        <w:spacing w:before="180" w:line="220" w:lineRule="auto"/>
        <w:ind w:left="4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日期：</w:t>
      </w:r>
      <w:r>
        <w:rPr>
          <w:rFonts w:hint="eastAsia" w:ascii="宋体" w:hAnsi="宋体" w:eastAsia="宋体" w:cs="宋体"/>
          <w:color w:val="auto"/>
          <w:spacing w:val="30"/>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13"/>
          <w:sz w:val="24"/>
          <w:szCs w:val="24"/>
          <w:highlight w:val="none"/>
        </w:rPr>
        <w:t>日</w:t>
      </w:r>
    </w:p>
    <w:p w14:paraId="49CB77AE">
      <w:pPr>
        <w:spacing w:before="183" w:line="219" w:lineRule="auto"/>
        <w:ind w:left="1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附：法定代表人及委托代理人身份证明文件电子件：</w:t>
      </w:r>
    </w:p>
    <w:p w14:paraId="7F292EDF">
      <w:pPr>
        <w:pStyle w:val="7"/>
        <w:spacing w:line="257" w:lineRule="auto"/>
        <w:outlineLvl w:val="9"/>
        <w:rPr>
          <w:rFonts w:hint="eastAsia" w:ascii="宋体" w:hAnsi="宋体" w:eastAsia="宋体" w:cs="宋体"/>
          <w:color w:val="auto"/>
          <w:highlight w:val="none"/>
        </w:rPr>
      </w:pPr>
    </w:p>
    <w:p w14:paraId="3D87DD44">
      <w:pPr>
        <w:pStyle w:val="7"/>
        <w:spacing w:line="257" w:lineRule="auto"/>
        <w:outlineLvl w:val="9"/>
        <w:rPr>
          <w:rFonts w:hint="eastAsia" w:ascii="宋体" w:hAnsi="宋体" w:eastAsia="宋体" w:cs="宋体"/>
          <w:color w:val="auto"/>
          <w:highlight w:val="none"/>
        </w:rPr>
      </w:pPr>
    </w:p>
    <w:p w14:paraId="60EB7BFE">
      <w:pPr>
        <w:pStyle w:val="7"/>
        <w:spacing w:line="257" w:lineRule="auto"/>
        <w:outlineLvl w:val="9"/>
        <w:rPr>
          <w:rFonts w:hint="eastAsia" w:ascii="宋体" w:hAnsi="宋体" w:eastAsia="宋体" w:cs="宋体"/>
          <w:color w:val="auto"/>
          <w:highlight w:val="none"/>
        </w:rPr>
      </w:pPr>
    </w:p>
    <w:p w14:paraId="07725CF0">
      <w:pPr>
        <w:pStyle w:val="7"/>
        <w:spacing w:line="258" w:lineRule="auto"/>
        <w:outlineLvl w:val="9"/>
        <w:rPr>
          <w:rFonts w:hint="eastAsia" w:ascii="宋体" w:hAnsi="宋体" w:eastAsia="宋体" w:cs="宋体"/>
          <w:color w:val="auto"/>
          <w:highlight w:val="none"/>
        </w:rPr>
      </w:pPr>
    </w:p>
    <w:p w14:paraId="2ECA0F0C">
      <w:pPr>
        <w:spacing w:before="78" w:line="220" w:lineRule="auto"/>
        <w:ind w:left="3"/>
        <w:outlineLvl w:val="9"/>
        <w:rPr>
          <w:rFonts w:hint="eastAsia" w:ascii="宋体" w:hAnsi="宋体" w:eastAsia="宋体" w:cs="宋体"/>
          <w:color w:val="auto"/>
          <w:sz w:val="24"/>
          <w:szCs w:val="24"/>
          <w:highlight w:val="none"/>
        </w:rPr>
      </w:pPr>
      <w:bookmarkStart w:id="55" w:name="_Toc32444"/>
      <w:r>
        <w:rPr>
          <w:rFonts w:hint="eastAsia" w:ascii="宋体" w:hAnsi="宋体" w:eastAsia="宋体" w:cs="宋体"/>
          <w:color w:val="auto"/>
          <w:spacing w:val="-5"/>
          <w:sz w:val="24"/>
          <w:szCs w:val="24"/>
          <w:highlight w:val="none"/>
        </w:rPr>
        <w:t>说明：</w:t>
      </w:r>
      <w:bookmarkEnd w:id="55"/>
    </w:p>
    <w:p w14:paraId="2AA3EA91">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1.若供应商为事业单位或其他组织或分支机构，则法定代表人（单位负责人）处的签署人可为单位负责人。</w:t>
      </w:r>
    </w:p>
    <w:p w14:paraId="1BA1712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投标文件中签字之处均为法定代表人（单位负责人）本人签署，则可不提供本《授权委托书》，但须提供《法定代表人（单位负责人）身份证明》；否则，不需要提供《法定代表人（单位负责人）身份证明》。</w:t>
      </w:r>
    </w:p>
    <w:p w14:paraId="2B410FD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3.供应商为自然人的情形，可不提供本《授权委托书》。</w:t>
      </w:r>
    </w:p>
    <w:p w14:paraId="58F06CC3">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4.供应商应随本《授权委托书》同时提供法定代表人（单位负责人）及委托代理人的有效的身份证、护照等身份证明文件电子件。提供身份证的，应同时提供身份证双面电子。</w:t>
      </w:r>
    </w:p>
    <w:p w14:paraId="550CADC8">
      <w:pPr>
        <w:outlineLvl w:val="9"/>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br w:type="page"/>
      </w:r>
    </w:p>
    <w:p w14:paraId="25F1BE00">
      <w:pPr>
        <w:spacing w:before="48" w:line="22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格式八：</w:t>
      </w:r>
    </w:p>
    <w:p w14:paraId="697D92F8">
      <w:pPr>
        <w:spacing w:before="182" w:line="219" w:lineRule="auto"/>
        <w:ind w:left="3226"/>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中标服务费承诺书（格式）</w:t>
      </w:r>
    </w:p>
    <w:p w14:paraId="119D1AA8">
      <w:pPr>
        <w:pStyle w:val="7"/>
        <w:spacing w:line="250" w:lineRule="auto"/>
        <w:outlineLvl w:val="9"/>
        <w:rPr>
          <w:rFonts w:hint="eastAsia" w:ascii="宋体" w:hAnsi="宋体" w:eastAsia="宋体" w:cs="宋体"/>
          <w:color w:val="auto"/>
          <w:highlight w:val="none"/>
        </w:rPr>
      </w:pPr>
    </w:p>
    <w:p w14:paraId="03D98A44">
      <w:pPr>
        <w:pStyle w:val="7"/>
        <w:spacing w:line="250" w:lineRule="auto"/>
        <w:outlineLvl w:val="9"/>
        <w:rPr>
          <w:rFonts w:hint="eastAsia" w:ascii="宋体" w:hAnsi="宋体" w:eastAsia="宋体" w:cs="宋体"/>
          <w:color w:val="auto"/>
          <w:highlight w:val="none"/>
        </w:rPr>
      </w:pPr>
    </w:p>
    <w:p w14:paraId="48DB221F">
      <w:pPr>
        <w:spacing w:before="78" w:line="220" w:lineRule="auto"/>
        <w:outlineLvl w:val="9"/>
        <w:rPr>
          <w:rFonts w:hint="eastAsia" w:ascii="宋体" w:hAnsi="宋体" w:eastAsia="宋体" w:cs="宋体"/>
          <w:color w:val="auto"/>
          <w:sz w:val="24"/>
          <w:szCs w:val="24"/>
          <w:highlight w:val="none"/>
          <w:lang w:eastAsia="zh-CN"/>
        </w:rPr>
      </w:pPr>
      <w:bookmarkStart w:id="56" w:name="_Toc25943"/>
      <w:r>
        <w:rPr>
          <w:rFonts w:hint="eastAsia" w:ascii="宋体" w:hAnsi="宋体" w:eastAsia="宋体" w:cs="宋体"/>
          <w:color w:val="auto"/>
          <w:spacing w:val="-1"/>
          <w:sz w:val="24"/>
          <w:szCs w:val="24"/>
          <w:highlight w:val="none"/>
        </w:rPr>
        <w:t>致：</w:t>
      </w:r>
      <w:bookmarkEnd w:id="56"/>
      <w:r>
        <w:rPr>
          <w:rFonts w:hint="eastAsia" w:ascii="宋体" w:hAnsi="宋体" w:eastAsia="宋体" w:cs="宋体"/>
          <w:color w:val="auto"/>
          <w:spacing w:val="-1"/>
          <w:sz w:val="24"/>
          <w:szCs w:val="24"/>
          <w:highlight w:val="none"/>
          <w:lang w:eastAsia="zh-CN"/>
        </w:rPr>
        <w:t>中峪国际项目管理有限公司</w:t>
      </w:r>
    </w:p>
    <w:p w14:paraId="32AE556A">
      <w:pPr>
        <w:pStyle w:val="7"/>
        <w:spacing w:line="283" w:lineRule="auto"/>
        <w:outlineLvl w:val="9"/>
        <w:rPr>
          <w:rFonts w:hint="eastAsia" w:ascii="宋体" w:hAnsi="宋体" w:eastAsia="宋体" w:cs="宋体"/>
          <w:color w:val="auto"/>
          <w:highlight w:val="none"/>
        </w:rPr>
      </w:pPr>
    </w:p>
    <w:p w14:paraId="484AC812">
      <w:pPr>
        <w:pStyle w:val="7"/>
        <w:spacing w:line="283" w:lineRule="auto"/>
        <w:outlineLvl w:val="9"/>
        <w:rPr>
          <w:rFonts w:hint="eastAsia" w:ascii="宋体" w:hAnsi="宋体" w:eastAsia="宋体" w:cs="宋体"/>
          <w:color w:val="auto"/>
          <w:highlight w:val="none"/>
        </w:rPr>
      </w:pPr>
    </w:p>
    <w:p w14:paraId="2620CD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我们在贵公司代理的项目采购中若获成交（项目编号：        ），我们保证在收到中标通知后 2 个工作日内按招标文件的规定，向贵公司即</w:t>
      </w:r>
      <w:r>
        <w:rPr>
          <w:rFonts w:hint="eastAsia" w:ascii="宋体" w:hAnsi="宋体" w:eastAsia="宋体" w:cs="宋体"/>
          <w:color w:val="auto"/>
          <w:sz w:val="24"/>
          <w:szCs w:val="24"/>
          <w:highlight w:val="none"/>
          <w:lang w:eastAsia="zh-CN"/>
        </w:rPr>
        <w:t>中峪国际项目管理有限公司</w:t>
      </w:r>
      <w:r>
        <w:rPr>
          <w:rFonts w:hint="eastAsia" w:ascii="宋体" w:hAnsi="宋体" w:eastAsia="宋体" w:cs="宋体"/>
          <w:color w:val="auto"/>
          <w:sz w:val="24"/>
          <w:szCs w:val="24"/>
          <w:highlight w:val="none"/>
        </w:rPr>
        <w:t>按照取费规定一次性支付中标服务费。</w:t>
      </w:r>
    </w:p>
    <w:p w14:paraId="1D2634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414577FE">
      <w:pPr>
        <w:pStyle w:val="7"/>
        <w:spacing w:line="283" w:lineRule="auto"/>
        <w:outlineLvl w:val="9"/>
        <w:rPr>
          <w:rFonts w:hint="eastAsia" w:ascii="宋体" w:hAnsi="宋体" w:eastAsia="宋体" w:cs="宋体"/>
          <w:color w:val="auto"/>
          <w:highlight w:val="none"/>
        </w:rPr>
      </w:pPr>
    </w:p>
    <w:p w14:paraId="23A5A2AD">
      <w:pPr>
        <w:pStyle w:val="7"/>
        <w:spacing w:line="283" w:lineRule="auto"/>
        <w:outlineLvl w:val="9"/>
        <w:rPr>
          <w:rFonts w:hint="eastAsia" w:ascii="宋体" w:hAnsi="宋体" w:eastAsia="宋体" w:cs="宋体"/>
          <w:color w:val="auto"/>
          <w:highlight w:val="none"/>
        </w:rPr>
      </w:pPr>
    </w:p>
    <w:p w14:paraId="2A24D27C">
      <w:pPr>
        <w:spacing w:before="78" w:line="220" w:lineRule="auto"/>
        <w:outlineLvl w:val="9"/>
        <w:rPr>
          <w:rFonts w:hint="eastAsia" w:ascii="宋体" w:hAnsi="宋体" w:eastAsia="宋体" w:cs="宋体"/>
          <w:color w:val="auto"/>
          <w:sz w:val="24"/>
          <w:szCs w:val="24"/>
          <w:highlight w:val="none"/>
        </w:rPr>
      </w:pPr>
      <w:bookmarkStart w:id="57" w:name="_Toc18499"/>
      <w:r>
        <w:rPr>
          <w:rFonts w:hint="eastAsia" w:ascii="宋体" w:hAnsi="宋体" w:eastAsia="宋体" w:cs="宋体"/>
          <w:color w:val="auto"/>
          <w:spacing w:val="-2"/>
          <w:sz w:val="24"/>
          <w:szCs w:val="24"/>
          <w:highlight w:val="none"/>
        </w:rPr>
        <w:t>承诺方法定名称：</w:t>
      </w:r>
      <w:bookmarkEnd w:id="57"/>
    </w:p>
    <w:p w14:paraId="0DA0ACC9">
      <w:pPr>
        <w:spacing w:before="181" w:line="229" w:lineRule="auto"/>
        <w:outlineLvl w:val="9"/>
        <w:rPr>
          <w:rFonts w:hint="eastAsia" w:ascii="宋体" w:hAnsi="宋体" w:eastAsia="宋体" w:cs="宋体"/>
          <w:color w:val="auto"/>
          <w:sz w:val="24"/>
          <w:szCs w:val="24"/>
          <w:highlight w:val="none"/>
        </w:rPr>
      </w:pPr>
      <w:bookmarkStart w:id="58" w:name="_Toc19959"/>
      <w:r>
        <w:rPr>
          <w:rFonts w:hint="eastAsia" w:ascii="宋体" w:hAnsi="宋体" w:eastAsia="宋体" w:cs="宋体"/>
          <w:color w:val="auto"/>
          <w:spacing w:val="-4"/>
          <w:sz w:val="24"/>
          <w:szCs w:val="24"/>
          <w:highlight w:val="none"/>
        </w:rPr>
        <w:t>地址：</w:t>
      </w:r>
      <w:bookmarkEnd w:id="58"/>
    </w:p>
    <w:p w14:paraId="6FBD4A46">
      <w:pPr>
        <w:spacing w:before="170" w:line="219" w:lineRule="auto"/>
        <w:ind w:left="28"/>
        <w:outlineLvl w:val="9"/>
        <w:rPr>
          <w:rFonts w:hint="eastAsia" w:ascii="宋体" w:hAnsi="宋体" w:eastAsia="宋体" w:cs="宋体"/>
          <w:color w:val="auto"/>
          <w:sz w:val="24"/>
          <w:szCs w:val="24"/>
          <w:highlight w:val="none"/>
        </w:rPr>
      </w:pPr>
      <w:bookmarkStart w:id="59" w:name="_Toc6496"/>
      <w:r>
        <w:rPr>
          <w:rFonts w:hint="eastAsia" w:ascii="宋体" w:hAnsi="宋体" w:eastAsia="宋体" w:cs="宋体"/>
          <w:color w:val="auto"/>
          <w:spacing w:val="-7"/>
          <w:sz w:val="24"/>
          <w:szCs w:val="24"/>
          <w:highlight w:val="none"/>
        </w:rPr>
        <w:t>电话：传真：</w:t>
      </w:r>
      <w:bookmarkEnd w:id="59"/>
    </w:p>
    <w:p w14:paraId="39569F63">
      <w:pPr>
        <w:spacing w:before="181" w:line="219" w:lineRule="auto"/>
        <w:ind w:left="28"/>
        <w:outlineLvl w:val="9"/>
        <w:rPr>
          <w:rFonts w:hint="eastAsia" w:ascii="宋体" w:hAnsi="宋体" w:eastAsia="宋体" w:cs="宋体"/>
          <w:color w:val="auto"/>
          <w:sz w:val="24"/>
          <w:szCs w:val="24"/>
          <w:highlight w:val="none"/>
        </w:rPr>
      </w:pPr>
      <w:bookmarkStart w:id="60" w:name="_Toc10697"/>
      <w:r>
        <w:rPr>
          <w:rFonts w:hint="eastAsia" w:ascii="宋体" w:hAnsi="宋体" w:eastAsia="宋体" w:cs="宋体"/>
          <w:color w:val="auto"/>
          <w:spacing w:val="-7"/>
          <w:sz w:val="24"/>
          <w:szCs w:val="24"/>
          <w:highlight w:val="none"/>
        </w:rPr>
        <w:t>电传：邮编：</w:t>
      </w:r>
      <w:bookmarkEnd w:id="60"/>
    </w:p>
    <w:p w14:paraId="1D39C674">
      <w:pPr>
        <w:spacing w:before="183" w:line="219" w:lineRule="auto"/>
        <w:outlineLvl w:val="9"/>
        <w:rPr>
          <w:rFonts w:hint="eastAsia" w:ascii="宋体" w:hAnsi="宋体" w:eastAsia="宋体" w:cs="宋体"/>
          <w:color w:val="auto"/>
          <w:sz w:val="24"/>
          <w:szCs w:val="24"/>
          <w:highlight w:val="none"/>
        </w:rPr>
      </w:pPr>
      <w:bookmarkStart w:id="61" w:name="_Toc18453"/>
      <w:r>
        <w:rPr>
          <w:rFonts w:hint="eastAsia" w:ascii="宋体" w:hAnsi="宋体" w:eastAsia="宋体" w:cs="宋体"/>
          <w:color w:val="auto"/>
          <w:spacing w:val="1"/>
          <w:sz w:val="24"/>
          <w:szCs w:val="24"/>
          <w:highlight w:val="none"/>
        </w:rPr>
        <w:t>承诺方授权代表签字</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
          <w:sz w:val="24"/>
          <w:szCs w:val="24"/>
          <w:highlight w:val="none"/>
        </w:rPr>
        <w:t>承诺方盖章）</w:t>
      </w:r>
      <w:bookmarkEnd w:id="61"/>
    </w:p>
    <w:p w14:paraId="628D01A5">
      <w:pPr>
        <w:spacing w:before="180" w:line="220" w:lineRule="auto"/>
        <w:outlineLvl w:val="9"/>
        <w:rPr>
          <w:rFonts w:hint="eastAsia" w:ascii="宋体" w:hAnsi="宋体" w:eastAsia="宋体" w:cs="宋体"/>
          <w:color w:val="auto"/>
          <w:sz w:val="24"/>
          <w:szCs w:val="24"/>
          <w:highlight w:val="none"/>
        </w:rPr>
      </w:pPr>
      <w:bookmarkStart w:id="62" w:name="_Toc18509"/>
      <w:r>
        <w:rPr>
          <w:rFonts w:hint="eastAsia" w:ascii="宋体" w:hAnsi="宋体" w:eastAsia="宋体" w:cs="宋体"/>
          <w:color w:val="auto"/>
          <w:spacing w:val="-2"/>
          <w:sz w:val="24"/>
          <w:szCs w:val="24"/>
          <w:highlight w:val="none"/>
        </w:rPr>
        <w:t>承诺日期：</w:t>
      </w:r>
      <w:bookmarkEnd w:id="62"/>
    </w:p>
    <w:p w14:paraId="4E86C71D">
      <w:pPr>
        <w:outlineLvl w:val="9"/>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br w:type="page"/>
      </w:r>
    </w:p>
    <w:p w14:paraId="68626C81">
      <w:pPr>
        <w:spacing w:before="48" w:line="22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格式九：</w:t>
      </w:r>
    </w:p>
    <w:p w14:paraId="4072FD32">
      <w:pPr>
        <w:spacing w:before="182" w:line="219" w:lineRule="auto"/>
        <w:ind w:left="3354"/>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中小企业声明函（货物）</w:t>
      </w:r>
    </w:p>
    <w:p w14:paraId="505CEDF2">
      <w:pPr>
        <w:pStyle w:val="7"/>
        <w:spacing w:line="384" w:lineRule="auto"/>
        <w:outlineLvl w:val="9"/>
        <w:rPr>
          <w:rFonts w:hint="eastAsia" w:ascii="宋体" w:hAnsi="宋体" w:eastAsia="宋体" w:cs="宋体"/>
          <w:color w:val="auto"/>
          <w:highlight w:val="none"/>
        </w:rPr>
      </w:pPr>
    </w:p>
    <w:p w14:paraId="2BEA501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3074B24E">
      <w:pPr>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b/>
          <w:bCs/>
          <w:i/>
          <w:iCs/>
          <w:color w:val="auto"/>
          <w:sz w:val="24"/>
          <w:highlight w:val="none"/>
          <w:u w:val="single"/>
          <w:lang w:val="zh-CN"/>
        </w:rPr>
        <w:t>工业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4247C0F">
      <w:pPr>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b/>
          <w:bCs/>
          <w:i/>
          <w:iCs/>
          <w:color w:val="auto"/>
          <w:sz w:val="24"/>
          <w:highlight w:val="none"/>
          <w:u w:val="single"/>
          <w:lang w:val="zh-CN"/>
        </w:rPr>
        <w:t>工业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7C1852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468FE7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830737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C0C4EB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highlight w:val="none"/>
        </w:rPr>
      </w:pPr>
    </w:p>
    <w:p w14:paraId="38823BF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highlight w:val="none"/>
        </w:rPr>
      </w:pPr>
    </w:p>
    <w:p w14:paraId="5AB4EAF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0E01CD2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559E2D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highlight w:val="none"/>
        </w:rPr>
      </w:pPr>
    </w:p>
    <w:p w14:paraId="281CEB5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highlight w:val="none"/>
        </w:rPr>
      </w:pPr>
    </w:p>
    <w:p w14:paraId="3784724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D345A3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7DFF816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2.中标人享受中小企业扶持政策的，将随中标结果一并公示，如声明函内容不实的，将视为提供虚假材料谋取中标，将追究其法律责任。</w:t>
      </w:r>
    </w:p>
    <w:p w14:paraId="7B54CB1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3.本项目所属行业：工业。</w:t>
      </w:r>
    </w:p>
    <w:p w14:paraId="195CADFE">
      <w:pPr>
        <w:spacing w:line="480" w:lineRule="auto"/>
        <w:rPr>
          <w:rFonts w:hint="eastAsia" w:ascii="宋体" w:hAnsi="宋体" w:cs="宋体"/>
          <w:color w:val="auto"/>
          <w:sz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br w:type="page"/>
      </w:r>
    </w:p>
    <w:p w14:paraId="300E71C1">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b/>
          <w:color w:val="auto"/>
          <w:sz w:val="24"/>
          <w:highlight w:val="none"/>
        </w:rPr>
      </w:pPr>
      <w:bookmarkStart w:id="63" w:name="_Toc7338700"/>
      <w:bookmarkStart w:id="64" w:name="_Toc511239255"/>
      <w:bookmarkStart w:id="65" w:name="_Toc14104092"/>
      <w:bookmarkStart w:id="66" w:name="_Toc14104574"/>
      <w:bookmarkStart w:id="67" w:name="_Toc511239410"/>
      <w:r>
        <w:rPr>
          <w:rFonts w:hint="eastAsia" w:ascii="宋体" w:hAnsi="宋体"/>
          <w:b/>
          <w:color w:val="auto"/>
          <w:sz w:val="24"/>
          <w:highlight w:val="none"/>
        </w:rPr>
        <w:t>节能产品清单说明表</w:t>
      </w:r>
      <w:bookmarkEnd w:id="63"/>
      <w:bookmarkEnd w:id="64"/>
      <w:bookmarkEnd w:id="65"/>
      <w:bookmarkEnd w:id="66"/>
      <w:bookmarkEnd w:id="67"/>
    </w:p>
    <w:p w14:paraId="1CFDF54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color w:val="auto"/>
          <w:sz w:val="24"/>
          <w:highlight w:val="none"/>
        </w:rPr>
      </w:pPr>
      <w:bookmarkStart w:id="68" w:name="_Toc14104093"/>
      <w:bookmarkStart w:id="69" w:name="_Toc511239256"/>
      <w:bookmarkStart w:id="70" w:name="_Toc14104575"/>
      <w:bookmarkStart w:id="71" w:name="_Toc7338701"/>
      <w:bookmarkStart w:id="72" w:name="_Toc511239411"/>
      <w:r>
        <w:rPr>
          <w:rFonts w:hint="eastAsia" w:ascii="宋体" w:hAnsi="宋体"/>
          <w:color w:val="auto"/>
          <w:sz w:val="24"/>
          <w:highlight w:val="none"/>
        </w:rPr>
        <w:t>（</w:t>
      </w:r>
      <w:r>
        <w:rPr>
          <w:rFonts w:hint="eastAsia" w:ascii="宋体" w:hAnsi="宋体" w:cs="宋体"/>
          <w:color w:val="auto"/>
          <w:sz w:val="24"/>
          <w:highlight w:val="none"/>
        </w:rPr>
        <w:t>节能产品</w:t>
      </w:r>
      <w:r>
        <w:rPr>
          <w:rFonts w:hint="eastAsia" w:ascii="宋体" w:hAnsi="宋体"/>
          <w:color w:val="auto"/>
          <w:sz w:val="24"/>
          <w:highlight w:val="none"/>
        </w:rPr>
        <w:t>按下列格式提供）</w:t>
      </w:r>
      <w:bookmarkEnd w:id="68"/>
      <w:bookmarkEnd w:id="69"/>
      <w:bookmarkEnd w:id="70"/>
      <w:bookmarkEnd w:id="71"/>
      <w:bookmarkEnd w:id="72"/>
    </w:p>
    <w:p w14:paraId="72827523">
      <w:pPr>
        <w:snapToGrid w:val="0"/>
        <w:spacing w:line="300" w:lineRule="auto"/>
        <w:rPr>
          <w:rFonts w:hint="eastAsia" w:ascii="宋体" w:hAnsi="宋体"/>
          <w:color w:val="auto"/>
          <w:sz w:val="24"/>
          <w:highlight w:val="none"/>
          <w:u w:val="single"/>
        </w:rPr>
      </w:pPr>
      <w:r>
        <w:rPr>
          <w:rFonts w:hint="eastAsia" w:ascii="宋体" w:hAnsi="宋体"/>
          <w:color w:val="auto"/>
          <w:sz w:val="24"/>
          <w:highlight w:val="none"/>
        </w:rPr>
        <w:t xml:space="preserve">项目名称： </w:t>
      </w:r>
      <w:r>
        <w:rPr>
          <w:rFonts w:hint="eastAsia" w:ascii="宋体" w:hAnsi="宋体"/>
          <w:color w:val="auto"/>
          <w:sz w:val="24"/>
          <w:highlight w:val="none"/>
          <w:u w:val="single"/>
        </w:rPr>
        <w:t xml:space="preserve">                       </w:t>
      </w:r>
    </w:p>
    <w:p w14:paraId="5178A341">
      <w:pPr>
        <w:snapToGrid w:val="0"/>
        <w:spacing w:line="300" w:lineRule="auto"/>
        <w:rPr>
          <w:rFonts w:hint="eastAsia" w:ascii="宋体" w:hAnsi="宋体"/>
          <w:bCs/>
          <w:color w:val="auto"/>
          <w:sz w:val="24"/>
          <w:highlight w:val="none"/>
        </w:rPr>
      </w:pPr>
      <w:r>
        <w:rPr>
          <w:rFonts w:hint="eastAsia" w:ascii="宋体" w:hAnsi="宋体"/>
          <w:color w:val="auto"/>
          <w:sz w:val="24"/>
          <w:highlight w:val="none"/>
        </w:rPr>
        <w:t>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tbl>
      <w:tblPr>
        <w:tblStyle w:val="21"/>
        <w:tblW w:w="951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4"/>
        <w:gridCol w:w="1061"/>
        <w:gridCol w:w="1263"/>
        <w:gridCol w:w="1990"/>
        <w:gridCol w:w="1520"/>
        <w:gridCol w:w="1591"/>
        <w:gridCol w:w="1329"/>
      </w:tblGrid>
      <w:tr w14:paraId="35172F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trPr>
        <w:tc>
          <w:tcPr>
            <w:tcW w:w="764" w:type="dxa"/>
            <w:vMerge w:val="restart"/>
            <w:noWrap w:val="0"/>
            <w:vAlign w:val="center"/>
          </w:tcPr>
          <w:p w14:paraId="25C6F8E1">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61" w:type="dxa"/>
            <w:vMerge w:val="restart"/>
            <w:noWrap w:val="0"/>
            <w:vAlign w:val="center"/>
          </w:tcPr>
          <w:p w14:paraId="391F62A8">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263" w:type="dxa"/>
            <w:vMerge w:val="restart"/>
            <w:noWrap w:val="0"/>
            <w:vAlign w:val="center"/>
          </w:tcPr>
          <w:p w14:paraId="6444F9FC">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6430" w:type="dxa"/>
            <w:gridSpan w:val="4"/>
            <w:noWrap w:val="0"/>
            <w:vAlign w:val="center"/>
          </w:tcPr>
          <w:p w14:paraId="6060F60C">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节能产品政府采购清单</w:t>
            </w:r>
          </w:p>
        </w:tc>
      </w:tr>
      <w:tr w14:paraId="7871D0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6" w:hRule="atLeast"/>
        </w:trPr>
        <w:tc>
          <w:tcPr>
            <w:tcW w:w="764" w:type="dxa"/>
            <w:vMerge w:val="continue"/>
            <w:noWrap w:val="0"/>
            <w:vAlign w:val="center"/>
          </w:tcPr>
          <w:p w14:paraId="47B181B0">
            <w:pPr>
              <w:snapToGrid w:val="0"/>
              <w:spacing w:line="300" w:lineRule="auto"/>
              <w:rPr>
                <w:rFonts w:hint="eastAsia" w:ascii="宋体" w:hAnsi="宋体" w:eastAsia="宋体" w:cs="宋体"/>
                <w:color w:val="auto"/>
                <w:sz w:val="24"/>
                <w:szCs w:val="24"/>
                <w:highlight w:val="none"/>
              </w:rPr>
            </w:pPr>
          </w:p>
        </w:tc>
        <w:tc>
          <w:tcPr>
            <w:tcW w:w="1061" w:type="dxa"/>
            <w:vMerge w:val="continue"/>
            <w:noWrap w:val="0"/>
            <w:vAlign w:val="center"/>
          </w:tcPr>
          <w:p w14:paraId="0FDF2619">
            <w:pPr>
              <w:snapToGrid w:val="0"/>
              <w:spacing w:line="300" w:lineRule="auto"/>
              <w:rPr>
                <w:rFonts w:hint="eastAsia" w:ascii="宋体" w:hAnsi="宋体" w:eastAsia="宋体" w:cs="宋体"/>
                <w:color w:val="auto"/>
                <w:sz w:val="24"/>
                <w:szCs w:val="24"/>
                <w:highlight w:val="none"/>
              </w:rPr>
            </w:pPr>
          </w:p>
        </w:tc>
        <w:tc>
          <w:tcPr>
            <w:tcW w:w="1263" w:type="dxa"/>
            <w:vMerge w:val="continue"/>
            <w:noWrap w:val="0"/>
            <w:vAlign w:val="center"/>
          </w:tcPr>
          <w:p w14:paraId="42F9DC18">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6AFB3E58">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已取得证书日期</w:t>
            </w:r>
          </w:p>
        </w:tc>
        <w:tc>
          <w:tcPr>
            <w:tcW w:w="1520" w:type="dxa"/>
            <w:noWrap w:val="0"/>
            <w:vAlign w:val="center"/>
          </w:tcPr>
          <w:p w14:paraId="113D97D7">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清单型号</w:t>
            </w:r>
          </w:p>
        </w:tc>
        <w:tc>
          <w:tcPr>
            <w:tcW w:w="1591" w:type="dxa"/>
            <w:noWrap w:val="0"/>
            <w:vAlign w:val="center"/>
          </w:tcPr>
          <w:p w14:paraId="00150F0E">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329" w:type="dxa"/>
            <w:noWrap w:val="0"/>
            <w:vAlign w:val="center"/>
          </w:tcPr>
          <w:p w14:paraId="701D2589">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发证机构</w:t>
            </w:r>
          </w:p>
        </w:tc>
      </w:tr>
      <w:tr w14:paraId="6A2E73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764" w:type="dxa"/>
            <w:noWrap w:val="0"/>
            <w:vAlign w:val="center"/>
          </w:tcPr>
          <w:p w14:paraId="6B3FE10F">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1" w:type="dxa"/>
            <w:noWrap w:val="0"/>
            <w:vAlign w:val="center"/>
          </w:tcPr>
          <w:p w14:paraId="75B6DBC5">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113B357C">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5EE4F467">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33B48F63">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6FC55374">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729D6255">
            <w:pPr>
              <w:snapToGrid w:val="0"/>
              <w:spacing w:line="300" w:lineRule="auto"/>
              <w:rPr>
                <w:rFonts w:hint="eastAsia" w:ascii="宋体" w:hAnsi="宋体" w:eastAsia="宋体" w:cs="宋体"/>
                <w:color w:val="auto"/>
                <w:sz w:val="24"/>
                <w:szCs w:val="24"/>
                <w:highlight w:val="none"/>
              </w:rPr>
            </w:pPr>
          </w:p>
        </w:tc>
      </w:tr>
      <w:tr w14:paraId="58797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764" w:type="dxa"/>
            <w:noWrap w:val="0"/>
            <w:vAlign w:val="center"/>
          </w:tcPr>
          <w:p w14:paraId="2A55C0A7">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1" w:type="dxa"/>
            <w:noWrap w:val="0"/>
            <w:vAlign w:val="center"/>
          </w:tcPr>
          <w:p w14:paraId="2CD3A327">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1324BE96">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2910145B">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45758AAA">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43DE1B9C">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1DB9CD44">
            <w:pPr>
              <w:snapToGrid w:val="0"/>
              <w:spacing w:line="300" w:lineRule="auto"/>
              <w:rPr>
                <w:rFonts w:hint="eastAsia" w:ascii="宋体" w:hAnsi="宋体" w:eastAsia="宋体" w:cs="宋体"/>
                <w:color w:val="auto"/>
                <w:sz w:val="24"/>
                <w:szCs w:val="24"/>
                <w:highlight w:val="none"/>
              </w:rPr>
            </w:pPr>
          </w:p>
        </w:tc>
      </w:tr>
      <w:tr w14:paraId="2D1057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764" w:type="dxa"/>
            <w:noWrap w:val="0"/>
            <w:vAlign w:val="center"/>
          </w:tcPr>
          <w:p w14:paraId="45F25DB4">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1" w:type="dxa"/>
            <w:noWrap w:val="0"/>
            <w:vAlign w:val="center"/>
          </w:tcPr>
          <w:p w14:paraId="0329D4A4">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39D59321">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08179E07">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1AD180AA">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689950E8">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0D8B57ED">
            <w:pPr>
              <w:snapToGrid w:val="0"/>
              <w:spacing w:line="300" w:lineRule="auto"/>
              <w:rPr>
                <w:rFonts w:hint="eastAsia" w:ascii="宋体" w:hAnsi="宋体" w:eastAsia="宋体" w:cs="宋体"/>
                <w:color w:val="auto"/>
                <w:sz w:val="24"/>
                <w:szCs w:val="24"/>
                <w:highlight w:val="none"/>
              </w:rPr>
            </w:pPr>
          </w:p>
        </w:tc>
      </w:tr>
      <w:tr w14:paraId="0AAA5B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764" w:type="dxa"/>
            <w:noWrap w:val="0"/>
            <w:vAlign w:val="center"/>
          </w:tcPr>
          <w:p w14:paraId="62C59435">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1" w:type="dxa"/>
            <w:noWrap w:val="0"/>
            <w:vAlign w:val="center"/>
          </w:tcPr>
          <w:p w14:paraId="76C300F6">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3121B388">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06DC6B66">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550D6F11">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08293FE6">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0EF67A3E">
            <w:pPr>
              <w:snapToGrid w:val="0"/>
              <w:spacing w:line="300" w:lineRule="auto"/>
              <w:rPr>
                <w:rFonts w:hint="eastAsia" w:ascii="宋体" w:hAnsi="宋体" w:eastAsia="宋体" w:cs="宋体"/>
                <w:color w:val="auto"/>
                <w:sz w:val="24"/>
                <w:szCs w:val="24"/>
                <w:highlight w:val="none"/>
              </w:rPr>
            </w:pPr>
          </w:p>
        </w:tc>
      </w:tr>
      <w:tr w14:paraId="0DB428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764" w:type="dxa"/>
            <w:noWrap w:val="0"/>
            <w:vAlign w:val="center"/>
          </w:tcPr>
          <w:p w14:paraId="4C324987">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61" w:type="dxa"/>
            <w:noWrap w:val="0"/>
            <w:vAlign w:val="center"/>
          </w:tcPr>
          <w:p w14:paraId="0AC85767">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7CE55B3D">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57EF9A07">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6574E080">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0E20E34C">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0DD09749">
            <w:pPr>
              <w:snapToGrid w:val="0"/>
              <w:spacing w:line="300" w:lineRule="auto"/>
              <w:rPr>
                <w:rFonts w:hint="eastAsia" w:ascii="宋体" w:hAnsi="宋体" w:eastAsia="宋体" w:cs="宋体"/>
                <w:color w:val="auto"/>
                <w:sz w:val="24"/>
                <w:szCs w:val="24"/>
                <w:highlight w:val="none"/>
              </w:rPr>
            </w:pPr>
          </w:p>
        </w:tc>
      </w:tr>
      <w:tr w14:paraId="7E193A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6" w:hRule="atLeast"/>
        </w:trPr>
        <w:tc>
          <w:tcPr>
            <w:tcW w:w="764" w:type="dxa"/>
            <w:noWrap w:val="0"/>
            <w:vAlign w:val="center"/>
          </w:tcPr>
          <w:p w14:paraId="083786D8">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p>
        </w:tc>
        <w:tc>
          <w:tcPr>
            <w:tcW w:w="1061" w:type="dxa"/>
            <w:noWrap w:val="0"/>
            <w:vAlign w:val="center"/>
          </w:tcPr>
          <w:p w14:paraId="0F35DE4B">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71810E71">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65AE3B31">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730554A0">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5D4374A0">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11DD79E0">
            <w:pPr>
              <w:snapToGrid w:val="0"/>
              <w:spacing w:line="300" w:lineRule="auto"/>
              <w:rPr>
                <w:rFonts w:hint="eastAsia" w:ascii="宋体" w:hAnsi="宋体" w:eastAsia="宋体" w:cs="宋体"/>
                <w:color w:val="auto"/>
                <w:sz w:val="24"/>
                <w:szCs w:val="24"/>
                <w:highlight w:val="none"/>
              </w:rPr>
            </w:pPr>
          </w:p>
        </w:tc>
      </w:tr>
    </w:tbl>
    <w:p w14:paraId="4B348882">
      <w:pPr>
        <w:pStyle w:val="9"/>
        <w:ind w:left="0" w:leftChars="0" w:firstLine="0" w:firstLineChars="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注：1、上述“节能产品政府采购清单”以相关职能部门正式发布的最新一期为准。</w:t>
      </w:r>
    </w:p>
    <w:p w14:paraId="58FF0C48">
      <w:pPr>
        <w:pStyle w:val="9"/>
        <w:ind w:left="105" w:leftChars="50" w:firstLine="360" w:firstLineChars="15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2、采购项目分包的，本表应按报价包号填写。</w:t>
      </w:r>
    </w:p>
    <w:p w14:paraId="7A386AA8">
      <w:pPr>
        <w:pStyle w:val="9"/>
        <w:ind w:left="105" w:leftChars="50" w:firstLine="360" w:firstLineChars="15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3、后附认证证书复印件加盖</w:t>
      </w:r>
      <w:r>
        <w:rPr>
          <w:rFonts w:hint="eastAsia" w:ascii="宋体" w:hAnsi="宋体" w:eastAsia="宋体"/>
          <w:b w:val="0"/>
          <w:color w:val="auto"/>
          <w:sz w:val="24"/>
          <w:highlight w:val="none"/>
          <w:lang w:eastAsia="zh-CN"/>
        </w:rPr>
        <w:t>供应商</w:t>
      </w:r>
      <w:r>
        <w:rPr>
          <w:rFonts w:hint="eastAsia" w:ascii="宋体" w:hAnsi="宋体" w:eastAsia="宋体"/>
          <w:b w:val="0"/>
          <w:color w:val="auto"/>
          <w:sz w:val="24"/>
          <w:highlight w:val="none"/>
        </w:rPr>
        <w:t>公章。</w:t>
      </w:r>
    </w:p>
    <w:p w14:paraId="38390BBE">
      <w:pPr>
        <w:spacing w:line="480" w:lineRule="auto"/>
        <w:jc w:val="center"/>
        <w:rPr>
          <w:rFonts w:hint="eastAsia" w:ascii="宋体" w:hAnsi="宋体" w:cs="宋体"/>
          <w:color w:val="auto"/>
          <w:sz w:val="24"/>
          <w:highlight w:val="none"/>
        </w:rPr>
      </w:pPr>
    </w:p>
    <w:p w14:paraId="1423D246">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688CC969">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515B7158">
      <w:pPr>
        <w:spacing w:line="480" w:lineRule="auto"/>
        <w:ind w:left="1050" w:hanging="1050" w:hangingChars="500"/>
        <w:jc w:val="both"/>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年     月     日</w:t>
      </w:r>
    </w:p>
    <w:p w14:paraId="6DCD6EA1">
      <w:pPr>
        <w:spacing w:line="480" w:lineRule="auto"/>
        <w:rPr>
          <w:rFonts w:hint="eastAsia" w:ascii="宋体" w:hAnsi="宋体" w:cs="宋体"/>
          <w:color w:val="auto"/>
          <w:sz w:val="24"/>
          <w:highlight w:val="none"/>
        </w:rPr>
      </w:pPr>
      <w:r>
        <w:rPr>
          <w:rFonts w:ascii="宋体" w:hAnsi="宋体" w:cs="宋体"/>
          <w:color w:val="auto"/>
          <w:sz w:val="24"/>
          <w:highlight w:val="none"/>
        </w:rPr>
        <w:br w:type="page"/>
      </w:r>
    </w:p>
    <w:p w14:paraId="6DEE37FC">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b/>
          <w:color w:val="auto"/>
          <w:sz w:val="24"/>
          <w:highlight w:val="none"/>
        </w:rPr>
      </w:pPr>
      <w:bookmarkStart w:id="73" w:name="_Toc14104094"/>
      <w:bookmarkStart w:id="74" w:name="_Toc511239257"/>
      <w:bookmarkStart w:id="75" w:name="_Toc14104576"/>
      <w:bookmarkStart w:id="76" w:name="_Toc7338702"/>
      <w:bookmarkStart w:id="77" w:name="_Toc511239412"/>
      <w:r>
        <w:rPr>
          <w:rFonts w:hint="eastAsia" w:ascii="宋体" w:hAnsi="宋体"/>
          <w:b/>
          <w:color w:val="auto"/>
          <w:sz w:val="24"/>
          <w:highlight w:val="none"/>
        </w:rPr>
        <w:t>环境标志产品清单说明表</w:t>
      </w:r>
      <w:bookmarkEnd w:id="73"/>
      <w:bookmarkEnd w:id="74"/>
      <w:bookmarkEnd w:id="75"/>
      <w:bookmarkEnd w:id="76"/>
      <w:bookmarkEnd w:id="77"/>
    </w:p>
    <w:p w14:paraId="5B214732">
      <w:pPr>
        <w:snapToGrid w:val="0"/>
        <w:spacing w:line="300" w:lineRule="auto"/>
        <w:jc w:val="center"/>
        <w:rPr>
          <w:rFonts w:hint="eastAsia" w:ascii="宋体" w:hAnsi="宋体"/>
          <w:color w:val="auto"/>
          <w:sz w:val="24"/>
          <w:highlight w:val="none"/>
        </w:rPr>
      </w:pPr>
      <w:r>
        <w:rPr>
          <w:rFonts w:hint="eastAsia" w:ascii="宋体" w:hAnsi="宋体"/>
          <w:color w:val="auto"/>
          <w:sz w:val="24"/>
          <w:highlight w:val="none"/>
        </w:rPr>
        <w:t>（环境标志产品按下列格式提供）</w:t>
      </w:r>
    </w:p>
    <w:p w14:paraId="0937126B">
      <w:pPr>
        <w:snapToGrid w:val="0"/>
        <w:spacing w:line="300" w:lineRule="auto"/>
        <w:rPr>
          <w:rFonts w:hint="eastAsia" w:ascii="宋体" w:hAnsi="宋体"/>
          <w:color w:val="auto"/>
          <w:sz w:val="24"/>
          <w:highlight w:val="none"/>
        </w:rPr>
      </w:pPr>
    </w:p>
    <w:p w14:paraId="0ACB4DAC">
      <w:pPr>
        <w:snapToGrid w:val="0"/>
        <w:spacing w:line="300" w:lineRule="auto"/>
        <w:rPr>
          <w:rFonts w:hint="eastAsia" w:ascii="宋体" w:hAnsi="宋体"/>
          <w:color w:val="auto"/>
          <w:sz w:val="24"/>
          <w:highlight w:val="none"/>
          <w:u w:val="single"/>
        </w:rPr>
      </w:pPr>
      <w:r>
        <w:rPr>
          <w:rFonts w:hint="eastAsia" w:ascii="宋体" w:hAnsi="宋体"/>
          <w:color w:val="auto"/>
          <w:sz w:val="24"/>
          <w:highlight w:val="none"/>
        </w:rPr>
        <w:t xml:space="preserve">采购项目名称： </w:t>
      </w:r>
      <w:r>
        <w:rPr>
          <w:rFonts w:hint="eastAsia" w:ascii="宋体" w:hAnsi="宋体"/>
          <w:color w:val="auto"/>
          <w:sz w:val="24"/>
          <w:highlight w:val="none"/>
          <w:u w:val="single"/>
        </w:rPr>
        <w:t xml:space="preserve">                       </w:t>
      </w:r>
    </w:p>
    <w:p w14:paraId="1FEA9697">
      <w:pPr>
        <w:snapToGrid w:val="0"/>
        <w:spacing w:line="300" w:lineRule="auto"/>
        <w:rPr>
          <w:rFonts w:hint="eastAsia" w:ascii="宋体" w:hAnsi="宋体"/>
          <w:i/>
          <w:iCs/>
          <w:color w:val="auto"/>
          <w:sz w:val="24"/>
          <w:highlight w:val="none"/>
        </w:rPr>
      </w:pPr>
      <w:r>
        <w:rPr>
          <w:rFonts w:hint="eastAsia" w:ascii="宋体" w:hAnsi="宋体"/>
          <w:color w:val="auto"/>
          <w:sz w:val="24"/>
          <w:highlight w:val="none"/>
        </w:rPr>
        <w:t>采购项目编号：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p w14:paraId="6A894E2A">
      <w:pPr>
        <w:rPr>
          <w:rFonts w:hint="eastAsia" w:ascii="宋体" w:hAnsi="宋体"/>
          <w:color w:val="auto"/>
          <w:szCs w:val="21"/>
          <w:highlight w:val="none"/>
        </w:rPr>
      </w:pPr>
    </w:p>
    <w:tbl>
      <w:tblPr>
        <w:tblStyle w:val="21"/>
        <w:tblW w:w="0" w:type="auto"/>
        <w:jc w:val="center"/>
        <w:tblLayout w:type="fixed"/>
        <w:tblCellMar>
          <w:top w:w="0" w:type="dxa"/>
          <w:left w:w="108" w:type="dxa"/>
          <w:bottom w:w="0" w:type="dxa"/>
          <w:right w:w="108" w:type="dxa"/>
        </w:tblCellMar>
      </w:tblPr>
      <w:tblGrid>
        <w:gridCol w:w="729"/>
        <w:gridCol w:w="1090"/>
        <w:gridCol w:w="1076"/>
        <w:gridCol w:w="1759"/>
        <w:gridCol w:w="1276"/>
        <w:gridCol w:w="1417"/>
        <w:gridCol w:w="1653"/>
      </w:tblGrid>
      <w:tr w14:paraId="6B21C527">
        <w:tblPrEx>
          <w:tblCellMar>
            <w:top w:w="0" w:type="dxa"/>
            <w:left w:w="108" w:type="dxa"/>
            <w:bottom w:w="0" w:type="dxa"/>
            <w:right w:w="108" w:type="dxa"/>
          </w:tblCellMar>
        </w:tblPrEx>
        <w:trPr>
          <w:trHeight w:val="420" w:hRule="atLeast"/>
          <w:jc w:val="center"/>
        </w:trPr>
        <w:tc>
          <w:tcPr>
            <w:tcW w:w="729" w:type="dxa"/>
            <w:vMerge w:val="restart"/>
            <w:tcBorders>
              <w:top w:val="single" w:color="auto" w:sz="8" w:space="0"/>
              <w:left w:val="single" w:color="auto" w:sz="8" w:space="0"/>
              <w:bottom w:val="single" w:color="auto" w:sz="8" w:space="0"/>
              <w:right w:val="single" w:color="auto" w:sz="8" w:space="0"/>
            </w:tcBorders>
            <w:noWrap w:val="0"/>
            <w:vAlign w:val="center"/>
          </w:tcPr>
          <w:p w14:paraId="2A89A52E">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90" w:type="dxa"/>
            <w:vMerge w:val="restart"/>
            <w:tcBorders>
              <w:top w:val="single" w:color="auto" w:sz="8" w:space="0"/>
              <w:left w:val="single" w:color="auto" w:sz="8" w:space="0"/>
              <w:bottom w:val="single" w:color="auto" w:sz="8" w:space="0"/>
              <w:right w:val="single" w:color="auto" w:sz="8" w:space="0"/>
            </w:tcBorders>
            <w:noWrap w:val="0"/>
            <w:vAlign w:val="center"/>
          </w:tcPr>
          <w:p w14:paraId="17E68DBA">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076" w:type="dxa"/>
            <w:vMerge w:val="restart"/>
            <w:tcBorders>
              <w:top w:val="single" w:color="auto" w:sz="8" w:space="0"/>
              <w:left w:val="single" w:color="auto" w:sz="8" w:space="0"/>
              <w:bottom w:val="single" w:color="auto" w:sz="8" w:space="0"/>
              <w:right w:val="single" w:color="auto" w:sz="8" w:space="0"/>
            </w:tcBorders>
            <w:noWrap w:val="0"/>
            <w:vAlign w:val="center"/>
          </w:tcPr>
          <w:p w14:paraId="4AB0F1A5">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6105" w:type="dxa"/>
            <w:gridSpan w:val="4"/>
            <w:tcBorders>
              <w:top w:val="single" w:color="auto" w:sz="8" w:space="0"/>
              <w:left w:val="single" w:color="auto" w:sz="8" w:space="0"/>
              <w:bottom w:val="single" w:color="auto" w:sz="8" w:space="0"/>
              <w:right w:val="single" w:color="auto" w:sz="8" w:space="0"/>
            </w:tcBorders>
            <w:noWrap w:val="0"/>
            <w:vAlign w:val="center"/>
          </w:tcPr>
          <w:p w14:paraId="0C944859">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环境标志产品政府采购清单</w:t>
            </w:r>
          </w:p>
        </w:tc>
      </w:tr>
      <w:tr w14:paraId="528E0574">
        <w:tblPrEx>
          <w:tblCellMar>
            <w:top w:w="0" w:type="dxa"/>
            <w:left w:w="108" w:type="dxa"/>
            <w:bottom w:w="0" w:type="dxa"/>
            <w:right w:w="108" w:type="dxa"/>
          </w:tblCellMar>
        </w:tblPrEx>
        <w:trPr>
          <w:trHeight w:val="314" w:hRule="atLeast"/>
          <w:jc w:val="center"/>
        </w:trPr>
        <w:tc>
          <w:tcPr>
            <w:tcW w:w="729" w:type="dxa"/>
            <w:vMerge w:val="continue"/>
            <w:tcBorders>
              <w:top w:val="single" w:color="auto" w:sz="8" w:space="0"/>
              <w:left w:val="single" w:color="auto" w:sz="8" w:space="0"/>
              <w:bottom w:val="single" w:color="auto" w:sz="8" w:space="0"/>
              <w:right w:val="single" w:color="auto" w:sz="8" w:space="0"/>
            </w:tcBorders>
            <w:noWrap w:val="0"/>
            <w:vAlign w:val="center"/>
          </w:tcPr>
          <w:p w14:paraId="5801A5E8">
            <w:pPr>
              <w:bidi w:val="0"/>
              <w:jc w:val="center"/>
              <w:rPr>
                <w:rFonts w:hint="eastAsia" w:ascii="宋体" w:hAnsi="宋体" w:eastAsia="宋体" w:cs="宋体"/>
                <w:color w:val="auto"/>
                <w:sz w:val="24"/>
                <w:szCs w:val="24"/>
                <w:highlight w:val="none"/>
              </w:rPr>
            </w:pPr>
          </w:p>
        </w:tc>
        <w:tc>
          <w:tcPr>
            <w:tcW w:w="1090" w:type="dxa"/>
            <w:vMerge w:val="continue"/>
            <w:tcBorders>
              <w:top w:val="single" w:color="auto" w:sz="8" w:space="0"/>
              <w:left w:val="single" w:color="auto" w:sz="8" w:space="0"/>
              <w:bottom w:val="single" w:color="auto" w:sz="8" w:space="0"/>
              <w:right w:val="single" w:color="auto" w:sz="8" w:space="0"/>
            </w:tcBorders>
            <w:noWrap w:val="0"/>
            <w:vAlign w:val="center"/>
          </w:tcPr>
          <w:p w14:paraId="75EB99D3">
            <w:pPr>
              <w:bidi w:val="0"/>
              <w:jc w:val="center"/>
              <w:rPr>
                <w:rFonts w:hint="eastAsia" w:ascii="宋体" w:hAnsi="宋体" w:eastAsia="宋体" w:cs="宋体"/>
                <w:color w:val="auto"/>
                <w:sz w:val="24"/>
                <w:szCs w:val="24"/>
                <w:highlight w:val="none"/>
              </w:rPr>
            </w:pPr>
          </w:p>
        </w:tc>
        <w:tc>
          <w:tcPr>
            <w:tcW w:w="1076" w:type="dxa"/>
            <w:vMerge w:val="continue"/>
            <w:tcBorders>
              <w:top w:val="single" w:color="auto" w:sz="8" w:space="0"/>
              <w:left w:val="single" w:color="auto" w:sz="8" w:space="0"/>
              <w:bottom w:val="single" w:color="auto" w:sz="8" w:space="0"/>
              <w:right w:val="single" w:color="auto" w:sz="8" w:space="0"/>
            </w:tcBorders>
            <w:noWrap w:val="0"/>
            <w:vAlign w:val="center"/>
          </w:tcPr>
          <w:p w14:paraId="2EC07DD3">
            <w:pPr>
              <w:bidi w:val="0"/>
              <w:jc w:val="center"/>
              <w:rPr>
                <w:rFonts w:hint="eastAsia"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591AD3DA">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已取得证书日期</w:t>
            </w:r>
          </w:p>
        </w:tc>
        <w:tc>
          <w:tcPr>
            <w:tcW w:w="1276" w:type="dxa"/>
            <w:tcBorders>
              <w:top w:val="single" w:color="auto" w:sz="8" w:space="0"/>
              <w:left w:val="single" w:color="auto" w:sz="8" w:space="0"/>
              <w:bottom w:val="single" w:color="auto" w:sz="8" w:space="0"/>
              <w:right w:val="single" w:color="auto" w:sz="8" w:space="0"/>
            </w:tcBorders>
            <w:noWrap w:val="0"/>
            <w:vAlign w:val="center"/>
          </w:tcPr>
          <w:p w14:paraId="2592666B">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清单型号</w:t>
            </w:r>
          </w:p>
        </w:tc>
        <w:tc>
          <w:tcPr>
            <w:tcW w:w="1417" w:type="dxa"/>
            <w:tcBorders>
              <w:top w:val="single" w:color="auto" w:sz="8" w:space="0"/>
              <w:left w:val="single" w:color="auto" w:sz="8" w:space="0"/>
              <w:bottom w:val="single" w:color="auto" w:sz="8" w:space="0"/>
              <w:right w:val="single" w:color="auto" w:sz="8" w:space="0"/>
            </w:tcBorders>
            <w:noWrap w:val="0"/>
            <w:vAlign w:val="center"/>
          </w:tcPr>
          <w:p w14:paraId="64895BC4">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653" w:type="dxa"/>
            <w:tcBorders>
              <w:top w:val="single" w:color="auto" w:sz="8" w:space="0"/>
              <w:left w:val="single" w:color="auto" w:sz="8" w:space="0"/>
              <w:bottom w:val="single" w:color="auto" w:sz="8" w:space="0"/>
              <w:right w:val="single" w:color="auto" w:sz="8" w:space="0"/>
            </w:tcBorders>
            <w:noWrap w:val="0"/>
            <w:vAlign w:val="center"/>
          </w:tcPr>
          <w:p w14:paraId="2E3621AF">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发证机构</w:t>
            </w:r>
          </w:p>
        </w:tc>
      </w:tr>
      <w:tr w14:paraId="11505B54">
        <w:tblPrEx>
          <w:tblCellMar>
            <w:top w:w="0" w:type="dxa"/>
            <w:left w:w="108" w:type="dxa"/>
            <w:bottom w:w="0" w:type="dxa"/>
            <w:right w:w="108" w:type="dxa"/>
          </w:tblCellMar>
        </w:tblPrEx>
        <w:trPr>
          <w:trHeight w:val="645"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37912DED">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5DF42C0E">
            <w:pPr>
              <w:bidi w:val="0"/>
              <w:jc w:val="center"/>
              <w:rPr>
                <w:rFonts w:hint="eastAsia"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62E165AC">
            <w:pPr>
              <w:bidi w:val="0"/>
              <w:jc w:val="center"/>
              <w:rPr>
                <w:rFonts w:hint="eastAsia"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18392B4E">
            <w:pPr>
              <w:bidi w:val="0"/>
              <w:jc w:val="center"/>
              <w:rPr>
                <w:rFonts w:hint="eastAsia"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3D689E0">
            <w:pPr>
              <w:bidi w:val="0"/>
              <w:jc w:val="center"/>
              <w:rPr>
                <w:rFonts w:hint="eastAsia"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7E3EEDAA">
            <w:pPr>
              <w:bidi w:val="0"/>
              <w:jc w:val="center"/>
              <w:rPr>
                <w:rFonts w:hint="eastAsia"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1F761CA8">
            <w:pPr>
              <w:bidi w:val="0"/>
              <w:jc w:val="center"/>
              <w:rPr>
                <w:rFonts w:hint="eastAsia" w:ascii="宋体" w:hAnsi="宋体" w:eastAsia="宋体" w:cs="宋体"/>
                <w:color w:val="auto"/>
                <w:sz w:val="24"/>
                <w:szCs w:val="24"/>
                <w:highlight w:val="none"/>
              </w:rPr>
            </w:pPr>
          </w:p>
        </w:tc>
      </w:tr>
      <w:tr w14:paraId="629C7DC7">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747A7C0F">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70AD9BDD">
            <w:pPr>
              <w:bidi w:val="0"/>
              <w:jc w:val="center"/>
              <w:rPr>
                <w:rFonts w:hint="eastAsia"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5B64A0BD">
            <w:pPr>
              <w:bidi w:val="0"/>
              <w:jc w:val="center"/>
              <w:rPr>
                <w:rFonts w:hint="eastAsia"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510AD30B">
            <w:pPr>
              <w:bidi w:val="0"/>
              <w:jc w:val="center"/>
              <w:rPr>
                <w:rFonts w:hint="eastAsia"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7BACC9EE">
            <w:pPr>
              <w:bidi w:val="0"/>
              <w:jc w:val="center"/>
              <w:rPr>
                <w:rFonts w:hint="eastAsia"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763DADA7">
            <w:pPr>
              <w:bidi w:val="0"/>
              <w:jc w:val="center"/>
              <w:rPr>
                <w:rFonts w:hint="eastAsia"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774411BC">
            <w:pPr>
              <w:bidi w:val="0"/>
              <w:jc w:val="center"/>
              <w:rPr>
                <w:rFonts w:hint="eastAsia" w:ascii="宋体" w:hAnsi="宋体" w:eastAsia="宋体" w:cs="宋体"/>
                <w:color w:val="auto"/>
                <w:sz w:val="24"/>
                <w:szCs w:val="24"/>
                <w:highlight w:val="none"/>
              </w:rPr>
            </w:pPr>
          </w:p>
        </w:tc>
      </w:tr>
      <w:tr w14:paraId="60B3B7F9">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0ADFAE72">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1F67D316">
            <w:pPr>
              <w:bidi w:val="0"/>
              <w:jc w:val="center"/>
              <w:rPr>
                <w:rFonts w:hint="eastAsia"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1A1CC36E">
            <w:pPr>
              <w:bidi w:val="0"/>
              <w:jc w:val="center"/>
              <w:rPr>
                <w:rFonts w:hint="eastAsia"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7B2D1FA7">
            <w:pPr>
              <w:bidi w:val="0"/>
              <w:jc w:val="center"/>
              <w:rPr>
                <w:rFonts w:hint="eastAsia"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47B0E39">
            <w:pPr>
              <w:bidi w:val="0"/>
              <w:jc w:val="center"/>
              <w:rPr>
                <w:rFonts w:hint="eastAsia"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76A9A59C">
            <w:pPr>
              <w:bidi w:val="0"/>
              <w:jc w:val="center"/>
              <w:rPr>
                <w:rFonts w:hint="eastAsia"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1FB349E0">
            <w:pPr>
              <w:bidi w:val="0"/>
              <w:jc w:val="center"/>
              <w:rPr>
                <w:rFonts w:hint="eastAsia" w:ascii="宋体" w:hAnsi="宋体" w:eastAsia="宋体" w:cs="宋体"/>
                <w:color w:val="auto"/>
                <w:sz w:val="24"/>
                <w:szCs w:val="24"/>
                <w:highlight w:val="none"/>
              </w:rPr>
            </w:pPr>
          </w:p>
        </w:tc>
      </w:tr>
      <w:tr w14:paraId="3ED663A8">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1E0EA10A">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2DBD0FCF">
            <w:pPr>
              <w:bidi w:val="0"/>
              <w:jc w:val="center"/>
              <w:rPr>
                <w:rFonts w:hint="eastAsia"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44928E04">
            <w:pPr>
              <w:bidi w:val="0"/>
              <w:jc w:val="center"/>
              <w:rPr>
                <w:rFonts w:hint="eastAsia"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41A5EBA4">
            <w:pPr>
              <w:bidi w:val="0"/>
              <w:jc w:val="center"/>
              <w:rPr>
                <w:rFonts w:hint="eastAsia"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2B3496F3">
            <w:pPr>
              <w:bidi w:val="0"/>
              <w:jc w:val="center"/>
              <w:rPr>
                <w:rFonts w:hint="eastAsia"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24AE4093">
            <w:pPr>
              <w:bidi w:val="0"/>
              <w:jc w:val="center"/>
              <w:rPr>
                <w:rFonts w:hint="eastAsia"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2589C6E4">
            <w:pPr>
              <w:bidi w:val="0"/>
              <w:jc w:val="center"/>
              <w:rPr>
                <w:rFonts w:hint="eastAsia" w:ascii="宋体" w:hAnsi="宋体" w:eastAsia="宋体" w:cs="宋体"/>
                <w:color w:val="auto"/>
                <w:sz w:val="24"/>
                <w:szCs w:val="24"/>
                <w:highlight w:val="none"/>
              </w:rPr>
            </w:pPr>
          </w:p>
        </w:tc>
      </w:tr>
      <w:tr w14:paraId="708D1EC5">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74E35AE8">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6CCE5143">
            <w:pPr>
              <w:bidi w:val="0"/>
              <w:jc w:val="center"/>
              <w:rPr>
                <w:rFonts w:hint="eastAsia"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058D6C73">
            <w:pPr>
              <w:bidi w:val="0"/>
              <w:jc w:val="center"/>
              <w:rPr>
                <w:rFonts w:hint="eastAsia"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579A23C3">
            <w:pPr>
              <w:bidi w:val="0"/>
              <w:jc w:val="center"/>
              <w:rPr>
                <w:rFonts w:hint="eastAsia"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4015114D">
            <w:pPr>
              <w:bidi w:val="0"/>
              <w:jc w:val="center"/>
              <w:rPr>
                <w:rFonts w:hint="eastAsia"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561F1C59">
            <w:pPr>
              <w:bidi w:val="0"/>
              <w:jc w:val="center"/>
              <w:rPr>
                <w:rFonts w:hint="eastAsia"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3381351E">
            <w:pPr>
              <w:bidi w:val="0"/>
              <w:jc w:val="center"/>
              <w:rPr>
                <w:rFonts w:hint="eastAsia" w:ascii="宋体" w:hAnsi="宋体" w:eastAsia="宋体" w:cs="宋体"/>
                <w:color w:val="auto"/>
                <w:sz w:val="24"/>
                <w:szCs w:val="24"/>
                <w:highlight w:val="none"/>
              </w:rPr>
            </w:pPr>
          </w:p>
        </w:tc>
      </w:tr>
      <w:tr w14:paraId="35A6658F">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2314909D">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292699C6">
            <w:pPr>
              <w:bidi w:val="0"/>
              <w:jc w:val="center"/>
              <w:rPr>
                <w:rFonts w:hint="eastAsia"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736DDB60">
            <w:pPr>
              <w:bidi w:val="0"/>
              <w:jc w:val="center"/>
              <w:rPr>
                <w:rFonts w:hint="eastAsia"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45C17322">
            <w:pPr>
              <w:bidi w:val="0"/>
              <w:jc w:val="center"/>
              <w:rPr>
                <w:rFonts w:hint="eastAsia"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728B687B">
            <w:pPr>
              <w:bidi w:val="0"/>
              <w:jc w:val="center"/>
              <w:rPr>
                <w:rFonts w:hint="eastAsia"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5D7AE868">
            <w:pPr>
              <w:bidi w:val="0"/>
              <w:jc w:val="center"/>
              <w:rPr>
                <w:rFonts w:hint="eastAsia"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6260C577">
            <w:pPr>
              <w:bidi w:val="0"/>
              <w:jc w:val="center"/>
              <w:rPr>
                <w:rFonts w:hint="eastAsia" w:ascii="宋体" w:hAnsi="宋体" w:eastAsia="宋体" w:cs="宋体"/>
                <w:color w:val="auto"/>
                <w:sz w:val="24"/>
                <w:szCs w:val="24"/>
                <w:highlight w:val="none"/>
              </w:rPr>
            </w:pPr>
          </w:p>
        </w:tc>
      </w:tr>
    </w:tbl>
    <w:p w14:paraId="5EC6EA1C">
      <w:pPr>
        <w:spacing w:line="300" w:lineRule="exact"/>
        <w:jc w:val="center"/>
        <w:rPr>
          <w:rFonts w:hint="eastAsia" w:ascii="宋体" w:hAnsi="宋体"/>
          <w:color w:val="auto"/>
          <w:szCs w:val="21"/>
          <w:highlight w:val="none"/>
        </w:rPr>
      </w:pPr>
    </w:p>
    <w:p w14:paraId="6A8F23DE">
      <w:pPr>
        <w:rPr>
          <w:rFonts w:hint="eastAsia" w:ascii="宋体" w:hAnsi="宋体"/>
          <w:color w:val="auto"/>
          <w:sz w:val="24"/>
          <w:highlight w:val="none"/>
        </w:rPr>
      </w:pPr>
      <w:r>
        <w:rPr>
          <w:rFonts w:hint="eastAsia" w:ascii="宋体" w:hAnsi="宋体"/>
          <w:color w:val="auto"/>
          <w:sz w:val="24"/>
          <w:highlight w:val="none"/>
        </w:rPr>
        <w:t>注：1、上述“环境标志产品政府采购清单”以相关职能部门正式发布的最新一期为准。</w:t>
      </w:r>
    </w:p>
    <w:p w14:paraId="2861DE60">
      <w:pPr>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eastAsia="宋体"/>
          <w:color w:val="auto"/>
          <w:sz w:val="24"/>
          <w:highlight w:val="none"/>
        </w:rPr>
        <w:t xml:space="preserve"> </w:t>
      </w:r>
      <w:r>
        <w:rPr>
          <w:rFonts w:hint="eastAsia" w:ascii="宋体" w:hAnsi="宋体"/>
          <w:color w:val="auto"/>
          <w:sz w:val="24"/>
          <w:highlight w:val="none"/>
        </w:rPr>
        <w:t xml:space="preserve">  2、采购项目分包的，本表应按报价包号填写。</w:t>
      </w:r>
    </w:p>
    <w:p w14:paraId="2093932B">
      <w:pPr>
        <w:ind w:firstLine="480" w:firstLineChars="200"/>
        <w:rPr>
          <w:rFonts w:hint="eastAsia" w:ascii="宋体" w:hAnsi="宋体"/>
          <w:color w:val="auto"/>
          <w:sz w:val="24"/>
          <w:highlight w:val="none"/>
        </w:rPr>
      </w:pPr>
      <w:r>
        <w:rPr>
          <w:rFonts w:hint="eastAsia" w:ascii="宋体" w:hAnsi="宋体"/>
          <w:color w:val="auto"/>
          <w:sz w:val="24"/>
          <w:highlight w:val="none"/>
        </w:rPr>
        <w:t>3、后附认证证书复印件加盖</w:t>
      </w:r>
      <w:r>
        <w:rPr>
          <w:rFonts w:hint="eastAsia" w:ascii="宋体" w:hAnsi="宋体"/>
          <w:color w:val="auto"/>
          <w:sz w:val="24"/>
          <w:highlight w:val="none"/>
          <w:lang w:eastAsia="zh-CN"/>
        </w:rPr>
        <w:t>供应商</w:t>
      </w:r>
      <w:r>
        <w:rPr>
          <w:rFonts w:hint="eastAsia" w:ascii="宋体" w:hAnsi="宋体"/>
          <w:color w:val="auto"/>
          <w:sz w:val="24"/>
          <w:highlight w:val="none"/>
        </w:rPr>
        <w:t>公章。</w:t>
      </w:r>
    </w:p>
    <w:p w14:paraId="03A72722">
      <w:pPr>
        <w:spacing w:line="480" w:lineRule="auto"/>
        <w:jc w:val="both"/>
        <w:rPr>
          <w:rFonts w:hint="eastAsia" w:ascii="宋体" w:hAnsi="宋体" w:cs="宋体"/>
          <w:color w:val="auto"/>
          <w:sz w:val="24"/>
          <w:highlight w:val="none"/>
          <w:lang w:eastAsia="zh-CN"/>
        </w:rPr>
      </w:pPr>
    </w:p>
    <w:p w14:paraId="0347AA87">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493C1A4B">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640F8D59">
      <w:pPr>
        <w:spacing w:line="480" w:lineRule="auto"/>
        <w:ind w:left="1050" w:hanging="1050" w:hangingChars="500"/>
        <w:jc w:val="both"/>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年     月     日</w:t>
      </w:r>
    </w:p>
    <w:p w14:paraId="148A69DC">
      <w:pP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br w:type="page"/>
      </w:r>
    </w:p>
    <w:p w14:paraId="18E4C262">
      <w:pPr>
        <w:spacing w:before="48" w:line="219" w:lineRule="auto"/>
        <w:ind w:left="19"/>
        <w:outlineLvl w:val="9"/>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附：中小企业划型标准规定</w:t>
      </w:r>
    </w:p>
    <w:p w14:paraId="1B6C7ABB">
      <w:pPr>
        <w:spacing w:before="48" w:line="219" w:lineRule="auto"/>
        <w:ind w:left="19"/>
        <w:outlineLvl w:val="9"/>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p>
    <w:p w14:paraId="63C94058">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 (国发〔2009〕36 号)，制定本规定。</w:t>
      </w:r>
    </w:p>
    <w:p w14:paraId="3D37EFBA">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p>
    <w:p w14:paraId="20B6573B">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 和信息技术服务业，房地产开发经营，物业管理，租赁和商务服务业，其他未列明行业（包 括科学研究和技术服务业，水利、环境和公共设施管理业，居民服务、修理和其他服务业，社会工作，文化、体育和娱乐业等）。</w:t>
      </w:r>
    </w:p>
    <w:p w14:paraId="430C996B">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74275594">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 20000 万元以下的为中小微型企业。其中，营业收入 500 万元及以上的为中型企业，营业收入 50 万元及以上的为小型企业，营业收入 50 万元以下的为微型企业。</w:t>
      </w:r>
    </w:p>
    <w:p w14:paraId="53E8776D">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 1000 人以下或营业收入 40000 万元以下的为中小微型企业。其中， 从业人员 300 人及以上，且营业收入 2000 万元及以上的为中型企业；从业人员 20 人及以 上，且营业收入 300 万元及以上的为小型企业；从业人员 20 人以下或营业收入 300 万元以下的为微型企业。</w:t>
      </w:r>
    </w:p>
    <w:p w14:paraId="7790BBBD">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 80000 万元以下或资产总额 80000 万元以下的为中小微型企业。 其中，营业收入 6000 万元及以上，且资产总额 5000 万元及以上的为中型企业；营业收入 300 万元及以上，且资产总额 300 万元及以上的为小型企业；营业收入 300 万元以下或资产总额 300 万元以下的为微型企业。</w:t>
      </w:r>
    </w:p>
    <w:p w14:paraId="1216A039">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 200 人以下或营业收入 40000 万元以下的为中小微型企业。其中， 从业人员 20 人及以上，且营业收入 5000 万元及以上的为中型企业；从业人员 5 人及以上，且营业收入 1000 万元及以上的为小型企业；从业人员 5 人以下或营业收入 1000 万元以下的为微型企业。</w:t>
      </w:r>
    </w:p>
    <w:p w14:paraId="0B271EF7">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 100 万元以下的为微型企业。</w:t>
      </w:r>
    </w:p>
    <w:p w14:paraId="3F4E2662">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 1000 人以下或营业收入 30000 万元以下的为中小微型企业。 其中，从业人员 300 人及以上，且营业收入 3000 万元及以上的为中型企业；从业人员 20 人及以上，且营业收入 200 万元及以上的为小型企业；从业人员 20 人以下或营业收入 200万元以下的为微型企业。</w:t>
      </w:r>
    </w:p>
    <w:p w14:paraId="4A9BA5C1">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 200 人以下或营业收入 30000 万元以下的为中小微型企业。其中， 从业人员 100 人及以上，且营业收入 1000 万元及以上的为中型企业；从业人员 20 人及以 上，且营业收入 100 万元及以上的为小型企业；从业人员 20 人以下或营业收入 100 万元以下的为微型企业。</w:t>
      </w:r>
    </w:p>
    <w:p w14:paraId="01B61FE5">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 1000 人以下或营业收入 30000 万元以下的为中小微型企业。其 中，从业人员 300 人及以上，且营业收入 2000 万元及以上的为中型企业；从业人员 20 人 及以上，且营业收入 100 万元及以上的为小型企业；从业人员 20 人以下或营业收入 100万元以下的为微型企业。</w:t>
      </w:r>
    </w:p>
    <w:p w14:paraId="7B1FFA62">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6AF59463">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5F36A3D8">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 2000 人以下或营业收入 100000 万元以下的为中小微型企 业。其中，从业人员 100 人及以上，且营业收入 1000 万元及以上的为中型企业；从业人 员 10 人及以上，且营业收入 100 万元及以上的为小型企业；从业人员 10 人以下或营业收入 100 万元以下的为微型企业。</w:t>
      </w:r>
    </w:p>
    <w:p w14:paraId="01447196">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 300 人以下或营业收入 10000 万元以下的为中 小微型企业。其中，从业人员 100 人及以上，且营业收入 1000 万元及以上的为中型企业； 从业人员 10 人及以上，且营业收入 50 万元及以上的为小型企业；从业人员 10 人以下或营业收入 50 万元以下的为微型企业。</w:t>
      </w:r>
    </w:p>
    <w:p w14:paraId="4AF2011C">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房地产开发经营。营业收入 200000 万元以下或资产总额 10000 万元以下的为中</w:t>
      </w:r>
    </w:p>
    <w:p w14:paraId="76E3DB5F">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小微型企业。其中，营业收入 1000 万元及以上，且资产总额 5000 万元及以上的为中型企 业；营业收入 100 万元及以上，且资产总额 2000 万元及以上的为小型企业；营业收入 100万元以下或资产总额 2000 万元以下的为微型企业。</w:t>
      </w:r>
    </w:p>
    <w:p w14:paraId="68362573">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 1000 人以下或营业收入 5000 万元以下的为中小微型企业。 其中，从业人员 300 人及以上，且营业收入 1000 万元及以上的为中型企业；从业人员 100 人及以上，且营业收入 500 万元及以上的为小型企业；从业人员 100 人以下或营业收入500 万元以下的为微型企业。</w:t>
      </w:r>
    </w:p>
    <w:p w14:paraId="04288375">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 300 人以下或资产总额 120000 万元以下的为中小 微型企业。其中，从业人员 100 人及以上，且资产总额 8000 万元及以上的为中型企业； 从业人员 10 人及以上，且资产总额 100 万元及以上的为小型企业；从业人员 10 人以下或资产总额 100 万元以下的为微型企业。</w:t>
      </w:r>
    </w:p>
    <w:p w14:paraId="144D1F5B">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 300 人以下的为中小微型企业。其中，从业人员 100 人及以上的为中型企业；从业人员 10 人及以上的为小型企业；从业人员 10 人以下的为微型企业。</w:t>
      </w:r>
    </w:p>
    <w:p w14:paraId="41E6B3F1">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2315F2D6">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6A2413E8">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 微型企业的统计分类。国务院有关部门据此进行相关数据分析，不得制定与本规定不一致的企业划型标准。</w:t>
      </w:r>
    </w:p>
    <w:p w14:paraId="6AFF42EA">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4C76FFF6">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4DC3BBD8">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十、本规定自发布之日起执行，原国家经贸委、原国家计委、财政部和国家统计局 2003</w:t>
      </w:r>
    </w:p>
    <w:p w14:paraId="200E316A">
      <w:pPr>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年颁布的《中小企业标准暂行规定》同时废止。</w:t>
      </w:r>
    </w:p>
    <w:p w14:paraId="45DCBFB9">
      <w:pPr>
        <w:ind w:right="-65" w:rightChars="-31"/>
        <w:jc w:val="center"/>
        <w:outlineLvl w:val="9"/>
        <w:rPr>
          <w:rFonts w:hint="eastAsia" w:ascii="宋体" w:hAnsi="宋体" w:eastAsia="宋体" w:cs="宋体"/>
          <w:b/>
          <w:color w:val="auto"/>
          <w:sz w:val="30"/>
          <w:szCs w:val="30"/>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br w:type="page"/>
      </w:r>
      <w:r>
        <w:rPr>
          <w:rFonts w:hint="eastAsia" w:ascii="宋体" w:hAnsi="宋体" w:eastAsia="宋体" w:cs="宋体"/>
          <w:b/>
          <w:color w:val="auto"/>
          <w:sz w:val="30"/>
          <w:szCs w:val="30"/>
          <w:highlight w:val="none"/>
        </w:rPr>
        <w:t>中小企业划型标准</w:t>
      </w:r>
    </w:p>
    <w:tbl>
      <w:tblPr>
        <w:tblStyle w:val="2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987"/>
        <w:gridCol w:w="735"/>
        <w:gridCol w:w="679"/>
        <w:gridCol w:w="579"/>
        <w:gridCol w:w="679"/>
        <w:gridCol w:w="673"/>
        <w:gridCol w:w="615"/>
        <w:gridCol w:w="679"/>
        <w:gridCol w:w="714"/>
        <w:gridCol w:w="619"/>
        <w:gridCol w:w="679"/>
        <w:gridCol w:w="682"/>
        <w:gridCol w:w="525"/>
      </w:tblGrid>
      <w:tr w14:paraId="0369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512" w:type="dxa"/>
            <w:vMerge w:val="restart"/>
            <w:noWrap w:val="0"/>
            <w:vAlign w:val="center"/>
          </w:tcPr>
          <w:p w14:paraId="375932AA">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987" w:type="dxa"/>
            <w:vMerge w:val="restart"/>
            <w:noWrap w:val="0"/>
            <w:vAlign w:val="center"/>
          </w:tcPr>
          <w:p w14:paraId="52BFE12F">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行业</w:t>
            </w:r>
          </w:p>
        </w:tc>
        <w:tc>
          <w:tcPr>
            <w:tcW w:w="1993" w:type="dxa"/>
            <w:gridSpan w:val="3"/>
            <w:noWrap w:val="0"/>
            <w:vAlign w:val="center"/>
          </w:tcPr>
          <w:p w14:paraId="404FF43D">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大型企业</w:t>
            </w:r>
          </w:p>
        </w:tc>
        <w:tc>
          <w:tcPr>
            <w:tcW w:w="1967" w:type="dxa"/>
            <w:gridSpan w:val="3"/>
            <w:noWrap w:val="0"/>
            <w:vAlign w:val="center"/>
          </w:tcPr>
          <w:p w14:paraId="6EC2CAD2">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中型企业</w:t>
            </w:r>
          </w:p>
        </w:tc>
        <w:tc>
          <w:tcPr>
            <w:tcW w:w="2012" w:type="dxa"/>
            <w:gridSpan w:val="3"/>
            <w:noWrap w:val="0"/>
            <w:vAlign w:val="center"/>
          </w:tcPr>
          <w:p w14:paraId="3F139917">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小型企业</w:t>
            </w:r>
          </w:p>
        </w:tc>
        <w:tc>
          <w:tcPr>
            <w:tcW w:w="1886" w:type="dxa"/>
            <w:gridSpan w:val="3"/>
            <w:noWrap w:val="0"/>
            <w:vAlign w:val="center"/>
          </w:tcPr>
          <w:p w14:paraId="5D7C968F">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微型企业</w:t>
            </w:r>
          </w:p>
        </w:tc>
      </w:tr>
      <w:tr w14:paraId="6E9B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blHeader/>
          <w:jc w:val="center"/>
        </w:trPr>
        <w:tc>
          <w:tcPr>
            <w:tcW w:w="512" w:type="dxa"/>
            <w:vMerge w:val="continue"/>
            <w:noWrap w:val="0"/>
            <w:vAlign w:val="center"/>
          </w:tcPr>
          <w:p w14:paraId="70A3D62D">
            <w:pPr>
              <w:ind w:left="-48" w:leftChars="-23" w:right="-65" w:rightChars="-31"/>
              <w:jc w:val="center"/>
              <w:outlineLvl w:val="9"/>
              <w:rPr>
                <w:rFonts w:hint="eastAsia" w:ascii="宋体" w:hAnsi="宋体" w:eastAsia="宋体" w:cs="宋体"/>
                <w:b/>
                <w:color w:val="auto"/>
                <w:szCs w:val="21"/>
                <w:highlight w:val="none"/>
              </w:rPr>
            </w:pPr>
          </w:p>
        </w:tc>
        <w:tc>
          <w:tcPr>
            <w:tcW w:w="987" w:type="dxa"/>
            <w:vMerge w:val="continue"/>
            <w:noWrap w:val="0"/>
            <w:vAlign w:val="center"/>
          </w:tcPr>
          <w:p w14:paraId="2035ADA8">
            <w:pPr>
              <w:ind w:left="-48" w:leftChars="-23" w:right="-65" w:rightChars="-31"/>
              <w:outlineLvl w:val="9"/>
              <w:rPr>
                <w:rFonts w:hint="eastAsia" w:ascii="宋体" w:hAnsi="宋体" w:eastAsia="宋体" w:cs="宋体"/>
                <w:b/>
                <w:color w:val="auto"/>
                <w:szCs w:val="21"/>
                <w:highlight w:val="none"/>
              </w:rPr>
            </w:pPr>
          </w:p>
        </w:tc>
        <w:tc>
          <w:tcPr>
            <w:tcW w:w="735" w:type="dxa"/>
            <w:noWrap w:val="0"/>
            <w:vAlign w:val="center"/>
          </w:tcPr>
          <w:p w14:paraId="254E555B">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w:t>
            </w:r>
          </w:p>
          <w:p w14:paraId="6839D0DA">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679" w:type="dxa"/>
            <w:noWrap w:val="0"/>
            <w:vAlign w:val="center"/>
          </w:tcPr>
          <w:p w14:paraId="3E30A969">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w:t>
            </w:r>
          </w:p>
          <w:p w14:paraId="5A29BAEB">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w:t>
            </w:r>
          </w:p>
        </w:tc>
        <w:tc>
          <w:tcPr>
            <w:tcW w:w="579" w:type="dxa"/>
            <w:noWrap w:val="0"/>
            <w:vAlign w:val="center"/>
          </w:tcPr>
          <w:p w14:paraId="50DA769A">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总资产</w:t>
            </w:r>
          </w:p>
          <w:p w14:paraId="5568E8D7">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679" w:type="dxa"/>
            <w:noWrap w:val="0"/>
            <w:vAlign w:val="center"/>
          </w:tcPr>
          <w:p w14:paraId="44AEF56D">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w:t>
            </w:r>
          </w:p>
          <w:p w14:paraId="1EB848C8">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673" w:type="dxa"/>
            <w:noWrap w:val="0"/>
            <w:vAlign w:val="center"/>
          </w:tcPr>
          <w:p w14:paraId="53FE1CB4">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w:t>
            </w:r>
          </w:p>
          <w:p w14:paraId="63226163">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w:t>
            </w:r>
          </w:p>
        </w:tc>
        <w:tc>
          <w:tcPr>
            <w:tcW w:w="615" w:type="dxa"/>
            <w:noWrap w:val="0"/>
            <w:vAlign w:val="center"/>
          </w:tcPr>
          <w:p w14:paraId="104DE774">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总资产</w:t>
            </w:r>
          </w:p>
          <w:p w14:paraId="5299C5B6">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679" w:type="dxa"/>
            <w:noWrap w:val="0"/>
            <w:vAlign w:val="center"/>
          </w:tcPr>
          <w:p w14:paraId="35366FDA">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w:t>
            </w:r>
          </w:p>
          <w:p w14:paraId="1755B8AB">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714" w:type="dxa"/>
            <w:noWrap w:val="0"/>
            <w:vAlign w:val="center"/>
          </w:tcPr>
          <w:p w14:paraId="5976F825">
            <w:pPr>
              <w:ind w:left="119" w:leftChars="-23" w:right="-65" w:rightChars="-31" w:hanging="167" w:hangingChars="79"/>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w:t>
            </w:r>
          </w:p>
          <w:p w14:paraId="3E3CD068">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w:t>
            </w:r>
          </w:p>
        </w:tc>
        <w:tc>
          <w:tcPr>
            <w:tcW w:w="619" w:type="dxa"/>
            <w:noWrap w:val="0"/>
            <w:vAlign w:val="center"/>
          </w:tcPr>
          <w:p w14:paraId="4E416896">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总资产</w:t>
            </w:r>
          </w:p>
          <w:p w14:paraId="0E60F55F">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679" w:type="dxa"/>
            <w:noWrap w:val="0"/>
            <w:vAlign w:val="center"/>
          </w:tcPr>
          <w:p w14:paraId="67E107A7">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w:t>
            </w:r>
          </w:p>
          <w:p w14:paraId="357747C5">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682" w:type="dxa"/>
            <w:noWrap w:val="0"/>
            <w:vAlign w:val="center"/>
          </w:tcPr>
          <w:p w14:paraId="7ABBD68E">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w:t>
            </w:r>
          </w:p>
          <w:p w14:paraId="208F2AC8">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w:t>
            </w:r>
          </w:p>
        </w:tc>
        <w:tc>
          <w:tcPr>
            <w:tcW w:w="525" w:type="dxa"/>
            <w:noWrap w:val="0"/>
            <w:vAlign w:val="center"/>
          </w:tcPr>
          <w:p w14:paraId="4F5EEBA8">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总资产</w:t>
            </w:r>
          </w:p>
          <w:p w14:paraId="766DFCD7">
            <w:pPr>
              <w:ind w:left="-48" w:leftChars="-23" w:right="-65" w:rightChars="-31"/>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r>
      <w:tr w14:paraId="25C0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58A6C2EB">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987" w:type="dxa"/>
            <w:noWrap w:val="0"/>
            <w:vAlign w:val="center"/>
          </w:tcPr>
          <w:p w14:paraId="3399E760">
            <w:pPr>
              <w:ind w:left="-27" w:leftChars="-13" w:right="-65" w:rightChars="-31"/>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农、林、牧、渔业</w:t>
            </w:r>
          </w:p>
        </w:tc>
        <w:tc>
          <w:tcPr>
            <w:tcW w:w="735" w:type="dxa"/>
            <w:noWrap w:val="0"/>
            <w:vAlign w:val="center"/>
          </w:tcPr>
          <w:p w14:paraId="5C144C71">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≥20000</w:t>
            </w:r>
          </w:p>
        </w:tc>
        <w:tc>
          <w:tcPr>
            <w:tcW w:w="679" w:type="dxa"/>
            <w:noWrap w:val="0"/>
            <w:vAlign w:val="center"/>
          </w:tcPr>
          <w:p w14:paraId="5B423F35">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579" w:type="dxa"/>
            <w:noWrap w:val="0"/>
            <w:vAlign w:val="center"/>
          </w:tcPr>
          <w:p w14:paraId="52F0782D">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193D038F">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w:t>
            </w:r>
          </w:p>
        </w:tc>
        <w:tc>
          <w:tcPr>
            <w:tcW w:w="673" w:type="dxa"/>
            <w:noWrap w:val="0"/>
            <w:vAlign w:val="center"/>
          </w:tcPr>
          <w:p w14:paraId="4ABA6017">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15" w:type="dxa"/>
            <w:noWrap w:val="0"/>
            <w:vAlign w:val="center"/>
          </w:tcPr>
          <w:p w14:paraId="73162844">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19DB06AB">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714" w:type="dxa"/>
            <w:noWrap w:val="0"/>
            <w:vAlign w:val="center"/>
          </w:tcPr>
          <w:p w14:paraId="20AC8E02">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19" w:type="dxa"/>
            <w:noWrap w:val="0"/>
            <w:vAlign w:val="center"/>
          </w:tcPr>
          <w:p w14:paraId="025E2A93">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119A1A9D">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682" w:type="dxa"/>
            <w:noWrap w:val="0"/>
            <w:vAlign w:val="center"/>
          </w:tcPr>
          <w:p w14:paraId="67FC5D19">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525" w:type="dxa"/>
            <w:noWrap w:val="0"/>
            <w:vAlign w:val="center"/>
          </w:tcPr>
          <w:p w14:paraId="69ABDD48">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19CE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23AEC736">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987" w:type="dxa"/>
            <w:noWrap w:val="0"/>
            <w:vAlign w:val="center"/>
          </w:tcPr>
          <w:p w14:paraId="2CCB020C">
            <w:pPr>
              <w:ind w:left="-27" w:leftChars="-13" w:right="-65" w:rightChars="-31"/>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735" w:type="dxa"/>
            <w:noWrap w:val="0"/>
            <w:vAlign w:val="center"/>
          </w:tcPr>
          <w:p w14:paraId="08ACFCF5">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≥40000</w:t>
            </w:r>
          </w:p>
        </w:tc>
        <w:tc>
          <w:tcPr>
            <w:tcW w:w="679" w:type="dxa"/>
            <w:noWrap w:val="0"/>
            <w:vAlign w:val="center"/>
          </w:tcPr>
          <w:p w14:paraId="716299FC">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≥1000</w:t>
            </w:r>
          </w:p>
        </w:tc>
        <w:tc>
          <w:tcPr>
            <w:tcW w:w="579" w:type="dxa"/>
            <w:noWrap w:val="0"/>
            <w:vAlign w:val="center"/>
          </w:tcPr>
          <w:p w14:paraId="7A649391">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w:t>
            </w:r>
          </w:p>
        </w:tc>
        <w:tc>
          <w:tcPr>
            <w:tcW w:w="679" w:type="dxa"/>
            <w:noWrap w:val="0"/>
            <w:vAlign w:val="center"/>
          </w:tcPr>
          <w:p w14:paraId="0133666A">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≥2000</w:t>
            </w:r>
          </w:p>
        </w:tc>
        <w:tc>
          <w:tcPr>
            <w:tcW w:w="673" w:type="dxa"/>
            <w:noWrap w:val="0"/>
            <w:vAlign w:val="center"/>
          </w:tcPr>
          <w:p w14:paraId="1203E3FE">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≥300</w:t>
            </w:r>
          </w:p>
        </w:tc>
        <w:tc>
          <w:tcPr>
            <w:tcW w:w="615" w:type="dxa"/>
            <w:noWrap w:val="0"/>
            <w:vAlign w:val="center"/>
          </w:tcPr>
          <w:p w14:paraId="54276561">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w:t>
            </w:r>
          </w:p>
        </w:tc>
        <w:tc>
          <w:tcPr>
            <w:tcW w:w="679" w:type="dxa"/>
            <w:noWrap w:val="0"/>
            <w:vAlign w:val="center"/>
          </w:tcPr>
          <w:p w14:paraId="143FCA36">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≥300</w:t>
            </w:r>
          </w:p>
        </w:tc>
        <w:tc>
          <w:tcPr>
            <w:tcW w:w="714" w:type="dxa"/>
            <w:noWrap w:val="0"/>
            <w:vAlign w:val="center"/>
          </w:tcPr>
          <w:p w14:paraId="44FCAB3C">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w:t>
            </w:r>
          </w:p>
        </w:tc>
        <w:tc>
          <w:tcPr>
            <w:tcW w:w="619" w:type="dxa"/>
            <w:noWrap w:val="0"/>
            <w:vAlign w:val="center"/>
          </w:tcPr>
          <w:p w14:paraId="230902E2">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w:t>
            </w:r>
          </w:p>
        </w:tc>
        <w:tc>
          <w:tcPr>
            <w:tcW w:w="679" w:type="dxa"/>
            <w:noWrap w:val="0"/>
            <w:vAlign w:val="center"/>
          </w:tcPr>
          <w:p w14:paraId="425A41CA">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＜300</w:t>
            </w:r>
          </w:p>
        </w:tc>
        <w:tc>
          <w:tcPr>
            <w:tcW w:w="682" w:type="dxa"/>
            <w:noWrap w:val="0"/>
            <w:vAlign w:val="center"/>
          </w:tcPr>
          <w:p w14:paraId="10AC9470">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w:t>
            </w:r>
          </w:p>
        </w:tc>
        <w:tc>
          <w:tcPr>
            <w:tcW w:w="525" w:type="dxa"/>
            <w:noWrap w:val="0"/>
            <w:vAlign w:val="center"/>
          </w:tcPr>
          <w:p w14:paraId="484998D2">
            <w:pPr>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w:t>
            </w:r>
          </w:p>
        </w:tc>
      </w:tr>
      <w:tr w14:paraId="6416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12" w:type="dxa"/>
            <w:noWrap w:val="0"/>
            <w:vAlign w:val="center"/>
          </w:tcPr>
          <w:p w14:paraId="5122F98B">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987" w:type="dxa"/>
            <w:noWrap w:val="0"/>
            <w:vAlign w:val="center"/>
          </w:tcPr>
          <w:p w14:paraId="5AB3009C">
            <w:pPr>
              <w:ind w:left="-27" w:leftChars="-13" w:right="-65" w:rightChars="-31"/>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建筑业</w:t>
            </w:r>
          </w:p>
        </w:tc>
        <w:tc>
          <w:tcPr>
            <w:tcW w:w="735" w:type="dxa"/>
            <w:noWrap w:val="0"/>
            <w:vAlign w:val="center"/>
          </w:tcPr>
          <w:p w14:paraId="4FF063B2">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≥80000</w:t>
            </w:r>
          </w:p>
        </w:tc>
        <w:tc>
          <w:tcPr>
            <w:tcW w:w="679" w:type="dxa"/>
            <w:noWrap w:val="0"/>
            <w:vAlign w:val="center"/>
          </w:tcPr>
          <w:p w14:paraId="29A3F47F">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579" w:type="dxa"/>
            <w:noWrap w:val="0"/>
            <w:vAlign w:val="center"/>
          </w:tcPr>
          <w:p w14:paraId="3958D08C">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≥80000</w:t>
            </w:r>
          </w:p>
        </w:tc>
        <w:tc>
          <w:tcPr>
            <w:tcW w:w="679" w:type="dxa"/>
            <w:noWrap w:val="0"/>
            <w:vAlign w:val="center"/>
          </w:tcPr>
          <w:p w14:paraId="74353DB8">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≥6000</w:t>
            </w:r>
          </w:p>
        </w:tc>
        <w:tc>
          <w:tcPr>
            <w:tcW w:w="673" w:type="dxa"/>
            <w:noWrap w:val="0"/>
            <w:vAlign w:val="center"/>
          </w:tcPr>
          <w:p w14:paraId="2EBE6809">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15" w:type="dxa"/>
            <w:noWrap w:val="0"/>
            <w:vAlign w:val="center"/>
          </w:tcPr>
          <w:p w14:paraId="2BD3E9E2">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w:t>
            </w:r>
          </w:p>
        </w:tc>
        <w:tc>
          <w:tcPr>
            <w:tcW w:w="679" w:type="dxa"/>
            <w:noWrap w:val="0"/>
            <w:vAlign w:val="center"/>
          </w:tcPr>
          <w:p w14:paraId="1721307B">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w:t>
            </w:r>
          </w:p>
        </w:tc>
        <w:tc>
          <w:tcPr>
            <w:tcW w:w="714" w:type="dxa"/>
            <w:noWrap w:val="0"/>
            <w:vAlign w:val="center"/>
          </w:tcPr>
          <w:p w14:paraId="3D6C8D61">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19" w:type="dxa"/>
            <w:noWrap w:val="0"/>
            <w:vAlign w:val="center"/>
          </w:tcPr>
          <w:p w14:paraId="412E3B74">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w:t>
            </w:r>
          </w:p>
        </w:tc>
        <w:tc>
          <w:tcPr>
            <w:tcW w:w="679" w:type="dxa"/>
            <w:noWrap w:val="0"/>
            <w:vAlign w:val="center"/>
          </w:tcPr>
          <w:p w14:paraId="1729833D">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w:t>
            </w:r>
          </w:p>
        </w:tc>
        <w:tc>
          <w:tcPr>
            <w:tcW w:w="682" w:type="dxa"/>
            <w:noWrap w:val="0"/>
            <w:vAlign w:val="center"/>
          </w:tcPr>
          <w:p w14:paraId="5BC3805D">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525" w:type="dxa"/>
            <w:noWrap w:val="0"/>
            <w:vAlign w:val="center"/>
          </w:tcPr>
          <w:p w14:paraId="1282A61C">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w:t>
            </w:r>
          </w:p>
        </w:tc>
      </w:tr>
      <w:tr w14:paraId="061F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4EED2A91">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987" w:type="dxa"/>
            <w:noWrap w:val="0"/>
            <w:vAlign w:val="center"/>
          </w:tcPr>
          <w:p w14:paraId="4946E679">
            <w:pPr>
              <w:ind w:left="-27" w:leftChars="-13" w:right="-65" w:rightChars="-31"/>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批发业</w:t>
            </w:r>
          </w:p>
        </w:tc>
        <w:tc>
          <w:tcPr>
            <w:tcW w:w="735" w:type="dxa"/>
            <w:noWrap w:val="0"/>
            <w:vAlign w:val="center"/>
          </w:tcPr>
          <w:p w14:paraId="59D3349E">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≥40000</w:t>
            </w:r>
          </w:p>
        </w:tc>
        <w:tc>
          <w:tcPr>
            <w:tcW w:w="679" w:type="dxa"/>
            <w:noWrap w:val="0"/>
            <w:vAlign w:val="center"/>
          </w:tcPr>
          <w:p w14:paraId="56CE64C9">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w:t>
            </w:r>
          </w:p>
        </w:tc>
        <w:tc>
          <w:tcPr>
            <w:tcW w:w="579" w:type="dxa"/>
            <w:noWrap w:val="0"/>
            <w:vAlign w:val="center"/>
          </w:tcPr>
          <w:p w14:paraId="0845CC46">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65823F45">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w:t>
            </w:r>
          </w:p>
        </w:tc>
        <w:tc>
          <w:tcPr>
            <w:tcW w:w="673" w:type="dxa"/>
            <w:noWrap w:val="0"/>
            <w:vAlign w:val="center"/>
          </w:tcPr>
          <w:p w14:paraId="421EEEA8">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615" w:type="dxa"/>
            <w:noWrap w:val="0"/>
            <w:vAlign w:val="center"/>
          </w:tcPr>
          <w:p w14:paraId="30C0FC02">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14A3060A">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w:t>
            </w:r>
          </w:p>
        </w:tc>
        <w:tc>
          <w:tcPr>
            <w:tcW w:w="714" w:type="dxa"/>
            <w:noWrap w:val="0"/>
            <w:vAlign w:val="center"/>
          </w:tcPr>
          <w:p w14:paraId="673AB6E2">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19" w:type="dxa"/>
            <w:noWrap w:val="0"/>
            <w:vAlign w:val="center"/>
          </w:tcPr>
          <w:p w14:paraId="78AB8005">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63E601D2">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w:t>
            </w:r>
          </w:p>
        </w:tc>
        <w:tc>
          <w:tcPr>
            <w:tcW w:w="682" w:type="dxa"/>
            <w:noWrap w:val="0"/>
            <w:vAlign w:val="center"/>
          </w:tcPr>
          <w:p w14:paraId="0789C91B">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525" w:type="dxa"/>
            <w:noWrap w:val="0"/>
            <w:vAlign w:val="center"/>
          </w:tcPr>
          <w:p w14:paraId="00B201D1">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6CE9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1212DC15">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987" w:type="dxa"/>
            <w:noWrap w:val="0"/>
            <w:vAlign w:val="center"/>
          </w:tcPr>
          <w:p w14:paraId="56730122">
            <w:pPr>
              <w:ind w:left="-27" w:leftChars="-13" w:right="-65" w:rightChars="-31"/>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零售业</w:t>
            </w:r>
          </w:p>
        </w:tc>
        <w:tc>
          <w:tcPr>
            <w:tcW w:w="735" w:type="dxa"/>
            <w:noWrap w:val="0"/>
            <w:vAlign w:val="center"/>
          </w:tcPr>
          <w:p w14:paraId="26BF034B">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≥20000</w:t>
            </w:r>
          </w:p>
        </w:tc>
        <w:tc>
          <w:tcPr>
            <w:tcW w:w="679" w:type="dxa"/>
            <w:noWrap w:val="0"/>
            <w:vAlign w:val="center"/>
          </w:tcPr>
          <w:p w14:paraId="6B6DD686">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w:t>
            </w:r>
          </w:p>
        </w:tc>
        <w:tc>
          <w:tcPr>
            <w:tcW w:w="579" w:type="dxa"/>
            <w:noWrap w:val="0"/>
            <w:vAlign w:val="center"/>
          </w:tcPr>
          <w:p w14:paraId="3E77A75A">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51EF6EB6">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w:t>
            </w:r>
          </w:p>
        </w:tc>
        <w:tc>
          <w:tcPr>
            <w:tcW w:w="673" w:type="dxa"/>
            <w:noWrap w:val="0"/>
            <w:vAlign w:val="center"/>
          </w:tcPr>
          <w:p w14:paraId="4178B798">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615" w:type="dxa"/>
            <w:noWrap w:val="0"/>
            <w:vAlign w:val="center"/>
          </w:tcPr>
          <w:p w14:paraId="08A1BA96">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175377DC">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714" w:type="dxa"/>
            <w:noWrap w:val="0"/>
            <w:vAlign w:val="center"/>
          </w:tcPr>
          <w:p w14:paraId="1A2A000C">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619" w:type="dxa"/>
            <w:noWrap w:val="0"/>
            <w:vAlign w:val="center"/>
          </w:tcPr>
          <w:p w14:paraId="31A1C71E">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2E2C2B98">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682" w:type="dxa"/>
            <w:noWrap w:val="0"/>
            <w:vAlign w:val="center"/>
          </w:tcPr>
          <w:p w14:paraId="3C5D5531">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525" w:type="dxa"/>
            <w:noWrap w:val="0"/>
            <w:vAlign w:val="center"/>
          </w:tcPr>
          <w:p w14:paraId="7CC1D66D">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438A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26ADE9A4">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987" w:type="dxa"/>
            <w:noWrap w:val="0"/>
            <w:vAlign w:val="center"/>
          </w:tcPr>
          <w:p w14:paraId="4B2797DF">
            <w:pPr>
              <w:ind w:left="-27" w:leftChars="-13" w:right="-65" w:rightChars="-31"/>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交通运输业</w:t>
            </w:r>
          </w:p>
        </w:tc>
        <w:tc>
          <w:tcPr>
            <w:tcW w:w="735" w:type="dxa"/>
            <w:noWrap w:val="0"/>
            <w:vAlign w:val="center"/>
          </w:tcPr>
          <w:p w14:paraId="7946D8ED">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≥30000</w:t>
            </w:r>
          </w:p>
        </w:tc>
        <w:tc>
          <w:tcPr>
            <w:tcW w:w="679" w:type="dxa"/>
            <w:noWrap w:val="0"/>
            <w:vAlign w:val="center"/>
          </w:tcPr>
          <w:p w14:paraId="3049CBB6">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w:t>
            </w:r>
          </w:p>
        </w:tc>
        <w:tc>
          <w:tcPr>
            <w:tcW w:w="579" w:type="dxa"/>
            <w:noWrap w:val="0"/>
            <w:vAlign w:val="center"/>
          </w:tcPr>
          <w:p w14:paraId="08939085">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3D321AC3">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≥3000</w:t>
            </w:r>
          </w:p>
        </w:tc>
        <w:tc>
          <w:tcPr>
            <w:tcW w:w="673" w:type="dxa"/>
            <w:noWrap w:val="0"/>
            <w:vAlign w:val="center"/>
          </w:tcPr>
          <w:p w14:paraId="52F3D1B2">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w:t>
            </w:r>
          </w:p>
        </w:tc>
        <w:tc>
          <w:tcPr>
            <w:tcW w:w="615" w:type="dxa"/>
            <w:noWrap w:val="0"/>
            <w:vAlign w:val="center"/>
          </w:tcPr>
          <w:p w14:paraId="373F3124">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500E1B4A">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w:t>
            </w:r>
          </w:p>
        </w:tc>
        <w:tc>
          <w:tcPr>
            <w:tcW w:w="714" w:type="dxa"/>
            <w:noWrap w:val="0"/>
            <w:vAlign w:val="center"/>
          </w:tcPr>
          <w:p w14:paraId="227E8ACF">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619" w:type="dxa"/>
            <w:noWrap w:val="0"/>
            <w:vAlign w:val="center"/>
          </w:tcPr>
          <w:p w14:paraId="4BE71992">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4C57D0C5">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w:t>
            </w:r>
          </w:p>
        </w:tc>
        <w:tc>
          <w:tcPr>
            <w:tcW w:w="682" w:type="dxa"/>
            <w:noWrap w:val="0"/>
            <w:vAlign w:val="center"/>
          </w:tcPr>
          <w:p w14:paraId="2D18B146">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525" w:type="dxa"/>
            <w:noWrap w:val="0"/>
            <w:vAlign w:val="center"/>
          </w:tcPr>
          <w:p w14:paraId="7FB5A40E">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49F2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324B2E2D">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987" w:type="dxa"/>
            <w:noWrap w:val="0"/>
            <w:vAlign w:val="center"/>
          </w:tcPr>
          <w:p w14:paraId="2E5E65B3">
            <w:pPr>
              <w:ind w:left="-27" w:leftChars="-13" w:right="-65" w:rightChars="-31"/>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仓储业</w:t>
            </w:r>
          </w:p>
        </w:tc>
        <w:tc>
          <w:tcPr>
            <w:tcW w:w="735" w:type="dxa"/>
            <w:noWrap w:val="0"/>
            <w:vAlign w:val="center"/>
          </w:tcPr>
          <w:p w14:paraId="312EBF69">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≥30000</w:t>
            </w:r>
          </w:p>
        </w:tc>
        <w:tc>
          <w:tcPr>
            <w:tcW w:w="679" w:type="dxa"/>
            <w:noWrap w:val="0"/>
            <w:vAlign w:val="center"/>
          </w:tcPr>
          <w:p w14:paraId="17008F82">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w:t>
            </w:r>
          </w:p>
        </w:tc>
        <w:tc>
          <w:tcPr>
            <w:tcW w:w="579" w:type="dxa"/>
            <w:noWrap w:val="0"/>
            <w:vAlign w:val="center"/>
          </w:tcPr>
          <w:p w14:paraId="7C2C5AD0">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5A0AD9D8">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w:t>
            </w:r>
          </w:p>
        </w:tc>
        <w:tc>
          <w:tcPr>
            <w:tcW w:w="673" w:type="dxa"/>
            <w:noWrap w:val="0"/>
            <w:vAlign w:val="center"/>
          </w:tcPr>
          <w:p w14:paraId="2AF1885C">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615" w:type="dxa"/>
            <w:noWrap w:val="0"/>
            <w:vAlign w:val="center"/>
          </w:tcPr>
          <w:p w14:paraId="44ACD84F">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3D1C9E2C">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714" w:type="dxa"/>
            <w:noWrap w:val="0"/>
            <w:vAlign w:val="center"/>
          </w:tcPr>
          <w:p w14:paraId="5DAED379">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619" w:type="dxa"/>
            <w:noWrap w:val="0"/>
            <w:vAlign w:val="center"/>
          </w:tcPr>
          <w:p w14:paraId="7CEF4F2A">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605856E2">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682" w:type="dxa"/>
            <w:noWrap w:val="0"/>
            <w:vAlign w:val="center"/>
          </w:tcPr>
          <w:p w14:paraId="116D092C">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525" w:type="dxa"/>
            <w:noWrap w:val="0"/>
            <w:vAlign w:val="center"/>
          </w:tcPr>
          <w:p w14:paraId="117077F6">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3590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40AFFC99">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w:t>
            </w:r>
          </w:p>
        </w:tc>
        <w:tc>
          <w:tcPr>
            <w:tcW w:w="987" w:type="dxa"/>
            <w:noWrap w:val="0"/>
            <w:vAlign w:val="center"/>
          </w:tcPr>
          <w:p w14:paraId="507FFD18">
            <w:pPr>
              <w:ind w:left="-27" w:leftChars="-13" w:right="-65" w:rightChars="-31"/>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邮政业</w:t>
            </w:r>
          </w:p>
        </w:tc>
        <w:tc>
          <w:tcPr>
            <w:tcW w:w="735" w:type="dxa"/>
            <w:noWrap w:val="0"/>
            <w:vAlign w:val="center"/>
          </w:tcPr>
          <w:p w14:paraId="1BD0307D">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≥30000</w:t>
            </w:r>
          </w:p>
        </w:tc>
        <w:tc>
          <w:tcPr>
            <w:tcW w:w="679" w:type="dxa"/>
            <w:noWrap w:val="0"/>
            <w:vAlign w:val="center"/>
          </w:tcPr>
          <w:p w14:paraId="1D08C314">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w:t>
            </w:r>
          </w:p>
        </w:tc>
        <w:tc>
          <w:tcPr>
            <w:tcW w:w="579" w:type="dxa"/>
            <w:noWrap w:val="0"/>
            <w:vAlign w:val="center"/>
          </w:tcPr>
          <w:p w14:paraId="0B399B6F">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7BC3E180">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w:t>
            </w:r>
          </w:p>
        </w:tc>
        <w:tc>
          <w:tcPr>
            <w:tcW w:w="673" w:type="dxa"/>
            <w:noWrap w:val="0"/>
            <w:vAlign w:val="center"/>
          </w:tcPr>
          <w:p w14:paraId="36ADB0C8">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w:t>
            </w:r>
          </w:p>
        </w:tc>
        <w:tc>
          <w:tcPr>
            <w:tcW w:w="615" w:type="dxa"/>
            <w:noWrap w:val="0"/>
            <w:vAlign w:val="center"/>
          </w:tcPr>
          <w:p w14:paraId="6C9A513E">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4B1A046A">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714" w:type="dxa"/>
            <w:noWrap w:val="0"/>
            <w:vAlign w:val="center"/>
          </w:tcPr>
          <w:p w14:paraId="176FD139">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619" w:type="dxa"/>
            <w:noWrap w:val="0"/>
            <w:vAlign w:val="center"/>
          </w:tcPr>
          <w:p w14:paraId="1C022716">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5BC886A6">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682" w:type="dxa"/>
            <w:noWrap w:val="0"/>
            <w:vAlign w:val="center"/>
          </w:tcPr>
          <w:p w14:paraId="20B6EDBE">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525" w:type="dxa"/>
            <w:noWrap w:val="0"/>
            <w:vAlign w:val="center"/>
          </w:tcPr>
          <w:p w14:paraId="4FDDA13F">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7C70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0FE10246">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w:t>
            </w:r>
          </w:p>
        </w:tc>
        <w:tc>
          <w:tcPr>
            <w:tcW w:w="987" w:type="dxa"/>
            <w:noWrap w:val="0"/>
            <w:vAlign w:val="center"/>
          </w:tcPr>
          <w:p w14:paraId="2B1DBA94">
            <w:pPr>
              <w:ind w:left="-27" w:leftChars="-13" w:right="-65" w:rightChars="-31"/>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住宿业</w:t>
            </w:r>
          </w:p>
        </w:tc>
        <w:tc>
          <w:tcPr>
            <w:tcW w:w="735" w:type="dxa"/>
            <w:noWrap w:val="0"/>
            <w:vAlign w:val="center"/>
          </w:tcPr>
          <w:p w14:paraId="3189005E">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w:t>
            </w:r>
          </w:p>
        </w:tc>
        <w:tc>
          <w:tcPr>
            <w:tcW w:w="679" w:type="dxa"/>
            <w:noWrap w:val="0"/>
            <w:vAlign w:val="center"/>
          </w:tcPr>
          <w:p w14:paraId="7E3C7570">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w:t>
            </w:r>
          </w:p>
        </w:tc>
        <w:tc>
          <w:tcPr>
            <w:tcW w:w="579" w:type="dxa"/>
            <w:noWrap w:val="0"/>
            <w:vAlign w:val="center"/>
          </w:tcPr>
          <w:p w14:paraId="1C63F6A3">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1D532882">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w:t>
            </w:r>
          </w:p>
        </w:tc>
        <w:tc>
          <w:tcPr>
            <w:tcW w:w="673" w:type="dxa"/>
            <w:noWrap w:val="0"/>
            <w:vAlign w:val="center"/>
          </w:tcPr>
          <w:p w14:paraId="79F0DEA7">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615" w:type="dxa"/>
            <w:noWrap w:val="0"/>
            <w:vAlign w:val="center"/>
          </w:tcPr>
          <w:p w14:paraId="3210EBEF">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62FE541F">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714" w:type="dxa"/>
            <w:noWrap w:val="0"/>
            <w:vAlign w:val="center"/>
          </w:tcPr>
          <w:p w14:paraId="495F26AB">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619" w:type="dxa"/>
            <w:noWrap w:val="0"/>
            <w:vAlign w:val="center"/>
          </w:tcPr>
          <w:p w14:paraId="1F6A4103">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7919A77D">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682" w:type="dxa"/>
            <w:noWrap w:val="0"/>
            <w:vAlign w:val="center"/>
          </w:tcPr>
          <w:p w14:paraId="54575D67">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525" w:type="dxa"/>
            <w:noWrap w:val="0"/>
            <w:vAlign w:val="center"/>
          </w:tcPr>
          <w:p w14:paraId="30392446">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7FF2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357A92C8">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w:t>
            </w:r>
          </w:p>
        </w:tc>
        <w:tc>
          <w:tcPr>
            <w:tcW w:w="987" w:type="dxa"/>
            <w:noWrap w:val="0"/>
            <w:vAlign w:val="center"/>
          </w:tcPr>
          <w:p w14:paraId="48C811BF">
            <w:pPr>
              <w:ind w:left="-27" w:leftChars="-13" w:right="-65" w:rightChars="-31"/>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餐饮业</w:t>
            </w:r>
          </w:p>
        </w:tc>
        <w:tc>
          <w:tcPr>
            <w:tcW w:w="735" w:type="dxa"/>
            <w:noWrap w:val="0"/>
            <w:vAlign w:val="center"/>
          </w:tcPr>
          <w:p w14:paraId="390DE23B">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w:t>
            </w:r>
          </w:p>
        </w:tc>
        <w:tc>
          <w:tcPr>
            <w:tcW w:w="679" w:type="dxa"/>
            <w:noWrap w:val="0"/>
            <w:vAlign w:val="center"/>
          </w:tcPr>
          <w:p w14:paraId="183BFABE">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w:t>
            </w:r>
          </w:p>
        </w:tc>
        <w:tc>
          <w:tcPr>
            <w:tcW w:w="579" w:type="dxa"/>
            <w:noWrap w:val="0"/>
            <w:vAlign w:val="center"/>
          </w:tcPr>
          <w:p w14:paraId="277D9817">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01AC33AF">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w:t>
            </w:r>
          </w:p>
        </w:tc>
        <w:tc>
          <w:tcPr>
            <w:tcW w:w="673" w:type="dxa"/>
            <w:noWrap w:val="0"/>
            <w:vAlign w:val="center"/>
          </w:tcPr>
          <w:p w14:paraId="10F1498A">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615" w:type="dxa"/>
            <w:noWrap w:val="0"/>
            <w:vAlign w:val="center"/>
          </w:tcPr>
          <w:p w14:paraId="793BF4D5">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6906A0A4">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714" w:type="dxa"/>
            <w:noWrap w:val="0"/>
            <w:vAlign w:val="center"/>
          </w:tcPr>
          <w:p w14:paraId="1047D820">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619" w:type="dxa"/>
            <w:noWrap w:val="0"/>
            <w:vAlign w:val="center"/>
          </w:tcPr>
          <w:p w14:paraId="3F71842E">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6DAED8A1">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682" w:type="dxa"/>
            <w:noWrap w:val="0"/>
            <w:vAlign w:val="center"/>
          </w:tcPr>
          <w:p w14:paraId="5F5D4A59">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525" w:type="dxa"/>
            <w:noWrap w:val="0"/>
            <w:vAlign w:val="center"/>
          </w:tcPr>
          <w:p w14:paraId="5675122E">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1637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1D51461E">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w:t>
            </w:r>
          </w:p>
        </w:tc>
        <w:tc>
          <w:tcPr>
            <w:tcW w:w="987" w:type="dxa"/>
            <w:noWrap w:val="0"/>
            <w:vAlign w:val="center"/>
          </w:tcPr>
          <w:p w14:paraId="18C0DF1A">
            <w:pPr>
              <w:ind w:left="-27" w:leftChars="-13" w:right="-65" w:rightChars="-31"/>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信息传输业</w:t>
            </w:r>
          </w:p>
        </w:tc>
        <w:tc>
          <w:tcPr>
            <w:tcW w:w="735" w:type="dxa"/>
            <w:noWrap w:val="0"/>
            <w:vAlign w:val="center"/>
          </w:tcPr>
          <w:p w14:paraId="0ED098B4">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w:t>
            </w:r>
          </w:p>
        </w:tc>
        <w:tc>
          <w:tcPr>
            <w:tcW w:w="679" w:type="dxa"/>
            <w:noWrap w:val="0"/>
            <w:vAlign w:val="center"/>
          </w:tcPr>
          <w:p w14:paraId="0F1C3167">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w:t>
            </w:r>
          </w:p>
        </w:tc>
        <w:tc>
          <w:tcPr>
            <w:tcW w:w="579" w:type="dxa"/>
            <w:noWrap w:val="0"/>
            <w:vAlign w:val="center"/>
          </w:tcPr>
          <w:p w14:paraId="708829C9">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69CA3AF0">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w:t>
            </w:r>
          </w:p>
        </w:tc>
        <w:tc>
          <w:tcPr>
            <w:tcW w:w="673" w:type="dxa"/>
            <w:noWrap w:val="0"/>
            <w:vAlign w:val="center"/>
          </w:tcPr>
          <w:p w14:paraId="34E5B714">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615" w:type="dxa"/>
            <w:noWrap w:val="0"/>
            <w:vAlign w:val="center"/>
          </w:tcPr>
          <w:p w14:paraId="4AA15970">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61B92D30">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714" w:type="dxa"/>
            <w:noWrap w:val="0"/>
            <w:vAlign w:val="center"/>
          </w:tcPr>
          <w:p w14:paraId="760DB27B">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619" w:type="dxa"/>
            <w:noWrap w:val="0"/>
            <w:vAlign w:val="center"/>
          </w:tcPr>
          <w:p w14:paraId="31843F4D">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570CA987">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682" w:type="dxa"/>
            <w:noWrap w:val="0"/>
            <w:vAlign w:val="center"/>
          </w:tcPr>
          <w:p w14:paraId="341F4541">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525" w:type="dxa"/>
            <w:noWrap w:val="0"/>
            <w:vAlign w:val="center"/>
          </w:tcPr>
          <w:p w14:paraId="35C9CF0C">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26A8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21DAB52B">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w:t>
            </w:r>
          </w:p>
        </w:tc>
        <w:tc>
          <w:tcPr>
            <w:tcW w:w="987" w:type="dxa"/>
            <w:noWrap w:val="0"/>
            <w:vAlign w:val="center"/>
          </w:tcPr>
          <w:p w14:paraId="7391B5B5">
            <w:pPr>
              <w:ind w:left="-27" w:leftChars="-13" w:right="-65" w:rightChars="-31"/>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软件和信息技术服务业</w:t>
            </w:r>
          </w:p>
        </w:tc>
        <w:tc>
          <w:tcPr>
            <w:tcW w:w="735" w:type="dxa"/>
            <w:noWrap w:val="0"/>
            <w:vAlign w:val="center"/>
          </w:tcPr>
          <w:p w14:paraId="6BDFE189">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w:t>
            </w:r>
          </w:p>
        </w:tc>
        <w:tc>
          <w:tcPr>
            <w:tcW w:w="679" w:type="dxa"/>
            <w:noWrap w:val="0"/>
            <w:vAlign w:val="center"/>
          </w:tcPr>
          <w:p w14:paraId="7285D4F1">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w:t>
            </w:r>
          </w:p>
        </w:tc>
        <w:tc>
          <w:tcPr>
            <w:tcW w:w="579" w:type="dxa"/>
            <w:noWrap w:val="0"/>
            <w:vAlign w:val="center"/>
          </w:tcPr>
          <w:p w14:paraId="2DC34F33">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4F9B7CB3">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w:t>
            </w:r>
          </w:p>
        </w:tc>
        <w:tc>
          <w:tcPr>
            <w:tcW w:w="673" w:type="dxa"/>
            <w:noWrap w:val="0"/>
            <w:vAlign w:val="center"/>
          </w:tcPr>
          <w:p w14:paraId="3BDFE6A6">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615" w:type="dxa"/>
            <w:noWrap w:val="0"/>
            <w:vAlign w:val="center"/>
          </w:tcPr>
          <w:p w14:paraId="53ABACEF">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07A33B0C">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714" w:type="dxa"/>
            <w:noWrap w:val="0"/>
            <w:vAlign w:val="center"/>
          </w:tcPr>
          <w:p w14:paraId="0C734C4F">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619" w:type="dxa"/>
            <w:noWrap w:val="0"/>
            <w:vAlign w:val="center"/>
          </w:tcPr>
          <w:p w14:paraId="5C48D5B6">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21EAF109">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682" w:type="dxa"/>
            <w:noWrap w:val="0"/>
            <w:vAlign w:val="center"/>
          </w:tcPr>
          <w:p w14:paraId="52AD2DFA">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525" w:type="dxa"/>
            <w:noWrap w:val="0"/>
            <w:vAlign w:val="center"/>
          </w:tcPr>
          <w:p w14:paraId="6E6277BD">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4177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noWrap w:val="0"/>
            <w:vAlign w:val="center"/>
          </w:tcPr>
          <w:p w14:paraId="1F445BE2">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w:t>
            </w:r>
          </w:p>
        </w:tc>
        <w:tc>
          <w:tcPr>
            <w:tcW w:w="987" w:type="dxa"/>
            <w:noWrap w:val="0"/>
            <w:vAlign w:val="center"/>
          </w:tcPr>
          <w:p w14:paraId="013A4A39">
            <w:pPr>
              <w:ind w:left="-27" w:leftChars="-13" w:right="-65" w:rightChars="-31"/>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房地产开发经营</w:t>
            </w:r>
          </w:p>
        </w:tc>
        <w:tc>
          <w:tcPr>
            <w:tcW w:w="735" w:type="dxa"/>
            <w:noWrap w:val="0"/>
            <w:vAlign w:val="center"/>
          </w:tcPr>
          <w:p w14:paraId="4AF7BCE5">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≥200000</w:t>
            </w:r>
          </w:p>
        </w:tc>
        <w:tc>
          <w:tcPr>
            <w:tcW w:w="679" w:type="dxa"/>
            <w:noWrap w:val="0"/>
            <w:vAlign w:val="center"/>
          </w:tcPr>
          <w:p w14:paraId="22DF11B1">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579" w:type="dxa"/>
            <w:noWrap w:val="0"/>
            <w:vAlign w:val="center"/>
          </w:tcPr>
          <w:p w14:paraId="22870E61">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或,≥10000</w:t>
            </w:r>
          </w:p>
        </w:tc>
        <w:tc>
          <w:tcPr>
            <w:tcW w:w="679" w:type="dxa"/>
            <w:noWrap w:val="0"/>
            <w:vAlign w:val="center"/>
          </w:tcPr>
          <w:p w14:paraId="5B215BAD">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w:t>
            </w:r>
          </w:p>
        </w:tc>
        <w:tc>
          <w:tcPr>
            <w:tcW w:w="673" w:type="dxa"/>
            <w:noWrap w:val="0"/>
            <w:vAlign w:val="center"/>
          </w:tcPr>
          <w:p w14:paraId="24426E5B">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15" w:type="dxa"/>
            <w:noWrap w:val="0"/>
            <w:vAlign w:val="center"/>
          </w:tcPr>
          <w:p w14:paraId="10F20715">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且,≥5000</w:t>
            </w:r>
          </w:p>
        </w:tc>
        <w:tc>
          <w:tcPr>
            <w:tcW w:w="679" w:type="dxa"/>
            <w:noWrap w:val="0"/>
            <w:vAlign w:val="center"/>
          </w:tcPr>
          <w:p w14:paraId="3A77AE05">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714" w:type="dxa"/>
            <w:noWrap w:val="0"/>
            <w:vAlign w:val="center"/>
          </w:tcPr>
          <w:p w14:paraId="67209615">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19" w:type="dxa"/>
            <w:noWrap w:val="0"/>
            <w:vAlign w:val="center"/>
          </w:tcPr>
          <w:p w14:paraId="33517F41">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且,≥2000</w:t>
            </w:r>
          </w:p>
        </w:tc>
        <w:tc>
          <w:tcPr>
            <w:tcW w:w="679" w:type="dxa"/>
            <w:noWrap w:val="0"/>
            <w:vAlign w:val="center"/>
          </w:tcPr>
          <w:p w14:paraId="5E4E12C3">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682" w:type="dxa"/>
            <w:noWrap w:val="0"/>
            <w:vAlign w:val="center"/>
          </w:tcPr>
          <w:p w14:paraId="6BE2A7BB">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525" w:type="dxa"/>
            <w:noWrap w:val="0"/>
            <w:vAlign w:val="center"/>
          </w:tcPr>
          <w:p w14:paraId="7D8E1CB0">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或,＜2000</w:t>
            </w:r>
          </w:p>
        </w:tc>
      </w:tr>
      <w:tr w14:paraId="0890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1AA7C040">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w:t>
            </w:r>
          </w:p>
        </w:tc>
        <w:tc>
          <w:tcPr>
            <w:tcW w:w="987" w:type="dxa"/>
            <w:noWrap w:val="0"/>
            <w:vAlign w:val="center"/>
          </w:tcPr>
          <w:p w14:paraId="0F69BF3E">
            <w:pPr>
              <w:ind w:left="-27" w:leftChars="-13" w:right="-65" w:rightChars="-31"/>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物业管理</w:t>
            </w:r>
          </w:p>
        </w:tc>
        <w:tc>
          <w:tcPr>
            <w:tcW w:w="735" w:type="dxa"/>
            <w:noWrap w:val="0"/>
            <w:vAlign w:val="center"/>
          </w:tcPr>
          <w:p w14:paraId="171E38B3">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w:t>
            </w:r>
          </w:p>
        </w:tc>
        <w:tc>
          <w:tcPr>
            <w:tcW w:w="679" w:type="dxa"/>
            <w:noWrap w:val="0"/>
            <w:vAlign w:val="center"/>
          </w:tcPr>
          <w:p w14:paraId="5847BC55">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w:t>
            </w:r>
          </w:p>
        </w:tc>
        <w:tc>
          <w:tcPr>
            <w:tcW w:w="579" w:type="dxa"/>
            <w:noWrap w:val="0"/>
            <w:vAlign w:val="center"/>
          </w:tcPr>
          <w:p w14:paraId="1FBAAFBF">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480E974F">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w:t>
            </w:r>
          </w:p>
        </w:tc>
        <w:tc>
          <w:tcPr>
            <w:tcW w:w="673" w:type="dxa"/>
            <w:noWrap w:val="0"/>
            <w:vAlign w:val="center"/>
          </w:tcPr>
          <w:p w14:paraId="52E27F99">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w:t>
            </w:r>
          </w:p>
        </w:tc>
        <w:tc>
          <w:tcPr>
            <w:tcW w:w="615" w:type="dxa"/>
            <w:noWrap w:val="0"/>
            <w:vAlign w:val="center"/>
          </w:tcPr>
          <w:p w14:paraId="0EF32FC3">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1E96B34B">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w:t>
            </w:r>
          </w:p>
        </w:tc>
        <w:tc>
          <w:tcPr>
            <w:tcW w:w="714" w:type="dxa"/>
            <w:noWrap w:val="0"/>
            <w:vAlign w:val="center"/>
          </w:tcPr>
          <w:p w14:paraId="734C5EA8">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619" w:type="dxa"/>
            <w:noWrap w:val="0"/>
            <w:vAlign w:val="center"/>
          </w:tcPr>
          <w:p w14:paraId="48D8EB59">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17452F70">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w:t>
            </w:r>
          </w:p>
        </w:tc>
        <w:tc>
          <w:tcPr>
            <w:tcW w:w="682" w:type="dxa"/>
            <w:noWrap w:val="0"/>
            <w:vAlign w:val="center"/>
          </w:tcPr>
          <w:p w14:paraId="61F9530E">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525" w:type="dxa"/>
            <w:noWrap w:val="0"/>
            <w:vAlign w:val="center"/>
          </w:tcPr>
          <w:p w14:paraId="360F9DC4">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17AB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noWrap w:val="0"/>
            <w:vAlign w:val="center"/>
          </w:tcPr>
          <w:p w14:paraId="77CCF112">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w:t>
            </w:r>
          </w:p>
        </w:tc>
        <w:tc>
          <w:tcPr>
            <w:tcW w:w="987" w:type="dxa"/>
            <w:noWrap w:val="0"/>
            <w:vAlign w:val="center"/>
          </w:tcPr>
          <w:p w14:paraId="39573C8A">
            <w:pPr>
              <w:ind w:left="-27" w:leftChars="-13" w:right="-65" w:rightChars="-31"/>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租赁和商务服务业</w:t>
            </w:r>
          </w:p>
        </w:tc>
        <w:tc>
          <w:tcPr>
            <w:tcW w:w="735" w:type="dxa"/>
            <w:noWrap w:val="0"/>
            <w:vAlign w:val="center"/>
          </w:tcPr>
          <w:p w14:paraId="4DDFF133">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5E916E4C">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w:t>
            </w:r>
          </w:p>
        </w:tc>
        <w:tc>
          <w:tcPr>
            <w:tcW w:w="579" w:type="dxa"/>
            <w:noWrap w:val="0"/>
            <w:vAlign w:val="center"/>
          </w:tcPr>
          <w:p w14:paraId="2B08466F">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或,≥120000</w:t>
            </w:r>
          </w:p>
        </w:tc>
        <w:tc>
          <w:tcPr>
            <w:tcW w:w="679" w:type="dxa"/>
            <w:noWrap w:val="0"/>
            <w:vAlign w:val="center"/>
          </w:tcPr>
          <w:p w14:paraId="0B1221BC">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3" w:type="dxa"/>
            <w:noWrap w:val="0"/>
            <w:vAlign w:val="center"/>
          </w:tcPr>
          <w:p w14:paraId="4CBD396D">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615" w:type="dxa"/>
            <w:noWrap w:val="0"/>
            <w:vAlign w:val="center"/>
          </w:tcPr>
          <w:p w14:paraId="179A601B">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且,≥8000</w:t>
            </w:r>
          </w:p>
        </w:tc>
        <w:tc>
          <w:tcPr>
            <w:tcW w:w="679" w:type="dxa"/>
            <w:noWrap w:val="0"/>
            <w:vAlign w:val="center"/>
          </w:tcPr>
          <w:p w14:paraId="3794A3E8">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14" w:type="dxa"/>
            <w:noWrap w:val="0"/>
            <w:vAlign w:val="center"/>
          </w:tcPr>
          <w:p w14:paraId="5E0BBEEF">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619" w:type="dxa"/>
            <w:noWrap w:val="0"/>
            <w:vAlign w:val="center"/>
          </w:tcPr>
          <w:p w14:paraId="09E86687">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且,≥100</w:t>
            </w:r>
          </w:p>
        </w:tc>
        <w:tc>
          <w:tcPr>
            <w:tcW w:w="679" w:type="dxa"/>
            <w:noWrap w:val="0"/>
            <w:vAlign w:val="center"/>
          </w:tcPr>
          <w:p w14:paraId="14756CA9">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82" w:type="dxa"/>
            <w:noWrap w:val="0"/>
            <w:vAlign w:val="center"/>
          </w:tcPr>
          <w:p w14:paraId="0E1546AE">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525" w:type="dxa"/>
            <w:noWrap w:val="0"/>
            <w:vAlign w:val="center"/>
          </w:tcPr>
          <w:p w14:paraId="27237733">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或,＜100</w:t>
            </w:r>
          </w:p>
        </w:tc>
      </w:tr>
      <w:tr w14:paraId="206C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12" w:type="dxa"/>
            <w:noWrap w:val="0"/>
            <w:vAlign w:val="center"/>
          </w:tcPr>
          <w:p w14:paraId="19C5C073">
            <w:pPr>
              <w:ind w:left="-107" w:leftChars="-51" w:right="-107" w:rightChars="-51"/>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w:t>
            </w:r>
          </w:p>
        </w:tc>
        <w:tc>
          <w:tcPr>
            <w:tcW w:w="987" w:type="dxa"/>
            <w:noWrap w:val="0"/>
            <w:vAlign w:val="center"/>
          </w:tcPr>
          <w:p w14:paraId="3E4499C2">
            <w:pPr>
              <w:ind w:left="-27" w:leftChars="-13" w:right="-65" w:rightChars="-31"/>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其他未列明行业</w:t>
            </w:r>
          </w:p>
        </w:tc>
        <w:tc>
          <w:tcPr>
            <w:tcW w:w="735" w:type="dxa"/>
            <w:noWrap w:val="0"/>
            <w:vAlign w:val="center"/>
          </w:tcPr>
          <w:p w14:paraId="10587B38">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0E6F66AB">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w:t>
            </w:r>
          </w:p>
        </w:tc>
        <w:tc>
          <w:tcPr>
            <w:tcW w:w="579" w:type="dxa"/>
            <w:noWrap w:val="0"/>
            <w:vAlign w:val="center"/>
          </w:tcPr>
          <w:p w14:paraId="1CC31577">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6F79A7B9">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3" w:type="dxa"/>
            <w:noWrap w:val="0"/>
            <w:vAlign w:val="center"/>
          </w:tcPr>
          <w:p w14:paraId="298D575F">
            <w:pPr>
              <w:ind w:left="-107" w:leftChars="-51" w:right="-107" w:rightChars="-51"/>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615" w:type="dxa"/>
            <w:noWrap w:val="0"/>
            <w:vAlign w:val="center"/>
          </w:tcPr>
          <w:p w14:paraId="2684E9FB">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119B5AD8">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14" w:type="dxa"/>
            <w:noWrap w:val="0"/>
            <w:vAlign w:val="center"/>
          </w:tcPr>
          <w:p w14:paraId="3426308C">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619" w:type="dxa"/>
            <w:noWrap w:val="0"/>
            <w:vAlign w:val="center"/>
          </w:tcPr>
          <w:p w14:paraId="122AAB35">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79" w:type="dxa"/>
            <w:noWrap w:val="0"/>
            <w:vAlign w:val="center"/>
          </w:tcPr>
          <w:p w14:paraId="05C5CB4B">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682" w:type="dxa"/>
            <w:noWrap w:val="0"/>
            <w:vAlign w:val="center"/>
          </w:tcPr>
          <w:p w14:paraId="67E61DA5">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525" w:type="dxa"/>
            <w:noWrap w:val="0"/>
            <w:vAlign w:val="center"/>
          </w:tcPr>
          <w:p w14:paraId="21CC8EB4">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bl>
    <w:p w14:paraId="675F78B7">
      <w:pPr>
        <w:outlineLvl w:val="9"/>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p>
    <w:p w14:paraId="52C6D6FF">
      <w:pPr>
        <w:outlineLvl w:val="9"/>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br w:type="page"/>
      </w:r>
    </w:p>
    <w:p w14:paraId="76BF3CEA">
      <w:pPr>
        <w:spacing w:before="182" w:line="220" w:lineRule="auto"/>
        <w:ind w:left="3332"/>
        <w:outlineLvl w:val="0"/>
        <w:rPr>
          <w:rFonts w:hint="eastAsia" w:ascii="宋体" w:hAnsi="宋体" w:eastAsia="宋体" w:cs="宋体"/>
          <w:color w:val="auto"/>
          <w:sz w:val="24"/>
          <w:szCs w:val="24"/>
          <w:highlight w:val="none"/>
        </w:rPr>
      </w:pPr>
      <w:bookmarkStart w:id="78" w:name="_Toc805"/>
      <w:bookmarkStart w:id="79" w:name="_Toc12055"/>
      <w:bookmarkStart w:id="80" w:name="_Toc6463"/>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残疾人福利性单位声明函</w:t>
      </w:r>
      <w:bookmarkEnd w:id="78"/>
      <w:bookmarkEnd w:id="79"/>
      <w:bookmarkEnd w:id="80"/>
    </w:p>
    <w:p w14:paraId="36EF11F3">
      <w:pPr>
        <w:pStyle w:val="7"/>
        <w:spacing w:line="283" w:lineRule="auto"/>
        <w:outlineLvl w:val="9"/>
        <w:rPr>
          <w:rFonts w:hint="eastAsia" w:ascii="宋体" w:hAnsi="宋体" w:eastAsia="宋体" w:cs="宋体"/>
          <w:color w:val="auto"/>
          <w:highlight w:val="none"/>
        </w:rPr>
      </w:pPr>
    </w:p>
    <w:p w14:paraId="0C084616">
      <w:pPr>
        <w:pStyle w:val="7"/>
        <w:spacing w:line="283" w:lineRule="auto"/>
        <w:outlineLvl w:val="9"/>
        <w:rPr>
          <w:rFonts w:hint="eastAsia" w:ascii="宋体" w:hAnsi="宋体" w:eastAsia="宋体" w:cs="宋体"/>
          <w:color w:val="auto"/>
          <w:highlight w:val="none"/>
        </w:rPr>
      </w:pPr>
    </w:p>
    <w:p w14:paraId="6702DC44">
      <w:pPr>
        <w:spacing w:before="78" w:line="465" w:lineRule="exact"/>
        <w:ind w:right="2"/>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position w:val="17"/>
          <w:sz w:val="24"/>
          <w:szCs w:val="24"/>
          <w:highlight w:val="none"/>
        </w:rPr>
        <w:t>本单位郑重声明，根据《财政部</w:t>
      </w:r>
      <w:r>
        <w:rPr>
          <w:rFonts w:hint="eastAsia" w:ascii="宋体" w:hAnsi="宋体" w:eastAsia="宋体" w:cs="宋体"/>
          <w:color w:val="auto"/>
          <w:spacing w:val="38"/>
          <w:position w:val="17"/>
          <w:sz w:val="24"/>
          <w:szCs w:val="24"/>
          <w:highlight w:val="none"/>
        </w:rPr>
        <w:t xml:space="preserve"> </w:t>
      </w:r>
      <w:r>
        <w:rPr>
          <w:rFonts w:hint="eastAsia" w:ascii="宋体" w:hAnsi="宋体" w:eastAsia="宋体" w:cs="宋体"/>
          <w:color w:val="auto"/>
          <w:spacing w:val="-4"/>
          <w:position w:val="17"/>
          <w:sz w:val="24"/>
          <w:szCs w:val="24"/>
          <w:highlight w:val="none"/>
        </w:rPr>
        <w:t>民政部</w:t>
      </w:r>
      <w:r>
        <w:rPr>
          <w:rFonts w:hint="eastAsia" w:ascii="宋体" w:hAnsi="宋体" w:eastAsia="宋体" w:cs="宋体"/>
          <w:color w:val="auto"/>
          <w:spacing w:val="32"/>
          <w:position w:val="17"/>
          <w:sz w:val="24"/>
          <w:szCs w:val="24"/>
          <w:highlight w:val="none"/>
        </w:rPr>
        <w:t xml:space="preserve"> </w:t>
      </w:r>
      <w:r>
        <w:rPr>
          <w:rFonts w:hint="eastAsia" w:ascii="宋体" w:hAnsi="宋体" w:eastAsia="宋体" w:cs="宋体"/>
          <w:color w:val="auto"/>
          <w:spacing w:val="-4"/>
          <w:position w:val="17"/>
          <w:sz w:val="24"/>
          <w:szCs w:val="24"/>
          <w:highlight w:val="none"/>
        </w:rPr>
        <w:t>中国残疾人联合会关于促进残疾人就业政府</w:t>
      </w:r>
    </w:p>
    <w:p w14:paraId="5D04913C">
      <w:pPr>
        <w:spacing w:line="219"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采购政策的通知》（财库〔2017〕141号）的规定</w:t>
      </w:r>
      <w:r>
        <w:rPr>
          <w:rFonts w:hint="eastAsia" w:ascii="宋体" w:hAnsi="宋体" w:eastAsia="宋体" w:cs="宋体"/>
          <w:color w:val="auto"/>
          <w:spacing w:val="-1"/>
          <w:sz w:val="24"/>
          <w:szCs w:val="24"/>
          <w:highlight w:val="none"/>
        </w:rPr>
        <w:t>，本单位（请进行选择</w:t>
      </w:r>
      <w:r>
        <w:rPr>
          <w:rFonts w:hint="eastAsia" w:ascii="宋体" w:hAnsi="宋体" w:eastAsia="宋体" w:cs="宋体"/>
          <w:color w:val="auto"/>
          <w:sz w:val="24"/>
          <w:szCs w:val="24"/>
          <w:highlight w:val="none"/>
        </w:rPr>
        <w:t>）：</w:t>
      </w:r>
    </w:p>
    <w:p w14:paraId="168E4B43">
      <w:pPr>
        <w:spacing w:before="182" w:line="220" w:lineRule="auto"/>
        <w:ind w:left="505"/>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不属于符合条件的残疾人福利性单位。</w:t>
      </w:r>
    </w:p>
    <w:p w14:paraId="480E203C">
      <w:pPr>
        <w:spacing w:before="182" w:line="359" w:lineRule="auto"/>
        <w:ind w:left="1" w:firstLine="50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属于符合条件的残疾人福利性单位，</w:t>
      </w:r>
      <w:r>
        <w:rPr>
          <w:rFonts w:hint="eastAsia" w:ascii="宋体" w:hAnsi="宋体" w:eastAsia="宋体" w:cs="宋体"/>
          <w:color w:val="auto"/>
          <w:spacing w:val="-3"/>
          <w:sz w:val="24"/>
          <w:szCs w:val="24"/>
          <w:highlight w:val="none"/>
        </w:rPr>
        <w:t>且本单位参加</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102"/>
          <w:sz w:val="24"/>
          <w:szCs w:val="24"/>
          <w:highlight w:val="none"/>
        </w:rPr>
        <w:t xml:space="preserve"> </w:t>
      </w:r>
      <w:r>
        <w:rPr>
          <w:rFonts w:hint="eastAsia" w:ascii="宋体" w:hAnsi="宋体" w:eastAsia="宋体" w:cs="宋体"/>
          <w:color w:val="auto"/>
          <w:spacing w:val="-3"/>
          <w:sz w:val="24"/>
          <w:szCs w:val="24"/>
          <w:highlight w:val="none"/>
        </w:rPr>
        <w:t>单位的</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107"/>
          <w:sz w:val="24"/>
          <w:szCs w:val="24"/>
          <w:highlight w:val="none"/>
        </w:rPr>
        <w:t xml:space="preserve"> </w:t>
      </w:r>
      <w:r>
        <w:rPr>
          <w:rFonts w:hint="eastAsia" w:ascii="宋体" w:hAnsi="宋体" w:eastAsia="宋体" w:cs="宋体"/>
          <w:color w:val="auto"/>
          <w:spacing w:val="-3"/>
          <w:sz w:val="24"/>
          <w:szCs w:val="24"/>
          <w:highlight w:val="none"/>
        </w:rPr>
        <w:t>项目采购活</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动提供本单位制造的货物（由本单位承担工程/提供货物</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1"/>
          <w:sz w:val="24"/>
          <w:szCs w:val="24"/>
          <w:highlight w:val="none"/>
        </w:rPr>
        <w:t>或者提供其他</w:t>
      </w:r>
      <w:r>
        <w:rPr>
          <w:rFonts w:hint="eastAsia" w:ascii="宋体" w:hAnsi="宋体" w:eastAsia="宋体" w:cs="宋体"/>
          <w:color w:val="auto"/>
          <w:sz w:val="24"/>
          <w:szCs w:val="24"/>
          <w:highlight w:val="none"/>
        </w:rPr>
        <w:t>残疾人福利性</w:t>
      </w:r>
    </w:p>
    <w:p w14:paraId="46E1BCE7">
      <w:pPr>
        <w:spacing w:line="219" w:lineRule="auto"/>
        <w:ind w:left="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单位制造的货物（不包括使用非残疾人福利性单位注册商标的货物）。</w:t>
      </w:r>
    </w:p>
    <w:p w14:paraId="27CEE63C">
      <w:pPr>
        <w:spacing w:before="181" w:line="219" w:lineRule="auto"/>
        <w:ind w:left="48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本单位对上述声明的真实性负责。如有虚假，将依法承担相应责任。</w:t>
      </w:r>
    </w:p>
    <w:p w14:paraId="22286ABF">
      <w:pPr>
        <w:pStyle w:val="7"/>
        <w:spacing w:line="249" w:lineRule="auto"/>
        <w:outlineLvl w:val="9"/>
        <w:rPr>
          <w:rFonts w:hint="eastAsia" w:ascii="宋体" w:hAnsi="宋体" w:eastAsia="宋体" w:cs="宋体"/>
          <w:color w:val="auto"/>
          <w:highlight w:val="none"/>
        </w:rPr>
      </w:pPr>
    </w:p>
    <w:p w14:paraId="5D878656">
      <w:pPr>
        <w:pStyle w:val="7"/>
        <w:spacing w:line="249" w:lineRule="auto"/>
        <w:outlineLvl w:val="9"/>
        <w:rPr>
          <w:rFonts w:hint="eastAsia" w:ascii="宋体" w:hAnsi="宋体" w:eastAsia="宋体" w:cs="宋体"/>
          <w:color w:val="auto"/>
          <w:highlight w:val="none"/>
        </w:rPr>
      </w:pPr>
    </w:p>
    <w:p w14:paraId="303C0FF1">
      <w:pPr>
        <w:pStyle w:val="7"/>
        <w:spacing w:line="249" w:lineRule="auto"/>
        <w:outlineLvl w:val="9"/>
        <w:rPr>
          <w:rFonts w:hint="eastAsia" w:ascii="宋体" w:hAnsi="宋体" w:eastAsia="宋体" w:cs="宋体"/>
          <w:color w:val="auto"/>
          <w:highlight w:val="none"/>
        </w:rPr>
      </w:pPr>
    </w:p>
    <w:p w14:paraId="3AE71CAB">
      <w:pPr>
        <w:pStyle w:val="7"/>
        <w:spacing w:line="249" w:lineRule="auto"/>
        <w:outlineLvl w:val="9"/>
        <w:rPr>
          <w:rFonts w:hint="eastAsia" w:ascii="宋体" w:hAnsi="宋体" w:eastAsia="宋体" w:cs="宋体"/>
          <w:color w:val="auto"/>
          <w:highlight w:val="none"/>
        </w:rPr>
      </w:pPr>
    </w:p>
    <w:p w14:paraId="4164327C">
      <w:pPr>
        <w:pStyle w:val="7"/>
        <w:spacing w:line="249" w:lineRule="auto"/>
        <w:outlineLvl w:val="9"/>
        <w:rPr>
          <w:rFonts w:hint="eastAsia" w:ascii="宋体" w:hAnsi="宋体" w:eastAsia="宋体" w:cs="宋体"/>
          <w:color w:val="auto"/>
          <w:highlight w:val="none"/>
        </w:rPr>
      </w:pPr>
    </w:p>
    <w:p w14:paraId="5D86C5C1">
      <w:pPr>
        <w:pStyle w:val="7"/>
        <w:spacing w:line="250" w:lineRule="auto"/>
        <w:outlineLvl w:val="9"/>
        <w:rPr>
          <w:rFonts w:hint="eastAsia" w:ascii="宋体" w:hAnsi="宋体" w:eastAsia="宋体" w:cs="宋体"/>
          <w:color w:val="auto"/>
          <w:highlight w:val="none"/>
        </w:rPr>
      </w:pPr>
    </w:p>
    <w:p w14:paraId="00F1A4DC">
      <w:pPr>
        <w:spacing w:before="78" w:line="219" w:lineRule="auto"/>
        <w:ind w:left="48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投标人名称（盖章</w:t>
      </w:r>
      <w:r>
        <w:rPr>
          <w:rFonts w:hint="eastAsia" w:ascii="宋体" w:hAnsi="宋体" w:eastAsia="宋体" w:cs="宋体"/>
          <w:color w:val="auto"/>
          <w:spacing w:val="1"/>
          <w:sz w:val="24"/>
          <w:szCs w:val="24"/>
          <w:highlight w:val="none"/>
        </w:rPr>
        <w:t>）：</w:t>
      </w:r>
    </w:p>
    <w:p w14:paraId="67853C73">
      <w:pPr>
        <w:spacing w:before="183" w:line="466" w:lineRule="exact"/>
        <w:ind w:left="48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法定代表人（单位负责人）</w:t>
      </w:r>
    </w:p>
    <w:p w14:paraId="442F2FC1">
      <w:pPr>
        <w:spacing w:line="220" w:lineRule="auto"/>
        <w:ind w:left="48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或授权代表（签字</w:t>
      </w:r>
      <w:r>
        <w:rPr>
          <w:rFonts w:hint="eastAsia" w:ascii="宋体" w:hAnsi="宋体" w:eastAsia="宋体" w:cs="宋体"/>
          <w:color w:val="auto"/>
          <w:spacing w:val="1"/>
          <w:sz w:val="24"/>
          <w:szCs w:val="24"/>
          <w:highlight w:val="none"/>
        </w:rPr>
        <w:t>）：</w:t>
      </w:r>
    </w:p>
    <w:p w14:paraId="2EDB1322">
      <w:pPr>
        <w:pStyle w:val="7"/>
        <w:spacing w:line="257" w:lineRule="auto"/>
        <w:outlineLvl w:val="9"/>
        <w:rPr>
          <w:rFonts w:hint="eastAsia" w:ascii="宋体" w:hAnsi="宋体" w:eastAsia="宋体" w:cs="宋体"/>
          <w:color w:val="auto"/>
          <w:highlight w:val="none"/>
        </w:rPr>
      </w:pPr>
    </w:p>
    <w:p w14:paraId="32CFBA67">
      <w:pPr>
        <w:pStyle w:val="7"/>
        <w:spacing w:line="258" w:lineRule="auto"/>
        <w:outlineLvl w:val="9"/>
        <w:rPr>
          <w:rFonts w:hint="eastAsia" w:ascii="宋体" w:hAnsi="宋体" w:eastAsia="宋体" w:cs="宋体"/>
          <w:color w:val="auto"/>
          <w:highlight w:val="none"/>
        </w:rPr>
      </w:pPr>
    </w:p>
    <w:p w14:paraId="56288D25">
      <w:pPr>
        <w:pStyle w:val="7"/>
        <w:spacing w:line="258" w:lineRule="auto"/>
        <w:outlineLvl w:val="9"/>
        <w:rPr>
          <w:rFonts w:hint="eastAsia" w:ascii="宋体" w:hAnsi="宋体" w:eastAsia="宋体" w:cs="宋体"/>
          <w:color w:val="auto"/>
          <w:highlight w:val="none"/>
        </w:rPr>
      </w:pPr>
    </w:p>
    <w:p w14:paraId="33ED820B">
      <w:pPr>
        <w:pStyle w:val="7"/>
        <w:spacing w:line="258" w:lineRule="auto"/>
        <w:outlineLvl w:val="9"/>
        <w:rPr>
          <w:rFonts w:hint="eastAsia" w:ascii="宋体" w:hAnsi="宋体" w:eastAsia="宋体" w:cs="宋体"/>
          <w:color w:val="auto"/>
          <w:highlight w:val="none"/>
        </w:rPr>
      </w:pPr>
    </w:p>
    <w:p w14:paraId="2B9082F7">
      <w:pPr>
        <w:spacing w:before="78" w:line="220" w:lineRule="auto"/>
        <w:ind w:left="522"/>
        <w:outlineLvl w:val="9"/>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日期:年月日</w:t>
      </w:r>
    </w:p>
    <w:p w14:paraId="46F0F293">
      <w:pPr>
        <w:outlineLvl w:val="9"/>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br w:type="page"/>
      </w:r>
    </w:p>
    <w:p w14:paraId="6F627234">
      <w:pPr>
        <w:spacing w:before="181" w:line="466" w:lineRule="exact"/>
        <w:ind w:left="1165"/>
        <w:outlineLvl w:val="9"/>
        <w:rPr>
          <w:rFonts w:hint="eastAsia" w:ascii="宋体" w:hAnsi="宋体" w:eastAsia="宋体" w:cs="宋体"/>
          <w:color w:val="auto"/>
          <w:sz w:val="24"/>
          <w:szCs w:val="24"/>
          <w:highlight w:val="none"/>
        </w:rPr>
      </w:pPr>
      <w:r>
        <w:rPr>
          <w:rFonts w:hint="eastAsia" w:ascii="宋体" w:hAnsi="宋体" w:eastAsia="宋体" w:cs="宋体"/>
          <w:color w:val="auto"/>
          <w:position w:val="17"/>
          <w:sz w:val="24"/>
          <w:szCs w:val="24"/>
          <w:highlight w:val="none"/>
          <w14:textOutline w14:w="4358" w14:cap="sq" w14:cmpd="sng">
            <w14:solidFill>
              <w14:srgbClr w14:val="000000"/>
            </w14:solidFill>
            <w14:prstDash w14:val="solid"/>
            <w14:bevel/>
          </w14:textOutline>
        </w:rPr>
        <w:t>省级以上监狱管理局、戒毒管理局（含新疆生产建设兵团）出具的</w:t>
      </w:r>
    </w:p>
    <w:p w14:paraId="421A7906">
      <w:pPr>
        <w:spacing w:line="220" w:lineRule="auto"/>
        <w:ind w:left="3333"/>
        <w:outlineLvl w:val="0"/>
        <w:rPr>
          <w:rFonts w:hint="eastAsia" w:ascii="宋体" w:hAnsi="宋体" w:eastAsia="宋体" w:cs="宋体"/>
          <w:color w:val="auto"/>
          <w:sz w:val="24"/>
          <w:szCs w:val="24"/>
          <w:highlight w:val="none"/>
        </w:rPr>
      </w:pPr>
      <w:bookmarkStart w:id="81" w:name="_Toc15465"/>
      <w:bookmarkStart w:id="82" w:name="_Toc18630"/>
      <w:bookmarkStart w:id="83" w:name="_Toc897"/>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属于监狱企业的证明文件</w:t>
      </w:r>
      <w:bookmarkEnd w:id="81"/>
      <w:bookmarkEnd w:id="82"/>
      <w:bookmarkEnd w:id="83"/>
    </w:p>
    <w:p w14:paraId="3F8344C1">
      <w:pPr>
        <w:spacing w:before="182" w:line="219" w:lineRule="auto"/>
        <w:ind w:left="370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（如果是，提供）</w:t>
      </w:r>
    </w:p>
    <w:p w14:paraId="2C466E96">
      <w:pPr>
        <w:outlineLvl w:val="9"/>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br w:type="page"/>
      </w:r>
    </w:p>
    <w:p w14:paraId="6EA03481">
      <w:pPr>
        <w:spacing w:before="48" w:line="220" w:lineRule="auto"/>
        <w:outlineLvl w:val="9"/>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格式十：类似业绩一览表</w:t>
      </w:r>
    </w:p>
    <w:p w14:paraId="2088E87C">
      <w:pPr>
        <w:spacing w:before="48" w:line="220" w:lineRule="auto"/>
        <w:outlineLvl w:val="9"/>
        <w:rPr>
          <w:rFonts w:hint="eastAsia" w:ascii="宋体" w:hAnsi="宋体" w:eastAsia="宋体" w:cs="宋体"/>
          <w:color w:val="auto"/>
          <w:sz w:val="24"/>
          <w:szCs w:val="24"/>
          <w:highlight w:val="none"/>
        </w:rPr>
      </w:pPr>
    </w:p>
    <w:tbl>
      <w:tblPr>
        <w:tblStyle w:val="25"/>
        <w:tblW w:w="929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840"/>
        <w:gridCol w:w="1412"/>
        <w:gridCol w:w="1663"/>
        <w:gridCol w:w="1562"/>
        <w:gridCol w:w="1590"/>
        <w:gridCol w:w="669"/>
      </w:tblGrid>
      <w:tr w14:paraId="64688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60" w:type="dxa"/>
            <w:noWrap w:val="0"/>
            <w:textDirection w:val="tbRlV"/>
            <w:vAlign w:val="center"/>
          </w:tcPr>
          <w:p w14:paraId="20B6EAC1">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40" w:type="dxa"/>
            <w:noWrap w:val="0"/>
            <w:vAlign w:val="center"/>
          </w:tcPr>
          <w:p w14:paraId="24C8A7FA">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12" w:type="dxa"/>
            <w:noWrap w:val="0"/>
            <w:vAlign w:val="center"/>
          </w:tcPr>
          <w:p w14:paraId="3948BE0C">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663" w:type="dxa"/>
            <w:noWrap w:val="0"/>
            <w:vAlign w:val="center"/>
          </w:tcPr>
          <w:p w14:paraId="1462AB1B">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rPr>
              <w:t>金额</w:t>
            </w:r>
          </w:p>
        </w:tc>
        <w:tc>
          <w:tcPr>
            <w:tcW w:w="1562" w:type="dxa"/>
            <w:noWrap w:val="0"/>
            <w:vAlign w:val="center"/>
          </w:tcPr>
          <w:p w14:paraId="548FEC20">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w:t>
            </w:r>
          </w:p>
        </w:tc>
        <w:tc>
          <w:tcPr>
            <w:tcW w:w="1590" w:type="dxa"/>
            <w:noWrap w:val="0"/>
            <w:vAlign w:val="center"/>
          </w:tcPr>
          <w:p w14:paraId="042C9B3E">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委托事项</w:t>
            </w:r>
          </w:p>
        </w:tc>
        <w:tc>
          <w:tcPr>
            <w:tcW w:w="669" w:type="dxa"/>
            <w:noWrap w:val="0"/>
            <w:vAlign w:val="center"/>
          </w:tcPr>
          <w:p w14:paraId="5FCFBEC1">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87F8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34507CE9">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0" w:type="dxa"/>
            <w:noWrap w:val="0"/>
            <w:vAlign w:val="center"/>
          </w:tcPr>
          <w:p w14:paraId="3738E420">
            <w:pPr>
              <w:bidi w:val="0"/>
              <w:jc w:val="center"/>
              <w:rPr>
                <w:rFonts w:hint="eastAsia" w:ascii="宋体" w:hAnsi="宋体" w:eastAsia="宋体" w:cs="宋体"/>
                <w:color w:val="auto"/>
                <w:sz w:val="24"/>
                <w:szCs w:val="24"/>
                <w:highlight w:val="none"/>
              </w:rPr>
            </w:pPr>
          </w:p>
        </w:tc>
        <w:tc>
          <w:tcPr>
            <w:tcW w:w="1412" w:type="dxa"/>
            <w:noWrap w:val="0"/>
            <w:vAlign w:val="center"/>
          </w:tcPr>
          <w:p w14:paraId="3FA1A485">
            <w:pPr>
              <w:bidi w:val="0"/>
              <w:jc w:val="center"/>
              <w:rPr>
                <w:rFonts w:hint="eastAsia" w:ascii="宋体" w:hAnsi="宋体" w:eastAsia="宋体" w:cs="宋体"/>
                <w:color w:val="auto"/>
                <w:sz w:val="24"/>
                <w:szCs w:val="24"/>
                <w:highlight w:val="none"/>
              </w:rPr>
            </w:pPr>
          </w:p>
        </w:tc>
        <w:tc>
          <w:tcPr>
            <w:tcW w:w="1663" w:type="dxa"/>
            <w:noWrap w:val="0"/>
            <w:vAlign w:val="center"/>
          </w:tcPr>
          <w:p w14:paraId="3516BDB5">
            <w:pPr>
              <w:bidi w:val="0"/>
              <w:jc w:val="center"/>
              <w:rPr>
                <w:rFonts w:hint="eastAsia" w:ascii="宋体" w:hAnsi="宋体" w:eastAsia="宋体" w:cs="宋体"/>
                <w:color w:val="auto"/>
                <w:sz w:val="24"/>
                <w:szCs w:val="24"/>
                <w:highlight w:val="none"/>
              </w:rPr>
            </w:pPr>
          </w:p>
        </w:tc>
        <w:tc>
          <w:tcPr>
            <w:tcW w:w="1562" w:type="dxa"/>
            <w:noWrap w:val="0"/>
            <w:vAlign w:val="center"/>
          </w:tcPr>
          <w:p w14:paraId="1A55EE30">
            <w:pPr>
              <w:bidi w:val="0"/>
              <w:jc w:val="center"/>
              <w:rPr>
                <w:rFonts w:hint="eastAsia" w:ascii="宋体" w:hAnsi="宋体" w:eastAsia="宋体" w:cs="宋体"/>
                <w:color w:val="auto"/>
                <w:sz w:val="24"/>
                <w:szCs w:val="24"/>
                <w:highlight w:val="none"/>
              </w:rPr>
            </w:pPr>
          </w:p>
        </w:tc>
        <w:tc>
          <w:tcPr>
            <w:tcW w:w="1590" w:type="dxa"/>
            <w:noWrap w:val="0"/>
            <w:vAlign w:val="center"/>
          </w:tcPr>
          <w:p w14:paraId="13EC9784">
            <w:pPr>
              <w:bidi w:val="0"/>
              <w:jc w:val="center"/>
              <w:rPr>
                <w:rFonts w:hint="eastAsia" w:ascii="宋体" w:hAnsi="宋体" w:eastAsia="宋体" w:cs="宋体"/>
                <w:color w:val="auto"/>
                <w:sz w:val="24"/>
                <w:szCs w:val="24"/>
                <w:highlight w:val="none"/>
              </w:rPr>
            </w:pPr>
          </w:p>
        </w:tc>
        <w:tc>
          <w:tcPr>
            <w:tcW w:w="669" w:type="dxa"/>
            <w:noWrap w:val="0"/>
            <w:vAlign w:val="center"/>
          </w:tcPr>
          <w:p w14:paraId="7BB133FA">
            <w:pPr>
              <w:bidi w:val="0"/>
              <w:jc w:val="center"/>
              <w:rPr>
                <w:rFonts w:hint="eastAsia" w:ascii="宋体" w:hAnsi="宋体" w:eastAsia="宋体" w:cs="宋体"/>
                <w:color w:val="auto"/>
                <w:sz w:val="24"/>
                <w:szCs w:val="24"/>
                <w:highlight w:val="none"/>
              </w:rPr>
            </w:pPr>
          </w:p>
        </w:tc>
      </w:tr>
      <w:tr w14:paraId="2BB48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46824077">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0" w:type="dxa"/>
            <w:noWrap w:val="0"/>
            <w:vAlign w:val="center"/>
          </w:tcPr>
          <w:p w14:paraId="20A5996D">
            <w:pPr>
              <w:bidi w:val="0"/>
              <w:jc w:val="center"/>
              <w:rPr>
                <w:rFonts w:hint="eastAsia" w:ascii="宋体" w:hAnsi="宋体" w:eastAsia="宋体" w:cs="宋体"/>
                <w:color w:val="auto"/>
                <w:sz w:val="24"/>
                <w:szCs w:val="24"/>
                <w:highlight w:val="none"/>
              </w:rPr>
            </w:pPr>
          </w:p>
        </w:tc>
        <w:tc>
          <w:tcPr>
            <w:tcW w:w="1412" w:type="dxa"/>
            <w:noWrap w:val="0"/>
            <w:vAlign w:val="center"/>
          </w:tcPr>
          <w:p w14:paraId="2150B3A8">
            <w:pPr>
              <w:bidi w:val="0"/>
              <w:jc w:val="center"/>
              <w:rPr>
                <w:rFonts w:hint="eastAsia" w:ascii="宋体" w:hAnsi="宋体" w:eastAsia="宋体" w:cs="宋体"/>
                <w:color w:val="auto"/>
                <w:sz w:val="24"/>
                <w:szCs w:val="24"/>
                <w:highlight w:val="none"/>
              </w:rPr>
            </w:pPr>
          </w:p>
        </w:tc>
        <w:tc>
          <w:tcPr>
            <w:tcW w:w="1663" w:type="dxa"/>
            <w:noWrap w:val="0"/>
            <w:vAlign w:val="center"/>
          </w:tcPr>
          <w:p w14:paraId="588B48F9">
            <w:pPr>
              <w:bidi w:val="0"/>
              <w:jc w:val="center"/>
              <w:rPr>
                <w:rFonts w:hint="eastAsia" w:ascii="宋体" w:hAnsi="宋体" w:eastAsia="宋体" w:cs="宋体"/>
                <w:color w:val="auto"/>
                <w:sz w:val="24"/>
                <w:szCs w:val="24"/>
                <w:highlight w:val="none"/>
              </w:rPr>
            </w:pPr>
          </w:p>
        </w:tc>
        <w:tc>
          <w:tcPr>
            <w:tcW w:w="1562" w:type="dxa"/>
            <w:noWrap w:val="0"/>
            <w:vAlign w:val="center"/>
          </w:tcPr>
          <w:p w14:paraId="0F69E284">
            <w:pPr>
              <w:bidi w:val="0"/>
              <w:jc w:val="center"/>
              <w:rPr>
                <w:rFonts w:hint="eastAsia" w:ascii="宋体" w:hAnsi="宋体" w:eastAsia="宋体" w:cs="宋体"/>
                <w:color w:val="auto"/>
                <w:sz w:val="24"/>
                <w:szCs w:val="24"/>
                <w:highlight w:val="none"/>
              </w:rPr>
            </w:pPr>
          </w:p>
        </w:tc>
        <w:tc>
          <w:tcPr>
            <w:tcW w:w="1590" w:type="dxa"/>
            <w:noWrap w:val="0"/>
            <w:vAlign w:val="center"/>
          </w:tcPr>
          <w:p w14:paraId="4C80395F">
            <w:pPr>
              <w:bidi w:val="0"/>
              <w:jc w:val="center"/>
              <w:rPr>
                <w:rFonts w:hint="eastAsia" w:ascii="宋体" w:hAnsi="宋体" w:eastAsia="宋体" w:cs="宋体"/>
                <w:color w:val="auto"/>
                <w:sz w:val="24"/>
                <w:szCs w:val="24"/>
                <w:highlight w:val="none"/>
              </w:rPr>
            </w:pPr>
          </w:p>
        </w:tc>
        <w:tc>
          <w:tcPr>
            <w:tcW w:w="669" w:type="dxa"/>
            <w:noWrap w:val="0"/>
            <w:vAlign w:val="center"/>
          </w:tcPr>
          <w:p w14:paraId="348736CD">
            <w:pPr>
              <w:bidi w:val="0"/>
              <w:jc w:val="center"/>
              <w:rPr>
                <w:rFonts w:hint="eastAsia" w:ascii="宋体" w:hAnsi="宋体" w:eastAsia="宋体" w:cs="宋体"/>
                <w:color w:val="auto"/>
                <w:sz w:val="24"/>
                <w:szCs w:val="24"/>
                <w:highlight w:val="none"/>
              </w:rPr>
            </w:pPr>
          </w:p>
        </w:tc>
      </w:tr>
      <w:tr w14:paraId="5DD1C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6AB9EE42">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0" w:type="dxa"/>
            <w:noWrap w:val="0"/>
            <w:vAlign w:val="center"/>
          </w:tcPr>
          <w:p w14:paraId="5793F287">
            <w:pPr>
              <w:bidi w:val="0"/>
              <w:jc w:val="center"/>
              <w:rPr>
                <w:rFonts w:hint="eastAsia" w:ascii="宋体" w:hAnsi="宋体" w:eastAsia="宋体" w:cs="宋体"/>
                <w:color w:val="auto"/>
                <w:sz w:val="24"/>
                <w:szCs w:val="24"/>
                <w:highlight w:val="none"/>
              </w:rPr>
            </w:pPr>
          </w:p>
        </w:tc>
        <w:tc>
          <w:tcPr>
            <w:tcW w:w="1412" w:type="dxa"/>
            <w:noWrap w:val="0"/>
            <w:vAlign w:val="center"/>
          </w:tcPr>
          <w:p w14:paraId="18920F58">
            <w:pPr>
              <w:bidi w:val="0"/>
              <w:jc w:val="center"/>
              <w:rPr>
                <w:rFonts w:hint="eastAsia" w:ascii="宋体" w:hAnsi="宋体" w:eastAsia="宋体" w:cs="宋体"/>
                <w:color w:val="auto"/>
                <w:sz w:val="24"/>
                <w:szCs w:val="24"/>
                <w:highlight w:val="none"/>
              </w:rPr>
            </w:pPr>
          </w:p>
        </w:tc>
        <w:tc>
          <w:tcPr>
            <w:tcW w:w="1663" w:type="dxa"/>
            <w:noWrap w:val="0"/>
            <w:vAlign w:val="center"/>
          </w:tcPr>
          <w:p w14:paraId="19B15F0E">
            <w:pPr>
              <w:bidi w:val="0"/>
              <w:jc w:val="center"/>
              <w:rPr>
                <w:rFonts w:hint="eastAsia" w:ascii="宋体" w:hAnsi="宋体" w:eastAsia="宋体" w:cs="宋体"/>
                <w:color w:val="auto"/>
                <w:sz w:val="24"/>
                <w:szCs w:val="24"/>
                <w:highlight w:val="none"/>
              </w:rPr>
            </w:pPr>
          </w:p>
        </w:tc>
        <w:tc>
          <w:tcPr>
            <w:tcW w:w="1562" w:type="dxa"/>
            <w:noWrap w:val="0"/>
            <w:vAlign w:val="center"/>
          </w:tcPr>
          <w:p w14:paraId="0346E945">
            <w:pPr>
              <w:bidi w:val="0"/>
              <w:jc w:val="center"/>
              <w:rPr>
                <w:rFonts w:hint="eastAsia" w:ascii="宋体" w:hAnsi="宋体" w:eastAsia="宋体" w:cs="宋体"/>
                <w:color w:val="auto"/>
                <w:sz w:val="24"/>
                <w:szCs w:val="24"/>
                <w:highlight w:val="none"/>
              </w:rPr>
            </w:pPr>
          </w:p>
        </w:tc>
        <w:tc>
          <w:tcPr>
            <w:tcW w:w="1590" w:type="dxa"/>
            <w:noWrap w:val="0"/>
            <w:vAlign w:val="center"/>
          </w:tcPr>
          <w:p w14:paraId="339AADC7">
            <w:pPr>
              <w:bidi w:val="0"/>
              <w:jc w:val="center"/>
              <w:rPr>
                <w:rFonts w:hint="eastAsia" w:ascii="宋体" w:hAnsi="宋体" w:eastAsia="宋体" w:cs="宋体"/>
                <w:color w:val="auto"/>
                <w:sz w:val="24"/>
                <w:szCs w:val="24"/>
                <w:highlight w:val="none"/>
              </w:rPr>
            </w:pPr>
          </w:p>
        </w:tc>
        <w:tc>
          <w:tcPr>
            <w:tcW w:w="669" w:type="dxa"/>
            <w:noWrap w:val="0"/>
            <w:vAlign w:val="center"/>
          </w:tcPr>
          <w:p w14:paraId="344D4CB3">
            <w:pPr>
              <w:bidi w:val="0"/>
              <w:jc w:val="center"/>
              <w:rPr>
                <w:rFonts w:hint="eastAsia" w:ascii="宋体" w:hAnsi="宋体" w:eastAsia="宋体" w:cs="宋体"/>
                <w:color w:val="auto"/>
                <w:sz w:val="24"/>
                <w:szCs w:val="24"/>
                <w:highlight w:val="none"/>
              </w:rPr>
            </w:pPr>
          </w:p>
        </w:tc>
      </w:tr>
      <w:tr w14:paraId="05E5D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42C3C1B6">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0" w:type="dxa"/>
            <w:noWrap w:val="0"/>
            <w:vAlign w:val="center"/>
          </w:tcPr>
          <w:p w14:paraId="15679079">
            <w:pPr>
              <w:bidi w:val="0"/>
              <w:jc w:val="center"/>
              <w:rPr>
                <w:rFonts w:hint="eastAsia" w:ascii="宋体" w:hAnsi="宋体" w:eastAsia="宋体" w:cs="宋体"/>
                <w:color w:val="auto"/>
                <w:sz w:val="24"/>
                <w:szCs w:val="24"/>
                <w:highlight w:val="none"/>
              </w:rPr>
            </w:pPr>
          </w:p>
        </w:tc>
        <w:tc>
          <w:tcPr>
            <w:tcW w:w="1412" w:type="dxa"/>
            <w:noWrap w:val="0"/>
            <w:vAlign w:val="center"/>
          </w:tcPr>
          <w:p w14:paraId="3B6FE5DB">
            <w:pPr>
              <w:bidi w:val="0"/>
              <w:jc w:val="center"/>
              <w:rPr>
                <w:rFonts w:hint="eastAsia" w:ascii="宋体" w:hAnsi="宋体" w:eastAsia="宋体" w:cs="宋体"/>
                <w:color w:val="auto"/>
                <w:sz w:val="24"/>
                <w:szCs w:val="24"/>
                <w:highlight w:val="none"/>
              </w:rPr>
            </w:pPr>
          </w:p>
        </w:tc>
        <w:tc>
          <w:tcPr>
            <w:tcW w:w="1663" w:type="dxa"/>
            <w:noWrap w:val="0"/>
            <w:vAlign w:val="center"/>
          </w:tcPr>
          <w:p w14:paraId="1F4556DE">
            <w:pPr>
              <w:bidi w:val="0"/>
              <w:jc w:val="center"/>
              <w:rPr>
                <w:rFonts w:hint="eastAsia" w:ascii="宋体" w:hAnsi="宋体" w:eastAsia="宋体" w:cs="宋体"/>
                <w:color w:val="auto"/>
                <w:sz w:val="24"/>
                <w:szCs w:val="24"/>
                <w:highlight w:val="none"/>
              </w:rPr>
            </w:pPr>
          </w:p>
        </w:tc>
        <w:tc>
          <w:tcPr>
            <w:tcW w:w="1562" w:type="dxa"/>
            <w:noWrap w:val="0"/>
            <w:vAlign w:val="center"/>
          </w:tcPr>
          <w:p w14:paraId="41101987">
            <w:pPr>
              <w:bidi w:val="0"/>
              <w:jc w:val="center"/>
              <w:rPr>
                <w:rFonts w:hint="eastAsia" w:ascii="宋体" w:hAnsi="宋体" w:eastAsia="宋体" w:cs="宋体"/>
                <w:color w:val="auto"/>
                <w:sz w:val="24"/>
                <w:szCs w:val="24"/>
                <w:highlight w:val="none"/>
              </w:rPr>
            </w:pPr>
          </w:p>
        </w:tc>
        <w:tc>
          <w:tcPr>
            <w:tcW w:w="1590" w:type="dxa"/>
            <w:noWrap w:val="0"/>
            <w:vAlign w:val="center"/>
          </w:tcPr>
          <w:p w14:paraId="75DA74B6">
            <w:pPr>
              <w:bidi w:val="0"/>
              <w:jc w:val="center"/>
              <w:rPr>
                <w:rFonts w:hint="eastAsia" w:ascii="宋体" w:hAnsi="宋体" w:eastAsia="宋体" w:cs="宋体"/>
                <w:color w:val="auto"/>
                <w:sz w:val="24"/>
                <w:szCs w:val="24"/>
                <w:highlight w:val="none"/>
              </w:rPr>
            </w:pPr>
          </w:p>
        </w:tc>
        <w:tc>
          <w:tcPr>
            <w:tcW w:w="669" w:type="dxa"/>
            <w:noWrap w:val="0"/>
            <w:vAlign w:val="center"/>
          </w:tcPr>
          <w:p w14:paraId="0722534D">
            <w:pPr>
              <w:bidi w:val="0"/>
              <w:jc w:val="center"/>
              <w:rPr>
                <w:rFonts w:hint="eastAsia" w:ascii="宋体" w:hAnsi="宋体" w:eastAsia="宋体" w:cs="宋体"/>
                <w:color w:val="auto"/>
                <w:sz w:val="24"/>
                <w:szCs w:val="24"/>
                <w:highlight w:val="none"/>
              </w:rPr>
            </w:pPr>
          </w:p>
        </w:tc>
      </w:tr>
      <w:tr w14:paraId="569A1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4382FB08">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0" w:type="dxa"/>
            <w:noWrap w:val="0"/>
            <w:vAlign w:val="center"/>
          </w:tcPr>
          <w:p w14:paraId="5F2645FA">
            <w:pPr>
              <w:bidi w:val="0"/>
              <w:jc w:val="center"/>
              <w:rPr>
                <w:rFonts w:hint="eastAsia" w:ascii="宋体" w:hAnsi="宋体" w:eastAsia="宋体" w:cs="宋体"/>
                <w:color w:val="auto"/>
                <w:sz w:val="24"/>
                <w:szCs w:val="24"/>
                <w:highlight w:val="none"/>
              </w:rPr>
            </w:pPr>
          </w:p>
        </w:tc>
        <w:tc>
          <w:tcPr>
            <w:tcW w:w="1412" w:type="dxa"/>
            <w:noWrap w:val="0"/>
            <w:vAlign w:val="center"/>
          </w:tcPr>
          <w:p w14:paraId="4EB9E74D">
            <w:pPr>
              <w:bidi w:val="0"/>
              <w:jc w:val="center"/>
              <w:rPr>
                <w:rFonts w:hint="eastAsia" w:ascii="宋体" w:hAnsi="宋体" w:eastAsia="宋体" w:cs="宋体"/>
                <w:color w:val="auto"/>
                <w:sz w:val="24"/>
                <w:szCs w:val="24"/>
                <w:highlight w:val="none"/>
              </w:rPr>
            </w:pPr>
          </w:p>
        </w:tc>
        <w:tc>
          <w:tcPr>
            <w:tcW w:w="1663" w:type="dxa"/>
            <w:noWrap w:val="0"/>
            <w:vAlign w:val="center"/>
          </w:tcPr>
          <w:p w14:paraId="76D30DCC">
            <w:pPr>
              <w:bidi w:val="0"/>
              <w:jc w:val="center"/>
              <w:rPr>
                <w:rFonts w:hint="eastAsia" w:ascii="宋体" w:hAnsi="宋体" w:eastAsia="宋体" w:cs="宋体"/>
                <w:color w:val="auto"/>
                <w:sz w:val="24"/>
                <w:szCs w:val="24"/>
                <w:highlight w:val="none"/>
              </w:rPr>
            </w:pPr>
          </w:p>
        </w:tc>
        <w:tc>
          <w:tcPr>
            <w:tcW w:w="1562" w:type="dxa"/>
            <w:noWrap w:val="0"/>
            <w:vAlign w:val="center"/>
          </w:tcPr>
          <w:p w14:paraId="01F43C23">
            <w:pPr>
              <w:bidi w:val="0"/>
              <w:jc w:val="center"/>
              <w:rPr>
                <w:rFonts w:hint="eastAsia" w:ascii="宋体" w:hAnsi="宋体" w:eastAsia="宋体" w:cs="宋体"/>
                <w:color w:val="auto"/>
                <w:sz w:val="24"/>
                <w:szCs w:val="24"/>
                <w:highlight w:val="none"/>
              </w:rPr>
            </w:pPr>
          </w:p>
        </w:tc>
        <w:tc>
          <w:tcPr>
            <w:tcW w:w="1590" w:type="dxa"/>
            <w:noWrap w:val="0"/>
            <w:vAlign w:val="center"/>
          </w:tcPr>
          <w:p w14:paraId="2C0D56A2">
            <w:pPr>
              <w:bidi w:val="0"/>
              <w:jc w:val="center"/>
              <w:rPr>
                <w:rFonts w:hint="eastAsia" w:ascii="宋体" w:hAnsi="宋体" w:eastAsia="宋体" w:cs="宋体"/>
                <w:color w:val="auto"/>
                <w:sz w:val="24"/>
                <w:szCs w:val="24"/>
                <w:highlight w:val="none"/>
              </w:rPr>
            </w:pPr>
          </w:p>
        </w:tc>
        <w:tc>
          <w:tcPr>
            <w:tcW w:w="669" w:type="dxa"/>
            <w:noWrap w:val="0"/>
            <w:vAlign w:val="center"/>
          </w:tcPr>
          <w:p w14:paraId="738DFFC4">
            <w:pPr>
              <w:bidi w:val="0"/>
              <w:jc w:val="center"/>
              <w:rPr>
                <w:rFonts w:hint="eastAsia" w:ascii="宋体" w:hAnsi="宋体" w:eastAsia="宋体" w:cs="宋体"/>
                <w:color w:val="auto"/>
                <w:sz w:val="24"/>
                <w:szCs w:val="24"/>
                <w:highlight w:val="none"/>
              </w:rPr>
            </w:pPr>
          </w:p>
        </w:tc>
      </w:tr>
      <w:tr w14:paraId="7F297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6A506963">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0" w:type="dxa"/>
            <w:noWrap w:val="0"/>
            <w:vAlign w:val="center"/>
          </w:tcPr>
          <w:p w14:paraId="5095C3C0">
            <w:pPr>
              <w:bidi w:val="0"/>
              <w:jc w:val="center"/>
              <w:rPr>
                <w:rFonts w:hint="eastAsia" w:ascii="宋体" w:hAnsi="宋体" w:eastAsia="宋体" w:cs="宋体"/>
                <w:color w:val="auto"/>
                <w:sz w:val="24"/>
                <w:szCs w:val="24"/>
                <w:highlight w:val="none"/>
              </w:rPr>
            </w:pPr>
          </w:p>
        </w:tc>
        <w:tc>
          <w:tcPr>
            <w:tcW w:w="1412" w:type="dxa"/>
            <w:noWrap w:val="0"/>
            <w:vAlign w:val="center"/>
          </w:tcPr>
          <w:p w14:paraId="1D6CFE0D">
            <w:pPr>
              <w:bidi w:val="0"/>
              <w:jc w:val="center"/>
              <w:rPr>
                <w:rFonts w:hint="eastAsia" w:ascii="宋体" w:hAnsi="宋体" w:eastAsia="宋体" w:cs="宋体"/>
                <w:color w:val="auto"/>
                <w:sz w:val="24"/>
                <w:szCs w:val="24"/>
                <w:highlight w:val="none"/>
              </w:rPr>
            </w:pPr>
          </w:p>
        </w:tc>
        <w:tc>
          <w:tcPr>
            <w:tcW w:w="1663" w:type="dxa"/>
            <w:noWrap w:val="0"/>
            <w:vAlign w:val="center"/>
          </w:tcPr>
          <w:p w14:paraId="0145AC7B">
            <w:pPr>
              <w:bidi w:val="0"/>
              <w:jc w:val="center"/>
              <w:rPr>
                <w:rFonts w:hint="eastAsia" w:ascii="宋体" w:hAnsi="宋体" w:eastAsia="宋体" w:cs="宋体"/>
                <w:color w:val="auto"/>
                <w:sz w:val="24"/>
                <w:szCs w:val="24"/>
                <w:highlight w:val="none"/>
              </w:rPr>
            </w:pPr>
          </w:p>
        </w:tc>
        <w:tc>
          <w:tcPr>
            <w:tcW w:w="1562" w:type="dxa"/>
            <w:noWrap w:val="0"/>
            <w:vAlign w:val="center"/>
          </w:tcPr>
          <w:p w14:paraId="11EA16B9">
            <w:pPr>
              <w:bidi w:val="0"/>
              <w:jc w:val="center"/>
              <w:rPr>
                <w:rFonts w:hint="eastAsia" w:ascii="宋体" w:hAnsi="宋体" w:eastAsia="宋体" w:cs="宋体"/>
                <w:color w:val="auto"/>
                <w:sz w:val="24"/>
                <w:szCs w:val="24"/>
                <w:highlight w:val="none"/>
              </w:rPr>
            </w:pPr>
          </w:p>
        </w:tc>
        <w:tc>
          <w:tcPr>
            <w:tcW w:w="1590" w:type="dxa"/>
            <w:noWrap w:val="0"/>
            <w:vAlign w:val="center"/>
          </w:tcPr>
          <w:p w14:paraId="46E75418">
            <w:pPr>
              <w:bidi w:val="0"/>
              <w:jc w:val="center"/>
              <w:rPr>
                <w:rFonts w:hint="eastAsia" w:ascii="宋体" w:hAnsi="宋体" w:eastAsia="宋体" w:cs="宋体"/>
                <w:color w:val="auto"/>
                <w:sz w:val="24"/>
                <w:szCs w:val="24"/>
                <w:highlight w:val="none"/>
              </w:rPr>
            </w:pPr>
          </w:p>
        </w:tc>
        <w:tc>
          <w:tcPr>
            <w:tcW w:w="669" w:type="dxa"/>
            <w:noWrap w:val="0"/>
            <w:vAlign w:val="center"/>
          </w:tcPr>
          <w:p w14:paraId="47CB7286">
            <w:pPr>
              <w:bidi w:val="0"/>
              <w:jc w:val="center"/>
              <w:rPr>
                <w:rFonts w:hint="eastAsia" w:ascii="宋体" w:hAnsi="宋体" w:eastAsia="宋体" w:cs="宋体"/>
                <w:color w:val="auto"/>
                <w:sz w:val="24"/>
                <w:szCs w:val="24"/>
                <w:highlight w:val="none"/>
              </w:rPr>
            </w:pPr>
          </w:p>
        </w:tc>
      </w:tr>
      <w:tr w14:paraId="3A01C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482EA930">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0" w:type="dxa"/>
            <w:noWrap w:val="0"/>
            <w:vAlign w:val="center"/>
          </w:tcPr>
          <w:p w14:paraId="3420240C">
            <w:pPr>
              <w:bidi w:val="0"/>
              <w:jc w:val="center"/>
              <w:rPr>
                <w:rFonts w:hint="eastAsia" w:ascii="宋体" w:hAnsi="宋体" w:eastAsia="宋体" w:cs="宋体"/>
                <w:color w:val="auto"/>
                <w:sz w:val="24"/>
                <w:szCs w:val="24"/>
                <w:highlight w:val="none"/>
              </w:rPr>
            </w:pPr>
          </w:p>
        </w:tc>
        <w:tc>
          <w:tcPr>
            <w:tcW w:w="1412" w:type="dxa"/>
            <w:noWrap w:val="0"/>
            <w:vAlign w:val="center"/>
          </w:tcPr>
          <w:p w14:paraId="04C938E2">
            <w:pPr>
              <w:bidi w:val="0"/>
              <w:jc w:val="center"/>
              <w:rPr>
                <w:rFonts w:hint="eastAsia" w:ascii="宋体" w:hAnsi="宋体" w:eastAsia="宋体" w:cs="宋体"/>
                <w:color w:val="auto"/>
                <w:sz w:val="24"/>
                <w:szCs w:val="24"/>
                <w:highlight w:val="none"/>
              </w:rPr>
            </w:pPr>
          </w:p>
        </w:tc>
        <w:tc>
          <w:tcPr>
            <w:tcW w:w="1663" w:type="dxa"/>
            <w:noWrap w:val="0"/>
            <w:vAlign w:val="center"/>
          </w:tcPr>
          <w:p w14:paraId="2168DAA4">
            <w:pPr>
              <w:bidi w:val="0"/>
              <w:jc w:val="center"/>
              <w:rPr>
                <w:rFonts w:hint="eastAsia" w:ascii="宋体" w:hAnsi="宋体" w:eastAsia="宋体" w:cs="宋体"/>
                <w:color w:val="auto"/>
                <w:sz w:val="24"/>
                <w:szCs w:val="24"/>
                <w:highlight w:val="none"/>
              </w:rPr>
            </w:pPr>
          </w:p>
        </w:tc>
        <w:tc>
          <w:tcPr>
            <w:tcW w:w="1562" w:type="dxa"/>
            <w:noWrap w:val="0"/>
            <w:vAlign w:val="center"/>
          </w:tcPr>
          <w:p w14:paraId="27FDEBFE">
            <w:pPr>
              <w:bidi w:val="0"/>
              <w:jc w:val="center"/>
              <w:rPr>
                <w:rFonts w:hint="eastAsia" w:ascii="宋体" w:hAnsi="宋体" w:eastAsia="宋体" w:cs="宋体"/>
                <w:color w:val="auto"/>
                <w:sz w:val="24"/>
                <w:szCs w:val="24"/>
                <w:highlight w:val="none"/>
              </w:rPr>
            </w:pPr>
          </w:p>
        </w:tc>
        <w:tc>
          <w:tcPr>
            <w:tcW w:w="1590" w:type="dxa"/>
            <w:noWrap w:val="0"/>
            <w:vAlign w:val="center"/>
          </w:tcPr>
          <w:p w14:paraId="179C0252">
            <w:pPr>
              <w:bidi w:val="0"/>
              <w:jc w:val="center"/>
              <w:rPr>
                <w:rFonts w:hint="eastAsia" w:ascii="宋体" w:hAnsi="宋体" w:eastAsia="宋体" w:cs="宋体"/>
                <w:color w:val="auto"/>
                <w:sz w:val="24"/>
                <w:szCs w:val="24"/>
                <w:highlight w:val="none"/>
              </w:rPr>
            </w:pPr>
          </w:p>
        </w:tc>
        <w:tc>
          <w:tcPr>
            <w:tcW w:w="669" w:type="dxa"/>
            <w:noWrap w:val="0"/>
            <w:vAlign w:val="center"/>
          </w:tcPr>
          <w:p w14:paraId="74013F7B">
            <w:pPr>
              <w:bidi w:val="0"/>
              <w:jc w:val="center"/>
              <w:rPr>
                <w:rFonts w:hint="eastAsia" w:ascii="宋体" w:hAnsi="宋体" w:eastAsia="宋体" w:cs="宋体"/>
                <w:color w:val="auto"/>
                <w:sz w:val="24"/>
                <w:szCs w:val="24"/>
                <w:highlight w:val="none"/>
              </w:rPr>
            </w:pPr>
          </w:p>
        </w:tc>
      </w:tr>
      <w:tr w14:paraId="19681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14484EC4">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0" w:type="dxa"/>
            <w:noWrap w:val="0"/>
            <w:vAlign w:val="center"/>
          </w:tcPr>
          <w:p w14:paraId="353BCD7F">
            <w:pPr>
              <w:bidi w:val="0"/>
              <w:jc w:val="center"/>
              <w:rPr>
                <w:rFonts w:hint="eastAsia" w:ascii="宋体" w:hAnsi="宋体" w:eastAsia="宋体" w:cs="宋体"/>
                <w:color w:val="auto"/>
                <w:sz w:val="24"/>
                <w:szCs w:val="24"/>
                <w:highlight w:val="none"/>
              </w:rPr>
            </w:pPr>
          </w:p>
        </w:tc>
        <w:tc>
          <w:tcPr>
            <w:tcW w:w="1412" w:type="dxa"/>
            <w:noWrap w:val="0"/>
            <w:vAlign w:val="center"/>
          </w:tcPr>
          <w:p w14:paraId="1781988D">
            <w:pPr>
              <w:bidi w:val="0"/>
              <w:jc w:val="center"/>
              <w:rPr>
                <w:rFonts w:hint="eastAsia" w:ascii="宋体" w:hAnsi="宋体" w:eastAsia="宋体" w:cs="宋体"/>
                <w:color w:val="auto"/>
                <w:sz w:val="24"/>
                <w:szCs w:val="24"/>
                <w:highlight w:val="none"/>
              </w:rPr>
            </w:pPr>
          </w:p>
        </w:tc>
        <w:tc>
          <w:tcPr>
            <w:tcW w:w="1663" w:type="dxa"/>
            <w:noWrap w:val="0"/>
            <w:vAlign w:val="center"/>
          </w:tcPr>
          <w:p w14:paraId="06A97486">
            <w:pPr>
              <w:bidi w:val="0"/>
              <w:jc w:val="center"/>
              <w:rPr>
                <w:rFonts w:hint="eastAsia" w:ascii="宋体" w:hAnsi="宋体" w:eastAsia="宋体" w:cs="宋体"/>
                <w:color w:val="auto"/>
                <w:sz w:val="24"/>
                <w:szCs w:val="24"/>
                <w:highlight w:val="none"/>
              </w:rPr>
            </w:pPr>
          </w:p>
        </w:tc>
        <w:tc>
          <w:tcPr>
            <w:tcW w:w="1562" w:type="dxa"/>
            <w:noWrap w:val="0"/>
            <w:vAlign w:val="center"/>
          </w:tcPr>
          <w:p w14:paraId="52B9503F">
            <w:pPr>
              <w:bidi w:val="0"/>
              <w:jc w:val="center"/>
              <w:rPr>
                <w:rFonts w:hint="eastAsia" w:ascii="宋体" w:hAnsi="宋体" w:eastAsia="宋体" w:cs="宋体"/>
                <w:color w:val="auto"/>
                <w:sz w:val="24"/>
                <w:szCs w:val="24"/>
                <w:highlight w:val="none"/>
              </w:rPr>
            </w:pPr>
          </w:p>
        </w:tc>
        <w:tc>
          <w:tcPr>
            <w:tcW w:w="1590" w:type="dxa"/>
            <w:noWrap w:val="0"/>
            <w:vAlign w:val="center"/>
          </w:tcPr>
          <w:p w14:paraId="3F00804A">
            <w:pPr>
              <w:bidi w:val="0"/>
              <w:jc w:val="center"/>
              <w:rPr>
                <w:rFonts w:hint="eastAsia" w:ascii="宋体" w:hAnsi="宋体" w:eastAsia="宋体" w:cs="宋体"/>
                <w:color w:val="auto"/>
                <w:sz w:val="24"/>
                <w:szCs w:val="24"/>
                <w:highlight w:val="none"/>
              </w:rPr>
            </w:pPr>
          </w:p>
        </w:tc>
        <w:tc>
          <w:tcPr>
            <w:tcW w:w="669" w:type="dxa"/>
            <w:noWrap w:val="0"/>
            <w:vAlign w:val="center"/>
          </w:tcPr>
          <w:p w14:paraId="4E42BD84">
            <w:pPr>
              <w:bidi w:val="0"/>
              <w:jc w:val="center"/>
              <w:rPr>
                <w:rFonts w:hint="eastAsia" w:ascii="宋体" w:hAnsi="宋体" w:eastAsia="宋体" w:cs="宋体"/>
                <w:color w:val="auto"/>
                <w:sz w:val="24"/>
                <w:szCs w:val="24"/>
                <w:highlight w:val="none"/>
              </w:rPr>
            </w:pPr>
          </w:p>
        </w:tc>
      </w:tr>
      <w:tr w14:paraId="24AEA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6246E021">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0" w:type="dxa"/>
            <w:noWrap w:val="0"/>
            <w:vAlign w:val="center"/>
          </w:tcPr>
          <w:p w14:paraId="7E6256C5">
            <w:pPr>
              <w:bidi w:val="0"/>
              <w:jc w:val="center"/>
              <w:rPr>
                <w:rFonts w:hint="eastAsia" w:ascii="宋体" w:hAnsi="宋体" w:eastAsia="宋体" w:cs="宋体"/>
                <w:color w:val="auto"/>
                <w:sz w:val="24"/>
                <w:szCs w:val="24"/>
                <w:highlight w:val="none"/>
              </w:rPr>
            </w:pPr>
          </w:p>
        </w:tc>
        <w:tc>
          <w:tcPr>
            <w:tcW w:w="1412" w:type="dxa"/>
            <w:noWrap w:val="0"/>
            <w:vAlign w:val="center"/>
          </w:tcPr>
          <w:p w14:paraId="670D09BF">
            <w:pPr>
              <w:bidi w:val="0"/>
              <w:jc w:val="center"/>
              <w:rPr>
                <w:rFonts w:hint="eastAsia" w:ascii="宋体" w:hAnsi="宋体" w:eastAsia="宋体" w:cs="宋体"/>
                <w:color w:val="auto"/>
                <w:sz w:val="24"/>
                <w:szCs w:val="24"/>
                <w:highlight w:val="none"/>
              </w:rPr>
            </w:pPr>
          </w:p>
        </w:tc>
        <w:tc>
          <w:tcPr>
            <w:tcW w:w="1663" w:type="dxa"/>
            <w:noWrap w:val="0"/>
            <w:vAlign w:val="center"/>
          </w:tcPr>
          <w:p w14:paraId="363AE8F5">
            <w:pPr>
              <w:bidi w:val="0"/>
              <w:jc w:val="center"/>
              <w:rPr>
                <w:rFonts w:hint="eastAsia" w:ascii="宋体" w:hAnsi="宋体" w:eastAsia="宋体" w:cs="宋体"/>
                <w:color w:val="auto"/>
                <w:sz w:val="24"/>
                <w:szCs w:val="24"/>
                <w:highlight w:val="none"/>
              </w:rPr>
            </w:pPr>
          </w:p>
        </w:tc>
        <w:tc>
          <w:tcPr>
            <w:tcW w:w="1562" w:type="dxa"/>
            <w:noWrap w:val="0"/>
            <w:vAlign w:val="center"/>
          </w:tcPr>
          <w:p w14:paraId="76C51474">
            <w:pPr>
              <w:bidi w:val="0"/>
              <w:jc w:val="center"/>
              <w:rPr>
                <w:rFonts w:hint="eastAsia" w:ascii="宋体" w:hAnsi="宋体" w:eastAsia="宋体" w:cs="宋体"/>
                <w:color w:val="auto"/>
                <w:sz w:val="24"/>
                <w:szCs w:val="24"/>
                <w:highlight w:val="none"/>
              </w:rPr>
            </w:pPr>
          </w:p>
        </w:tc>
        <w:tc>
          <w:tcPr>
            <w:tcW w:w="1590" w:type="dxa"/>
            <w:noWrap w:val="0"/>
            <w:vAlign w:val="center"/>
          </w:tcPr>
          <w:p w14:paraId="0FA52684">
            <w:pPr>
              <w:bidi w:val="0"/>
              <w:jc w:val="center"/>
              <w:rPr>
                <w:rFonts w:hint="eastAsia" w:ascii="宋体" w:hAnsi="宋体" w:eastAsia="宋体" w:cs="宋体"/>
                <w:color w:val="auto"/>
                <w:sz w:val="24"/>
                <w:szCs w:val="24"/>
                <w:highlight w:val="none"/>
              </w:rPr>
            </w:pPr>
          </w:p>
        </w:tc>
        <w:tc>
          <w:tcPr>
            <w:tcW w:w="669" w:type="dxa"/>
            <w:noWrap w:val="0"/>
            <w:vAlign w:val="center"/>
          </w:tcPr>
          <w:p w14:paraId="2701F12B">
            <w:pPr>
              <w:bidi w:val="0"/>
              <w:jc w:val="center"/>
              <w:rPr>
                <w:rFonts w:hint="eastAsia" w:ascii="宋体" w:hAnsi="宋体" w:eastAsia="宋体" w:cs="宋体"/>
                <w:color w:val="auto"/>
                <w:sz w:val="24"/>
                <w:szCs w:val="24"/>
                <w:highlight w:val="none"/>
              </w:rPr>
            </w:pPr>
          </w:p>
        </w:tc>
      </w:tr>
      <w:tr w14:paraId="76E44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9" w:hRule="atLeast"/>
        </w:trPr>
        <w:tc>
          <w:tcPr>
            <w:tcW w:w="560" w:type="dxa"/>
            <w:noWrap w:val="0"/>
            <w:vAlign w:val="center"/>
          </w:tcPr>
          <w:p w14:paraId="66D59E12">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0" w:type="dxa"/>
            <w:noWrap w:val="0"/>
            <w:vAlign w:val="center"/>
          </w:tcPr>
          <w:p w14:paraId="31EC4A8B">
            <w:pPr>
              <w:bidi w:val="0"/>
              <w:jc w:val="center"/>
              <w:rPr>
                <w:rFonts w:hint="eastAsia" w:ascii="宋体" w:hAnsi="宋体" w:eastAsia="宋体" w:cs="宋体"/>
                <w:color w:val="auto"/>
                <w:sz w:val="24"/>
                <w:szCs w:val="24"/>
                <w:highlight w:val="none"/>
              </w:rPr>
            </w:pPr>
          </w:p>
        </w:tc>
        <w:tc>
          <w:tcPr>
            <w:tcW w:w="1412" w:type="dxa"/>
            <w:noWrap w:val="0"/>
            <w:vAlign w:val="center"/>
          </w:tcPr>
          <w:p w14:paraId="4F529652">
            <w:pPr>
              <w:bidi w:val="0"/>
              <w:jc w:val="center"/>
              <w:rPr>
                <w:rFonts w:hint="eastAsia" w:ascii="宋体" w:hAnsi="宋体" w:eastAsia="宋体" w:cs="宋体"/>
                <w:color w:val="auto"/>
                <w:sz w:val="24"/>
                <w:szCs w:val="24"/>
                <w:highlight w:val="none"/>
              </w:rPr>
            </w:pPr>
          </w:p>
        </w:tc>
        <w:tc>
          <w:tcPr>
            <w:tcW w:w="1663" w:type="dxa"/>
            <w:noWrap w:val="0"/>
            <w:vAlign w:val="center"/>
          </w:tcPr>
          <w:p w14:paraId="1B312D91">
            <w:pPr>
              <w:bidi w:val="0"/>
              <w:jc w:val="center"/>
              <w:rPr>
                <w:rFonts w:hint="eastAsia" w:ascii="宋体" w:hAnsi="宋体" w:eastAsia="宋体" w:cs="宋体"/>
                <w:color w:val="auto"/>
                <w:sz w:val="24"/>
                <w:szCs w:val="24"/>
                <w:highlight w:val="none"/>
              </w:rPr>
            </w:pPr>
          </w:p>
        </w:tc>
        <w:tc>
          <w:tcPr>
            <w:tcW w:w="1562" w:type="dxa"/>
            <w:noWrap w:val="0"/>
            <w:vAlign w:val="center"/>
          </w:tcPr>
          <w:p w14:paraId="1E327284">
            <w:pPr>
              <w:bidi w:val="0"/>
              <w:jc w:val="center"/>
              <w:rPr>
                <w:rFonts w:hint="eastAsia" w:ascii="宋体" w:hAnsi="宋体" w:eastAsia="宋体" w:cs="宋体"/>
                <w:color w:val="auto"/>
                <w:sz w:val="24"/>
                <w:szCs w:val="24"/>
                <w:highlight w:val="none"/>
              </w:rPr>
            </w:pPr>
          </w:p>
        </w:tc>
        <w:tc>
          <w:tcPr>
            <w:tcW w:w="1590" w:type="dxa"/>
            <w:noWrap w:val="0"/>
            <w:vAlign w:val="center"/>
          </w:tcPr>
          <w:p w14:paraId="337467C7">
            <w:pPr>
              <w:bidi w:val="0"/>
              <w:jc w:val="center"/>
              <w:rPr>
                <w:rFonts w:hint="eastAsia" w:ascii="宋体" w:hAnsi="宋体" w:eastAsia="宋体" w:cs="宋体"/>
                <w:color w:val="auto"/>
                <w:sz w:val="24"/>
                <w:szCs w:val="24"/>
                <w:highlight w:val="none"/>
              </w:rPr>
            </w:pPr>
          </w:p>
        </w:tc>
        <w:tc>
          <w:tcPr>
            <w:tcW w:w="669" w:type="dxa"/>
            <w:noWrap w:val="0"/>
            <w:vAlign w:val="center"/>
          </w:tcPr>
          <w:p w14:paraId="6F487FDE">
            <w:pPr>
              <w:bidi w:val="0"/>
              <w:jc w:val="center"/>
              <w:rPr>
                <w:rFonts w:hint="eastAsia" w:ascii="宋体" w:hAnsi="宋体" w:eastAsia="宋体" w:cs="宋体"/>
                <w:color w:val="auto"/>
                <w:sz w:val="24"/>
                <w:szCs w:val="24"/>
                <w:highlight w:val="none"/>
              </w:rPr>
            </w:pPr>
          </w:p>
        </w:tc>
      </w:tr>
      <w:tr w14:paraId="024E7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0" w:type="dxa"/>
            <w:noWrap w:val="0"/>
            <w:vAlign w:val="center"/>
          </w:tcPr>
          <w:p w14:paraId="39126DD5">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1AA0178">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40" w:type="dxa"/>
            <w:noWrap w:val="0"/>
            <w:vAlign w:val="center"/>
          </w:tcPr>
          <w:p w14:paraId="7C6BFCC4">
            <w:pPr>
              <w:bidi w:val="0"/>
              <w:jc w:val="center"/>
              <w:rPr>
                <w:rFonts w:hint="eastAsia" w:ascii="宋体" w:hAnsi="宋体" w:eastAsia="宋体" w:cs="宋体"/>
                <w:color w:val="auto"/>
                <w:sz w:val="24"/>
                <w:szCs w:val="24"/>
                <w:highlight w:val="none"/>
              </w:rPr>
            </w:pPr>
          </w:p>
        </w:tc>
        <w:tc>
          <w:tcPr>
            <w:tcW w:w="1412" w:type="dxa"/>
            <w:noWrap w:val="0"/>
            <w:vAlign w:val="center"/>
          </w:tcPr>
          <w:p w14:paraId="421705BD">
            <w:pPr>
              <w:bidi w:val="0"/>
              <w:jc w:val="center"/>
              <w:rPr>
                <w:rFonts w:hint="eastAsia" w:ascii="宋体" w:hAnsi="宋体" w:eastAsia="宋体" w:cs="宋体"/>
                <w:color w:val="auto"/>
                <w:sz w:val="24"/>
                <w:szCs w:val="24"/>
                <w:highlight w:val="none"/>
              </w:rPr>
            </w:pPr>
          </w:p>
        </w:tc>
        <w:tc>
          <w:tcPr>
            <w:tcW w:w="1663" w:type="dxa"/>
            <w:noWrap w:val="0"/>
            <w:vAlign w:val="center"/>
          </w:tcPr>
          <w:p w14:paraId="718BA27B">
            <w:pPr>
              <w:bidi w:val="0"/>
              <w:jc w:val="center"/>
              <w:rPr>
                <w:rFonts w:hint="eastAsia" w:ascii="宋体" w:hAnsi="宋体" w:eastAsia="宋体" w:cs="宋体"/>
                <w:color w:val="auto"/>
                <w:sz w:val="24"/>
                <w:szCs w:val="24"/>
                <w:highlight w:val="none"/>
              </w:rPr>
            </w:pPr>
          </w:p>
        </w:tc>
        <w:tc>
          <w:tcPr>
            <w:tcW w:w="1562" w:type="dxa"/>
            <w:noWrap w:val="0"/>
            <w:vAlign w:val="center"/>
          </w:tcPr>
          <w:p w14:paraId="4AD7501B">
            <w:pPr>
              <w:bidi w:val="0"/>
              <w:jc w:val="center"/>
              <w:rPr>
                <w:rFonts w:hint="eastAsia" w:ascii="宋体" w:hAnsi="宋体" w:eastAsia="宋体" w:cs="宋体"/>
                <w:color w:val="auto"/>
                <w:sz w:val="24"/>
                <w:szCs w:val="24"/>
                <w:highlight w:val="none"/>
              </w:rPr>
            </w:pPr>
          </w:p>
        </w:tc>
        <w:tc>
          <w:tcPr>
            <w:tcW w:w="1590" w:type="dxa"/>
            <w:noWrap w:val="0"/>
            <w:vAlign w:val="center"/>
          </w:tcPr>
          <w:p w14:paraId="75AC744E">
            <w:pPr>
              <w:bidi w:val="0"/>
              <w:jc w:val="center"/>
              <w:rPr>
                <w:rFonts w:hint="eastAsia" w:ascii="宋体" w:hAnsi="宋体" w:eastAsia="宋体" w:cs="宋体"/>
                <w:color w:val="auto"/>
                <w:sz w:val="24"/>
                <w:szCs w:val="24"/>
                <w:highlight w:val="none"/>
              </w:rPr>
            </w:pPr>
          </w:p>
        </w:tc>
        <w:tc>
          <w:tcPr>
            <w:tcW w:w="669" w:type="dxa"/>
            <w:noWrap w:val="0"/>
            <w:vAlign w:val="center"/>
          </w:tcPr>
          <w:p w14:paraId="3F16BED2">
            <w:pPr>
              <w:bidi w:val="0"/>
              <w:jc w:val="center"/>
              <w:rPr>
                <w:rFonts w:hint="eastAsia" w:ascii="宋体" w:hAnsi="宋体" w:eastAsia="宋体" w:cs="宋体"/>
                <w:color w:val="auto"/>
                <w:sz w:val="24"/>
                <w:szCs w:val="24"/>
                <w:highlight w:val="none"/>
              </w:rPr>
            </w:pPr>
          </w:p>
        </w:tc>
      </w:tr>
    </w:tbl>
    <w:p w14:paraId="61B070AA">
      <w:pPr>
        <w:outlineLvl w:val="9"/>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6"/>
          <w:sz w:val="24"/>
          <w:szCs w:val="24"/>
          <w:highlight w:val="none"/>
        </w:rPr>
        <w:t>后</w:t>
      </w:r>
      <w:r>
        <w:rPr>
          <w:rFonts w:hint="eastAsia" w:ascii="宋体" w:hAnsi="宋体" w:eastAsia="宋体" w:cs="宋体"/>
          <w:color w:val="auto"/>
          <w:spacing w:val="10"/>
          <w:sz w:val="24"/>
          <w:szCs w:val="24"/>
          <w:highlight w:val="none"/>
        </w:rPr>
        <w:t>附</w:t>
      </w:r>
      <w:r>
        <w:rPr>
          <w:rFonts w:hint="eastAsia" w:ascii="宋体" w:hAnsi="宋体" w:eastAsia="宋体" w:cs="宋体"/>
          <w:color w:val="auto"/>
          <w:spacing w:val="10"/>
          <w:sz w:val="24"/>
          <w:szCs w:val="24"/>
          <w:highlight w:val="none"/>
          <w:lang w:eastAsia="zh-CN"/>
        </w:rPr>
        <w:t>相关证明材料</w:t>
      </w:r>
    </w:p>
    <w:p w14:paraId="7E773439">
      <w:pPr>
        <w:outlineLvl w:val="9"/>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br w:type="page"/>
      </w:r>
    </w:p>
    <w:p w14:paraId="5FB9C031">
      <w:pPr>
        <w:spacing w:before="48" w:line="22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格式十</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一</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承诺函</w:t>
      </w:r>
    </w:p>
    <w:p w14:paraId="37EBCABC">
      <w:pPr>
        <w:spacing w:before="182" w:line="220" w:lineRule="auto"/>
        <w:ind w:left="3334"/>
        <w:outlineLvl w:val="0"/>
        <w:rPr>
          <w:rFonts w:hint="eastAsia" w:ascii="宋体" w:hAnsi="宋体" w:eastAsia="宋体" w:cs="宋体"/>
          <w:color w:val="auto"/>
          <w:sz w:val="24"/>
          <w:szCs w:val="24"/>
          <w:highlight w:val="none"/>
        </w:rPr>
      </w:pPr>
      <w:bookmarkStart w:id="84" w:name="_Toc19855"/>
      <w:bookmarkStart w:id="85" w:name="_Toc11972"/>
      <w:bookmarkStart w:id="86" w:name="_Toc27185"/>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资格条件承诺函（格式）</w:t>
      </w:r>
      <w:bookmarkEnd w:id="84"/>
      <w:bookmarkEnd w:id="85"/>
      <w:bookmarkEnd w:id="86"/>
    </w:p>
    <w:p w14:paraId="116AE910">
      <w:pPr>
        <w:pStyle w:val="7"/>
        <w:spacing w:line="411" w:lineRule="auto"/>
        <w:outlineLvl w:val="9"/>
        <w:rPr>
          <w:rFonts w:hint="eastAsia" w:ascii="宋体" w:hAnsi="宋体" w:eastAsia="宋体" w:cs="宋体"/>
          <w:color w:val="auto"/>
          <w:highlight w:val="none"/>
        </w:rPr>
      </w:pPr>
    </w:p>
    <w:p w14:paraId="37B2F638">
      <w:pPr>
        <w:spacing w:before="78" w:line="219"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致: </w:t>
      </w:r>
      <w:r>
        <w:rPr>
          <w:rFonts w:hint="eastAsia" w:ascii="宋体" w:hAnsi="宋体" w:eastAsia="宋体" w:cs="宋体"/>
          <w:color w:val="auto"/>
          <w:spacing w:val="-1"/>
          <w:sz w:val="24"/>
          <w:szCs w:val="24"/>
          <w:highlight w:val="none"/>
          <w:u w:val="single" w:color="auto"/>
        </w:rPr>
        <w:t>（采购人、采购代理机构</w:t>
      </w:r>
      <w:r>
        <w:rPr>
          <w:rFonts w:hint="eastAsia" w:ascii="宋体" w:hAnsi="宋体" w:eastAsia="宋体" w:cs="宋体"/>
          <w:color w:val="auto"/>
          <w:spacing w:val="16"/>
          <w:sz w:val="24"/>
          <w:szCs w:val="24"/>
          <w:highlight w:val="none"/>
          <w:u w:val="single" w:color="auto"/>
        </w:rPr>
        <w:t>）；</w:t>
      </w:r>
    </w:p>
    <w:p w14:paraId="7AF364D6">
      <w:pPr>
        <w:spacing w:before="180" w:line="360" w:lineRule="auto"/>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我单位（公司）参与</w:t>
      </w:r>
      <w:r>
        <w:rPr>
          <w:rFonts w:hint="eastAsia" w:ascii="宋体" w:hAnsi="宋体" w:eastAsia="宋体" w:cs="宋体"/>
          <w:color w:val="auto"/>
          <w:spacing w:val="1"/>
          <w:sz w:val="24"/>
          <w:szCs w:val="24"/>
          <w:highlight w:val="none"/>
          <w:u w:val="single" w:color="auto"/>
        </w:rPr>
        <w:t>（采购项目名称   项目编号）</w:t>
      </w:r>
      <w:r>
        <w:rPr>
          <w:rFonts w:hint="eastAsia" w:ascii="宋体" w:hAnsi="宋体" w:eastAsia="宋体" w:cs="宋体"/>
          <w:color w:val="auto"/>
          <w:spacing w:val="1"/>
          <w:sz w:val="24"/>
          <w:szCs w:val="24"/>
          <w:highlight w:val="none"/>
        </w:rPr>
        <w:t>采购项目的政府采购活动，现承</w:t>
      </w:r>
    </w:p>
    <w:p w14:paraId="4B691183">
      <w:pPr>
        <w:spacing w:before="1" w:line="22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诺如下:</w:t>
      </w:r>
    </w:p>
    <w:p w14:paraId="0ECF82A3">
      <w:pPr>
        <w:spacing w:before="180" w:line="466" w:lineRule="exact"/>
        <w:ind w:left="497"/>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1.具有良好的商业信誉和健全的财务会计制度；</w:t>
      </w:r>
    </w:p>
    <w:p w14:paraId="5EA91B99">
      <w:pPr>
        <w:spacing w:line="219" w:lineRule="auto"/>
        <w:ind w:left="48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2.具有依法缴纳税收的良好记录；</w:t>
      </w:r>
    </w:p>
    <w:p w14:paraId="342D0429">
      <w:pPr>
        <w:spacing w:before="183" w:line="219" w:lineRule="auto"/>
        <w:ind w:left="484"/>
        <w:outlineLvl w:val="9"/>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3.具有依法缴纳社会保障金的良好记录</w:t>
      </w:r>
      <w:r>
        <w:rPr>
          <w:rFonts w:hint="eastAsia" w:ascii="宋体" w:hAnsi="宋体" w:eastAsia="宋体" w:cs="宋体"/>
          <w:color w:val="auto"/>
          <w:spacing w:val="-1"/>
          <w:sz w:val="24"/>
          <w:szCs w:val="24"/>
          <w:highlight w:val="none"/>
          <w:lang w:eastAsia="zh-CN"/>
        </w:rPr>
        <w:t>；</w:t>
      </w:r>
    </w:p>
    <w:p w14:paraId="7482D5AA">
      <w:pPr>
        <w:spacing w:before="183" w:line="219" w:lineRule="auto"/>
        <w:ind w:left="484"/>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lang w:eastAsia="zh-CN"/>
        </w:rPr>
        <w:t>具有履行合同所必需的设备和专业技术能力。</w:t>
      </w:r>
    </w:p>
    <w:p w14:paraId="434769F3">
      <w:pPr>
        <w:spacing w:before="181" w:line="359" w:lineRule="auto"/>
        <w:ind w:firstLine="48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我方在采购项目评审（评标）环节结束后，随时接受采购人、采购代理机构的检查验证，配合提供相关证明材料，证明符合《中华人民共和国政府采购法》规定的供应商基本</w:t>
      </w:r>
      <w:r>
        <w:rPr>
          <w:rFonts w:hint="eastAsia" w:ascii="宋体" w:hAnsi="宋体" w:eastAsia="宋体" w:cs="宋体"/>
          <w:color w:val="auto"/>
          <w:spacing w:val="-4"/>
          <w:sz w:val="24"/>
          <w:szCs w:val="24"/>
          <w:highlight w:val="none"/>
        </w:rPr>
        <w:t>资格条件。</w:t>
      </w:r>
    </w:p>
    <w:p w14:paraId="5946CD22">
      <w:pPr>
        <w:spacing w:before="182" w:line="465" w:lineRule="exact"/>
        <w:ind w:left="481"/>
        <w:outlineLvl w:val="9"/>
        <w:rPr>
          <w:rFonts w:hint="eastAsia" w:ascii="宋体" w:hAnsi="宋体" w:eastAsia="宋体" w:cs="宋体"/>
          <w:color w:val="auto"/>
          <w:spacing w:val="-1"/>
          <w:position w:val="17"/>
          <w:sz w:val="24"/>
          <w:szCs w:val="24"/>
          <w:highlight w:val="none"/>
        </w:rPr>
      </w:pPr>
      <w:r>
        <w:rPr>
          <w:rFonts w:hint="eastAsia" w:ascii="宋体" w:hAnsi="宋体" w:eastAsia="宋体" w:cs="宋体"/>
          <w:color w:val="auto"/>
          <w:position w:val="17"/>
          <w:sz w:val="24"/>
          <w:szCs w:val="24"/>
          <w:highlight w:val="none"/>
        </w:rPr>
        <w:t>我单位（公司）对上述承诺的真实性负责。如有</w:t>
      </w:r>
      <w:r>
        <w:rPr>
          <w:rFonts w:hint="eastAsia" w:ascii="宋体" w:hAnsi="宋体" w:eastAsia="宋体" w:cs="宋体"/>
          <w:color w:val="auto"/>
          <w:spacing w:val="-1"/>
          <w:position w:val="17"/>
          <w:sz w:val="24"/>
          <w:szCs w:val="24"/>
          <w:highlight w:val="none"/>
        </w:rPr>
        <w:t>虚假，将依法承担相应责任。</w:t>
      </w:r>
    </w:p>
    <w:p w14:paraId="2089EA28">
      <w:pPr>
        <w:spacing w:before="182" w:line="465" w:lineRule="exact"/>
        <w:ind w:left="481"/>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352157CA">
      <w:pPr>
        <w:pStyle w:val="7"/>
        <w:spacing w:line="283" w:lineRule="auto"/>
        <w:outlineLvl w:val="9"/>
        <w:rPr>
          <w:rFonts w:hint="eastAsia" w:ascii="宋体" w:hAnsi="宋体" w:eastAsia="宋体" w:cs="宋体"/>
          <w:color w:val="auto"/>
          <w:highlight w:val="none"/>
        </w:rPr>
      </w:pPr>
    </w:p>
    <w:p w14:paraId="5AADE3FC">
      <w:pPr>
        <w:pStyle w:val="7"/>
        <w:spacing w:line="283" w:lineRule="auto"/>
        <w:outlineLvl w:val="9"/>
        <w:rPr>
          <w:rFonts w:hint="eastAsia" w:ascii="宋体" w:hAnsi="宋体" w:eastAsia="宋体" w:cs="宋体"/>
          <w:color w:val="auto"/>
          <w:highlight w:val="none"/>
        </w:rPr>
      </w:pPr>
    </w:p>
    <w:p w14:paraId="34E8CF5B">
      <w:pPr>
        <w:spacing w:before="78" w:line="468" w:lineRule="exact"/>
        <w:ind w:left="360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position w:val="17"/>
          <w:sz w:val="24"/>
          <w:szCs w:val="24"/>
          <w:highlight w:val="none"/>
        </w:rPr>
        <w:t>盖章：</w:t>
      </w:r>
    </w:p>
    <w:p w14:paraId="770F5952">
      <w:pPr>
        <w:spacing w:line="220" w:lineRule="auto"/>
        <w:ind w:left="360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签字：</w:t>
      </w:r>
    </w:p>
    <w:p w14:paraId="599FC68D">
      <w:pPr>
        <w:spacing w:before="182" w:line="221" w:lineRule="auto"/>
        <w:ind w:left="3641"/>
        <w:outlineLvl w:val="9"/>
        <w:rPr>
          <w:rFonts w:hint="eastAsia" w:ascii="宋体" w:hAnsi="宋体" w:eastAsia="宋体" w:cs="宋体"/>
          <w:color w:val="auto"/>
          <w:spacing w:val="-17"/>
          <w:sz w:val="24"/>
          <w:szCs w:val="24"/>
          <w:highlight w:val="none"/>
        </w:rPr>
      </w:pPr>
      <w:r>
        <w:rPr>
          <w:rFonts w:hint="eastAsia" w:ascii="宋体" w:hAnsi="宋体" w:eastAsia="宋体" w:cs="宋体"/>
          <w:color w:val="auto"/>
          <w:spacing w:val="-17"/>
          <w:sz w:val="24"/>
          <w:szCs w:val="24"/>
          <w:highlight w:val="none"/>
        </w:rPr>
        <w:t>日期：</w:t>
      </w:r>
    </w:p>
    <w:p w14:paraId="49840001">
      <w:pPr>
        <w:spacing w:before="182" w:line="220" w:lineRule="auto"/>
        <w:ind w:left="3334"/>
        <w:outlineLvl w:val="0"/>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br w:type="page"/>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关联关系</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承诺函（格式）</w:t>
      </w:r>
    </w:p>
    <w:p w14:paraId="2B3CD06D">
      <w:pPr>
        <w:pStyle w:val="7"/>
        <w:spacing w:line="411" w:lineRule="auto"/>
        <w:outlineLvl w:val="9"/>
        <w:rPr>
          <w:rFonts w:hint="eastAsia" w:ascii="宋体" w:hAnsi="宋体" w:eastAsia="宋体" w:cs="宋体"/>
          <w:color w:val="auto"/>
          <w:highlight w:val="none"/>
        </w:rPr>
      </w:pPr>
    </w:p>
    <w:p w14:paraId="1C9EF4D9">
      <w:pPr>
        <w:spacing w:before="78" w:line="219"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致: </w:t>
      </w:r>
      <w:r>
        <w:rPr>
          <w:rFonts w:hint="eastAsia" w:ascii="宋体" w:hAnsi="宋体" w:eastAsia="宋体" w:cs="宋体"/>
          <w:color w:val="auto"/>
          <w:spacing w:val="-1"/>
          <w:sz w:val="24"/>
          <w:szCs w:val="24"/>
          <w:highlight w:val="none"/>
          <w:u w:val="single" w:color="auto"/>
        </w:rPr>
        <w:t>（采购人、采购代理机构</w:t>
      </w:r>
      <w:r>
        <w:rPr>
          <w:rFonts w:hint="eastAsia" w:ascii="宋体" w:hAnsi="宋体" w:eastAsia="宋体" w:cs="宋体"/>
          <w:color w:val="auto"/>
          <w:spacing w:val="16"/>
          <w:sz w:val="24"/>
          <w:szCs w:val="24"/>
          <w:highlight w:val="none"/>
          <w:u w:val="single" w:color="auto"/>
        </w:rPr>
        <w:t>）；</w:t>
      </w:r>
    </w:p>
    <w:p w14:paraId="0F40B58C">
      <w:pPr>
        <w:spacing w:before="180" w:line="360" w:lineRule="auto"/>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我单位（公司）参与</w:t>
      </w:r>
      <w:r>
        <w:rPr>
          <w:rFonts w:hint="eastAsia" w:ascii="宋体" w:hAnsi="宋体" w:eastAsia="宋体" w:cs="宋体"/>
          <w:color w:val="auto"/>
          <w:spacing w:val="1"/>
          <w:sz w:val="24"/>
          <w:szCs w:val="24"/>
          <w:highlight w:val="none"/>
          <w:u w:val="single" w:color="auto"/>
        </w:rPr>
        <w:t>（采购项目名称   项目编号）</w:t>
      </w:r>
      <w:r>
        <w:rPr>
          <w:rFonts w:hint="eastAsia" w:ascii="宋体" w:hAnsi="宋体" w:eastAsia="宋体" w:cs="宋体"/>
          <w:color w:val="auto"/>
          <w:spacing w:val="1"/>
          <w:sz w:val="24"/>
          <w:szCs w:val="24"/>
          <w:highlight w:val="none"/>
        </w:rPr>
        <w:t>采购项目的政府采购活动，现承</w:t>
      </w:r>
    </w:p>
    <w:p w14:paraId="28D4889E">
      <w:pPr>
        <w:spacing w:before="180" w:line="360" w:lineRule="auto"/>
        <w:jc w:val="left"/>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诺如下:</w:t>
      </w:r>
    </w:p>
    <w:p w14:paraId="2EE766F9">
      <w:pPr>
        <w:spacing w:before="180" w:line="360" w:lineRule="auto"/>
        <w:ind w:firstLine="484" w:firstLineChars="200"/>
        <w:jc w:val="left"/>
        <w:outlineLvl w:val="9"/>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不属于与采购人存在利害关系可能影响采购公正性的法人、其它组织或者个人参加投标；不属于单位负责人为同一人或者存在直接控股、管理关系的不同供应商参加同一合同项下的政府采购活动。</w:t>
      </w:r>
    </w:p>
    <w:p w14:paraId="3633DED4">
      <w:pPr>
        <w:rPr>
          <w:rFonts w:hint="eastAsia" w:ascii="宋体" w:hAnsi="宋体" w:eastAsia="宋体" w:cs="宋体"/>
          <w:color w:val="auto"/>
          <w:spacing w:val="-17"/>
          <w:sz w:val="24"/>
          <w:szCs w:val="24"/>
          <w:highlight w:val="none"/>
        </w:rPr>
      </w:pPr>
    </w:p>
    <w:p w14:paraId="34E34974">
      <w:pPr>
        <w:rPr>
          <w:rFonts w:hint="eastAsia" w:ascii="宋体" w:hAnsi="宋体" w:eastAsia="宋体" w:cs="宋体"/>
          <w:b/>
          <w:bCs/>
          <w:color w:val="auto"/>
          <w:spacing w:val="-2"/>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b/>
          <w:bCs/>
          <w:color w:val="auto"/>
          <w:spacing w:val="-2"/>
          <w:sz w:val="24"/>
          <w:szCs w:val="24"/>
          <w:highlight w:val="none"/>
          <w14:textOutline w14:w="4358" w14:cap="sq" w14:cmpd="sng">
            <w14:solidFill>
              <w14:srgbClr w14:val="000000"/>
            </w14:solidFill>
            <w14:prstDash w14:val="solid"/>
            <w14:bevel/>
          </w14:textOutline>
        </w:rPr>
        <w:br w:type="page"/>
      </w:r>
    </w:p>
    <w:p w14:paraId="3FB96BFF">
      <w:pPr>
        <w:spacing w:before="182" w:line="221" w:lineRule="auto"/>
        <w:outlineLvl w:val="9"/>
        <w:rPr>
          <w:rFonts w:hint="eastAsia" w:ascii="宋体" w:hAnsi="宋体" w:eastAsia="宋体" w:cs="宋体"/>
          <w:b/>
          <w:bCs/>
          <w:color w:val="auto"/>
          <w:spacing w:val="-17"/>
          <w:sz w:val="24"/>
          <w:szCs w:val="24"/>
          <w:highlight w:val="none"/>
        </w:rPr>
      </w:pPr>
      <w:r>
        <w:rPr>
          <w:rFonts w:hint="eastAsia" w:ascii="宋体" w:hAnsi="宋体" w:eastAsia="宋体" w:cs="宋体"/>
          <w:b/>
          <w:bCs/>
          <w:color w:val="auto"/>
          <w:spacing w:val="-2"/>
          <w:sz w:val="24"/>
          <w:szCs w:val="24"/>
          <w:highlight w:val="none"/>
          <w14:textOutline w14:w="4358" w14:cap="sq" w14:cmpd="sng">
            <w14:solidFill>
              <w14:srgbClr w14:val="000000"/>
            </w14:solidFill>
            <w14:prstDash w14:val="solid"/>
            <w14:bevel/>
          </w14:textOutline>
        </w:rPr>
        <w:t>格式十</w:t>
      </w:r>
      <w:r>
        <w:rPr>
          <w:rFonts w:hint="eastAsia" w:ascii="宋体" w:hAnsi="宋体" w:eastAsia="宋体" w:cs="宋体"/>
          <w:b/>
          <w:bCs/>
          <w:color w:val="auto"/>
          <w:spacing w:val="-2"/>
          <w:sz w:val="24"/>
          <w:szCs w:val="24"/>
          <w:highlight w:val="none"/>
          <w:lang w:eastAsia="zh-CN"/>
          <w14:textOutline w14:w="4358" w14:cap="sq" w14:cmpd="sng">
            <w14:solidFill>
              <w14:srgbClr w14:val="000000"/>
            </w14:solidFill>
            <w14:prstDash w14:val="solid"/>
            <w14:bevel/>
          </w14:textOutline>
        </w:rPr>
        <w:t>二：招标文件要求提供或供应商认为需要提供的其它材料</w:t>
      </w:r>
    </w:p>
    <w:bookmarkEnd w:id="87"/>
    <w:sectPr>
      <w:footerReference r:id="rId6" w:type="default"/>
      <w:pgSz w:w="11906" w:h="16839"/>
      <w:pgMar w:top="1440" w:right="1310" w:bottom="1440" w:left="1310" w:header="0" w:footer="886"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1B1CA">
    <w:pPr>
      <w:spacing w:line="169"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7784">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EBBF1">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71EBBF1">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6D972"/>
    <w:multiLevelType w:val="singleLevel"/>
    <w:tmpl w:val="96D6D972"/>
    <w:lvl w:ilvl="0" w:tentative="0">
      <w:start w:val="5"/>
      <w:numFmt w:val="decimal"/>
      <w:suff w:val="nothing"/>
      <w:lvlText w:val="%1、"/>
      <w:lvlJc w:val="left"/>
    </w:lvl>
  </w:abstractNum>
  <w:abstractNum w:abstractNumId="1">
    <w:nsid w:val="A7B7CD86"/>
    <w:multiLevelType w:val="singleLevel"/>
    <w:tmpl w:val="A7B7CD86"/>
    <w:lvl w:ilvl="0" w:tentative="0">
      <w:start w:val="17"/>
      <w:numFmt w:val="chineseCounting"/>
      <w:suff w:val="nothing"/>
      <w:lvlText w:val="%1、"/>
      <w:lvlJc w:val="left"/>
      <w:rPr>
        <w:rFonts w:hint="eastAsia"/>
      </w:rPr>
    </w:lvl>
  </w:abstractNum>
  <w:abstractNum w:abstractNumId="2">
    <w:nsid w:val="F05D4DB6"/>
    <w:multiLevelType w:val="singleLevel"/>
    <w:tmpl w:val="F05D4DB6"/>
    <w:lvl w:ilvl="0" w:tentative="0">
      <w:start w:val="5"/>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E1ODMxYjI1NzQzYjk2N2RjZDVjNDczZjIwNzJkYmEifQ=="/>
  </w:docVars>
  <w:rsids>
    <w:rsidRoot w:val="00000000"/>
    <w:rsid w:val="007137AD"/>
    <w:rsid w:val="01205D5C"/>
    <w:rsid w:val="01AF7DBD"/>
    <w:rsid w:val="01BF5575"/>
    <w:rsid w:val="01C0753F"/>
    <w:rsid w:val="01DD59FB"/>
    <w:rsid w:val="01F87C91"/>
    <w:rsid w:val="02BE582C"/>
    <w:rsid w:val="0305080A"/>
    <w:rsid w:val="034A39B5"/>
    <w:rsid w:val="034A7BCF"/>
    <w:rsid w:val="035D6855"/>
    <w:rsid w:val="03655C84"/>
    <w:rsid w:val="03831DEC"/>
    <w:rsid w:val="0397679F"/>
    <w:rsid w:val="03DA2032"/>
    <w:rsid w:val="03FB660C"/>
    <w:rsid w:val="043833BC"/>
    <w:rsid w:val="043A7831"/>
    <w:rsid w:val="04DE2623"/>
    <w:rsid w:val="04DF5F2E"/>
    <w:rsid w:val="04F50FAA"/>
    <w:rsid w:val="067A1543"/>
    <w:rsid w:val="067A5F0E"/>
    <w:rsid w:val="06CE625A"/>
    <w:rsid w:val="06E96BF0"/>
    <w:rsid w:val="070C1155"/>
    <w:rsid w:val="08060567"/>
    <w:rsid w:val="08983D41"/>
    <w:rsid w:val="08B5322E"/>
    <w:rsid w:val="08C6173B"/>
    <w:rsid w:val="08EE00FB"/>
    <w:rsid w:val="0992356F"/>
    <w:rsid w:val="09FE6E56"/>
    <w:rsid w:val="0A570314"/>
    <w:rsid w:val="0A621193"/>
    <w:rsid w:val="0AB47515"/>
    <w:rsid w:val="0B285819"/>
    <w:rsid w:val="0BB023D2"/>
    <w:rsid w:val="0C3B6140"/>
    <w:rsid w:val="0C63506B"/>
    <w:rsid w:val="0C686809"/>
    <w:rsid w:val="0CB67574"/>
    <w:rsid w:val="0D6945E7"/>
    <w:rsid w:val="0D921D8F"/>
    <w:rsid w:val="0D9D2160"/>
    <w:rsid w:val="0DF77E44"/>
    <w:rsid w:val="0E6C1257"/>
    <w:rsid w:val="0E8F4521"/>
    <w:rsid w:val="0EA6117F"/>
    <w:rsid w:val="0EC97A46"/>
    <w:rsid w:val="0F407486"/>
    <w:rsid w:val="0F713C26"/>
    <w:rsid w:val="0FBE7DA0"/>
    <w:rsid w:val="0FF90A42"/>
    <w:rsid w:val="105E1836"/>
    <w:rsid w:val="10B4201D"/>
    <w:rsid w:val="10E072B6"/>
    <w:rsid w:val="10F92232"/>
    <w:rsid w:val="10FE773C"/>
    <w:rsid w:val="116A6A33"/>
    <w:rsid w:val="11825E91"/>
    <w:rsid w:val="11E931F7"/>
    <w:rsid w:val="12107727"/>
    <w:rsid w:val="12252F91"/>
    <w:rsid w:val="124B075F"/>
    <w:rsid w:val="12B15EBF"/>
    <w:rsid w:val="12FA1C52"/>
    <w:rsid w:val="13124658"/>
    <w:rsid w:val="13206EE8"/>
    <w:rsid w:val="1323348A"/>
    <w:rsid w:val="13893C35"/>
    <w:rsid w:val="13C90089"/>
    <w:rsid w:val="13FF5CA5"/>
    <w:rsid w:val="146A2CD4"/>
    <w:rsid w:val="148562AE"/>
    <w:rsid w:val="14AF2A28"/>
    <w:rsid w:val="14B940A6"/>
    <w:rsid w:val="14D47131"/>
    <w:rsid w:val="14ED01F3"/>
    <w:rsid w:val="155B7A5E"/>
    <w:rsid w:val="158F12AA"/>
    <w:rsid w:val="15BD5E17"/>
    <w:rsid w:val="15F85C97"/>
    <w:rsid w:val="16832BBD"/>
    <w:rsid w:val="16842491"/>
    <w:rsid w:val="16A56DF3"/>
    <w:rsid w:val="16AE139D"/>
    <w:rsid w:val="16C60CFC"/>
    <w:rsid w:val="16FA66B9"/>
    <w:rsid w:val="179D1343"/>
    <w:rsid w:val="1890511D"/>
    <w:rsid w:val="18B87B08"/>
    <w:rsid w:val="18E54327"/>
    <w:rsid w:val="190660FA"/>
    <w:rsid w:val="196565AA"/>
    <w:rsid w:val="19771D42"/>
    <w:rsid w:val="19866520"/>
    <w:rsid w:val="19AF3CC9"/>
    <w:rsid w:val="19C1642A"/>
    <w:rsid w:val="19C71013"/>
    <w:rsid w:val="19C82314"/>
    <w:rsid w:val="1A07140F"/>
    <w:rsid w:val="1A1E5813"/>
    <w:rsid w:val="1A5D1977"/>
    <w:rsid w:val="1A700CC5"/>
    <w:rsid w:val="1AE01E2B"/>
    <w:rsid w:val="1B0D0CA7"/>
    <w:rsid w:val="1B5B2A1B"/>
    <w:rsid w:val="1BCF2401"/>
    <w:rsid w:val="1C2A4944"/>
    <w:rsid w:val="1C4A5F2B"/>
    <w:rsid w:val="1C534D67"/>
    <w:rsid w:val="1C6455C1"/>
    <w:rsid w:val="1C99656B"/>
    <w:rsid w:val="1C9A095A"/>
    <w:rsid w:val="1CEE6A7A"/>
    <w:rsid w:val="1D3A1AFC"/>
    <w:rsid w:val="1D7019C1"/>
    <w:rsid w:val="1DBE7A88"/>
    <w:rsid w:val="1DCD2970"/>
    <w:rsid w:val="1E761256"/>
    <w:rsid w:val="1E827A99"/>
    <w:rsid w:val="1F385014"/>
    <w:rsid w:val="1F52137F"/>
    <w:rsid w:val="1F882F99"/>
    <w:rsid w:val="20607ACB"/>
    <w:rsid w:val="208714FC"/>
    <w:rsid w:val="20A976C4"/>
    <w:rsid w:val="20C0120F"/>
    <w:rsid w:val="20F3093F"/>
    <w:rsid w:val="213C22E6"/>
    <w:rsid w:val="215F5FD5"/>
    <w:rsid w:val="21B7196D"/>
    <w:rsid w:val="21BE0F4D"/>
    <w:rsid w:val="21E8421C"/>
    <w:rsid w:val="221A4255"/>
    <w:rsid w:val="222E3A8D"/>
    <w:rsid w:val="22502157"/>
    <w:rsid w:val="22573150"/>
    <w:rsid w:val="22715FC0"/>
    <w:rsid w:val="227B5090"/>
    <w:rsid w:val="233A0FC7"/>
    <w:rsid w:val="233D0598"/>
    <w:rsid w:val="23E0270B"/>
    <w:rsid w:val="23E67AE2"/>
    <w:rsid w:val="24F353B2"/>
    <w:rsid w:val="250424A4"/>
    <w:rsid w:val="250639AE"/>
    <w:rsid w:val="252E5396"/>
    <w:rsid w:val="256F255E"/>
    <w:rsid w:val="25855B00"/>
    <w:rsid w:val="25916979"/>
    <w:rsid w:val="25C94338"/>
    <w:rsid w:val="25D845A8"/>
    <w:rsid w:val="25FE400E"/>
    <w:rsid w:val="261F21D6"/>
    <w:rsid w:val="26FE231E"/>
    <w:rsid w:val="27037402"/>
    <w:rsid w:val="272C0707"/>
    <w:rsid w:val="275A1718"/>
    <w:rsid w:val="278C389C"/>
    <w:rsid w:val="27CC5901"/>
    <w:rsid w:val="27F154AD"/>
    <w:rsid w:val="27F751B9"/>
    <w:rsid w:val="27FF406E"/>
    <w:rsid w:val="28137B19"/>
    <w:rsid w:val="28C809A4"/>
    <w:rsid w:val="29693E94"/>
    <w:rsid w:val="297840D8"/>
    <w:rsid w:val="29F80D74"/>
    <w:rsid w:val="2A1C0F07"/>
    <w:rsid w:val="2A3738D4"/>
    <w:rsid w:val="2A650ECF"/>
    <w:rsid w:val="2AC55FB0"/>
    <w:rsid w:val="2AD25A69"/>
    <w:rsid w:val="2ADC57EF"/>
    <w:rsid w:val="2B6A3EF4"/>
    <w:rsid w:val="2BC01D66"/>
    <w:rsid w:val="2BEC66B7"/>
    <w:rsid w:val="2D071591"/>
    <w:rsid w:val="2D261EE1"/>
    <w:rsid w:val="2D317A4E"/>
    <w:rsid w:val="2D590C84"/>
    <w:rsid w:val="2D687FBF"/>
    <w:rsid w:val="2D6E7C78"/>
    <w:rsid w:val="2DD6761F"/>
    <w:rsid w:val="2E185FB5"/>
    <w:rsid w:val="2E666BF4"/>
    <w:rsid w:val="2E903C71"/>
    <w:rsid w:val="2EB94E2E"/>
    <w:rsid w:val="2EF22236"/>
    <w:rsid w:val="2F1C72B3"/>
    <w:rsid w:val="2F1E127D"/>
    <w:rsid w:val="305B205D"/>
    <w:rsid w:val="306B4E7D"/>
    <w:rsid w:val="3082583C"/>
    <w:rsid w:val="313A63D7"/>
    <w:rsid w:val="316B62D0"/>
    <w:rsid w:val="317F1B79"/>
    <w:rsid w:val="31A17C21"/>
    <w:rsid w:val="31A43590"/>
    <w:rsid w:val="31B9528D"/>
    <w:rsid w:val="323D7C6C"/>
    <w:rsid w:val="33B273BE"/>
    <w:rsid w:val="33DF6B01"/>
    <w:rsid w:val="33F829BD"/>
    <w:rsid w:val="34052A0C"/>
    <w:rsid w:val="34565015"/>
    <w:rsid w:val="345D45F6"/>
    <w:rsid w:val="34632FD8"/>
    <w:rsid w:val="350902DA"/>
    <w:rsid w:val="35727C2D"/>
    <w:rsid w:val="364C66D0"/>
    <w:rsid w:val="364E1163"/>
    <w:rsid w:val="36504750"/>
    <w:rsid w:val="365E4655"/>
    <w:rsid w:val="36853990"/>
    <w:rsid w:val="37C417AA"/>
    <w:rsid w:val="38042FDA"/>
    <w:rsid w:val="38396895"/>
    <w:rsid w:val="38654816"/>
    <w:rsid w:val="38795776"/>
    <w:rsid w:val="388365F5"/>
    <w:rsid w:val="38D91C00"/>
    <w:rsid w:val="38E057F5"/>
    <w:rsid w:val="391E32EE"/>
    <w:rsid w:val="395104A1"/>
    <w:rsid w:val="39671A73"/>
    <w:rsid w:val="39882115"/>
    <w:rsid w:val="39EC3D26"/>
    <w:rsid w:val="39FD5F33"/>
    <w:rsid w:val="3A125076"/>
    <w:rsid w:val="3A145757"/>
    <w:rsid w:val="3A43603C"/>
    <w:rsid w:val="3A922B1F"/>
    <w:rsid w:val="3B040B5F"/>
    <w:rsid w:val="3B2C6AD0"/>
    <w:rsid w:val="3B3F5D3D"/>
    <w:rsid w:val="3B4E2A47"/>
    <w:rsid w:val="3B5D39DD"/>
    <w:rsid w:val="3B6B584A"/>
    <w:rsid w:val="3B7F12F6"/>
    <w:rsid w:val="3BFD5B44"/>
    <w:rsid w:val="3C102CEA"/>
    <w:rsid w:val="3CEA4D9C"/>
    <w:rsid w:val="3CFB6AD2"/>
    <w:rsid w:val="3D0C0967"/>
    <w:rsid w:val="3D430101"/>
    <w:rsid w:val="3D734E8A"/>
    <w:rsid w:val="3D934BE4"/>
    <w:rsid w:val="3E077380"/>
    <w:rsid w:val="3E38578C"/>
    <w:rsid w:val="3E401741"/>
    <w:rsid w:val="3E704F26"/>
    <w:rsid w:val="3E802756"/>
    <w:rsid w:val="3F4475DB"/>
    <w:rsid w:val="3F5034E9"/>
    <w:rsid w:val="3FB2368A"/>
    <w:rsid w:val="3FCC473B"/>
    <w:rsid w:val="3FEC0F24"/>
    <w:rsid w:val="3FEF6007"/>
    <w:rsid w:val="41197AF6"/>
    <w:rsid w:val="4184563D"/>
    <w:rsid w:val="41874618"/>
    <w:rsid w:val="418D1221"/>
    <w:rsid w:val="41A44AB5"/>
    <w:rsid w:val="42075BA1"/>
    <w:rsid w:val="42310E70"/>
    <w:rsid w:val="424E2AAD"/>
    <w:rsid w:val="42725710"/>
    <w:rsid w:val="42786A9F"/>
    <w:rsid w:val="42F206F4"/>
    <w:rsid w:val="43853221"/>
    <w:rsid w:val="43F32881"/>
    <w:rsid w:val="43FD54AD"/>
    <w:rsid w:val="43FF1225"/>
    <w:rsid w:val="444667B2"/>
    <w:rsid w:val="447B63D2"/>
    <w:rsid w:val="448E7C71"/>
    <w:rsid w:val="4493014A"/>
    <w:rsid w:val="44B55D88"/>
    <w:rsid w:val="44C818B0"/>
    <w:rsid w:val="44CD1324"/>
    <w:rsid w:val="44D1645F"/>
    <w:rsid w:val="45796DB6"/>
    <w:rsid w:val="45941E41"/>
    <w:rsid w:val="463C2660"/>
    <w:rsid w:val="466730B2"/>
    <w:rsid w:val="46805F22"/>
    <w:rsid w:val="46BF2EEE"/>
    <w:rsid w:val="46F420A2"/>
    <w:rsid w:val="471A6376"/>
    <w:rsid w:val="472F1E22"/>
    <w:rsid w:val="473311E6"/>
    <w:rsid w:val="47392CA0"/>
    <w:rsid w:val="4780267D"/>
    <w:rsid w:val="47875211"/>
    <w:rsid w:val="47A85737"/>
    <w:rsid w:val="480706A9"/>
    <w:rsid w:val="481334F1"/>
    <w:rsid w:val="482C45B3"/>
    <w:rsid w:val="483A1816"/>
    <w:rsid w:val="48741AB6"/>
    <w:rsid w:val="487B2E45"/>
    <w:rsid w:val="48C52312"/>
    <w:rsid w:val="48D5496B"/>
    <w:rsid w:val="48E50A71"/>
    <w:rsid w:val="49542533"/>
    <w:rsid w:val="497A24B2"/>
    <w:rsid w:val="49A06BE3"/>
    <w:rsid w:val="4A01737A"/>
    <w:rsid w:val="4A163063"/>
    <w:rsid w:val="4A6209BE"/>
    <w:rsid w:val="4ADE1AAA"/>
    <w:rsid w:val="4AE10A69"/>
    <w:rsid w:val="4AF313B8"/>
    <w:rsid w:val="4BCA58A8"/>
    <w:rsid w:val="4BE17747"/>
    <w:rsid w:val="4C416153"/>
    <w:rsid w:val="4C737BC7"/>
    <w:rsid w:val="4C7C6027"/>
    <w:rsid w:val="4CB47586"/>
    <w:rsid w:val="4D1B69A4"/>
    <w:rsid w:val="4D381304"/>
    <w:rsid w:val="4D965582"/>
    <w:rsid w:val="4DB0533F"/>
    <w:rsid w:val="4DB841F3"/>
    <w:rsid w:val="4F18120D"/>
    <w:rsid w:val="4F22401A"/>
    <w:rsid w:val="50080E30"/>
    <w:rsid w:val="502C250B"/>
    <w:rsid w:val="502E62AD"/>
    <w:rsid w:val="503A35E5"/>
    <w:rsid w:val="50472057"/>
    <w:rsid w:val="50502E09"/>
    <w:rsid w:val="50B96C00"/>
    <w:rsid w:val="50DB5F91"/>
    <w:rsid w:val="51C222B6"/>
    <w:rsid w:val="52642B9B"/>
    <w:rsid w:val="52A03BD4"/>
    <w:rsid w:val="52B109C9"/>
    <w:rsid w:val="52B23907"/>
    <w:rsid w:val="52F21E12"/>
    <w:rsid w:val="531225F7"/>
    <w:rsid w:val="538A03E0"/>
    <w:rsid w:val="54091C4C"/>
    <w:rsid w:val="5415414D"/>
    <w:rsid w:val="54260108"/>
    <w:rsid w:val="54411979"/>
    <w:rsid w:val="54491F0D"/>
    <w:rsid w:val="54D062C6"/>
    <w:rsid w:val="55304730"/>
    <w:rsid w:val="554C3B9F"/>
    <w:rsid w:val="556A0EF6"/>
    <w:rsid w:val="5586381E"/>
    <w:rsid w:val="55B81195"/>
    <w:rsid w:val="55F12998"/>
    <w:rsid w:val="55F668FC"/>
    <w:rsid w:val="56224F72"/>
    <w:rsid w:val="56270168"/>
    <w:rsid w:val="56300645"/>
    <w:rsid w:val="57527466"/>
    <w:rsid w:val="57D367F9"/>
    <w:rsid w:val="582C7CB7"/>
    <w:rsid w:val="583059FA"/>
    <w:rsid w:val="58577D0A"/>
    <w:rsid w:val="58A36161"/>
    <w:rsid w:val="58B8511B"/>
    <w:rsid w:val="58F307D5"/>
    <w:rsid w:val="58F333FF"/>
    <w:rsid w:val="59653481"/>
    <w:rsid w:val="596D0588"/>
    <w:rsid w:val="59D32AE1"/>
    <w:rsid w:val="59E53357"/>
    <w:rsid w:val="5A201A9E"/>
    <w:rsid w:val="5AA7634B"/>
    <w:rsid w:val="5AB1171C"/>
    <w:rsid w:val="5C7659A5"/>
    <w:rsid w:val="5CC613FD"/>
    <w:rsid w:val="5D081F0B"/>
    <w:rsid w:val="5D25718A"/>
    <w:rsid w:val="5D2B164C"/>
    <w:rsid w:val="5D5850AB"/>
    <w:rsid w:val="5D6677C8"/>
    <w:rsid w:val="5D7F6ADB"/>
    <w:rsid w:val="5D902A97"/>
    <w:rsid w:val="5DAE61D8"/>
    <w:rsid w:val="5E391380"/>
    <w:rsid w:val="5E47584B"/>
    <w:rsid w:val="5E7F4FE5"/>
    <w:rsid w:val="5E9332C3"/>
    <w:rsid w:val="5EAB7FF3"/>
    <w:rsid w:val="5EC35698"/>
    <w:rsid w:val="5F04373C"/>
    <w:rsid w:val="5F30008D"/>
    <w:rsid w:val="5F4E6098"/>
    <w:rsid w:val="601243E7"/>
    <w:rsid w:val="603B318E"/>
    <w:rsid w:val="60661887"/>
    <w:rsid w:val="60B41BD6"/>
    <w:rsid w:val="61447E20"/>
    <w:rsid w:val="61477910"/>
    <w:rsid w:val="61516038"/>
    <w:rsid w:val="615311BC"/>
    <w:rsid w:val="61620FE5"/>
    <w:rsid w:val="617E122D"/>
    <w:rsid w:val="61C40F61"/>
    <w:rsid w:val="61E41603"/>
    <w:rsid w:val="61EE278A"/>
    <w:rsid w:val="62634C1E"/>
    <w:rsid w:val="62F15D85"/>
    <w:rsid w:val="63101DE8"/>
    <w:rsid w:val="631B2E02"/>
    <w:rsid w:val="633013C5"/>
    <w:rsid w:val="63422A85"/>
    <w:rsid w:val="63747A9A"/>
    <w:rsid w:val="63CE5BCA"/>
    <w:rsid w:val="63EF260C"/>
    <w:rsid w:val="63FF1893"/>
    <w:rsid w:val="641E0DFC"/>
    <w:rsid w:val="64803865"/>
    <w:rsid w:val="64E078AA"/>
    <w:rsid w:val="6589499B"/>
    <w:rsid w:val="65FD3A5C"/>
    <w:rsid w:val="662446C4"/>
    <w:rsid w:val="67584625"/>
    <w:rsid w:val="677879E5"/>
    <w:rsid w:val="67896ED4"/>
    <w:rsid w:val="67F02AB0"/>
    <w:rsid w:val="682664D1"/>
    <w:rsid w:val="68850E7E"/>
    <w:rsid w:val="68AB6EB0"/>
    <w:rsid w:val="69020CEC"/>
    <w:rsid w:val="69414646"/>
    <w:rsid w:val="69601EB7"/>
    <w:rsid w:val="699022E4"/>
    <w:rsid w:val="69D00DEB"/>
    <w:rsid w:val="69E93C5A"/>
    <w:rsid w:val="6A366774"/>
    <w:rsid w:val="6A4964A7"/>
    <w:rsid w:val="6B466EA6"/>
    <w:rsid w:val="6B6F6C1F"/>
    <w:rsid w:val="6BCE135A"/>
    <w:rsid w:val="6C2B3694"/>
    <w:rsid w:val="6C951E77"/>
    <w:rsid w:val="6CDE381E"/>
    <w:rsid w:val="6CF7668E"/>
    <w:rsid w:val="6D513FF0"/>
    <w:rsid w:val="6E98072C"/>
    <w:rsid w:val="6F280D81"/>
    <w:rsid w:val="6F443D25"/>
    <w:rsid w:val="6F67671B"/>
    <w:rsid w:val="6F773AB6"/>
    <w:rsid w:val="6F91409C"/>
    <w:rsid w:val="6FA7614A"/>
    <w:rsid w:val="700E61C9"/>
    <w:rsid w:val="705C4D2F"/>
    <w:rsid w:val="70767C84"/>
    <w:rsid w:val="711041C2"/>
    <w:rsid w:val="717A163C"/>
    <w:rsid w:val="71A76679"/>
    <w:rsid w:val="72277415"/>
    <w:rsid w:val="722F2BA9"/>
    <w:rsid w:val="728E539F"/>
    <w:rsid w:val="72B34E05"/>
    <w:rsid w:val="72B666A4"/>
    <w:rsid w:val="72DB610A"/>
    <w:rsid w:val="72F571CC"/>
    <w:rsid w:val="72F93721"/>
    <w:rsid w:val="73CF5B6F"/>
    <w:rsid w:val="749D3FBF"/>
    <w:rsid w:val="751F3575"/>
    <w:rsid w:val="756B03B2"/>
    <w:rsid w:val="75AE12AE"/>
    <w:rsid w:val="75E76FA0"/>
    <w:rsid w:val="75FD18AA"/>
    <w:rsid w:val="76277FE4"/>
    <w:rsid w:val="77037C1B"/>
    <w:rsid w:val="777F175A"/>
    <w:rsid w:val="778A1F2E"/>
    <w:rsid w:val="77A47413"/>
    <w:rsid w:val="77C20A31"/>
    <w:rsid w:val="77CE623E"/>
    <w:rsid w:val="77DE2925"/>
    <w:rsid w:val="78250553"/>
    <w:rsid w:val="78A51694"/>
    <w:rsid w:val="78A771BA"/>
    <w:rsid w:val="798B5F81"/>
    <w:rsid w:val="79A272C8"/>
    <w:rsid w:val="79C142AC"/>
    <w:rsid w:val="7ABE5682"/>
    <w:rsid w:val="7AF233A5"/>
    <w:rsid w:val="7B114DBF"/>
    <w:rsid w:val="7BA63CB2"/>
    <w:rsid w:val="7BB045D8"/>
    <w:rsid w:val="7C3522B8"/>
    <w:rsid w:val="7C603CF6"/>
    <w:rsid w:val="7CBE2D25"/>
    <w:rsid w:val="7CDB5685"/>
    <w:rsid w:val="7CDC31AB"/>
    <w:rsid w:val="7D0D28D0"/>
    <w:rsid w:val="7DE1316F"/>
    <w:rsid w:val="7E6A73EB"/>
    <w:rsid w:val="7E7318ED"/>
    <w:rsid w:val="7EBC3294"/>
    <w:rsid w:val="7ED4682F"/>
    <w:rsid w:val="7EF0118F"/>
    <w:rsid w:val="7F833DB1"/>
    <w:rsid w:val="7FAC43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28"/>
    </w:rPr>
  </w:style>
  <w:style w:type="paragraph" w:styleId="3">
    <w:name w:val="heading 2"/>
    <w:basedOn w:val="1"/>
    <w:next w:val="1"/>
    <w:qFormat/>
    <w:uiPriority w:val="0"/>
    <w:pPr>
      <w:keepNext/>
      <w:keepLines/>
      <w:spacing w:before="260" w:after="260" w:line="413" w:lineRule="auto"/>
      <w:jc w:val="center"/>
      <w:outlineLvl w:val="1"/>
    </w:pPr>
    <w:rPr>
      <w:rFonts w:ascii="Arial" w:hAnsi="Arial" w:eastAsia="黑体"/>
      <w:b/>
      <w:bCs/>
      <w:sz w:val="28"/>
      <w:szCs w:val="32"/>
    </w:rPr>
  </w:style>
  <w:style w:type="paragraph" w:styleId="4">
    <w:name w:val="heading 4"/>
    <w:basedOn w:val="1"/>
    <w:next w:val="1"/>
    <w:link w:val="3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qFormat/>
    <w:uiPriority w:val="99"/>
    <w:pPr>
      <w:autoSpaceDE w:val="0"/>
      <w:autoSpaceDN w:val="0"/>
      <w:adjustRightInd w:val="0"/>
      <w:spacing w:line="360" w:lineRule="atLeast"/>
      <w:ind w:firstLine="420"/>
      <w:textAlignment w:val="baseline"/>
    </w:pPr>
    <w:rPr>
      <w:rFonts w:ascii="宋体" w:cs="宋体"/>
      <w:kern w:val="0"/>
      <w:sz w:val="24"/>
      <w:szCs w:val="24"/>
    </w:rPr>
  </w:style>
  <w:style w:type="paragraph" w:styleId="6">
    <w:name w:val="annotation text"/>
    <w:basedOn w:val="1"/>
    <w:qFormat/>
    <w:uiPriority w:val="0"/>
    <w:pPr>
      <w:jc w:val="left"/>
    </w:pPr>
  </w:style>
  <w:style w:type="paragraph" w:styleId="7">
    <w:name w:val="Body Text"/>
    <w:basedOn w:val="1"/>
    <w:next w:val="8"/>
    <w:autoRedefine/>
    <w:semiHidden/>
    <w:qFormat/>
    <w:uiPriority w:val="0"/>
    <w:rPr>
      <w:rFonts w:ascii="Arial" w:hAnsi="Arial" w:eastAsia="Arial" w:cs="Arial"/>
      <w:sz w:val="21"/>
      <w:szCs w:val="21"/>
      <w:lang w:val="en-US" w:eastAsia="en-US" w:bidi="ar-SA"/>
    </w:rPr>
  </w:style>
  <w:style w:type="paragraph" w:customStyle="1" w:styleId="8">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9">
    <w:name w:val="Body Text Indent"/>
    <w:basedOn w:val="1"/>
    <w:next w:val="10"/>
    <w:autoRedefine/>
    <w:qFormat/>
    <w:uiPriority w:val="0"/>
    <w:pPr>
      <w:spacing w:after="120"/>
      <w:ind w:left="420" w:leftChars="200"/>
    </w:pPr>
    <w:rPr>
      <w:szCs w:val="24"/>
    </w:rPr>
  </w:style>
  <w:style w:type="paragraph" w:styleId="10">
    <w:name w:val="envelope return"/>
    <w:basedOn w:val="11"/>
    <w:qFormat/>
    <w:uiPriority w:val="0"/>
    <w:rPr>
      <w:rFonts w:ascii="Arial" w:hAnsi="Arial"/>
    </w:rPr>
  </w:style>
  <w:style w:type="paragraph" w:customStyle="1" w:styleId="11">
    <w:name w:val="Normal_4"/>
    <w:next w:val="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
    <w:name w:val="Body Text First Indent 21"/>
    <w:basedOn w:val="13"/>
    <w:next w:val="11"/>
    <w:qFormat/>
    <w:uiPriority w:val="0"/>
    <w:pPr>
      <w:tabs>
        <w:tab w:val="left" w:pos="5580"/>
      </w:tabs>
      <w:ind w:firstLine="420" w:firstLineChars="200"/>
    </w:pPr>
  </w:style>
  <w:style w:type="paragraph" w:customStyle="1" w:styleId="13">
    <w:name w:val="Body Text Indent"/>
    <w:basedOn w:val="11"/>
    <w:next w:val="10"/>
    <w:qFormat/>
    <w:uiPriority w:val="0"/>
    <w:pPr>
      <w:spacing w:after="120"/>
      <w:ind w:left="420" w:leftChars="200"/>
    </w:pPr>
  </w:style>
  <w:style w:type="paragraph" w:styleId="14">
    <w:name w:val="Date"/>
    <w:basedOn w:val="1"/>
    <w:next w:val="1"/>
    <w:autoRedefine/>
    <w:qFormat/>
    <w:uiPriority w:val="0"/>
    <w:pPr>
      <w:ind w:left="100" w:leftChars="2500"/>
    </w:p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0"/>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Title"/>
    <w:basedOn w:val="1"/>
    <w:autoRedefine/>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20">
    <w:name w:val="Body Text First Indent"/>
    <w:basedOn w:val="7"/>
    <w:qFormat/>
    <w:uiPriority w:val="0"/>
    <w:pPr>
      <w:spacing w:line="312" w:lineRule="auto"/>
      <w:ind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rPr>
      <w:rFonts w:ascii="宋体" w:hAnsi="宋体" w:eastAsia="宋体" w:cs="宋体"/>
      <w:sz w:val="24"/>
      <w:szCs w:val="24"/>
      <w:lang w:val="en-US" w:eastAsia="en-US" w:bidi="ar-SA"/>
    </w:rPr>
  </w:style>
  <w:style w:type="paragraph" w:customStyle="1" w:styleId="27">
    <w:name w:val="Default"/>
    <w:next w:val="1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WPSOffice手动目录 1"/>
    <w:autoRedefine/>
    <w:qFormat/>
    <w:uiPriority w:val="0"/>
    <w:pPr>
      <w:ind w:leftChars="0"/>
    </w:pPr>
    <w:rPr>
      <w:rFonts w:ascii="Times New Roman" w:hAnsi="Times New Roman" w:eastAsia="宋体" w:cs="Times New Roman"/>
      <w:sz w:val="20"/>
      <w:szCs w:val="20"/>
    </w:rPr>
  </w:style>
  <w:style w:type="paragraph" w:customStyle="1" w:styleId="29">
    <w:name w:val="Table Paragraph"/>
    <w:basedOn w:val="1"/>
    <w:autoRedefine/>
    <w:qFormat/>
    <w:uiPriority w:val="1"/>
    <w:rPr>
      <w:rFonts w:ascii="宋体" w:hAnsi="宋体" w:eastAsia="宋体" w:cs="宋体"/>
      <w:lang w:val="zh-CN" w:eastAsia="zh-CN" w:bidi="zh-CN"/>
    </w:rPr>
  </w:style>
  <w:style w:type="character" w:customStyle="1" w:styleId="30">
    <w:name w:val="NormalCharacter"/>
    <w:semiHidden/>
    <w:qFormat/>
    <w:uiPriority w:val="0"/>
  </w:style>
  <w:style w:type="character" w:customStyle="1" w:styleId="31">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21178</Words>
  <Characters>22844</Characters>
  <TotalTime>12</TotalTime>
  <ScaleCrop>false</ScaleCrop>
  <LinksUpToDate>false</LinksUpToDate>
  <CharactersWithSpaces>23506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2024-04-10T14:15:00Z</dcterms:created>
  <dc:creator>lenovo</dc:creator>
  <cp:lastModifiedBy>ZJ</cp:lastModifiedBy>
  <cp:lastPrinted>2024-11-27T08:32:00Z</cp:lastPrinted>
  <dcterms:modified xsi:type="dcterms:W3CDTF">2025-01-13T07:26:12Z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2024-04-22T10:11:23Z</vt:filetime>
  </property>
  <property fmtid="{D5CDD505-2E9C-101B-9397-08002B2CF9AE}" pid="4" name="KSOProductBuildVer">
    <vt:lpwstr>2052-12.1.0.19770</vt:lpwstr>
  </property>
  <property fmtid="{D5CDD505-2E9C-101B-9397-08002B2CF9AE}" pid="5" name="ICV">
    <vt:lpwstr>619DBFFC37CD4C9D95D67C7ED31688A5_13</vt:lpwstr>
  </property>
  <property fmtid="{D5CDD505-2E9C-101B-9397-08002B2CF9AE}" pid="6" name="KSOTemplateDocerSaveRecord">
    <vt:lpwstr>eyJoZGlkIjoiZDE1ODMxYjI1NzQzYjk2N2RjZDVjNDczZjIwNzJkYmEiLCJ1c2VySWQiOiIxNjM0MDIwNjcyIn0=</vt:lpwstr>
  </property>
</Properties>
</file>