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82FCB">
      <w:pPr>
        <w:spacing w:line="360" w:lineRule="auto"/>
        <w:jc w:val="center"/>
        <w:rPr>
          <w:rFonts w:hint="eastAsia" w:ascii="黑体" w:hAnsi="黑体" w:eastAsia="黑体"/>
          <w:b/>
          <w:color w:val="auto"/>
          <w:sz w:val="44"/>
          <w:szCs w:val="44"/>
          <w:highlight w:val="none"/>
          <w:lang w:eastAsia="zh-CN"/>
        </w:rPr>
      </w:pPr>
    </w:p>
    <w:p w14:paraId="0ECF6D73">
      <w:pPr>
        <w:pStyle w:val="3"/>
        <w:jc w:val="center"/>
        <w:rPr>
          <w:rFonts w:hint="eastAsia" w:ascii="黑体" w:hAnsi="黑体" w:eastAsia="黑体"/>
          <w:b/>
          <w:color w:val="auto"/>
          <w:sz w:val="52"/>
          <w:szCs w:val="52"/>
          <w:highlight w:val="none"/>
          <w:lang w:eastAsia="zh-CN"/>
        </w:rPr>
      </w:pPr>
      <w:bookmarkStart w:id="0" w:name="_Toc11506"/>
      <w:bookmarkStart w:id="1" w:name="_Toc10725"/>
      <w:r>
        <w:rPr>
          <w:rFonts w:hint="eastAsia" w:ascii="黑体" w:hAnsi="黑体" w:eastAsia="黑体"/>
          <w:b/>
          <w:color w:val="auto"/>
          <w:sz w:val="52"/>
          <w:szCs w:val="52"/>
          <w:highlight w:val="none"/>
          <w:lang w:eastAsia="zh-CN"/>
        </w:rPr>
        <w:t>长春市中心医院高级卒中中心项目（二）</w:t>
      </w:r>
    </w:p>
    <w:p w14:paraId="0D93DBA7">
      <w:pPr>
        <w:rPr>
          <w:rFonts w:hint="eastAsia"/>
          <w:highlight w:val="none"/>
        </w:rPr>
      </w:pPr>
    </w:p>
    <w:p w14:paraId="2C191721">
      <w:pPr>
        <w:pStyle w:val="3"/>
        <w:rPr>
          <w:rFonts w:hint="eastAsia"/>
          <w:highlight w:val="none"/>
        </w:rPr>
      </w:pPr>
      <w:bookmarkStart w:id="299" w:name="_GoBack"/>
      <w:bookmarkEnd w:id="299"/>
    </w:p>
    <w:p w14:paraId="01653A93">
      <w:pPr>
        <w:rPr>
          <w:rFonts w:hint="eastAsia"/>
          <w:highlight w:val="none"/>
        </w:rPr>
      </w:pPr>
    </w:p>
    <w:p w14:paraId="4B47B329">
      <w:pPr>
        <w:rPr>
          <w:rFonts w:hint="eastAsia"/>
          <w:highlight w:val="none"/>
        </w:rPr>
      </w:pPr>
    </w:p>
    <w:p w14:paraId="59C19307">
      <w:pPr>
        <w:rPr>
          <w:rFonts w:hint="eastAsia"/>
          <w:highlight w:val="none"/>
        </w:rPr>
      </w:pPr>
    </w:p>
    <w:p w14:paraId="5A39D821">
      <w:pPr>
        <w:rPr>
          <w:rFonts w:hint="eastAsia"/>
          <w:highlight w:val="none"/>
        </w:rPr>
      </w:pPr>
    </w:p>
    <w:p w14:paraId="03BC233F">
      <w:pPr>
        <w:rPr>
          <w:rFonts w:hint="eastAsia"/>
          <w:highlight w:val="none"/>
        </w:rPr>
      </w:pPr>
    </w:p>
    <w:p w14:paraId="163AB608">
      <w:pPr>
        <w:rPr>
          <w:rFonts w:hint="eastAsia"/>
          <w:highlight w:val="none"/>
        </w:rPr>
      </w:pPr>
    </w:p>
    <w:p w14:paraId="083B14F3">
      <w:pPr>
        <w:rPr>
          <w:rFonts w:hint="eastAsia"/>
          <w:highlight w:val="none"/>
        </w:rPr>
      </w:pPr>
    </w:p>
    <w:p w14:paraId="6B8C0035">
      <w:pPr>
        <w:adjustRightInd w:val="0"/>
        <w:snapToGrid w:val="0"/>
        <w:jc w:val="center"/>
        <w:outlineLvl w:val="0"/>
        <w:rPr>
          <w:rFonts w:ascii="黑体" w:hAnsi="黑体" w:eastAsia="黑体"/>
          <w:b/>
          <w:bCs/>
          <w:color w:val="auto"/>
          <w:sz w:val="72"/>
          <w:szCs w:val="72"/>
          <w:highlight w:val="none"/>
        </w:rPr>
      </w:pPr>
      <w:r>
        <w:rPr>
          <w:rFonts w:hint="eastAsia" w:ascii="黑体" w:hAnsi="黑体" w:eastAsia="黑体"/>
          <w:b/>
          <w:bCs/>
          <w:color w:val="auto"/>
          <w:sz w:val="72"/>
          <w:szCs w:val="72"/>
          <w:highlight w:val="none"/>
        </w:rPr>
        <w:t>竞争性磋商文件</w:t>
      </w:r>
      <w:bookmarkEnd w:id="0"/>
      <w:bookmarkEnd w:id="1"/>
    </w:p>
    <w:p w14:paraId="07A64F37">
      <w:pPr>
        <w:jc w:val="center"/>
        <w:rPr>
          <w:rFonts w:ascii="黑体" w:hAnsi="黑体" w:eastAsia="黑体"/>
          <w:b/>
          <w:bCs/>
          <w:color w:val="auto"/>
          <w:sz w:val="24"/>
          <w:highlight w:val="none"/>
        </w:rPr>
      </w:pPr>
    </w:p>
    <w:p w14:paraId="6264F523">
      <w:pPr>
        <w:pStyle w:val="42"/>
        <w:rPr>
          <w:highlight w:val="none"/>
        </w:rPr>
      </w:pPr>
    </w:p>
    <w:p w14:paraId="40D69ADE">
      <w:pPr>
        <w:tabs>
          <w:tab w:val="left" w:pos="2784"/>
          <w:tab w:val="center" w:pos="4216"/>
        </w:tabs>
        <w:ind w:leftChars="1300"/>
        <w:jc w:val="both"/>
        <w:outlineLvl w:val="0"/>
        <w:rPr>
          <w:rFonts w:hint="eastAsia" w:ascii="黑体" w:hAnsi="黑体" w:eastAsia="黑体"/>
          <w:b/>
          <w:bCs/>
          <w:color w:val="auto"/>
          <w:sz w:val="28"/>
          <w:szCs w:val="28"/>
          <w:highlight w:val="none"/>
          <w:lang w:eastAsia="zh-CN"/>
        </w:rPr>
      </w:pPr>
      <w:bookmarkStart w:id="2" w:name="_Toc17699"/>
      <w:bookmarkStart w:id="3" w:name="_Toc16793"/>
      <w:r>
        <w:rPr>
          <w:rFonts w:hint="eastAsia" w:ascii="黑体" w:hAnsi="黑体" w:eastAsia="黑体"/>
          <w:b/>
          <w:bCs/>
          <w:color w:val="auto"/>
          <w:sz w:val="28"/>
          <w:szCs w:val="28"/>
          <w:highlight w:val="none"/>
        </w:rPr>
        <w:t>项目编号：</w:t>
      </w:r>
      <w:bookmarkEnd w:id="2"/>
      <w:bookmarkEnd w:id="3"/>
      <w:r>
        <w:rPr>
          <w:rFonts w:hint="eastAsia" w:ascii="黑体" w:hAnsi="黑体" w:eastAsia="黑体"/>
          <w:b/>
          <w:bCs/>
          <w:color w:val="auto"/>
          <w:sz w:val="28"/>
          <w:szCs w:val="28"/>
          <w:highlight w:val="none"/>
          <w:lang w:val="en-US" w:eastAsia="zh-CN"/>
        </w:rPr>
        <w:t>JM-2025-01-00028/CIGN25003</w:t>
      </w:r>
    </w:p>
    <w:p w14:paraId="2BD33FB2">
      <w:pPr>
        <w:tabs>
          <w:tab w:val="left" w:pos="2784"/>
          <w:tab w:val="center" w:pos="4216"/>
        </w:tabs>
        <w:ind w:leftChars="1300"/>
        <w:jc w:val="both"/>
        <w:outlineLvl w:val="0"/>
        <w:rPr>
          <w:rFonts w:hint="eastAsia" w:ascii="黑体" w:hAnsi="黑体" w:eastAsia="黑体"/>
          <w:b/>
          <w:bCs/>
          <w:color w:val="auto"/>
          <w:sz w:val="28"/>
          <w:szCs w:val="28"/>
          <w:highlight w:val="none"/>
          <w:lang w:eastAsia="zh-CN"/>
        </w:rPr>
      </w:pPr>
      <w:r>
        <w:rPr>
          <w:rFonts w:hint="eastAsia" w:ascii="黑体" w:hAnsi="黑体" w:eastAsia="黑体"/>
          <w:b/>
          <w:bCs/>
          <w:color w:val="auto"/>
          <w:sz w:val="28"/>
          <w:szCs w:val="28"/>
          <w:highlight w:val="none"/>
          <w:lang w:val="en-US" w:eastAsia="zh-CN"/>
        </w:rPr>
        <w:t xml:space="preserve"> </w:t>
      </w:r>
    </w:p>
    <w:p w14:paraId="787C8983">
      <w:pPr>
        <w:jc w:val="center"/>
        <w:rPr>
          <w:rFonts w:ascii="黑体" w:hAnsi="黑体" w:eastAsia="黑体"/>
          <w:b/>
          <w:bCs/>
          <w:color w:val="auto"/>
          <w:sz w:val="32"/>
          <w:highlight w:val="none"/>
        </w:rPr>
      </w:pPr>
    </w:p>
    <w:p w14:paraId="406A8C2F">
      <w:pPr>
        <w:jc w:val="center"/>
        <w:rPr>
          <w:rFonts w:ascii="黑体" w:hAnsi="黑体" w:eastAsia="黑体"/>
          <w:b/>
          <w:bCs/>
          <w:color w:val="auto"/>
          <w:sz w:val="32"/>
          <w:highlight w:val="none"/>
        </w:rPr>
      </w:pPr>
    </w:p>
    <w:p w14:paraId="5DBD5F73">
      <w:pPr>
        <w:jc w:val="center"/>
        <w:rPr>
          <w:rFonts w:ascii="黑体" w:hAnsi="黑体" w:eastAsia="黑体"/>
          <w:b/>
          <w:bCs/>
          <w:color w:val="auto"/>
          <w:sz w:val="32"/>
          <w:highlight w:val="none"/>
        </w:rPr>
      </w:pPr>
    </w:p>
    <w:p w14:paraId="041B2C66">
      <w:pPr>
        <w:jc w:val="center"/>
        <w:rPr>
          <w:rFonts w:ascii="黑体" w:hAnsi="黑体" w:eastAsia="黑体"/>
          <w:b/>
          <w:bCs/>
          <w:color w:val="auto"/>
          <w:sz w:val="32"/>
          <w:highlight w:val="none"/>
        </w:rPr>
      </w:pPr>
    </w:p>
    <w:p w14:paraId="08347C79">
      <w:pPr>
        <w:jc w:val="center"/>
        <w:rPr>
          <w:rFonts w:ascii="黑体" w:hAnsi="黑体" w:eastAsia="黑体"/>
          <w:b/>
          <w:bCs/>
          <w:color w:val="auto"/>
          <w:sz w:val="32"/>
          <w:highlight w:val="none"/>
        </w:rPr>
      </w:pPr>
    </w:p>
    <w:p w14:paraId="1573E149">
      <w:pPr>
        <w:pStyle w:val="42"/>
        <w:rPr>
          <w:rFonts w:ascii="黑体" w:hAnsi="黑体" w:eastAsia="黑体"/>
          <w:b/>
          <w:bCs/>
          <w:color w:val="auto"/>
          <w:sz w:val="32"/>
          <w:highlight w:val="none"/>
        </w:rPr>
      </w:pPr>
    </w:p>
    <w:p w14:paraId="2266B340">
      <w:pPr>
        <w:pStyle w:val="42"/>
        <w:rPr>
          <w:rFonts w:ascii="黑体" w:hAnsi="黑体" w:eastAsia="黑体"/>
          <w:b/>
          <w:bCs/>
          <w:color w:val="auto"/>
          <w:sz w:val="32"/>
          <w:highlight w:val="none"/>
        </w:rPr>
      </w:pPr>
    </w:p>
    <w:p w14:paraId="6D53E669">
      <w:pPr>
        <w:jc w:val="center"/>
        <w:rPr>
          <w:rFonts w:ascii="黑体" w:hAnsi="黑体" w:eastAsia="黑体"/>
          <w:b/>
          <w:bCs/>
          <w:color w:val="auto"/>
          <w:sz w:val="32"/>
          <w:highlight w:val="none"/>
        </w:rPr>
      </w:pPr>
    </w:p>
    <w:p w14:paraId="2945EB96">
      <w:pPr>
        <w:jc w:val="center"/>
        <w:outlineLvl w:val="0"/>
        <w:rPr>
          <w:rFonts w:hint="eastAsia" w:ascii="黑体" w:hAnsi="黑体" w:eastAsia="黑体"/>
          <w:b/>
          <w:bCs/>
          <w:color w:val="auto"/>
          <w:sz w:val="30"/>
          <w:szCs w:val="30"/>
          <w:highlight w:val="none"/>
          <w:lang w:eastAsia="zh-CN"/>
        </w:rPr>
      </w:pPr>
      <w:bookmarkStart w:id="4" w:name="_Toc26080"/>
      <w:bookmarkStart w:id="5" w:name="_Toc23961"/>
      <w:r>
        <w:rPr>
          <w:rFonts w:hint="eastAsia" w:ascii="黑体" w:hAnsi="黑体" w:eastAsia="黑体"/>
          <w:b/>
          <w:bCs/>
          <w:color w:val="auto"/>
          <w:sz w:val="30"/>
          <w:szCs w:val="30"/>
          <w:highlight w:val="none"/>
          <w:lang w:eastAsia="zh-CN"/>
        </w:rPr>
        <w:t>采购人</w:t>
      </w:r>
      <w:r>
        <w:rPr>
          <w:rFonts w:hint="eastAsia" w:ascii="黑体" w:hAnsi="黑体" w:eastAsia="黑体"/>
          <w:b/>
          <w:bCs/>
          <w:color w:val="auto"/>
          <w:sz w:val="30"/>
          <w:szCs w:val="30"/>
          <w:highlight w:val="none"/>
        </w:rPr>
        <w:t>：</w:t>
      </w:r>
      <w:bookmarkEnd w:id="4"/>
      <w:bookmarkEnd w:id="5"/>
      <w:r>
        <w:rPr>
          <w:rFonts w:hint="eastAsia" w:ascii="黑体" w:hAnsi="黑体" w:eastAsia="黑体"/>
          <w:b/>
          <w:color w:val="auto"/>
          <w:sz w:val="30"/>
          <w:szCs w:val="30"/>
          <w:highlight w:val="none"/>
          <w:lang w:eastAsia="zh-CN"/>
        </w:rPr>
        <w:t>长春市中心医院</w:t>
      </w:r>
    </w:p>
    <w:p w14:paraId="0E2D6FF5">
      <w:pPr>
        <w:snapToGrid w:val="0"/>
        <w:ind w:firstLine="1506" w:firstLineChars="500"/>
        <w:jc w:val="center"/>
        <w:rPr>
          <w:rFonts w:ascii="黑体" w:hAnsi="黑体" w:eastAsia="黑体"/>
          <w:b/>
          <w:bCs/>
          <w:color w:val="auto"/>
          <w:sz w:val="30"/>
          <w:szCs w:val="30"/>
          <w:highlight w:val="none"/>
        </w:rPr>
      </w:pPr>
    </w:p>
    <w:p w14:paraId="2BAA8332">
      <w:pPr>
        <w:snapToGrid w:val="0"/>
        <w:jc w:val="center"/>
        <w:outlineLvl w:val="0"/>
        <w:rPr>
          <w:rFonts w:hint="eastAsia" w:ascii="黑体" w:hAnsi="黑体" w:eastAsia="黑体"/>
          <w:b/>
          <w:bCs/>
          <w:color w:val="auto"/>
          <w:sz w:val="30"/>
          <w:szCs w:val="30"/>
          <w:highlight w:val="none"/>
          <w:lang w:eastAsia="zh-CN"/>
        </w:rPr>
      </w:pPr>
      <w:bookmarkStart w:id="6" w:name="_Toc31505"/>
      <w:bookmarkStart w:id="7" w:name="_Toc5068"/>
      <w:r>
        <w:rPr>
          <w:rFonts w:hint="eastAsia" w:ascii="黑体" w:hAnsi="黑体" w:eastAsia="黑体"/>
          <w:b/>
          <w:bCs/>
          <w:color w:val="auto"/>
          <w:sz w:val="30"/>
          <w:szCs w:val="30"/>
          <w:highlight w:val="none"/>
          <w:lang w:eastAsia="zh-CN"/>
        </w:rPr>
        <w:t>采购代理机构</w:t>
      </w:r>
      <w:r>
        <w:rPr>
          <w:rFonts w:hint="eastAsia" w:ascii="黑体" w:hAnsi="黑体" w:eastAsia="黑体"/>
          <w:b/>
          <w:bCs/>
          <w:color w:val="auto"/>
          <w:sz w:val="30"/>
          <w:szCs w:val="30"/>
          <w:highlight w:val="none"/>
        </w:rPr>
        <w:t>：</w:t>
      </w:r>
      <w:bookmarkEnd w:id="6"/>
      <w:bookmarkEnd w:id="7"/>
      <w:r>
        <w:rPr>
          <w:rFonts w:hint="eastAsia" w:ascii="黑体" w:hAnsi="黑体" w:eastAsia="黑体"/>
          <w:b/>
          <w:bCs/>
          <w:color w:val="auto"/>
          <w:sz w:val="30"/>
          <w:szCs w:val="30"/>
          <w:highlight w:val="none"/>
          <w:lang w:eastAsia="zh-CN"/>
        </w:rPr>
        <w:t>中国洲际新资源集团股份公司</w:t>
      </w:r>
    </w:p>
    <w:p w14:paraId="481753C4">
      <w:pPr>
        <w:jc w:val="center"/>
        <w:rPr>
          <w:rFonts w:ascii="黑体" w:hAnsi="黑体" w:eastAsia="黑体"/>
          <w:b/>
          <w:bCs/>
          <w:color w:val="auto"/>
          <w:sz w:val="24"/>
          <w:szCs w:val="24"/>
          <w:highlight w:val="none"/>
        </w:rPr>
      </w:pPr>
    </w:p>
    <w:p w14:paraId="1C9BBC4B">
      <w:pPr>
        <w:adjustRightInd w:val="0"/>
        <w:snapToGrid w:val="0"/>
        <w:jc w:val="center"/>
        <w:rPr>
          <w:rFonts w:ascii="黑体" w:hAnsi="黑体" w:eastAsia="黑体"/>
          <w:b/>
          <w:bCs/>
          <w:color w:val="auto"/>
          <w:sz w:val="24"/>
          <w:szCs w:val="24"/>
          <w:highlight w:val="none"/>
        </w:rPr>
      </w:pPr>
    </w:p>
    <w:p w14:paraId="16C4F0E8">
      <w:pPr>
        <w:adjustRightInd w:val="0"/>
        <w:snapToGrid w:val="0"/>
        <w:jc w:val="center"/>
        <w:rPr>
          <w:rFonts w:hint="eastAsia" w:ascii="黑体" w:hAnsi="黑体" w:eastAsia="黑体"/>
          <w:b/>
          <w:bCs/>
          <w:color w:val="auto"/>
          <w:sz w:val="30"/>
          <w:szCs w:val="30"/>
          <w:highlight w:val="none"/>
          <w:lang w:eastAsia="zh-CN"/>
        </w:rPr>
      </w:pPr>
      <w:r>
        <w:rPr>
          <w:rFonts w:hint="eastAsia" w:ascii="黑体" w:hAnsi="黑体" w:eastAsia="黑体"/>
          <w:b/>
          <w:bCs/>
          <w:color w:val="auto"/>
          <w:sz w:val="30"/>
          <w:szCs w:val="30"/>
          <w:highlight w:val="none"/>
        </w:rPr>
        <w:t>日期：</w:t>
      </w:r>
      <w:r>
        <w:rPr>
          <w:rFonts w:hint="eastAsia" w:ascii="黑体" w:hAnsi="黑体" w:eastAsia="黑体"/>
          <w:b/>
          <w:bCs/>
          <w:color w:val="auto"/>
          <w:sz w:val="30"/>
          <w:szCs w:val="30"/>
          <w:highlight w:val="none"/>
          <w:lang w:eastAsia="zh-CN"/>
        </w:rPr>
        <w:t>202</w:t>
      </w:r>
      <w:r>
        <w:rPr>
          <w:rFonts w:hint="eastAsia" w:ascii="黑体" w:hAnsi="黑体" w:eastAsia="黑体"/>
          <w:b/>
          <w:bCs/>
          <w:color w:val="auto"/>
          <w:sz w:val="30"/>
          <w:szCs w:val="30"/>
          <w:highlight w:val="none"/>
          <w:lang w:val="en-US" w:eastAsia="zh-CN"/>
        </w:rPr>
        <w:t>5</w:t>
      </w:r>
      <w:r>
        <w:rPr>
          <w:rFonts w:hint="eastAsia" w:ascii="黑体" w:hAnsi="黑体" w:eastAsia="黑体"/>
          <w:b/>
          <w:bCs/>
          <w:color w:val="auto"/>
          <w:sz w:val="30"/>
          <w:szCs w:val="30"/>
          <w:highlight w:val="none"/>
          <w:lang w:eastAsia="zh-CN"/>
        </w:rPr>
        <w:t>年</w:t>
      </w:r>
      <w:r>
        <w:rPr>
          <w:rFonts w:hint="eastAsia" w:ascii="黑体" w:hAnsi="黑体" w:eastAsia="黑体"/>
          <w:b/>
          <w:bCs/>
          <w:color w:val="auto"/>
          <w:sz w:val="30"/>
          <w:szCs w:val="30"/>
          <w:highlight w:val="none"/>
          <w:lang w:val="en-US" w:eastAsia="zh-CN"/>
        </w:rPr>
        <w:t>01</w:t>
      </w:r>
      <w:r>
        <w:rPr>
          <w:rFonts w:hint="eastAsia" w:ascii="黑体" w:hAnsi="黑体" w:eastAsia="黑体"/>
          <w:b/>
          <w:bCs/>
          <w:color w:val="auto"/>
          <w:sz w:val="30"/>
          <w:szCs w:val="30"/>
          <w:highlight w:val="none"/>
          <w:lang w:eastAsia="zh-CN"/>
        </w:rPr>
        <w:t>月</w:t>
      </w:r>
    </w:p>
    <w:p w14:paraId="353A58F8">
      <w:pPr>
        <w:spacing w:line="400" w:lineRule="exact"/>
        <w:rPr>
          <w:rFonts w:ascii="宋体" w:hAnsi="宋体"/>
          <w:color w:val="auto"/>
          <w:sz w:val="36"/>
          <w:szCs w:val="36"/>
          <w:highlight w:val="none"/>
        </w:rPr>
        <w:sectPr>
          <w:headerReference r:id="rId3" w:type="default"/>
          <w:footerReference r:id="rId5" w:type="default"/>
          <w:headerReference r:id="rId4" w:type="even"/>
          <w:footerReference r:id="rId6" w:type="even"/>
          <w:pgSz w:w="11907" w:h="16840"/>
          <w:pgMar w:top="1134" w:right="1134" w:bottom="1134" w:left="1134" w:header="850" w:footer="850" w:gutter="0"/>
          <w:pgNumType w:start="1"/>
          <w:cols w:space="0" w:num="1"/>
          <w:rtlGutter w:val="0"/>
          <w:docGrid w:linePitch="312" w:charSpace="0"/>
        </w:sectPr>
      </w:pPr>
    </w:p>
    <w:sdt>
      <w:sdtPr>
        <w:rPr>
          <w:rFonts w:ascii="宋体" w:hAnsi="宋体" w:eastAsia="宋体" w:cs="Times New Roman"/>
          <w:color w:val="auto"/>
          <w:kern w:val="2"/>
          <w:sz w:val="21"/>
          <w:highlight w:val="none"/>
          <w:lang w:val="en-US" w:eastAsia="zh-CN" w:bidi="ar-SA"/>
        </w:rPr>
        <w:id w:val="147466710"/>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105BA53D">
          <w:pPr>
            <w:spacing w:before="0" w:beforeLines="0" w:after="0" w:afterLines="0" w:line="240" w:lineRule="auto"/>
            <w:ind w:left="0" w:leftChars="0" w:right="0" w:rightChars="0" w:firstLine="0" w:firstLineChars="0"/>
            <w:jc w:val="center"/>
            <w:rPr>
              <w:b/>
              <w:bCs/>
              <w:color w:val="auto"/>
              <w:sz w:val="28"/>
              <w:szCs w:val="24"/>
              <w:highlight w:val="none"/>
            </w:rPr>
          </w:pPr>
          <w:r>
            <w:rPr>
              <w:rFonts w:ascii="宋体" w:hAnsi="宋体" w:eastAsia="宋体"/>
              <w:b/>
              <w:bCs/>
              <w:color w:val="auto"/>
              <w:sz w:val="28"/>
              <w:szCs w:val="24"/>
              <w:highlight w:val="none"/>
            </w:rPr>
            <w:t>目</w:t>
          </w:r>
          <w:r>
            <w:rPr>
              <w:rFonts w:hint="eastAsia" w:ascii="宋体" w:hAnsi="宋体" w:eastAsia="宋体"/>
              <w:b/>
              <w:bCs/>
              <w:color w:val="auto"/>
              <w:sz w:val="28"/>
              <w:szCs w:val="24"/>
              <w:highlight w:val="none"/>
              <w:lang w:val="en-US" w:eastAsia="zh-CN"/>
            </w:rPr>
            <w:t xml:space="preserve"> </w:t>
          </w:r>
          <w:r>
            <w:rPr>
              <w:rFonts w:ascii="宋体" w:hAnsi="宋体" w:eastAsia="宋体"/>
              <w:b/>
              <w:bCs/>
              <w:color w:val="auto"/>
              <w:sz w:val="28"/>
              <w:szCs w:val="24"/>
              <w:highlight w:val="none"/>
            </w:rPr>
            <w:t>录</w:t>
          </w:r>
        </w:p>
        <w:p w14:paraId="4C59A1C0">
          <w:pPr>
            <w:pStyle w:val="445"/>
            <w:tabs>
              <w:tab w:val="right" w:leader="dot" w:pos="9639"/>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4982D6CB">
          <w:pPr>
            <w:pStyle w:val="445"/>
            <w:tabs>
              <w:tab w:val="right" w:leader="dot" w:pos="9639"/>
            </w:tabs>
            <w:spacing w:line="360" w:lineRule="auto"/>
            <w:rPr>
              <w:rFonts w:hint="eastAsia" w:ascii="宋体" w:hAnsi="宋体" w:eastAsia="宋体" w:cs="宋体"/>
              <w:color w:val="auto"/>
              <w:sz w:val="24"/>
              <w:szCs w:val="24"/>
              <w:highlight w:val="none"/>
            </w:rPr>
          </w:pPr>
        </w:p>
        <w:p w14:paraId="1C3F8C8C">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563170">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45B0F5">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pacing w:val="-2"/>
              <w:kern w:val="0"/>
              <w:sz w:val="24"/>
              <w:szCs w:val="24"/>
              <w:highlight w:val="none"/>
              <w:lang w:val="en-US" w:eastAsia="zh-CN" w:bidi="ar-SA"/>
            </w:rPr>
            <w:t>第三章 评</w:t>
          </w:r>
          <w:r>
            <w:rPr>
              <w:rFonts w:hint="eastAsia" w:ascii="宋体" w:hAnsi="宋体" w:cs="宋体"/>
              <w:bCs w:val="0"/>
              <w:color w:val="auto"/>
              <w:spacing w:val="-2"/>
              <w:kern w:val="0"/>
              <w:sz w:val="24"/>
              <w:szCs w:val="24"/>
              <w:highlight w:val="none"/>
              <w:lang w:val="en-US" w:eastAsia="zh-CN" w:bidi="ar-SA"/>
            </w:rPr>
            <w:t>审</w:t>
          </w:r>
          <w:r>
            <w:rPr>
              <w:rFonts w:hint="eastAsia" w:ascii="宋体" w:hAnsi="宋体" w:eastAsia="宋体" w:cs="宋体"/>
              <w:bCs w:val="0"/>
              <w:color w:val="auto"/>
              <w:spacing w:val="-2"/>
              <w:kern w:val="0"/>
              <w:sz w:val="24"/>
              <w:szCs w:val="24"/>
              <w:highlight w:val="none"/>
              <w:lang w:val="en-US" w:eastAsia="zh-CN" w:bidi="ar-SA"/>
            </w:rPr>
            <w:t>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4F7CCE">
          <w:pPr>
            <w:pStyle w:val="445"/>
            <w:tabs>
              <w:tab w:val="right" w:leader="dot" w:pos="96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D353AE8">
          <w:pPr>
            <w:pStyle w:val="445"/>
            <w:tabs>
              <w:tab w:val="right" w:leader="dot" w:pos="96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1F0BEE0D">
          <w:pPr>
            <w:pStyle w:val="445"/>
            <w:tabs>
              <w:tab w:val="right" w:leader="dot" w:pos="9639"/>
            </w:tabs>
            <w:spacing w:line="360" w:lineRule="auto"/>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5785F0B8">
          <w:pPr>
            <w:pStyle w:val="445"/>
            <w:tabs>
              <w:tab w:val="right" w:leader="dot" w:pos="9639"/>
            </w:tabs>
            <w:rPr>
              <w:color w:val="auto"/>
              <w:highlight w:val="none"/>
            </w:rPr>
          </w:pPr>
        </w:p>
        <w:p w14:paraId="7DC0DCF8">
          <w:pPr>
            <w:rPr>
              <w:color w:val="auto"/>
              <w:highlight w:val="none"/>
            </w:rPr>
          </w:pPr>
          <w:r>
            <w:rPr>
              <w:color w:val="auto"/>
              <w:highlight w:val="none"/>
            </w:rPr>
            <w:fldChar w:fldCharType="end"/>
          </w:r>
        </w:p>
      </w:sdtContent>
    </w:sdt>
    <w:p w14:paraId="66EDA68F">
      <w:pPr>
        <w:pStyle w:val="2"/>
        <w:spacing w:before="0" w:beforeAutospacing="0" w:after="312" w:afterAutospacing="0" w:line="360" w:lineRule="exact"/>
        <w:jc w:val="center"/>
        <w:outlineLvl w:val="0"/>
        <w:rPr>
          <w:rFonts w:hint="eastAsia" w:ascii="宋体" w:hAnsi="宋体" w:eastAsia="宋体"/>
          <w:color w:val="auto"/>
          <w:sz w:val="36"/>
          <w:highlight w:val="none"/>
        </w:rPr>
        <w:sectPr>
          <w:headerReference r:id="rId7" w:type="default"/>
          <w:footerReference r:id="rId8" w:type="default"/>
          <w:pgSz w:w="11907" w:h="16840"/>
          <w:pgMar w:top="1134" w:right="1134" w:bottom="1134" w:left="1134" w:header="850" w:footer="850" w:gutter="0"/>
          <w:pgNumType w:fmt="decimal" w:start="1"/>
          <w:cols w:space="0" w:num="1"/>
          <w:rtlGutter w:val="0"/>
          <w:docGrid w:linePitch="312" w:charSpace="0"/>
        </w:sectPr>
      </w:pPr>
      <w:bookmarkStart w:id="8" w:name="_Toc10461"/>
    </w:p>
    <w:p w14:paraId="6C15B028">
      <w:pPr>
        <w:pStyle w:val="2"/>
        <w:spacing w:before="0" w:beforeAutospacing="0" w:after="312" w:afterAutospacing="0" w:line="360" w:lineRule="exact"/>
        <w:jc w:val="center"/>
        <w:outlineLvl w:val="0"/>
        <w:rPr>
          <w:rFonts w:hint="eastAsia" w:ascii="宋体" w:hAnsi="宋体" w:eastAsia="宋体"/>
          <w:color w:val="auto"/>
          <w:sz w:val="36"/>
          <w:highlight w:val="none"/>
        </w:rPr>
      </w:pPr>
    </w:p>
    <w:p w14:paraId="6CF199FC">
      <w:pPr>
        <w:pStyle w:val="2"/>
        <w:spacing w:before="0" w:beforeAutospacing="0" w:after="312" w:afterAutospacing="0" w:line="360" w:lineRule="exact"/>
        <w:jc w:val="center"/>
        <w:outlineLvl w:val="0"/>
        <w:rPr>
          <w:rFonts w:ascii="宋体" w:hAnsi="宋体" w:eastAsia="宋体"/>
          <w:color w:val="auto"/>
          <w:sz w:val="36"/>
          <w:highlight w:val="none"/>
        </w:rPr>
      </w:pPr>
      <w:r>
        <w:rPr>
          <w:rFonts w:hint="eastAsia" w:ascii="宋体" w:hAnsi="宋体" w:eastAsia="宋体"/>
          <w:color w:val="auto"/>
          <w:sz w:val="36"/>
          <w:highlight w:val="none"/>
        </w:rPr>
        <w:t>第一章</w:t>
      </w:r>
      <w:bookmarkStart w:id="9" w:name="OLE_LINK2"/>
      <w:bookmarkStart w:id="10" w:name="_Toc213397009"/>
      <w:bookmarkStart w:id="11" w:name="_Toc213396759"/>
      <w:bookmarkStart w:id="12" w:name="_Toc213496267"/>
      <w:bookmarkStart w:id="13" w:name="_Toc213396945"/>
      <w:bookmarkStart w:id="14" w:name="_Toc217446031"/>
      <w:bookmarkStart w:id="15" w:name="_Toc77400776"/>
      <w:bookmarkStart w:id="16" w:name="_Toc183682339"/>
      <w:bookmarkStart w:id="17" w:name="_Toc183582202"/>
      <w:bookmarkStart w:id="18" w:name="_Toc89075871"/>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竞争性磋商公告</w:t>
      </w:r>
      <w:bookmarkEnd w:id="8"/>
    </w:p>
    <w:p w14:paraId="4F41C70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color w:val="auto"/>
          <w:sz w:val="21"/>
          <w:szCs w:val="21"/>
          <w:highlight w:val="none"/>
        </w:rPr>
      </w:pPr>
      <w:r>
        <w:rPr>
          <w:rFonts w:hint="eastAsia" w:ascii="宋体" w:hAnsi="宋体"/>
          <w:b/>
          <w:bCs/>
          <w:color w:val="auto"/>
          <w:sz w:val="21"/>
          <w:szCs w:val="21"/>
          <w:highlight w:val="none"/>
        </w:rPr>
        <w:t>项目概况</w:t>
      </w:r>
    </w:p>
    <w:p w14:paraId="214878A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u w:val="none"/>
          <w:lang w:val="en-US" w:eastAsia="zh-CN"/>
        </w:rPr>
        <w:t>长春市中心医院高级卒中中心项目（二）</w:t>
      </w:r>
      <w:r>
        <w:rPr>
          <w:rFonts w:hint="eastAsia" w:ascii="宋体" w:hAnsi="宋体"/>
          <w:color w:val="auto"/>
          <w:sz w:val="21"/>
          <w:szCs w:val="21"/>
          <w:highlight w:val="none"/>
        </w:rPr>
        <w:t>的潜在</w:t>
      </w:r>
      <w:r>
        <w:rPr>
          <w:rFonts w:hint="eastAsia" w:ascii="宋体" w:hAnsi="宋体"/>
          <w:color w:val="auto"/>
          <w:sz w:val="21"/>
          <w:szCs w:val="21"/>
          <w:highlight w:val="none"/>
          <w:lang w:eastAsia="zh-CN"/>
        </w:rPr>
        <w:t>供应商应自行登录政府采购云平台（网址：http:// www.zcygov.cn）网上注册（</w:t>
      </w:r>
      <w:r>
        <w:rPr>
          <w:rFonts w:hint="eastAsia" w:ascii="宋体" w:hAnsi="宋体"/>
          <w:color w:val="auto"/>
          <w:sz w:val="21"/>
          <w:szCs w:val="21"/>
          <w:highlight w:val="none"/>
          <w:lang w:val="en-US" w:eastAsia="zh-CN"/>
        </w:rPr>
        <w:t>网址：</w:t>
      </w:r>
      <w:r>
        <w:rPr>
          <w:rFonts w:hint="eastAsia" w:ascii="宋体" w:hAnsi="宋体"/>
          <w:color w:val="auto"/>
          <w:sz w:val="21"/>
          <w:szCs w:val="21"/>
          <w:highlight w:val="none"/>
          <w:lang w:eastAsia="zh-CN"/>
        </w:rPr>
        <w:t>https://middle.zcygov.cn/v-settle-front/registry）并下载竞争性磋商文件</w:t>
      </w:r>
      <w:r>
        <w:rPr>
          <w:rFonts w:hint="eastAsia" w:ascii="宋体" w:hAnsi="宋体"/>
          <w:color w:val="auto"/>
          <w:sz w:val="21"/>
          <w:szCs w:val="21"/>
          <w:highlight w:val="none"/>
        </w:rPr>
        <w:t>，并于</w:t>
      </w:r>
      <w:r>
        <w:rPr>
          <w:rFonts w:hint="eastAsia" w:ascii="宋体" w:hAnsi="宋体"/>
          <w:color w:val="auto"/>
          <w:sz w:val="21"/>
          <w:szCs w:val="21"/>
          <w:highlight w:val="none"/>
          <w:lang w:eastAsia="zh-CN"/>
        </w:rPr>
        <w:t>2025年02月10日13时30分</w:t>
      </w:r>
      <w:r>
        <w:rPr>
          <w:rFonts w:hint="eastAsia" w:ascii="宋体" w:hAnsi="宋体"/>
          <w:bCs/>
          <w:color w:val="auto"/>
          <w:sz w:val="21"/>
          <w:szCs w:val="21"/>
          <w:highlight w:val="none"/>
        </w:rPr>
        <w:t>（北京时间）前递交响应</w:t>
      </w:r>
      <w:r>
        <w:rPr>
          <w:rFonts w:ascii="宋体" w:hAnsi="宋体"/>
          <w:bCs/>
          <w:color w:val="auto"/>
          <w:sz w:val="21"/>
          <w:szCs w:val="21"/>
          <w:highlight w:val="none"/>
        </w:rPr>
        <w:t>文件</w:t>
      </w:r>
      <w:r>
        <w:rPr>
          <w:rFonts w:hint="eastAsia" w:ascii="宋体" w:hAnsi="宋体"/>
          <w:color w:val="auto"/>
          <w:sz w:val="21"/>
          <w:szCs w:val="21"/>
          <w:highlight w:val="none"/>
        </w:rPr>
        <w:t>。</w:t>
      </w:r>
    </w:p>
    <w:p w14:paraId="4483F6A8">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9" w:name="_Toc28359079"/>
      <w:bookmarkStart w:id="20" w:name="_Toc28359002"/>
      <w:bookmarkStart w:id="21" w:name="_Toc35393621"/>
      <w:bookmarkStart w:id="22" w:name="_Toc35393790"/>
      <w:r>
        <w:rPr>
          <w:rFonts w:hint="eastAsia" w:ascii="宋体" w:hAnsi="宋体" w:eastAsia="宋体" w:cs="宋体"/>
          <w:color w:val="auto"/>
          <w:sz w:val="21"/>
          <w:szCs w:val="21"/>
          <w:highlight w:val="none"/>
        </w:rPr>
        <w:t>一、项目基本情况</w:t>
      </w:r>
      <w:bookmarkEnd w:id="19"/>
      <w:bookmarkEnd w:id="20"/>
      <w:bookmarkEnd w:id="21"/>
      <w:bookmarkEnd w:id="22"/>
      <w:r>
        <w:rPr>
          <w:rFonts w:hint="eastAsia" w:ascii="宋体" w:hAnsi="宋体" w:eastAsia="宋体" w:cs="宋体"/>
          <w:color w:val="auto"/>
          <w:sz w:val="21"/>
          <w:szCs w:val="21"/>
          <w:highlight w:val="none"/>
        </w:rPr>
        <w:t>：</w:t>
      </w:r>
    </w:p>
    <w:p w14:paraId="2C2AE61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3" w:name="_Hlk24379207"/>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cs="Times New Roman"/>
          <w:highlight w:val="none"/>
          <w:lang w:val="en-US" w:eastAsia="zh-CN"/>
        </w:rPr>
        <w:t>JM-2025-01-00028/CIGN25003</w:t>
      </w:r>
    </w:p>
    <w:p w14:paraId="6D9C776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编号：</w:t>
      </w:r>
      <w:r>
        <w:rPr>
          <w:rFonts w:hint="eastAsia" w:ascii="宋体" w:cs="Times New Roman"/>
          <w:highlight w:val="none"/>
          <w:lang w:val="en-US" w:eastAsia="zh-CN"/>
        </w:rPr>
        <w:t>JM-2025-01-00028</w:t>
      </w:r>
    </w:p>
    <w:p w14:paraId="237467B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长春市中心医院高级卒中中心项目（二）</w:t>
      </w:r>
    </w:p>
    <w:p w14:paraId="726B78C8">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采购方式：竞争性磋商</w:t>
      </w:r>
    </w:p>
    <w:p w14:paraId="6A6898E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148.6万；</w:t>
      </w:r>
    </w:p>
    <w:p w14:paraId="20F958D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最高限价：</w:t>
      </w:r>
      <w:r>
        <w:rPr>
          <w:rFonts w:hint="eastAsia" w:ascii="宋体" w:hAnsi="宋体" w:cs="宋体"/>
          <w:sz w:val="21"/>
          <w:szCs w:val="21"/>
          <w:highlight w:val="none"/>
          <w:lang w:val="en-US" w:eastAsia="zh-CN"/>
        </w:rPr>
        <w:t>最高限价不得超过其预算单价及预算金额</w:t>
      </w:r>
      <w:r>
        <w:rPr>
          <w:rFonts w:hint="eastAsia" w:ascii="宋体" w:hAnsi="宋体" w:cs="宋体"/>
          <w:color w:val="auto"/>
          <w:sz w:val="21"/>
          <w:szCs w:val="21"/>
          <w:highlight w:val="none"/>
          <w:lang w:val="en-US" w:eastAsia="zh-CN"/>
        </w:rPr>
        <w:t>；</w:t>
      </w:r>
    </w:p>
    <w:bookmarkEnd w:id="23"/>
    <w:p w14:paraId="34DDB7C5">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采购需求：</w:t>
      </w:r>
    </w:p>
    <w:tbl>
      <w:tblPr>
        <w:tblStyle w:val="53"/>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0"/>
        <w:gridCol w:w="1372"/>
        <w:gridCol w:w="3084"/>
      </w:tblGrid>
      <w:tr w14:paraId="23D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22" w:type="dxa"/>
            <w:noWrap w:val="0"/>
            <w:vAlign w:val="center"/>
          </w:tcPr>
          <w:p w14:paraId="0FA9FDD8">
            <w:pPr>
              <w:spacing w:line="240" w:lineRule="auto"/>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序号</w:t>
            </w:r>
          </w:p>
        </w:tc>
        <w:tc>
          <w:tcPr>
            <w:tcW w:w="3240" w:type="dxa"/>
            <w:noWrap w:val="0"/>
            <w:vAlign w:val="center"/>
          </w:tcPr>
          <w:p w14:paraId="16940156">
            <w:pPr>
              <w:spacing w:line="240" w:lineRule="auto"/>
              <w:jc w:val="center"/>
              <w:rPr>
                <w:rFonts w:hint="eastAsia" w:ascii="宋体" w:hAnsi="宋体" w:eastAsia="宋体" w:cs="宋体"/>
                <w:b w:val="0"/>
                <w:bCs w:val="0"/>
                <w:sz w:val="21"/>
                <w:szCs w:val="21"/>
                <w:highlight w:val="none"/>
                <w:vertAlign w:val="baseline"/>
              </w:rPr>
            </w:pPr>
            <w:r>
              <w:rPr>
                <w:rFonts w:hint="eastAsia" w:ascii="宋体" w:hAnsi="宋体" w:cs="宋体"/>
                <w:b w:val="0"/>
                <w:bCs w:val="0"/>
                <w:sz w:val="21"/>
                <w:szCs w:val="21"/>
                <w:highlight w:val="none"/>
                <w:vertAlign w:val="baseline"/>
                <w:lang w:val="en-US" w:eastAsia="zh-CN"/>
              </w:rPr>
              <w:t>产品名称</w:t>
            </w:r>
          </w:p>
        </w:tc>
        <w:tc>
          <w:tcPr>
            <w:tcW w:w="1372" w:type="dxa"/>
            <w:noWrap w:val="0"/>
            <w:vAlign w:val="center"/>
          </w:tcPr>
          <w:p w14:paraId="061EBE02">
            <w:pPr>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数量</w:t>
            </w:r>
          </w:p>
        </w:tc>
        <w:tc>
          <w:tcPr>
            <w:tcW w:w="3084" w:type="dxa"/>
            <w:noWrap w:val="0"/>
            <w:vAlign w:val="center"/>
          </w:tcPr>
          <w:p w14:paraId="02261F85">
            <w:pPr>
              <w:spacing w:line="24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预算单价（万元）</w:t>
            </w:r>
          </w:p>
        </w:tc>
      </w:tr>
      <w:tr w14:paraId="606F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22" w:type="dxa"/>
            <w:noWrap w:val="0"/>
            <w:vAlign w:val="center"/>
          </w:tcPr>
          <w:p w14:paraId="3905659F">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01</w:t>
            </w:r>
          </w:p>
        </w:tc>
        <w:tc>
          <w:tcPr>
            <w:tcW w:w="3240" w:type="dxa"/>
            <w:noWrap w:val="0"/>
            <w:vAlign w:val="center"/>
          </w:tcPr>
          <w:p w14:paraId="11D76AEE">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视频眼震图仪</w:t>
            </w:r>
          </w:p>
        </w:tc>
        <w:tc>
          <w:tcPr>
            <w:tcW w:w="1372" w:type="dxa"/>
            <w:noWrap w:val="0"/>
            <w:vAlign w:val="center"/>
          </w:tcPr>
          <w:p w14:paraId="3B2DAFDC">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42371C26">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60.00</w:t>
            </w:r>
          </w:p>
        </w:tc>
      </w:tr>
      <w:tr w14:paraId="4170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22" w:type="dxa"/>
            <w:noWrap w:val="0"/>
            <w:vAlign w:val="center"/>
          </w:tcPr>
          <w:p w14:paraId="22D73532">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2</w:t>
            </w:r>
          </w:p>
        </w:tc>
        <w:tc>
          <w:tcPr>
            <w:tcW w:w="3240" w:type="dxa"/>
            <w:noWrap w:val="0"/>
            <w:vAlign w:val="center"/>
          </w:tcPr>
          <w:p w14:paraId="44789BA8">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失眠治疗仪</w:t>
            </w:r>
          </w:p>
        </w:tc>
        <w:tc>
          <w:tcPr>
            <w:tcW w:w="1372" w:type="dxa"/>
            <w:noWrap w:val="0"/>
            <w:vAlign w:val="center"/>
          </w:tcPr>
          <w:p w14:paraId="05F13734">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44679225">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20.00</w:t>
            </w:r>
          </w:p>
        </w:tc>
      </w:tr>
      <w:tr w14:paraId="5BAC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22" w:type="dxa"/>
            <w:noWrap w:val="0"/>
            <w:vAlign w:val="center"/>
          </w:tcPr>
          <w:p w14:paraId="46255224">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3</w:t>
            </w:r>
          </w:p>
        </w:tc>
        <w:tc>
          <w:tcPr>
            <w:tcW w:w="3240" w:type="dxa"/>
            <w:noWrap w:val="0"/>
            <w:vAlign w:val="center"/>
          </w:tcPr>
          <w:p w14:paraId="1F0F14F3">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便携式睡眠监测仪</w:t>
            </w:r>
          </w:p>
        </w:tc>
        <w:tc>
          <w:tcPr>
            <w:tcW w:w="1372" w:type="dxa"/>
            <w:noWrap w:val="0"/>
            <w:vAlign w:val="center"/>
          </w:tcPr>
          <w:p w14:paraId="6B01B161">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w:t>
            </w:r>
            <w:r>
              <w:rPr>
                <w:rFonts w:hint="eastAsia"/>
                <w:highlight w:val="none"/>
                <w:lang w:val="en-US" w:eastAsia="zh-CN"/>
              </w:rPr>
              <w:t>台</w:t>
            </w:r>
          </w:p>
        </w:tc>
        <w:tc>
          <w:tcPr>
            <w:tcW w:w="3084" w:type="dxa"/>
            <w:noWrap w:val="0"/>
            <w:vAlign w:val="center"/>
          </w:tcPr>
          <w:p w14:paraId="49508DF4">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12.00</w:t>
            </w:r>
          </w:p>
        </w:tc>
      </w:tr>
      <w:tr w14:paraId="43DF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22" w:type="dxa"/>
            <w:noWrap w:val="0"/>
            <w:vAlign w:val="center"/>
          </w:tcPr>
          <w:p w14:paraId="4CE7D25A">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4</w:t>
            </w:r>
          </w:p>
        </w:tc>
        <w:tc>
          <w:tcPr>
            <w:tcW w:w="3240" w:type="dxa"/>
            <w:noWrap w:val="0"/>
            <w:vAlign w:val="center"/>
          </w:tcPr>
          <w:p w14:paraId="28D10D62">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动态血压监测仪</w:t>
            </w:r>
          </w:p>
        </w:tc>
        <w:tc>
          <w:tcPr>
            <w:tcW w:w="1372" w:type="dxa"/>
            <w:noWrap w:val="0"/>
            <w:vAlign w:val="center"/>
          </w:tcPr>
          <w:p w14:paraId="27F0C182">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1台</w:t>
            </w:r>
          </w:p>
        </w:tc>
        <w:tc>
          <w:tcPr>
            <w:tcW w:w="3084" w:type="dxa"/>
            <w:noWrap w:val="0"/>
            <w:vAlign w:val="center"/>
          </w:tcPr>
          <w:p w14:paraId="072B2EAB">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3.00</w:t>
            </w:r>
          </w:p>
        </w:tc>
      </w:tr>
      <w:tr w14:paraId="651E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22" w:type="dxa"/>
            <w:noWrap w:val="0"/>
            <w:vAlign w:val="center"/>
          </w:tcPr>
          <w:p w14:paraId="0ABE40C1">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5</w:t>
            </w:r>
          </w:p>
        </w:tc>
        <w:tc>
          <w:tcPr>
            <w:tcW w:w="3240" w:type="dxa"/>
            <w:noWrap w:val="0"/>
            <w:vAlign w:val="center"/>
          </w:tcPr>
          <w:p w14:paraId="2299E2A9">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溶栓体重床(称重液压升降平车)</w:t>
            </w:r>
          </w:p>
        </w:tc>
        <w:tc>
          <w:tcPr>
            <w:tcW w:w="1372" w:type="dxa"/>
            <w:noWrap w:val="0"/>
            <w:vAlign w:val="center"/>
          </w:tcPr>
          <w:p w14:paraId="09EACFA7">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2张</w:t>
            </w:r>
          </w:p>
        </w:tc>
        <w:tc>
          <w:tcPr>
            <w:tcW w:w="3084" w:type="dxa"/>
            <w:noWrap w:val="0"/>
            <w:vAlign w:val="center"/>
          </w:tcPr>
          <w:p w14:paraId="49F0FC4C">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3.00</w:t>
            </w:r>
          </w:p>
        </w:tc>
      </w:tr>
      <w:tr w14:paraId="6D89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22" w:type="dxa"/>
            <w:noWrap w:val="0"/>
            <w:vAlign w:val="center"/>
          </w:tcPr>
          <w:p w14:paraId="623062E8">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6</w:t>
            </w:r>
          </w:p>
        </w:tc>
        <w:tc>
          <w:tcPr>
            <w:tcW w:w="3240" w:type="dxa"/>
            <w:noWrap w:val="0"/>
            <w:vAlign w:val="center"/>
          </w:tcPr>
          <w:p w14:paraId="798F6897">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冷</w:t>
            </w:r>
            <w:r>
              <w:rPr>
                <w:rFonts w:hint="eastAsia" w:ascii="宋体" w:hAnsi="宋体" w:cs="宋体"/>
                <w:b w:val="0"/>
                <w:bCs w:val="0"/>
                <w:kern w:val="2"/>
                <w:sz w:val="21"/>
                <w:szCs w:val="21"/>
                <w:highlight w:val="none"/>
                <w:vertAlign w:val="baseline"/>
                <w:lang w:val="en-US" w:eastAsia="zh-CN" w:bidi="ar-SA"/>
              </w:rPr>
              <w:t>藏</w:t>
            </w:r>
            <w:r>
              <w:rPr>
                <w:rFonts w:hint="default" w:ascii="宋体" w:hAnsi="宋体" w:eastAsia="宋体" w:cs="宋体"/>
                <w:b w:val="0"/>
                <w:bCs w:val="0"/>
                <w:kern w:val="2"/>
                <w:sz w:val="21"/>
                <w:szCs w:val="21"/>
                <w:highlight w:val="none"/>
                <w:vertAlign w:val="baseline"/>
                <w:lang w:val="en-US" w:eastAsia="zh-CN" w:bidi="ar-SA"/>
              </w:rPr>
              <w:t>箱</w:t>
            </w:r>
          </w:p>
        </w:tc>
        <w:tc>
          <w:tcPr>
            <w:tcW w:w="1372" w:type="dxa"/>
            <w:noWrap w:val="0"/>
            <w:vAlign w:val="center"/>
          </w:tcPr>
          <w:p w14:paraId="78D23D86">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48888A28">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0.20</w:t>
            </w:r>
          </w:p>
        </w:tc>
      </w:tr>
      <w:tr w14:paraId="262F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22" w:type="dxa"/>
            <w:noWrap w:val="0"/>
            <w:vAlign w:val="center"/>
          </w:tcPr>
          <w:p w14:paraId="5DE759B4">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07</w:t>
            </w:r>
          </w:p>
        </w:tc>
        <w:tc>
          <w:tcPr>
            <w:tcW w:w="3240" w:type="dxa"/>
            <w:noWrap w:val="0"/>
            <w:vAlign w:val="center"/>
          </w:tcPr>
          <w:p w14:paraId="20C1E3C5">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监护仪</w:t>
            </w:r>
          </w:p>
        </w:tc>
        <w:tc>
          <w:tcPr>
            <w:tcW w:w="1372" w:type="dxa"/>
            <w:noWrap w:val="0"/>
            <w:vAlign w:val="center"/>
          </w:tcPr>
          <w:p w14:paraId="75722EE2">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5</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1EC629AB">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4.00</w:t>
            </w:r>
          </w:p>
        </w:tc>
      </w:tr>
      <w:tr w14:paraId="28A1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2DCDC969">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kern w:val="2"/>
                <w:sz w:val="21"/>
                <w:szCs w:val="21"/>
                <w:highlight w:val="none"/>
                <w:vertAlign w:val="baseline"/>
                <w:lang w:val="en-US" w:eastAsia="zh-CN" w:bidi="ar-SA"/>
              </w:rPr>
              <w:t>0</w:t>
            </w:r>
            <w:r>
              <w:rPr>
                <w:rFonts w:hint="eastAsia" w:ascii="宋体" w:hAnsi="宋体" w:cs="宋体"/>
                <w:b w:val="0"/>
                <w:bCs w:val="0"/>
                <w:kern w:val="2"/>
                <w:sz w:val="21"/>
                <w:szCs w:val="21"/>
                <w:highlight w:val="none"/>
                <w:vertAlign w:val="baseline"/>
                <w:lang w:val="en-US" w:eastAsia="zh-CN" w:bidi="ar-SA"/>
              </w:rPr>
              <w:t>8</w:t>
            </w:r>
          </w:p>
        </w:tc>
        <w:tc>
          <w:tcPr>
            <w:tcW w:w="3240" w:type="dxa"/>
            <w:noWrap w:val="0"/>
            <w:vAlign w:val="center"/>
          </w:tcPr>
          <w:p w14:paraId="64C9F561">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恒温箱</w:t>
            </w:r>
          </w:p>
        </w:tc>
        <w:tc>
          <w:tcPr>
            <w:tcW w:w="1372" w:type="dxa"/>
            <w:noWrap w:val="0"/>
            <w:vAlign w:val="center"/>
          </w:tcPr>
          <w:p w14:paraId="6136ABE7">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1DC8D210">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0.10</w:t>
            </w:r>
          </w:p>
        </w:tc>
      </w:tr>
      <w:tr w14:paraId="2C05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B922CCA">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09</w:t>
            </w:r>
          </w:p>
        </w:tc>
        <w:tc>
          <w:tcPr>
            <w:tcW w:w="3240" w:type="dxa"/>
            <w:noWrap w:val="0"/>
            <w:vAlign w:val="center"/>
          </w:tcPr>
          <w:p w14:paraId="37A8F2D2">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简易呼吸</w:t>
            </w:r>
            <w:r>
              <w:rPr>
                <w:rFonts w:hint="eastAsia" w:ascii="宋体" w:hAnsi="宋体" w:cs="宋体"/>
                <w:b w:val="0"/>
                <w:bCs w:val="0"/>
                <w:kern w:val="2"/>
                <w:sz w:val="21"/>
                <w:szCs w:val="21"/>
                <w:highlight w:val="none"/>
                <w:vertAlign w:val="baseline"/>
                <w:lang w:val="en-US" w:eastAsia="zh-CN" w:bidi="ar-SA"/>
              </w:rPr>
              <w:t>器</w:t>
            </w:r>
          </w:p>
        </w:tc>
        <w:tc>
          <w:tcPr>
            <w:tcW w:w="1372" w:type="dxa"/>
            <w:noWrap w:val="0"/>
            <w:vAlign w:val="center"/>
          </w:tcPr>
          <w:p w14:paraId="18E902FE">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7C488E20">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0.05</w:t>
            </w:r>
          </w:p>
        </w:tc>
      </w:tr>
      <w:tr w14:paraId="1DDD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D5EB24E">
            <w:pPr>
              <w:pStyle w:val="255"/>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10</w:t>
            </w:r>
          </w:p>
        </w:tc>
        <w:tc>
          <w:tcPr>
            <w:tcW w:w="3240" w:type="dxa"/>
            <w:noWrap w:val="0"/>
            <w:vAlign w:val="center"/>
          </w:tcPr>
          <w:p w14:paraId="60339E37">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便携式氧气</w:t>
            </w:r>
            <w:r>
              <w:rPr>
                <w:rFonts w:hint="eastAsia" w:ascii="宋体" w:hAnsi="宋体" w:cs="宋体"/>
                <w:b w:val="0"/>
                <w:bCs w:val="0"/>
                <w:kern w:val="2"/>
                <w:sz w:val="21"/>
                <w:szCs w:val="21"/>
                <w:highlight w:val="none"/>
                <w:vertAlign w:val="baseline"/>
                <w:lang w:val="en-US" w:eastAsia="zh-CN" w:bidi="ar-SA"/>
              </w:rPr>
              <w:t>筒</w:t>
            </w:r>
          </w:p>
        </w:tc>
        <w:tc>
          <w:tcPr>
            <w:tcW w:w="1372" w:type="dxa"/>
            <w:noWrap w:val="0"/>
            <w:vAlign w:val="center"/>
          </w:tcPr>
          <w:p w14:paraId="4E211458">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4B7826CA">
            <w:pPr>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0.05</w:t>
            </w:r>
          </w:p>
        </w:tc>
      </w:tr>
      <w:tr w14:paraId="677E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88E8F61">
            <w:pPr>
              <w:pStyle w:val="255"/>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11</w:t>
            </w:r>
          </w:p>
        </w:tc>
        <w:tc>
          <w:tcPr>
            <w:tcW w:w="3240" w:type="dxa"/>
            <w:noWrap w:val="0"/>
            <w:vAlign w:val="center"/>
          </w:tcPr>
          <w:p w14:paraId="02E3A089">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转运呼吸机</w:t>
            </w:r>
          </w:p>
        </w:tc>
        <w:tc>
          <w:tcPr>
            <w:tcW w:w="1372" w:type="dxa"/>
            <w:noWrap w:val="0"/>
            <w:vAlign w:val="center"/>
          </w:tcPr>
          <w:p w14:paraId="18D0AFFF">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172EDCDA">
            <w:pPr>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15.00</w:t>
            </w:r>
          </w:p>
        </w:tc>
      </w:tr>
      <w:tr w14:paraId="222C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C83C861">
            <w:pPr>
              <w:pStyle w:val="255"/>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12</w:t>
            </w:r>
          </w:p>
        </w:tc>
        <w:tc>
          <w:tcPr>
            <w:tcW w:w="3240" w:type="dxa"/>
            <w:noWrap w:val="0"/>
            <w:vAlign w:val="center"/>
          </w:tcPr>
          <w:p w14:paraId="104978B9">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default" w:ascii="宋体" w:hAnsi="宋体" w:eastAsia="宋体" w:cs="宋体"/>
                <w:b w:val="0"/>
                <w:bCs w:val="0"/>
                <w:kern w:val="2"/>
                <w:sz w:val="21"/>
                <w:szCs w:val="21"/>
                <w:highlight w:val="none"/>
                <w:vertAlign w:val="baseline"/>
                <w:lang w:val="en-US" w:eastAsia="zh-CN" w:bidi="ar-SA"/>
              </w:rPr>
              <w:t>阅片灯</w:t>
            </w:r>
          </w:p>
        </w:tc>
        <w:tc>
          <w:tcPr>
            <w:tcW w:w="1372" w:type="dxa"/>
            <w:noWrap w:val="0"/>
            <w:vAlign w:val="center"/>
          </w:tcPr>
          <w:p w14:paraId="2797FCA8">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3AB80797">
            <w:pPr>
              <w:jc w:val="center"/>
              <w:rPr>
                <w:rFonts w:hint="default" w:ascii="宋体" w:hAnsi="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0.05</w:t>
            </w:r>
          </w:p>
        </w:tc>
      </w:tr>
    </w:tbl>
    <w:p w14:paraId="4E742A6D">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8.交货期</w:t>
      </w:r>
      <w:r>
        <w:rPr>
          <w:rFonts w:hint="eastAsia" w:ascii="宋体" w:hAnsi="宋体" w:eastAsia="宋体" w:cs="宋体"/>
          <w:color w:val="auto"/>
          <w:sz w:val="21"/>
          <w:szCs w:val="21"/>
          <w:highlight w:val="none"/>
        </w:rPr>
        <w:t>：</w:t>
      </w:r>
      <w:r>
        <w:rPr>
          <w:rFonts w:hint="eastAsia" w:ascii="宋体" w:cs="Times New Roman"/>
          <w:color w:val="auto"/>
          <w:kern w:val="2"/>
          <w:sz w:val="21"/>
          <w:szCs w:val="21"/>
          <w:highlight w:val="none"/>
          <w:lang w:val="en-US" w:eastAsia="zh-CN"/>
        </w:rPr>
        <w:t>30天</w:t>
      </w:r>
      <w:r>
        <w:rPr>
          <w:rFonts w:hint="eastAsia" w:ascii="宋体" w:cs="Times New Roman"/>
          <w:color w:val="auto"/>
          <w:kern w:val="2"/>
          <w:sz w:val="21"/>
          <w:szCs w:val="21"/>
          <w:highlight w:val="none"/>
          <w:lang w:val="zh-CN"/>
        </w:rPr>
        <w:t>；</w:t>
      </w:r>
    </w:p>
    <w:p w14:paraId="4CD6DC1A">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本项目不接受联合体投标。</w:t>
      </w:r>
    </w:p>
    <w:p w14:paraId="72A117A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4" w:name="_Toc35393622"/>
      <w:bookmarkStart w:id="25" w:name="_Toc28359003"/>
      <w:bookmarkStart w:id="26" w:name="_Toc35393791"/>
      <w:bookmarkStart w:id="27" w:name="_Toc28359080"/>
      <w:r>
        <w:rPr>
          <w:rFonts w:hint="eastAsia" w:ascii="宋体" w:hAnsi="宋体" w:eastAsia="宋体" w:cs="宋体"/>
          <w:color w:val="auto"/>
          <w:sz w:val="21"/>
          <w:szCs w:val="21"/>
          <w:highlight w:val="none"/>
        </w:rPr>
        <w:t>二、申请人的资格要求：</w:t>
      </w:r>
      <w:bookmarkEnd w:id="24"/>
      <w:bookmarkEnd w:id="25"/>
      <w:bookmarkEnd w:id="26"/>
      <w:bookmarkEnd w:id="27"/>
    </w:p>
    <w:p w14:paraId="46E9DD25">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8" w:name="_Toc35393792"/>
      <w:bookmarkStart w:id="29" w:name="_Toc35393623"/>
      <w:bookmarkStart w:id="30" w:name="_Toc28359004"/>
      <w:bookmarkStart w:id="31" w:name="_Toc28359081"/>
      <w:r>
        <w:rPr>
          <w:rFonts w:hint="eastAsia" w:ascii="宋体" w:hAnsi="宋体" w:eastAsia="宋体" w:cs="宋体"/>
          <w:color w:val="auto"/>
          <w:sz w:val="21"/>
          <w:szCs w:val="21"/>
          <w:highlight w:val="none"/>
          <w:lang w:val="en-US" w:eastAsia="zh-CN"/>
        </w:rPr>
        <w:t>1.满足《中华人民共和国政府采购法》第二十二条规定；</w:t>
      </w:r>
    </w:p>
    <w:p w14:paraId="51D36666">
      <w:pPr>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r>
        <w:rPr>
          <w:rFonts w:hint="eastAsia" w:ascii="宋体" w:hAnsi="宋体" w:cs="宋体"/>
          <w:color w:val="auto"/>
          <w:sz w:val="21"/>
          <w:szCs w:val="21"/>
          <w:highlight w:val="none"/>
          <w:lang w:val="en-US" w:eastAsia="zh-CN"/>
        </w:rPr>
        <w:t>本项目非专门面向中小企业。</w:t>
      </w:r>
    </w:p>
    <w:p w14:paraId="39A72EA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0BE077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3.1被“信用中国”网站（www.creditchina.gov.cn）列入失信被执行人和</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 被 “中国政府采购网 ”网 站（www.ccgp.gov.cn）列入政府采购严重违法失信行为记录名单（处罚期限尚未届满的）的供应商，不得参与本项目的政府采购活动；</w:t>
      </w:r>
    </w:p>
    <w:p w14:paraId="557B45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57BB3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3.3为本采购项目提供过整体设计、规范编制或者项目管理、监理、检测等服务的供应商，不得再参加本采购项目的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活动；</w:t>
      </w:r>
    </w:p>
    <w:p w14:paraId="15653D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3.4参加政府采购活动前三年内，在经营活动中没有重大</w:t>
      </w:r>
      <w:r>
        <w:rPr>
          <w:rFonts w:hint="eastAsia" w:ascii="宋体" w:hAnsi="宋体" w:eastAsia="宋体" w:cs="宋体"/>
          <w:color w:val="auto"/>
          <w:sz w:val="21"/>
          <w:szCs w:val="21"/>
          <w:highlight w:val="none"/>
          <w:lang w:val="en-US" w:eastAsia="zh-CN"/>
        </w:rPr>
        <w:t>违法</w:t>
      </w:r>
      <w:r>
        <w:rPr>
          <w:rFonts w:hint="eastAsia" w:ascii="宋体" w:hAnsi="宋体" w:eastAsia="宋体" w:cs="宋体"/>
          <w:color w:val="auto"/>
          <w:sz w:val="21"/>
          <w:szCs w:val="21"/>
          <w:highlight w:val="none"/>
        </w:rPr>
        <w:t>记录；</w:t>
      </w:r>
    </w:p>
    <w:p w14:paraId="2DA0B3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如为制造商须具备《医疗器械生产企业许可证》或《医疗器械生产备案凭证》；</w:t>
      </w:r>
    </w:p>
    <w:p w14:paraId="2CFF1F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如为代理商须具备《医疗器械经营企业许可证》或《医疗器械经营备案凭证》；</w:t>
      </w:r>
    </w:p>
    <w:p w14:paraId="79B434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3.7投标产品应具备有效的《中华人民共和国医疗器械注册证》或《医疗器械备案凭证》；</w:t>
      </w:r>
    </w:p>
    <w:p w14:paraId="638EED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符合法律、行政法规规定的其它要求。</w:t>
      </w:r>
    </w:p>
    <w:p w14:paraId="0220DDF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bookmarkEnd w:id="28"/>
      <w:bookmarkEnd w:id="29"/>
      <w:r>
        <w:rPr>
          <w:rFonts w:hint="eastAsia" w:ascii="宋体" w:hAnsi="宋体" w:eastAsia="宋体" w:cs="宋体"/>
          <w:bCs/>
          <w:color w:val="auto"/>
          <w:sz w:val="21"/>
          <w:szCs w:val="21"/>
          <w:highlight w:val="none"/>
        </w:rPr>
        <w:t>：</w:t>
      </w:r>
    </w:p>
    <w:bookmarkEnd w:id="30"/>
    <w:bookmarkEnd w:id="31"/>
    <w:p w14:paraId="1E09EB24">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01</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01</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26日</w:t>
      </w:r>
      <w:r>
        <w:rPr>
          <w:rFonts w:hint="eastAsia" w:ascii="宋体" w:hAnsi="宋体" w:eastAsia="宋体" w:cs="宋体"/>
          <w:bCs/>
          <w:color w:val="auto"/>
          <w:sz w:val="21"/>
          <w:szCs w:val="21"/>
          <w:highlight w:val="none"/>
          <w:lang w:val="en-US" w:eastAsia="zh-CN"/>
        </w:rPr>
        <w:t>，每天上午9:00至11:30，下午13:30至16:00（北京时间，法定节假日除外）</w:t>
      </w:r>
      <w:r>
        <w:rPr>
          <w:rFonts w:hint="eastAsia" w:ascii="宋体" w:hAnsi="宋体" w:eastAsia="宋体" w:cs="宋体"/>
          <w:color w:val="auto"/>
          <w:sz w:val="21"/>
          <w:szCs w:val="21"/>
          <w:highlight w:val="none"/>
        </w:rPr>
        <w:t>。</w:t>
      </w:r>
    </w:p>
    <w:p w14:paraId="6EBD267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bookmarkStart w:id="32" w:name="_Toc28359082"/>
      <w:bookmarkStart w:id="33" w:name="_Toc28359005"/>
      <w:bookmarkStart w:id="34" w:name="_Toc35393793"/>
      <w:bookmarkStart w:id="35" w:name="_Toc35393624"/>
      <w:r>
        <w:rPr>
          <w:rFonts w:hint="eastAsia" w:ascii="宋体" w:hAnsi="宋体" w:cs="宋体"/>
          <w:color w:val="auto"/>
          <w:sz w:val="21"/>
          <w:szCs w:val="21"/>
          <w:highlight w:val="none"/>
          <w:lang w:val="en-US" w:eastAsia="zh-CN"/>
        </w:rPr>
        <w:t>2.地点：</w:t>
      </w:r>
      <w:r>
        <w:rPr>
          <w:rFonts w:hint="eastAsia" w:ascii="宋体" w:hAnsi="宋体" w:eastAsia="宋体" w:cs="宋体"/>
          <w:color w:val="auto"/>
          <w:sz w:val="21"/>
          <w:szCs w:val="21"/>
          <w:highlight w:val="none"/>
          <w:lang w:val="zh-CN"/>
        </w:rPr>
        <w:t>政府采购云平台线上获取</w:t>
      </w:r>
    </w:p>
    <w:p w14:paraId="1BB978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 xml:space="preserve">方式：网上免费获取（潜在供应商自行登录政府采购云平台（网址：http://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sz w:val="21"/>
          <w:szCs w:val="21"/>
          <w:highlight w:val="none"/>
          <w:lang w:val="zh-CN"/>
        </w:rPr>
        <w:fldChar w:fldCharType="separate"/>
      </w:r>
      <w:r>
        <w:rPr>
          <w:rStyle w:val="59"/>
          <w:rFonts w:hint="eastAsia" w:ascii="宋体" w:hAnsi="宋体" w:eastAsia="宋体" w:cs="宋体"/>
          <w:color w:val="auto"/>
          <w:sz w:val="21"/>
          <w:szCs w:val="21"/>
          <w:highlight w:val="none"/>
          <w:lang w:val="zh-CN"/>
        </w:rPr>
        <w:t>www.zcygov.cn）</w:t>
      </w:r>
      <w:r>
        <w:rPr>
          <w:rStyle w:val="59"/>
          <w:rFonts w:hint="eastAsia" w:ascii="宋体" w:hAnsi="宋体" w:eastAsia="宋体" w:cs="宋体"/>
          <w:color w:val="auto"/>
          <w:sz w:val="21"/>
          <w:szCs w:val="21"/>
          <w:highlight w:val="none"/>
          <w:lang w:val="en-US" w:eastAsia="zh-CN"/>
        </w:rPr>
        <w:t>注册</w:t>
      </w:r>
      <w:r>
        <w:rPr>
          <w:rStyle w:val="59"/>
          <w:rFonts w:hint="eastAsia" w:ascii="宋体" w:hAnsi="宋体" w:eastAsia="宋体" w:cs="宋体"/>
          <w:color w:val="auto"/>
          <w:sz w:val="21"/>
          <w:szCs w:val="21"/>
          <w:highlight w:val="none"/>
          <w:lang w:val="zh-CN"/>
        </w:rPr>
        <w:t>（</w:t>
      </w:r>
      <w:r>
        <w:rPr>
          <w:rStyle w:val="59"/>
          <w:rFonts w:hint="eastAsia" w:ascii="宋体" w:hAnsi="宋体" w:cs="宋体"/>
          <w:color w:val="auto"/>
          <w:sz w:val="21"/>
          <w:szCs w:val="21"/>
          <w:highlight w:val="none"/>
          <w:lang w:val="en-US" w:eastAsia="zh-CN"/>
        </w:rPr>
        <w:t>网址：</w:t>
      </w:r>
      <w:r>
        <w:rPr>
          <w:rStyle w:val="59"/>
          <w:rFonts w:hint="eastAsia" w:ascii="宋体" w:hAnsi="宋体" w:eastAsia="宋体" w:cs="宋体"/>
          <w:color w:val="auto"/>
          <w:sz w:val="21"/>
          <w:szCs w:val="21"/>
          <w:highlight w:val="none"/>
          <w:lang w:val="zh-CN"/>
        </w:rPr>
        <w:t>https://middle.zcygov.cn/v-settle-front/registry）并下载竞争性磋商文件，其他途径获取的竞争性磋商文件开标时一律按无效</w:t>
      </w:r>
      <w:r>
        <w:rPr>
          <w:rStyle w:val="59"/>
          <w:rFonts w:hint="eastAsia" w:ascii="宋体" w:hAnsi="宋体" w:cs="宋体"/>
          <w:color w:val="auto"/>
          <w:sz w:val="21"/>
          <w:szCs w:val="21"/>
          <w:highlight w:val="none"/>
          <w:lang w:val="en-US" w:eastAsia="zh-CN"/>
        </w:rPr>
        <w:t>响应</w:t>
      </w:r>
      <w:r>
        <w:rPr>
          <w:rStyle w:val="59"/>
          <w:rFonts w:hint="eastAsia" w:ascii="宋体" w:hAnsi="宋体" w:eastAsia="宋体" w:cs="宋体"/>
          <w:color w:val="auto"/>
          <w:sz w:val="21"/>
          <w:szCs w:val="21"/>
          <w:highlight w:val="none"/>
          <w:lang w:val="zh-CN"/>
        </w:rPr>
        <w:t>处理）</w:t>
      </w:r>
      <w:r>
        <w:rPr>
          <w:rStyle w:val="59"/>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fldChar w:fldCharType="end"/>
      </w:r>
    </w:p>
    <w:p w14:paraId="6AA1273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4.售价：</w:t>
      </w:r>
      <w:r>
        <w:rPr>
          <w:rFonts w:hint="eastAsia" w:ascii="宋体" w:hAnsi="宋体" w:eastAsia="宋体" w:cs="宋体"/>
          <w:bCs/>
          <w:color w:val="auto"/>
          <w:sz w:val="21"/>
          <w:szCs w:val="21"/>
          <w:highlight w:val="none"/>
          <w:lang w:val="en-US" w:eastAsia="zh-CN"/>
        </w:rPr>
        <w:t>0元。</w:t>
      </w:r>
    </w:p>
    <w:p w14:paraId="46DFD71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32"/>
      <w:bookmarkEnd w:id="33"/>
      <w:r>
        <w:rPr>
          <w:rFonts w:hint="eastAsia" w:ascii="宋体" w:hAnsi="宋体" w:eastAsia="宋体" w:cs="宋体"/>
          <w:color w:val="auto"/>
          <w:sz w:val="21"/>
          <w:szCs w:val="21"/>
          <w:highlight w:val="none"/>
        </w:rPr>
        <w:t>响应文件提交</w:t>
      </w:r>
      <w:bookmarkEnd w:id="34"/>
      <w:bookmarkEnd w:id="35"/>
      <w:r>
        <w:rPr>
          <w:rFonts w:hint="eastAsia" w:ascii="宋体" w:hAnsi="宋体" w:eastAsia="宋体" w:cs="宋体"/>
          <w:color w:val="auto"/>
          <w:sz w:val="21"/>
          <w:szCs w:val="21"/>
          <w:highlight w:val="none"/>
        </w:rPr>
        <w:t>：</w:t>
      </w:r>
    </w:p>
    <w:p w14:paraId="68997C2E">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2025年02月10日13时30分</w:t>
      </w:r>
      <w:r>
        <w:rPr>
          <w:rFonts w:hint="eastAsia" w:ascii="宋体" w:hAnsi="宋体" w:eastAsia="宋体" w:cs="宋体"/>
          <w:bCs/>
          <w:color w:val="auto"/>
          <w:sz w:val="21"/>
          <w:szCs w:val="21"/>
          <w:highlight w:val="none"/>
        </w:rPr>
        <w:t>（北京时间）</w:t>
      </w:r>
    </w:p>
    <w:p w14:paraId="4C1031F9">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eastAsia="zh-CN"/>
        </w:rPr>
        <w:t>长春市二道区洋浦大街6999号凯利中心AB栋101室开标二室</w:t>
      </w:r>
    </w:p>
    <w:p w14:paraId="3F9AB7B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本项目执行电子化招投标，须通过政府采购云平台（网址：http:// www.zcygov.cn）递交电子版响应文件。</w:t>
      </w:r>
    </w:p>
    <w:p w14:paraId="46A36AA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投标操作流程：供应商在政府采购云平台网注册入库成为正式供应商后，在平台上按《政府采购项目电子交易管理操作指南-供应商》进行投标操作。</w:t>
      </w:r>
    </w:p>
    <w:p w14:paraId="260A736D">
      <w:pPr>
        <w:keepNext/>
        <w:keepLines/>
        <w:pageBreakBefore w:val="0"/>
        <w:kinsoku/>
        <w:wordWrap w:val="0"/>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Cs/>
          <w:color w:val="auto"/>
          <w:sz w:val="21"/>
          <w:szCs w:val="21"/>
          <w:highlight w:val="none"/>
        </w:rPr>
      </w:pPr>
      <w:bookmarkStart w:id="36" w:name="_Toc35393633"/>
      <w:bookmarkStart w:id="37" w:name="_Toc28359016"/>
      <w:bookmarkStart w:id="38" w:name="_Toc35393802"/>
      <w:bookmarkStart w:id="39" w:name="_Toc28359093"/>
      <w:r>
        <w:rPr>
          <w:rFonts w:hint="eastAsia" w:ascii="宋体" w:hAnsi="宋体" w:eastAsia="宋体" w:cs="宋体"/>
          <w:bCs/>
          <w:color w:val="auto"/>
          <w:sz w:val="21"/>
          <w:szCs w:val="21"/>
          <w:highlight w:val="none"/>
        </w:rPr>
        <w:t>五、开启</w:t>
      </w:r>
      <w:bookmarkEnd w:id="36"/>
      <w:bookmarkEnd w:id="37"/>
      <w:bookmarkEnd w:id="38"/>
      <w:bookmarkEnd w:id="39"/>
    </w:p>
    <w:p w14:paraId="7E9D7C9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2025年02月10日13时30分</w:t>
      </w:r>
      <w:r>
        <w:rPr>
          <w:rFonts w:hint="eastAsia" w:ascii="宋体" w:hAnsi="宋体" w:eastAsia="宋体" w:cs="宋体"/>
          <w:bCs/>
          <w:color w:val="auto"/>
          <w:sz w:val="21"/>
          <w:szCs w:val="21"/>
          <w:highlight w:val="none"/>
        </w:rPr>
        <w:t>（北京时间）</w:t>
      </w:r>
    </w:p>
    <w:p w14:paraId="4824B3E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color w:val="auto"/>
          <w:sz w:val="21"/>
          <w:szCs w:val="21"/>
          <w:highlight w:val="none"/>
          <w:lang w:eastAsia="zh-CN"/>
        </w:rPr>
        <w:t>长春市二道区洋浦大街6999号凯利中心AB栋101室开标二室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3C8FF2F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40" w:name="_Toc35393794"/>
      <w:bookmarkStart w:id="41" w:name="_Toc28359084"/>
      <w:bookmarkStart w:id="42" w:name="_Toc35393625"/>
      <w:bookmarkStart w:id="43" w:name="_Toc28359007"/>
      <w:r>
        <w:rPr>
          <w:rFonts w:hint="eastAsia" w:ascii="宋体" w:hAnsi="宋体" w:eastAsia="宋体" w:cs="宋体"/>
          <w:color w:val="auto"/>
          <w:sz w:val="21"/>
          <w:szCs w:val="21"/>
          <w:highlight w:val="none"/>
        </w:rPr>
        <w:t>六、公告期限</w:t>
      </w:r>
      <w:bookmarkEnd w:id="40"/>
      <w:bookmarkEnd w:id="41"/>
      <w:bookmarkEnd w:id="42"/>
      <w:bookmarkEnd w:id="43"/>
    </w:p>
    <w:p w14:paraId="798F2C6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2495E586">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bookmarkStart w:id="44" w:name="_Toc35393626"/>
      <w:bookmarkStart w:id="45" w:name="_Toc35393795"/>
      <w:r>
        <w:rPr>
          <w:rFonts w:hint="eastAsia" w:ascii="宋体" w:hAnsi="宋体" w:eastAsia="宋体" w:cs="宋体"/>
          <w:color w:val="auto"/>
          <w:sz w:val="21"/>
          <w:szCs w:val="21"/>
          <w:highlight w:val="none"/>
        </w:rPr>
        <w:t>七、其他补充事宜</w:t>
      </w:r>
      <w:bookmarkEnd w:id="44"/>
      <w:bookmarkEnd w:id="45"/>
      <w:r>
        <w:rPr>
          <w:rFonts w:hint="eastAsia" w:ascii="宋体" w:hAnsi="宋体" w:eastAsia="宋体" w:cs="宋体"/>
          <w:color w:val="auto"/>
          <w:sz w:val="21"/>
          <w:szCs w:val="21"/>
          <w:highlight w:val="none"/>
        </w:rPr>
        <w:t>：</w:t>
      </w:r>
    </w:p>
    <w:p w14:paraId="1A1C02A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cs="Times New Roman"/>
          <w:color w:val="auto"/>
          <w:kern w:val="2"/>
          <w:sz w:val="21"/>
          <w:szCs w:val="21"/>
          <w:highlight w:val="none"/>
          <w:lang w:val="zh-CN"/>
        </w:rPr>
      </w:pPr>
      <w:bookmarkStart w:id="46" w:name="_Toc28359008"/>
      <w:bookmarkStart w:id="47" w:name="_Toc28359085"/>
      <w:bookmarkStart w:id="48" w:name="_Toc35393796"/>
      <w:bookmarkStart w:id="49" w:name="_Toc35393627"/>
      <w:r>
        <w:rPr>
          <w:rFonts w:hint="eastAsia" w:ascii="宋体" w:cs="Times New Roman"/>
          <w:color w:val="auto"/>
          <w:kern w:val="2"/>
          <w:sz w:val="21"/>
          <w:szCs w:val="21"/>
          <w:highlight w:val="none"/>
          <w:lang w:val="zh-CN"/>
        </w:rPr>
        <w:t>本次公告在”政采云”平台（http:// www.zcygov.cn）发布，并由“政采云”平台(http：// www.zcygov.cn)同步推送至《吉林省政府采购网》、《长春市公共资源交易网》、《中国政府采购网》。</w:t>
      </w:r>
    </w:p>
    <w:p w14:paraId="5219C7F6">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八、对本次采购提出询问，请按以下方式联系</w:t>
      </w:r>
      <w:bookmarkEnd w:id="46"/>
      <w:bookmarkEnd w:id="47"/>
      <w:bookmarkEnd w:id="48"/>
      <w:bookmarkEnd w:id="49"/>
      <w:r>
        <w:rPr>
          <w:rFonts w:hint="eastAsia" w:ascii="宋体" w:hAnsi="宋体" w:eastAsia="宋体" w:cs="宋体"/>
          <w:color w:val="auto"/>
          <w:sz w:val="21"/>
          <w:szCs w:val="21"/>
          <w:highlight w:val="none"/>
        </w:rPr>
        <w:t>：</w:t>
      </w:r>
    </w:p>
    <w:p w14:paraId="55457CD0">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bookmarkStart w:id="50" w:name="_Toc28359009"/>
      <w:bookmarkStart w:id="51" w:name="_Toc28359086"/>
      <w:r>
        <w:rPr>
          <w:rFonts w:hint="eastAsia" w:ascii="宋体" w:hAnsi="宋体" w:cs="宋体"/>
          <w:color w:val="auto"/>
          <w:sz w:val="21"/>
          <w:szCs w:val="21"/>
          <w:highlight w:val="none"/>
          <w:lang w:val="en-US" w:eastAsia="zh-CN"/>
        </w:rPr>
        <w:t>名 称：长春市中心医院</w:t>
      </w:r>
    </w:p>
    <w:p w14:paraId="68BFE931">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地址：吉林省长春市人民大街1810号</w:t>
      </w:r>
    </w:p>
    <w:p w14:paraId="7F01D6C2">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联系人：范老师</w:t>
      </w:r>
    </w:p>
    <w:p w14:paraId="7379A732">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联系方式：0431-88915168</w:t>
      </w:r>
    </w:p>
    <w:p w14:paraId="72406597">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50"/>
      <w:bookmarkEnd w:id="51"/>
    </w:p>
    <w:p w14:paraId="1276490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bCs/>
          <w:color w:val="auto"/>
          <w:sz w:val="21"/>
          <w:szCs w:val="21"/>
          <w:highlight w:val="none"/>
          <w:lang w:eastAsia="zh-CN"/>
        </w:rPr>
        <w:t>中国洲际新资源集团股份公司</w:t>
      </w:r>
    </w:p>
    <w:p w14:paraId="7E556459">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cs="宋体"/>
          <w:color w:val="auto"/>
          <w:szCs w:val="21"/>
          <w:highlight w:val="none"/>
        </w:rPr>
        <w:t>北京市海淀区中关村南大街甲18号院北京国际大厦C座1101室</w:t>
      </w:r>
    </w:p>
    <w:p w14:paraId="068E0444">
      <w:pPr>
        <w:spacing w:line="360" w:lineRule="auto"/>
        <w:ind w:firstLine="420" w:firstLineChars="200"/>
        <w:jc w:val="both"/>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联系方式：</w:t>
      </w:r>
      <w:bookmarkStart w:id="52" w:name="_Toc28359087"/>
      <w:bookmarkStart w:id="53" w:name="_Toc28359010"/>
      <w:r>
        <w:rPr>
          <w:rFonts w:hint="eastAsia" w:ascii="宋体" w:hAnsi="宋体" w:cs="宋体"/>
          <w:color w:val="auto"/>
          <w:szCs w:val="21"/>
          <w:highlight w:val="none"/>
          <w:lang w:val="en-US" w:eastAsia="zh-CN"/>
        </w:rPr>
        <w:t>0431-89867976转8016、0431-88622594转8016、0431-88629808转8016</w:t>
      </w:r>
    </w:p>
    <w:p w14:paraId="4683E61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项目联系方式</w:t>
      </w:r>
      <w:bookmarkEnd w:id="52"/>
      <w:bookmarkEnd w:id="53"/>
    </w:p>
    <w:p w14:paraId="3F0D3E67">
      <w:pPr>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w:t>
      </w:r>
      <w:r>
        <w:rPr>
          <w:rFonts w:hint="eastAsia" w:ascii="宋体" w:hAnsi="宋体" w:cs="宋体"/>
          <w:color w:val="auto"/>
          <w:szCs w:val="21"/>
          <w:highlight w:val="none"/>
          <w:lang w:val="en-US" w:eastAsia="zh-CN"/>
        </w:rPr>
        <w:t>李鑫、杨慧欣、白雪、洪京、张晶、焦歆茹</w:t>
      </w:r>
    </w:p>
    <w:p w14:paraId="764B8F9C">
      <w:pPr>
        <w:spacing w:line="360" w:lineRule="auto"/>
        <w:ind w:firstLine="420" w:firstLineChars="200"/>
        <w:jc w:val="both"/>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Cs w:val="21"/>
          <w:highlight w:val="none"/>
          <w:lang w:val="en-US" w:eastAsia="zh-CN"/>
        </w:rPr>
        <w:t>0431-89867976转8016</w:t>
      </w:r>
    </w:p>
    <w:p w14:paraId="50CDB875">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p>
    <w:p w14:paraId="5868EB8A">
      <w:pPr>
        <w:pageBreakBefore w:val="0"/>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br w:type="page"/>
      </w:r>
    </w:p>
    <w:bookmarkEnd w:id="9"/>
    <w:p w14:paraId="7B20217E">
      <w:pPr>
        <w:pStyle w:val="2"/>
        <w:spacing w:before="0" w:beforeAutospacing="0" w:after="312" w:afterAutospacing="0" w:line="360" w:lineRule="exact"/>
        <w:jc w:val="center"/>
        <w:outlineLvl w:val="0"/>
        <w:rPr>
          <w:rFonts w:hint="eastAsia" w:ascii="宋体" w:hAnsi="宋体" w:eastAsia="宋体"/>
          <w:color w:val="auto"/>
          <w:sz w:val="36"/>
          <w:highlight w:val="none"/>
          <w:lang w:val="en-US" w:eastAsia="zh-CN"/>
        </w:rPr>
      </w:pPr>
      <w:bookmarkStart w:id="54" w:name="_Toc15632"/>
      <w:r>
        <w:rPr>
          <w:rFonts w:hint="eastAsia" w:ascii="宋体" w:hAnsi="宋体" w:eastAsia="宋体"/>
          <w:color w:val="auto"/>
          <w:sz w:val="36"/>
          <w:highlight w:val="none"/>
          <w:lang w:val="en-US" w:eastAsia="zh-CN"/>
        </w:rPr>
        <w:t>第二章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val="en-US" w:eastAsia="zh-CN"/>
        </w:rPr>
        <w:t>供应商须知</w:t>
      </w:r>
      <w:bookmarkEnd w:id="10"/>
      <w:bookmarkEnd w:id="11"/>
      <w:bookmarkEnd w:id="12"/>
      <w:bookmarkEnd w:id="13"/>
      <w:bookmarkEnd w:id="14"/>
      <w:bookmarkEnd w:id="54"/>
      <w:bookmarkStart w:id="55" w:name="_Toc184283909"/>
      <w:bookmarkStart w:id="56" w:name="_Toc184274915"/>
    </w:p>
    <w:p w14:paraId="06BCB955">
      <w:pPr>
        <w:pStyle w:val="3"/>
        <w:spacing w:before="0" w:beforeAutospacing="0" w:line="240" w:lineRule="atLeast"/>
        <w:jc w:val="center"/>
        <w:rPr>
          <w:rFonts w:hint="eastAsia" w:ascii="宋体" w:hAnsi="宋体" w:eastAsia="宋体"/>
          <w:color w:val="auto"/>
          <w:highlight w:val="none"/>
        </w:rPr>
      </w:pPr>
      <w:bookmarkStart w:id="57" w:name="_Toc217446032"/>
      <w:bookmarkStart w:id="58" w:name="_Toc213496268"/>
      <w:bookmarkStart w:id="59" w:name="_Toc213396760"/>
      <w:bookmarkStart w:id="60" w:name="_Toc213396946"/>
      <w:bookmarkStart w:id="61" w:name="_Toc213397010"/>
      <w:bookmarkStart w:id="62" w:name="_Toc189727030"/>
      <w:r>
        <w:rPr>
          <w:rFonts w:ascii="宋体" w:hAnsi="宋体" w:eastAsia="宋体"/>
          <w:color w:val="auto"/>
          <w:kern w:val="0"/>
          <w:szCs w:val="21"/>
          <w:highlight w:val="none"/>
        </w:rPr>
        <w:t>供应商</w:t>
      </w:r>
      <w:r>
        <w:rPr>
          <w:rFonts w:hint="eastAsia" w:ascii="宋体" w:hAnsi="宋体" w:eastAsia="宋体"/>
          <w:color w:val="auto"/>
          <w:highlight w:val="none"/>
        </w:rPr>
        <w:t>须知前附表</w:t>
      </w:r>
      <w:bookmarkEnd w:id="55"/>
      <w:bookmarkEnd w:id="56"/>
      <w:bookmarkEnd w:id="57"/>
      <w:bookmarkEnd w:id="58"/>
      <w:bookmarkEnd w:id="59"/>
      <w:bookmarkEnd w:id="60"/>
      <w:bookmarkEnd w:id="61"/>
      <w:bookmarkEnd w:id="62"/>
    </w:p>
    <w:p w14:paraId="13609538">
      <w:pPr>
        <w:pStyle w:val="62"/>
        <w:rPr>
          <w:color w:val="auto"/>
          <w:highlight w:val="none"/>
        </w:rPr>
      </w:pPr>
      <w:r>
        <w:rPr>
          <w:rFonts w:hint="eastAsia"/>
          <w:color w:val="auto"/>
          <w:highlight w:val="none"/>
        </w:rPr>
        <w:t>本表是对供应商须知的具体补充和修改，如有矛盾，均以本资料表为准。</w:t>
      </w:r>
    </w:p>
    <w:tbl>
      <w:tblPr>
        <w:tblStyle w:val="52"/>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1916"/>
        <w:gridCol w:w="6970"/>
      </w:tblGrid>
      <w:tr w14:paraId="4CE21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01837819">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序号</w:t>
            </w:r>
          </w:p>
        </w:tc>
        <w:tc>
          <w:tcPr>
            <w:tcW w:w="1916" w:type="dxa"/>
            <w:vAlign w:val="center"/>
          </w:tcPr>
          <w:p w14:paraId="207CB372">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条款名称</w:t>
            </w:r>
          </w:p>
        </w:tc>
        <w:tc>
          <w:tcPr>
            <w:tcW w:w="6970" w:type="dxa"/>
            <w:vAlign w:val="center"/>
          </w:tcPr>
          <w:p w14:paraId="28D9C722">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说明和要求</w:t>
            </w:r>
          </w:p>
        </w:tc>
      </w:tr>
      <w:tr w14:paraId="1EC0A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5F935AD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w:t>
            </w:r>
          </w:p>
        </w:tc>
        <w:tc>
          <w:tcPr>
            <w:tcW w:w="1916" w:type="dxa"/>
            <w:vAlign w:val="center"/>
          </w:tcPr>
          <w:p w14:paraId="2E12DCF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w:t>
            </w:r>
            <w:r>
              <w:rPr>
                <w:rFonts w:hint="eastAsia"/>
                <w:color w:val="auto"/>
                <w:sz w:val="21"/>
                <w:szCs w:val="21"/>
                <w:highlight w:val="none"/>
                <w:lang w:val="en-US" w:eastAsia="zh-CN"/>
              </w:rPr>
              <w:t xml:space="preserve"> </w:t>
            </w:r>
            <w:r>
              <w:rPr>
                <w:rFonts w:hint="eastAsia"/>
                <w:color w:val="auto"/>
                <w:sz w:val="21"/>
                <w:szCs w:val="21"/>
                <w:highlight w:val="none"/>
                <w:lang w:val="zh-CN"/>
              </w:rPr>
              <w:t>购</w:t>
            </w:r>
            <w:r>
              <w:rPr>
                <w:rFonts w:hint="eastAsia"/>
                <w:color w:val="auto"/>
                <w:sz w:val="21"/>
                <w:szCs w:val="21"/>
                <w:highlight w:val="none"/>
                <w:lang w:val="en-US" w:eastAsia="zh-CN"/>
              </w:rPr>
              <w:t xml:space="preserve"> </w:t>
            </w:r>
            <w:r>
              <w:rPr>
                <w:rFonts w:hint="eastAsia"/>
                <w:color w:val="auto"/>
                <w:sz w:val="21"/>
                <w:szCs w:val="21"/>
                <w:highlight w:val="none"/>
                <w:lang w:val="zh-CN"/>
              </w:rPr>
              <w:t>人</w:t>
            </w:r>
          </w:p>
        </w:tc>
        <w:tc>
          <w:tcPr>
            <w:tcW w:w="6970" w:type="dxa"/>
            <w:vAlign w:val="center"/>
          </w:tcPr>
          <w:p w14:paraId="359186C5">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购</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人：</w:t>
            </w:r>
            <w:r>
              <w:rPr>
                <w:rFonts w:hint="eastAsia" w:ascii="宋体" w:hAnsi="宋体"/>
                <w:color w:val="auto"/>
                <w:szCs w:val="21"/>
                <w:highlight w:val="none"/>
                <w:lang w:eastAsia="zh-CN"/>
              </w:rPr>
              <w:t>长春市中心医院</w:t>
            </w:r>
          </w:p>
          <w:p w14:paraId="67E5F1B4">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址：吉林省长春市人民大街1810号             </w:t>
            </w:r>
          </w:p>
          <w:p w14:paraId="6E5B96C1">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s="宋体"/>
                <w:color w:val="auto"/>
                <w:sz w:val="21"/>
                <w:szCs w:val="21"/>
                <w:highlight w:val="none"/>
                <w:lang w:val="en-US" w:eastAsia="zh-CN"/>
              </w:rPr>
              <w:t>0431-88915168</w:t>
            </w:r>
          </w:p>
        </w:tc>
      </w:tr>
      <w:tr w14:paraId="48EEB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384139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2</w:t>
            </w:r>
          </w:p>
        </w:tc>
        <w:tc>
          <w:tcPr>
            <w:tcW w:w="1916" w:type="dxa"/>
            <w:vAlign w:val="center"/>
          </w:tcPr>
          <w:p w14:paraId="7FB9A65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采购代理机构</w:t>
            </w:r>
          </w:p>
        </w:tc>
        <w:tc>
          <w:tcPr>
            <w:tcW w:w="6970" w:type="dxa"/>
            <w:vAlign w:val="center"/>
          </w:tcPr>
          <w:p w14:paraId="5505EC0D">
            <w:pPr>
              <w:keepNext w:val="0"/>
              <w:keepLines w:val="0"/>
              <w:pageBreakBefore w:val="0"/>
              <w:widowControl w:val="0"/>
              <w:kinsoku/>
              <w:wordWrap/>
              <w:overflowPunct/>
              <w:topLinePunct w:val="0"/>
              <w:bidi w:val="0"/>
              <w:adjustRightInd/>
              <w:snapToGrid w:val="0"/>
              <w:spacing w:line="360" w:lineRule="auto"/>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 xml:space="preserve">名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称：中国洲际新资源集团股份公司</w:t>
            </w:r>
          </w:p>
          <w:p w14:paraId="0A5CF80B">
            <w:pPr>
              <w:keepNext w:val="0"/>
              <w:keepLines w:val="0"/>
              <w:pageBreakBefore w:val="0"/>
              <w:widowControl w:val="0"/>
              <w:kinsoku/>
              <w:wordWrap/>
              <w:overflowPunct/>
              <w:topLinePunct w:val="0"/>
              <w:bidi w:val="0"/>
              <w:adjustRightInd/>
              <w:snapToGrid w:val="0"/>
              <w:spacing w:line="360" w:lineRule="auto"/>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址：</w:t>
            </w:r>
            <w:r>
              <w:rPr>
                <w:rFonts w:hint="eastAsia" w:ascii="宋体" w:hAnsi="宋体" w:cs="宋体"/>
                <w:color w:val="auto"/>
                <w:szCs w:val="21"/>
                <w:highlight w:val="none"/>
              </w:rPr>
              <w:t>北京市海淀区中关村南大街甲18号院北京国际大厦C座1101室</w:t>
            </w:r>
            <w:r>
              <w:rPr>
                <w:rFonts w:hint="eastAsia" w:ascii="宋体" w:hAnsi="宋体"/>
                <w:color w:val="auto"/>
                <w:szCs w:val="21"/>
                <w:highlight w:val="none"/>
                <w:lang w:eastAsia="zh-CN"/>
              </w:rPr>
              <w:t>　</w:t>
            </w:r>
          </w:p>
          <w:p w14:paraId="06AF1F32">
            <w:pPr>
              <w:spacing w:line="360" w:lineRule="auto"/>
              <w:ind w:firstLine="0" w:firstLineChars="0"/>
              <w:jc w:val="both"/>
              <w:rPr>
                <w:rFonts w:hint="eastAsia" w:ascii="宋体" w:hAnsi="宋体"/>
                <w:color w:val="auto"/>
                <w:szCs w:val="21"/>
                <w:highlight w:val="none"/>
                <w:lang w:eastAsia="zh-CN"/>
              </w:rPr>
            </w:pPr>
            <w:r>
              <w:rPr>
                <w:rFonts w:hint="eastAsia" w:ascii="宋体" w:hAnsi="宋体"/>
                <w:color w:val="auto"/>
                <w:szCs w:val="21"/>
                <w:highlight w:val="none"/>
                <w:lang w:eastAsia="zh-CN"/>
              </w:rPr>
              <w:t>联系方式：</w:t>
            </w:r>
            <w:r>
              <w:rPr>
                <w:rFonts w:hint="eastAsia" w:ascii="宋体" w:hAnsi="宋体" w:cs="宋体"/>
                <w:color w:val="auto"/>
                <w:szCs w:val="21"/>
                <w:highlight w:val="none"/>
                <w:lang w:val="en-US" w:eastAsia="zh-CN"/>
              </w:rPr>
              <w:t>0431-89867976转8016</w:t>
            </w:r>
          </w:p>
        </w:tc>
      </w:tr>
      <w:tr w14:paraId="4F966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58" w:type="dxa"/>
            <w:vAlign w:val="center"/>
          </w:tcPr>
          <w:p w14:paraId="0CC68BE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3</w:t>
            </w:r>
          </w:p>
        </w:tc>
        <w:tc>
          <w:tcPr>
            <w:tcW w:w="1916" w:type="dxa"/>
            <w:vAlign w:val="center"/>
          </w:tcPr>
          <w:p w14:paraId="7139C50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项目编号</w:t>
            </w:r>
          </w:p>
        </w:tc>
        <w:tc>
          <w:tcPr>
            <w:tcW w:w="6970" w:type="dxa"/>
            <w:vAlign w:val="center"/>
          </w:tcPr>
          <w:p w14:paraId="71B45D5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项目编号：</w:t>
            </w:r>
            <w:r>
              <w:rPr>
                <w:rFonts w:hint="eastAsia" w:ascii="宋体" w:hAnsi="宋体" w:cs="宋体"/>
                <w:color w:val="auto"/>
                <w:sz w:val="21"/>
                <w:szCs w:val="21"/>
                <w:highlight w:val="none"/>
                <w:lang w:val="en-US" w:eastAsia="zh-CN"/>
              </w:rPr>
              <w:t>JM-2025-01-00028/CIGN25003</w:t>
            </w:r>
          </w:p>
          <w:p w14:paraId="02D75AFC">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编号：</w:t>
            </w:r>
            <w:r>
              <w:rPr>
                <w:rFonts w:hint="eastAsia" w:ascii="宋体" w:cs="Times New Roman"/>
                <w:highlight w:val="none"/>
                <w:lang w:val="en-US" w:eastAsia="zh-CN"/>
              </w:rPr>
              <w:t>JM-2025-01-00028</w:t>
            </w:r>
          </w:p>
        </w:tc>
      </w:tr>
      <w:tr w14:paraId="4910E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5" w:hRule="atLeast"/>
          <w:jc w:val="center"/>
        </w:trPr>
        <w:tc>
          <w:tcPr>
            <w:tcW w:w="858" w:type="dxa"/>
            <w:vAlign w:val="center"/>
          </w:tcPr>
          <w:p w14:paraId="22EED03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4</w:t>
            </w:r>
          </w:p>
        </w:tc>
        <w:tc>
          <w:tcPr>
            <w:tcW w:w="1916" w:type="dxa"/>
            <w:vAlign w:val="center"/>
          </w:tcPr>
          <w:p w14:paraId="0870840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项目名称</w:t>
            </w:r>
          </w:p>
        </w:tc>
        <w:tc>
          <w:tcPr>
            <w:tcW w:w="6970" w:type="dxa"/>
            <w:vAlign w:val="center"/>
          </w:tcPr>
          <w:p w14:paraId="40381EC3">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color w:val="auto"/>
                <w:szCs w:val="21"/>
                <w:highlight w:val="none"/>
                <w:lang w:eastAsia="zh-CN"/>
              </w:rPr>
            </w:pPr>
            <w:r>
              <w:rPr>
                <w:rFonts w:hint="eastAsia" w:ascii="宋体" w:hAnsi="宋体"/>
                <w:color w:val="auto"/>
                <w:sz w:val="21"/>
                <w:szCs w:val="21"/>
                <w:highlight w:val="none"/>
                <w:u w:val="none"/>
                <w:lang w:val="en-US" w:eastAsia="zh-CN"/>
              </w:rPr>
              <w:t>长春市中心医院高级卒中中心项目（二）</w:t>
            </w:r>
          </w:p>
        </w:tc>
      </w:tr>
      <w:tr w14:paraId="7F47A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5" w:hRule="atLeast"/>
          <w:jc w:val="center"/>
        </w:trPr>
        <w:tc>
          <w:tcPr>
            <w:tcW w:w="858" w:type="dxa"/>
            <w:vAlign w:val="center"/>
          </w:tcPr>
          <w:p w14:paraId="7D85ABE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5</w:t>
            </w:r>
          </w:p>
        </w:tc>
        <w:tc>
          <w:tcPr>
            <w:tcW w:w="1916" w:type="dxa"/>
            <w:vAlign w:val="center"/>
          </w:tcPr>
          <w:p w14:paraId="7E4E85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采购需求</w:t>
            </w:r>
          </w:p>
        </w:tc>
        <w:tc>
          <w:tcPr>
            <w:tcW w:w="6970" w:type="dxa"/>
            <w:vAlign w:val="center"/>
          </w:tcPr>
          <w:p w14:paraId="132061C2">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color w:val="auto"/>
                <w:szCs w:val="21"/>
                <w:highlight w:val="none"/>
                <w:lang w:val="en-US" w:eastAsia="zh-CN"/>
              </w:rPr>
            </w:pPr>
            <w:r>
              <w:rPr>
                <w:rFonts w:hint="eastAsia" w:ascii="宋体" w:hAnsi="宋体"/>
                <w:color w:val="auto"/>
                <w:sz w:val="21"/>
                <w:szCs w:val="21"/>
                <w:highlight w:val="none"/>
                <w:u w:val="none"/>
                <w:lang w:val="en-US" w:eastAsia="zh-CN"/>
              </w:rPr>
              <w:t>医疗设备采购</w:t>
            </w:r>
            <w:r>
              <w:rPr>
                <w:rFonts w:hint="eastAsia" w:ascii="宋体" w:hAnsi="宋体"/>
                <w:color w:val="auto"/>
                <w:szCs w:val="21"/>
                <w:highlight w:val="none"/>
                <w:lang w:val="en-US" w:eastAsia="zh-CN"/>
              </w:rPr>
              <w:t>，具体详见第五章《采购需求》</w:t>
            </w:r>
          </w:p>
        </w:tc>
      </w:tr>
      <w:tr w14:paraId="66BA8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858" w:type="dxa"/>
            <w:vAlign w:val="center"/>
          </w:tcPr>
          <w:p w14:paraId="6402FA9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6</w:t>
            </w:r>
          </w:p>
        </w:tc>
        <w:tc>
          <w:tcPr>
            <w:tcW w:w="1916" w:type="dxa"/>
            <w:vAlign w:val="center"/>
          </w:tcPr>
          <w:p w14:paraId="62E11C0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资金来源</w:t>
            </w:r>
            <w:r>
              <w:rPr>
                <w:rFonts w:hint="eastAsia"/>
                <w:color w:val="auto"/>
                <w:sz w:val="21"/>
                <w:szCs w:val="21"/>
                <w:highlight w:val="none"/>
                <w:lang w:val="en-US" w:eastAsia="zh-CN"/>
              </w:rPr>
              <w:t>及出资比例</w:t>
            </w:r>
          </w:p>
        </w:tc>
        <w:tc>
          <w:tcPr>
            <w:tcW w:w="6970" w:type="dxa"/>
            <w:vAlign w:val="center"/>
          </w:tcPr>
          <w:p w14:paraId="548D2BF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color w:val="auto"/>
                <w:sz w:val="21"/>
                <w:szCs w:val="21"/>
                <w:highlight w:val="none"/>
                <w:lang w:val="en-US" w:eastAsia="zh-CN"/>
              </w:rPr>
            </w:pPr>
            <w:r>
              <w:rPr>
                <w:rFonts w:hint="eastAsia" w:cs="宋体"/>
                <w:color w:val="auto"/>
                <w:sz w:val="21"/>
                <w:szCs w:val="21"/>
                <w:highlight w:val="none"/>
                <w:lang w:val="en-US" w:eastAsia="zh-CN"/>
              </w:rPr>
              <w:t>财政资金73%，单位自筹资金27%</w:t>
            </w:r>
          </w:p>
        </w:tc>
      </w:tr>
      <w:tr w14:paraId="2E3A71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58" w:type="dxa"/>
            <w:vMerge w:val="restart"/>
            <w:vAlign w:val="center"/>
          </w:tcPr>
          <w:p w14:paraId="3A29973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7</w:t>
            </w:r>
          </w:p>
        </w:tc>
        <w:tc>
          <w:tcPr>
            <w:tcW w:w="1916" w:type="dxa"/>
            <w:vMerge w:val="restart"/>
            <w:vAlign w:val="center"/>
          </w:tcPr>
          <w:p w14:paraId="01722EC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采购方式及资格审查方式</w:t>
            </w:r>
          </w:p>
        </w:tc>
        <w:tc>
          <w:tcPr>
            <w:tcW w:w="6970" w:type="dxa"/>
            <w:tcBorders>
              <w:bottom w:val="single" w:color="auto" w:sz="4" w:space="0"/>
            </w:tcBorders>
            <w:vAlign w:val="center"/>
          </w:tcPr>
          <w:p w14:paraId="50C94C5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采购方式：竞争性磋商</w:t>
            </w:r>
          </w:p>
        </w:tc>
      </w:tr>
      <w:tr w14:paraId="3BC33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858" w:type="dxa"/>
            <w:vMerge w:val="continue"/>
            <w:vAlign w:val="center"/>
          </w:tcPr>
          <w:p w14:paraId="2C0CC2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1916" w:type="dxa"/>
            <w:vMerge w:val="continue"/>
            <w:vAlign w:val="center"/>
          </w:tcPr>
          <w:p w14:paraId="24C2842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6970" w:type="dxa"/>
            <w:tcBorders>
              <w:top w:val="single" w:color="auto" w:sz="4" w:space="0"/>
            </w:tcBorders>
            <w:vAlign w:val="center"/>
          </w:tcPr>
          <w:p w14:paraId="6B88FFA7">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资格审查方式：资格后审（详见资格审查部分）</w:t>
            </w:r>
          </w:p>
        </w:tc>
      </w:tr>
      <w:tr w14:paraId="14385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8" w:hRule="atLeast"/>
          <w:jc w:val="center"/>
        </w:trPr>
        <w:tc>
          <w:tcPr>
            <w:tcW w:w="858" w:type="dxa"/>
            <w:vAlign w:val="center"/>
          </w:tcPr>
          <w:p w14:paraId="2509E43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8</w:t>
            </w:r>
          </w:p>
        </w:tc>
        <w:tc>
          <w:tcPr>
            <w:tcW w:w="1916" w:type="dxa"/>
            <w:vAlign w:val="center"/>
          </w:tcPr>
          <w:p w14:paraId="064882FF">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资质要求</w:t>
            </w:r>
          </w:p>
        </w:tc>
        <w:tc>
          <w:tcPr>
            <w:tcW w:w="6970" w:type="dxa"/>
            <w:vAlign w:val="center"/>
          </w:tcPr>
          <w:p w14:paraId="2B4C565E">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1.满足《中华人民共和国政府采购法》第二十二条规定；</w:t>
            </w:r>
          </w:p>
          <w:p w14:paraId="59F4D57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2.落实政府采购政策需满足的资格要求：</w:t>
            </w:r>
            <w:r>
              <w:rPr>
                <w:rFonts w:hint="eastAsia" w:ascii="宋体" w:hAnsi="宋体" w:cs="宋体"/>
                <w:color w:val="auto"/>
                <w:sz w:val="21"/>
                <w:szCs w:val="21"/>
                <w:highlight w:val="none"/>
                <w:lang w:val="en-US" w:eastAsia="zh-CN"/>
              </w:rPr>
              <w:t>本项目非专门面向中小企业。</w:t>
            </w:r>
          </w:p>
          <w:p w14:paraId="11965229">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3.本项目的特定资格要求：</w:t>
            </w:r>
          </w:p>
          <w:p w14:paraId="742B6D58">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3.1被“信用中国”网站（www.creditchina.gov.cn）列入失信被执行人和</w:t>
            </w:r>
            <w:r>
              <w:rPr>
                <w:rFonts w:hint="eastAsia" w:ascii="宋体" w:hAnsi="宋体" w:cs="宋体"/>
                <w:color w:val="auto"/>
                <w:sz w:val="21"/>
                <w:szCs w:val="21"/>
                <w:highlight w:val="none"/>
                <w:lang w:val="zh-CN"/>
              </w:rPr>
              <w:t>重大税收违法失信主体</w:t>
            </w:r>
            <w:r>
              <w:rPr>
                <w:rFonts w:hint="eastAsia" w:ascii="宋体" w:hAnsi="宋体" w:eastAsia="宋体" w:cs="宋体"/>
                <w:color w:val="auto"/>
                <w:sz w:val="21"/>
                <w:szCs w:val="21"/>
                <w:highlight w:val="none"/>
                <w:lang w:val="zh-CN"/>
              </w:rPr>
              <w:t>、 被 “中国政府采购网 ”网 站（www.ccgp.gov.cn）列入政府采购严重违法失信行为记录名单（处罚期限尚未届满的）的供应商，不得参与本项目的政府采购活动；</w:t>
            </w:r>
          </w:p>
          <w:p w14:paraId="4F97763B">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w:t>
            </w:r>
          </w:p>
          <w:p w14:paraId="6729C8C7">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3.3为本采购项目提供过整体设计、规范编制或者项目管理、监理、检测等服务的供应商，不得再参加本采购项目的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活动；</w:t>
            </w:r>
          </w:p>
          <w:p w14:paraId="616B82FD">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3.4参加政府采购活动前三年内，在经营活动中没有重大</w:t>
            </w:r>
            <w:r>
              <w:rPr>
                <w:rFonts w:hint="eastAsia" w:ascii="宋体" w:hAnsi="宋体" w:cs="宋体"/>
                <w:color w:val="auto"/>
                <w:sz w:val="21"/>
                <w:szCs w:val="21"/>
                <w:highlight w:val="none"/>
                <w:lang w:val="en-US" w:eastAsia="zh-CN"/>
              </w:rPr>
              <w:t>违法</w:t>
            </w:r>
            <w:r>
              <w:rPr>
                <w:rFonts w:hint="eastAsia" w:ascii="宋体" w:hAnsi="宋体" w:eastAsia="宋体" w:cs="宋体"/>
                <w:color w:val="auto"/>
                <w:sz w:val="21"/>
                <w:szCs w:val="21"/>
                <w:highlight w:val="none"/>
                <w:lang w:val="zh-CN"/>
              </w:rPr>
              <w:t>记录；</w:t>
            </w:r>
          </w:p>
          <w:p w14:paraId="59ADC9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如为制造商须具备《医疗器械生产企业许可证》或《医疗器械生产备案凭证》；</w:t>
            </w:r>
          </w:p>
          <w:p w14:paraId="0FABC4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如为代理商须具备《医疗器械经营企业许可证》或《医疗器械经营备案凭证》；</w:t>
            </w:r>
          </w:p>
          <w:p w14:paraId="2AE6BD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3.7投标产品应具备有效的《中华人民共和国医疗器械注册证》或《医疗器械备案凭证》；</w:t>
            </w:r>
          </w:p>
          <w:p w14:paraId="2745C7EE">
            <w:pPr>
              <w:spacing w:line="360" w:lineRule="auto"/>
              <w:rPr>
                <w:rFonts w:hint="default" w:eastAsia="宋体"/>
                <w:highlight w:val="none"/>
                <w:lang w:val="en-US" w:eastAsia="zh-CN"/>
              </w:rPr>
            </w:pPr>
            <w:r>
              <w:rPr>
                <w:rFonts w:hint="eastAsia" w:ascii="宋体" w:hAnsi="宋体" w:eastAsia="宋体" w:cs="宋体"/>
                <w:color w:val="auto"/>
                <w:sz w:val="21"/>
                <w:szCs w:val="21"/>
                <w:highlight w:val="none"/>
                <w:lang w:val="zh-CN"/>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 xml:space="preserve"> 符合法律、行政法规规定的其它要求。</w:t>
            </w:r>
          </w:p>
        </w:tc>
      </w:tr>
      <w:tr w14:paraId="5320F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58" w:type="dxa"/>
            <w:vAlign w:val="center"/>
          </w:tcPr>
          <w:p w14:paraId="2DF8AD2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9</w:t>
            </w:r>
          </w:p>
        </w:tc>
        <w:tc>
          <w:tcPr>
            <w:tcW w:w="1916" w:type="dxa"/>
            <w:vAlign w:val="center"/>
          </w:tcPr>
          <w:p w14:paraId="10FB1E2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交货期</w:t>
            </w:r>
          </w:p>
        </w:tc>
        <w:tc>
          <w:tcPr>
            <w:tcW w:w="6970" w:type="dxa"/>
            <w:vAlign w:val="center"/>
          </w:tcPr>
          <w:p w14:paraId="0D015A7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eastAsia="zh-CN"/>
              </w:rPr>
            </w:pPr>
            <w:r>
              <w:rPr>
                <w:rFonts w:hint="eastAsia" w:cs="Times New Roman"/>
                <w:color w:val="auto"/>
                <w:kern w:val="2"/>
                <w:sz w:val="21"/>
                <w:szCs w:val="21"/>
                <w:highlight w:val="none"/>
                <w:lang w:val="en-US" w:eastAsia="zh-CN"/>
              </w:rPr>
              <w:t>30天</w:t>
            </w:r>
          </w:p>
        </w:tc>
      </w:tr>
      <w:tr w14:paraId="556C4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196777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10</w:t>
            </w:r>
          </w:p>
        </w:tc>
        <w:tc>
          <w:tcPr>
            <w:tcW w:w="1916" w:type="dxa"/>
            <w:vAlign w:val="center"/>
          </w:tcPr>
          <w:p w14:paraId="43BFC3A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地</w:t>
            </w:r>
            <w:r>
              <w:rPr>
                <w:rFonts w:hint="eastAsia"/>
                <w:color w:val="auto"/>
                <w:sz w:val="21"/>
                <w:szCs w:val="21"/>
                <w:highlight w:val="none"/>
                <w:lang w:val="en-US" w:eastAsia="zh-CN"/>
              </w:rPr>
              <w:t xml:space="preserve">    </w:t>
            </w:r>
            <w:r>
              <w:rPr>
                <w:rFonts w:hint="eastAsia"/>
                <w:color w:val="auto"/>
                <w:sz w:val="21"/>
                <w:szCs w:val="21"/>
                <w:highlight w:val="none"/>
                <w:lang w:val="zh-CN"/>
              </w:rPr>
              <w:t>点</w:t>
            </w:r>
          </w:p>
        </w:tc>
        <w:tc>
          <w:tcPr>
            <w:tcW w:w="6970" w:type="dxa"/>
            <w:vAlign w:val="center"/>
          </w:tcPr>
          <w:p w14:paraId="57BE83EE">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长春市中心医院指定地点</w:t>
            </w:r>
          </w:p>
        </w:tc>
      </w:tr>
      <w:tr w14:paraId="51FFF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46A0379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11</w:t>
            </w:r>
          </w:p>
        </w:tc>
        <w:tc>
          <w:tcPr>
            <w:tcW w:w="1916" w:type="dxa"/>
            <w:vAlign w:val="center"/>
          </w:tcPr>
          <w:p w14:paraId="1C6A9B3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rPr>
              <w:t>付款方式</w:t>
            </w:r>
          </w:p>
        </w:tc>
        <w:tc>
          <w:tcPr>
            <w:tcW w:w="6970" w:type="dxa"/>
            <w:vAlign w:val="center"/>
          </w:tcPr>
          <w:p w14:paraId="2532E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宋体" w:hAnsi="宋体" w:eastAsia="宋体" w:cs="宋体"/>
                <w:color w:val="auto"/>
                <w:spacing w:val="12"/>
                <w:kern w:val="2"/>
                <w:sz w:val="21"/>
                <w:szCs w:val="21"/>
                <w:highlight w:val="none"/>
                <w:lang w:val="en-US" w:eastAsia="zh-CN" w:bidi="ar-SA"/>
              </w:rPr>
            </w:pPr>
            <w:r>
              <w:rPr>
                <w:rFonts w:hint="eastAsia" w:ascii="宋体" w:hAnsi="宋体" w:cs="宋体"/>
                <w:color w:val="auto"/>
                <w:spacing w:val="12"/>
                <w:sz w:val="21"/>
                <w:szCs w:val="21"/>
                <w:highlight w:val="none"/>
                <w:lang w:val="en-US" w:eastAsia="zh-CN"/>
              </w:rPr>
              <w:t>按合同约定</w:t>
            </w:r>
          </w:p>
        </w:tc>
      </w:tr>
      <w:tr w14:paraId="14741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941BBA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2</w:t>
            </w:r>
          </w:p>
        </w:tc>
        <w:tc>
          <w:tcPr>
            <w:tcW w:w="1916" w:type="dxa"/>
            <w:vAlign w:val="center"/>
          </w:tcPr>
          <w:p w14:paraId="75F3AEB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olor w:val="auto"/>
                <w:sz w:val="21"/>
                <w:szCs w:val="21"/>
                <w:highlight w:val="none"/>
              </w:rPr>
            </w:pPr>
            <w:r>
              <w:rPr>
                <w:rFonts w:hint="eastAsia"/>
                <w:color w:val="auto"/>
                <w:sz w:val="21"/>
                <w:szCs w:val="21"/>
                <w:highlight w:val="none"/>
              </w:rPr>
              <w:t>预算金额</w:t>
            </w:r>
          </w:p>
          <w:p w14:paraId="2CF9567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eastAsia="zh-CN"/>
              </w:rPr>
              <w:t>（最高限价）</w:t>
            </w:r>
          </w:p>
        </w:tc>
        <w:tc>
          <w:tcPr>
            <w:tcW w:w="6970" w:type="dxa"/>
            <w:vAlign w:val="center"/>
          </w:tcPr>
          <w:p w14:paraId="7AA5E8D8">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color w:val="auto"/>
                <w:sz w:val="21"/>
                <w:szCs w:val="21"/>
                <w:highlight w:val="none"/>
              </w:rPr>
            </w:pPr>
            <w:r>
              <w:rPr>
                <w:rFonts w:hint="eastAsia"/>
                <w:color w:val="auto"/>
                <w:sz w:val="21"/>
                <w:szCs w:val="21"/>
                <w:highlight w:val="none"/>
                <w:lang w:val="en-US" w:eastAsia="zh-CN"/>
              </w:rPr>
              <w:t>148.6万元</w:t>
            </w:r>
            <w:r>
              <w:rPr>
                <w:rFonts w:hint="eastAsia"/>
                <w:color w:val="auto"/>
                <w:sz w:val="21"/>
                <w:szCs w:val="21"/>
                <w:highlight w:val="none"/>
              </w:rPr>
              <w:t>（</w:t>
            </w:r>
            <w:r>
              <w:rPr>
                <w:rFonts w:hint="eastAsia" w:cs="宋体"/>
                <w:color w:val="auto"/>
                <w:sz w:val="21"/>
                <w:szCs w:val="21"/>
                <w:highlight w:val="none"/>
                <w:lang w:eastAsia="zh-CN"/>
              </w:rPr>
              <w:t>供应商</w:t>
            </w:r>
            <w:r>
              <w:rPr>
                <w:rFonts w:hint="eastAsia" w:cs="宋体"/>
                <w:color w:val="auto"/>
                <w:sz w:val="21"/>
                <w:szCs w:val="21"/>
                <w:highlight w:val="none"/>
              </w:rPr>
              <w:t>应认真考虑自身报价风险以及</w:t>
            </w:r>
            <w:r>
              <w:rPr>
                <w:rFonts w:hint="eastAsia" w:cs="宋体"/>
                <w:color w:val="auto"/>
                <w:sz w:val="21"/>
                <w:szCs w:val="21"/>
                <w:highlight w:val="none"/>
                <w:lang w:val="en-US" w:eastAsia="zh-CN"/>
              </w:rPr>
              <w:t>成交</w:t>
            </w:r>
            <w:r>
              <w:rPr>
                <w:rFonts w:hint="eastAsia" w:cs="宋体"/>
                <w:color w:val="auto"/>
                <w:sz w:val="21"/>
                <w:szCs w:val="21"/>
                <w:highlight w:val="none"/>
              </w:rPr>
              <w:t>后自身的经济承受能力，尤其是要慎重合理确定利润，自主报价，不得盲目压价，低于成本恶性竞争。</w:t>
            </w:r>
            <w:r>
              <w:rPr>
                <w:rFonts w:hint="eastAsia" w:cs="宋体"/>
                <w:b/>
                <w:bCs/>
                <w:color w:val="auto"/>
                <w:sz w:val="21"/>
                <w:szCs w:val="21"/>
                <w:highlight w:val="none"/>
                <w:lang w:val="en-US" w:eastAsia="zh-CN"/>
              </w:rPr>
              <w:t>不得超过预算单价</w:t>
            </w:r>
            <w:r>
              <w:rPr>
                <w:rFonts w:hint="eastAsia"/>
                <w:color w:val="auto"/>
                <w:sz w:val="21"/>
                <w:szCs w:val="21"/>
                <w:highlight w:val="none"/>
              </w:rPr>
              <w:t>）</w:t>
            </w:r>
          </w:p>
          <w:p w14:paraId="39BE3FFA">
            <w:pPr>
              <w:pStyle w:val="92"/>
              <w:keepNext w:val="0"/>
              <w:keepLines w:val="0"/>
              <w:pageBreakBefore w:val="0"/>
              <w:widowControl w:val="0"/>
              <w:kinsoku/>
              <w:wordWrap/>
              <w:overflowPunct/>
              <w:topLinePunct w:val="0"/>
              <w:bidi w:val="0"/>
              <w:adjustRightInd/>
              <w:snapToGrid w:val="0"/>
              <w:spacing w:line="440" w:lineRule="exact"/>
              <w:contextualSpacing/>
              <w:textAlignment w:val="auto"/>
              <w:rPr>
                <w:color w:val="auto"/>
                <w:sz w:val="21"/>
                <w:szCs w:val="21"/>
                <w:highlight w:val="none"/>
                <w:lang w:val="zh-CN"/>
              </w:rPr>
            </w:pPr>
            <w:r>
              <w:rPr>
                <w:rFonts w:hint="eastAsia"/>
                <w:b/>
                <w:bCs/>
                <w:color w:val="auto"/>
                <w:sz w:val="21"/>
                <w:szCs w:val="21"/>
                <w:highlight w:val="none"/>
                <w:lang w:val="zh-CN"/>
              </w:rPr>
              <w:t>超出此</w:t>
            </w:r>
            <w:r>
              <w:rPr>
                <w:rFonts w:hint="eastAsia"/>
                <w:b/>
                <w:bCs/>
                <w:color w:val="auto"/>
                <w:sz w:val="21"/>
                <w:szCs w:val="21"/>
                <w:highlight w:val="none"/>
                <w:lang w:val="en-US" w:eastAsia="zh-CN"/>
              </w:rPr>
              <w:t>预算单价及预算金额</w:t>
            </w:r>
            <w:r>
              <w:rPr>
                <w:rFonts w:hint="eastAsia"/>
                <w:b/>
                <w:bCs/>
                <w:color w:val="auto"/>
                <w:sz w:val="21"/>
                <w:szCs w:val="21"/>
                <w:highlight w:val="none"/>
                <w:lang w:val="zh-CN"/>
              </w:rPr>
              <w:t>的</w:t>
            </w:r>
            <w:r>
              <w:rPr>
                <w:rFonts w:hint="eastAsia"/>
                <w:b/>
                <w:bCs/>
                <w:color w:val="auto"/>
                <w:sz w:val="21"/>
                <w:szCs w:val="21"/>
                <w:highlight w:val="none"/>
                <w:lang w:val="en-US" w:eastAsia="zh-CN"/>
              </w:rPr>
              <w:t>磋商</w:t>
            </w:r>
            <w:r>
              <w:rPr>
                <w:rFonts w:hint="eastAsia"/>
                <w:b/>
                <w:bCs/>
                <w:color w:val="auto"/>
                <w:sz w:val="21"/>
                <w:szCs w:val="21"/>
                <w:highlight w:val="none"/>
                <w:lang w:val="zh-CN"/>
              </w:rPr>
              <w:t>报价将被否决。</w:t>
            </w:r>
          </w:p>
        </w:tc>
      </w:tr>
      <w:tr w14:paraId="5C5580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48C663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3</w:t>
            </w:r>
          </w:p>
        </w:tc>
        <w:tc>
          <w:tcPr>
            <w:tcW w:w="1916" w:type="dxa"/>
            <w:vAlign w:val="center"/>
          </w:tcPr>
          <w:p w14:paraId="1BB9C1B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联合体</w:t>
            </w:r>
            <w:r>
              <w:rPr>
                <w:rFonts w:hint="eastAsia"/>
                <w:color w:val="auto"/>
                <w:sz w:val="21"/>
                <w:szCs w:val="21"/>
                <w:highlight w:val="none"/>
                <w:lang w:val="en-US" w:eastAsia="zh-CN"/>
              </w:rPr>
              <w:t>磋商</w:t>
            </w:r>
          </w:p>
        </w:tc>
        <w:tc>
          <w:tcPr>
            <w:tcW w:w="6970" w:type="dxa"/>
            <w:vAlign w:val="center"/>
          </w:tcPr>
          <w:p w14:paraId="5C90CEFF">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eastAsia="zh-CN"/>
              </w:rPr>
            </w:pPr>
            <w:r>
              <w:rPr>
                <w:rFonts w:hint="eastAsia"/>
                <w:color w:val="auto"/>
                <w:sz w:val="21"/>
                <w:szCs w:val="21"/>
                <w:highlight w:val="none"/>
              </w:rPr>
              <w:t>不允许联合体</w:t>
            </w:r>
            <w:r>
              <w:rPr>
                <w:rFonts w:hint="eastAsia"/>
                <w:color w:val="auto"/>
                <w:sz w:val="21"/>
                <w:szCs w:val="21"/>
                <w:highlight w:val="none"/>
                <w:lang w:val="en-US" w:eastAsia="zh-CN"/>
              </w:rPr>
              <w:t>磋商</w:t>
            </w:r>
          </w:p>
        </w:tc>
      </w:tr>
      <w:tr w14:paraId="772B8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DFF1A0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4</w:t>
            </w:r>
          </w:p>
        </w:tc>
        <w:tc>
          <w:tcPr>
            <w:tcW w:w="1916" w:type="dxa"/>
            <w:vAlign w:val="center"/>
          </w:tcPr>
          <w:p w14:paraId="641E1966">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采购人书面澄清的</w:t>
            </w:r>
          </w:p>
          <w:p w14:paraId="3B44021E">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时间</w:t>
            </w:r>
          </w:p>
        </w:tc>
        <w:tc>
          <w:tcPr>
            <w:tcW w:w="6970" w:type="dxa"/>
            <w:vAlign w:val="center"/>
          </w:tcPr>
          <w:p w14:paraId="792D2083">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首次响应文件截止之日 3 个工作日前</w:t>
            </w:r>
          </w:p>
        </w:tc>
      </w:tr>
      <w:tr w14:paraId="506CB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6F6CC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zh-CN"/>
              </w:rPr>
              <w:t>1</w:t>
            </w:r>
            <w:r>
              <w:rPr>
                <w:rFonts w:hint="eastAsia"/>
                <w:color w:val="auto"/>
                <w:sz w:val="21"/>
                <w:szCs w:val="21"/>
                <w:highlight w:val="none"/>
                <w:lang w:val="en-US" w:eastAsia="zh-CN"/>
              </w:rPr>
              <w:t>5</w:t>
            </w:r>
          </w:p>
        </w:tc>
        <w:tc>
          <w:tcPr>
            <w:tcW w:w="1916" w:type="dxa"/>
            <w:vAlign w:val="center"/>
          </w:tcPr>
          <w:p w14:paraId="77EA6C6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分包履约</w:t>
            </w:r>
          </w:p>
        </w:tc>
        <w:tc>
          <w:tcPr>
            <w:tcW w:w="6970" w:type="dxa"/>
            <w:vAlign w:val="center"/>
          </w:tcPr>
          <w:p w14:paraId="3EFCD4C1">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lang w:val="zh-CN"/>
              </w:rPr>
              <w:t>拒绝</w:t>
            </w:r>
            <w:r>
              <w:rPr>
                <w:rFonts w:hint="eastAsia"/>
                <w:color w:val="auto"/>
                <w:sz w:val="21"/>
                <w:szCs w:val="21"/>
                <w:highlight w:val="none"/>
                <w:lang w:val="en-US" w:eastAsia="zh-CN"/>
              </w:rPr>
              <w:t>分包</w:t>
            </w:r>
            <w:r>
              <w:rPr>
                <w:rFonts w:hint="eastAsia"/>
                <w:color w:val="auto"/>
                <w:sz w:val="21"/>
                <w:szCs w:val="21"/>
                <w:highlight w:val="none"/>
                <w:lang w:val="zh-CN"/>
              </w:rPr>
              <w:t>履约</w:t>
            </w:r>
          </w:p>
        </w:tc>
      </w:tr>
      <w:tr w14:paraId="3D73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2DA1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6</w:t>
            </w:r>
          </w:p>
        </w:tc>
        <w:tc>
          <w:tcPr>
            <w:tcW w:w="1916" w:type="dxa"/>
            <w:vAlign w:val="center"/>
          </w:tcPr>
          <w:p w14:paraId="28C5216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color w:val="auto"/>
                <w:sz w:val="21"/>
                <w:szCs w:val="21"/>
                <w:highlight w:val="none"/>
              </w:rPr>
            </w:pPr>
            <w:r>
              <w:rPr>
                <w:rFonts w:hint="eastAsia" w:cs="宋体"/>
                <w:color w:val="auto"/>
                <w:sz w:val="21"/>
                <w:szCs w:val="21"/>
                <w:highlight w:val="none"/>
              </w:rPr>
              <w:t>构成磋商文件的</w:t>
            </w:r>
          </w:p>
          <w:p w14:paraId="76265CE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其他材料</w:t>
            </w:r>
          </w:p>
        </w:tc>
        <w:tc>
          <w:tcPr>
            <w:tcW w:w="6970" w:type="dxa"/>
            <w:vAlign w:val="center"/>
          </w:tcPr>
          <w:p w14:paraId="50FA9D20">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竞争性磋商文件的澄清</w:t>
            </w:r>
            <w:r>
              <w:rPr>
                <w:rFonts w:hint="eastAsia"/>
                <w:color w:val="auto"/>
                <w:sz w:val="21"/>
                <w:szCs w:val="21"/>
                <w:highlight w:val="none"/>
              </w:rPr>
              <w:t>、修改书及有关补充通知为</w:t>
            </w:r>
            <w:r>
              <w:rPr>
                <w:rFonts w:hint="eastAsia"/>
                <w:color w:val="auto"/>
                <w:sz w:val="21"/>
                <w:szCs w:val="21"/>
                <w:highlight w:val="none"/>
                <w:lang w:val="zh-CN"/>
              </w:rPr>
              <w:t>竞争性磋商文件</w:t>
            </w:r>
            <w:r>
              <w:rPr>
                <w:rFonts w:hint="eastAsia"/>
                <w:color w:val="auto"/>
                <w:sz w:val="21"/>
                <w:szCs w:val="21"/>
                <w:highlight w:val="none"/>
              </w:rPr>
              <w:t>的有效组成部分。</w:t>
            </w:r>
          </w:p>
        </w:tc>
      </w:tr>
      <w:tr w14:paraId="1C9C02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1CB562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1916" w:type="dxa"/>
            <w:vAlign w:val="center"/>
          </w:tcPr>
          <w:p w14:paraId="73ED09F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磋商截止时间</w:t>
            </w:r>
          </w:p>
        </w:tc>
        <w:tc>
          <w:tcPr>
            <w:tcW w:w="6970" w:type="dxa"/>
            <w:vAlign w:val="center"/>
          </w:tcPr>
          <w:p w14:paraId="704D8ACA">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s="宋体"/>
                <w:color w:val="auto"/>
                <w:sz w:val="21"/>
                <w:szCs w:val="21"/>
                <w:highlight w:val="none"/>
                <w:lang w:eastAsia="zh-CN"/>
              </w:rPr>
              <w:t>2025年02月10日13时30分</w:t>
            </w:r>
            <w:r>
              <w:rPr>
                <w:rFonts w:hint="eastAsia" w:ascii="宋体" w:hAnsi="宋体" w:eastAsia="宋体" w:cs="宋体"/>
                <w:bCs/>
                <w:color w:val="auto"/>
                <w:sz w:val="21"/>
                <w:szCs w:val="21"/>
                <w:highlight w:val="none"/>
              </w:rPr>
              <w:t>（北京时间）</w:t>
            </w:r>
            <w:r>
              <w:rPr>
                <w:rFonts w:hint="eastAsia"/>
                <w:color w:val="auto"/>
                <w:sz w:val="21"/>
                <w:szCs w:val="21"/>
                <w:highlight w:val="none"/>
                <w:lang w:val="zh-CN"/>
              </w:rPr>
              <w:t>。</w:t>
            </w:r>
          </w:p>
        </w:tc>
      </w:tr>
      <w:tr w14:paraId="0CD9B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CB5F1D1">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1916" w:type="dxa"/>
            <w:vAlign w:val="center"/>
          </w:tcPr>
          <w:p w14:paraId="1462054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磋商有效期</w:t>
            </w:r>
          </w:p>
        </w:tc>
        <w:tc>
          <w:tcPr>
            <w:tcW w:w="6970" w:type="dxa"/>
            <w:vAlign w:val="center"/>
          </w:tcPr>
          <w:p w14:paraId="12C672C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rPr>
              <w:t>本项目的</w:t>
            </w:r>
            <w:r>
              <w:rPr>
                <w:rFonts w:hint="eastAsia" w:cs="宋体"/>
                <w:color w:val="auto"/>
                <w:sz w:val="21"/>
                <w:szCs w:val="21"/>
                <w:highlight w:val="none"/>
              </w:rPr>
              <w:t>磋商有效期</w:t>
            </w:r>
            <w:r>
              <w:rPr>
                <w:rFonts w:hint="eastAsia"/>
                <w:color w:val="auto"/>
                <w:sz w:val="21"/>
                <w:szCs w:val="21"/>
                <w:highlight w:val="none"/>
              </w:rPr>
              <w:t>为</w:t>
            </w:r>
            <w:r>
              <w:rPr>
                <w:rFonts w:hint="eastAsia" w:cs="宋体"/>
                <w:color w:val="auto"/>
                <w:sz w:val="21"/>
                <w:szCs w:val="21"/>
                <w:highlight w:val="none"/>
              </w:rPr>
              <w:t>磋商</w:t>
            </w:r>
            <w:r>
              <w:rPr>
                <w:rFonts w:hint="eastAsia"/>
                <w:color w:val="auto"/>
                <w:sz w:val="21"/>
                <w:szCs w:val="21"/>
                <w:highlight w:val="none"/>
              </w:rPr>
              <w:t>截止期后90日历天</w:t>
            </w:r>
          </w:p>
        </w:tc>
      </w:tr>
      <w:tr w14:paraId="60BDC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D49425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19</w:t>
            </w:r>
          </w:p>
        </w:tc>
        <w:tc>
          <w:tcPr>
            <w:tcW w:w="1916" w:type="dxa"/>
            <w:vAlign w:val="center"/>
          </w:tcPr>
          <w:p w14:paraId="079AB02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磋商保证金</w:t>
            </w:r>
          </w:p>
        </w:tc>
        <w:tc>
          <w:tcPr>
            <w:tcW w:w="6970" w:type="dxa"/>
            <w:vAlign w:val="center"/>
          </w:tcPr>
          <w:p w14:paraId="7EE44777">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eastAsia="zh-CN"/>
              </w:rPr>
            </w:pPr>
            <w:r>
              <w:rPr>
                <w:rFonts w:hint="eastAsia"/>
                <w:color w:val="auto"/>
                <w:sz w:val="21"/>
                <w:szCs w:val="21"/>
                <w:highlight w:val="none"/>
                <w:lang w:val="zh-CN"/>
              </w:rPr>
              <w:t>不收取</w:t>
            </w:r>
          </w:p>
        </w:tc>
      </w:tr>
      <w:tr w14:paraId="32EAB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29B64FA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0</w:t>
            </w:r>
          </w:p>
        </w:tc>
        <w:tc>
          <w:tcPr>
            <w:tcW w:w="1916" w:type="dxa"/>
            <w:vAlign w:val="center"/>
          </w:tcPr>
          <w:p w14:paraId="796FCB3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履约保证金</w:t>
            </w:r>
          </w:p>
        </w:tc>
        <w:tc>
          <w:tcPr>
            <w:tcW w:w="6970" w:type="dxa"/>
            <w:vAlign w:val="center"/>
          </w:tcPr>
          <w:p w14:paraId="2B16FD55">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不收取</w:t>
            </w:r>
          </w:p>
        </w:tc>
      </w:tr>
      <w:tr w14:paraId="48B88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58" w:type="dxa"/>
            <w:vAlign w:val="center"/>
          </w:tcPr>
          <w:p w14:paraId="0F625BF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olor w:val="auto"/>
                <w:szCs w:val="21"/>
                <w:highlight w:val="none"/>
                <w:lang w:val="zh-CN" w:eastAsia="zh-CN"/>
              </w:rPr>
            </w:pPr>
            <w:r>
              <w:rPr>
                <w:rFonts w:hint="eastAsia" w:ascii="宋体" w:hAnsi="宋体"/>
                <w:color w:val="auto"/>
                <w:szCs w:val="21"/>
                <w:highlight w:val="none"/>
                <w:lang w:val="zh-CN"/>
              </w:rPr>
              <w:t>2</w:t>
            </w:r>
            <w:r>
              <w:rPr>
                <w:rFonts w:hint="eastAsia" w:ascii="宋体" w:hAnsi="宋体"/>
                <w:color w:val="auto"/>
                <w:szCs w:val="21"/>
                <w:highlight w:val="none"/>
                <w:lang w:val="en-US" w:eastAsia="zh-CN"/>
              </w:rPr>
              <w:t>1</w:t>
            </w:r>
          </w:p>
        </w:tc>
        <w:tc>
          <w:tcPr>
            <w:tcW w:w="1916" w:type="dxa"/>
            <w:vAlign w:val="center"/>
          </w:tcPr>
          <w:p w14:paraId="0FF3A23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财务</w:t>
            </w:r>
            <w:r>
              <w:rPr>
                <w:rFonts w:hint="eastAsia"/>
                <w:color w:val="auto"/>
                <w:sz w:val="21"/>
                <w:szCs w:val="21"/>
                <w:highlight w:val="none"/>
                <w:lang w:val="en-US" w:eastAsia="zh-CN"/>
              </w:rPr>
              <w:t>等</w:t>
            </w:r>
            <w:r>
              <w:rPr>
                <w:rFonts w:hint="eastAsia"/>
                <w:color w:val="auto"/>
                <w:sz w:val="21"/>
                <w:szCs w:val="21"/>
                <w:highlight w:val="none"/>
                <w:lang w:val="zh-CN"/>
              </w:rPr>
              <w:t>要求</w:t>
            </w:r>
          </w:p>
        </w:tc>
        <w:tc>
          <w:tcPr>
            <w:tcW w:w="6970" w:type="dxa"/>
            <w:vAlign w:val="center"/>
          </w:tcPr>
          <w:p w14:paraId="02F4CC6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tc>
      </w:tr>
      <w:tr w14:paraId="22FB4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05CE7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2</w:t>
            </w:r>
          </w:p>
        </w:tc>
        <w:tc>
          <w:tcPr>
            <w:tcW w:w="1916" w:type="dxa"/>
            <w:vAlign w:val="center"/>
          </w:tcPr>
          <w:p w14:paraId="23C6378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备选方案和报价</w:t>
            </w:r>
          </w:p>
        </w:tc>
        <w:tc>
          <w:tcPr>
            <w:tcW w:w="6970" w:type="dxa"/>
            <w:vAlign w:val="center"/>
          </w:tcPr>
          <w:p w14:paraId="2376D21F">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不接受备选方案和多个报价。</w:t>
            </w:r>
          </w:p>
        </w:tc>
      </w:tr>
      <w:tr w14:paraId="2BBC8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04DD03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3</w:t>
            </w:r>
          </w:p>
        </w:tc>
        <w:tc>
          <w:tcPr>
            <w:tcW w:w="1916" w:type="dxa"/>
            <w:vAlign w:val="center"/>
          </w:tcPr>
          <w:p w14:paraId="728E23B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签字</w:t>
            </w:r>
            <w:r>
              <w:rPr>
                <w:rFonts w:hint="eastAsia"/>
                <w:color w:val="auto"/>
                <w:sz w:val="21"/>
                <w:szCs w:val="21"/>
                <w:highlight w:val="none"/>
                <w:lang w:val="en-US" w:eastAsia="zh-CN"/>
              </w:rPr>
              <w:t>和</w:t>
            </w:r>
            <w:r>
              <w:rPr>
                <w:rFonts w:hint="eastAsia"/>
                <w:color w:val="auto"/>
                <w:sz w:val="21"/>
                <w:szCs w:val="21"/>
                <w:highlight w:val="none"/>
                <w:lang w:val="zh-CN"/>
              </w:rPr>
              <w:t>盖章</w:t>
            </w:r>
            <w:r>
              <w:rPr>
                <w:rFonts w:hint="eastAsia"/>
                <w:color w:val="auto"/>
                <w:sz w:val="21"/>
                <w:szCs w:val="21"/>
                <w:highlight w:val="none"/>
                <w:lang w:val="en-US" w:eastAsia="zh-CN"/>
              </w:rPr>
              <w:t>要求</w:t>
            </w:r>
          </w:p>
        </w:tc>
        <w:tc>
          <w:tcPr>
            <w:tcW w:w="6970" w:type="dxa"/>
            <w:vAlign w:val="center"/>
          </w:tcPr>
          <w:p w14:paraId="46BB846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1、所有要求签字的地方都应用不褪色的墨水或签字笔由本人亲笔手写签字（包括姓和名），不得用盖章（如签名章、签字章等）代替，也不得由他人代签。</w:t>
            </w:r>
          </w:p>
          <w:p w14:paraId="5D2ECFD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2、所有要求盖章的地方都应按照竞争性磋商文件的规定加盖</w:t>
            </w:r>
            <w:r>
              <w:rPr>
                <w:rFonts w:hint="eastAsia" w:ascii="宋体" w:hAnsi="宋体"/>
                <w:color w:val="auto"/>
                <w:szCs w:val="21"/>
                <w:highlight w:val="none"/>
                <w:lang w:val="en-US" w:eastAsia="zh-CN"/>
              </w:rPr>
              <w:t>与</w:t>
            </w:r>
            <w:r>
              <w:rPr>
                <w:rFonts w:hint="eastAsia" w:ascii="宋体" w:hAnsi="宋体"/>
                <w:color w:val="auto"/>
                <w:szCs w:val="21"/>
                <w:highlight w:val="none"/>
              </w:rPr>
              <w:t>供应商名称</w:t>
            </w:r>
            <w:r>
              <w:rPr>
                <w:rFonts w:hint="eastAsia" w:ascii="宋体" w:hAnsi="宋体"/>
                <w:color w:val="auto"/>
                <w:szCs w:val="21"/>
                <w:highlight w:val="none"/>
                <w:lang w:val="en-US" w:eastAsia="zh-CN"/>
              </w:rPr>
              <w:t>全称</w:t>
            </w:r>
            <w:r>
              <w:rPr>
                <w:rFonts w:hint="eastAsia" w:ascii="宋体" w:hAnsi="宋体"/>
                <w:color w:val="auto"/>
                <w:szCs w:val="21"/>
                <w:highlight w:val="none"/>
              </w:rPr>
              <w:t>一致的标准公章，不得使用彩喷或者彩印的印章、不得使用专用章（如经济专用章、投标专用章等）或下属单位印章代替。</w:t>
            </w:r>
          </w:p>
          <w:p w14:paraId="07B479B9">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rPr>
              <w:t>3、响应文件格式中要求供应商“法定代表人或其委托代理人”签字的，如定代表人亲自投标而不委托代理人投标，由法定代表人签字；如法定代表人授权委托代理人投标，由委托代理人签字，也可由法定代表人签字。</w:t>
            </w:r>
          </w:p>
        </w:tc>
      </w:tr>
      <w:tr w14:paraId="41404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49D1B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1916" w:type="dxa"/>
            <w:vAlign w:val="center"/>
          </w:tcPr>
          <w:p w14:paraId="091EEE6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其他要求</w:t>
            </w:r>
          </w:p>
        </w:tc>
        <w:tc>
          <w:tcPr>
            <w:tcW w:w="6970" w:type="dxa"/>
            <w:vAlign w:val="center"/>
          </w:tcPr>
          <w:p w14:paraId="24B6433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zh-CN" w:eastAsia="zh-CN"/>
              </w:rPr>
              <w:t>本项目为全流程电子化项目，</w:t>
            </w: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r>
              <w:rPr>
                <w:rFonts w:hint="eastAsia" w:cs="宋体"/>
                <w:b/>
                <w:bCs w:val="0"/>
                <w:color w:val="auto"/>
                <w:sz w:val="21"/>
                <w:szCs w:val="21"/>
                <w:highlight w:val="none"/>
                <w:lang w:val="en-US" w:eastAsia="zh-CN"/>
              </w:rPr>
              <w:t>(如现场解密需自带电脑）</w:t>
            </w:r>
          </w:p>
          <w:p w14:paraId="31CD5B8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在“政采云”平台（http：//www.zcygov.cn）上制作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文件1份（此</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文件须上传至“政采云”平台）。</w:t>
            </w:r>
          </w:p>
          <w:p w14:paraId="4AF28CE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文件时，电子</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文件以“政采云”平台的</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文件格式为准。</w:t>
            </w:r>
          </w:p>
        </w:tc>
      </w:tr>
      <w:tr w14:paraId="3B07D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AD3085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1916" w:type="dxa"/>
            <w:vAlign w:val="center"/>
          </w:tcPr>
          <w:p w14:paraId="29D5922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pacing w:val="8"/>
                <w:sz w:val="21"/>
                <w:szCs w:val="21"/>
                <w:highlight w:val="none"/>
                <w:lang w:val="en-US" w:eastAsia="zh-CN"/>
              </w:rPr>
              <w:t>响应</w:t>
            </w:r>
            <w:r>
              <w:rPr>
                <w:rFonts w:hint="eastAsia" w:ascii="宋体" w:hAnsi="宋体" w:eastAsia="宋体" w:cs="宋体"/>
                <w:color w:val="auto"/>
                <w:spacing w:val="8"/>
                <w:sz w:val="21"/>
                <w:szCs w:val="21"/>
                <w:highlight w:val="none"/>
              </w:rPr>
              <w:t>文件份</w:t>
            </w:r>
            <w:r>
              <w:rPr>
                <w:rFonts w:hint="eastAsia" w:ascii="宋体" w:hAnsi="宋体" w:eastAsia="宋体" w:cs="宋体"/>
                <w:color w:val="auto"/>
                <w:spacing w:val="7"/>
                <w:sz w:val="21"/>
                <w:szCs w:val="21"/>
                <w:highlight w:val="none"/>
              </w:rPr>
              <w:t>数</w:t>
            </w:r>
          </w:p>
        </w:tc>
        <w:tc>
          <w:tcPr>
            <w:tcW w:w="6970" w:type="dxa"/>
            <w:vAlign w:val="center"/>
          </w:tcPr>
          <w:p w14:paraId="1CB0E69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无</w:t>
            </w:r>
          </w:p>
        </w:tc>
      </w:tr>
      <w:tr w14:paraId="657D4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7A29C0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26</w:t>
            </w:r>
          </w:p>
        </w:tc>
        <w:tc>
          <w:tcPr>
            <w:tcW w:w="1916" w:type="dxa"/>
            <w:vAlign w:val="center"/>
          </w:tcPr>
          <w:p w14:paraId="3F96DF9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响应文件外层密封袋的标注</w:t>
            </w:r>
          </w:p>
        </w:tc>
        <w:tc>
          <w:tcPr>
            <w:tcW w:w="6970" w:type="dxa"/>
            <w:vAlign w:val="center"/>
          </w:tcPr>
          <w:p w14:paraId="19B66C2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en-US" w:eastAsia="zh-CN"/>
              </w:rPr>
              <w:t>无</w:t>
            </w:r>
          </w:p>
        </w:tc>
      </w:tr>
      <w:tr w14:paraId="25BF3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5376FC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27</w:t>
            </w:r>
          </w:p>
        </w:tc>
        <w:tc>
          <w:tcPr>
            <w:tcW w:w="1916" w:type="dxa"/>
            <w:vAlign w:val="center"/>
          </w:tcPr>
          <w:p w14:paraId="7666FDB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递交响应文件地点</w:t>
            </w:r>
          </w:p>
        </w:tc>
        <w:tc>
          <w:tcPr>
            <w:tcW w:w="6970" w:type="dxa"/>
            <w:vAlign w:val="center"/>
          </w:tcPr>
          <w:p w14:paraId="4CF94110">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 xml:space="preserve">响应文件递交地点：政府采购云平台（网址：http:// </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"http://www.zcygov.cn）"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www.zcygov.cn）</w:t>
            </w:r>
            <w:r>
              <w:rPr>
                <w:rFonts w:hint="eastAsia" w:ascii="宋体" w:hAnsi="宋体" w:eastAsia="宋体" w:cs="宋体"/>
                <w:color w:val="auto"/>
                <w:kern w:val="2"/>
                <w:sz w:val="21"/>
                <w:szCs w:val="21"/>
                <w:highlight w:val="none"/>
                <w:lang w:val="en-US" w:eastAsia="zh-CN" w:bidi="ar-SA"/>
              </w:rPr>
              <w:fldChar w:fldCharType="end"/>
            </w:r>
          </w:p>
        </w:tc>
      </w:tr>
      <w:tr w14:paraId="4630A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478078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28</w:t>
            </w:r>
          </w:p>
        </w:tc>
        <w:tc>
          <w:tcPr>
            <w:tcW w:w="1916" w:type="dxa"/>
            <w:vAlign w:val="center"/>
          </w:tcPr>
          <w:p w14:paraId="0D12279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磋商时间和地点</w:t>
            </w:r>
          </w:p>
        </w:tc>
        <w:tc>
          <w:tcPr>
            <w:tcW w:w="6970" w:type="dxa"/>
            <w:vAlign w:val="center"/>
          </w:tcPr>
          <w:p w14:paraId="5EAFFBDC">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磋商时间：同磋商截止时间</w:t>
            </w:r>
          </w:p>
          <w:p w14:paraId="11059B8B">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rPr>
              <w:t>磋商地点：</w:t>
            </w:r>
            <w:r>
              <w:rPr>
                <w:rFonts w:hint="eastAsia" w:ascii="宋体" w:hAnsi="宋体"/>
                <w:color w:val="auto"/>
                <w:sz w:val="21"/>
                <w:szCs w:val="21"/>
                <w:highlight w:val="none"/>
                <w:lang w:eastAsia="zh-CN"/>
              </w:rPr>
              <w:t>政府采购云平台（网址：http:// www.zcygov.cn）</w:t>
            </w:r>
          </w:p>
        </w:tc>
      </w:tr>
      <w:tr w14:paraId="2DEB1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8AE6E5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29</w:t>
            </w:r>
          </w:p>
        </w:tc>
        <w:tc>
          <w:tcPr>
            <w:tcW w:w="1916" w:type="dxa"/>
            <w:vAlign w:val="center"/>
          </w:tcPr>
          <w:p w14:paraId="101E159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磋商小组的组建</w:t>
            </w:r>
          </w:p>
        </w:tc>
        <w:tc>
          <w:tcPr>
            <w:tcW w:w="6970" w:type="dxa"/>
            <w:vAlign w:val="center"/>
          </w:tcPr>
          <w:p w14:paraId="01318DA7">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rPr>
            </w:pPr>
            <w:r>
              <w:rPr>
                <w:rFonts w:hint="eastAsia" w:ascii="宋体" w:hAnsi="宋体" w:cs="宋体"/>
                <w:color w:val="auto"/>
                <w:szCs w:val="21"/>
                <w:highlight w:val="none"/>
              </w:rPr>
              <w:t>磋商小组</w:t>
            </w:r>
            <w:r>
              <w:rPr>
                <w:rFonts w:hint="eastAsia" w:ascii="宋体" w:hAnsi="宋体"/>
                <w:color w:val="auto"/>
                <w:szCs w:val="21"/>
                <w:highlight w:val="none"/>
              </w:rPr>
              <w:t>构成：3人</w:t>
            </w:r>
            <w:r>
              <w:rPr>
                <w:rFonts w:hint="eastAsia" w:ascii="宋体" w:hAnsi="宋体"/>
                <w:color w:val="auto"/>
                <w:szCs w:val="21"/>
                <w:highlight w:val="none"/>
                <w:lang w:val="en-US" w:eastAsia="zh-CN"/>
              </w:rPr>
              <w:t>。</w:t>
            </w:r>
          </w:p>
          <w:p w14:paraId="32B8932A">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t>磋商</w:t>
            </w:r>
            <w:r>
              <w:rPr>
                <w:rFonts w:ascii="宋体" w:hAnsi="宋体"/>
                <w:color w:val="auto"/>
                <w:szCs w:val="21"/>
                <w:highlight w:val="none"/>
              </w:rPr>
              <w:t>专家确定方式</w:t>
            </w:r>
            <w:r>
              <w:rPr>
                <w:rFonts w:hint="eastAsia" w:ascii="宋体" w:hAnsi="宋体"/>
                <w:color w:val="auto"/>
                <w:szCs w:val="21"/>
                <w:highlight w:val="none"/>
              </w:rPr>
              <w:t>：</w:t>
            </w:r>
            <w:r>
              <w:rPr>
                <w:rFonts w:hint="eastAsia" w:ascii="宋体" w:hAnsi="宋体"/>
                <w:color w:val="auto"/>
                <w:szCs w:val="21"/>
                <w:highlight w:val="none"/>
                <w:lang w:val="zh-CN"/>
              </w:rPr>
              <w:t>评</w:t>
            </w:r>
            <w:r>
              <w:rPr>
                <w:rFonts w:hint="eastAsia" w:ascii="宋体" w:hAnsi="宋体"/>
                <w:color w:val="auto"/>
                <w:szCs w:val="21"/>
                <w:highlight w:val="none"/>
                <w:lang w:val="en-US" w:eastAsia="zh-CN"/>
              </w:rPr>
              <w:t>审</w:t>
            </w:r>
            <w:r>
              <w:rPr>
                <w:rFonts w:hint="eastAsia" w:ascii="宋体" w:hAnsi="宋体"/>
                <w:color w:val="auto"/>
                <w:szCs w:val="21"/>
                <w:highlight w:val="none"/>
                <w:lang w:val="zh-CN"/>
              </w:rPr>
              <w:t>专家从</w:t>
            </w:r>
            <w:r>
              <w:rPr>
                <w:rFonts w:hint="eastAsia" w:ascii="宋体" w:hAnsi="宋体"/>
                <w:color w:val="auto"/>
                <w:szCs w:val="21"/>
                <w:highlight w:val="none"/>
                <w:lang w:val="zh-CN" w:eastAsia="zh-CN"/>
              </w:rPr>
              <w:t>政采云</w:t>
            </w:r>
            <w:r>
              <w:rPr>
                <w:rFonts w:hint="eastAsia" w:ascii="宋体" w:hAnsi="宋体"/>
                <w:color w:val="auto"/>
                <w:szCs w:val="21"/>
                <w:highlight w:val="none"/>
                <w:lang w:val="zh-CN"/>
              </w:rPr>
              <w:t>专家库中随机抽取</w:t>
            </w:r>
            <w:r>
              <w:rPr>
                <w:rFonts w:hint="eastAsia" w:ascii="宋体" w:hAnsi="宋体"/>
                <w:color w:val="auto"/>
                <w:szCs w:val="21"/>
                <w:highlight w:val="none"/>
              </w:rPr>
              <w:t>。</w:t>
            </w:r>
          </w:p>
        </w:tc>
      </w:tr>
      <w:tr w14:paraId="2963E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9DCCDA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0</w:t>
            </w:r>
          </w:p>
        </w:tc>
        <w:tc>
          <w:tcPr>
            <w:tcW w:w="1916" w:type="dxa"/>
            <w:vAlign w:val="center"/>
          </w:tcPr>
          <w:p w14:paraId="13639BF4">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磋商程序</w:t>
            </w:r>
          </w:p>
        </w:tc>
        <w:tc>
          <w:tcPr>
            <w:tcW w:w="6970" w:type="dxa"/>
            <w:vAlign w:val="center"/>
          </w:tcPr>
          <w:p w14:paraId="4FE2BE7C">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磋商顺序：按</w:t>
            </w:r>
            <w:r>
              <w:rPr>
                <w:rFonts w:hint="eastAsia" w:ascii="宋体" w:hAnsi="宋体" w:cs="宋体"/>
                <w:color w:val="auto"/>
                <w:szCs w:val="21"/>
                <w:highlight w:val="none"/>
                <w:lang w:eastAsia="zh-CN"/>
              </w:rPr>
              <w:t>随机</w:t>
            </w:r>
            <w:r>
              <w:rPr>
                <w:rFonts w:hint="eastAsia" w:ascii="宋体" w:hAnsi="宋体" w:cs="宋体"/>
                <w:color w:val="auto"/>
                <w:szCs w:val="21"/>
                <w:highlight w:val="none"/>
              </w:rPr>
              <w:t>顺序进行。</w:t>
            </w:r>
          </w:p>
        </w:tc>
      </w:tr>
      <w:tr w14:paraId="6DDA0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362DB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3</w:t>
            </w:r>
            <w:r>
              <w:rPr>
                <w:rFonts w:hint="eastAsia"/>
                <w:color w:val="auto"/>
                <w:sz w:val="21"/>
                <w:szCs w:val="21"/>
                <w:highlight w:val="none"/>
                <w:lang w:val="en-US" w:eastAsia="zh-CN"/>
              </w:rPr>
              <w:t>1</w:t>
            </w:r>
          </w:p>
        </w:tc>
        <w:tc>
          <w:tcPr>
            <w:tcW w:w="1916" w:type="dxa"/>
            <w:vAlign w:val="center"/>
          </w:tcPr>
          <w:p w14:paraId="5CBD190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成交结果公告媒介</w:t>
            </w:r>
          </w:p>
        </w:tc>
        <w:tc>
          <w:tcPr>
            <w:tcW w:w="6970" w:type="dxa"/>
            <w:vAlign w:val="center"/>
          </w:tcPr>
          <w:p w14:paraId="0A03349B">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成交</w:t>
            </w:r>
            <w:r>
              <w:rPr>
                <w:rFonts w:hint="eastAsia" w:ascii="宋体" w:hAnsi="宋体"/>
                <w:color w:val="auto"/>
                <w:szCs w:val="21"/>
                <w:highlight w:val="none"/>
              </w:rPr>
              <w:t>通知书发出前，采购人将</w:t>
            </w:r>
            <w:r>
              <w:rPr>
                <w:rFonts w:hint="eastAsia" w:ascii="宋体" w:hAnsi="宋体"/>
                <w:color w:val="auto"/>
                <w:szCs w:val="21"/>
                <w:highlight w:val="none"/>
                <w:lang w:val="en-US" w:eastAsia="zh-CN"/>
              </w:rPr>
              <w:t>成交结果</w:t>
            </w:r>
            <w:r>
              <w:rPr>
                <w:rFonts w:hint="eastAsia" w:ascii="宋体" w:hAnsi="宋体"/>
                <w:color w:val="auto"/>
                <w:szCs w:val="21"/>
                <w:highlight w:val="none"/>
              </w:rPr>
              <w:t>情况在本项目竞争性磋商公告发布的同一网站媒介予以公示，公示期1个工作日。</w:t>
            </w:r>
          </w:p>
        </w:tc>
      </w:tr>
      <w:tr w14:paraId="0EB37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1BCF8F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2</w:t>
            </w:r>
          </w:p>
        </w:tc>
        <w:tc>
          <w:tcPr>
            <w:tcW w:w="1916" w:type="dxa"/>
            <w:vAlign w:val="center"/>
          </w:tcPr>
          <w:p w14:paraId="5E97F40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olor w:val="auto"/>
                <w:szCs w:val="21"/>
                <w:highlight w:val="none"/>
                <w:lang w:val="en-US" w:eastAsia="zh-CN"/>
              </w:rPr>
              <w:t>直接</w:t>
            </w:r>
            <w:r>
              <w:rPr>
                <w:rFonts w:ascii="宋体" w:hAnsi="宋体"/>
                <w:color w:val="auto"/>
                <w:szCs w:val="21"/>
                <w:highlight w:val="none"/>
              </w:rPr>
              <w:t>确定</w:t>
            </w:r>
            <w:r>
              <w:rPr>
                <w:rFonts w:hint="eastAsia" w:ascii="宋体" w:hAnsi="宋体"/>
                <w:color w:val="auto"/>
                <w:szCs w:val="21"/>
                <w:highlight w:val="none"/>
              </w:rPr>
              <w:t>成交供应商</w:t>
            </w:r>
          </w:p>
        </w:tc>
        <w:tc>
          <w:tcPr>
            <w:tcW w:w="6970" w:type="dxa"/>
            <w:vAlign w:val="center"/>
          </w:tcPr>
          <w:p w14:paraId="1737332D">
            <w:pPr>
              <w:keepNext w:val="0"/>
              <w:keepLines w:val="0"/>
              <w:pageBreakBefore w:val="0"/>
              <w:widowControl w:val="0"/>
              <w:kinsoku/>
              <w:wordWrap/>
              <w:overflowPunct/>
              <w:topLinePunct w:val="0"/>
              <w:bidi w:val="0"/>
              <w:adjustRightIn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排名第一的为成交供应商。</w:t>
            </w:r>
          </w:p>
          <w:p w14:paraId="5FD37BCF">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否，推荐三名成交候选人。</w:t>
            </w:r>
          </w:p>
        </w:tc>
      </w:tr>
      <w:tr w14:paraId="70546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70CE83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3</w:t>
            </w:r>
          </w:p>
        </w:tc>
        <w:tc>
          <w:tcPr>
            <w:tcW w:w="1916" w:type="dxa"/>
            <w:vAlign w:val="center"/>
          </w:tcPr>
          <w:p w14:paraId="02AC626D">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color w:val="auto"/>
                <w:szCs w:val="21"/>
                <w:highlight w:val="none"/>
              </w:rPr>
            </w:pPr>
            <w:r>
              <w:rPr>
                <w:rFonts w:hint="eastAsia" w:ascii="宋体" w:hAnsi="宋体"/>
                <w:color w:val="auto"/>
                <w:szCs w:val="21"/>
                <w:highlight w:val="none"/>
              </w:rPr>
              <w:t>供应商代表出席</w:t>
            </w:r>
          </w:p>
          <w:p w14:paraId="793139C1">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ascii="宋体" w:hAnsi="宋体" w:cs="宋体"/>
                <w:bCs/>
                <w:color w:val="auto"/>
                <w:szCs w:val="21"/>
                <w:highlight w:val="none"/>
                <w:lang w:val="zh-CN"/>
              </w:rPr>
            </w:pPr>
            <w:r>
              <w:rPr>
                <w:rFonts w:hint="eastAsia" w:ascii="宋体" w:hAnsi="宋体"/>
                <w:color w:val="auto"/>
                <w:szCs w:val="21"/>
                <w:highlight w:val="none"/>
              </w:rPr>
              <w:t>开标会</w:t>
            </w:r>
          </w:p>
        </w:tc>
        <w:tc>
          <w:tcPr>
            <w:tcW w:w="6970" w:type="dxa"/>
            <w:vAlign w:val="center"/>
          </w:tcPr>
          <w:p w14:paraId="037CA65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color w:val="auto"/>
                <w:szCs w:val="21"/>
                <w:highlight w:val="none"/>
                <w:lang w:val="en-US" w:eastAsia="zh-CN"/>
              </w:rPr>
            </w:pP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无需参加线下开标会。</w:t>
            </w:r>
          </w:p>
          <w:p w14:paraId="1CB7096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ascii="宋体" w:hAnsi="宋体"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p>
        </w:tc>
      </w:tr>
      <w:tr w14:paraId="46183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7E9FF58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4</w:t>
            </w:r>
          </w:p>
        </w:tc>
        <w:tc>
          <w:tcPr>
            <w:tcW w:w="1916" w:type="dxa"/>
            <w:vAlign w:val="center"/>
          </w:tcPr>
          <w:p w14:paraId="5BBC1DA9">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bCs/>
                <w:color w:val="auto"/>
                <w:szCs w:val="21"/>
                <w:highlight w:val="none"/>
                <w:lang w:val="zh-CN"/>
              </w:rPr>
              <w:t>采购代理服务费</w:t>
            </w:r>
          </w:p>
        </w:tc>
        <w:tc>
          <w:tcPr>
            <w:tcW w:w="6970" w:type="dxa"/>
            <w:vAlign w:val="center"/>
          </w:tcPr>
          <w:p w14:paraId="2ED93D18">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本项目招标代理服务费由成交人承担，招标代理服务费参照《招标代理服务收费管理暂行办法》(计价格[2002]1980号)规定</w:t>
            </w:r>
            <w:r>
              <w:rPr>
                <w:rFonts w:hint="eastAsia" w:ascii="宋体" w:hAnsi="宋体" w:cs="宋体"/>
                <w:bCs/>
                <w:color w:val="auto"/>
                <w:szCs w:val="21"/>
                <w:highlight w:val="none"/>
                <w:lang w:val="en-US" w:eastAsia="zh-CN"/>
              </w:rPr>
              <w:t>货物类</w:t>
            </w:r>
            <w:r>
              <w:rPr>
                <w:rFonts w:hint="eastAsia" w:ascii="宋体" w:hAnsi="宋体" w:eastAsia="宋体" w:cs="宋体"/>
                <w:bCs/>
                <w:color w:val="auto"/>
                <w:szCs w:val="21"/>
                <w:highlight w:val="none"/>
                <w:lang w:val="zh-CN" w:eastAsia="zh-CN"/>
              </w:rPr>
              <w:t>收费标准向</w:t>
            </w:r>
            <w:r>
              <w:rPr>
                <w:rFonts w:hint="eastAsia" w:ascii="宋体" w:hAnsi="宋体" w:cs="宋体"/>
                <w:bCs/>
                <w:color w:val="auto"/>
                <w:szCs w:val="21"/>
                <w:highlight w:val="none"/>
                <w:lang w:val="en-US" w:eastAsia="zh-CN"/>
              </w:rPr>
              <w:t>成交</w:t>
            </w:r>
            <w:r>
              <w:rPr>
                <w:rFonts w:hint="eastAsia" w:ascii="宋体" w:hAnsi="宋体" w:eastAsia="宋体" w:cs="宋体"/>
                <w:bCs/>
                <w:color w:val="auto"/>
                <w:szCs w:val="21"/>
                <w:highlight w:val="none"/>
                <w:lang w:val="zh-CN" w:eastAsia="zh-CN"/>
              </w:rPr>
              <w:t>人收取，折扣系数为0.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zh-CN" w:eastAsia="zh-CN"/>
              </w:rPr>
              <w:t>。</w:t>
            </w:r>
          </w:p>
        </w:tc>
      </w:tr>
      <w:tr w14:paraId="5F466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24F8203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35</w:t>
            </w:r>
          </w:p>
        </w:tc>
        <w:tc>
          <w:tcPr>
            <w:tcW w:w="1916" w:type="dxa"/>
            <w:vAlign w:val="center"/>
          </w:tcPr>
          <w:p w14:paraId="264F5ED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质保期</w:t>
            </w:r>
          </w:p>
        </w:tc>
        <w:tc>
          <w:tcPr>
            <w:tcW w:w="6970" w:type="dxa"/>
            <w:vAlign w:val="center"/>
          </w:tcPr>
          <w:p w14:paraId="6B8A60B9">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5年</w:t>
            </w:r>
          </w:p>
        </w:tc>
      </w:tr>
      <w:tr w14:paraId="0D525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30A1B30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36</w:t>
            </w:r>
          </w:p>
        </w:tc>
        <w:tc>
          <w:tcPr>
            <w:tcW w:w="1916" w:type="dxa"/>
            <w:vAlign w:val="center"/>
          </w:tcPr>
          <w:p w14:paraId="0A7BF03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所属行业</w:t>
            </w:r>
          </w:p>
        </w:tc>
        <w:tc>
          <w:tcPr>
            <w:tcW w:w="6970" w:type="dxa"/>
            <w:vAlign w:val="center"/>
          </w:tcPr>
          <w:p w14:paraId="3F874C9F">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制造业</w:t>
            </w:r>
          </w:p>
        </w:tc>
      </w:tr>
    </w:tbl>
    <w:p w14:paraId="2DC5828E">
      <w:pPr>
        <w:pStyle w:val="3"/>
        <w:pageBreakBefore w:val="0"/>
        <w:widowControl w:val="0"/>
        <w:kinsoku/>
        <w:wordWrap/>
        <w:overflowPunct/>
        <w:topLinePunct w:val="0"/>
        <w:bidi w:val="0"/>
        <w:spacing w:before="0" w:after="0" w:line="360" w:lineRule="auto"/>
        <w:ind w:left="0" w:leftChars="0" w:firstLine="482" w:firstLineChars="200"/>
        <w:rPr>
          <w:rFonts w:ascii="宋体" w:hAnsi="宋体" w:eastAsia="宋体"/>
          <w:color w:val="auto"/>
          <w:sz w:val="21"/>
          <w:szCs w:val="21"/>
          <w:highlight w:val="none"/>
        </w:rPr>
      </w:pPr>
      <w:r>
        <w:rPr>
          <w:rFonts w:ascii="宋体" w:hAnsi="宋体" w:eastAsia="宋体"/>
          <w:color w:val="auto"/>
          <w:highlight w:val="none"/>
        </w:rPr>
        <w:br w:type="page"/>
      </w:r>
      <w:bookmarkEnd w:id="15"/>
      <w:bookmarkEnd w:id="16"/>
      <w:bookmarkEnd w:id="17"/>
      <w:bookmarkEnd w:id="18"/>
      <w:bookmarkStart w:id="63" w:name="_Toc497128862"/>
      <w:bookmarkStart w:id="64" w:name="_Toc183582204"/>
      <w:bookmarkStart w:id="65" w:name="_Toc514088761"/>
      <w:bookmarkStart w:id="66" w:name="_Toc217446033"/>
      <w:bookmarkStart w:id="67" w:name="_Toc77400778"/>
      <w:bookmarkStart w:id="68" w:name="_Toc89075873"/>
      <w:bookmarkStart w:id="69" w:name="_Toc183682341"/>
      <w:bookmarkStart w:id="70" w:name="_Toc183582210"/>
      <w:bookmarkStart w:id="71" w:name="_Toc183682347"/>
      <w:bookmarkStart w:id="72" w:name="_Toc217446039"/>
      <w:bookmarkStart w:id="73" w:name="_Toc217446081"/>
      <w:r>
        <w:rPr>
          <w:rFonts w:hint="eastAsia" w:ascii="宋体" w:hAnsi="宋体" w:eastAsia="宋体"/>
          <w:color w:val="auto"/>
          <w:sz w:val="21"/>
          <w:szCs w:val="21"/>
          <w:highlight w:val="none"/>
        </w:rPr>
        <w:t>一、总  则</w:t>
      </w:r>
      <w:bookmarkEnd w:id="63"/>
      <w:bookmarkEnd w:id="64"/>
      <w:bookmarkEnd w:id="65"/>
      <w:bookmarkEnd w:id="66"/>
      <w:bookmarkEnd w:id="67"/>
      <w:bookmarkEnd w:id="68"/>
      <w:bookmarkEnd w:id="69"/>
    </w:p>
    <w:p w14:paraId="1CBD7F83">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74" w:name="_Toc183682342"/>
      <w:bookmarkStart w:id="75" w:name="_Toc183582205"/>
      <w:bookmarkStart w:id="76" w:name="_Toc514088762"/>
      <w:bookmarkStart w:id="77" w:name="_Toc217446034"/>
      <w:bookmarkStart w:id="78" w:name="_Toc497128863"/>
      <w:bookmarkStart w:id="79" w:name="_Toc497129054"/>
      <w:r>
        <w:rPr>
          <w:rFonts w:hint="eastAsia" w:ascii="宋体" w:hAnsi="宋体"/>
          <w:color w:val="auto"/>
          <w:sz w:val="21"/>
          <w:szCs w:val="21"/>
          <w:highlight w:val="none"/>
        </w:rPr>
        <w:t>1</w:t>
      </w:r>
      <w:r>
        <w:rPr>
          <w:rFonts w:ascii="宋体" w:hAnsi="宋体"/>
          <w:color w:val="auto"/>
          <w:sz w:val="21"/>
          <w:szCs w:val="21"/>
          <w:highlight w:val="none"/>
        </w:rPr>
        <w:t>.</w:t>
      </w:r>
      <w:bookmarkEnd w:id="74"/>
      <w:bookmarkEnd w:id="75"/>
      <w:r>
        <w:rPr>
          <w:rFonts w:hint="eastAsia" w:ascii="宋体" w:hAnsi="宋体"/>
          <w:color w:val="auto"/>
          <w:sz w:val="21"/>
          <w:szCs w:val="21"/>
          <w:highlight w:val="none"/>
        </w:rPr>
        <w:t>适用范围</w:t>
      </w:r>
      <w:bookmarkEnd w:id="76"/>
      <w:bookmarkEnd w:id="77"/>
      <w:bookmarkEnd w:id="78"/>
      <w:bookmarkEnd w:id="79"/>
    </w:p>
    <w:p w14:paraId="79672DAD">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color w:val="auto"/>
          <w:kern w:val="0"/>
          <w:sz w:val="21"/>
          <w:szCs w:val="21"/>
          <w:highlight w:val="none"/>
          <w:lang w:eastAsia="zh-CN"/>
        </w:rPr>
        <w:t>参照</w:t>
      </w:r>
      <w:r>
        <w:rPr>
          <w:color w:val="auto"/>
          <w:kern w:val="0"/>
          <w:sz w:val="21"/>
          <w:szCs w:val="21"/>
          <w:highlight w:val="none"/>
        </w:rPr>
        <w:t>有关法律、法规和规章的规定，本项目已具备招标条件，现采用</w:t>
      </w:r>
      <w:r>
        <w:rPr>
          <w:rFonts w:hint="eastAsia"/>
          <w:color w:val="auto"/>
          <w:kern w:val="0"/>
          <w:sz w:val="21"/>
          <w:szCs w:val="21"/>
          <w:highlight w:val="none"/>
        </w:rPr>
        <w:t>竞争性磋商</w:t>
      </w:r>
      <w:r>
        <w:rPr>
          <w:color w:val="auto"/>
          <w:kern w:val="0"/>
          <w:sz w:val="21"/>
          <w:szCs w:val="21"/>
          <w:highlight w:val="none"/>
        </w:rPr>
        <w:t>。</w:t>
      </w:r>
    </w:p>
    <w:p w14:paraId="10693210">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80" w:name="_Toc183582206"/>
      <w:bookmarkStart w:id="81" w:name="_Toc183682343"/>
      <w:bookmarkStart w:id="82" w:name="_Toc497128864"/>
      <w:bookmarkStart w:id="83" w:name="_Toc497129055"/>
      <w:bookmarkStart w:id="84" w:name="_Toc217446035"/>
      <w:bookmarkStart w:id="85" w:name="_Toc514088763"/>
      <w:r>
        <w:rPr>
          <w:rFonts w:ascii="宋体" w:hAnsi="宋体"/>
          <w:color w:val="auto"/>
          <w:sz w:val="21"/>
          <w:szCs w:val="21"/>
          <w:highlight w:val="none"/>
        </w:rPr>
        <w:t>2.</w:t>
      </w:r>
      <w:bookmarkEnd w:id="80"/>
      <w:bookmarkEnd w:id="81"/>
      <w:r>
        <w:rPr>
          <w:rFonts w:hint="eastAsia" w:ascii="宋体" w:hAnsi="宋体"/>
          <w:color w:val="auto"/>
          <w:sz w:val="21"/>
          <w:szCs w:val="21"/>
          <w:highlight w:val="none"/>
        </w:rPr>
        <w:t>有关定义</w:t>
      </w:r>
      <w:bookmarkEnd w:id="82"/>
      <w:bookmarkEnd w:id="83"/>
      <w:bookmarkEnd w:id="84"/>
      <w:bookmarkEnd w:id="85"/>
    </w:p>
    <w:p w14:paraId="1B1983F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86" w:name="_Toc183682344"/>
      <w:bookmarkStart w:id="87" w:name="_Toc183582207"/>
      <w:bookmarkStart w:id="88" w:name="_Toc217446036"/>
      <w:bookmarkStart w:id="89" w:name="_Toc217390843"/>
      <w:r>
        <w:rPr>
          <w:rFonts w:ascii="宋体" w:hAnsi="宋体"/>
          <w:color w:val="auto"/>
          <w:sz w:val="21"/>
          <w:szCs w:val="21"/>
          <w:highlight w:val="none"/>
        </w:rPr>
        <w:t>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本项目采购人：见</w:t>
      </w:r>
      <w:r>
        <w:rPr>
          <w:color w:val="auto"/>
          <w:kern w:val="0"/>
          <w:sz w:val="21"/>
          <w:szCs w:val="21"/>
          <w:highlight w:val="none"/>
        </w:rPr>
        <w:t>供应商</w:t>
      </w:r>
      <w:r>
        <w:rPr>
          <w:rFonts w:hint="eastAsia" w:ascii="宋体" w:hAnsi="宋体"/>
          <w:color w:val="auto"/>
          <w:sz w:val="21"/>
          <w:szCs w:val="21"/>
          <w:highlight w:val="none"/>
        </w:rPr>
        <w:t>须知前附表。</w:t>
      </w:r>
    </w:p>
    <w:p w14:paraId="7027FC0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本项目采购代理机构：见</w:t>
      </w:r>
      <w:r>
        <w:rPr>
          <w:color w:val="auto"/>
          <w:kern w:val="0"/>
          <w:sz w:val="21"/>
          <w:szCs w:val="21"/>
          <w:highlight w:val="none"/>
        </w:rPr>
        <w:t>供应商</w:t>
      </w:r>
      <w:r>
        <w:rPr>
          <w:rFonts w:hint="eastAsia" w:ascii="宋体" w:hAnsi="宋体"/>
          <w:color w:val="auto"/>
          <w:sz w:val="21"/>
          <w:szCs w:val="21"/>
          <w:highlight w:val="none"/>
        </w:rPr>
        <w:t>须知前附表。</w:t>
      </w:r>
    </w:p>
    <w:p w14:paraId="53CA432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本项目名称：见</w:t>
      </w:r>
      <w:r>
        <w:rPr>
          <w:color w:val="auto"/>
          <w:kern w:val="0"/>
          <w:sz w:val="21"/>
          <w:szCs w:val="21"/>
          <w:highlight w:val="none"/>
        </w:rPr>
        <w:t>供应商</w:t>
      </w:r>
      <w:r>
        <w:rPr>
          <w:rFonts w:hint="eastAsia" w:ascii="宋体" w:hAnsi="宋体"/>
          <w:color w:val="auto"/>
          <w:sz w:val="21"/>
          <w:szCs w:val="21"/>
          <w:highlight w:val="none"/>
        </w:rPr>
        <w:t>须知前附表。</w:t>
      </w:r>
    </w:p>
    <w:p w14:paraId="6D99957D">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服务期</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0D5D57A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7C500F8B">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本项目资金来源：见</w:t>
      </w:r>
      <w:r>
        <w:rPr>
          <w:color w:val="auto"/>
          <w:kern w:val="0"/>
          <w:sz w:val="21"/>
          <w:szCs w:val="21"/>
          <w:highlight w:val="none"/>
        </w:rPr>
        <w:t>供应商</w:t>
      </w:r>
      <w:r>
        <w:rPr>
          <w:rFonts w:hint="eastAsia" w:ascii="宋体" w:hAnsi="宋体"/>
          <w:color w:val="auto"/>
          <w:sz w:val="21"/>
          <w:szCs w:val="21"/>
          <w:highlight w:val="none"/>
        </w:rPr>
        <w:t>须知前附表。</w:t>
      </w:r>
    </w:p>
    <w:p w14:paraId="112CBA12">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90" w:name="_Toc514088764"/>
      <w:bookmarkStart w:id="91" w:name="_Toc497129056"/>
      <w:bookmarkStart w:id="92" w:name="_Toc497128865"/>
      <w:r>
        <w:rPr>
          <w:rFonts w:ascii="宋体" w:hAnsi="宋体"/>
          <w:color w:val="auto"/>
          <w:sz w:val="21"/>
          <w:szCs w:val="21"/>
          <w:highlight w:val="none"/>
        </w:rPr>
        <w:t>3.</w:t>
      </w:r>
      <w:r>
        <w:rPr>
          <w:rFonts w:hint="eastAsia" w:ascii="宋体" w:hAnsi="宋体"/>
          <w:color w:val="auto"/>
          <w:sz w:val="21"/>
          <w:szCs w:val="21"/>
          <w:highlight w:val="none"/>
        </w:rPr>
        <w:t xml:space="preserve"> 合格的</w:t>
      </w:r>
      <w:bookmarkEnd w:id="86"/>
      <w:bookmarkEnd w:id="87"/>
      <w:bookmarkEnd w:id="88"/>
      <w:bookmarkEnd w:id="89"/>
      <w:bookmarkEnd w:id="90"/>
      <w:bookmarkEnd w:id="91"/>
      <w:bookmarkEnd w:id="92"/>
      <w:r>
        <w:rPr>
          <w:color w:val="auto"/>
          <w:kern w:val="0"/>
          <w:sz w:val="21"/>
          <w:szCs w:val="21"/>
          <w:highlight w:val="none"/>
        </w:rPr>
        <w:t>供应商</w:t>
      </w:r>
    </w:p>
    <w:p w14:paraId="1BE1F8E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磋商：本项目不接受联合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w:t>
      </w:r>
    </w:p>
    <w:p w14:paraId="21A896B8">
      <w:pPr>
        <w:pStyle w:val="320"/>
        <w:pageBreakBefore w:val="0"/>
        <w:widowControl w:val="0"/>
        <w:kinsoku/>
        <w:wordWrap/>
        <w:overflowPunct/>
        <w:topLinePunct w:val="0"/>
        <w:bidi w:val="0"/>
        <w:spacing w:line="360" w:lineRule="auto"/>
        <w:ind w:left="0" w:leftChars="0" w:firstLine="420" w:firstLineChars="200"/>
        <w:rPr>
          <w:rFonts w:hAnsi="宋体"/>
          <w:color w:val="auto"/>
          <w:spacing w:val="-4"/>
          <w:sz w:val="21"/>
          <w:szCs w:val="21"/>
          <w:highlight w:val="none"/>
        </w:rPr>
      </w:pPr>
      <w:r>
        <w:rPr>
          <w:rFonts w:hAnsi="宋体"/>
          <w:color w:val="auto"/>
          <w:sz w:val="21"/>
          <w:szCs w:val="21"/>
          <w:highlight w:val="none"/>
        </w:rPr>
        <w:t>3.2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具备“竞争性磋商公告”第二条的基本条件</w:t>
      </w:r>
      <w:r>
        <w:rPr>
          <w:rFonts w:hint="eastAsia" w:hAnsi="宋体"/>
          <w:color w:val="auto"/>
          <w:spacing w:val="-4"/>
          <w:sz w:val="21"/>
          <w:szCs w:val="21"/>
          <w:highlight w:val="none"/>
        </w:rPr>
        <w:t>。</w:t>
      </w:r>
    </w:p>
    <w:p w14:paraId="39E4242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color w:val="auto"/>
          <w:kern w:val="0"/>
          <w:sz w:val="21"/>
          <w:szCs w:val="21"/>
          <w:highlight w:val="none"/>
        </w:rPr>
        <w:t>供应商</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zh-CN"/>
        </w:rPr>
        <w:t>自行登录政府采购云平台</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注册并下载竞争性磋商文件，其他途径获取的竞争性磋商文件开标时一律按无效响应处理</w:t>
      </w:r>
      <w:r>
        <w:rPr>
          <w:rFonts w:hint="eastAsia" w:ascii="宋体" w:hAnsi="宋体"/>
          <w:color w:val="auto"/>
          <w:sz w:val="21"/>
          <w:szCs w:val="21"/>
          <w:highlight w:val="none"/>
        </w:rPr>
        <w:t>。</w:t>
      </w:r>
    </w:p>
    <w:p w14:paraId="245B01B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 xml:space="preserve">4 </w:t>
      </w:r>
      <w:r>
        <w:rPr>
          <w:color w:val="auto"/>
          <w:kern w:val="0"/>
          <w:sz w:val="21"/>
          <w:szCs w:val="21"/>
          <w:highlight w:val="none"/>
        </w:rPr>
        <w:t>供应商</w:t>
      </w:r>
      <w:r>
        <w:rPr>
          <w:rFonts w:hint="eastAsia" w:ascii="宋体" w:hAnsi="宋体"/>
          <w:color w:val="auto"/>
          <w:sz w:val="21"/>
          <w:szCs w:val="21"/>
          <w:highlight w:val="none"/>
        </w:rPr>
        <w:t>代表不是法定代表人的，需有“法定代表人授权书”（统一格式）。</w:t>
      </w:r>
    </w:p>
    <w:p w14:paraId="50BBCDB9">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93" w:name="_Toc514088765"/>
      <w:bookmarkStart w:id="94" w:name="_Toc183582208"/>
      <w:bookmarkStart w:id="95" w:name="_Toc217446037"/>
      <w:bookmarkStart w:id="96" w:name="_Toc183682345"/>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费用</w:t>
      </w:r>
      <w:bookmarkEnd w:id="93"/>
    </w:p>
    <w:bookmarkEnd w:id="94"/>
    <w:bookmarkEnd w:id="95"/>
    <w:bookmarkEnd w:id="96"/>
    <w:p w14:paraId="74D998F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color w:val="auto"/>
          <w:kern w:val="0"/>
          <w:sz w:val="21"/>
          <w:szCs w:val="21"/>
          <w:highlight w:val="none"/>
        </w:rPr>
        <w:t>供应商准备和参加</w:t>
      </w:r>
      <w:r>
        <w:rPr>
          <w:rFonts w:hint="eastAsia"/>
          <w:color w:val="auto"/>
          <w:kern w:val="0"/>
          <w:sz w:val="21"/>
          <w:szCs w:val="21"/>
          <w:highlight w:val="none"/>
          <w:lang w:val="en-US" w:eastAsia="zh-CN"/>
        </w:rPr>
        <w:t>磋商</w:t>
      </w:r>
      <w:r>
        <w:rPr>
          <w:color w:val="auto"/>
          <w:kern w:val="0"/>
          <w:sz w:val="21"/>
          <w:szCs w:val="21"/>
          <w:highlight w:val="none"/>
        </w:rPr>
        <w:t>活动发生的费用自理</w:t>
      </w:r>
      <w:r>
        <w:rPr>
          <w:rFonts w:hint="eastAsia" w:ascii="宋体" w:hAnsi="宋体"/>
          <w:color w:val="auto"/>
          <w:sz w:val="21"/>
          <w:szCs w:val="21"/>
          <w:highlight w:val="none"/>
        </w:rPr>
        <w:t>。</w:t>
      </w:r>
    </w:p>
    <w:p w14:paraId="7F84EB4E">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97" w:name="_Toc183682346"/>
      <w:bookmarkStart w:id="98" w:name="_Toc497128867"/>
      <w:bookmarkStart w:id="99" w:name="_Toc183582209"/>
      <w:bookmarkStart w:id="100" w:name="_Toc77400779"/>
      <w:bookmarkStart w:id="101" w:name="_Toc514088767"/>
      <w:bookmarkStart w:id="102" w:name="_Toc217446038"/>
      <w:bookmarkStart w:id="103" w:name="_Toc89075875"/>
      <w:r>
        <w:rPr>
          <w:rFonts w:hint="eastAsia" w:ascii="宋体" w:hAnsi="宋体" w:eastAsia="宋体"/>
          <w:color w:val="auto"/>
          <w:sz w:val="21"/>
          <w:szCs w:val="21"/>
          <w:highlight w:val="none"/>
        </w:rPr>
        <w:t>二、竞争性磋商文件</w:t>
      </w:r>
      <w:bookmarkEnd w:id="97"/>
      <w:bookmarkEnd w:id="98"/>
      <w:bookmarkEnd w:id="99"/>
      <w:bookmarkEnd w:id="100"/>
      <w:bookmarkEnd w:id="101"/>
      <w:bookmarkEnd w:id="102"/>
      <w:bookmarkEnd w:id="103"/>
    </w:p>
    <w:p w14:paraId="0340815B">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4" w:name="_Toc497128868"/>
      <w:bookmarkStart w:id="105" w:name="_Toc514088768"/>
      <w:bookmarkStart w:id="106" w:name="_Toc497129059"/>
      <w:r>
        <w:rPr>
          <w:rFonts w:hint="eastAsia" w:ascii="宋体" w:hAnsi="宋体"/>
          <w:color w:val="auto"/>
          <w:sz w:val="21"/>
          <w:szCs w:val="21"/>
          <w:highlight w:val="none"/>
        </w:rPr>
        <w:t>6．竞争性磋商文件的构成</w:t>
      </w:r>
      <w:bookmarkEnd w:id="70"/>
      <w:bookmarkEnd w:id="71"/>
      <w:bookmarkEnd w:id="72"/>
      <w:bookmarkEnd w:id="104"/>
      <w:bookmarkEnd w:id="105"/>
      <w:bookmarkEnd w:id="106"/>
    </w:p>
    <w:p w14:paraId="33B339D7">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hint="eastAsia" w:ascii="宋体" w:hAnsi="宋体"/>
          <w:color w:val="auto"/>
          <w:sz w:val="21"/>
          <w:szCs w:val="21"/>
          <w:highlight w:val="none"/>
        </w:rPr>
        <w:t>6</w:t>
      </w:r>
      <w:r>
        <w:rPr>
          <w:rFonts w:ascii="宋体" w:hAnsi="宋体"/>
          <w:b/>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ascii="宋体" w:hAnsi="宋体"/>
          <w:color w:val="auto"/>
          <w:kern w:val="0"/>
          <w:sz w:val="21"/>
          <w:szCs w:val="21"/>
          <w:highlight w:val="none"/>
        </w:rPr>
        <w:t>本竞争性磋商文件包括：</w:t>
      </w:r>
    </w:p>
    <w:p w14:paraId="633EDB51">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（1）</w:t>
      </w:r>
      <w:r>
        <w:rPr>
          <w:rFonts w:ascii="宋体" w:hAnsi="宋体"/>
          <w:color w:val="auto"/>
          <w:sz w:val="21"/>
          <w:szCs w:val="21"/>
          <w:highlight w:val="none"/>
        </w:rPr>
        <w:t>竞争性磋商公告</w:t>
      </w:r>
      <w:r>
        <w:rPr>
          <w:rFonts w:ascii="宋体" w:hAnsi="宋体"/>
          <w:color w:val="auto"/>
          <w:kern w:val="0"/>
          <w:sz w:val="21"/>
          <w:szCs w:val="21"/>
          <w:highlight w:val="none"/>
        </w:rPr>
        <w:t>；（2）供应商须知；（3）评</w:t>
      </w:r>
      <w:r>
        <w:rPr>
          <w:rFonts w:hint="eastAsia" w:ascii="宋体" w:hAnsi="宋体"/>
          <w:color w:val="auto"/>
          <w:kern w:val="0"/>
          <w:sz w:val="21"/>
          <w:szCs w:val="21"/>
          <w:highlight w:val="none"/>
          <w:lang w:val="en-US" w:eastAsia="zh-CN"/>
        </w:rPr>
        <w:t>审</w:t>
      </w:r>
      <w:r>
        <w:rPr>
          <w:rFonts w:ascii="宋体" w:hAnsi="宋体"/>
          <w:color w:val="auto"/>
          <w:kern w:val="0"/>
          <w:sz w:val="21"/>
          <w:szCs w:val="21"/>
          <w:highlight w:val="none"/>
        </w:rPr>
        <w:t>办法；（4）合同条款及格式；（</w:t>
      </w:r>
      <w:r>
        <w:rPr>
          <w:rFonts w:hint="eastAsia" w:ascii="宋体" w:hAnsi="宋体"/>
          <w:color w:val="auto"/>
          <w:kern w:val="0"/>
          <w:sz w:val="21"/>
          <w:szCs w:val="21"/>
          <w:highlight w:val="none"/>
          <w:lang w:val="en-US" w:eastAsia="zh-CN"/>
        </w:rPr>
        <w:t>5</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采购需求</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ascii="宋体" w:hAnsi="宋体"/>
          <w:color w:val="auto"/>
          <w:kern w:val="0"/>
          <w:sz w:val="21"/>
          <w:szCs w:val="21"/>
          <w:highlight w:val="none"/>
        </w:rPr>
        <w:t>）响应文件格式。</w:t>
      </w:r>
    </w:p>
    <w:p w14:paraId="23A287E6">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7" w:name="_Toc217446040"/>
      <w:bookmarkStart w:id="108" w:name="_Toc497129060"/>
      <w:bookmarkStart w:id="109" w:name="_Toc183582211"/>
      <w:bookmarkStart w:id="110" w:name="_Toc183682348"/>
      <w:bookmarkStart w:id="111" w:name="_Toc514088769"/>
      <w:bookmarkStart w:id="112" w:name="_Toc497128869"/>
      <w:r>
        <w:rPr>
          <w:rFonts w:hint="eastAsia" w:ascii="宋体" w:hAnsi="宋体"/>
          <w:color w:val="auto"/>
          <w:sz w:val="21"/>
          <w:szCs w:val="21"/>
          <w:highlight w:val="none"/>
        </w:rPr>
        <w:t xml:space="preserve">7. </w:t>
      </w:r>
      <w:bookmarkEnd w:id="107"/>
      <w:bookmarkEnd w:id="108"/>
      <w:bookmarkEnd w:id="109"/>
      <w:bookmarkEnd w:id="110"/>
      <w:bookmarkEnd w:id="111"/>
      <w:bookmarkEnd w:id="112"/>
      <w:r>
        <w:rPr>
          <w:rFonts w:ascii="宋体" w:hAnsi="宋体"/>
          <w:color w:val="auto"/>
          <w:kern w:val="0"/>
          <w:sz w:val="21"/>
          <w:szCs w:val="21"/>
          <w:highlight w:val="none"/>
        </w:rPr>
        <w:t>竞争性磋商文件的澄清</w:t>
      </w:r>
      <w:r>
        <w:rPr>
          <w:rFonts w:hint="eastAsia" w:ascii="宋体" w:hAnsi="宋体"/>
          <w:color w:val="auto"/>
          <w:kern w:val="0"/>
          <w:sz w:val="21"/>
          <w:szCs w:val="21"/>
          <w:highlight w:val="none"/>
        </w:rPr>
        <w:t>或修改</w:t>
      </w:r>
    </w:p>
    <w:p w14:paraId="0DBFFDC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113" w:name="_Toc183582213"/>
      <w:bookmarkStart w:id="114" w:name="_Toc183682350"/>
      <w:bookmarkStart w:id="115" w:name="_Toc208848971"/>
      <w:bookmarkStart w:id="116" w:name="_Toc217446041"/>
      <w:r>
        <w:rPr>
          <w:rFonts w:hint="eastAsia" w:ascii="宋体" w:hAnsi="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lang w:val="en-US" w:eastAsia="zh-CN"/>
        </w:rPr>
        <w:t xml:space="preserve">1 </w:t>
      </w:r>
      <w:r>
        <w:rPr>
          <w:rFonts w:hint="eastAsia" w:ascii="宋体" w:hAnsi="宋体"/>
          <w:color w:val="auto"/>
          <w:sz w:val="21"/>
          <w:szCs w:val="21"/>
          <w:highlight w:val="none"/>
        </w:rPr>
        <w:t>采购人或采购代理机构可以对已发出的竞争性磋商文件进行必要的澄清或者修改，但不得改变采购标的和资格条件。澄清或者修改</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发布澄清</w:t>
      </w:r>
      <w:r>
        <w:rPr>
          <w:rFonts w:hint="eastAsia" w:ascii="宋体" w:hAnsi="宋体"/>
          <w:color w:val="auto"/>
          <w:sz w:val="21"/>
          <w:szCs w:val="21"/>
          <w:highlight w:val="none"/>
          <w:lang w:val="en-US" w:eastAsia="zh-CN"/>
        </w:rPr>
        <w:t>文件</w:t>
      </w:r>
      <w:r>
        <w:rPr>
          <w:rFonts w:hint="eastAsia" w:ascii="宋体" w:hAnsi="宋体"/>
          <w:color w:val="auto"/>
          <w:sz w:val="21"/>
          <w:szCs w:val="21"/>
          <w:highlight w:val="none"/>
        </w:rPr>
        <w:t>。澄清或者修改的内容为竞争性磋商文件的组成部分。</w:t>
      </w:r>
    </w:p>
    <w:p w14:paraId="6007522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b/>
          <w:bCs/>
          <w:color w:val="auto"/>
          <w:sz w:val="21"/>
          <w:szCs w:val="21"/>
          <w:highlight w:val="none"/>
        </w:rPr>
        <w:t>.</w:t>
      </w:r>
      <w:r>
        <w:rPr>
          <w:rFonts w:hint="eastAsia" w:ascii="宋体" w:hAnsi="宋体"/>
          <w:color w:val="auto"/>
          <w:sz w:val="21"/>
          <w:szCs w:val="21"/>
          <w:highlight w:val="none"/>
          <w:lang w:val="en-US" w:eastAsia="zh-CN"/>
        </w:rPr>
        <w:t xml:space="preserve">2 </w:t>
      </w:r>
      <w:r>
        <w:rPr>
          <w:rFonts w:hint="eastAsia" w:ascii="宋体" w:hAnsi="宋体"/>
          <w:color w:val="auto"/>
          <w:sz w:val="21"/>
          <w:szCs w:val="21"/>
          <w:highlight w:val="none"/>
        </w:rPr>
        <w:t>澄清或者修改的内容可能影响响应文件编制的，采购人或采购代理机构在供应商须知前附表规定的响应文件递交的截止时间至少</w:t>
      </w:r>
      <w:r>
        <w:rPr>
          <w:rFonts w:hint="eastAsia" w:ascii="宋体" w:hAnsi="宋体"/>
          <w:color w:val="auto"/>
          <w:sz w:val="21"/>
          <w:szCs w:val="21"/>
          <w:highlight w:val="none"/>
          <w:lang w:val="en-US" w:eastAsia="zh-CN"/>
        </w:rPr>
        <w:t>3个工作日前</w:t>
      </w:r>
      <w:r>
        <w:rPr>
          <w:rFonts w:hint="eastAsia" w:ascii="宋体" w:hAnsi="宋体"/>
          <w:color w:val="auto"/>
          <w:sz w:val="21"/>
          <w:szCs w:val="21"/>
          <w:highlight w:val="none"/>
        </w:rPr>
        <w:t>，</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平台发布澄清文件，请潜在供应商在参加本项目活动期间关注网站信息，所有有磋商意愿的供应商有义务在网上自行查询</w:t>
      </w:r>
      <w:r>
        <w:rPr>
          <w:rFonts w:hint="eastAsia" w:ascii="宋体" w:hAnsi="宋体"/>
          <w:color w:val="auto"/>
          <w:sz w:val="21"/>
          <w:szCs w:val="21"/>
          <w:highlight w:val="none"/>
        </w:rPr>
        <w:t>；不足</w:t>
      </w:r>
      <w:r>
        <w:rPr>
          <w:rFonts w:hint="eastAsia" w:ascii="宋体" w:hAnsi="宋体"/>
          <w:color w:val="auto"/>
          <w:sz w:val="21"/>
          <w:szCs w:val="21"/>
          <w:highlight w:val="none"/>
          <w:lang w:val="en-US" w:eastAsia="zh-CN"/>
        </w:rPr>
        <w:t>3个工作日的</w:t>
      </w:r>
      <w:r>
        <w:rPr>
          <w:rFonts w:hint="eastAsia" w:ascii="宋体" w:hAnsi="宋体"/>
          <w:color w:val="auto"/>
          <w:sz w:val="21"/>
          <w:szCs w:val="21"/>
          <w:highlight w:val="none"/>
        </w:rPr>
        <w:t>，采购人或采购代理机构将顺延提交响应文件的截止时间。</w:t>
      </w:r>
    </w:p>
    <w:bookmarkEnd w:id="113"/>
    <w:bookmarkEnd w:id="114"/>
    <w:p w14:paraId="4325C811">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17" w:name="_Toc514088770"/>
      <w:bookmarkStart w:id="118" w:name="_Toc497129061"/>
      <w:bookmarkStart w:id="119" w:name="_Toc497128870"/>
      <w:r>
        <w:rPr>
          <w:rFonts w:hint="eastAsia" w:ascii="宋体" w:hAnsi="宋体"/>
          <w:color w:val="auto"/>
          <w:sz w:val="21"/>
          <w:szCs w:val="21"/>
          <w:highlight w:val="none"/>
        </w:rPr>
        <w:t>8. 答疑会和现场考察</w:t>
      </w:r>
      <w:bookmarkEnd w:id="115"/>
      <w:bookmarkEnd w:id="116"/>
      <w:bookmarkEnd w:id="117"/>
      <w:bookmarkEnd w:id="118"/>
      <w:bookmarkEnd w:id="119"/>
    </w:p>
    <w:p w14:paraId="72FF521B">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8.1 根据采购项目和具体情况，采购单位认为有必要，可以组织召开</w:t>
      </w:r>
      <w:r>
        <w:rPr>
          <w:rFonts w:hint="eastAsia" w:ascii="宋体" w:hAnsi="宋体"/>
          <w:color w:val="auto"/>
          <w:sz w:val="21"/>
          <w:szCs w:val="21"/>
          <w:highlight w:val="none"/>
          <w:lang w:val="en-US" w:eastAsia="zh-CN"/>
        </w:rPr>
        <w:t>开</w:t>
      </w:r>
      <w:r>
        <w:rPr>
          <w:rFonts w:hint="eastAsia" w:ascii="宋体" w:hAnsi="宋体"/>
          <w:color w:val="auto"/>
          <w:sz w:val="21"/>
          <w:szCs w:val="21"/>
          <w:highlight w:val="none"/>
        </w:rPr>
        <w:t>标前答疑会或组织供应商对项目现场进行考察。答疑会或进行现场考察的时间，采购单位将</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通知所有</w:t>
      </w:r>
      <w:r>
        <w:rPr>
          <w:rFonts w:hint="eastAsia" w:ascii="宋体" w:hAnsi="宋体"/>
          <w:color w:val="auto"/>
          <w:sz w:val="21"/>
          <w:szCs w:val="21"/>
          <w:highlight w:val="none"/>
          <w:lang w:val="en-US" w:eastAsia="zh-CN"/>
        </w:rPr>
        <w:t>获取了</w:t>
      </w:r>
      <w:r>
        <w:rPr>
          <w:rFonts w:hint="eastAsia" w:ascii="宋体" w:hAnsi="宋体"/>
          <w:color w:val="auto"/>
          <w:sz w:val="21"/>
          <w:szCs w:val="21"/>
          <w:highlight w:val="none"/>
        </w:rPr>
        <w:t>竞争性磋商文件的供应商。</w:t>
      </w:r>
    </w:p>
    <w:p w14:paraId="40CE5598">
      <w:pPr>
        <w:pageBreakBefore w:val="0"/>
        <w:widowControl w:val="0"/>
        <w:kinsoku/>
        <w:wordWrap/>
        <w:overflowPunct/>
        <w:topLinePunct w:val="0"/>
        <w:bidi w:val="0"/>
        <w:adjustRightInd w:val="0"/>
        <w:snapToGrid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2 供应商考察现场所发生的一切费用由供应商自己承担。</w:t>
      </w:r>
    </w:p>
    <w:p w14:paraId="51DC4924">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20" w:name="_Toc183582214"/>
      <w:bookmarkStart w:id="121" w:name="_Toc514088771"/>
      <w:bookmarkStart w:id="122" w:name="_Toc497128871"/>
      <w:bookmarkStart w:id="123" w:name="_Toc217446042"/>
      <w:bookmarkStart w:id="124" w:name="_Toc89075876"/>
      <w:bookmarkStart w:id="125" w:name="_Toc77400780"/>
      <w:bookmarkStart w:id="126" w:name="_Toc183682351"/>
      <w:r>
        <w:rPr>
          <w:rFonts w:hint="eastAsia" w:ascii="宋体" w:hAnsi="宋体" w:eastAsia="宋体"/>
          <w:color w:val="auto"/>
          <w:sz w:val="21"/>
          <w:szCs w:val="21"/>
          <w:highlight w:val="none"/>
        </w:rPr>
        <w:t>三、响应文件</w:t>
      </w:r>
      <w:bookmarkEnd w:id="120"/>
      <w:bookmarkEnd w:id="121"/>
      <w:bookmarkEnd w:id="122"/>
      <w:bookmarkEnd w:id="123"/>
      <w:bookmarkEnd w:id="124"/>
      <w:bookmarkEnd w:id="125"/>
      <w:bookmarkEnd w:id="126"/>
    </w:p>
    <w:p w14:paraId="01B98004">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27" w:name="_Toc183682352"/>
      <w:bookmarkStart w:id="128" w:name="_Toc514088772"/>
      <w:bookmarkStart w:id="129" w:name="_Toc497129063"/>
      <w:bookmarkStart w:id="130" w:name="_Toc217446043"/>
      <w:bookmarkStart w:id="131" w:name="_Toc183582215"/>
      <w:bookmarkStart w:id="132" w:name="_Toc497128872"/>
      <w:r>
        <w:rPr>
          <w:rFonts w:hint="eastAsia" w:ascii="宋体" w:hAnsi="宋体"/>
          <w:color w:val="auto"/>
          <w:sz w:val="21"/>
          <w:szCs w:val="21"/>
          <w:highlight w:val="none"/>
        </w:rPr>
        <w:t>9．响应文件的语言</w:t>
      </w:r>
      <w:bookmarkEnd w:id="127"/>
      <w:bookmarkEnd w:id="128"/>
      <w:bookmarkEnd w:id="129"/>
      <w:bookmarkEnd w:id="130"/>
      <w:bookmarkEnd w:id="131"/>
      <w:bookmarkEnd w:id="132"/>
    </w:p>
    <w:p w14:paraId="27FC6CB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处理。</w:t>
      </w:r>
    </w:p>
    <w:p w14:paraId="6E3071A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9.2 翻译的中文资料与外文资料如果出现差异和矛盾时，以中文为准。但不能故意错误翻译，否则，供应商的响应文件将作为无效处理。</w:t>
      </w:r>
    </w:p>
    <w:p w14:paraId="653E16E7">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3" w:name="_Toc497129064"/>
      <w:bookmarkStart w:id="134" w:name="_Toc183582216"/>
      <w:bookmarkStart w:id="135" w:name="_Toc514088773"/>
      <w:bookmarkStart w:id="136" w:name="_Toc497128873"/>
      <w:bookmarkStart w:id="137" w:name="_Toc183682353"/>
      <w:bookmarkStart w:id="138" w:name="_Toc217446044"/>
      <w:r>
        <w:rPr>
          <w:rFonts w:hint="eastAsia" w:ascii="宋体" w:hAnsi="宋体"/>
          <w:color w:val="auto"/>
          <w:sz w:val="21"/>
          <w:szCs w:val="21"/>
          <w:highlight w:val="none"/>
        </w:rPr>
        <w:t>10．计量单位</w:t>
      </w:r>
      <w:bookmarkEnd w:id="133"/>
      <w:bookmarkEnd w:id="134"/>
      <w:bookmarkEnd w:id="135"/>
      <w:bookmarkEnd w:id="136"/>
      <w:bookmarkEnd w:id="137"/>
      <w:bookmarkEnd w:id="138"/>
    </w:p>
    <w:p w14:paraId="4E9CE87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除技术规格及要求中另有规定外，本采购项下的磋商均采用国家法定的计量单位。</w:t>
      </w:r>
    </w:p>
    <w:p w14:paraId="264C74BE">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9" w:name="_Toc514088774"/>
      <w:r>
        <w:rPr>
          <w:rFonts w:hint="eastAsia" w:ascii="宋体" w:hAnsi="宋体"/>
          <w:color w:val="auto"/>
          <w:sz w:val="21"/>
          <w:szCs w:val="21"/>
          <w:highlight w:val="none"/>
        </w:rPr>
        <w:t>11．磋商货币</w:t>
      </w:r>
      <w:bookmarkEnd w:id="139"/>
    </w:p>
    <w:p w14:paraId="72680AE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本次竞争性磋商项目均以人民币报价。</w:t>
      </w:r>
    </w:p>
    <w:p w14:paraId="5C8779E5">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0" w:name="_Toc514088775"/>
      <w:bookmarkStart w:id="141" w:name="_Toc183682354"/>
      <w:bookmarkStart w:id="142" w:name="_Toc217446048"/>
      <w:bookmarkStart w:id="143" w:name="_Toc497128876"/>
      <w:bookmarkStart w:id="144" w:name="_Toc183582217"/>
      <w:bookmarkStart w:id="145" w:name="_Toc497129067"/>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联合体</w:t>
      </w:r>
      <w:bookmarkEnd w:id="140"/>
      <w:r>
        <w:rPr>
          <w:rFonts w:hint="eastAsia" w:ascii="宋体" w:hAnsi="宋体"/>
          <w:color w:val="auto"/>
          <w:sz w:val="21"/>
          <w:szCs w:val="21"/>
          <w:highlight w:val="none"/>
        </w:rPr>
        <w:t>磋商</w:t>
      </w:r>
    </w:p>
    <w:p w14:paraId="2F4B8DDF">
      <w:pPr>
        <w:pageBreakBefore w:val="0"/>
        <w:widowControl w:val="0"/>
        <w:tabs>
          <w:tab w:val="left" w:pos="7665"/>
        </w:tabs>
        <w:kinsoku/>
        <w:wordWrap/>
        <w:overflowPunct/>
        <w:topLinePunct w:val="0"/>
        <w:bidi w:val="0"/>
        <w:spacing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本次采购活动不接受联合体磋商</w:t>
      </w:r>
    </w:p>
    <w:p w14:paraId="58AD6B28">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6" w:name="_Toc514088776"/>
      <w:bookmarkStart w:id="147" w:name="_Toc217446047"/>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 xml:space="preserve"> 知识产权</w:t>
      </w:r>
      <w:bookmarkEnd w:id="146"/>
      <w:bookmarkEnd w:id="147"/>
    </w:p>
    <w:p w14:paraId="1FA1C2DF">
      <w:pPr>
        <w:pStyle w:val="21"/>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473C99C">
      <w:pPr>
        <w:pStyle w:val="21"/>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.2</w:t>
      </w:r>
      <w:r>
        <w:rPr>
          <w:rFonts w:hint="eastAsia" w:ascii="宋体" w:hAnsi="宋体"/>
          <w:color w:val="auto"/>
          <w:sz w:val="21"/>
          <w:szCs w:val="21"/>
          <w:highlight w:val="none"/>
        </w:rPr>
        <w:t xml:space="preserve"> 采购人享有本项目实施过程中产生的知识成果及知识产权。</w:t>
      </w:r>
    </w:p>
    <w:p w14:paraId="4B0A498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2869AAA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.4</w:t>
      </w:r>
      <w:r>
        <w:rPr>
          <w:rFonts w:hint="eastAsia" w:ascii="宋体" w:hAnsi="宋体"/>
          <w:color w:val="auto"/>
          <w:sz w:val="21"/>
          <w:szCs w:val="21"/>
          <w:highlight w:val="none"/>
        </w:rPr>
        <w:t xml:space="preserve"> 如采用供应商所不拥有的知识产权，则在磋商报价中必须包括合法获取该知识产权的相关费用。 </w:t>
      </w:r>
    </w:p>
    <w:p w14:paraId="03863125">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8" w:name="_Toc514088777"/>
      <w:r>
        <w:rPr>
          <w:rFonts w:hint="eastAsia" w:ascii="宋体" w:hAnsi="宋体"/>
          <w:color w:val="auto"/>
          <w:sz w:val="21"/>
          <w:szCs w:val="21"/>
          <w:highlight w:val="none"/>
        </w:rPr>
        <w:t>14．响应文件的组成</w:t>
      </w:r>
      <w:bookmarkEnd w:id="141"/>
      <w:bookmarkEnd w:id="142"/>
      <w:bookmarkEnd w:id="143"/>
      <w:bookmarkEnd w:id="144"/>
      <w:bookmarkEnd w:id="145"/>
      <w:bookmarkEnd w:id="148"/>
    </w:p>
    <w:p w14:paraId="517263F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供应商应按照竞争性磋商文件的规定和要求编制响应文件。供应商拟在成交后将成交项目的非主体、非关键性工作交由他人完成的，应当在响应文件中载明</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如允许</w:t>
      </w:r>
      <w:r>
        <w:rPr>
          <w:rFonts w:hint="eastAsia" w:ascii="宋体" w:hAnsi="宋体"/>
          <w:color w:val="auto"/>
          <w:sz w:val="21"/>
          <w:szCs w:val="21"/>
          <w:highlight w:val="none"/>
          <w:lang w:eastAsia="zh-CN"/>
        </w:rPr>
        <w:t>）</w:t>
      </w:r>
      <w:r>
        <w:rPr>
          <w:rFonts w:hint="eastAsia" w:ascii="宋体" w:hAnsi="宋体"/>
          <w:color w:val="auto"/>
          <w:sz w:val="21"/>
          <w:szCs w:val="21"/>
          <w:highlight w:val="none"/>
        </w:rPr>
        <w:t>。供应商编写的响应文件应包括下列部分：</w:t>
      </w:r>
    </w:p>
    <w:p w14:paraId="7C754A0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14.1 文件构成。供应商按照竞争性磋商文件要求提供的有关资质证明文件及优惠承诺。包括以下内容：</w:t>
      </w:r>
    </w:p>
    <w:p w14:paraId="0811D4E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函；</w:t>
      </w:r>
    </w:p>
    <w:p w14:paraId="1237B124">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（2）法定代表人授权书（仅适用于供应商代表为非法定代表人）； </w:t>
      </w:r>
    </w:p>
    <w:p w14:paraId="10E9EB09">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（3）法定代表人</w:t>
      </w:r>
      <w:r>
        <w:rPr>
          <w:rFonts w:hint="eastAsia" w:ascii="宋体" w:hAnsi="宋体"/>
          <w:color w:val="auto"/>
          <w:sz w:val="21"/>
          <w:szCs w:val="21"/>
          <w:highlight w:val="none"/>
          <w:lang w:val="en-US" w:eastAsia="zh-CN"/>
        </w:rPr>
        <w:t>身份</w:t>
      </w:r>
      <w:r>
        <w:rPr>
          <w:rFonts w:hint="eastAsia" w:ascii="宋体" w:hAnsi="宋体"/>
          <w:color w:val="auto"/>
          <w:sz w:val="21"/>
          <w:szCs w:val="21"/>
          <w:highlight w:val="none"/>
        </w:rPr>
        <w:t>证明；</w:t>
      </w:r>
    </w:p>
    <w:p w14:paraId="1C99816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首次磋商报价表、分项报价表</w:t>
      </w:r>
      <w:r>
        <w:rPr>
          <w:rFonts w:hint="eastAsia" w:ascii="宋体" w:hAnsi="宋体"/>
          <w:color w:val="auto"/>
          <w:sz w:val="21"/>
          <w:szCs w:val="21"/>
          <w:highlight w:val="none"/>
        </w:rPr>
        <w:t>；</w:t>
      </w:r>
    </w:p>
    <w:p w14:paraId="21CD001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保证金；</w:t>
      </w:r>
    </w:p>
    <w:p w14:paraId="6906BC91">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（6）采购需求响应表；</w:t>
      </w:r>
    </w:p>
    <w:p w14:paraId="43CC9AA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（7）商务偏离表；</w:t>
      </w:r>
    </w:p>
    <w:p w14:paraId="6E821F6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（8）资格审查；</w:t>
      </w:r>
    </w:p>
    <w:p w14:paraId="40B6BA33">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w:t>
      </w:r>
      <w:r>
        <w:rPr>
          <w:rFonts w:hint="eastAsia" w:ascii="宋体" w:hAnsi="宋体"/>
          <w:color w:val="auto"/>
          <w:sz w:val="21"/>
          <w:szCs w:val="21"/>
          <w:highlight w:val="none"/>
          <w:lang w:eastAsia="zh-CN"/>
        </w:rPr>
        <w:t>技术方案</w:t>
      </w:r>
      <w:r>
        <w:rPr>
          <w:rFonts w:hint="eastAsia" w:ascii="宋体" w:hAnsi="宋体"/>
          <w:color w:val="auto"/>
          <w:sz w:val="21"/>
          <w:szCs w:val="21"/>
          <w:highlight w:val="none"/>
        </w:rPr>
        <w:t>；</w:t>
      </w:r>
    </w:p>
    <w:p w14:paraId="2F5BD02E">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val="en-US" w:eastAsia="zh-CN"/>
        </w:rPr>
        <w:t>中小企业声明函</w:t>
      </w:r>
      <w:r>
        <w:rPr>
          <w:rFonts w:hint="eastAsia" w:ascii="宋体" w:hAnsi="宋体"/>
          <w:color w:val="auto"/>
          <w:sz w:val="21"/>
          <w:szCs w:val="21"/>
          <w:highlight w:val="none"/>
        </w:rPr>
        <w:t>；</w:t>
      </w:r>
    </w:p>
    <w:p w14:paraId="3FE0AFE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（11）其他材料；</w:t>
      </w:r>
    </w:p>
    <w:p w14:paraId="453C6271">
      <w:pPr>
        <w:pageBreakBefore w:val="0"/>
        <w:widowControl w:val="0"/>
        <w:kinsoku/>
        <w:wordWrap/>
        <w:overflowPunct/>
        <w:topLinePunct w:val="0"/>
        <w:bidi w:val="0"/>
        <w:spacing w:line="360" w:lineRule="auto"/>
        <w:ind w:left="0" w:leftChars="0"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以上证书复印件需加盖</w:t>
      </w:r>
      <w:r>
        <w:rPr>
          <w:rFonts w:hint="eastAsia" w:ascii="宋体" w:hAnsi="宋体"/>
          <w:b/>
          <w:bCs/>
          <w:color w:val="auto"/>
          <w:sz w:val="21"/>
          <w:szCs w:val="21"/>
          <w:highlight w:val="none"/>
          <w:lang w:val="en-US" w:eastAsia="zh-CN"/>
        </w:rPr>
        <w:t>供应商</w:t>
      </w:r>
      <w:r>
        <w:rPr>
          <w:rFonts w:hint="eastAsia" w:ascii="宋体" w:hAnsi="宋体"/>
          <w:b/>
          <w:bCs/>
          <w:color w:val="auto"/>
          <w:sz w:val="21"/>
          <w:szCs w:val="21"/>
          <w:highlight w:val="none"/>
        </w:rPr>
        <w:t>单位公章。</w:t>
      </w:r>
    </w:p>
    <w:p w14:paraId="2EBEA54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14.2 磋商报价。供应商按照竞争性磋商文件要求填写的“</w:t>
      </w:r>
      <w:r>
        <w:rPr>
          <w:rFonts w:hint="eastAsia" w:ascii="宋体" w:hAnsi="宋体"/>
          <w:color w:val="auto"/>
          <w:sz w:val="21"/>
          <w:szCs w:val="21"/>
          <w:highlight w:val="none"/>
          <w:lang w:val="en-US" w:eastAsia="zh-CN"/>
        </w:rPr>
        <w:t>磋商报价</w:t>
      </w:r>
      <w:r>
        <w:rPr>
          <w:rFonts w:hint="eastAsia" w:ascii="宋体" w:hAnsi="宋体"/>
          <w:color w:val="auto"/>
          <w:sz w:val="21"/>
          <w:szCs w:val="21"/>
          <w:highlight w:val="none"/>
        </w:rPr>
        <w:t xml:space="preserve">表”及“分项报价明细表”。 </w:t>
      </w:r>
    </w:p>
    <w:p w14:paraId="37E417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14.3 售后服务。供应商按照竞争性磋商文件中售后服务要求作出的积极响应和承诺。</w:t>
      </w:r>
    </w:p>
    <w:p w14:paraId="6287DB80">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9" w:name="_Toc183682355"/>
      <w:bookmarkStart w:id="150" w:name="_Toc183582218"/>
      <w:bookmarkStart w:id="151" w:name="_Toc217446049"/>
      <w:bookmarkStart w:id="152" w:name="_Toc514088778"/>
      <w:bookmarkStart w:id="153" w:name="_Toc497128884"/>
      <w:bookmarkStart w:id="154" w:name="_Toc183682368"/>
      <w:bookmarkStart w:id="155" w:name="_Toc217446056"/>
      <w:bookmarkStart w:id="156" w:name="_Toc89075878"/>
      <w:bookmarkStart w:id="157" w:name="_Toc183582231"/>
      <w:bookmarkStart w:id="158" w:name="_Toc77400782"/>
      <w:r>
        <w:rPr>
          <w:rFonts w:hint="eastAsia" w:ascii="宋体" w:hAnsi="宋体"/>
          <w:color w:val="auto"/>
          <w:sz w:val="21"/>
          <w:szCs w:val="21"/>
          <w:highlight w:val="none"/>
        </w:rPr>
        <w:t>15．响应文件格式</w:t>
      </w:r>
      <w:bookmarkEnd w:id="149"/>
      <w:bookmarkEnd w:id="150"/>
      <w:bookmarkEnd w:id="151"/>
      <w:bookmarkEnd w:id="152"/>
      <w:r>
        <w:rPr>
          <w:rFonts w:hint="eastAsia" w:ascii="宋体" w:hAnsi="宋体"/>
          <w:color w:val="auto"/>
          <w:sz w:val="21"/>
          <w:szCs w:val="21"/>
          <w:highlight w:val="none"/>
        </w:rPr>
        <w:tab/>
      </w:r>
    </w:p>
    <w:p w14:paraId="5041A5E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15.1 供应商应严格按照</w:t>
      </w:r>
      <w:r>
        <w:rPr>
          <w:rFonts w:hint="eastAsia" w:ascii="宋体" w:hAnsi="宋体"/>
          <w:color w:val="auto"/>
          <w:sz w:val="21"/>
          <w:szCs w:val="21"/>
          <w:highlight w:val="none"/>
          <w:lang w:eastAsia="zh-CN"/>
        </w:rPr>
        <w:t>竞争性磋商文件</w:t>
      </w:r>
      <w:r>
        <w:rPr>
          <w:rFonts w:hint="eastAsia" w:ascii="宋体" w:hAnsi="宋体"/>
          <w:color w:val="auto"/>
          <w:sz w:val="21"/>
          <w:szCs w:val="21"/>
          <w:highlight w:val="none"/>
        </w:rPr>
        <w:t>第六章中提供的“响应文件格式”填写相关内容。除明确允许供应商可以自行编写的外，供应商不得以“响应文件格式”规定之外的方式填写相关内容。否则，供应商提供的响应文件将作为无效处理。</w:t>
      </w:r>
    </w:p>
    <w:p w14:paraId="736502E7">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15.2 对于没有格式要求的响应文件由供应商自行编写。</w:t>
      </w:r>
    </w:p>
    <w:p w14:paraId="2E537D72">
      <w:pPr>
        <w:pStyle w:val="4"/>
        <w:pageBreakBefore w:val="0"/>
        <w:widowControl w:val="0"/>
        <w:kinsoku/>
        <w:wordWrap/>
        <w:overflowPunct/>
        <w:topLinePunct w:val="0"/>
        <w:bidi w:val="0"/>
        <w:spacing w:before="0" w:after="0" w:line="360" w:lineRule="auto"/>
        <w:ind w:left="0" w:leftChars="0" w:firstLine="422" w:firstLineChars="200"/>
        <w:rPr>
          <w:rFonts w:hint="eastAsia" w:ascii="宋体" w:hAnsi="宋体" w:eastAsia="宋体"/>
          <w:color w:val="auto"/>
          <w:sz w:val="21"/>
          <w:szCs w:val="21"/>
          <w:highlight w:val="none"/>
          <w:lang w:eastAsia="zh-CN"/>
        </w:rPr>
      </w:pPr>
      <w:bookmarkStart w:id="159" w:name="_Toc217446050"/>
      <w:bookmarkStart w:id="160" w:name="_Toc183582223"/>
      <w:bookmarkStart w:id="161" w:name="_Toc183682360"/>
      <w:bookmarkStart w:id="162" w:name="_Toc514088779"/>
      <w:r>
        <w:rPr>
          <w:rFonts w:hint="eastAsia" w:ascii="宋体" w:hAnsi="宋体"/>
          <w:color w:val="auto"/>
          <w:sz w:val="21"/>
          <w:szCs w:val="21"/>
          <w:highlight w:val="none"/>
        </w:rPr>
        <w:t>16．</w:t>
      </w:r>
      <w:bookmarkEnd w:id="159"/>
      <w:bookmarkEnd w:id="160"/>
      <w:bookmarkEnd w:id="161"/>
      <w:r>
        <w:rPr>
          <w:rFonts w:hint="eastAsia" w:ascii="宋体" w:hAnsi="宋体"/>
          <w:color w:val="auto"/>
          <w:sz w:val="21"/>
          <w:szCs w:val="21"/>
          <w:highlight w:val="none"/>
        </w:rPr>
        <w:t>磋商保证金</w:t>
      </w:r>
      <w:bookmarkEnd w:id="162"/>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本项目不适用</w:t>
      </w:r>
      <w:r>
        <w:rPr>
          <w:rFonts w:hint="eastAsia" w:ascii="宋体" w:hAnsi="宋体"/>
          <w:color w:val="auto"/>
          <w:sz w:val="21"/>
          <w:szCs w:val="21"/>
          <w:highlight w:val="none"/>
          <w:lang w:eastAsia="zh-CN"/>
        </w:rPr>
        <w:t>）</w:t>
      </w:r>
    </w:p>
    <w:p w14:paraId="27F0FE5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供应商在递交响应文件的同时，应按供应商须知前附表规定的金额、担保形式和第</w:t>
      </w:r>
      <w:r>
        <w:rPr>
          <w:rFonts w:hint="eastAsia"/>
          <w:color w:val="auto"/>
          <w:kern w:val="0"/>
          <w:sz w:val="21"/>
          <w:szCs w:val="21"/>
          <w:highlight w:val="none"/>
        </w:rPr>
        <w:t>六</w:t>
      </w:r>
      <w:r>
        <w:rPr>
          <w:color w:val="auto"/>
          <w:kern w:val="0"/>
          <w:sz w:val="21"/>
          <w:szCs w:val="21"/>
          <w:highlight w:val="none"/>
        </w:rPr>
        <w:t>章</w:t>
      </w:r>
      <w:r>
        <w:rPr>
          <w:rFonts w:hint="eastAsia"/>
          <w:color w:val="auto"/>
          <w:kern w:val="0"/>
          <w:sz w:val="21"/>
          <w:szCs w:val="21"/>
          <w:highlight w:val="none"/>
          <w:lang w:eastAsia="zh-CN"/>
        </w:rPr>
        <w:t>“</w:t>
      </w:r>
      <w:r>
        <w:rPr>
          <w:color w:val="auto"/>
          <w:kern w:val="0"/>
          <w:sz w:val="21"/>
          <w:szCs w:val="21"/>
          <w:highlight w:val="none"/>
        </w:rPr>
        <w:t>响应文件格式</w:t>
      </w:r>
      <w:r>
        <w:rPr>
          <w:rFonts w:hint="eastAsia"/>
          <w:color w:val="auto"/>
          <w:kern w:val="0"/>
          <w:sz w:val="21"/>
          <w:szCs w:val="21"/>
          <w:highlight w:val="none"/>
          <w:lang w:eastAsia="zh-CN"/>
        </w:rPr>
        <w:t>”</w:t>
      </w:r>
      <w:r>
        <w:rPr>
          <w:color w:val="auto"/>
          <w:kern w:val="0"/>
          <w:sz w:val="21"/>
          <w:szCs w:val="21"/>
          <w:highlight w:val="none"/>
        </w:rPr>
        <w:t>规定的</w:t>
      </w:r>
      <w:r>
        <w:rPr>
          <w:rFonts w:hint="eastAsia"/>
          <w:color w:val="auto"/>
          <w:kern w:val="0"/>
          <w:sz w:val="21"/>
          <w:szCs w:val="21"/>
          <w:highlight w:val="none"/>
          <w:lang w:val="en-US" w:eastAsia="zh-CN"/>
        </w:rPr>
        <w:t>磋商</w:t>
      </w:r>
      <w:r>
        <w:rPr>
          <w:color w:val="auto"/>
          <w:kern w:val="0"/>
          <w:sz w:val="21"/>
          <w:szCs w:val="21"/>
          <w:highlight w:val="none"/>
        </w:rPr>
        <w:t>保证金格式递交</w:t>
      </w:r>
      <w:r>
        <w:rPr>
          <w:rFonts w:hint="eastAsia"/>
          <w:color w:val="auto"/>
          <w:kern w:val="0"/>
          <w:sz w:val="21"/>
          <w:szCs w:val="21"/>
          <w:highlight w:val="none"/>
          <w:lang w:val="en-US" w:eastAsia="zh-CN"/>
        </w:rPr>
        <w:t>磋商</w:t>
      </w:r>
      <w:r>
        <w:rPr>
          <w:color w:val="auto"/>
          <w:kern w:val="0"/>
          <w:sz w:val="21"/>
          <w:szCs w:val="21"/>
          <w:highlight w:val="none"/>
        </w:rPr>
        <w:t>保证金，并作为其响应文件的组成部分。</w:t>
      </w:r>
    </w:p>
    <w:p w14:paraId="6ED76E4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 磋商保证金用于保护采购单位免受因</w:t>
      </w:r>
      <w:r>
        <w:rPr>
          <w:color w:val="auto"/>
          <w:kern w:val="0"/>
          <w:sz w:val="21"/>
          <w:szCs w:val="21"/>
          <w:highlight w:val="none"/>
        </w:rPr>
        <w:t>供应商</w:t>
      </w:r>
      <w:r>
        <w:rPr>
          <w:rFonts w:hint="eastAsia" w:ascii="宋体" w:hAnsi="宋体"/>
          <w:color w:val="auto"/>
          <w:sz w:val="21"/>
          <w:szCs w:val="21"/>
          <w:highlight w:val="none"/>
        </w:rPr>
        <w:t>行为而蒙受的损失。</w:t>
      </w:r>
    </w:p>
    <w:p w14:paraId="0F796E4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3 磋商保证金可采取支票、汇票、本票、网上银行支付或者金融机构、担保机构出具的保函等非现金形式。</w:t>
      </w:r>
    </w:p>
    <w:p w14:paraId="78A15F8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4 未按竞争性磋商文件要求在规定时间前缴纳规定数额磋商保证金的将被拒绝。</w:t>
      </w:r>
    </w:p>
    <w:p w14:paraId="2D7233E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5 未</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的供应商的磋商保证金，将在成交通知书发出后五个工作日内无息全额退还；</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人的磋商保证金在合同签定生效后五个工作日内无息全额退还；退保证金时须持单位介绍信、经办人身份证、供应商单位向采购代理机构</w:t>
      </w:r>
      <w:r>
        <w:rPr>
          <w:rFonts w:hint="eastAsia" w:ascii="宋体" w:hAnsi="宋体"/>
          <w:color w:val="auto"/>
          <w:sz w:val="21"/>
          <w:szCs w:val="21"/>
          <w:highlight w:val="none"/>
          <w:lang w:val="en-US" w:eastAsia="zh-CN"/>
        </w:rPr>
        <w:t>转账</w:t>
      </w:r>
      <w:r>
        <w:rPr>
          <w:rFonts w:hint="eastAsia" w:ascii="宋体" w:hAnsi="宋体"/>
          <w:color w:val="auto"/>
          <w:sz w:val="21"/>
          <w:szCs w:val="21"/>
          <w:highlight w:val="none"/>
        </w:rPr>
        <w:t>的票据复印件（盖财务章）</w:t>
      </w:r>
      <w:r>
        <w:rPr>
          <w:rFonts w:hint="eastAsia" w:ascii="宋体" w:hAnsi="宋体"/>
          <w:color w:val="auto"/>
          <w:sz w:val="21"/>
          <w:szCs w:val="21"/>
          <w:highlight w:val="none"/>
          <w:lang w:val="en-US" w:eastAsia="zh-CN"/>
        </w:rPr>
        <w:t>办理退款</w:t>
      </w:r>
      <w:r>
        <w:rPr>
          <w:rFonts w:hint="eastAsia" w:ascii="宋体" w:hAnsi="宋体"/>
          <w:color w:val="auto"/>
          <w:sz w:val="21"/>
          <w:szCs w:val="21"/>
          <w:highlight w:val="none"/>
        </w:rPr>
        <w:t>。</w:t>
      </w:r>
    </w:p>
    <w:p w14:paraId="069022B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6 下列任何情况发生时，采购代理机构将不予退还其缴纳的磋商保证金：</w:t>
      </w:r>
    </w:p>
    <w:p w14:paraId="4DFB8A7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）如果供应商在竞争性磋商文件规定的磋商有效期内撤回</w:t>
      </w:r>
      <w:r>
        <w:rPr>
          <w:rFonts w:hint="eastAsia" w:ascii="宋体" w:hAnsi="宋体"/>
          <w:color w:val="auto"/>
          <w:sz w:val="21"/>
          <w:szCs w:val="21"/>
          <w:highlight w:val="none"/>
          <w:lang w:val="en-US" w:eastAsia="zh-CN"/>
        </w:rPr>
        <w:t>响应文件的</w:t>
      </w:r>
      <w:r>
        <w:rPr>
          <w:rFonts w:hint="eastAsia" w:ascii="宋体" w:hAnsi="宋体"/>
          <w:color w:val="auto"/>
          <w:sz w:val="21"/>
          <w:szCs w:val="21"/>
          <w:highlight w:val="none"/>
        </w:rPr>
        <w:t>。</w:t>
      </w:r>
    </w:p>
    <w:p w14:paraId="2B7DC35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（2）在采购人确定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人以前放弃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w:t>
      </w:r>
    </w:p>
    <w:p w14:paraId="7EB83D5A">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人的原因未能按照竞争性磋商文件的规定与采购人签订合同；</w:t>
      </w:r>
    </w:p>
    <w:p w14:paraId="68BE423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人的原因未能按照竞争性磋商文件的规定缴纳履约保证金；</w:t>
      </w:r>
    </w:p>
    <w:p w14:paraId="7D63E74B">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（5）磋商有效期内，供应商在采购活动中有违法、违规、违纪行为。</w:t>
      </w:r>
    </w:p>
    <w:p w14:paraId="57D3FC2E">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3" w:name="_Toc183682361"/>
      <w:bookmarkStart w:id="164" w:name="_Toc183582224"/>
      <w:bookmarkStart w:id="165" w:name="_Toc217446051"/>
      <w:bookmarkStart w:id="166" w:name="_Toc514088780"/>
      <w:r>
        <w:rPr>
          <w:rFonts w:hint="eastAsia" w:ascii="宋体" w:hAnsi="宋体"/>
          <w:color w:val="auto"/>
          <w:sz w:val="21"/>
          <w:szCs w:val="21"/>
          <w:highlight w:val="none"/>
        </w:rPr>
        <w:t>17．磋商有效期</w:t>
      </w:r>
      <w:bookmarkEnd w:id="163"/>
      <w:bookmarkEnd w:id="164"/>
      <w:bookmarkEnd w:id="165"/>
      <w:bookmarkEnd w:id="166"/>
    </w:p>
    <w:p w14:paraId="3D1A804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在供应商须知前附表规定的</w:t>
      </w:r>
      <w:r>
        <w:rPr>
          <w:rFonts w:hint="eastAsia"/>
          <w:color w:val="auto"/>
          <w:kern w:val="0"/>
          <w:sz w:val="21"/>
          <w:szCs w:val="21"/>
          <w:highlight w:val="none"/>
          <w:lang w:val="en-US" w:eastAsia="zh-CN"/>
        </w:rPr>
        <w:t>磋商</w:t>
      </w:r>
      <w:r>
        <w:rPr>
          <w:color w:val="auto"/>
          <w:kern w:val="0"/>
          <w:sz w:val="21"/>
          <w:szCs w:val="21"/>
          <w:highlight w:val="none"/>
        </w:rPr>
        <w:t>有效期内，供应商不得要求撤销或修改其响应文件</w:t>
      </w:r>
      <w:r>
        <w:rPr>
          <w:rFonts w:hint="eastAsia" w:ascii="宋体" w:hAnsi="宋体"/>
          <w:color w:val="auto"/>
          <w:sz w:val="21"/>
          <w:szCs w:val="21"/>
          <w:highlight w:val="none"/>
        </w:rPr>
        <w:t>。</w:t>
      </w:r>
    </w:p>
    <w:p w14:paraId="3143A00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color w:val="auto"/>
          <w:kern w:val="0"/>
          <w:sz w:val="21"/>
          <w:szCs w:val="21"/>
          <w:highlight w:val="none"/>
        </w:rPr>
        <w:t>出现特殊情况需要延长</w:t>
      </w:r>
      <w:r>
        <w:rPr>
          <w:rFonts w:hint="eastAsia"/>
          <w:color w:val="auto"/>
          <w:kern w:val="0"/>
          <w:sz w:val="21"/>
          <w:szCs w:val="21"/>
          <w:highlight w:val="none"/>
          <w:lang w:val="en-US" w:eastAsia="zh-CN"/>
        </w:rPr>
        <w:t>磋商</w:t>
      </w:r>
      <w:r>
        <w:rPr>
          <w:color w:val="auto"/>
          <w:kern w:val="0"/>
          <w:sz w:val="21"/>
          <w:szCs w:val="21"/>
          <w:highlight w:val="none"/>
        </w:rPr>
        <w:t>有效期的，</w:t>
      </w:r>
      <w:r>
        <w:rPr>
          <w:rFonts w:hint="eastAsia"/>
          <w:color w:val="auto"/>
          <w:kern w:val="0"/>
          <w:sz w:val="21"/>
          <w:szCs w:val="21"/>
          <w:highlight w:val="none"/>
        </w:rPr>
        <w:t>采购人</w:t>
      </w:r>
      <w:r>
        <w:rPr>
          <w:rFonts w:hint="eastAsia"/>
          <w:color w:val="auto"/>
          <w:kern w:val="0"/>
          <w:sz w:val="21"/>
          <w:szCs w:val="21"/>
          <w:highlight w:val="none"/>
          <w:lang w:val="en-US" w:eastAsia="zh-CN"/>
        </w:rPr>
        <w:t>或代理机构</w:t>
      </w:r>
      <w:r>
        <w:rPr>
          <w:color w:val="auto"/>
          <w:kern w:val="0"/>
          <w:sz w:val="21"/>
          <w:szCs w:val="21"/>
          <w:highlight w:val="none"/>
        </w:rPr>
        <w:t>以书面形式通知所有供应商延长</w:t>
      </w:r>
      <w:r>
        <w:rPr>
          <w:rFonts w:hint="eastAsia"/>
          <w:color w:val="auto"/>
          <w:kern w:val="0"/>
          <w:sz w:val="21"/>
          <w:szCs w:val="21"/>
          <w:highlight w:val="none"/>
          <w:lang w:val="en-US" w:eastAsia="zh-CN"/>
        </w:rPr>
        <w:t>磋商</w:t>
      </w:r>
      <w:r>
        <w:rPr>
          <w:color w:val="auto"/>
          <w:kern w:val="0"/>
          <w:sz w:val="21"/>
          <w:szCs w:val="21"/>
          <w:highlight w:val="none"/>
        </w:rPr>
        <w:t>有效期。供应商同意延长的，应相应延长其</w:t>
      </w:r>
      <w:r>
        <w:rPr>
          <w:rFonts w:hint="eastAsia"/>
          <w:color w:val="auto"/>
          <w:kern w:val="0"/>
          <w:sz w:val="21"/>
          <w:szCs w:val="21"/>
          <w:highlight w:val="none"/>
          <w:lang w:val="en-US" w:eastAsia="zh-CN"/>
        </w:rPr>
        <w:t>磋商</w:t>
      </w:r>
      <w:r>
        <w:rPr>
          <w:color w:val="auto"/>
          <w:kern w:val="0"/>
          <w:sz w:val="21"/>
          <w:szCs w:val="21"/>
          <w:highlight w:val="none"/>
        </w:rPr>
        <w:t>保证金的有效期，但不得要求或被允许修改或撤销其响应文件；供应商拒绝延长的，其</w:t>
      </w:r>
      <w:r>
        <w:rPr>
          <w:rFonts w:hint="eastAsia"/>
          <w:color w:val="auto"/>
          <w:kern w:val="0"/>
          <w:sz w:val="21"/>
          <w:szCs w:val="21"/>
          <w:highlight w:val="none"/>
          <w:lang w:val="en-US" w:eastAsia="zh-CN"/>
        </w:rPr>
        <w:t>磋商</w:t>
      </w:r>
      <w:r>
        <w:rPr>
          <w:color w:val="auto"/>
          <w:kern w:val="0"/>
          <w:sz w:val="21"/>
          <w:szCs w:val="21"/>
          <w:highlight w:val="none"/>
        </w:rPr>
        <w:t>失效，但供应商有权收回其</w:t>
      </w:r>
      <w:r>
        <w:rPr>
          <w:rFonts w:hint="eastAsia"/>
          <w:color w:val="auto"/>
          <w:kern w:val="0"/>
          <w:sz w:val="21"/>
          <w:szCs w:val="21"/>
          <w:highlight w:val="none"/>
          <w:lang w:val="en-US" w:eastAsia="zh-CN"/>
        </w:rPr>
        <w:t>磋商</w:t>
      </w:r>
      <w:r>
        <w:rPr>
          <w:color w:val="auto"/>
          <w:kern w:val="0"/>
          <w:sz w:val="21"/>
          <w:szCs w:val="21"/>
          <w:highlight w:val="none"/>
        </w:rPr>
        <w:t>保证金</w:t>
      </w:r>
      <w:r>
        <w:rPr>
          <w:rFonts w:hint="eastAsia" w:ascii="宋体" w:hAnsi="宋体"/>
          <w:color w:val="auto"/>
          <w:sz w:val="21"/>
          <w:szCs w:val="21"/>
          <w:highlight w:val="none"/>
        </w:rPr>
        <w:t>。</w:t>
      </w:r>
    </w:p>
    <w:p w14:paraId="3E740536">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7" w:name="_Toc183682362"/>
      <w:bookmarkStart w:id="168" w:name="_Toc183582225"/>
      <w:bookmarkStart w:id="169" w:name="_Toc514088781"/>
      <w:bookmarkStart w:id="170" w:name="_Toc217446052"/>
      <w:r>
        <w:rPr>
          <w:rFonts w:hint="eastAsia" w:ascii="宋体" w:hAnsi="宋体"/>
          <w:color w:val="auto"/>
          <w:sz w:val="21"/>
          <w:szCs w:val="21"/>
          <w:highlight w:val="none"/>
        </w:rPr>
        <w:t>18．响应文件的印制和签署</w:t>
      </w:r>
      <w:bookmarkEnd w:id="167"/>
      <w:bookmarkEnd w:id="168"/>
      <w:bookmarkEnd w:id="169"/>
      <w:bookmarkEnd w:id="170"/>
    </w:p>
    <w:p w14:paraId="5E383C98">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 xml:space="preserve"> 响应文件由供应商的法定代表人或其授权代表在规定签章处签字和盖章（其中有复印件和彩页资料的必须加盖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印章）否则视为无效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5B425CEF">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 xml:space="preserve">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091A307F">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响应文件应根据竞争性磋商文件的要求制作，签署、盖章和内容应完整，如有遗漏，将被视为无效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359BF372">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71" w:name="_Toc183582226"/>
      <w:bookmarkStart w:id="172" w:name="_Toc89075877"/>
      <w:bookmarkStart w:id="173" w:name="_Toc77400781"/>
      <w:bookmarkStart w:id="174" w:name="_Toc183682363"/>
      <w:bookmarkStart w:id="175" w:name="_Toc217446053"/>
      <w:bookmarkStart w:id="176" w:name="_Toc514088782"/>
      <w:r>
        <w:rPr>
          <w:rFonts w:hint="eastAsia" w:ascii="宋体" w:hAnsi="宋体"/>
          <w:color w:val="auto"/>
          <w:sz w:val="21"/>
          <w:szCs w:val="21"/>
          <w:highlight w:val="none"/>
        </w:rPr>
        <w:t>19. 响应文件的密封和标</w:t>
      </w:r>
      <w:bookmarkEnd w:id="171"/>
      <w:bookmarkEnd w:id="172"/>
      <w:bookmarkEnd w:id="173"/>
      <w:bookmarkEnd w:id="174"/>
      <w:r>
        <w:rPr>
          <w:rFonts w:hint="eastAsia" w:ascii="宋体" w:hAnsi="宋体"/>
          <w:color w:val="auto"/>
          <w:sz w:val="21"/>
          <w:szCs w:val="21"/>
          <w:highlight w:val="none"/>
        </w:rPr>
        <w:t>注</w:t>
      </w:r>
      <w:bookmarkEnd w:id="175"/>
      <w:bookmarkEnd w:id="176"/>
    </w:p>
    <w:p w14:paraId="171DA182">
      <w:pPr>
        <w:pageBreakBefore w:val="0"/>
        <w:widowControl w:val="0"/>
        <w:kinsoku/>
        <w:wordWrap/>
        <w:overflowPunct/>
        <w:topLinePunct w:val="0"/>
        <w:bidi w:val="0"/>
        <w:spacing w:line="360" w:lineRule="auto"/>
        <w:ind w:left="0" w:leftChars="0" w:firstLine="420" w:firstLineChars="200"/>
        <w:rPr>
          <w:rFonts w:ascii="宋体" w:hAnsi="宋体"/>
          <w:bCs/>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9</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本项目</w:t>
      </w:r>
      <w:r>
        <w:rPr>
          <w:rFonts w:hint="eastAsia" w:ascii="宋体" w:hAnsi="宋体" w:eastAsia="宋体" w:cs="宋体"/>
          <w:color w:val="auto"/>
          <w:sz w:val="21"/>
          <w:szCs w:val="21"/>
          <w:highlight w:val="none"/>
          <w:lang w:val="en-US" w:eastAsia="zh-CN"/>
        </w:rPr>
        <w:t>执行电子化招投标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供应商</w:t>
      </w:r>
      <w:r>
        <w:rPr>
          <w:rFonts w:hint="eastAsia" w:ascii="宋体" w:hAnsi="宋体"/>
          <w:bCs/>
          <w:color w:val="auto"/>
          <w:sz w:val="21"/>
          <w:szCs w:val="21"/>
          <w:highlight w:val="none"/>
        </w:rPr>
        <w:t>须通过政府采购云平台递交电子版响应文件</w:t>
      </w:r>
      <w:r>
        <w:rPr>
          <w:rFonts w:hint="eastAsia" w:ascii="宋体" w:hAnsi="宋体"/>
          <w:color w:val="auto"/>
          <w:sz w:val="21"/>
          <w:szCs w:val="21"/>
          <w:highlight w:val="none"/>
        </w:rPr>
        <w:t>。</w:t>
      </w:r>
    </w:p>
    <w:p w14:paraId="0F5E9CC9">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77" w:name="_Toc183682364"/>
      <w:bookmarkStart w:id="178" w:name="_Toc183582227"/>
      <w:bookmarkStart w:id="179" w:name="_Toc217446054"/>
      <w:bookmarkStart w:id="180" w:name="_Toc514088783"/>
      <w:r>
        <w:rPr>
          <w:rFonts w:hint="eastAsia" w:ascii="宋体" w:hAnsi="宋体"/>
          <w:color w:val="auto"/>
          <w:sz w:val="21"/>
          <w:szCs w:val="21"/>
          <w:highlight w:val="none"/>
        </w:rPr>
        <w:t>20．响应文件的</w:t>
      </w:r>
      <w:bookmarkEnd w:id="177"/>
      <w:bookmarkEnd w:id="178"/>
      <w:r>
        <w:rPr>
          <w:rFonts w:hint="eastAsia" w:ascii="宋体" w:hAnsi="宋体"/>
          <w:color w:val="auto"/>
          <w:sz w:val="21"/>
          <w:szCs w:val="21"/>
          <w:highlight w:val="none"/>
        </w:rPr>
        <w:t>递交</w:t>
      </w:r>
      <w:bookmarkEnd w:id="179"/>
      <w:bookmarkEnd w:id="180"/>
    </w:p>
    <w:p w14:paraId="45BBE019">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20.1 供应商应在竞争性磋商文件规定的磋商截止时间前，将响应文件</w:t>
      </w:r>
      <w:r>
        <w:rPr>
          <w:rFonts w:hint="eastAsia" w:ascii="宋体" w:hAnsi="宋体"/>
          <w:color w:val="auto"/>
          <w:sz w:val="21"/>
          <w:szCs w:val="21"/>
          <w:highlight w:val="none"/>
          <w:lang w:val="en-US" w:eastAsia="zh-CN"/>
        </w:rPr>
        <w:t>上传至“政采云”平台</w:t>
      </w:r>
      <w:r>
        <w:rPr>
          <w:rFonts w:hint="eastAsia" w:ascii="宋体" w:hAnsi="宋体"/>
          <w:color w:val="auto"/>
          <w:sz w:val="21"/>
          <w:szCs w:val="21"/>
          <w:highlight w:val="none"/>
        </w:rPr>
        <w:t>。磋商截止时间以后</w:t>
      </w:r>
      <w:r>
        <w:rPr>
          <w:rFonts w:hint="eastAsia" w:ascii="宋体" w:hAnsi="宋体"/>
          <w:color w:val="auto"/>
          <w:sz w:val="21"/>
          <w:szCs w:val="21"/>
          <w:highlight w:val="none"/>
          <w:lang w:val="en-US" w:eastAsia="zh-CN"/>
        </w:rPr>
        <w:t>上传</w:t>
      </w:r>
      <w:r>
        <w:rPr>
          <w:rFonts w:hint="eastAsia" w:ascii="宋体" w:hAnsi="宋体"/>
          <w:color w:val="auto"/>
          <w:sz w:val="21"/>
          <w:szCs w:val="21"/>
          <w:highlight w:val="none"/>
        </w:rPr>
        <w:t>的响应文件将被拒绝。</w:t>
      </w:r>
    </w:p>
    <w:p w14:paraId="0411FD84">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pacing w:val="20"/>
          <w:sz w:val="21"/>
          <w:szCs w:val="21"/>
          <w:highlight w:val="none"/>
        </w:rPr>
      </w:pPr>
      <w:bookmarkStart w:id="181" w:name="_Toc183582228"/>
      <w:bookmarkStart w:id="182" w:name="_Toc183682365"/>
      <w:bookmarkStart w:id="183" w:name="_Toc217446055"/>
      <w:bookmarkStart w:id="184" w:name="_Toc514088784"/>
      <w:r>
        <w:rPr>
          <w:rFonts w:hint="eastAsia" w:ascii="宋体" w:hAnsi="宋体"/>
          <w:color w:val="auto"/>
          <w:sz w:val="21"/>
          <w:szCs w:val="21"/>
          <w:highlight w:val="none"/>
        </w:rPr>
        <w:t>21．响应文件的修改和撤</w:t>
      </w:r>
      <w:bookmarkEnd w:id="181"/>
      <w:bookmarkEnd w:id="182"/>
      <w:r>
        <w:rPr>
          <w:rFonts w:hint="eastAsia" w:ascii="宋体" w:hAnsi="宋体"/>
          <w:color w:val="auto"/>
          <w:sz w:val="21"/>
          <w:szCs w:val="21"/>
          <w:highlight w:val="none"/>
        </w:rPr>
        <w:t>回</w:t>
      </w:r>
      <w:bookmarkEnd w:id="183"/>
      <w:bookmarkEnd w:id="184"/>
    </w:p>
    <w:p w14:paraId="5CA3B85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 供应商在递交了响应文件后，可以修改或撤回其响应文件，但必须在规定的磋商截止时间前，</w:t>
      </w:r>
      <w:r>
        <w:rPr>
          <w:rFonts w:hint="eastAsia" w:ascii="宋体" w:hAnsi="宋体"/>
          <w:color w:val="auto"/>
          <w:sz w:val="21"/>
          <w:szCs w:val="21"/>
          <w:highlight w:val="none"/>
          <w:lang w:val="en-US" w:eastAsia="zh-CN"/>
        </w:rPr>
        <w:t>完成上传</w:t>
      </w:r>
      <w:r>
        <w:rPr>
          <w:rFonts w:hint="eastAsia" w:ascii="宋体" w:hAnsi="宋体"/>
          <w:color w:val="auto"/>
          <w:sz w:val="21"/>
          <w:szCs w:val="21"/>
          <w:highlight w:val="none"/>
        </w:rPr>
        <w:t>。</w:t>
      </w:r>
    </w:p>
    <w:p w14:paraId="1D81D43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供应商的修改书或撤回通知书，应由其法定代表人或授权代表签署并盖单位印章。</w:t>
      </w:r>
    </w:p>
    <w:p w14:paraId="6ABC257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.3</w:t>
      </w:r>
      <w:r>
        <w:rPr>
          <w:rFonts w:hint="eastAsia" w:ascii="宋体" w:hAnsi="宋体"/>
          <w:color w:val="auto"/>
          <w:sz w:val="21"/>
          <w:szCs w:val="21"/>
          <w:highlight w:val="none"/>
        </w:rPr>
        <w:t xml:space="preserve"> 在磋商截止时间之后，供应商不得对其递交的响应文件做任何修改或撤回。</w:t>
      </w:r>
    </w:p>
    <w:p w14:paraId="429D7F8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21.4 响应文件中如果出现计算上或累加上的算术错误，可按以下原则进行修改：</w:t>
      </w:r>
    </w:p>
    <w:p w14:paraId="1866C1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（1）大写金额和小写金额不一致的，以大写金额为准；</w:t>
      </w:r>
    </w:p>
    <w:p w14:paraId="321A7B1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（2）单价金额小数点或者百分比有明显错位的，以总价为准，并修改单价</w:t>
      </w:r>
      <w:r>
        <w:rPr>
          <w:rFonts w:hint="eastAsia" w:ascii="宋体" w:hAnsi="宋体"/>
          <w:color w:val="auto"/>
          <w:sz w:val="21"/>
          <w:szCs w:val="21"/>
          <w:highlight w:val="none"/>
          <w:lang w:eastAsia="zh-CN"/>
        </w:rPr>
        <w:t>；</w:t>
      </w:r>
    </w:p>
    <w:p w14:paraId="2BE672D4">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（3）总价金额与按单价汇总金额不一致的，以单价金额计算结果为准。</w:t>
      </w:r>
    </w:p>
    <w:p w14:paraId="3E598EB5">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同时出现两种以上不一致的，按照前款规定的顺序修正。修正后的报价经供应商书面确认后产生约束力，供应商不确认的，其响应无效</w:t>
      </w:r>
    </w:p>
    <w:p w14:paraId="10A8BFE7">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85" w:name="_Toc514088785"/>
      <w:r>
        <w:rPr>
          <w:rFonts w:hint="eastAsia" w:ascii="宋体" w:hAnsi="宋体" w:eastAsia="宋体"/>
          <w:color w:val="auto"/>
          <w:sz w:val="21"/>
          <w:szCs w:val="21"/>
          <w:highlight w:val="none"/>
        </w:rPr>
        <w:t>四、</w:t>
      </w:r>
      <w:bookmarkEnd w:id="153"/>
      <w:bookmarkEnd w:id="154"/>
      <w:bookmarkEnd w:id="155"/>
      <w:bookmarkEnd w:id="156"/>
      <w:bookmarkEnd w:id="157"/>
      <w:bookmarkEnd w:id="158"/>
      <w:bookmarkEnd w:id="185"/>
      <w:r>
        <w:rPr>
          <w:rFonts w:hint="eastAsia" w:ascii="宋体" w:hAnsi="宋体" w:eastAsia="宋体"/>
          <w:color w:val="auto"/>
          <w:sz w:val="21"/>
          <w:szCs w:val="21"/>
          <w:highlight w:val="none"/>
        </w:rPr>
        <w:t>磋商会议</w:t>
      </w:r>
    </w:p>
    <w:p w14:paraId="37F7D6CF">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86" w:name="_Toc183682369"/>
      <w:bookmarkStart w:id="187" w:name="_Toc217446057"/>
      <w:bookmarkStart w:id="188" w:name="_Toc514088786"/>
      <w:bookmarkStart w:id="189" w:name="_Toc497128885"/>
      <w:bookmarkStart w:id="190" w:name="_Toc497129077"/>
      <w:bookmarkStart w:id="191" w:name="_Toc183582232"/>
      <w:r>
        <w:rPr>
          <w:rFonts w:hint="eastAsia" w:ascii="宋体" w:hAnsi="宋体"/>
          <w:color w:val="auto"/>
          <w:sz w:val="21"/>
          <w:szCs w:val="21"/>
          <w:highlight w:val="none"/>
        </w:rPr>
        <w:t>22．</w:t>
      </w:r>
      <w:bookmarkEnd w:id="186"/>
      <w:bookmarkEnd w:id="187"/>
      <w:bookmarkEnd w:id="188"/>
      <w:bookmarkEnd w:id="189"/>
      <w:bookmarkEnd w:id="190"/>
      <w:bookmarkEnd w:id="191"/>
      <w:r>
        <w:rPr>
          <w:rFonts w:hint="eastAsia" w:ascii="宋体" w:hAnsi="宋体"/>
          <w:color w:val="auto"/>
          <w:sz w:val="21"/>
          <w:szCs w:val="21"/>
          <w:highlight w:val="none"/>
        </w:rPr>
        <w:t>磋商时间和地点</w:t>
      </w:r>
    </w:p>
    <w:p w14:paraId="5FEBA7F7">
      <w:pPr>
        <w:pageBreakBefore w:val="0"/>
        <w:widowControl w:val="0"/>
        <w:kinsoku/>
        <w:wordWrap/>
        <w:overflowPunct/>
        <w:topLinePunct w:val="0"/>
        <w:autoSpaceDE w:val="0"/>
        <w:autoSpaceDN w:val="0"/>
        <w:bidi w:val="0"/>
        <w:snapToGrid w:val="0"/>
        <w:spacing w:line="440" w:lineRule="exact"/>
        <w:ind w:left="0" w:leftChars="0" w:firstLine="420" w:firstLineChars="200"/>
        <w:contextualSpacing/>
        <w:rPr>
          <w:rFonts w:ascii="宋体" w:hAnsi="宋体" w:cs="宋体"/>
          <w:color w:val="auto"/>
          <w:sz w:val="21"/>
          <w:szCs w:val="21"/>
          <w:highlight w:val="none"/>
        </w:rPr>
      </w:pPr>
      <w:bookmarkStart w:id="192" w:name="_Toc217446058"/>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val="en-US" w:eastAsia="zh-CN"/>
        </w:rPr>
        <w:t>或代理机构</w:t>
      </w:r>
      <w:r>
        <w:rPr>
          <w:rFonts w:hint="eastAsia" w:ascii="宋体" w:hAnsi="宋体" w:cs="宋体"/>
          <w:color w:val="auto"/>
          <w:sz w:val="21"/>
          <w:szCs w:val="21"/>
          <w:highlight w:val="none"/>
        </w:rPr>
        <w:t>在规定的磋商截止时间（磋商时间）和供应商须知前附表规定的地点磋商，</w:t>
      </w: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w:t>
      </w:r>
      <w:r>
        <w:rPr>
          <w:rFonts w:hint="eastAsia" w:ascii="宋体" w:hAnsi="宋体" w:cs="宋体"/>
          <w:color w:val="auto"/>
          <w:sz w:val="21"/>
          <w:szCs w:val="21"/>
          <w:highlight w:val="none"/>
        </w:rPr>
        <w:t>邀请供应商</w:t>
      </w:r>
      <w:r>
        <w:rPr>
          <w:rFonts w:hint="eastAsia" w:ascii="宋体" w:hAnsi="宋体"/>
          <w:color w:val="auto"/>
          <w:szCs w:val="21"/>
          <w:highlight w:val="none"/>
          <w:lang w:val="en-US" w:eastAsia="zh-CN"/>
        </w:rPr>
        <w:t>参加线下开标会。</w:t>
      </w:r>
    </w:p>
    <w:p w14:paraId="20CFCFB9">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3" w:name="_Toc514088787"/>
      <w:bookmarkStart w:id="194" w:name="_Toc497129078"/>
      <w:bookmarkStart w:id="195" w:name="_Toc497128886"/>
      <w:r>
        <w:rPr>
          <w:rFonts w:hint="eastAsia" w:ascii="宋体" w:hAnsi="宋体"/>
          <w:color w:val="auto"/>
          <w:sz w:val="21"/>
          <w:szCs w:val="21"/>
          <w:highlight w:val="none"/>
        </w:rPr>
        <w:t>23. 磋商程序</w:t>
      </w:r>
      <w:bookmarkEnd w:id="192"/>
      <w:bookmarkEnd w:id="193"/>
      <w:bookmarkEnd w:id="194"/>
      <w:bookmarkEnd w:id="195"/>
      <w:r>
        <w:rPr>
          <w:rFonts w:hint="eastAsia" w:ascii="宋体" w:hAnsi="宋体"/>
          <w:color w:val="auto"/>
          <w:sz w:val="21"/>
          <w:szCs w:val="21"/>
          <w:highlight w:val="none"/>
        </w:rPr>
        <w:t xml:space="preserve"> (不适用) </w:t>
      </w:r>
    </w:p>
    <w:p w14:paraId="45C21C5E">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196" w:name="_Toc217446059"/>
      <w:r>
        <w:rPr>
          <w:rFonts w:hint="eastAsia" w:ascii="宋体" w:hAnsi="宋体" w:cs="宋体"/>
          <w:color w:val="auto"/>
          <w:sz w:val="21"/>
          <w:szCs w:val="21"/>
          <w:highlight w:val="none"/>
        </w:rPr>
        <w:t>主持人按下列程序进行磋商：</w:t>
      </w:r>
    </w:p>
    <w:p w14:paraId="69EA676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（1）宣布磋商纪律；</w:t>
      </w:r>
    </w:p>
    <w:p w14:paraId="33758F4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（2）公布在磋商截止时间前递交响应文件的供应商名称；</w:t>
      </w:r>
    </w:p>
    <w:p w14:paraId="188B016D">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（3）宣布采购人、记录人、监督人等有关人员姓名；</w:t>
      </w:r>
    </w:p>
    <w:p w14:paraId="43DF9BF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（4）按照供应商须知前附表规定</w:t>
      </w:r>
      <w:r>
        <w:rPr>
          <w:rFonts w:hint="eastAsia" w:ascii="宋体" w:hAnsi="宋体" w:cs="宋体"/>
          <w:color w:val="auto"/>
          <w:sz w:val="21"/>
          <w:szCs w:val="21"/>
          <w:highlight w:val="none"/>
          <w:lang w:val="en-US" w:eastAsia="zh-CN"/>
        </w:rPr>
        <w:t>解密</w:t>
      </w:r>
      <w:r>
        <w:rPr>
          <w:rFonts w:hint="eastAsia" w:ascii="宋体" w:hAnsi="宋体" w:cs="宋体"/>
          <w:color w:val="auto"/>
          <w:sz w:val="21"/>
          <w:szCs w:val="21"/>
          <w:highlight w:val="none"/>
        </w:rPr>
        <w:t>响应文件；</w:t>
      </w:r>
    </w:p>
    <w:p w14:paraId="01B58122">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（5）按照供应商须知前附表的规定确定并宣布响应文件磋商顺序；</w:t>
      </w:r>
    </w:p>
    <w:p w14:paraId="4D41E514">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（6）按照宣布的磋商顺序当众磋商，公布供应商名称、磋商保证金的递交情况、质量标准、</w:t>
      </w:r>
      <w:r>
        <w:rPr>
          <w:rFonts w:hint="eastAsia" w:ascii="宋体" w:hAnsi="宋体" w:cs="宋体"/>
          <w:color w:val="auto"/>
          <w:sz w:val="21"/>
          <w:szCs w:val="21"/>
          <w:highlight w:val="none"/>
          <w:lang w:eastAsia="zh-CN"/>
        </w:rPr>
        <w:t>交货期</w:t>
      </w:r>
      <w:r>
        <w:rPr>
          <w:rFonts w:hint="eastAsia" w:ascii="宋体" w:hAnsi="宋体" w:cs="宋体"/>
          <w:color w:val="auto"/>
          <w:sz w:val="21"/>
          <w:szCs w:val="21"/>
          <w:highlight w:val="none"/>
        </w:rPr>
        <w:t>及其他内容，并记录在案；</w:t>
      </w:r>
    </w:p>
    <w:p w14:paraId="3B378A6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（7）规定</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的，公布</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w:t>
      </w:r>
    </w:p>
    <w:p w14:paraId="6F573C25">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（8）供应商代表、采购人代表、监督人、记录人等有关人员在磋商记录上签字确认；</w:t>
      </w:r>
    </w:p>
    <w:p w14:paraId="7BBF59BB">
      <w:pPr>
        <w:pageBreakBefore w:val="0"/>
        <w:widowControl w:val="0"/>
        <w:kinsoku/>
        <w:wordWrap/>
        <w:overflowPunct/>
        <w:topLinePunct w:val="0"/>
        <w:bidi w:val="0"/>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（9）供应商若有异议应当当场提出；</w:t>
      </w:r>
    </w:p>
    <w:p w14:paraId="63BECFD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s="宋体"/>
          <w:color w:val="auto"/>
          <w:sz w:val="21"/>
          <w:szCs w:val="21"/>
          <w:highlight w:val="none"/>
        </w:rPr>
        <w:t>（10）磋商结束。</w:t>
      </w:r>
    </w:p>
    <w:p w14:paraId="448A9D11">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7" w:name="_Toc497128887"/>
      <w:bookmarkStart w:id="198" w:name="_Toc514088788"/>
      <w:bookmarkStart w:id="199" w:name="_Toc497129079"/>
      <w:r>
        <w:rPr>
          <w:rFonts w:hint="eastAsia" w:ascii="宋体" w:hAnsi="宋体"/>
          <w:color w:val="auto"/>
          <w:sz w:val="21"/>
          <w:szCs w:val="21"/>
          <w:highlight w:val="none"/>
        </w:rPr>
        <w:t xml:space="preserve">24. </w:t>
      </w:r>
      <w:bookmarkEnd w:id="196"/>
      <w:bookmarkEnd w:id="197"/>
      <w:bookmarkEnd w:id="198"/>
      <w:bookmarkEnd w:id="199"/>
      <w:r>
        <w:rPr>
          <w:rFonts w:hint="eastAsia" w:ascii="宋体" w:hAnsi="宋体"/>
          <w:color w:val="auto"/>
          <w:sz w:val="21"/>
          <w:szCs w:val="21"/>
          <w:highlight w:val="none"/>
        </w:rPr>
        <w:t>磋商</w:t>
      </w:r>
    </w:p>
    <w:p w14:paraId="1CA24E44">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00" w:name="_Toc179632581"/>
      <w:bookmarkStart w:id="201" w:name="_Toc152045563"/>
      <w:bookmarkStart w:id="202" w:name="_Toc246996207"/>
      <w:bookmarkStart w:id="203" w:name="_Toc152042339"/>
      <w:bookmarkStart w:id="204" w:name="_Toc246996950"/>
      <w:bookmarkStart w:id="205" w:name="_Toc144974531"/>
      <w:bookmarkStart w:id="206" w:name="_Toc247085721"/>
      <w:bookmarkStart w:id="207" w:name="_Toc183682370"/>
      <w:bookmarkStart w:id="208" w:name="_Toc183582233"/>
      <w:r>
        <w:rPr>
          <w:rFonts w:hint="eastAsia" w:ascii="宋体" w:hAnsi="宋体" w:cs="宋体"/>
          <w:color w:val="auto"/>
          <w:sz w:val="21"/>
          <w:szCs w:val="21"/>
          <w:highlight w:val="none"/>
        </w:rPr>
        <w:t xml:space="preserve">24.1 </w:t>
      </w:r>
      <w:bookmarkEnd w:id="200"/>
      <w:bookmarkEnd w:id="201"/>
      <w:bookmarkEnd w:id="202"/>
      <w:bookmarkEnd w:id="203"/>
      <w:bookmarkEnd w:id="204"/>
      <w:bookmarkEnd w:id="205"/>
      <w:bookmarkEnd w:id="206"/>
      <w:r>
        <w:rPr>
          <w:rFonts w:hint="eastAsia" w:ascii="宋体" w:hAnsi="宋体" w:cs="宋体"/>
          <w:color w:val="auto"/>
          <w:sz w:val="21"/>
          <w:szCs w:val="21"/>
          <w:highlight w:val="none"/>
        </w:rPr>
        <w:t>磋商小组</w:t>
      </w:r>
    </w:p>
    <w:p w14:paraId="1F367B9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24.1.1 磋商由采购人</w:t>
      </w:r>
      <w:r>
        <w:rPr>
          <w:rFonts w:hint="eastAsia" w:ascii="宋体" w:hAnsi="宋体" w:cs="宋体"/>
          <w:color w:val="auto"/>
          <w:sz w:val="21"/>
          <w:szCs w:val="21"/>
          <w:highlight w:val="none"/>
          <w:lang w:val="en-US" w:eastAsia="zh-CN"/>
        </w:rPr>
        <w:t>或代理机构</w:t>
      </w:r>
      <w:r>
        <w:rPr>
          <w:rFonts w:hint="eastAsia" w:ascii="宋体" w:hAnsi="宋体" w:cs="宋体"/>
          <w:color w:val="auto"/>
          <w:sz w:val="21"/>
          <w:szCs w:val="21"/>
          <w:highlight w:val="none"/>
        </w:rPr>
        <w:t>依法组建的磋商小组负责。磋商小组</w:t>
      </w:r>
      <w:r>
        <w:rPr>
          <w:rFonts w:hint="eastAsia" w:ascii="宋体" w:hAnsi="宋体" w:cs="宋体"/>
          <w:color w:val="auto"/>
          <w:sz w:val="21"/>
          <w:szCs w:val="21"/>
          <w:highlight w:val="none"/>
          <w:lang w:val="en-US" w:eastAsia="zh-CN"/>
        </w:rPr>
        <w:t>由</w:t>
      </w:r>
      <w:r>
        <w:rPr>
          <w:rFonts w:hint="eastAsia" w:ascii="宋体" w:hAnsi="宋体" w:cs="宋体"/>
          <w:color w:val="auto"/>
          <w:sz w:val="21"/>
          <w:szCs w:val="21"/>
          <w:highlight w:val="none"/>
        </w:rPr>
        <w:t>有关技术、经济等方面的专家组成。磋商小组成员人数以及技术、经济等方面专家的确定方式见供应商须知前附表。</w:t>
      </w:r>
    </w:p>
    <w:p w14:paraId="215D2F7D">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24.1.2 磋商小组成员有下列情形之一的，应当回避：</w:t>
      </w:r>
    </w:p>
    <w:p w14:paraId="37829F45">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14:paraId="6751A65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14:paraId="09CC3B0B">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可能影响对磋商公正评审的；</w:t>
      </w:r>
    </w:p>
    <w:p w14:paraId="75C91888">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（4）曾因采购、在磋商以及其他与磋商有关活动中从事违法行为而受过行政处罚或刑事处罚的；</w:t>
      </w:r>
    </w:p>
    <w:p w14:paraId="7B672F90">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14:paraId="6757C399">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09" w:name="_Toc179632582"/>
      <w:bookmarkStart w:id="210" w:name="_Toc246996208"/>
      <w:bookmarkStart w:id="211" w:name="_Toc247085722"/>
      <w:bookmarkStart w:id="212" w:name="_Toc246996951"/>
      <w:bookmarkStart w:id="213" w:name="_Toc152045564"/>
      <w:bookmarkStart w:id="214" w:name="_Toc144974532"/>
      <w:bookmarkStart w:id="215" w:name="_Toc152042340"/>
      <w:r>
        <w:rPr>
          <w:rFonts w:hint="eastAsia" w:ascii="宋体" w:hAnsi="宋体" w:cs="宋体"/>
          <w:color w:val="auto"/>
          <w:sz w:val="21"/>
          <w:szCs w:val="21"/>
          <w:highlight w:val="none"/>
        </w:rPr>
        <w:t>24.2 磋商原则</w:t>
      </w:r>
      <w:bookmarkEnd w:id="209"/>
      <w:bookmarkEnd w:id="210"/>
      <w:bookmarkEnd w:id="211"/>
      <w:bookmarkEnd w:id="212"/>
      <w:bookmarkEnd w:id="213"/>
      <w:bookmarkEnd w:id="214"/>
      <w:bookmarkEnd w:id="215"/>
    </w:p>
    <w:p w14:paraId="700D6086">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磋商活动遵循公平、公正、科学和择优的原则。</w:t>
      </w:r>
    </w:p>
    <w:p w14:paraId="1A7ADE4A">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16" w:name="_Toc179632583"/>
      <w:bookmarkStart w:id="217" w:name="_Toc152042341"/>
      <w:bookmarkStart w:id="218" w:name="_Toc247085723"/>
      <w:bookmarkStart w:id="219" w:name="_Toc246996209"/>
      <w:bookmarkStart w:id="220" w:name="_Toc152045565"/>
      <w:bookmarkStart w:id="221" w:name="_Toc246996952"/>
      <w:bookmarkStart w:id="222" w:name="_Toc144974533"/>
      <w:r>
        <w:rPr>
          <w:rFonts w:hint="eastAsia" w:ascii="宋体" w:hAnsi="宋体" w:cs="宋体"/>
          <w:color w:val="auto"/>
          <w:sz w:val="21"/>
          <w:szCs w:val="21"/>
          <w:highlight w:val="none"/>
        </w:rPr>
        <w:t>24.3 磋商</w:t>
      </w:r>
      <w:bookmarkEnd w:id="216"/>
      <w:bookmarkEnd w:id="217"/>
      <w:bookmarkEnd w:id="218"/>
      <w:bookmarkEnd w:id="219"/>
      <w:bookmarkEnd w:id="220"/>
      <w:bookmarkEnd w:id="221"/>
      <w:bookmarkEnd w:id="222"/>
    </w:p>
    <w:p w14:paraId="2750B39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磋商小组按照第三章“评审办法”规定的方法、评审因素、标准和程序对响应文件进行评审。第三章“评审办法”没有规定的方法、评审因素和标准，不作为评审工作依据。</w:t>
      </w:r>
    </w:p>
    <w:p w14:paraId="3E685A2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olor w:val="auto"/>
          <w:sz w:val="21"/>
          <w:szCs w:val="21"/>
          <w:highlight w:val="none"/>
        </w:rPr>
        <w:t>24.3.1</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磋商小组对所有响应文件进行</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p>
    <w:p w14:paraId="7EECFF5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24.3.2</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磋商小组所有成员集中与通过</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r>
        <w:rPr>
          <w:rFonts w:ascii="宋体" w:hAnsi="宋体"/>
          <w:color w:val="auto"/>
          <w:sz w:val="21"/>
          <w:szCs w:val="21"/>
          <w:highlight w:val="none"/>
          <w:lang w:val="zh-TW"/>
        </w:rPr>
        <w:t>的单一</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分别进行磋商，并给予所有参加磋商的</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平等的磋商机会。</w:t>
      </w:r>
      <w:r>
        <w:rPr>
          <w:rFonts w:hint="eastAsia" w:ascii="宋体" w:hAnsi="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8FF279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s="宋体"/>
          <w:color w:val="auto"/>
          <w:sz w:val="21"/>
          <w:szCs w:val="21"/>
          <w:highlight w:val="none"/>
        </w:rPr>
        <w:t>对磋商文件作出的实质性变动是磋商文件的有效组成部分，磋商小组应当及时以书面形式同时通知所有参加磋商的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14:paraId="52E57BC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493FFE">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olor w:val="auto"/>
          <w:sz w:val="21"/>
          <w:szCs w:val="21"/>
          <w:highlight w:val="none"/>
        </w:rPr>
        <w:t>24.3.3</w:t>
      </w:r>
      <w:r>
        <w:rPr>
          <w:rFonts w:hint="eastAsia" w:ascii="宋体" w:hAnsi="宋体"/>
          <w:color w:val="auto"/>
          <w:sz w:val="21"/>
          <w:szCs w:val="21"/>
          <w:highlight w:val="none"/>
          <w:lang w:val="en-US" w:eastAsia="zh-CN"/>
        </w:rPr>
        <w:t xml:space="preserve"> </w:t>
      </w:r>
      <w:r>
        <w:rPr>
          <w:rFonts w:hint="eastAsia" w:ascii="宋体" w:hAnsi="宋体" w:cs="宋体"/>
          <w:color w:val="auto"/>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49B591F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磋商文件不能详细列明采购标的的技术、服务要求，需经磋商由供应商提供最终方案或解决方案的，磋商结束后，磋商小组应当按照少数服从多数的原则投票推荐3家（含）以上供应商的</w:t>
      </w:r>
      <w:r>
        <w:rPr>
          <w:rFonts w:hint="eastAsia" w:ascii="宋体" w:hAnsi="宋体" w:cs="宋体"/>
          <w:color w:val="auto"/>
          <w:sz w:val="21"/>
          <w:szCs w:val="21"/>
          <w:highlight w:val="none"/>
          <w:lang w:val="en-US" w:eastAsia="zh-CN"/>
        </w:rPr>
        <w:t>最终</w:t>
      </w:r>
      <w:r>
        <w:rPr>
          <w:rFonts w:hint="eastAsia" w:ascii="宋体" w:hAnsi="宋体" w:cs="宋体"/>
          <w:color w:val="auto"/>
          <w:sz w:val="21"/>
          <w:szCs w:val="21"/>
          <w:highlight w:val="none"/>
        </w:rPr>
        <w:t>方案或者解决方案，并要求其在规定时间内提交最后报价。最后报价是供应商响应文件的有效组成部分。</w:t>
      </w:r>
    </w:p>
    <w:p w14:paraId="18352C37">
      <w:pPr>
        <w:pageBreakBefore w:val="0"/>
        <w:widowControl w:val="0"/>
        <w:kinsoku/>
        <w:wordWrap/>
        <w:overflowPunct/>
        <w:topLinePunct w:val="0"/>
        <w:bidi w:val="0"/>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已提交响应文件的供应商，在提交最后报价之前，可以根据磋商情况退出磋商。</w:t>
      </w:r>
    </w:p>
    <w:p w14:paraId="78B0584D">
      <w:pPr>
        <w:pageBreakBefore w:val="0"/>
        <w:widowControl w:val="0"/>
        <w:kinsoku/>
        <w:wordWrap/>
        <w:overflowPunct/>
        <w:topLinePunct w:val="0"/>
        <w:bidi w:val="0"/>
        <w:spacing w:line="360" w:lineRule="auto"/>
        <w:ind w:left="0" w:leftChars="0" w:firstLine="420" w:firstLineChars="200"/>
        <w:rPr>
          <w:rFonts w:hint="eastAsia" w:ascii="宋体" w:hAnsi="宋体" w:eastAsia="宋体"/>
          <w:color w:val="auto"/>
          <w:sz w:val="21"/>
          <w:szCs w:val="21"/>
          <w:highlight w:val="none"/>
          <w:lang w:val="zh-TW" w:eastAsia="zh-CN"/>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经磋商确定最终采购需求和提交最后报价的</w:t>
      </w:r>
      <w:r>
        <w:rPr>
          <w:rFonts w:hint="eastAsia" w:ascii="宋体" w:hAnsi="宋体" w:cs="宋体"/>
          <w:color w:val="auto"/>
          <w:sz w:val="21"/>
          <w:szCs w:val="21"/>
          <w:highlight w:val="none"/>
        </w:rPr>
        <w:t>供应商</w:t>
      </w:r>
      <w:r>
        <w:rPr>
          <w:rFonts w:hint="eastAsia" w:ascii="宋体" w:hAnsi="宋体"/>
          <w:color w:val="auto"/>
          <w:sz w:val="21"/>
          <w:szCs w:val="21"/>
          <w:highlight w:val="none"/>
        </w:rPr>
        <w:t>后，由磋商小组采用综合评分法对提交最后报价的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的响应文件和最后报价进行综合评分</w:t>
      </w:r>
      <w:r>
        <w:rPr>
          <w:rFonts w:hint="eastAsia" w:ascii="宋体" w:hAnsi="宋体"/>
          <w:color w:val="auto"/>
          <w:sz w:val="21"/>
          <w:szCs w:val="21"/>
          <w:highlight w:val="none"/>
          <w:lang w:val="zh-TW" w:eastAsia="zh-CN"/>
        </w:rPr>
        <w:t>。</w:t>
      </w:r>
    </w:p>
    <w:p w14:paraId="5631FB6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磋商小组应当根据综合评分情况，按照评审得分由高到低顺序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成交人，并编写评审报告。评审得分相同的，按照最后报价由低到高的顺序推荐。评审得分且最后报价相同的，按照技术指标优劣顺序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w:t>
      </w:r>
    </w:p>
    <w:bookmarkEnd w:id="207"/>
    <w:bookmarkEnd w:id="208"/>
    <w:p w14:paraId="689AA775">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23" w:name="_Toc502913912"/>
      <w:bookmarkStart w:id="224" w:name="_Toc217446060"/>
      <w:bookmarkStart w:id="225" w:name="_Toc514088789"/>
      <w:r>
        <w:rPr>
          <w:rFonts w:hint="eastAsia" w:ascii="宋体" w:hAnsi="宋体" w:eastAsia="宋体"/>
          <w:color w:val="auto"/>
          <w:sz w:val="21"/>
          <w:szCs w:val="21"/>
          <w:highlight w:val="none"/>
        </w:rPr>
        <w:t>五、定标</w:t>
      </w:r>
      <w:bookmarkEnd w:id="223"/>
      <w:bookmarkEnd w:id="224"/>
      <w:bookmarkEnd w:id="225"/>
      <w:bookmarkStart w:id="226" w:name="_Toc217446061"/>
    </w:p>
    <w:p w14:paraId="3963EE04">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27" w:name="_Toc502913913"/>
      <w:bookmarkStart w:id="228" w:name="_Toc514088790"/>
      <w:r>
        <w:rPr>
          <w:rFonts w:hint="eastAsia" w:ascii="宋体" w:hAnsi="宋体" w:eastAsia="宋体"/>
          <w:color w:val="auto"/>
          <w:sz w:val="21"/>
          <w:szCs w:val="21"/>
          <w:highlight w:val="none"/>
        </w:rPr>
        <w:t>25.定标原则</w:t>
      </w:r>
      <w:bookmarkEnd w:id="226"/>
      <w:bookmarkEnd w:id="227"/>
      <w:bookmarkEnd w:id="228"/>
    </w:p>
    <w:p w14:paraId="1B4CF376">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根据磋商小组按</w:t>
      </w:r>
      <w:r>
        <w:rPr>
          <w:rFonts w:hint="eastAsia" w:ascii="宋体" w:hAnsi="宋体"/>
          <w:color w:val="auto"/>
          <w:sz w:val="21"/>
          <w:szCs w:val="21"/>
          <w:highlight w:val="none"/>
          <w:lang w:val="en-US" w:eastAsia="zh-CN"/>
        </w:rPr>
        <w:t>综合得分高低</w:t>
      </w:r>
      <w:r>
        <w:rPr>
          <w:rFonts w:hint="eastAsia" w:ascii="宋体" w:hAnsi="宋体"/>
          <w:color w:val="auto"/>
          <w:sz w:val="21"/>
          <w:szCs w:val="21"/>
          <w:highlight w:val="none"/>
        </w:rPr>
        <w:t>顺序</w:t>
      </w:r>
      <w:r>
        <w:rPr>
          <w:rFonts w:hint="eastAsia" w:ascii="宋体" w:hAnsi="宋体"/>
          <w:color w:val="auto"/>
          <w:sz w:val="21"/>
          <w:szCs w:val="21"/>
          <w:highlight w:val="none"/>
          <w:lang w:val="en-US" w:eastAsia="zh-CN"/>
        </w:rPr>
        <w:t>排列，直接</w:t>
      </w:r>
      <w:r>
        <w:rPr>
          <w:rFonts w:hint="eastAsia" w:ascii="宋体" w:hAnsi="宋体"/>
          <w:color w:val="auto"/>
          <w:sz w:val="21"/>
          <w:szCs w:val="21"/>
          <w:highlight w:val="none"/>
        </w:rPr>
        <w:t>确定</w:t>
      </w:r>
      <w:r>
        <w:rPr>
          <w:rFonts w:hint="eastAsia" w:ascii="宋体" w:hAnsi="宋体"/>
          <w:color w:val="auto"/>
          <w:sz w:val="21"/>
          <w:szCs w:val="21"/>
          <w:highlight w:val="none"/>
          <w:lang w:val="en-US" w:eastAsia="zh-CN"/>
        </w:rPr>
        <w:t>综合得分第一的为成交</w:t>
      </w:r>
      <w:r>
        <w:rPr>
          <w:rFonts w:hint="eastAsia" w:ascii="宋体" w:hAnsi="宋体"/>
          <w:color w:val="auto"/>
          <w:sz w:val="21"/>
          <w:szCs w:val="21"/>
          <w:highlight w:val="none"/>
        </w:rPr>
        <w:t>人。</w:t>
      </w:r>
    </w:p>
    <w:p w14:paraId="0FF13066">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29" w:name="_Toc217446062"/>
      <w:bookmarkStart w:id="230" w:name="_Toc502913914"/>
      <w:bookmarkStart w:id="231" w:name="_Toc514088791"/>
      <w:r>
        <w:rPr>
          <w:rFonts w:hint="eastAsia" w:ascii="宋体" w:hAnsi="宋体"/>
          <w:color w:val="auto"/>
          <w:sz w:val="21"/>
          <w:szCs w:val="21"/>
          <w:highlight w:val="none"/>
        </w:rPr>
        <w:t>26. 定标程序</w:t>
      </w:r>
      <w:bookmarkEnd w:id="229"/>
      <w:bookmarkEnd w:id="230"/>
      <w:bookmarkEnd w:id="231"/>
    </w:p>
    <w:p w14:paraId="2DEB6BD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26.1 磋商小组将评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情况写出书面报告，并按照综合得分高低标明排列顺序。综合得分相同的，按磋商报价由低到高顺序排列。得分且报价相同的，按技术指标优劣顺序排列。</w:t>
      </w:r>
    </w:p>
    <w:p w14:paraId="05B751F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采购代理机构在磋商结束后二个工作日内将评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报告送采购人。</w:t>
      </w:r>
    </w:p>
    <w:p w14:paraId="4A640AF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3 采购人在收到磋商报告后五个工作日内，按照磋商报告中确定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w:t>
      </w:r>
    </w:p>
    <w:p w14:paraId="159FDE9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采购单位不退回响应文件和其他资料。</w:t>
      </w:r>
    </w:p>
    <w:p w14:paraId="16B654A7">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32" w:name="_Toc183682375"/>
      <w:bookmarkStart w:id="233" w:name="_Toc183582238"/>
      <w:bookmarkStart w:id="234" w:name="_Toc502913915"/>
      <w:bookmarkStart w:id="235" w:name="_Toc514088792"/>
      <w:bookmarkStart w:id="236" w:name="_Toc217446063"/>
      <w:r>
        <w:rPr>
          <w:rFonts w:hint="eastAsia" w:ascii="宋体" w:hAnsi="宋体"/>
          <w:color w:val="auto"/>
          <w:sz w:val="21"/>
          <w:szCs w:val="21"/>
          <w:highlight w:val="none"/>
        </w:rPr>
        <w:t>27．成交通知</w:t>
      </w:r>
      <w:bookmarkEnd w:id="232"/>
      <w:bookmarkEnd w:id="233"/>
      <w:r>
        <w:rPr>
          <w:rFonts w:hint="eastAsia" w:ascii="宋体" w:hAnsi="宋体"/>
          <w:color w:val="auto"/>
          <w:sz w:val="21"/>
          <w:szCs w:val="21"/>
          <w:highlight w:val="none"/>
        </w:rPr>
        <w:t>书</w:t>
      </w:r>
      <w:bookmarkEnd w:id="234"/>
      <w:bookmarkEnd w:id="235"/>
      <w:bookmarkEnd w:id="236"/>
    </w:p>
    <w:p w14:paraId="1F17A3F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.1</w:t>
      </w:r>
      <w:r>
        <w:rPr>
          <w:rFonts w:hint="eastAsia" w:ascii="宋体" w:hAnsi="宋体"/>
          <w:color w:val="auto"/>
          <w:sz w:val="21"/>
          <w:szCs w:val="21"/>
          <w:highlight w:val="none"/>
        </w:rPr>
        <w:t xml:space="preserve"> 确定成交供应商后，采购代理机构在本项目竞争性磋商公告发布的同一媒介予以公</w:t>
      </w:r>
      <w:r>
        <w:rPr>
          <w:rFonts w:hint="eastAsia" w:ascii="宋体" w:hAnsi="宋体"/>
          <w:color w:val="auto"/>
          <w:sz w:val="21"/>
          <w:szCs w:val="21"/>
          <w:highlight w:val="none"/>
          <w:lang w:val="en-US" w:eastAsia="zh-CN"/>
        </w:rPr>
        <w:t>告</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结果，</w:t>
      </w:r>
      <w:r>
        <w:rPr>
          <w:rFonts w:hint="eastAsia" w:ascii="宋体" w:hAnsi="宋体"/>
          <w:color w:val="auto"/>
          <w:sz w:val="21"/>
          <w:szCs w:val="21"/>
          <w:highlight w:val="none"/>
          <w:lang w:val="en-US" w:eastAsia="zh-CN"/>
        </w:rPr>
        <w:t>并同时向</w:t>
      </w:r>
      <w:r>
        <w:rPr>
          <w:rFonts w:hint="eastAsia" w:ascii="宋体" w:hAnsi="宋体"/>
          <w:color w:val="auto"/>
          <w:sz w:val="21"/>
          <w:szCs w:val="21"/>
          <w:highlight w:val="none"/>
        </w:rPr>
        <w:t>成交供应商发出成交通知书</w:t>
      </w:r>
      <w:r>
        <w:rPr>
          <w:rFonts w:hint="eastAsia" w:ascii="宋体" w:hAnsi="宋体"/>
          <w:color w:val="auto"/>
          <w:sz w:val="21"/>
          <w:szCs w:val="21"/>
          <w:highlight w:val="none"/>
          <w:lang w:eastAsia="zh-CN"/>
        </w:rPr>
        <w:t>，成交公告期限为1个工作日。</w:t>
      </w:r>
      <w:r>
        <w:rPr>
          <w:rFonts w:hint="eastAsia" w:ascii="宋体" w:hAnsi="宋体"/>
          <w:color w:val="auto"/>
          <w:sz w:val="21"/>
          <w:szCs w:val="21"/>
          <w:highlight w:val="none"/>
        </w:rPr>
        <w:t>。</w:t>
      </w:r>
    </w:p>
    <w:p w14:paraId="6E3AD18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成交通知书将作为签订合同的依据。成交通知书对采购单位和成交供应商均具有法律效力。成交通知书发出后，采购人改变成交结果，或者成交供应商无正当理由放弃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的，应当承担相应的法律责任。</w:t>
      </w:r>
    </w:p>
    <w:p w14:paraId="271C14AA">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的响应文件本应作为无效响应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331EBFA6">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37" w:name="_Toc514088793"/>
      <w:bookmarkStart w:id="238" w:name="_Toc502913916"/>
      <w:r>
        <w:rPr>
          <w:rFonts w:hint="eastAsia" w:ascii="宋体" w:hAnsi="宋体" w:eastAsia="宋体"/>
          <w:color w:val="auto"/>
          <w:sz w:val="21"/>
          <w:szCs w:val="21"/>
          <w:highlight w:val="none"/>
        </w:rPr>
        <w:t>六、签订及履行合同和验收</w:t>
      </w:r>
      <w:bookmarkEnd w:id="237"/>
      <w:bookmarkEnd w:id="238"/>
    </w:p>
    <w:p w14:paraId="701DE126">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39" w:name="_Toc502913917"/>
      <w:bookmarkStart w:id="240" w:name="_Toc514088794"/>
      <w:bookmarkStart w:id="241" w:name="_Toc217446065"/>
      <w:bookmarkStart w:id="242" w:name="_Toc183582240"/>
      <w:bookmarkStart w:id="243" w:name="_Toc183682377"/>
      <w:r>
        <w:rPr>
          <w:rFonts w:hint="eastAsia" w:ascii="宋体" w:hAnsi="宋体" w:eastAsia="宋体"/>
          <w:color w:val="auto"/>
          <w:sz w:val="21"/>
          <w:szCs w:val="21"/>
          <w:highlight w:val="none"/>
        </w:rPr>
        <w:t>28.签订合同</w:t>
      </w:r>
      <w:bookmarkEnd w:id="239"/>
      <w:bookmarkEnd w:id="240"/>
      <w:bookmarkEnd w:id="241"/>
    </w:p>
    <w:p w14:paraId="657E019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4" w:name="_Toc217446068"/>
      <w:r>
        <w:rPr>
          <w:rFonts w:hint="eastAsia" w:ascii="宋体" w:hAnsi="宋体"/>
          <w:color w:val="auto"/>
          <w:sz w:val="21"/>
          <w:szCs w:val="21"/>
          <w:highlight w:val="none"/>
        </w:rPr>
        <w:t>28.1 成交供应商在收到《成交通知书》后，应在规定的时间内与采购人签订采购合同。由于成交供应商的原因逾期未与采购人签订采购合同的，将视为放弃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资格并将按相关规定进行处理。</w:t>
      </w:r>
    </w:p>
    <w:p w14:paraId="06703A3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28.2 采购人不得向成交供应商提出任何不合理的要求，作为签订合同的条件，不得与成交供应商私下订立背离合同实质性内容的任何协议，所签订的合同不得对竞争性磋商文件和成交供应商响应文件作实质性修改。</w:t>
      </w:r>
    </w:p>
    <w:p w14:paraId="43351D8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28.3 成交供应商因不可抗力原因不能履行采购合同或放弃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的，采购人可以</w:t>
      </w:r>
      <w:r>
        <w:rPr>
          <w:rFonts w:hint="eastAsia" w:ascii="宋体" w:hAnsi="宋体"/>
          <w:color w:val="auto"/>
          <w:sz w:val="21"/>
          <w:szCs w:val="21"/>
          <w:highlight w:val="none"/>
          <w:lang w:val="en-US" w:eastAsia="zh-CN"/>
        </w:rPr>
        <w:t>重新采购</w:t>
      </w:r>
      <w:r>
        <w:rPr>
          <w:rFonts w:hint="eastAsia" w:ascii="宋体" w:hAnsi="宋体"/>
          <w:color w:val="auto"/>
          <w:sz w:val="21"/>
          <w:szCs w:val="21"/>
          <w:highlight w:val="none"/>
        </w:rPr>
        <w:t>。</w:t>
      </w:r>
    </w:p>
    <w:p w14:paraId="15C9F1C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28.4 </w:t>
      </w:r>
      <w:r>
        <w:rPr>
          <w:rFonts w:hint="eastAsia" w:ascii="宋体" w:hAnsi="宋体"/>
          <w:color w:val="auto"/>
          <w:sz w:val="21"/>
          <w:szCs w:val="21"/>
          <w:highlight w:val="none"/>
          <w:lang w:val="en-US" w:eastAsia="zh-CN"/>
        </w:rPr>
        <w:t>采购人</w:t>
      </w:r>
      <w:r>
        <w:rPr>
          <w:rFonts w:hint="eastAsia" w:ascii="宋体" w:hAnsi="宋体"/>
          <w:color w:val="auto"/>
          <w:sz w:val="21"/>
          <w:szCs w:val="21"/>
          <w:highlight w:val="none"/>
        </w:rPr>
        <w:t>在合同签订之后在规定时间内，将签订的合同报上级主管部门备案。</w:t>
      </w:r>
    </w:p>
    <w:p w14:paraId="64239F18">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5 竞争性磋商文件、成交供应商的响应文件及双方确认的澄清文件等，均为有法律约束力的经济合同组成的一部分。</w:t>
      </w:r>
    </w:p>
    <w:p w14:paraId="3252C866">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outlineLvl w:val="9"/>
        <w:rPr>
          <w:rFonts w:hint="default" w:eastAsia="宋体"/>
          <w:color w:val="auto"/>
          <w:highlight w:val="none"/>
          <w:lang w:val="en-US" w:eastAsia="zh-CN"/>
        </w:rPr>
      </w:pPr>
      <w:r>
        <w:rPr>
          <w:rFonts w:hint="eastAsia" w:ascii="宋体" w:hAnsi="宋体"/>
          <w:color w:val="auto"/>
          <w:sz w:val="21"/>
          <w:szCs w:val="21"/>
          <w:highlight w:val="none"/>
          <w:lang w:val="en-US" w:eastAsia="zh-CN"/>
        </w:rPr>
        <w:t>28.6</w:t>
      </w:r>
      <w:r>
        <w:rPr>
          <w:rFonts w:hint="eastAsia" w:ascii="宋体" w:hAnsi="宋体" w:cs="宋体"/>
          <w:color w:val="auto"/>
          <w:spacing w:val="7"/>
          <w:sz w:val="21"/>
          <w:szCs w:val="21"/>
          <w:highlight w:val="none"/>
          <w:lang w:val="en-US" w:eastAsia="zh-CN"/>
        </w:rPr>
        <w:t>成交人应根据成交通知书规定的时间、地点与买方签订合同，否则按磋商后撤出响应文件处理</w:t>
      </w:r>
      <w:r>
        <w:rPr>
          <w:rFonts w:hint="eastAsia" w:ascii="宋体" w:hAnsi="宋体" w:eastAsia="宋体" w:cs="宋体"/>
          <w:color w:val="auto"/>
          <w:spacing w:val="7"/>
          <w:sz w:val="21"/>
          <w:szCs w:val="21"/>
          <w:highlight w:val="none"/>
        </w:rPr>
        <w:t>；</w:t>
      </w:r>
    </w:p>
    <w:p w14:paraId="400A0C3C">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5" w:name="_Toc502913918"/>
      <w:bookmarkStart w:id="246" w:name="_Toc514088795"/>
      <w:r>
        <w:rPr>
          <w:rFonts w:hint="eastAsia" w:ascii="宋体" w:hAnsi="宋体" w:eastAsia="宋体"/>
          <w:color w:val="auto"/>
          <w:sz w:val="21"/>
          <w:szCs w:val="21"/>
          <w:highlight w:val="none"/>
        </w:rPr>
        <w:t>29. 合同的转让与分包</w:t>
      </w:r>
      <w:bookmarkEnd w:id="245"/>
      <w:bookmarkEnd w:id="246"/>
    </w:p>
    <w:p w14:paraId="0F1F6559">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成交供应商应当按照合同约定履行义务完成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项目，不得向他人转让和分包</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项目，也不得将</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项目肢解后分别向他人转让。</w:t>
      </w:r>
    </w:p>
    <w:p w14:paraId="33405167">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7" w:name="_Toc514088796"/>
      <w:bookmarkStart w:id="248" w:name="_Toc502913919"/>
      <w:r>
        <w:rPr>
          <w:rFonts w:hint="eastAsia" w:ascii="宋体" w:hAnsi="宋体" w:eastAsia="宋体"/>
          <w:color w:val="auto"/>
          <w:sz w:val="21"/>
          <w:szCs w:val="21"/>
          <w:highlight w:val="none"/>
        </w:rPr>
        <w:t>30. 履约保证金</w:t>
      </w:r>
      <w:bookmarkEnd w:id="244"/>
      <w:bookmarkEnd w:id="247"/>
      <w:bookmarkEnd w:id="248"/>
    </w:p>
    <w:p w14:paraId="4E274CF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9" w:name="_Toc217446069"/>
      <w:r>
        <w:rPr>
          <w:rFonts w:hint="eastAsia" w:ascii="宋体" w:hAnsi="宋体"/>
          <w:color w:val="auto"/>
          <w:sz w:val="21"/>
          <w:szCs w:val="21"/>
          <w:highlight w:val="none"/>
        </w:rPr>
        <w:t>见前附表</w:t>
      </w:r>
      <w:r>
        <w:rPr>
          <w:rFonts w:ascii="宋体" w:hAnsi="宋体"/>
          <w:color w:val="auto"/>
          <w:sz w:val="21"/>
          <w:szCs w:val="21"/>
          <w:highlight w:val="none"/>
        </w:rPr>
        <w:t>。</w:t>
      </w:r>
    </w:p>
    <w:p w14:paraId="1B5AC898">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0" w:name="_Toc514088797"/>
      <w:bookmarkStart w:id="251" w:name="_Toc502913920"/>
      <w:r>
        <w:rPr>
          <w:rFonts w:hint="eastAsia" w:ascii="宋体" w:hAnsi="宋体" w:eastAsia="宋体"/>
          <w:color w:val="auto"/>
          <w:sz w:val="21"/>
          <w:szCs w:val="21"/>
          <w:highlight w:val="none"/>
        </w:rPr>
        <w:t>31.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采购人增加合同标的权利</w:t>
      </w:r>
      <w:bookmarkEnd w:id="250"/>
      <w:bookmarkEnd w:id="251"/>
    </w:p>
    <w:p w14:paraId="3A2A51F1">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采购合同履行过程中，采购人需要追加与合同标的相同的</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或者服务的，在不改变合同其他条款的前提下，可以与成交供应商协商签订补充合同，但所有补充合同的采购金额不得超过原合同采购金额的百分之十。</w:t>
      </w:r>
    </w:p>
    <w:p w14:paraId="511AC776">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2" w:name="_Toc514088798"/>
      <w:bookmarkStart w:id="253" w:name="_Toc502913921"/>
      <w:r>
        <w:rPr>
          <w:rFonts w:hint="eastAsia" w:ascii="宋体" w:hAnsi="宋体" w:eastAsia="宋体"/>
          <w:color w:val="auto"/>
          <w:sz w:val="21"/>
          <w:szCs w:val="21"/>
          <w:highlight w:val="none"/>
        </w:rPr>
        <w:t>32.履行合同</w:t>
      </w:r>
      <w:bookmarkEnd w:id="249"/>
      <w:bookmarkEnd w:id="252"/>
      <w:bookmarkEnd w:id="253"/>
    </w:p>
    <w:p w14:paraId="7340D22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成交供应商与采购人签订合同后，合同双方应严格执行合同条款，履行合同规定的义务，保证合同的顺利完成。</w:t>
      </w:r>
    </w:p>
    <w:p w14:paraId="53D12FB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32.2 在合同履行过程中，如发生合同纠纷，合同双方应按照《合同法》的有关规定进行处理。</w:t>
      </w:r>
    </w:p>
    <w:p w14:paraId="370699D0">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4" w:name="_Toc217446070"/>
      <w:bookmarkStart w:id="255" w:name="_Toc514088799"/>
      <w:bookmarkStart w:id="256" w:name="_Toc502913922"/>
      <w:r>
        <w:rPr>
          <w:rFonts w:hint="eastAsia" w:ascii="宋体" w:hAnsi="宋体" w:eastAsia="宋体"/>
          <w:color w:val="auto"/>
          <w:sz w:val="21"/>
          <w:szCs w:val="21"/>
          <w:highlight w:val="none"/>
        </w:rPr>
        <w:t>33. 验收</w:t>
      </w:r>
      <w:bookmarkEnd w:id="254"/>
      <w:bookmarkEnd w:id="255"/>
      <w:bookmarkEnd w:id="256"/>
    </w:p>
    <w:p w14:paraId="00C31DB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57" w:name="_Toc217446071"/>
      <w:r>
        <w:rPr>
          <w:rFonts w:hint="eastAsia" w:ascii="宋体" w:hAnsi="宋体"/>
          <w:color w:val="auto"/>
          <w:sz w:val="21"/>
          <w:szCs w:val="21"/>
          <w:highlight w:val="none"/>
        </w:rPr>
        <w:t>成交供应商</w:t>
      </w:r>
      <w:r>
        <w:rPr>
          <w:rFonts w:hint="eastAsia" w:ascii="宋体" w:hAnsi="宋体"/>
          <w:color w:val="auto"/>
          <w:sz w:val="21"/>
          <w:szCs w:val="21"/>
          <w:highlight w:val="none"/>
          <w:lang w:val="en-US" w:eastAsia="zh-CN"/>
        </w:rPr>
        <w:t>按要求完成服务内容后</w:t>
      </w:r>
      <w:r>
        <w:rPr>
          <w:rFonts w:hint="eastAsia" w:ascii="宋体" w:hAnsi="宋体"/>
          <w:color w:val="auto"/>
          <w:sz w:val="21"/>
          <w:szCs w:val="21"/>
          <w:highlight w:val="none"/>
        </w:rPr>
        <w:t>，采购方将</w:t>
      </w:r>
      <w:r>
        <w:rPr>
          <w:rFonts w:hint="eastAsia" w:ascii="宋体" w:hAnsi="宋体"/>
          <w:color w:val="auto"/>
          <w:sz w:val="21"/>
          <w:szCs w:val="21"/>
          <w:highlight w:val="none"/>
          <w:lang w:val="en-US" w:eastAsia="zh-CN"/>
        </w:rPr>
        <w:t>根据合同约定</w:t>
      </w:r>
      <w:r>
        <w:rPr>
          <w:rFonts w:hint="eastAsia" w:ascii="宋体" w:hAnsi="宋体"/>
          <w:color w:val="auto"/>
          <w:sz w:val="21"/>
          <w:szCs w:val="21"/>
          <w:highlight w:val="none"/>
        </w:rPr>
        <w:t>进行验收。</w:t>
      </w:r>
    </w:p>
    <w:bookmarkEnd w:id="242"/>
    <w:bookmarkEnd w:id="243"/>
    <w:bookmarkEnd w:id="257"/>
    <w:p w14:paraId="19FA09F9">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58" w:name="_Toc514088800"/>
      <w:bookmarkStart w:id="259" w:name="_Toc502913923"/>
      <w:bookmarkStart w:id="260" w:name="_Toc489868845"/>
      <w:bookmarkStart w:id="261" w:name="_Toc217446072"/>
      <w:bookmarkStart w:id="262" w:name="_Toc183582243"/>
      <w:bookmarkStart w:id="263" w:name="_Toc183682380"/>
      <w:r>
        <w:rPr>
          <w:rFonts w:hint="eastAsia" w:ascii="宋体" w:hAnsi="宋体" w:eastAsia="宋体"/>
          <w:color w:val="auto"/>
          <w:sz w:val="21"/>
          <w:szCs w:val="21"/>
          <w:highlight w:val="none"/>
        </w:rPr>
        <w:t>七、废 标</w:t>
      </w:r>
      <w:bookmarkEnd w:id="258"/>
      <w:bookmarkEnd w:id="259"/>
      <w:bookmarkEnd w:id="260"/>
    </w:p>
    <w:p w14:paraId="456BF372">
      <w:pPr>
        <w:pStyle w:val="4"/>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64" w:name="_Toc514088801"/>
      <w:bookmarkStart w:id="265" w:name="_Toc502913924"/>
      <w:r>
        <w:rPr>
          <w:rFonts w:hint="eastAsia" w:ascii="宋体" w:hAnsi="宋体"/>
          <w:color w:val="auto"/>
          <w:sz w:val="21"/>
          <w:szCs w:val="21"/>
          <w:highlight w:val="none"/>
        </w:rPr>
        <w:t xml:space="preserve">34. </w:t>
      </w:r>
      <w:r>
        <w:rPr>
          <w:rFonts w:hint="eastAsia" w:ascii="宋体" w:hAnsi="宋体"/>
          <w:color w:val="auto"/>
          <w:sz w:val="21"/>
          <w:szCs w:val="21"/>
          <w:highlight w:val="none"/>
          <w:lang w:val="en-US" w:eastAsia="zh-CN"/>
        </w:rPr>
        <w:t>终止</w:t>
      </w:r>
      <w:r>
        <w:rPr>
          <w:rFonts w:hint="eastAsia" w:ascii="宋体" w:hAnsi="宋体"/>
          <w:color w:val="auto"/>
          <w:sz w:val="21"/>
          <w:szCs w:val="21"/>
          <w:highlight w:val="none"/>
        </w:rPr>
        <w:t>的情形</w:t>
      </w:r>
      <w:bookmarkEnd w:id="261"/>
      <w:bookmarkEnd w:id="264"/>
      <w:bookmarkEnd w:id="265"/>
    </w:p>
    <w:p w14:paraId="61079DE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bookmarkStart w:id="266" w:name="_Toc217446074"/>
      <w:r>
        <w:rPr>
          <w:rFonts w:hint="eastAsia" w:ascii="宋体" w:hAnsi="宋体"/>
          <w:color w:val="auto"/>
          <w:sz w:val="21"/>
          <w:szCs w:val="21"/>
          <w:highlight w:val="none"/>
        </w:rPr>
        <w:t>出现下列情形之一的，采购人或采购代理机构将终止竞争性磋商采购活动，发布项目终止公告并说明原因，重新开展采购活动：</w:t>
      </w:r>
    </w:p>
    <w:p w14:paraId="34EEDFA1">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因情况变化，不再符合规定的竞争性磋商采购方式适用情形的；</w:t>
      </w:r>
    </w:p>
    <w:p w14:paraId="4E692635">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出现影响采购公正的违法、违规行为的；</w:t>
      </w:r>
    </w:p>
    <w:p w14:paraId="1BFAB10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72D52ED9">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67" w:name="_Toc514088802"/>
      <w:bookmarkStart w:id="268" w:name="_Toc502913925"/>
      <w:r>
        <w:rPr>
          <w:rFonts w:hint="eastAsia" w:ascii="宋体" w:hAnsi="宋体" w:eastAsia="宋体"/>
          <w:color w:val="auto"/>
          <w:sz w:val="21"/>
          <w:szCs w:val="21"/>
          <w:highlight w:val="none"/>
        </w:rPr>
        <w:t>八、磋商纪律要求</w:t>
      </w:r>
      <w:bookmarkEnd w:id="266"/>
      <w:bookmarkEnd w:id="267"/>
      <w:bookmarkEnd w:id="268"/>
    </w:p>
    <w:p w14:paraId="188D1494">
      <w:pPr>
        <w:pStyle w:val="4"/>
        <w:pageBreakBefore w:val="0"/>
        <w:widowControl w:val="0"/>
        <w:kinsoku/>
        <w:wordWrap/>
        <w:overflowPunct/>
        <w:topLinePunct w:val="0"/>
        <w:bidi w:val="0"/>
        <w:spacing w:before="0" w:after="0" w:line="360" w:lineRule="auto"/>
        <w:ind w:left="0" w:leftChars="0" w:firstLine="422" w:firstLineChars="200"/>
        <w:rPr>
          <w:rFonts w:ascii="宋体" w:hAnsi="宋体"/>
          <w:bCs/>
          <w:color w:val="auto"/>
          <w:sz w:val="21"/>
          <w:szCs w:val="21"/>
          <w:highlight w:val="none"/>
        </w:rPr>
      </w:pPr>
      <w:bookmarkStart w:id="269" w:name="_Toc502913926"/>
      <w:bookmarkStart w:id="270" w:name="_Toc514088803"/>
      <w:bookmarkStart w:id="271" w:name="_Toc217446075"/>
      <w:r>
        <w:rPr>
          <w:rFonts w:hint="eastAsia" w:ascii="宋体" w:hAnsi="宋体"/>
          <w:color w:val="auto"/>
          <w:sz w:val="21"/>
          <w:szCs w:val="21"/>
          <w:highlight w:val="none"/>
        </w:rPr>
        <w:t>35.</w:t>
      </w:r>
      <w:r>
        <w:rPr>
          <w:rFonts w:hint="eastAsia" w:ascii="宋体" w:hAnsi="宋体"/>
          <w:bCs/>
          <w:color w:val="auto"/>
          <w:sz w:val="21"/>
          <w:szCs w:val="21"/>
          <w:highlight w:val="none"/>
        </w:rPr>
        <w:t>供应商不得具有的情形</w:t>
      </w:r>
      <w:bookmarkEnd w:id="269"/>
      <w:bookmarkEnd w:id="270"/>
      <w:bookmarkEnd w:id="271"/>
    </w:p>
    <w:p w14:paraId="7939DA42">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供应商参加磋商不得有下列情形：</w:t>
      </w:r>
    </w:p>
    <w:p w14:paraId="23A4407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）提供虚假材料谋取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w:t>
      </w:r>
    </w:p>
    <w:p w14:paraId="6B8A8D1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）采取不正当手段诋毁、排挤其他供应商；</w:t>
      </w:r>
    </w:p>
    <w:p w14:paraId="526D5C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（3）与采购单位、其他供应商恶意串通；</w:t>
      </w:r>
    </w:p>
    <w:p w14:paraId="5F959B6E">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（4）向采购单位、磋商小组成员行贿或者提供其他不正当利益；</w:t>
      </w:r>
    </w:p>
    <w:p w14:paraId="002943E4">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（5）拒绝有关部门的监督检查或者向监督检查部门提供虚假情况。</w:t>
      </w:r>
    </w:p>
    <w:p w14:paraId="6DFFC47F">
      <w:pPr>
        <w:pStyle w:val="7"/>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有上述情形之一的供应商，属于不合格供应商，其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或成交资格将被取消。</w:t>
      </w:r>
    </w:p>
    <w:p w14:paraId="4F5E767C">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b w:val="0"/>
          <w:color w:val="auto"/>
          <w:sz w:val="21"/>
          <w:szCs w:val="21"/>
          <w:highlight w:val="none"/>
        </w:rPr>
      </w:pPr>
      <w:bookmarkStart w:id="272" w:name="_Toc514088804"/>
      <w:bookmarkStart w:id="273" w:name="_Toc217446076"/>
      <w:bookmarkStart w:id="274" w:name="_Toc502913927"/>
      <w:r>
        <w:rPr>
          <w:rFonts w:hint="eastAsia" w:ascii="宋体" w:hAnsi="宋体" w:eastAsia="宋体"/>
          <w:color w:val="auto"/>
          <w:sz w:val="21"/>
          <w:szCs w:val="21"/>
          <w:highlight w:val="none"/>
        </w:rPr>
        <w:t>九、支付货款</w:t>
      </w:r>
      <w:bookmarkEnd w:id="272"/>
      <w:bookmarkEnd w:id="273"/>
      <w:bookmarkEnd w:id="274"/>
    </w:p>
    <w:p w14:paraId="3844419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75" w:name="_Toc217446078"/>
      <w:r>
        <w:rPr>
          <w:rFonts w:hint="eastAsia" w:ascii="宋体" w:hAnsi="宋体"/>
          <w:color w:val="auto"/>
          <w:sz w:val="21"/>
          <w:szCs w:val="21"/>
          <w:highlight w:val="none"/>
        </w:rPr>
        <w:t>见前附表 。</w:t>
      </w:r>
    </w:p>
    <w:p w14:paraId="5AAB66FF">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76" w:name="_Toc514088806"/>
      <w:bookmarkStart w:id="277" w:name="_Toc502913929"/>
      <w:r>
        <w:rPr>
          <w:rFonts w:hint="eastAsia" w:ascii="宋体" w:hAnsi="宋体" w:eastAsia="宋体"/>
          <w:color w:val="auto"/>
          <w:sz w:val="21"/>
          <w:szCs w:val="21"/>
          <w:highlight w:val="none"/>
        </w:rPr>
        <w:t>十、质疑和投诉</w:t>
      </w:r>
      <w:bookmarkEnd w:id="275"/>
      <w:bookmarkEnd w:id="276"/>
      <w:bookmarkEnd w:id="277"/>
      <w:bookmarkStart w:id="278" w:name="_Toc217446079"/>
    </w:p>
    <w:bookmarkEnd w:id="262"/>
    <w:bookmarkEnd w:id="263"/>
    <w:bookmarkEnd w:id="278"/>
    <w:p w14:paraId="72FE6A20">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79" w:name="_Toc489868852"/>
      <w:bookmarkStart w:id="280" w:name="_Toc502913930"/>
      <w:bookmarkStart w:id="281" w:name="_Toc488678920"/>
      <w:bookmarkStart w:id="282" w:name="_Toc514088807"/>
      <w:r>
        <w:rPr>
          <w:rFonts w:hint="eastAsia" w:ascii="宋体" w:hAnsi="宋体" w:eastAsia="宋体"/>
          <w:color w:val="auto"/>
          <w:sz w:val="21"/>
          <w:szCs w:val="21"/>
          <w:highlight w:val="none"/>
        </w:rPr>
        <w:t>37.质疑和投诉</w:t>
      </w:r>
      <w:bookmarkEnd w:id="279"/>
      <w:bookmarkEnd w:id="280"/>
      <w:bookmarkEnd w:id="281"/>
      <w:bookmarkEnd w:id="282"/>
    </w:p>
    <w:p w14:paraId="1132186C">
      <w:pPr>
        <w:pageBreakBefore w:val="0"/>
        <w:widowControl w:val="0"/>
        <w:kinsoku/>
        <w:wordWrap/>
        <w:overflowPunct/>
        <w:topLinePunct w:val="0"/>
        <w:bidi w:val="0"/>
        <w:spacing w:line="360" w:lineRule="auto"/>
        <w:ind w:left="0" w:leftChars="0" w:firstLine="422" w:firstLineChars="200"/>
        <w:rPr>
          <w:rFonts w:ascii="宋体" w:hAnsi="宋体"/>
          <w:color w:val="auto"/>
          <w:sz w:val="21"/>
          <w:szCs w:val="21"/>
          <w:highlight w:val="none"/>
        </w:rPr>
      </w:pPr>
      <w:r>
        <w:rPr>
          <w:rFonts w:hint="eastAsia" w:ascii="宋体" w:hAnsi="宋体"/>
          <w:b/>
          <w:color w:val="auto"/>
          <w:sz w:val="21"/>
          <w:szCs w:val="21"/>
          <w:highlight w:val="none"/>
        </w:rPr>
        <w:t>37.1</w:t>
      </w:r>
      <w:r>
        <w:rPr>
          <w:rFonts w:hint="eastAsia" w:ascii="宋体" w:hAnsi="宋体"/>
          <w:color w:val="auto"/>
          <w:sz w:val="21"/>
          <w:szCs w:val="21"/>
          <w:highlight w:val="none"/>
        </w:rPr>
        <w:t>质疑、投诉的接收和处理严格按照</w:t>
      </w:r>
      <w:r>
        <w:rPr>
          <w:rFonts w:hint="eastAsia" w:ascii="宋体" w:hAnsi="宋体"/>
          <w:color w:val="auto"/>
          <w:sz w:val="21"/>
          <w:szCs w:val="21"/>
          <w:highlight w:val="none"/>
          <w:lang w:val="en-US" w:eastAsia="zh-CN"/>
        </w:rPr>
        <w:t>政府采购的</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规定办理。</w:t>
      </w:r>
    </w:p>
    <w:p w14:paraId="5E2B2B30">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83" w:name="_Toc514088808"/>
      <w:bookmarkStart w:id="284" w:name="_Toc502913931"/>
      <w:r>
        <w:rPr>
          <w:rFonts w:hint="eastAsia" w:ascii="宋体" w:hAnsi="宋体" w:eastAsia="宋体"/>
          <w:color w:val="auto"/>
          <w:sz w:val="21"/>
          <w:szCs w:val="21"/>
          <w:highlight w:val="none"/>
        </w:rPr>
        <w:t>十一、保密</w:t>
      </w:r>
      <w:bookmarkEnd w:id="283"/>
      <w:bookmarkEnd w:id="284"/>
    </w:p>
    <w:p w14:paraId="533757FD">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85" w:name="_Toc502913932"/>
      <w:bookmarkStart w:id="286" w:name="_Toc488678922"/>
      <w:bookmarkStart w:id="287" w:name="_Toc514088809"/>
      <w:bookmarkStart w:id="288" w:name="_Toc489868854"/>
      <w:r>
        <w:rPr>
          <w:rFonts w:hint="eastAsia" w:ascii="宋体" w:hAnsi="宋体" w:eastAsia="宋体"/>
          <w:color w:val="auto"/>
          <w:sz w:val="21"/>
          <w:szCs w:val="21"/>
          <w:highlight w:val="none"/>
        </w:rPr>
        <w:t>38. 保密申请支付</w:t>
      </w:r>
      <w:bookmarkEnd w:id="285"/>
      <w:bookmarkEnd w:id="286"/>
      <w:bookmarkEnd w:id="287"/>
      <w:bookmarkEnd w:id="288"/>
    </w:p>
    <w:p w14:paraId="2BAC006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.1</w:t>
      </w:r>
      <w:r>
        <w:rPr>
          <w:rFonts w:hint="eastAsia" w:ascii="宋体" w:hAnsi="宋体"/>
          <w:color w:val="auto"/>
          <w:sz w:val="21"/>
          <w:szCs w:val="21"/>
          <w:highlight w:val="none"/>
        </w:rPr>
        <w:t>、有关购买竞争性磋商文件的潜在供应商的任何情况均不得透露给任何其他的购买竞争性磋商文件的人。</w:t>
      </w:r>
    </w:p>
    <w:p w14:paraId="4EED7C8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.2</w:t>
      </w:r>
      <w:r>
        <w:rPr>
          <w:rFonts w:hint="eastAsia" w:ascii="宋体" w:hAnsi="宋体"/>
          <w:color w:val="auto"/>
          <w:sz w:val="21"/>
          <w:szCs w:val="21"/>
          <w:highlight w:val="none"/>
        </w:rPr>
        <w:t>、有关响应文件的审查、澄清、评估和比较以及合同授予意向等情况都不得透露给任何供应商。</w:t>
      </w:r>
    </w:p>
    <w:p w14:paraId="61F446E1">
      <w:pPr>
        <w:pageBreakBefore w:val="0"/>
        <w:widowControl w:val="0"/>
        <w:tabs>
          <w:tab w:val="left" w:pos="777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.3</w:t>
      </w:r>
      <w:r>
        <w:rPr>
          <w:rFonts w:hint="eastAsia" w:ascii="宋体" w:hAnsi="宋体"/>
          <w:color w:val="auto"/>
          <w:sz w:val="21"/>
          <w:szCs w:val="21"/>
          <w:highlight w:val="none"/>
        </w:rPr>
        <w:t>、供应商不得以任何方式干扰磋商活动，否则其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无效并追究其法律责任。</w:t>
      </w:r>
    </w:p>
    <w:p w14:paraId="14AD27C8">
      <w:pPr>
        <w:pStyle w:val="3"/>
        <w:pageBreakBefore w:val="0"/>
        <w:widowControl w:val="0"/>
        <w:kinsoku/>
        <w:wordWrap/>
        <w:overflowPunct/>
        <w:topLinePunct w:val="0"/>
        <w:bidi w:val="0"/>
        <w:spacing w:before="0" w:after="0" w:line="360" w:lineRule="auto"/>
        <w:ind w:left="0" w:leftChars="0" w:firstLine="420" w:firstLineChars="200"/>
        <w:rPr>
          <w:color w:val="auto"/>
          <w:highlight w:val="none"/>
        </w:rPr>
      </w:pPr>
      <w:r>
        <w:rPr>
          <w:rFonts w:ascii="宋体" w:hAnsi="宋体" w:eastAsia="宋体"/>
          <w:b w:val="0"/>
          <w:color w:val="auto"/>
          <w:sz w:val="21"/>
          <w:szCs w:val="21"/>
          <w:highlight w:val="none"/>
        </w:rPr>
        <w:t>3</w:t>
      </w:r>
      <w:r>
        <w:rPr>
          <w:rFonts w:hint="eastAsia" w:ascii="宋体" w:hAnsi="宋体" w:eastAsia="宋体"/>
          <w:b w:val="0"/>
          <w:color w:val="auto"/>
          <w:sz w:val="21"/>
          <w:szCs w:val="21"/>
          <w:highlight w:val="none"/>
        </w:rPr>
        <w:t>8</w:t>
      </w:r>
      <w:r>
        <w:rPr>
          <w:rFonts w:ascii="宋体" w:hAnsi="宋体" w:eastAsia="宋体"/>
          <w:b w:val="0"/>
          <w:color w:val="auto"/>
          <w:sz w:val="21"/>
          <w:szCs w:val="21"/>
          <w:highlight w:val="none"/>
        </w:rPr>
        <w:t>.4</w:t>
      </w:r>
      <w:r>
        <w:rPr>
          <w:rFonts w:hint="eastAsia" w:ascii="宋体" w:hAnsi="宋体" w:eastAsia="宋体"/>
          <w:b w:val="0"/>
          <w:color w:val="auto"/>
          <w:sz w:val="21"/>
          <w:szCs w:val="21"/>
          <w:highlight w:val="none"/>
        </w:rPr>
        <w:t>、采购代理机构将指定专人负责评</w:t>
      </w:r>
      <w:r>
        <w:rPr>
          <w:rFonts w:hint="eastAsia" w:ascii="宋体" w:hAnsi="宋体" w:eastAsia="宋体"/>
          <w:b w:val="0"/>
          <w:color w:val="auto"/>
          <w:sz w:val="21"/>
          <w:szCs w:val="21"/>
          <w:highlight w:val="none"/>
          <w:lang w:val="en-US" w:eastAsia="zh-CN"/>
        </w:rPr>
        <w:t>审</w:t>
      </w:r>
      <w:r>
        <w:rPr>
          <w:rFonts w:hint="eastAsia" w:ascii="宋体" w:hAnsi="宋体" w:eastAsia="宋体"/>
          <w:b w:val="0"/>
          <w:color w:val="auto"/>
          <w:sz w:val="21"/>
          <w:szCs w:val="21"/>
          <w:highlight w:val="none"/>
        </w:rPr>
        <w:t>过程中的全部联系工作。</w:t>
      </w:r>
    </w:p>
    <w:p w14:paraId="2B0E470D">
      <w:pPr>
        <w:pStyle w:val="2"/>
        <w:spacing w:before="0" w:beforeAutospacing="0" w:after="312" w:afterAutospacing="0" w:line="360" w:lineRule="exact"/>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br w:type="page"/>
      </w:r>
      <w:bookmarkStart w:id="289" w:name="_Toc13987"/>
    </w:p>
    <w:p w14:paraId="124767A6">
      <w:pPr>
        <w:rPr>
          <w:rFonts w:hint="eastAsia" w:eastAsia="宋体"/>
          <w:highlight w:val="none"/>
          <w:lang w:val="en-US" w:eastAsia="zh-CN"/>
        </w:rPr>
      </w:pPr>
    </w:p>
    <w:p w14:paraId="32D05979">
      <w:pPr>
        <w:pStyle w:val="2"/>
        <w:spacing w:before="0" w:beforeAutospacing="0" w:after="312" w:afterAutospacing="0" w:line="360" w:lineRule="exact"/>
        <w:jc w:val="center"/>
        <w:outlineLvl w:val="0"/>
        <w:rPr>
          <w:rFonts w:hint="eastAsia" w:ascii="宋体" w:hAnsi="宋体" w:eastAsia="宋体" w:cs="Times New Roman"/>
          <w:b/>
          <w:bCs w:val="0"/>
          <w:color w:val="auto"/>
          <w:spacing w:val="-2"/>
          <w:kern w:val="0"/>
          <w:sz w:val="36"/>
          <w:szCs w:val="20"/>
          <w:highlight w:val="none"/>
          <w:lang w:val="en-US" w:eastAsia="zh-CN" w:bidi="ar-SA"/>
        </w:rPr>
      </w:pPr>
      <w:r>
        <w:rPr>
          <w:rFonts w:hint="eastAsia" w:ascii="宋体" w:hAnsi="宋体" w:eastAsia="宋体" w:cs="Times New Roman"/>
          <w:b/>
          <w:bCs w:val="0"/>
          <w:color w:val="auto"/>
          <w:spacing w:val="-2"/>
          <w:kern w:val="0"/>
          <w:sz w:val="36"/>
          <w:szCs w:val="20"/>
          <w:highlight w:val="none"/>
          <w:lang w:val="en-US" w:eastAsia="zh-CN" w:bidi="ar-SA"/>
        </w:rPr>
        <w:t>第三章</w:t>
      </w:r>
      <w:r>
        <w:rPr>
          <w:rFonts w:hint="eastAsia" w:ascii="宋体" w:hAnsi="宋体" w:cs="Times New Roman"/>
          <w:b/>
          <w:bCs w:val="0"/>
          <w:color w:val="auto"/>
          <w:spacing w:val="-2"/>
          <w:kern w:val="0"/>
          <w:sz w:val="36"/>
          <w:szCs w:val="20"/>
          <w:highlight w:val="none"/>
          <w:lang w:val="en-US" w:eastAsia="zh-CN" w:bidi="ar-SA"/>
        </w:rPr>
        <w:t xml:space="preserve"> </w:t>
      </w:r>
      <w:r>
        <w:rPr>
          <w:rFonts w:hint="eastAsia" w:ascii="宋体" w:hAnsi="宋体" w:eastAsia="宋体" w:cs="Times New Roman"/>
          <w:b/>
          <w:bCs w:val="0"/>
          <w:color w:val="auto"/>
          <w:spacing w:val="-2"/>
          <w:kern w:val="0"/>
          <w:sz w:val="36"/>
          <w:szCs w:val="20"/>
          <w:highlight w:val="none"/>
          <w:lang w:val="en-US" w:eastAsia="zh-CN" w:bidi="ar-SA"/>
        </w:rPr>
        <w:t>评</w:t>
      </w:r>
      <w:r>
        <w:rPr>
          <w:rFonts w:hint="eastAsia" w:ascii="宋体" w:hAnsi="宋体" w:cs="Times New Roman"/>
          <w:b/>
          <w:bCs w:val="0"/>
          <w:color w:val="auto"/>
          <w:spacing w:val="-2"/>
          <w:kern w:val="0"/>
          <w:sz w:val="36"/>
          <w:szCs w:val="20"/>
          <w:highlight w:val="none"/>
          <w:lang w:val="en-US" w:eastAsia="zh-CN" w:bidi="ar-SA"/>
        </w:rPr>
        <w:t>审</w:t>
      </w:r>
      <w:r>
        <w:rPr>
          <w:rFonts w:hint="eastAsia" w:ascii="宋体" w:hAnsi="宋体" w:eastAsia="宋体" w:cs="Times New Roman"/>
          <w:b/>
          <w:bCs w:val="0"/>
          <w:color w:val="auto"/>
          <w:spacing w:val="-2"/>
          <w:kern w:val="0"/>
          <w:sz w:val="36"/>
          <w:szCs w:val="20"/>
          <w:highlight w:val="none"/>
          <w:lang w:val="en-US" w:eastAsia="zh-CN" w:bidi="ar-SA"/>
        </w:rPr>
        <w:t>办法</w:t>
      </w:r>
      <w:bookmarkEnd w:id="289"/>
    </w:p>
    <w:p w14:paraId="10B33594">
      <w:pPr>
        <w:spacing w:beforeAutospacing="0"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1. 总则</w:t>
      </w:r>
    </w:p>
    <w:p w14:paraId="0AD41CB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 根据</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法律规章，结合采购项目特点制定本评标办法。</w:t>
      </w:r>
    </w:p>
    <w:p w14:paraId="3F51CBA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1.2 </w:t>
      </w:r>
      <w:r>
        <w:rPr>
          <w:rFonts w:hint="eastAsia" w:ascii="宋体" w:hAnsi="宋体"/>
          <w:bCs/>
          <w:color w:val="auto"/>
          <w:sz w:val="21"/>
          <w:szCs w:val="21"/>
          <w:highlight w:val="none"/>
        </w:rPr>
        <w:t>磋商工作由采购人</w:t>
      </w:r>
      <w:r>
        <w:rPr>
          <w:rFonts w:hint="eastAsia" w:ascii="宋体" w:hAnsi="宋体"/>
          <w:bCs/>
          <w:color w:val="auto"/>
          <w:sz w:val="21"/>
          <w:szCs w:val="21"/>
          <w:highlight w:val="none"/>
          <w:lang w:val="en-US" w:eastAsia="zh-CN"/>
        </w:rPr>
        <w:t>或招标代理机构</w:t>
      </w:r>
      <w:r>
        <w:rPr>
          <w:rFonts w:hint="eastAsia" w:ascii="宋体" w:hAnsi="宋体"/>
          <w:bCs/>
          <w:color w:val="auto"/>
          <w:sz w:val="21"/>
          <w:szCs w:val="21"/>
          <w:highlight w:val="none"/>
        </w:rPr>
        <w:t>负责组织，具体磋商事务由采购人</w:t>
      </w:r>
      <w:r>
        <w:rPr>
          <w:rFonts w:hint="eastAsia" w:ascii="宋体" w:hAnsi="宋体"/>
          <w:bCs/>
          <w:color w:val="auto"/>
          <w:sz w:val="21"/>
          <w:szCs w:val="21"/>
          <w:highlight w:val="none"/>
          <w:lang w:val="en-US" w:eastAsia="zh-CN"/>
        </w:rPr>
        <w:t>或招标代理机构</w:t>
      </w:r>
      <w:r>
        <w:rPr>
          <w:rFonts w:hint="eastAsia" w:ascii="宋体" w:hAnsi="宋体"/>
          <w:bCs/>
          <w:color w:val="auto"/>
          <w:sz w:val="21"/>
          <w:szCs w:val="21"/>
          <w:highlight w:val="none"/>
        </w:rPr>
        <w:t>依法组建的磋商小组负责。磋商小组由有关技术、经济等方面的专家组成。</w:t>
      </w:r>
    </w:p>
    <w:p w14:paraId="6080B14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 磋商工作应遵循公平、公正、科学及择优的原则，并以相同的磋商程序和标准对待所有的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p>
    <w:p w14:paraId="2A5EDEEB">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1.4 </w:t>
      </w:r>
      <w:r>
        <w:rPr>
          <w:rFonts w:hint="eastAsia" w:ascii="宋体" w:hAnsi="宋体"/>
          <w:bCs/>
          <w:color w:val="auto"/>
          <w:sz w:val="21"/>
          <w:szCs w:val="21"/>
          <w:highlight w:val="none"/>
        </w:rPr>
        <w:t>磋商小组</w:t>
      </w:r>
      <w:r>
        <w:rPr>
          <w:rFonts w:hint="eastAsia" w:ascii="宋体" w:hAnsi="宋体"/>
          <w:color w:val="auto"/>
          <w:sz w:val="21"/>
          <w:szCs w:val="21"/>
          <w:highlight w:val="none"/>
        </w:rPr>
        <w:t>按照磋商文件规定的方法和标准进行评标，并独立履行下列职责：</w:t>
      </w:r>
    </w:p>
    <w:p w14:paraId="1357AD28">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（1）审查响应文件是否符合磋商文件要求，并作出评价；</w:t>
      </w:r>
    </w:p>
    <w:p w14:paraId="4414103B">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（2）要求供应商对响应文件有关事项作出解释或者澄清；</w:t>
      </w:r>
    </w:p>
    <w:p w14:paraId="35D12C62">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（3）推荐成交候选供应商名单；</w:t>
      </w:r>
    </w:p>
    <w:p w14:paraId="10B92848">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（4）向采购单位或者有关部门报告非法干预评标工作的行为。</w:t>
      </w:r>
    </w:p>
    <w:p w14:paraId="75A0807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 磋商过程严格保密。供应商对磋商小组的评标过程或合同授予决定施加影响的任何行为都可能导致其被拒绝。</w:t>
      </w:r>
    </w:p>
    <w:p w14:paraId="588A4D7E">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w:t>
      </w:r>
      <w:r>
        <w:rPr>
          <w:rFonts w:hint="eastAsia" w:ascii="宋体" w:hAnsi="宋体"/>
          <w:bCs/>
          <w:color w:val="auto"/>
          <w:sz w:val="21"/>
          <w:szCs w:val="21"/>
          <w:highlight w:val="none"/>
        </w:rPr>
        <w:t>磋商小组</w:t>
      </w:r>
      <w:r>
        <w:rPr>
          <w:rFonts w:hint="eastAsia" w:ascii="宋体" w:hAnsi="宋体"/>
          <w:color w:val="auto"/>
          <w:sz w:val="21"/>
          <w:szCs w:val="21"/>
          <w:highlight w:val="none"/>
        </w:rPr>
        <w:t>决定响应文件的响应性依据响应文件本身的内容，而不寻求外部的证据。</w:t>
      </w:r>
    </w:p>
    <w:p w14:paraId="5FDF4CC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hint="eastAsia" w:ascii="宋体" w:hAnsi="宋体"/>
          <w:bCs/>
          <w:color w:val="auto"/>
          <w:sz w:val="21"/>
          <w:szCs w:val="21"/>
          <w:highlight w:val="none"/>
        </w:rPr>
        <w:t>磋商小组</w:t>
      </w:r>
      <w:r>
        <w:rPr>
          <w:rFonts w:hint="eastAsia" w:ascii="宋体" w:hAnsi="宋体"/>
          <w:color w:val="auto"/>
          <w:sz w:val="21"/>
          <w:szCs w:val="21"/>
          <w:highlight w:val="none"/>
        </w:rPr>
        <w:t>发现磋商文件表述不明确或需要说明的事项，可提请采购单位书面解释说明。发现磋商文件违反有关法律、法规和规章的，可以拒绝评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，并向招标采购单位书面说明情况。</w:t>
      </w:r>
    </w:p>
    <w:p w14:paraId="3C859CBE">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2. 磋商程序</w:t>
      </w:r>
    </w:p>
    <w:p w14:paraId="1B14BFC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2.1响应文件初审。初审分为资格性检查和符合性检查。</w:t>
      </w:r>
    </w:p>
    <w:p w14:paraId="0C32B8D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2.1.1资格性检查。依据法律法规和磋商文件的规定，对响应文件中的资格证明、磋商保证金等进行审查，以确定供应商是否具备响应资格。响应文件属于下列情况之一的，在资格性检查时按照无效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622A035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）未按照磋商文件规定交纳磋商保证金的；</w:t>
      </w:r>
    </w:p>
    <w:p w14:paraId="5DD55B5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）未按照磋商文件规定和要求制作、签署、盖章的</w:t>
      </w:r>
      <w:r>
        <w:rPr>
          <w:rFonts w:ascii="宋体" w:hAnsi="宋体"/>
          <w:color w:val="auto"/>
          <w:sz w:val="21"/>
          <w:szCs w:val="21"/>
          <w:highlight w:val="none"/>
        </w:rPr>
        <w:t>;</w:t>
      </w:r>
    </w:p>
    <w:p w14:paraId="38A351AE">
      <w:pPr>
        <w:spacing w:line="4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）不具备磋商文件中规定的资格条件和要求的</w:t>
      </w:r>
      <w:r>
        <w:rPr>
          <w:rFonts w:hint="eastAsia" w:ascii="宋体" w:hAnsi="宋体"/>
          <w:color w:val="auto"/>
          <w:sz w:val="21"/>
          <w:szCs w:val="21"/>
          <w:highlight w:val="none"/>
          <w:lang w:eastAsia="zh-CN"/>
        </w:rPr>
        <w:t>；</w:t>
      </w:r>
    </w:p>
    <w:p w14:paraId="1A24DD66">
      <w:pPr>
        <w:spacing w:line="400" w:lineRule="exact"/>
        <w:ind w:firstLine="420" w:firstLineChars="200"/>
        <w:rPr>
          <w:rFonts w:ascii="宋体" w:hAnsi="宋体"/>
          <w:bCs/>
          <w:color w:val="auto"/>
          <w:kern w:val="0"/>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）响应</w:t>
      </w:r>
      <w:r>
        <w:rPr>
          <w:rFonts w:ascii="宋体" w:hAnsi="宋体"/>
          <w:color w:val="auto"/>
          <w:sz w:val="21"/>
          <w:szCs w:val="21"/>
          <w:highlight w:val="none"/>
        </w:rPr>
        <w:t>文件无法定代表人签字,或未</w:t>
      </w:r>
      <w:r>
        <w:rPr>
          <w:rFonts w:hint="eastAsia" w:ascii="宋体" w:hAnsi="宋体"/>
          <w:bCs/>
          <w:color w:val="auto"/>
          <w:kern w:val="0"/>
          <w:sz w:val="21"/>
          <w:szCs w:val="21"/>
          <w:highlight w:val="none"/>
        </w:rPr>
        <w:t>提供法定代表人授权委托书、声明书或者填写项目不齐全的；</w:t>
      </w:r>
    </w:p>
    <w:p w14:paraId="1F4E18D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）响应代表人未能出具身份证明或与法定代表人授权委托人身份不符的；</w:t>
      </w:r>
    </w:p>
    <w:p w14:paraId="3656E6DC">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）未按照磋商文件规定的格式要求编制的；</w:t>
      </w:r>
    </w:p>
    <w:p w14:paraId="4AF86C6D">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）响应</w:t>
      </w:r>
      <w:r>
        <w:rPr>
          <w:rFonts w:ascii="宋体" w:hAnsi="宋体"/>
          <w:color w:val="auto"/>
          <w:sz w:val="21"/>
          <w:szCs w:val="21"/>
          <w:highlight w:val="none"/>
        </w:rPr>
        <w:t>文件的实质性内容未使用中文表述、意思表述不明确、前后矛盾或者使用计量单位不符合</w:t>
      </w:r>
      <w:r>
        <w:rPr>
          <w:rFonts w:hint="eastAsia" w:ascii="宋体" w:hAnsi="宋体"/>
          <w:color w:val="auto"/>
          <w:sz w:val="21"/>
          <w:szCs w:val="21"/>
          <w:highlight w:val="none"/>
        </w:rPr>
        <w:t>磋商</w:t>
      </w:r>
      <w:r>
        <w:rPr>
          <w:rFonts w:ascii="宋体" w:hAnsi="宋体"/>
          <w:color w:val="auto"/>
          <w:sz w:val="21"/>
          <w:szCs w:val="21"/>
          <w:highlight w:val="none"/>
        </w:rPr>
        <w:t>文件要求的</w:t>
      </w:r>
      <w:r>
        <w:rPr>
          <w:rFonts w:hint="eastAsia" w:ascii="宋体" w:hAnsi="宋体"/>
          <w:color w:val="auto"/>
          <w:sz w:val="21"/>
          <w:szCs w:val="21"/>
          <w:highlight w:val="none"/>
          <w:lang w:eastAsia="zh-CN"/>
        </w:rPr>
        <w:t>；</w:t>
      </w:r>
      <w:r>
        <w:rPr>
          <w:rFonts w:ascii="宋体" w:hAnsi="宋体"/>
          <w:color w:val="auto"/>
          <w:sz w:val="21"/>
          <w:szCs w:val="21"/>
          <w:highlight w:val="none"/>
        </w:rPr>
        <w:t>（经</w:t>
      </w:r>
      <w:r>
        <w:rPr>
          <w:rFonts w:hint="eastAsia" w:ascii="宋体" w:hAnsi="宋体"/>
          <w:bCs/>
          <w:color w:val="auto"/>
          <w:sz w:val="21"/>
          <w:szCs w:val="21"/>
          <w:highlight w:val="none"/>
        </w:rPr>
        <w:t>磋商小组</w:t>
      </w:r>
      <w:r>
        <w:rPr>
          <w:rFonts w:ascii="宋体" w:hAnsi="宋体"/>
          <w:color w:val="auto"/>
          <w:sz w:val="21"/>
          <w:szCs w:val="21"/>
          <w:highlight w:val="none"/>
        </w:rPr>
        <w:t>认定允许其当场更正的笔误除外）</w:t>
      </w:r>
    </w:p>
    <w:p w14:paraId="24E32263">
      <w:pPr>
        <w:spacing w:line="400" w:lineRule="exact"/>
        <w:ind w:firstLine="420" w:firstLineChars="200"/>
        <w:rPr>
          <w:rFonts w:ascii="宋体" w:hAnsi="宋体"/>
          <w:snapToGrid w:val="0"/>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有效期、交货时间、质保期等商务条款不能满足</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文件要求的；</w:t>
      </w:r>
    </w:p>
    <w:p w14:paraId="071536C4">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ascii="宋体" w:hAnsi="宋体"/>
          <w:color w:val="auto"/>
          <w:sz w:val="21"/>
          <w:szCs w:val="21"/>
          <w:highlight w:val="none"/>
        </w:rPr>
        <w:t>报价超出标底，或者超出</w:t>
      </w:r>
      <w:r>
        <w:rPr>
          <w:rFonts w:hint="eastAsia" w:ascii="宋体" w:hAnsi="宋体"/>
          <w:color w:val="auto"/>
          <w:sz w:val="21"/>
          <w:szCs w:val="21"/>
          <w:highlight w:val="none"/>
          <w:lang w:eastAsia="zh-CN"/>
        </w:rPr>
        <w:t>预算金额</w:t>
      </w:r>
      <w:r>
        <w:rPr>
          <w:rFonts w:ascii="宋体" w:hAnsi="宋体"/>
          <w:color w:val="auto"/>
          <w:sz w:val="21"/>
          <w:szCs w:val="21"/>
          <w:highlight w:val="none"/>
        </w:rPr>
        <w:t>(自主创新产品除外)采购人不能支付的（如需要，由采购人确定是否选用）</w:t>
      </w:r>
    </w:p>
    <w:p w14:paraId="4459CF54">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）不符合法律法规和磋商文件中规定的其他实质性要求的；</w:t>
      </w:r>
    </w:p>
    <w:p w14:paraId="28C5EC63">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）磋商文件规定的其他无效</w:t>
      </w:r>
      <w:r>
        <w:rPr>
          <w:rFonts w:hint="eastAsia" w:ascii="宋体" w:hAnsi="宋体"/>
          <w:color w:val="auto"/>
          <w:sz w:val="21"/>
          <w:szCs w:val="21"/>
          <w:highlight w:val="none"/>
          <w:lang w:val="en-US" w:eastAsia="zh-CN"/>
        </w:rPr>
        <w:t>响应的</w:t>
      </w:r>
      <w:r>
        <w:rPr>
          <w:rFonts w:hint="eastAsia" w:ascii="宋体" w:hAnsi="宋体"/>
          <w:color w:val="auto"/>
          <w:sz w:val="21"/>
          <w:szCs w:val="21"/>
          <w:highlight w:val="none"/>
        </w:rPr>
        <w:t>情形。</w:t>
      </w:r>
    </w:p>
    <w:p w14:paraId="69D95FF8">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2.1.2符合性检查。依据磋商文件的规定，从响应文件的有效性、完整性和对磋商文件的响应程度进行审查，以确定是否对磋商文件的实质性要求作出响应。供应商响应文件属于下列情况之一的，在符合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6FAAE090">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（1）磋商报价不符合</w:t>
      </w:r>
      <w:r>
        <w:rPr>
          <w:rFonts w:hint="eastAsia" w:ascii="宋体" w:hAnsi="宋体"/>
          <w:color w:val="auto"/>
          <w:sz w:val="21"/>
          <w:szCs w:val="21"/>
          <w:highlight w:val="none"/>
          <w:lang w:eastAsia="zh-CN"/>
        </w:rPr>
        <w:t>竞争性磋</w:t>
      </w:r>
      <w:r>
        <w:rPr>
          <w:rFonts w:hint="eastAsia" w:ascii="宋体" w:hAnsi="宋体" w:eastAsia="宋体" w:cs="Times New Roman"/>
          <w:color w:val="auto"/>
          <w:sz w:val="21"/>
          <w:szCs w:val="21"/>
          <w:highlight w:val="none"/>
          <w:lang w:eastAsia="zh-CN"/>
        </w:rPr>
        <w:t>商文件</w:t>
      </w:r>
      <w:r>
        <w:rPr>
          <w:rFonts w:hint="eastAsia" w:ascii="宋体" w:hAnsi="宋体" w:eastAsia="宋体" w:cs="Times New Roman"/>
          <w:color w:val="auto"/>
          <w:sz w:val="21"/>
          <w:szCs w:val="21"/>
          <w:highlight w:val="none"/>
        </w:rPr>
        <w:t>规定的价格标的；</w:t>
      </w:r>
    </w:p>
    <w:p w14:paraId="73FD6F62">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（2）磋商产品技术参数指标完全或者绝大部分复制磋商文件对磋商项目的要求；</w:t>
      </w:r>
    </w:p>
    <w:p w14:paraId="7262052B">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（3）产品的技术规格、技术标准或</w:t>
      </w:r>
      <w:r>
        <w:rPr>
          <w:rFonts w:hint="eastAsia" w:ascii="宋体" w:hAnsi="宋体" w:eastAsia="宋体" w:cs="Times New Roman"/>
          <w:color w:val="auto"/>
          <w:sz w:val="21"/>
          <w:szCs w:val="21"/>
          <w:highlight w:val="none"/>
          <w:lang w:eastAsia="zh-CN"/>
        </w:rPr>
        <w:t>采购需求</w:t>
      </w:r>
      <w:r>
        <w:rPr>
          <w:rFonts w:hint="eastAsia" w:ascii="宋体" w:hAnsi="宋体" w:eastAsia="宋体" w:cs="Times New Roman"/>
          <w:color w:val="auto"/>
          <w:sz w:val="21"/>
          <w:szCs w:val="21"/>
          <w:highlight w:val="none"/>
        </w:rPr>
        <w:t>明显不符合磋商项目的要求；</w:t>
      </w:r>
    </w:p>
    <w:p w14:paraId="15CB262E">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（4）未载明或者载明的招标项目履约时间、方式、数量及其他采购合同实质性内容与</w:t>
      </w:r>
      <w:r>
        <w:rPr>
          <w:rFonts w:hint="eastAsia" w:ascii="宋体" w:hAnsi="宋体" w:eastAsia="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要求不一致，且招标采购单位无法接受的；</w:t>
      </w:r>
    </w:p>
    <w:p w14:paraId="6A69A7FC">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（5）附有采购人不能接受的条件或者不符合磋商文件规定的其他实质性要求。</w:t>
      </w:r>
    </w:p>
    <w:p w14:paraId="46632674">
      <w:pPr>
        <w:pStyle w:val="21"/>
        <w:tabs>
          <w:tab w:val="left" w:pos="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2.1.3在响应文件初审过程中，如果出现</w:t>
      </w:r>
      <w:r>
        <w:rPr>
          <w:rFonts w:hint="eastAsia" w:ascii="宋体" w:hAnsi="宋体"/>
          <w:bCs/>
          <w:color w:val="auto"/>
          <w:sz w:val="21"/>
          <w:szCs w:val="21"/>
          <w:highlight w:val="none"/>
        </w:rPr>
        <w:t>磋商小组</w:t>
      </w:r>
      <w:r>
        <w:rPr>
          <w:rFonts w:hint="eastAsia" w:ascii="宋体" w:hAnsi="宋体"/>
          <w:color w:val="auto"/>
          <w:sz w:val="21"/>
          <w:szCs w:val="21"/>
          <w:highlight w:val="none"/>
        </w:rPr>
        <w:t>成员意见不一致的情况，按照少数服从多数的原则确定，但不得违背采购基本原则和磋商文件规定。</w:t>
      </w:r>
    </w:p>
    <w:p w14:paraId="395E3743">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2.2澄清有关问题。对响应文件中含义不明确、同类问题表述不一致或者有明显文字和计算错误的内容，</w:t>
      </w:r>
      <w:r>
        <w:rPr>
          <w:rFonts w:hint="eastAsia" w:ascii="宋体" w:hAnsi="宋体"/>
          <w:bCs/>
          <w:color w:val="auto"/>
          <w:sz w:val="21"/>
          <w:szCs w:val="21"/>
          <w:highlight w:val="none"/>
        </w:rPr>
        <w:t>磋商小组</w:t>
      </w:r>
      <w:r>
        <w:rPr>
          <w:rFonts w:hint="eastAsia" w:ascii="宋体" w:hAnsi="宋体"/>
          <w:color w:val="auto"/>
          <w:sz w:val="21"/>
          <w:szCs w:val="21"/>
          <w:highlight w:val="none"/>
        </w:rPr>
        <w:t>可以书面形式（应当由</w:t>
      </w:r>
      <w:r>
        <w:rPr>
          <w:rFonts w:hint="eastAsia" w:ascii="宋体" w:hAnsi="宋体"/>
          <w:bCs/>
          <w:color w:val="auto"/>
          <w:sz w:val="21"/>
          <w:szCs w:val="21"/>
          <w:highlight w:val="none"/>
        </w:rPr>
        <w:t>磋商小组</w:t>
      </w:r>
      <w:r>
        <w:rPr>
          <w:rFonts w:hint="eastAsia" w:ascii="宋体" w:hAnsi="宋体"/>
          <w:color w:val="auto"/>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0601E459">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比较与评价。按磋商文件中规定的方法和标准，对资格性检查和符合性检查合格的响应文件进行商务和技术评估，综合比较与评价。</w:t>
      </w:r>
    </w:p>
    <w:p w14:paraId="45F6FAA2">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推荐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候选供应商名单。</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候选供应商数量应当根据采购需要确定，但必须按顺序排列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w:t>
      </w:r>
    </w:p>
    <w:p w14:paraId="12655CBA">
      <w:pPr>
        <w:pStyle w:val="21"/>
        <w:tabs>
          <w:tab w:val="left" w:pos="600"/>
        </w:tabs>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 评</w:t>
      </w:r>
      <w:r>
        <w:rPr>
          <w:rFonts w:hint="eastAsia" w:ascii="宋体" w:hAnsi="宋体"/>
          <w:b/>
          <w:color w:val="auto"/>
          <w:sz w:val="21"/>
          <w:szCs w:val="21"/>
          <w:highlight w:val="none"/>
          <w:lang w:val="en-US" w:eastAsia="zh-CN"/>
        </w:rPr>
        <w:t>审</w:t>
      </w:r>
      <w:r>
        <w:rPr>
          <w:rFonts w:hint="eastAsia" w:ascii="宋体" w:hAnsi="宋体"/>
          <w:b/>
          <w:color w:val="auto"/>
          <w:sz w:val="21"/>
          <w:szCs w:val="21"/>
          <w:highlight w:val="none"/>
        </w:rPr>
        <w:t>细则及标准如下：</w:t>
      </w:r>
    </w:p>
    <w:p w14:paraId="3B03F5B3">
      <w:pPr>
        <w:rPr>
          <w:rFonts w:ascii="宋体" w:hAnsi="宋体" w:eastAsia="宋体" w:cs="宋体"/>
          <w:color w:val="auto"/>
          <w:sz w:val="21"/>
          <w:szCs w:val="21"/>
          <w:highlight w:val="none"/>
        </w:rPr>
      </w:pPr>
      <w:bookmarkStart w:id="290" w:name="_Toc183682422"/>
      <w:bookmarkStart w:id="291" w:name="_Toc183582287"/>
      <w:bookmarkStart w:id="292" w:name="_Toc217446104"/>
      <w:r>
        <w:rPr>
          <w:rFonts w:hint="eastAsia" w:ascii="宋体" w:hAnsi="宋体" w:eastAsia="宋体" w:cs="宋体"/>
          <w:color w:val="auto"/>
          <w:sz w:val="21"/>
          <w:szCs w:val="21"/>
          <w:highlight w:val="none"/>
        </w:rPr>
        <w:t>以下评审内容中，如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或其</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未满足“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资格合格条件标准”的，按照无效</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14:paraId="55B8537B">
      <w:pPr>
        <w:rPr>
          <w:rFonts w:hint="eastAsia"/>
          <w:color w:val="auto"/>
          <w:sz w:val="24"/>
          <w:szCs w:val="24"/>
          <w:highlight w:val="none"/>
        </w:rPr>
      </w:pPr>
      <w:r>
        <w:rPr>
          <w:rFonts w:hint="eastAsia"/>
          <w:color w:val="auto"/>
          <w:sz w:val="24"/>
          <w:szCs w:val="24"/>
          <w:highlight w:val="none"/>
        </w:rPr>
        <w:br w:type="page"/>
      </w:r>
    </w:p>
    <w:p w14:paraId="637D05DF">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资格评审表</w:t>
      </w:r>
    </w:p>
    <w:tbl>
      <w:tblPr>
        <w:tblStyle w:val="5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23"/>
        <w:gridCol w:w="7310"/>
      </w:tblGrid>
      <w:tr w14:paraId="5A4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A4B6A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cs="宋体"/>
                <w:color w:val="auto"/>
                <w:spacing w:val="7"/>
                <w:sz w:val="21"/>
                <w:szCs w:val="21"/>
                <w:highlight w:val="none"/>
                <w:lang w:val="en-US" w:eastAsia="zh-CN"/>
              </w:rPr>
              <w:t>序号</w:t>
            </w:r>
          </w:p>
        </w:tc>
        <w:tc>
          <w:tcPr>
            <w:tcW w:w="1523" w:type="dxa"/>
            <w:vAlign w:val="center"/>
          </w:tcPr>
          <w:p w14:paraId="0A4F7D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审查内容</w:t>
            </w:r>
          </w:p>
        </w:tc>
        <w:tc>
          <w:tcPr>
            <w:tcW w:w="7310" w:type="dxa"/>
            <w:vAlign w:val="center"/>
          </w:tcPr>
          <w:p w14:paraId="16B3E7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审标准</w:t>
            </w:r>
          </w:p>
        </w:tc>
      </w:tr>
      <w:tr w14:paraId="57B7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28499F8D">
            <w:pPr>
              <w:autoSpaceDE w:val="0"/>
              <w:autoSpaceDN w:val="0"/>
              <w:adjustRightInd w:val="0"/>
              <w:spacing w:line="360" w:lineRule="auto"/>
              <w:jc w:val="center"/>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1</w:t>
            </w:r>
          </w:p>
        </w:tc>
        <w:tc>
          <w:tcPr>
            <w:tcW w:w="1523" w:type="dxa"/>
            <w:vAlign w:val="center"/>
          </w:tcPr>
          <w:p w14:paraId="55B1D4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Theme="minorEastAsia" w:hAnsiTheme="minorEastAsia" w:eastAsiaTheme="minorEastAsia"/>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业执照</w:t>
            </w:r>
          </w:p>
        </w:tc>
        <w:tc>
          <w:tcPr>
            <w:tcW w:w="7310" w:type="dxa"/>
            <w:vAlign w:val="center"/>
          </w:tcPr>
          <w:p w14:paraId="14280D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eastAsia="宋体" w:asciiTheme="minorEastAsia" w:hAnsiTheme="minorEastAsia"/>
                <w:color w:val="auto"/>
                <w:sz w:val="21"/>
                <w:szCs w:val="21"/>
                <w:highlight w:val="none"/>
                <w:lang w:eastAsia="zh-CN"/>
              </w:rPr>
            </w:pPr>
            <w:r>
              <w:rPr>
                <w:rFonts w:hint="eastAsia" w:ascii="宋体" w:hAnsi="宋体" w:eastAsia="宋体" w:cs="宋体"/>
                <w:color w:val="auto"/>
                <w:spacing w:val="8"/>
                <w:sz w:val="21"/>
                <w:szCs w:val="21"/>
                <w:highlight w:val="none"/>
              </w:rPr>
              <w:t>具有能够完成本项目的独立法人、其他组织，具备</w:t>
            </w:r>
            <w:r>
              <w:rPr>
                <w:rFonts w:hint="eastAsia" w:ascii="宋体" w:hAnsi="宋体" w:eastAsia="宋体" w:cs="宋体"/>
                <w:color w:val="auto"/>
                <w:spacing w:val="4"/>
                <w:sz w:val="21"/>
                <w:szCs w:val="21"/>
                <w:highlight w:val="none"/>
              </w:rPr>
              <w:t>有</w:t>
            </w:r>
            <w:r>
              <w:rPr>
                <w:rFonts w:hint="eastAsia" w:ascii="宋体" w:hAnsi="宋体" w:eastAsia="宋体" w:cs="宋体"/>
                <w:color w:val="auto"/>
                <w:spacing w:val="13"/>
                <w:sz w:val="21"/>
                <w:szCs w:val="21"/>
                <w:highlight w:val="none"/>
              </w:rPr>
              <w:t>效</w:t>
            </w:r>
            <w:r>
              <w:rPr>
                <w:rFonts w:hint="eastAsia" w:ascii="宋体" w:hAnsi="宋体" w:eastAsia="宋体" w:cs="宋体"/>
                <w:color w:val="auto"/>
                <w:spacing w:val="9"/>
                <w:sz w:val="21"/>
                <w:szCs w:val="21"/>
                <w:highlight w:val="none"/>
              </w:rPr>
              <w:t>的营业执照，</w:t>
            </w: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9"/>
                <w:sz w:val="21"/>
                <w:szCs w:val="21"/>
                <w:highlight w:val="none"/>
              </w:rPr>
              <w:t>文件中附复印件加盖公章</w:t>
            </w:r>
            <w:r>
              <w:rPr>
                <w:rFonts w:hint="eastAsia" w:ascii="宋体" w:hAnsi="宋体" w:eastAsia="宋体" w:cs="宋体"/>
                <w:color w:val="auto"/>
                <w:spacing w:val="9"/>
                <w:sz w:val="21"/>
                <w:szCs w:val="21"/>
                <w:highlight w:val="none"/>
                <w:lang w:eastAsia="zh-CN"/>
              </w:rPr>
              <w:t>。</w:t>
            </w:r>
          </w:p>
        </w:tc>
      </w:tr>
      <w:tr w14:paraId="78EA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B60BEA7">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w:t>
            </w:r>
          </w:p>
        </w:tc>
        <w:tc>
          <w:tcPr>
            <w:tcW w:w="1523" w:type="dxa"/>
            <w:vAlign w:val="center"/>
          </w:tcPr>
          <w:p w14:paraId="2B1AD32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Theme="minorEastAsia" w:hAnsiTheme="minorEastAsia" w:eastAsiaTheme="minorEastAsia"/>
                <w:color w:val="auto"/>
                <w:sz w:val="21"/>
                <w:szCs w:val="21"/>
                <w:highlight w:val="none"/>
                <w:lang w:val="en-US"/>
              </w:rPr>
            </w:pPr>
            <w:r>
              <w:rPr>
                <w:rFonts w:hint="eastAsia" w:ascii="宋体" w:hAnsi="宋体" w:cs="宋体"/>
                <w:color w:val="auto"/>
                <w:spacing w:val="7"/>
                <w:sz w:val="21"/>
                <w:szCs w:val="21"/>
                <w:highlight w:val="none"/>
                <w:lang w:val="en-US" w:eastAsia="zh-CN"/>
              </w:rPr>
              <w:t>供应商</w:t>
            </w:r>
            <w:r>
              <w:rPr>
                <w:rFonts w:hint="eastAsia" w:ascii="宋体" w:hAnsi="宋体" w:eastAsia="宋体" w:cs="宋体"/>
                <w:color w:val="auto"/>
                <w:spacing w:val="7"/>
                <w:sz w:val="21"/>
                <w:szCs w:val="21"/>
                <w:highlight w:val="none"/>
                <w:lang w:eastAsia="zh-CN"/>
              </w:rPr>
              <w:t>资格条件承诺函</w:t>
            </w:r>
          </w:p>
        </w:tc>
        <w:tc>
          <w:tcPr>
            <w:tcW w:w="7310" w:type="dxa"/>
            <w:vAlign w:val="center"/>
          </w:tcPr>
          <w:p w14:paraId="019769B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int="eastAsia"/>
                <w:color w:val="auto"/>
                <w:highlight w:val="none"/>
              </w:rPr>
            </w:pPr>
            <w:r>
              <w:rPr>
                <w:rFonts w:hint="eastAsia" w:ascii="宋体" w:hAnsi="宋体" w:eastAsia="宋体" w:cs="宋体"/>
                <w:color w:val="auto"/>
                <w:spacing w:val="7"/>
                <w:sz w:val="21"/>
                <w:szCs w:val="21"/>
                <w:highlight w:val="none"/>
              </w:rPr>
              <w:t>提供了符合</w:t>
            </w:r>
            <w:r>
              <w:rPr>
                <w:rFonts w:hint="eastAsia" w:ascii="宋体" w:hAnsi="宋体" w:cs="宋体"/>
                <w:color w:val="auto"/>
                <w:spacing w:val="7"/>
                <w:sz w:val="21"/>
                <w:szCs w:val="21"/>
                <w:highlight w:val="none"/>
                <w:lang w:val="en-US" w:eastAsia="zh-CN"/>
              </w:rPr>
              <w:t>磋商</w:t>
            </w:r>
            <w:r>
              <w:rPr>
                <w:rFonts w:hint="eastAsia" w:ascii="宋体" w:hAnsi="宋体" w:eastAsia="宋体" w:cs="宋体"/>
                <w:color w:val="auto"/>
                <w:spacing w:val="7"/>
                <w:sz w:val="21"/>
                <w:szCs w:val="21"/>
                <w:highlight w:val="none"/>
              </w:rPr>
              <w:t>文件要求的《</w:t>
            </w:r>
            <w:r>
              <w:rPr>
                <w:rFonts w:hint="eastAsia" w:ascii="宋体" w:hAnsi="宋体" w:eastAsia="宋体" w:cs="宋体"/>
                <w:color w:val="auto"/>
                <w:spacing w:val="7"/>
                <w:sz w:val="21"/>
                <w:szCs w:val="21"/>
                <w:highlight w:val="none"/>
                <w:lang w:eastAsia="zh-CN"/>
              </w:rPr>
              <w:t>资格条件承诺函</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（格式见</w:t>
            </w:r>
            <w:r>
              <w:rPr>
                <w:rFonts w:hint="eastAsia" w:ascii="宋体" w:hAnsi="宋体" w:cs="宋体"/>
                <w:color w:val="auto"/>
                <w:spacing w:val="7"/>
                <w:sz w:val="21"/>
                <w:szCs w:val="21"/>
                <w:highlight w:val="none"/>
                <w:lang w:val="en-US" w:eastAsia="zh-CN"/>
              </w:rPr>
              <w:t>响应</w:t>
            </w:r>
            <w:r>
              <w:rPr>
                <w:rFonts w:hint="eastAsia" w:ascii="宋体" w:hAnsi="宋体" w:eastAsia="宋体" w:cs="宋体"/>
                <w:color w:val="auto"/>
                <w:spacing w:val="7"/>
                <w:sz w:val="21"/>
                <w:szCs w:val="21"/>
                <w:highlight w:val="none"/>
                <w:lang w:eastAsia="zh-CN"/>
              </w:rPr>
              <w:t>文件格式）。</w:t>
            </w:r>
          </w:p>
        </w:tc>
      </w:tr>
      <w:tr w14:paraId="374E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A8F8E20">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3</w:t>
            </w:r>
          </w:p>
        </w:tc>
        <w:tc>
          <w:tcPr>
            <w:tcW w:w="1523" w:type="dxa"/>
            <w:vAlign w:val="center"/>
          </w:tcPr>
          <w:p w14:paraId="33689B9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Theme="minorEastAsia" w:hAnsiTheme="minorEastAsia" w:eastAsiaTheme="minorEastAsia"/>
                <w:color w:val="auto"/>
                <w:sz w:val="21"/>
                <w:szCs w:val="21"/>
                <w:highlight w:val="none"/>
              </w:rPr>
            </w:pPr>
            <w:r>
              <w:rPr>
                <w:rFonts w:hint="eastAsia" w:ascii="宋体" w:hAnsi="宋体" w:eastAsia="宋体" w:cs="宋体"/>
                <w:bCs/>
                <w:color w:val="auto"/>
                <w:sz w:val="21"/>
                <w:szCs w:val="21"/>
                <w:highlight w:val="none"/>
              </w:rPr>
              <w:t>授权委托书</w:t>
            </w:r>
          </w:p>
        </w:tc>
        <w:tc>
          <w:tcPr>
            <w:tcW w:w="7310" w:type="dxa"/>
            <w:vAlign w:val="center"/>
          </w:tcPr>
          <w:p w14:paraId="5204E52F">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Theme="minorEastAsia" w:hAnsiTheme="minorEastAsia" w:eastAsiaTheme="minorEastAsia"/>
                <w:color w:val="auto"/>
                <w:sz w:val="21"/>
                <w:szCs w:val="21"/>
                <w:highlight w:val="none"/>
                <w:lang w:eastAsia="zh-CN"/>
              </w:rPr>
            </w:pPr>
            <w:r>
              <w:rPr>
                <w:rFonts w:hint="eastAsia" w:ascii="宋体" w:hAnsi="宋体" w:eastAsia="宋体" w:cs="宋体"/>
                <w:bCs/>
                <w:color w:val="auto"/>
                <w:sz w:val="21"/>
                <w:szCs w:val="21"/>
                <w:highlight w:val="none"/>
              </w:rPr>
              <w:t>提供由法定代表人及委托代理人签字并加盖公章的授权书。</w:t>
            </w:r>
          </w:p>
        </w:tc>
      </w:tr>
      <w:tr w14:paraId="1795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6B8D70C">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4</w:t>
            </w:r>
          </w:p>
        </w:tc>
        <w:tc>
          <w:tcPr>
            <w:tcW w:w="1523" w:type="dxa"/>
            <w:vAlign w:val="center"/>
          </w:tcPr>
          <w:p w14:paraId="3D29FC43">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信用查询</w:t>
            </w:r>
          </w:p>
          <w:p w14:paraId="4F4C8D9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(供应商无需提供)</w:t>
            </w:r>
          </w:p>
        </w:tc>
        <w:tc>
          <w:tcPr>
            <w:tcW w:w="7310" w:type="dxa"/>
            <w:vAlign w:val="center"/>
          </w:tcPr>
          <w:p w14:paraId="5F837A44">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查询渠道：信用中国网站和中国政府采购网（www.creditchina.gov.cn、www.ccgp.gov.cn）；</w:t>
            </w:r>
          </w:p>
          <w:p w14:paraId="297B4508">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截止时点：</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截止时间以后、资格审查阶段为采购人或采购代理机构的实际查询时间；</w:t>
            </w:r>
          </w:p>
          <w:p w14:paraId="25E42E1F">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信用信息查询记录和证据留存具体方式：查询结果网页打印页作为查询记录和证据，与其他采购文件一并保存；</w:t>
            </w:r>
          </w:p>
          <w:p w14:paraId="7CFD4CB4">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信用信息的使用原则：经认定的被列入失信被执行人、</w:t>
            </w:r>
            <w:r>
              <w:rPr>
                <w:rFonts w:hint="eastAsia" w:ascii="宋体" w:hAnsi="宋体" w:cs="宋体"/>
                <w:color w:val="auto"/>
                <w:kern w:val="0"/>
                <w:sz w:val="21"/>
                <w:szCs w:val="21"/>
                <w:highlight w:val="none"/>
                <w:lang w:val="en-US"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、政府采购严重违法失信行为记录名单的供应商，其响应文件无效。</w:t>
            </w:r>
          </w:p>
        </w:tc>
      </w:tr>
      <w:tr w14:paraId="54E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08AEB05B">
            <w:pPr>
              <w:autoSpaceDE w:val="0"/>
              <w:autoSpaceDN w:val="0"/>
              <w:adjustRightIn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en-US" w:eastAsia="zh-CN"/>
              </w:rPr>
              <w:t>5</w:t>
            </w:r>
          </w:p>
        </w:tc>
        <w:tc>
          <w:tcPr>
            <w:tcW w:w="1523" w:type="dxa"/>
            <w:vAlign w:val="center"/>
          </w:tcPr>
          <w:p w14:paraId="51C15CC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9"/>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color w:val="auto"/>
                <w:sz w:val="21"/>
                <w:szCs w:val="21"/>
                <w:highlight w:val="none"/>
              </w:rPr>
              <w:t>特定资格要求</w:t>
            </w:r>
          </w:p>
        </w:tc>
        <w:tc>
          <w:tcPr>
            <w:tcW w:w="7310" w:type="dxa"/>
            <w:vAlign w:val="center"/>
          </w:tcPr>
          <w:p w14:paraId="1FD4D990">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投标产品属于医疗器械的，须提供《医疗器械注册证》或《医疗器械备案凭证》；</w:t>
            </w:r>
          </w:p>
          <w:p w14:paraId="6F190F9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投标产品属于医疗器械的，供应商应具有合法的医疗器械经营资格，其中： 供应商如为制造商须提供《医疗器械生产许可证》或《医疗器械生产备案凭证》，供应商如为代理商须提供《医疗器械经营许可证》或《医疗器械经营备案凭证》；</w:t>
            </w:r>
          </w:p>
          <w:p w14:paraId="4B972B17">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投标书内附复印件加盖公章。</w:t>
            </w:r>
          </w:p>
          <w:p w14:paraId="5A31F29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eastAsia="宋体" w:asciiTheme="minorEastAsia" w:hAnsiTheme="minorEastAsia"/>
                <w:color w:val="auto"/>
                <w:sz w:val="21"/>
                <w:szCs w:val="21"/>
                <w:highlight w:val="none"/>
                <w:lang w:eastAsia="zh-CN"/>
              </w:rPr>
            </w:pPr>
            <w:r>
              <w:rPr>
                <w:rFonts w:hint="eastAsia" w:ascii="宋体" w:hAnsi="宋体" w:eastAsia="宋体" w:cs="宋体"/>
                <w:bCs/>
                <w:color w:val="auto"/>
                <w:sz w:val="21"/>
                <w:szCs w:val="21"/>
                <w:highlight w:val="none"/>
                <w:lang w:val="zh-CN"/>
              </w:rPr>
              <w:t>上述供应商须提供的资格文件均应为有效文件并加盖本单位公章（如</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lang w:val="zh-CN"/>
              </w:rPr>
              <w:t>文件附件格式需要法定代表人或授权代表签字的，须同时按照要求进行签字），否则评标时不予认可。</w:t>
            </w:r>
          </w:p>
        </w:tc>
      </w:tr>
      <w:tr w14:paraId="782B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79FC5C7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523" w:type="dxa"/>
            <w:vAlign w:val="center"/>
          </w:tcPr>
          <w:p w14:paraId="0DAA345C">
            <w:pPr>
              <w:autoSpaceDE w:val="0"/>
              <w:autoSpaceDN w:val="0"/>
              <w:adjustRightIn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法律法规规定的其他要求</w:t>
            </w:r>
          </w:p>
        </w:tc>
        <w:tc>
          <w:tcPr>
            <w:tcW w:w="7310" w:type="dxa"/>
            <w:vAlign w:val="center"/>
          </w:tcPr>
          <w:p w14:paraId="5DEDA7FB">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符合法律、行政法规规定的其它要求</w:t>
            </w:r>
          </w:p>
        </w:tc>
      </w:tr>
    </w:tbl>
    <w:p w14:paraId="2BE7EE84">
      <w:pPr>
        <w:spacing w:line="240" w:lineRule="auto"/>
        <w:jc w:val="center"/>
        <w:rPr>
          <w:rFonts w:hint="eastAsia" w:ascii="宋体" w:hAnsi="宋体" w:eastAsia="宋体" w:cs="宋体"/>
          <w:bCs/>
          <w:color w:val="auto"/>
          <w:sz w:val="24"/>
          <w:szCs w:val="24"/>
          <w:highlight w:val="none"/>
        </w:rPr>
      </w:pPr>
    </w:p>
    <w:p w14:paraId="20E19BBC">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3D40C2D5">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符合性评审</w:t>
      </w:r>
    </w:p>
    <w:tbl>
      <w:tblPr>
        <w:tblStyle w:val="5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0"/>
        <w:gridCol w:w="7146"/>
      </w:tblGrid>
      <w:tr w14:paraId="205E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41E01DA">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序号</w:t>
            </w:r>
          </w:p>
        </w:tc>
        <w:tc>
          <w:tcPr>
            <w:tcW w:w="1690" w:type="dxa"/>
            <w:vAlign w:val="center"/>
          </w:tcPr>
          <w:p w14:paraId="2490B14D">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审查内容</w:t>
            </w:r>
          </w:p>
        </w:tc>
        <w:tc>
          <w:tcPr>
            <w:tcW w:w="7146" w:type="dxa"/>
            <w:vAlign w:val="center"/>
          </w:tcPr>
          <w:p w14:paraId="6B9E85C4">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合格条件</w:t>
            </w:r>
          </w:p>
        </w:tc>
      </w:tr>
      <w:tr w14:paraId="24FA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D282DB8">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1</w:t>
            </w:r>
          </w:p>
        </w:tc>
        <w:tc>
          <w:tcPr>
            <w:tcW w:w="1690" w:type="dxa"/>
            <w:vAlign w:val="center"/>
          </w:tcPr>
          <w:p w14:paraId="0C01CE0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供应商</w:t>
            </w:r>
            <w:r>
              <w:rPr>
                <w:rFonts w:hint="eastAsia" w:ascii="宋体" w:hAnsi="宋体" w:eastAsia="宋体" w:cs="宋体"/>
                <w:color w:val="auto"/>
                <w:spacing w:val="7"/>
                <w:sz w:val="21"/>
                <w:szCs w:val="21"/>
                <w:highlight w:val="none"/>
              </w:rPr>
              <w:t>名称</w:t>
            </w:r>
          </w:p>
        </w:tc>
        <w:tc>
          <w:tcPr>
            <w:tcW w:w="7146" w:type="dxa"/>
            <w:vAlign w:val="center"/>
          </w:tcPr>
          <w:p w14:paraId="1B6648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12"/>
                <w:sz w:val="21"/>
                <w:szCs w:val="21"/>
                <w:highlight w:val="none"/>
              </w:rPr>
              <w:t>与</w:t>
            </w:r>
            <w:r>
              <w:rPr>
                <w:rFonts w:hint="eastAsia" w:ascii="宋体" w:hAnsi="宋体" w:eastAsia="宋体" w:cs="宋体"/>
                <w:color w:val="auto"/>
                <w:spacing w:val="7"/>
                <w:sz w:val="21"/>
                <w:szCs w:val="21"/>
                <w:highlight w:val="none"/>
              </w:rPr>
              <w:t>营业执照一致</w:t>
            </w:r>
          </w:p>
        </w:tc>
      </w:tr>
      <w:tr w14:paraId="5896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78829D2B">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2</w:t>
            </w:r>
          </w:p>
        </w:tc>
        <w:tc>
          <w:tcPr>
            <w:tcW w:w="1690" w:type="dxa"/>
            <w:vAlign w:val="center"/>
          </w:tcPr>
          <w:p w14:paraId="0AB9C96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响应文件</w:t>
            </w:r>
            <w:r>
              <w:rPr>
                <w:rFonts w:hint="eastAsia" w:ascii="宋体" w:hAnsi="宋体" w:eastAsia="宋体" w:cs="宋体"/>
                <w:color w:val="auto"/>
                <w:spacing w:val="8"/>
                <w:sz w:val="21"/>
                <w:szCs w:val="21"/>
                <w:highlight w:val="none"/>
              </w:rPr>
              <w:t>签字盖章</w:t>
            </w:r>
          </w:p>
        </w:tc>
        <w:tc>
          <w:tcPr>
            <w:tcW w:w="7146" w:type="dxa"/>
            <w:vAlign w:val="center"/>
          </w:tcPr>
          <w:p w14:paraId="3AA62D6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default" w:hAnsi="宋体" w:eastAsia="宋体" w:cs="宋体"/>
                <w:bCs/>
                <w:color w:val="auto"/>
                <w:highlight w:val="none"/>
                <w:lang w:val="en-US" w:eastAsia="zh-CN"/>
              </w:rPr>
            </w:pPr>
            <w:r>
              <w:rPr>
                <w:rFonts w:hint="eastAsia" w:ascii="宋体" w:hAnsi="宋体" w:cs="宋体"/>
                <w:color w:val="auto"/>
                <w:spacing w:val="18"/>
                <w:sz w:val="21"/>
                <w:szCs w:val="21"/>
                <w:highlight w:val="none"/>
                <w:lang w:val="en-US" w:eastAsia="zh-CN"/>
              </w:rPr>
              <w:t>按照采购文件要求签字、盖章</w:t>
            </w:r>
          </w:p>
        </w:tc>
      </w:tr>
      <w:tr w14:paraId="682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3D6AE64">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3</w:t>
            </w:r>
          </w:p>
        </w:tc>
        <w:tc>
          <w:tcPr>
            <w:tcW w:w="1690" w:type="dxa"/>
            <w:vAlign w:val="center"/>
          </w:tcPr>
          <w:p w14:paraId="3857FAD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8"/>
                <w:sz w:val="21"/>
                <w:szCs w:val="21"/>
                <w:highlight w:val="none"/>
                <w:lang w:val="en-US" w:eastAsia="zh-CN"/>
              </w:rPr>
              <w:t>响应</w:t>
            </w:r>
            <w:r>
              <w:rPr>
                <w:rFonts w:hint="eastAsia" w:ascii="宋体" w:hAnsi="宋体" w:eastAsia="宋体" w:cs="宋体"/>
                <w:color w:val="auto"/>
                <w:spacing w:val="8"/>
                <w:sz w:val="21"/>
                <w:szCs w:val="21"/>
                <w:highlight w:val="none"/>
              </w:rPr>
              <w:t>文件格</w:t>
            </w:r>
            <w:r>
              <w:rPr>
                <w:rFonts w:hint="eastAsia" w:ascii="宋体" w:hAnsi="宋体" w:eastAsia="宋体" w:cs="宋体"/>
                <w:color w:val="auto"/>
                <w:spacing w:val="7"/>
                <w:sz w:val="21"/>
                <w:szCs w:val="21"/>
                <w:highlight w:val="none"/>
              </w:rPr>
              <w:t>式</w:t>
            </w:r>
          </w:p>
        </w:tc>
        <w:tc>
          <w:tcPr>
            <w:tcW w:w="7146" w:type="dxa"/>
            <w:vAlign w:val="center"/>
          </w:tcPr>
          <w:p w14:paraId="172E0F2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Ansi="宋体" w:cs="宋体"/>
                <w:bCs/>
                <w:color w:val="auto"/>
                <w:highlight w:val="none"/>
                <w:lang w:val="zh-CN"/>
              </w:rPr>
            </w:pPr>
            <w:r>
              <w:rPr>
                <w:rFonts w:hint="eastAsia" w:ascii="宋体" w:hAnsi="宋体" w:eastAsia="宋体" w:cs="宋体"/>
                <w:color w:val="auto"/>
                <w:spacing w:val="11"/>
                <w:sz w:val="21"/>
                <w:szCs w:val="21"/>
                <w:highlight w:val="none"/>
              </w:rPr>
              <w:t>符</w:t>
            </w:r>
            <w:r>
              <w:rPr>
                <w:rFonts w:hint="eastAsia" w:ascii="宋体" w:hAnsi="宋体" w:eastAsia="宋体" w:cs="宋体"/>
                <w:color w:val="auto"/>
                <w:spacing w:val="9"/>
                <w:sz w:val="21"/>
                <w:szCs w:val="21"/>
                <w:highlight w:val="none"/>
              </w:rPr>
              <w:t>合“</w:t>
            </w: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9"/>
                <w:sz w:val="21"/>
                <w:szCs w:val="21"/>
                <w:highlight w:val="none"/>
              </w:rPr>
              <w:t>文件格式”的要求</w:t>
            </w:r>
          </w:p>
        </w:tc>
      </w:tr>
      <w:tr w14:paraId="61AA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5DE2DEA">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en-US" w:eastAsia="zh-CN"/>
              </w:rPr>
              <w:t>4</w:t>
            </w:r>
          </w:p>
        </w:tc>
        <w:tc>
          <w:tcPr>
            <w:tcW w:w="1690" w:type="dxa"/>
            <w:vAlign w:val="center"/>
          </w:tcPr>
          <w:p w14:paraId="59BB243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eastAsia="宋体" w:cs="宋体"/>
                <w:color w:val="auto"/>
                <w:spacing w:val="8"/>
                <w:sz w:val="21"/>
                <w:szCs w:val="21"/>
                <w:highlight w:val="none"/>
              </w:rPr>
              <w:t>报价唯</w:t>
            </w:r>
            <w:r>
              <w:rPr>
                <w:rFonts w:hint="eastAsia" w:ascii="宋体" w:hAnsi="宋体" w:eastAsia="宋体" w:cs="宋体"/>
                <w:color w:val="auto"/>
                <w:spacing w:val="7"/>
                <w:sz w:val="21"/>
                <w:szCs w:val="21"/>
                <w:highlight w:val="none"/>
              </w:rPr>
              <w:t>一</w:t>
            </w:r>
          </w:p>
        </w:tc>
        <w:tc>
          <w:tcPr>
            <w:tcW w:w="7146" w:type="dxa"/>
            <w:vAlign w:val="center"/>
          </w:tcPr>
          <w:p w14:paraId="2BB6D0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12"/>
                <w:sz w:val="21"/>
                <w:szCs w:val="21"/>
                <w:highlight w:val="none"/>
              </w:rPr>
              <w:t>只</w:t>
            </w:r>
            <w:r>
              <w:rPr>
                <w:rFonts w:hint="eastAsia" w:ascii="宋体" w:hAnsi="宋体" w:eastAsia="宋体" w:cs="宋体"/>
                <w:color w:val="auto"/>
                <w:spacing w:val="7"/>
                <w:sz w:val="21"/>
                <w:szCs w:val="21"/>
                <w:highlight w:val="none"/>
              </w:rPr>
              <w:t>能有一个有效报价</w:t>
            </w:r>
          </w:p>
        </w:tc>
      </w:tr>
      <w:tr w14:paraId="75A0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60D8666">
            <w:pPr>
              <w:pStyle w:val="448"/>
              <w:keepNext w:val="0"/>
              <w:keepLines w:val="0"/>
              <w:pageBreakBefore w:val="0"/>
              <w:suppressLineNumbers w:val="0"/>
              <w:kinsoku/>
              <w:wordWrap/>
              <w:overflowPunct/>
              <w:topLinePunct w:val="0"/>
              <w:bidi w:val="0"/>
              <w:adjustRightInd w:val="0"/>
              <w:snapToGrid w:val="0"/>
              <w:spacing w:beforeAutospacing="0" w:after="0" w:afterAutospacing="0" w:line="240" w:lineRule="auto"/>
              <w:ind w:left="0" w:leftChars="0" w:right="0" w:rightChars="0"/>
              <w:jc w:val="center"/>
              <w:textAlignment w:val="auto"/>
              <w:rPr>
                <w:rFonts w:ascii="宋体" w:hAnsi="宋体" w:eastAsia="宋体" w:cs="宋体"/>
                <w:color w:val="auto"/>
                <w:szCs w:val="21"/>
                <w:highlight w:val="none"/>
                <w:lang w:val="zh-CN"/>
              </w:rPr>
            </w:pPr>
            <w:r>
              <w:rPr>
                <w:rFonts w:hint="eastAsia" w:ascii="宋体" w:hAnsi="宋体" w:eastAsia="宋体" w:cs="宋体"/>
                <w:color w:val="auto"/>
                <w:sz w:val="21"/>
                <w:szCs w:val="21"/>
                <w:highlight w:val="none"/>
              </w:rPr>
              <w:t>5</w:t>
            </w:r>
          </w:p>
        </w:tc>
        <w:tc>
          <w:tcPr>
            <w:tcW w:w="1690" w:type="dxa"/>
            <w:vAlign w:val="center"/>
          </w:tcPr>
          <w:p w14:paraId="4714E59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6"/>
                <w:sz w:val="21"/>
                <w:szCs w:val="21"/>
                <w:highlight w:val="none"/>
              </w:rPr>
              <w:t>内容</w:t>
            </w:r>
          </w:p>
        </w:tc>
        <w:tc>
          <w:tcPr>
            <w:tcW w:w="7146" w:type="dxa"/>
            <w:vAlign w:val="center"/>
          </w:tcPr>
          <w:p w14:paraId="70339F9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Ansi="宋体" w:cs="宋体"/>
                <w:bCs/>
                <w:color w:val="auto"/>
                <w:highlight w:val="none"/>
                <w:lang w:val="zh-CN"/>
              </w:rPr>
            </w:pPr>
            <w:r>
              <w:rPr>
                <w:rFonts w:hint="eastAsia" w:ascii="宋体" w:hAnsi="宋体" w:eastAsia="宋体" w:cs="宋体"/>
                <w:color w:val="auto"/>
                <w:spacing w:val="8"/>
                <w:sz w:val="21"/>
                <w:szCs w:val="21"/>
                <w:highlight w:val="none"/>
              </w:rPr>
              <w:t>符合</w:t>
            </w:r>
            <w:r>
              <w:rPr>
                <w:rFonts w:hint="eastAsia" w:ascii="宋体" w:hAnsi="宋体" w:cs="宋体"/>
                <w:color w:val="auto"/>
                <w:spacing w:val="8"/>
                <w:sz w:val="21"/>
                <w:szCs w:val="21"/>
                <w:highlight w:val="none"/>
                <w:lang w:val="en-US" w:eastAsia="zh-CN"/>
              </w:rPr>
              <w:t>磋商</w:t>
            </w:r>
            <w:r>
              <w:rPr>
                <w:rFonts w:hint="eastAsia" w:ascii="宋体" w:hAnsi="宋体" w:eastAsia="宋体" w:cs="宋体"/>
                <w:color w:val="auto"/>
                <w:spacing w:val="8"/>
                <w:sz w:val="21"/>
                <w:szCs w:val="21"/>
                <w:highlight w:val="none"/>
              </w:rPr>
              <w:t>文件中规定的格式、内容，已响应其它实</w:t>
            </w:r>
            <w:r>
              <w:rPr>
                <w:rFonts w:hint="eastAsia" w:ascii="宋体" w:hAnsi="宋体" w:eastAsia="宋体" w:cs="宋体"/>
                <w:color w:val="auto"/>
                <w:spacing w:val="7"/>
                <w:sz w:val="21"/>
                <w:szCs w:val="21"/>
                <w:highlight w:val="none"/>
              </w:rPr>
              <w:t>质</w:t>
            </w:r>
            <w:r>
              <w:rPr>
                <w:rFonts w:hint="eastAsia" w:ascii="宋体" w:hAnsi="宋体" w:eastAsia="宋体" w:cs="宋体"/>
                <w:color w:val="auto"/>
                <w:spacing w:val="9"/>
                <w:sz w:val="21"/>
                <w:szCs w:val="21"/>
                <w:highlight w:val="none"/>
              </w:rPr>
              <w:t>性</w:t>
            </w:r>
            <w:r>
              <w:rPr>
                <w:rFonts w:hint="eastAsia" w:ascii="宋体" w:hAnsi="宋体" w:eastAsia="宋体" w:cs="宋体"/>
                <w:color w:val="auto"/>
                <w:spacing w:val="8"/>
                <w:sz w:val="21"/>
                <w:szCs w:val="21"/>
                <w:highlight w:val="none"/>
              </w:rPr>
              <w:t>要求的内容</w:t>
            </w:r>
          </w:p>
        </w:tc>
      </w:tr>
      <w:tr w14:paraId="0D2A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F8F0D40">
            <w:pPr>
              <w:pStyle w:val="448"/>
              <w:keepNext w:val="0"/>
              <w:keepLines w:val="0"/>
              <w:pageBreakBefore w:val="0"/>
              <w:suppressLineNumbers w:val="0"/>
              <w:tabs>
                <w:tab w:val="left" w:pos="347"/>
              </w:tabs>
              <w:kinsoku/>
              <w:wordWrap/>
              <w:overflowPunct/>
              <w:topLinePunct w:val="0"/>
              <w:bidi w:val="0"/>
              <w:adjustRightInd w:val="0"/>
              <w:snapToGrid w:val="0"/>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90" w:type="dxa"/>
            <w:vAlign w:val="center"/>
          </w:tcPr>
          <w:p w14:paraId="6EF6D2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交货期</w:t>
            </w:r>
          </w:p>
        </w:tc>
        <w:tc>
          <w:tcPr>
            <w:tcW w:w="7146" w:type="dxa"/>
            <w:vAlign w:val="center"/>
          </w:tcPr>
          <w:p w14:paraId="0BD806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hAnsi="宋体" w:cs="宋体"/>
                <w:bCs/>
                <w:color w:val="auto"/>
                <w:highlight w:val="none"/>
                <w:lang w:val="zh-CN"/>
              </w:rPr>
            </w:pPr>
            <w:r>
              <w:rPr>
                <w:rFonts w:hint="eastAsia" w:hAnsi="宋体" w:cs="宋体"/>
                <w:bCs/>
                <w:color w:val="auto"/>
                <w:highlight w:val="none"/>
                <w:lang w:val="zh-CN"/>
              </w:rPr>
              <w:t>30天</w:t>
            </w:r>
          </w:p>
        </w:tc>
      </w:tr>
      <w:tr w14:paraId="3FF5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CA0E9A5">
            <w:pPr>
              <w:pStyle w:val="448"/>
              <w:keepNext w:val="0"/>
              <w:keepLines w:val="0"/>
              <w:pageBreakBefore w:val="0"/>
              <w:suppressLineNumbers w:val="0"/>
              <w:kinsoku/>
              <w:wordWrap/>
              <w:overflowPunct/>
              <w:topLinePunct w:val="0"/>
              <w:bidi w:val="0"/>
              <w:adjustRightInd w:val="0"/>
              <w:snapToGrid w:val="0"/>
              <w:spacing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val="en-US" w:eastAsia="zh-CN"/>
              </w:rPr>
              <w:t>7</w:t>
            </w:r>
          </w:p>
        </w:tc>
        <w:tc>
          <w:tcPr>
            <w:tcW w:w="1690" w:type="dxa"/>
            <w:vAlign w:val="center"/>
          </w:tcPr>
          <w:p w14:paraId="654449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7146" w:type="dxa"/>
            <w:vAlign w:val="center"/>
          </w:tcPr>
          <w:p w14:paraId="7697231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hAnsi="宋体" w:cs="宋体"/>
                <w:bCs/>
                <w:color w:val="auto"/>
                <w:highlight w:val="none"/>
                <w:lang w:val="zh-CN"/>
              </w:rPr>
            </w:pPr>
            <w:r>
              <w:rPr>
                <w:rFonts w:hint="eastAsia" w:ascii="宋体" w:hAnsi="宋体" w:cs="宋体"/>
                <w:bCs/>
                <w:color w:val="auto"/>
                <w:szCs w:val="21"/>
                <w:highlight w:val="none"/>
                <w:lang w:val="en-US" w:eastAsia="zh-CN"/>
              </w:rPr>
              <w:t>5年</w:t>
            </w:r>
          </w:p>
        </w:tc>
      </w:tr>
      <w:tr w14:paraId="508E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BCAB7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8</w:t>
            </w:r>
          </w:p>
        </w:tc>
        <w:tc>
          <w:tcPr>
            <w:tcW w:w="1690" w:type="dxa"/>
            <w:vAlign w:val="center"/>
          </w:tcPr>
          <w:p w14:paraId="1674010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磋商</w:t>
            </w:r>
            <w:r>
              <w:rPr>
                <w:rFonts w:hint="eastAsia" w:ascii="宋体" w:hAnsi="宋体" w:eastAsia="宋体" w:cs="宋体"/>
                <w:color w:val="auto"/>
                <w:spacing w:val="7"/>
                <w:sz w:val="21"/>
                <w:szCs w:val="21"/>
                <w:highlight w:val="none"/>
              </w:rPr>
              <w:t>有效期</w:t>
            </w:r>
          </w:p>
        </w:tc>
        <w:tc>
          <w:tcPr>
            <w:tcW w:w="7146" w:type="dxa"/>
            <w:vAlign w:val="center"/>
          </w:tcPr>
          <w:p w14:paraId="1AB6BCD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3"/>
                <w:sz w:val="21"/>
                <w:szCs w:val="21"/>
                <w:highlight w:val="none"/>
              </w:rPr>
              <w:t>90</w:t>
            </w:r>
            <w:r>
              <w:rPr>
                <w:rFonts w:hint="eastAsia" w:ascii="宋体" w:hAnsi="宋体" w:eastAsia="宋体" w:cs="宋体"/>
                <w:color w:val="auto"/>
                <w:spacing w:val="2"/>
                <w:sz w:val="21"/>
                <w:szCs w:val="21"/>
                <w:highlight w:val="none"/>
              </w:rPr>
              <w:t>天</w:t>
            </w:r>
          </w:p>
        </w:tc>
      </w:tr>
      <w:tr w14:paraId="3BB3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324BA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690" w:type="dxa"/>
            <w:vAlign w:val="center"/>
          </w:tcPr>
          <w:p w14:paraId="2784FB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6"/>
                <w:sz w:val="21"/>
                <w:szCs w:val="21"/>
                <w:highlight w:val="none"/>
              </w:rPr>
              <w:t>价格</w:t>
            </w:r>
          </w:p>
        </w:tc>
        <w:tc>
          <w:tcPr>
            <w:tcW w:w="7146" w:type="dxa"/>
            <w:vAlign w:val="center"/>
          </w:tcPr>
          <w:p w14:paraId="07D2C1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color w:val="auto"/>
                <w:spacing w:val="10"/>
                <w:sz w:val="21"/>
                <w:szCs w:val="21"/>
                <w:highlight w:val="none"/>
              </w:rPr>
              <w:t>报价未超过</w:t>
            </w:r>
            <w:r>
              <w:rPr>
                <w:rFonts w:hint="eastAsia" w:ascii="宋体" w:hAnsi="宋体" w:cs="宋体"/>
                <w:color w:val="auto"/>
                <w:spacing w:val="10"/>
                <w:sz w:val="21"/>
                <w:szCs w:val="21"/>
                <w:highlight w:val="none"/>
                <w:lang w:val="en-US" w:eastAsia="zh-CN"/>
              </w:rPr>
              <w:t>采购</w:t>
            </w:r>
            <w:r>
              <w:rPr>
                <w:rFonts w:hint="eastAsia" w:ascii="宋体" w:hAnsi="宋体" w:eastAsia="宋体" w:cs="宋体"/>
                <w:color w:val="auto"/>
                <w:spacing w:val="10"/>
                <w:sz w:val="21"/>
                <w:szCs w:val="21"/>
                <w:highlight w:val="none"/>
              </w:rPr>
              <w:t>文件中规定的项目采购预算</w:t>
            </w:r>
            <w:r>
              <w:rPr>
                <w:rFonts w:hint="eastAsia" w:ascii="宋体" w:hAnsi="宋体" w:cs="宋体"/>
                <w:color w:val="auto"/>
                <w:spacing w:val="10"/>
                <w:sz w:val="21"/>
                <w:szCs w:val="21"/>
                <w:highlight w:val="none"/>
                <w:lang w:val="en-US" w:eastAsia="zh-CN"/>
              </w:rPr>
              <w:t>单价及预算金额</w:t>
            </w:r>
          </w:p>
        </w:tc>
      </w:tr>
      <w:tr w14:paraId="1914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6712E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690" w:type="dxa"/>
            <w:vAlign w:val="center"/>
          </w:tcPr>
          <w:p w14:paraId="0134339E">
            <w:pPr>
              <w:keepNext w:val="0"/>
              <w:keepLines w:val="0"/>
              <w:pageBreakBefore w:val="0"/>
              <w:widowControl w:val="0"/>
              <w:kinsoku/>
              <w:wordWrap/>
              <w:overflowPunct/>
              <w:topLinePunct w:val="0"/>
              <w:bidi w:val="0"/>
              <w:adjustRightInd w:val="0"/>
              <w:snapToGrid w:val="0"/>
              <w:spacing w:line="288" w:lineRule="auto"/>
              <w:jc w:val="center"/>
              <w:textAlignment w:val="auto"/>
              <w:outlineLvl w:val="9"/>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非联合体</w:t>
            </w:r>
          </w:p>
        </w:tc>
        <w:tc>
          <w:tcPr>
            <w:tcW w:w="7146" w:type="dxa"/>
            <w:vAlign w:val="center"/>
          </w:tcPr>
          <w:p w14:paraId="1C0FD863">
            <w:pPr>
              <w:keepNext w:val="0"/>
              <w:keepLines w:val="0"/>
              <w:pageBreakBefore w:val="0"/>
              <w:widowControl w:val="0"/>
              <w:kinsoku/>
              <w:wordWrap/>
              <w:overflowPunct/>
              <w:topLinePunct w:val="0"/>
              <w:bidi w:val="0"/>
              <w:adjustRightInd w:val="0"/>
              <w:snapToGrid w:val="0"/>
              <w:spacing w:line="288"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非联合体参与本次</w:t>
            </w:r>
            <w:r>
              <w:rPr>
                <w:rFonts w:hint="eastAsia" w:ascii="宋体" w:hAnsi="宋体" w:cs="宋体"/>
                <w:bCs/>
                <w:color w:val="auto"/>
                <w:sz w:val="21"/>
                <w:szCs w:val="21"/>
                <w:highlight w:val="none"/>
                <w:lang w:val="en-US" w:eastAsia="zh-CN"/>
              </w:rPr>
              <w:t>磋商（提供声明函并加盖公章）</w:t>
            </w:r>
          </w:p>
        </w:tc>
      </w:tr>
      <w:tr w14:paraId="36FA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57F92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90" w:type="dxa"/>
            <w:shd w:val="clear" w:color="auto" w:fill="auto"/>
            <w:vAlign w:val="center"/>
          </w:tcPr>
          <w:p w14:paraId="6644D8D3">
            <w:pPr>
              <w:spacing w:line="360" w:lineRule="auto"/>
              <w:jc w:val="center"/>
              <w:rPr>
                <w:rFonts w:hint="eastAsia" w:ascii="宋体" w:hAnsi="宋体" w:eastAsia="宋体" w:cs="宋体"/>
                <w:color w:val="auto"/>
                <w:spacing w:val="9"/>
                <w:kern w:val="2"/>
                <w:sz w:val="21"/>
                <w:szCs w:val="21"/>
                <w:highlight w:val="none"/>
                <w:lang w:val="en-US" w:eastAsia="zh-CN" w:bidi="ar-SA"/>
              </w:rPr>
            </w:pPr>
            <w:r>
              <w:rPr>
                <w:rFonts w:hint="eastAsia" w:ascii="宋体" w:hAnsi="宋体" w:eastAsia="宋体" w:cs="宋体"/>
                <w:color w:val="auto"/>
                <w:szCs w:val="22"/>
                <w:highlight w:val="none"/>
                <w:lang w:val="zh-CN"/>
              </w:rPr>
              <w:t>★号条款响应（</w:t>
            </w:r>
            <w:r>
              <w:rPr>
                <w:rFonts w:hint="eastAsia" w:ascii="宋体" w:hAnsi="宋体" w:eastAsia="宋体" w:cs="宋体"/>
                <w:color w:val="auto"/>
                <w:szCs w:val="22"/>
                <w:highlight w:val="none"/>
              </w:rPr>
              <w:t>如有</w:t>
            </w:r>
            <w:r>
              <w:rPr>
                <w:rFonts w:hint="eastAsia" w:ascii="宋体" w:hAnsi="宋体" w:eastAsia="宋体" w:cs="宋体"/>
                <w:color w:val="auto"/>
                <w:szCs w:val="22"/>
                <w:highlight w:val="none"/>
                <w:lang w:val="zh-CN"/>
              </w:rPr>
              <w:t>）</w:t>
            </w:r>
          </w:p>
        </w:tc>
        <w:tc>
          <w:tcPr>
            <w:tcW w:w="7146" w:type="dxa"/>
            <w:shd w:val="clear" w:color="auto" w:fill="auto"/>
            <w:vAlign w:val="center"/>
          </w:tcPr>
          <w:p w14:paraId="78974B39">
            <w:pPr>
              <w:spacing w:line="360" w:lineRule="auto"/>
              <w:rPr>
                <w:rFonts w:hint="eastAsia" w:ascii="宋体" w:hAnsi="宋体" w:eastAsia="宋体" w:cs="宋体"/>
                <w:color w:val="auto"/>
                <w:spacing w:val="10"/>
                <w:kern w:val="2"/>
                <w:sz w:val="21"/>
                <w:szCs w:val="21"/>
                <w:highlight w:val="none"/>
                <w:lang w:val="en-US" w:eastAsia="zh-CN" w:bidi="ar-SA"/>
              </w:rPr>
            </w:pPr>
            <w:r>
              <w:rPr>
                <w:rFonts w:hint="eastAsia" w:ascii="宋体" w:hAnsi="宋体" w:cs="宋体"/>
                <w:color w:val="auto"/>
                <w:szCs w:val="22"/>
                <w:highlight w:val="none"/>
                <w:lang w:val="en-US" w:eastAsia="zh-CN"/>
              </w:rPr>
              <w:t>响应</w:t>
            </w:r>
            <w:r>
              <w:rPr>
                <w:rFonts w:hint="eastAsia" w:ascii="宋体" w:hAnsi="宋体" w:eastAsia="宋体" w:cs="宋体"/>
                <w:color w:val="auto"/>
                <w:szCs w:val="22"/>
                <w:highlight w:val="none"/>
                <w:lang w:val="zh-CN"/>
              </w:rPr>
              <w:t>文件满足</w:t>
            </w:r>
            <w:r>
              <w:rPr>
                <w:rFonts w:hint="eastAsia" w:ascii="宋体" w:hAnsi="宋体" w:cs="宋体"/>
                <w:color w:val="auto"/>
                <w:szCs w:val="22"/>
                <w:highlight w:val="none"/>
                <w:lang w:eastAsia="zh-CN"/>
              </w:rPr>
              <w:t>竞争性磋商文件</w:t>
            </w:r>
            <w:r>
              <w:rPr>
                <w:rFonts w:hint="eastAsia" w:ascii="宋体" w:hAnsi="宋体" w:eastAsia="宋体" w:cs="宋体"/>
                <w:color w:val="auto"/>
                <w:szCs w:val="22"/>
                <w:highlight w:val="none"/>
                <w:lang w:val="zh-CN"/>
              </w:rPr>
              <w:t>第</w:t>
            </w:r>
            <w:r>
              <w:rPr>
                <w:rFonts w:hint="eastAsia" w:ascii="宋体" w:hAnsi="宋体" w:cs="宋体"/>
                <w:color w:val="auto"/>
                <w:szCs w:val="22"/>
                <w:highlight w:val="none"/>
                <w:lang w:val="en-US" w:eastAsia="zh-CN"/>
              </w:rPr>
              <w:t>五</w:t>
            </w:r>
            <w:r>
              <w:rPr>
                <w:rFonts w:hint="eastAsia" w:ascii="宋体" w:hAnsi="宋体" w:eastAsia="宋体" w:cs="宋体"/>
                <w:color w:val="auto"/>
                <w:szCs w:val="22"/>
                <w:highlight w:val="none"/>
                <w:lang w:val="zh-CN"/>
              </w:rPr>
              <w:t>章《采购需求》中★号条款要求</w:t>
            </w:r>
            <w:r>
              <w:rPr>
                <w:rFonts w:hint="eastAsia" w:ascii="宋体" w:hAnsi="宋体" w:cs="宋体"/>
                <w:color w:val="auto"/>
                <w:szCs w:val="22"/>
                <w:highlight w:val="none"/>
                <w:lang w:val="zh-CN"/>
              </w:rPr>
              <w:t>。</w:t>
            </w:r>
          </w:p>
        </w:tc>
      </w:tr>
      <w:tr w14:paraId="7575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CEFB0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90" w:type="dxa"/>
            <w:vAlign w:val="center"/>
          </w:tcPr>
          <w:p w14:paraId="0FA0C071">
            <w:pPr>
              <w:autoSpaceDE w:val="0"/>
              <w:autoSpaceDN w:val="0"/>
              <w:adjustRightIn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其他无效情形</w:t>
            </w:r>
          </w:p>
        </w:tc>
        <w:tc>
          <w:tcPr>
            <w:tcW w:w="7146" w:type="dxa"/>
            <w:vAlign w:val="center"/>
          </w:tcPr>
          <w:p w14:paraId="5C1A8DC9">
            <w:pPr>
              <w:autoSpaceDE w:val="0"/>
              <w:autoSpaceDN w:val="0"/>
              <w:adjustRightIn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供应商响应</w:t>
            </w:r>
            <w:r>
              <w:rPr>
                <w:rFonts w:hint="eastAsia" w:ascii="宋体" w:hAnsi="宋体" w:eastAsia="宋体" w:cs="宋体"/>
                <w:bCs/>
                <w:color w:val="auto"/>
                <w:sz w:val="21"/>
                <w:szCs w:val="21"/>
                <w:highlight w:val="none"/>
                <w:lang w:val="zh-CN"/>
              </w:rPr>
              <w:t>文件不存在不符合法律、法规和</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rPr>
              <w:t>文件规定的其他无效情形。</w:t>
            </w:r>
          </w:p>
        </w:tc>
      </w:tr>
    </w:tbl>
    <w:p w14:paraId="4D5E63C1">
      <w:pPr>
        <w:rPr>
          <w:rFonts w:hint="eastAsia"/>
          <w:color w:val="auto"/>
          <w:sz w:val="24"/>
          <w:szCs w:val="24"/>
          <w:highlight w:val="none"/>
        </w:rPr>
      </w:pPr>
      <w:r>
        <w:rPr>
          <w:rFonts w:hint="eastAsia"/>
          <w:color w:val="auto"/>
          <w:sz w:val="24"/>
          <w:szCs w:val="24"/>
          <w:highlight w:val="none"/>
        </w:rPr>
        <w:br w:type="page"/>
      </w:r>
    </w:p>
    <w:p w14:paraId="1066D18A">
      <w:pPr>
        <w:pStyle w:val="27"/>
        <w:tabs>
          <w:tab w:val="left" w:pos="6840"/>
        </w:tabs>
        <w:snapToGrid w:val="0"/>
        <w:spacing w:line="240" w:lineRule="auto"/>
        <w:ind w:right="-57"/>
        <w:jc w:val="center"/>
        <w:rPr>
          <w:rFonts w:hAnsi="宋体"/>
          <w:b/>
          <w:color w:val="auto"/>
          <w:sz w:val="24"/>
          <w:szCs w:val="24"/>
          <w:highlight w:val="none"/>
        </w:rPr>
      </w:pPr>
      <w:r>
        <w:rPr>
          <w:rFonts w:hint="eastAsia" w:hAnsi="宋体"/>
          <w:b/>
          <w:color w:val="auto"/>
          <w:sz w:val="24"/>
          <w:szCs w:val="24"/>
          <w:highlight w:val="none"/>
        </w:rPr>
        <w:t>详细评审表</w:t>
      </w:r>
    </w:p>
    <w:tbl>
      <w:tblPr>
        <w:tblStyle w:val="52"/>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5D74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37" w:type="dxa"/>
            <w:gridSpan w:val="4"/>
            <w:noWrap w:val="0"/>
            <w:vAlign w:val="center"/>
          </w:tcPr>
          <w:p w14:paraId="22AF72DE">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评审表</w:t>
            </w:r>
          </w:p>
        </w:tc>
      </w:tr>
      <w:tr w14:paraId="2ECD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0" w:type="auto"/>
            <w:noWrap w:val="0"/>
            <w:vAlign w:val="center"/>
          </w:tcPr>
          <w:p w14:paraId="41C1D1A9">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38" w:type="dxa"/>
            <w:noWrap w:val="0"/>
            <w:vAlign w:val="center"/>
          </w:tcPr>
          <w:p w14:paraId="2D1F0B82">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内容</w:t>
            </w:r>
          </w:p>
        </w:tc>
        <w:tc>
          <w:tcPr>
            <w:tcW w:w="1787" w:type="dxa"/>
            <w:noWrap w:val="0"/>
            <w:vAlign w:val="center"/>
          </w:tcPr>
          <w:p w14:paraId="3154E017">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评分因素分项</w:t>
            </w:r>
          </w:p>
        </w:tc>
        <w:tc>
          <w:tcPr>
            <w:tcW w:w="7248" w:type="dxa"/>
            <w:noWrap w:val="0"/>
            <w:vAlign w:val="center"/>
          </w:tcPr>
          <w:p w14:paraId="0C192E0B">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C30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00EC21B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8" w:type="dxa"/>
            <w:noWrap w:val="0"/>
            <w:vAlign w:val="center"/>
          </w:tcPr>
          <w:p w14:paraId="15F2D6E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2B6BFB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noWrap w:val="0"/>
            <w:vAlign w:val="center"/>
          </w:tcPr>
          <w:p w14:paraId="1AE05E7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评标价格</w:t>
            </w:r>
          </w:p>
          <w:p w14:paraId="1F681E4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248" w:type="dxa"/>
            <w:noWrap w:val="0"/>
            <w:vAlign w:val="center"/>
          </w:tcPr>
          <w:p w14:paraId="7C6C3A2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文件要求且价格最低的报价为评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rPr>
              <w:t>其他供应商的价格分统一按照下列公式计算：</w:t>
            </w:r>
          </w:p>
          <w:p w14:paraId="7AB21CC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价格分数=（评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基准价/报价）*价格权值（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p w14:paraId="3423F59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以第二次报价为依据进行计算，最终报价得分等于（磋商基准价/最终磋商报价）*价格权重（0.30）*100，四舍五入保留小数点后两位有效数字。</w:t>
            </w:r>
          </w:p>
          <w:p w14:paraId="36C1AA57">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8B7EE3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价格扣除：按照《政府采购促进中小企业发展管理办法》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《关于进一步加大政府采购支持中小企业力度的通知》规定，如果本项目非专门面向中小企业采购，对小型和微型企业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产品的价格给予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%的扣除，用扣除后的价格参与评审。中小企业应按照本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否则不作为认定依据。监狱企业</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需提供相关证明材料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w:t>
            </w:r>
          </w:p>
        </w:tc>
      </w:tr>
      <w:tr w14:paraId="1F3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24FC21C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38" w:type="dxa"/>
            <w:vMerge w:val="restart"/>
            <w:noWrap w:val="0"/>
            <w:vAlign w:val="center"/>
          </w:tcPr>
          <w:p w14:paraId="748487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7B841FA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部分</w:t>
            </w:r>
          </w:p>
        </w:tc>
        <w:tc>
          <w:tcPr>
            <w:tcW w:w="1787" w:type="dxa"/>
            <w:noWrap w:val="0"/>
            <w:vAlign w:val="center"/>
          </w:tcPr>
          <w:p w14:paraId="063EA1C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同类业绩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248" w:type="dxa"/>
            <w:noWrap w:val="0"/>
            <w:vAlign w:val="center"/>
          </w:tcPr>
          <w:p w14:paraId="749F98BF">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每提供一项同类项目(所投产品)销售业绩得1分，满分5分。</w:t>
            </w:r>
          </w:p>
          <w:p w14:paraId="584A4F33">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评分依据:</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en-US" w:eastAsia="zh-CN"/>
              </w:rPr>
              <w:t>文件中附合同或中标通知书复印件，业绩有效期为2022年1月1日至今，以合同签订时间为准。(</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销售业绩或制造商的销售业绩有效)</w:t>
            </w:r>
          </w:p>
        </w:tc>
      </w:tr>
      <w:tr w14:paraId="5A6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noWrap w:val="0"/>
            <w:vAlign w:val="center"/>
          </w:tcPr>
          <w:p w14:paraId="0FE8CA3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38" w:type="dxa"/>
            <w:vMerge w:val="continue"/>
            <w:noWrap w:val="0"/>
            <w:vAlign w:val="center"/>
          </w:tcPr>
          <w:p w14:paraId="70F5ECC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1BE37CC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“节能产品”和“环境标志产 品”评价（1分）</w:t>
            </w:r>
          </w:p>
        </w:tc>
        <w:tc>
          <w:tcPr>
            <w:tcW w:w="7248" w:type="dxa"/>
            <w:noWrap w:val="0"/>
            <w:vAlign w:val="center"/>
          </w:tcPr>
          <w:p w14:paraId="6B55E6B2">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政府采购的强制产品除外： 1、投标产品属于“节能产品政府采购品目清单”产品的，且认证在有效截止日期内，得 0.5 分；不是的为 0 分； </w:t>
            </w:r>
          </w:p>
          <w:p w14:paraId="44E5AF45">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2、投标产品属于“环境标志产品政府采购品目清单”产品的，且认证在有效 </w:t>
            </w:r>
          </w:p>
          <w:p w14:paraId="2A9C34DC">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截止日期内，得 0.5 分；不是的为 0 分。</w:t>
            </w:r>
          </w:p>
        </w:tc>
      </w:tr>
      <w:tr w14:paraId="025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DC7A68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38" w:type="dxa"/>
            <w:vMerge w:val="continue"/>
            <w:noWrap w:val="0"/>
            <w:vAlign w:val="center"/>
          </w:tcPr>
          <w:p w14:paraId="700A54A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4B2204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质量保证期 </w:t>
            </w:r>
          </w:p>
          <w:p w14:paraId="1480DBD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（保修期）</w:t>
            </w:r>
          </w:p>
          <w:p w14:paraId="114692B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0F58744E">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szCs w:val="21"/>
                <w:highlight w:val="none"/>
              </w:rPr>
              <w:t>质保期及保修期符合</w:t>
            </w:r>
            <w:r>
              <w:rPr>
                <w:rFonts w:hint="eastAsia" w:ascii="宋体" w:hAnsi="宋体" w:cs="宋体"/>
                <w:szCs w:val="21"/>
                <w:highlight w:val="none"/>
                <w:lang w:eastAsia="zh-CN"/>
              </w:rPr>
              <w:t>竞争性磋商文件</w:t>
            </w:r>
            <w:r>
              <w:rPr>
                <w:rFonts w:hint="eastAsia" w:ascii="宋体" w:hAnsi="宋体" w:cs="宋体"/>
                <w:szCs w:val="21"/>
                <w:highlight w:val="none"/>
              </w:rPr>
              <w:t>要求的基础上，每增加</w:t>
            </w:r>
            <w:r>
              <w:rPr>
                <w:rFonts w:hint="eastAsia" w:ascii="宋体" w:hAnsi="宋体" w:cs="宋体"/>
                <w:szCs w:val="21"/>
                <w:highlight w:val="none"/>
                <w:lang w:val="en-US" w:eastAsia="zh-CN"/>
              </w:rPr>
              <w:t>1</w:t>
            </w:r>
            <w:r>
              <w:rPr>
                <w:rFonts w:hint="eastAsia" w:ascii="宋体" w:hAnsi="宋体" w:cs="宋体"/>
                <w:szCs w:val="21"/>
                <w:highlight w:val="none"/>
              </w:rPr>
              <w:t>年加</w:t>
            </w:r>
            <w:r>
              <w:rPr>
                <w:rFonts w:hint="eastAsia" w:ascii="宋体" w:hAnsi="宋体" w:cs="宋体"/>
                <w:szCs w:val="21"/>
                <w:highlight w:val="none"/>
                <w:lang w:val="en-US" w:eastAsia="zh-CN"/>
              </w:rPr>
              <w:t>2</w:t>
            </w:r>
            <w:r>
              <w:rPr>
                <w:rFonts w:hint="eastAsia" w:ascii="宋体" w:hAnsi="宋体" w:cs="宋体"/>
                <w:szCs w:val="21"/>
                <w:highlight w:val="none"/>
              </w:rPr>
              <w:t>分，本项最高得</w:t>
            </w:r>
            <w:r>
              <w:rPr>
                <w:rFonts w:hint="eastAsia" w:ascii="宋体" w:hAnsi="宋体" w:cs="宋体"/>
                <w:szCs w:val="21"/>
                <w:highlight w:val="none"/>
                <w:lang w:val="en-US" w:eastAsia="zh-CN"/>
              </w:rPr>
              <w:t>4</w:t>
            </w:r>
            <w:r>
              <w:rPr>
                <w:rFonts w:hint="eastAsia" w:ascii="宋体" w:hAnsi="宋体" w:cs="宋体"/>
                <w:szCs w:val="21"/>
                <w:highlight w:val="none"/>
              </w:rPr>
              <w:t>分，最低得0分,提供承诺书并加盖公章。</w:t>
            </w:r>
            <w:r>
              <w:rPr>
                <w:rFonts w:hint="eastAsia" w:ascii="宋体" w:hAnsi="宋体" w:cs="宋体"/>
                <w:kern w:val="0"/>
                <w:szCs w:val="21"/>
                <w:highlight w:val="none"/>
                <w:lang w:bidi="ar"/>
              </w:rPr>
              <w:t>注：不满足</w:t>
            </w:r>
            <w:r>
              <w:rPr>
                <w:rFonts w:hint="eastAsia" w:ascii="宋体" w:hAnsi="宋体" w:cs="宋体"/>
                <w:kern w:val="0"/>
                <w:szCs w:val="21"/>
                <w:highlight w:val="none"/>
                <w:lang w:eastAsia="zh-CN" w:bidi="ar"/>
              </w:rPr>
              <w:t>竞争性磋商文件</w:t>
            </w:r>
            <w:r>
              <w:rPr>
                <w:rFonts w:hint="eastAsia" w:ascii="宋体" w:hAnsi="宋体" w:cs="宋体"/>
                <w:kern w:val="0"/>
                <w:szCs w:val="21"/>
                <w:highlight w:val="none"/>
                <w:lang w:bidi="ar"/>
              </w:rPr>
              <w:t xml:space="preserve">要求的质保期（保修期）其投标将被拒绝。 </w:t>
            </w:r>
          </w:p>
        </w:tc>
      </w:tr>
      <w:tr w14:paraId="7EB3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114D3D0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auto"/>
                <w:sz w:val="21"/>
                <w:szCs w:val="21"/>
                <w:highlight w:val="none"/>
                <w:lang w:val="en-US" w:eastAsia="zh-CN"/>
              </w:rPr>
            </w:pPr>
          </w:p>
        </w:tc>
        <w:tc>
          <w:tcPr>
            <w:tcW w:w="738" w:type="dxa"/>
            <w:vMerge w:val="restart"/>
            <w:noWrap w:val="0"/>
            <w:vAlign w:val="center"/>
          </w:tcPr>
          <w:p w14:paraId="1623D63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60D9E1F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shd w:val="clear" w:color="auto" w:fill="auto"/>
            <w:noWrap w:val="0"/>
            <w:vAlign w:val="center"/>
          </w:tcPr>
          <w:p w14:paraId="53DBB16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文件技术规格要求的响应程度（</w:t>
            </w:r>
            <w:r>
              <w:rPr>
                <w:rFonts w:hint="eastAsia" w:ascii="宋体" w:hAnsi="宋体" w:cs="宋体"/>
                <w:color w:val="auto"/>
                <w:sz w:val="21"/>
                <w:szCs w:val="21"/>
                <w:highlight w:val="none"/>
                <w:lang w:val="en-US" w:eastAsia="zh-CN"/>
              </w:rPr>
              <w:t>33.5</w:t>
            </w:r>
            <w:r>
              <w:rPr>
                <w:rFonts w:hint="eastAsia" w:ascii="宋体" w:hAnsi="宋体" w:eastAsia="宋体" w:cs="宋体"/>
                <w:color w:val="auto"/>
                <w:sz w:val="21"/>
                <w:szCs w:val="21"/>
                <w:highlight w:val="none"/>
                <w:lang w:val="en-US" w:eastAsia="zh-CN"/>
              </w:rPr>
              <w:t>分）</w:t>
            </w:r>
          </w:p>
        </w:tc>
        <w:tc>
          <w:tcPr>
            <w:tcW w:w="7248" w:type="dxa"/>
            <w:shd w:val="clear" w:color="auto" w:fill="auto"/>
            <w:noWrap w:val="0"/>
            <w:vAlign w:val="center"/>
          </w:tcPr>
          <w:p w14:paraId="5FC44939">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cs="宋体"/>
                <w:kern w:val="0"/>
                <w:szCs w:val="21"/>
                <w:lang w:val="zh-CN"/>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文件采购需求技术指标全部满足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文件要求的为</w:t>
            </w:r>
            <w:r>
              <w:rPr>
                <w:rFonts w:hint="eastAsia" w:ascii="宋体" w:hAnsi="宋体" w:cs="宋体"/>
                <w:color w:val="auto"/>
                <w:sz w:val="21"/>
                <w:szCs w:val="21"/>
                <w:highlight w:val="none"/>
                <w:lang w:val="en-US" w:eastAsia="zh-CN"/>
              </w:rPr>
              <w:t>33.5</w:t>
            </w:r>
            <w:r>
              <w:rPr>
                <w:rFonts w:hint="eastAsia" w:ascii="宋体" w:hAnsi="宋体" w:eastAsia="宋体" w:cs="宋体"/>
                <w:color w:val="auto"/>
                <w:sz w:val="21"/>
                <w:szCs w:val="21"/>
                <w:highlight w:val="none"/>
                <w:lang w:val="en-US" w:eastAsia="zh-CN"/>
              </w:rPr>
              <w:t>分，其中： 有 1 项</w:t>
            </w:r>
            <w:r>
              <w:rPr>
                <w:rFonts w:hint="eastAsia" w:ascii="宋体" w:hAnsi="宋体" w:cs="宋体"/>
                <w:color w:val="auto"/>
                <w:sz w:val="21"/>
                <w:szCs w:val="21"/>
                <w:highlight w:val="none"/>
                <w:lang w:val="en-US" w:eastAsia="zh-CN"/>
              </w:rPr>
              <w:t>一般技术参数</w:t>
            </w:r>
            <w:r>
              <w:rPr>
                <w:rFonts w:hint="eastAsia" w:ascii="宋体" w:hAnsi="宋体" w:eastAsia="宋体" w:cs="宋体"/>
                <w:color w:val="auto"/>
                <w:sz w:val="21"/>
                <w:szCs w:val="21"/>
                <w:highlight w:val="none"/>
                <w:lang w:val="en-US" w:eastAsia="zh-CN"/>
              </w:rPr>
              <w:t>不满足的，扣</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技术参数里▲项有一项不满足的，扣</w:t>
            </w:r>
            <w:r>
              <w:rPr>
                <w:rFonts w:hint="eastAsia" w:ascii="宋体" w:hAnsi="宋体" w:eastAsia="宋体" w:cs="宋体"/>
                <w:color w:val="auto"/>
                <w:sz w:val="21"/>
                <w:szCs w:val="21"/>
                <w:highlight w:val="none"/>
                <w:lang w:val="en-US" w:eastAsia="zh-CN"/>
              </w:rPr>
              <w:t>0.3</w:t>
            </w:r>
            <w:r>
              <w:rPr>
                <w:rFonts w:hint="default"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扣完为止，</w:t>
            </w:r>
            <w:r>
              <w:rPr>
                <w:rFonts w:hint="default" w:ascii="宋体" w:hAnsi="宋体" w:eastAsia="宋体" w:cs="宋体"/>
                <w:color w:val="auto"/>
                <w:sz w:val="21"/>
                <w:szCs w:val="21"/>
                <w:highlight w:val="none"/>
                <w:lang w:val="en-US" w:eastAsia="zh-CN"/>
              </w:rPr>
              <w:t>最低得分 0 分。</w:t>
            </w:r>
          </w:p>
          <w:p w14:paraId="00699FDD">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rPr>
              <w:t>注：“</w:t>
            </w:r>
            <w:r>
              <w:rPr>
                <w:rFonts w:hint="default" w:ascii="宋体" w:hAnsi="宋体" w:eastAsia="宋体" w:cs="宋体"/>
                <w:color w:val="auto"/>
                <w:sz w:val="21"/>
                <w:szCs w:val="21"/>
                <w:highlight w:val="none"/>
                <w:lang w:val="en-US" w:eastAsia="zh-CN"/>
              </w:rPr>
              <w:t>▲</w:t>
            </w:r>
            <w:r>
              <w:rPr>
                <w:rFonts w:hint="eastAsia" w:ascii="宋体" w:hAnsi="宋体" w:cs="宋体"/>
                <w:color w:val="auto"/>
                <w:szCs w:val="21"/>
                <w:highlight w:val="none"/>
              </w:rPr>
              <w:t>”号参数须提供相关要求的技术支持资料，且标明所在响应文件中的页码，供应商的技术偏离表中仅作出应答而未提供要求的有效技术支持资料，</w:t>
            </w:r>
            <w:r>
              <w:rPr>
                <w:rFonts w:hint="eastAsia" w:ascii="宋体" w:hAnsi="宋体" w:cs="宋体"/>
                <w:color w:val="auto"/>
                <w:szCs w:val="21"/>
                <w:highlight w:val="none"/>
                <w:lang w:val="en-US" w:eastAsia="zh-CN"/>
              </w:rPr>
              <w:t>磋商小组</w:t>
            </w:r>
            <w:r>
              <w:rPr>
                <w:rFonts w:hint="eastAsia" w:ascii="宋体" w:hAnsi="宋体" w:cs="宋体"/>
                <w:color w:val="auto"/>
                <w:szCs w:val="21"/>
                <w:highlight w:val="none"/>
              </w:rPr>
              <w:t>均有权不予认可，并扣除相应分值。如有虚假应标行为，其结果由供应商自行负责。</w:t>
            </w:r>
            <w:r>
              <w:rPr>
                <w:rFonts w:hint="eastAsia" w:ascii="宋体" w:hAnsi="宋体" w:eastAsia="宋体" w:cs="宋体"/>
                <w:color w:val="auto"/>
                <w:kern w:val="2"/>
                <w:sz w:val="21"/>
                <w:szCs w:val="21"/>
                <w:highlight w:val="none"/>
                <w:lang w:val="en-US" w:eastAsia="zh-CN" w:bidi="ar-SA"/>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p w14:paraId="725607F5">
            <w:pPr>
              <w:rPr>
                <w:rFonts w:hint="eastAsia" w:ascii="宋体" w:hAnsi="宋体" w:eastAsia="宋体" w:cs="宋体"/>
                <w:b/>
                <w:bCs/>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.最低得分为 0 分时将按照无效投标处理，予以拒绝。</w:t>
            </w:r>
          </w:p>
        </w:tc>
      </w:tr>
      <w:tr w14:paraId="6256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715060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738" w:type="dxa"/>
            <w:vMerge w:val="continue"/>
            <w:noWrap w:val="0"/>
            <w:vAlign w:val="center"/>
          </w:tcPr>
          <w:p w14:paraId="5F6C51E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3E69BE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对供应商售后服务能力的评价</w:t>
            </w:r>
          </w:p>
          <w:p w14:paraId="507A13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231401F0">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根据招标要求和投标技术响应情况，对供应商提供的售后服务方案进行评价， </w:t>
            </w:r>
          </w:p>
          <w:p w14:paraId="57A299E9">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包括：①售后服务承诺及保障措施，② 响应及处理周期，③技术服务及服务方式，④售后服务网点整体情况，共四项内容，其中每项： </w:t>
            </w:r>
          </w:p>
          <w:p w14:paraId="514AA88B">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1）提供方案内容均进行详细阐述且满足采购需求，得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 </w:t>
            </w:r>
          </w:p>
          <w:p w14:paraId="1A09F13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2）提供相关方案但未贴合项目实际情况进行论述，或内容中未包括具体实施 </w:t>
            </w:r>
          </w:p>
          <w:p w14:paraId="72850B61">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细节及措施，得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 </w:t>
            </w:r>
          </w:p>
          <w:p w14:paraId="3491B04C">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3）方案内容不符合项目实际情况且未提供具体实施细节及措施，得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 </w:t>
            </w:r>
          </w:p>
          <w:p w14:paraId="5C315D1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4）未提供相关方案不得分。</w:t>
            </w:r>
          </w:p>
        </w:tc>
      </w:tr>
      <w:tr w14:paraId="036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2FD187F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738" w:type="dxa"/>
            <w:vMerge w:val="continue"/>
            <w:noWrap w:val="0"/>
            <w:vAlign w:val="center"/>
          </w:tcPr>
          <w:p w14:paraId="67783D7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2980E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培训服务方 </w:t>
            </w:r>
          </w:p>
          <w:p w14:paraId="3B0D221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案评价（</w:t>
            </w:r>
            <w:r>
              <w:rPr>
                <w:rFonts w:hint="eastAsia" w:ascii="宋体" w:hAnsi="宋体" w:cs="宋体"/>
                <w:color w:val="auto"/>
                <w:sz w:val="21"/>
                <w:szCs w:val="21"/>
                <w:highlight w:val="none"/>
                <w:lang w:val="en-US" w:eastAsia="zh-CN"/>
              </w:rPr>
              <w:t>6.5</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19391DD0">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根据招标要求和投标技术响应情况，对供应商提供的培训服务方案进行评价，1）提供方案内容均进行详细阐述且满足采购需求，得</w:t>
            </w:r>
            <w:r>
              <w:rPr>
                <w:rFonts w:hint="eastAsia" w:ascii="宋体" w:hAnsi="宋体" w:cs="宋体"/>
                <w:color w:val="auto"/>
                <w:sz w:val="21"/>
                <w:szCs w:val="21"/>
                <w:highlight w:val="none"/>
                <w:lang w:val="en-US" w:eastAsia="zh-CN"/>
              </w:rPr>
              <w:t>6.5</w:t>
            </w:r>
            <w:r>
              <w:rPr>
                <w:rFonts w:hint="eastAsia" w:ascii="宋体" w:hAnsi="宋体" w:eastAsia="宋体" w:cs="宋体"/>
                <w:color w:val="auto"/>
                <w:sz w:val="21"/>
                <w:szCs w:val="21"/>
                <w:highlight w:val="none"/>
                <w:lang w:val="en-US" w:eastAsia="zh-CN"/>
              </w:rPr>
              <w:t xml:space="preserve">分； 2）提供相关方案但未贴合项目实际情况进行论述，或内容中未包括具体实施细节及措施，得 </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 3）方案内容不符合项目实际情况且未提供具体实施细节及措施，得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分；4）未提供相关方案不得分。</w:t>
            </w:r>
          </w:p>
        </w:tc>
      </w:tr>
      <w:tr w14:paraId="081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783DD9EA">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38" w:type="dxa"/>
            <w:vMerge w:val="continue"/>
            <w:noWrap w:val="0"/>
            <w:vAlign w:val="center"/>
          </w:tcPr>
          <w:p w14:paraId="6B8BBA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08FA6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供货、安装调试方案</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72113C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1.供货、安装、调试方案进行了详细的阐述，能正确理解本项目供货安装调试需求，阐述思路清晰，具体实施细节及措施详细论述，满足采购需求得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2F561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2.供货、安装、调试方案虽然进行了阐述但并未贴合供货安装调试需求进行详细论述，或方案中缺少具体实施细节及措施得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11E5C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3.供货、安装、调试方案虽进行阐述但仅能部分满足需求得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4DBE3F4">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4.供货、安装、调试方案未进行任何阐述或不能满足采购需求得0分。</w:t>
            </w:r>
          </w:p>
        </w:tc>
      </w:tr>
    </w:tbl>
    <w:p w14:paraId="75057D70">
      <w:pPr>
        <w:keepNext w:val="0"/>
        <w:keepLines w:val="0"/>
        <w:pageBreakBefore w:val="0"/>
        <w:widowControl w:val="0"/>
        <w:kinsoku/>
        <w:wordWrap/>
        <w:overflowPunct/>
        <w:topLinePunct w:val="0"/>
        <w:bidi w:val="0"/>
        <w:adjustRightInd w:val="0"/>
        <w:snapToGrid w:val="0"/>
        <w:spacing w:line="300" w:lineRule="exact"/>
        <w:ind w:firstLine="315" w:firstLineChars="150"/>
        <w:textAlignment w:val="auto"/>
        <w:rPr>
          <w:rFonts w:ascii="宋体" w:hAnsi="宋体"/>
          <w:b w:val="0"/>
          <w:bCs/>
          <w:color w:val="auto"/>
          <w:sz w:val="24"/>
          <w:highlight w:val="none"/>
        </w:rPr>
      </w:pPr>
      <w:r>
        <w:rPr>
          <w:rFonts w:hint="eastAsia"/>
          <w:b w:val="0"/>
          <w:bCs/>
          <w:color w:val="auto"/>
          <w:szCs w:val="21"/>
          <w:highlight w:val="none"/>
        </w:rPr>
        <w:br w:type="page"/>
      </w:r>
    </w:p>
    <w:bookmarkEnd w:id="290"/>
    <w:bookmarkEnd w:id="291"/>
    <w:bookmarkEnd w:id="292"/>
    <w:p w14:paraId="75A35B08">
      <w:pPr>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465B2CB6">
      <w:pPr>
        <w:outlineLvl w:val="9"/>
        <w:rPr>
          <w:rFonts w:ascii="宋体" w:hAnsi="宋体" w:cs="宋体"/>
          <w:color w:val="auto"/>
          <w:highlight w:val="none"/>
        </w:rPr>
      </w:pPr>
      <w:bookmarkStart w:id="293" w:name="_Toc15000"/>
      <w:r>
        <w:rPr>
          <w:rFonts w:hint="eastAsia" w:ascii="宋体" w:hAnsi="宋体" w:cs="宋体"/>
          <w:b/>
          <w:color w:val="auto"/>
          <w:szCs w:val="21"/>
          <w:highlight w:val="none"/>
        </w:rPr>
        <w:t>注：政府采购促进中小企业发展扶持政策</w:t>
      </w:r>
    </w:p>
    <w:p w14:paraId="69F4E80A">
      <w:pPr>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关于印发《政府采购促进中小企业发展管理办法》的通知</w:t>
      </w:r>
    </w:p>
    <w:p w14:paraId="6DE94379">
      <w:pPr>
        <w:spacing w:line="360" w:lineRule="auto"/>
        <w:ind w:firstLine="420" w:firstLineChars="200"/>
        <w:jc w:val="center"/>
        <w:outlineLvl w:val="9"/>
        <w:rPr>
          <w:rFonts w:ascii="宋体" w:hAnsi="宋体" w:cs="宋体"/>
          <w:bCs/>
          <w:color w:val="auto"/>
          <w:szCs w:val="21"/>
          <w:highlight w:val="none"/>
        </w:rPr>
      </w:pPr>
      <w:bookmarkStart w:id="294" w:name="_Toc18113"/>
      <w:r>
        <w:rPr>
          <w:rFonts w:hint="eastAsia" w:ascii="宋体" w:hAnsi="宋体" w:cs="宋体"/>
          <w:bCs/>
          <w:color w:val="auto"/>
          <w:szCs w:val="21"/>
          <w:highlight w:val="none"/>
        </w:rPr>
        <w:t>财库〔2020〕46号</w:t>
      </w:r>
      <w:bookmarkEnd w:id="294"/>
    </w:p>
    <w:p w14:paraId="7D282E7F">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各中央预算单位办公厅（室），各省、自治区、直辖市、计划单列市财政厅（局）、工业和信息化主管部门，新疆生产建设兵团财政局、工业和信息化主管部门：</w:t>
      </w:r>
    </w:p>
    <w:p w14:paraId="2828CFF4">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612A4C">
      <w:pPr>
        <w:spacing w:line="360" w:lineRule="auto"/>
        <w:outlineLvl w:val="9"/>
        <w:rPr>
          <w:rFonts w:ascii="宋体" w:hAnsi="宋体" w:cs="宋体"/>
          <w:bCs/>
          <w:color w:val="auto"/>
          <w:szCs w:val="21"/>
          <w:highlight w:val="none"/>
        </w:rPr>
      </w:pPr>
    </w:p>
    <w:p w14:paraId="5A0AAF19">
      <w:p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附件：</w:t>
      </w:r>
    </w:p>
    <w:p w14:paraId="1B411C8F">
      <w:pPr>
        <w:pStyle w:val="47"/>
        <w:spacing w:before="0" w:beforeAutospacing="0" w:after="0" w:afterAutospacing="0" w:line="360" w:lineRule="auto"/>
        <w:jc w:val="center"/>
        <w:outlineLvl w:val="9"/>
        <w:rPr>
          <w:rStyle w:val="55"/>
          <w:rFonts w:ascii="宋体" w:hAnsi="宋体" w:cs="宋体"/>
          <w:color w:val="auto"/>
          <w:sz w:val="26"/>
          <w:szCs w:val="26"/>
          <w:highlight w:val="none"/>
        </w:rPr>
      </w:pPr>
    </w:p>
    <w:p w14:paraId="642E4022">
      <w:pPr>
        <w:pStyle w:val="47"/>
        <w:spacing w:before="0" w:beforeAutospacing="0" w:after="0" w:afterAutospacing="0" w:line="360" w:lineRule="auto"/>
        <w:jc w:val="center"/>
        <w:outlineLvl w:val="9"/>
        <w:rPr>
          <w:rFonts w:cs="宋体"/>
          <w:color w:val="auto"/>
          <w:highlight w:val="none"/>
        </w:rPr>
      </w:pPr>
      <w:r>
        <w:rPr>
          <w:rStyle w:val="55"/>
          <w:rFonts w:hint="eastAsia" w:ascii="宋体" w:hAnsi="宋体" w:cs="宋体"/>
          <w:color w:val="auto"/>
          <w:sz w:val="26"/>
          <w:szCs w:val="26"/>
          <w:highlight w:val="none"/>
        </w:rPr>
        <w:t>政府采购促进中小企业发展管理办法</w:t>
      </w:r>
    </w:p>
    <w:p w14:paraId="55626652">
      <w:pPr>
        <w:pStyle w:val="47"/>
        <w:spacing w:before="0" w:beforeAutospacing="0" w:after="0" w:afterAutospacing="0" w:line="360" w:lineRule="auto"/>
        <w:outlineLvl w:val="9"/>
        <w:rPr>
          <w:rFonts w:cs="宋体"/>
          <w:color w:val="auto"/>
          <w:highlight w:val="none"/>
        </w:rPr>
      </w:pPr>
    </w:p>
    <w:p w14:paraId="28AF94F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第一条　为了发挥政府采购的政策功能，促进中小企业健康发展，根据《中华人民共和国政府采购法》、《中华人民共和国中小企业促进法》等有关法律法规，制定本办法。</w:t>
      </w:r>
    </w:p>
    <w:p w14:paraId="07D0109F">
      <w:pPr>
        <w:spacing w:line="240" w:lineRule="auto"/>
        <w:jc w:val="left"/>
        <w:textAlignment w:val="center"/>
        <w:outlineLvl w:val="9"/>
        <w:rPr>
          <w:rFonts w:ascii="宋体" w:hAnsi="宋体" w:cs="宋体"/>
          <w:color w:val="auto"/>
          <w:szCs w:val="21"/>
          <w:highlight w:val="none"/>
          <w:lang w:val="zh-CN"/>
        </w:rPr>
      </w:pPr>
    </w:p>
    <w:p w14:paraId="75C4A71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A44EE68">
      <w:pPr>
        <w:spacing w:line="240" w:lineRule="auto"/>
        <w:jc w:val="left"/>
        <w:textAlignment w:val="center"/>
        <w:outlineLvl w:val="9"/>
        <w:rPr>
          <w:rFonts w:ascii="宋体" w:hAnsi="宋体" w:cs="宋体"/>
          <w:color w:val="auto"/>
          <w:szCs w:val="21"/>
          <w:highlight w:val="none"/>
          <w:lang w:val="zh-CN"/>
        </w:rPr>
      </w:pPr>
    </w:p>
    <w:p w14:paraId="6D60D4E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14:paraId="3FA2ED0C">
      <w:pPr>
        <w:spacing w:line="240" w:lineRule="auto"/>
        <w:jc w:val="left"/>
        <w:textAlignment w:val="center"/>
        <w:outlineLvl w:val="9"/>
        <w:rPr>
          <w:rFonts w:ascii="宋体" w:hAnsi="宋体" w:cs="宋体"/>
          <w:color w:val="auto"/>
          <w:szCs w:val="21"/>
          <w:highlight w:val="none"/>
          <w:lang w:val="zh-CN"/>
        </w:rPr>
      </w:pPr>
    </w:p>
    <w:p w14:paraId="1D23A81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1FF01253">
      <w:pPr>
        <w:spacing w:line="240" w:lineRule="auto"/>
        <w:jc w:val="left"/>
        <w:textAlignment w:val="center"/>
        <w:outlineLvl w:val="9"/>
        <w:rPr>
          <w:rFonts w:ascii="宋体" w:hAnsi="宋体" w:cs="宋体"/>
          <w:color w:val="auto"/>
          <w:szCs w:val="21"/>
          <w:highlight w:val="none"/>
          <w:lang w:val="zh-CN"/>
        </w:rPr>
      </w:pPr>
    </w:p>
    <w:p w14:paraId="3EB6FF2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第四条　在政府采购活动中，供应商提供的货物、工程或者服务符合下列情形的，享受本办法规定的中小企业扶持政策：</w:t>
      </w:r>
    </w:p>
    <w:p w14:paraId="19739E7D">
      <w:pPr>
        <w:spacing w:line="240" w:lineRule="auto"/>
        <w:jc w:val="left"/>
        <w:textAlignment w:val="center"/>
        <w:outlineLvl w:val="9"/>
        <w:rPr>
          <w:rFonts w:ascii="宋体" w:hAnsi="宋体" w:cs="宋体"/>
          <w:color w:val="auto"/>
          <w:szCs w:val="21"/>
          <w:highlight w:val="none"/>
          <w:lang w:val="zh-CN"/>
        </w:rPr>
      </w:pPr>
    </w:p>
    <w:p w14:paraId="7E82193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（一）在货物采购项目中，货物由中小企业制造，即货物由中小企业生产且使用该中小企业商号或者注册商标；</w:t>
      </w:r>
    </w:p>
    <w:p w14:paraId="0A111552">
      <w:pPr>
        <w:spacing w:line="240" w:lineRule="auto"/>
        <w:jc w:val="left"/>
        <w:textAlignment w:val="center"/>
        <w:outlineLvl w:val="9"/>
        <w:rPr>
          <w:rFonts w:ascii="宋体" w:hAnsi="宋体" w:cs="宋体"/>
          <w:color w:val="auto"/>
          <w:szCs w:val="21"/>
          <w:highlight w:val="none"/>
          <w:lang w:val="zh-CN"/>
        </w:rPr>
      </w:pPr>
    </w:p>
    <w:p w14:paraId="172FCB3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（二）在工程采购项目中，工程由中小企业承建，即工程施工单位为中小企业；</w:t>
      </w:r>
    </w:p>
    <w:p w14:paraId="5615DD04">
      <w:pPr>
        <w:spacing w:line="240" w:lineRule="auto"/>
        <w:jc w:val="left"/>
        <w:textAlignment w:val="center"/>
        <w:outlineLvl w:val="9"/>
        <w:rPr>
          <w:rFonts w:ascii="宋体" w:hAnsi="宋体" w:cs="宋体"/>
          <w:color w:val="auto"/>
          <w:szCs w:val="21"/>
          <w:highlight w:val="none"/>
          <w:lang w:val="zh-CN"/>
        </w:rPr>
      </w:pPr>
    </w:p>
    <w:p w14:paraId="30E9B67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（三）在服务采购项目中，服务由中小企业承接，即提供服务的人员为中小企业依照《中华人民共和国劳动合同法》订立劳动合同的从业人员。</w:t>
      </w:r>
    </w:p>
    <w:p w14:paraId="04D59EF6">
      <w:pPr>
        <w:spacing w:line="240" w:lineRule="auto"/>
        <w:jc w:val="left"/>
        <w:textAlignment w:val="center"/>
        <w:outlineLvl w:val="9"/>
        <w:rPr>
          <w:rFonts w:ascii="宋体" w:hAnsi="宋体" w:cs="宋体"/>
          <w:color w:val="auto"/>
          <w:szCs w:val="21"/>
          <w:highlight w:val="none"/>
          <w:lang w:val="zh-CN"/>
        </w:rPr>
      </w:pPr>
    </w:p>
    <w:p w14:paraId="1190663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在货物采购项目中，供应商提供的货物既有中小企业制造货物，也有大型企业制造货物的，不享受本办法规定的中小企业扶持政策。</w:t>
      </w:r>
    </w:p>
    <w:p w14:paraId="73EBE7BF">
      <w:pPr>
        <w:spacing w:line="240" w:lineRule="auto"/>
        <w:jc w:val="left"/>
        <w:textAlignment w:val="center"/>
        <w:outlineLvl w:val="9"/>
        <w:rPr>
          <w:rFonts w:ascii="宋体" w:hAnsi="宋体" w:cs="宋体"/>
          <w:color w:val="auto"/>
          <w:szCs w:val="21"/>
          <w:highlight w:val="none"/>
          <w:lang w:val="zh-CN"/>
        </w:rPr>
      </w:pPr>
    </w:p>
    <w:p w14:paraId="2EB32C8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33C43617">
      <w:pPr>
        <w:spacing w:line="240" w:lineRule="auto"/>
        <w:jc w:val="left"/>
        <w:textAlignment w:val="center"/>
        <w:outlineLvl w:val="9"/>
        <w:rPr>
          <w:rFonts w:ascii="宋体" w:hAnsi="宋体" w:cs="宋体"/>
          <w:color w:val="auto"/>
          <w:szCs w:val="21"/>
          <w:highlight w:val="none"/>
          <w:lang w:val="zh-CN"/>
        </w:rPr>
      </w:pPr>
    </w:p>
    <w:p w14:paraId="72CD8B3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8C0084C">
      <w:pPr>
        <w:spacing w:line="240" w:lineRule="auto"/>
        <w:jc w:val="left"/>
        <w:textAlignment w:val="center"/>
        <w:outlineLvl w:val="9"/>
        <w:rPr>
          <w:rFonts w:ascii="宋体" w:hAnsi="宋体" w:cs="宋体"/>
          <w:color w:val="auto"/>
          <w:szCs w:val="21"/>
          <w:highlight w:val="none"/>
          <w:lang w:val="zh-CN"/>
        </w:rPr>
      </w:pPr>
    </w:p>
    <w:p w14:paraId="5ACDA92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4929C7">
      <w:pPr>
        <w:spacing w:line="240" w:lineRule="auto"/>
        <w:jc w:val="left"/>
        <w:textAlignment w:val="center"/>
        <w:outlineLvl w:val="9"/>
        <w:rPr>
          <w:rFonts w:ascii="宋体" w:hAnsi="宋体" w:cs="宋体"/>
          <w:color w:val="auto"/>
          <w:szCs w:val="21"/>
          <w:highlight w:val="none"/>
          <w:lang w:val="zh-CN"/>
        </w:rPr>
      </w:pPr>
    </w:p>
    <w:p w14:paraId="552BE87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符合下列情形之一的，可不专门面向中小企业预留采购份额：</w:t>
      </w:r>
    </w:p>
    <w:p w14:paraId="12101E1F">
      <w:pPr>
        <w:spacing w:line="240" w:lineRule="auto"/>
        <w:jc w:val="left"/>
        <w:textAlignment w:val="center"/>
        <w:outlineLvl w:val="9"/>
        <w:rPr>
          <w:rFonts w:ascii="宋体" w:hAnsi="宋体" w:cs="宋体"/>
          <w:color w:val="auto"/>
          <w:szCs w:val="21"/>
          <w:highlight w:val="none"/>
          <w:lang w:val="zh-CN"/>
        </w:rPr>
      </w:pPr>
    </w:p>
    <w:p w14:paraId="4A2B859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（一）法律法规和国家有关政策明确规定优先或者应当面向事业单位、社会组织等非企业主体采购的；</w:t>
      </w:r>
    </w:p>
    <w:p w14:paraId="218B8995">
      <w:pPr>
        <w:spacing w:line="240" w:lineRule="auto"/>
        <w:jc w:val="left"/>
        <w:textAlignment w:val="center"/>
        <w:outlineLvl w:val="9"/>
        <w:rPr>
          <w:rFonts w:ascii="宋体" w:hAnsi="宋体" w:cs="宋体"/>
          <w:color w:val="auto"/>
          <w:szCs w:val="21"/>
          <w:highlight w:val="none"/>
          <w:lang w:val="zh-CN"/>
        </w:rPr>
      </w:pPr>
    </w:p>
    <w:p w14:paraId="0B66385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（二）因确需使用不可替代的专利、专有技术，基础设施限制，或者提供特定公共服务等原因，只能从中小企业之外的供应商处采购的；</w:t>
      </w:r>
    </w:p>
    <w:p w14:paraId="1EF9C94C">
      <w:pPr>
        <w:spacing w:line="240" w:lineRule="auto"/>
        <w:jc w:val="left"/>
        <w:textAlignment w:val="center"/>
        <w:outlineLvl w:val="9"/>
        <w:rPr>
          <w:rFonts w:ascii="宋体" w:hAnsi="宋体" w:cs="宋体"/>
          <w:color w:val="auto"/>
          <w:szCs w:val="21"/>
          <w:highlight w:val="none"/>
          <w:lang w:val="zh-CN"/>
        </w:rPr>
      </w:pPr>
    </w:p>
    <w:p w14:paraId="06E4CF4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（三）按照本办法规定预留采购份额无法确保充分供应、充分竞争，或者存在可能影响政府采购目标实现的情形；</w:t>
      </w:r>
    </w:p>
    <w:p w14:paraId="2815169F">
      <w:pPr>
        <w:spacing w:line="240" w:lineRule="auto"/>
        <w:jc w:val="left"/>
        <w:textAlignment w:val="center"/>
        <w:outlineLvl w:val="9"/>
        <w:rPr>
          <w:rFonts w:ascii="宋体" w:hAnsi="宋体" w:cs="宋体"/>
          <w:color w:val="auto"/>
          <w:szCs w:val="21"/>
          <w:highlight w:val="none"/>
          <w:lang w:val="zh-CN"/>
        </w:rPr>
      </w:pPr>
    </w:p>
    <w:p w14:paraId="378D1E6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（四）框架协议采购项目；</w:t>
      </w:r>
    </w:p>
    <w:p w14:paraId="3B6B0317">
      <w:pPr>
        <w:spacing w:line="240" w:lineRule="auto"/>
        <w:jc w:val="left"/>
        <w:textAlignment w:val="center"/>
        <w:outlineLvl w:val="9"/>
        <w:rPr>
          <w:rFonts w:ascii="宋体" w:hAnsi="宋体" w:cs="宋体"/>
          <w:color w:val="auto"/>
          <w:szCs w:val="21"/>
          <w:highlight w:val="none"/>
          <w:lang w:val="zh-CN"/>
        </w:rPr>
      </w:pPr>
    </w:p>
    <w:p w14:paraId="4368A21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（五）省级以上人民政府财政部门规定的其他情形。</w:t>
      </w:r>
    </w:p>
    <w:p w14:paraId="61668B3D">
      <w:pPr>
        <w:spacing w:line="240" w:lineRule="auto"/>
        <w:jc w:val="left"/>
        <w:textAlignment w:val="center"/>
        <w:outlineLvl w:val="9"/>
        <w:rPr>
          <w:rFonts w:ascii="宋体" w:hAnsi="宋体" w:cs="宋体"/>
          <w:color w:val="auto"/>
          <w:szCs w:val="21"/>
          <w:highlight w:val="none"/>
          <w:lang w:val="zh-CN"/>
        </w:rPr>
      </w:pPr>
    </w:p>
    <w:p w14:paraId="17F5D80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除上述情形外，其他均为适宜由中小企业提供的情形。</w:t>
      </w:r>
    </w:p>
    <w:p w14:paraId="31E283DF">
      <w:pPr>
        <w:spacing w:line="240" w:lineRule="auto"/>
        <w:jc w:val="left"/>
        <w:textAlignment w:val="center"/>
        <w:outlineLvl w:val="9"/>
        <w:rPr>
          <w:rFonts w:ascii="宋体" w:hAnsi="宋体" w:cs="宋体"/>
          <w:color w:val="auto"/>
          <w:szCs w:val="21"/>
          <w:highlight w:val="none"/>
          <w:lang w:val="zh-CN"/>
        </w:rPr>
      </w:pPr>
    </w:p>
    <w:p w14:paraId="31C277E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第七条　采购限额标准以上，200万元以下的货物和服务采购项目、400万元以下的工程采购项目，适宜由中小企业提供的，采购人应当专门面向中小企业采购。</w:t>
      </w:r>
    </w:p>
    <w:p w14:paraId="5685CB1A">
      <w:pPr>
        <w:spacing w:line="240" w:lineRule="auto"/>
        <w:jc w:val="left"/>
        <w:textAlignment w:val="center"/>
        <w:outlineLvl w:val="9"/>
        <w:rPr>
          <w:rFonts w:ascii="宋体" w:hAnsi="宋体" w:cs="宋体"/>
          <w:color w:val="auto"/>
          <w:szCs w:val="21"/>
          <w:highlight w:val="none"/>
          <w:lang w:val="zh-CN"/>
        </w:rPr>
      </w:pPr>
    </w:p>
    <w:p w14:paraId="7AE514D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C4565F7">
      <w:pPr>
        <w:spacing w:line="240" w:lineRule="auto"/>
        <w:jc w:val="left"/>
        <w:textAlignment w:val="center"/>
        <w:outlineLvl w:val="9"/>
        <w:rPr>
          <w:rFonts w:ascii="宋体" w:hAnsi="宋体" w:cs="宋体"/>
          <w:color w:val="auto"/>
          <w:szCs w:val="21"/>
          <w:highlight w:val="none"/>
          <w:lang w:val="zh-CN"/>
        </w:rPr>
      </w:pPr>
    </w:p>
    <w:p w14:paraId="5FA53CC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（一）将采购项目整体或者设置采购包专门面向中小企业采购；</w:t>
      </w:r>
    </w:p>
    <w:p w14:paraId="0361B814">
      <w:pPr>
        <w:spacing w:line="240" w:lineRule="auto"/>
        <w:jc w:val="left"/>
        <w:textAlignment w:val="center"/>
        <w:outlineLvl w:val="9"/>
        <w:rPr>
          <w:rFonts w:ascii="宋体" w:hAnsi="宋体" w:cs="宋体"/>
          <w:color w:val="auto"/>
          <w:szCs w:val="21"/>
          <w:highlight w:val="none"/>
          <w:lang w:val="zh-CN"/>
        </w:rPr>
      </w:pPr>
    </w:p>
    <w:p w14:paraId="67C4DF0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（二）要求供应商以联合体形式参加采购活动，且联合体中中小企业承担的部分达到一定比例；</w:t>
      </w:r>
    </w:p>
    <w:p w14:paraId="0EFC4C0C">
      <w:pPr>
        <w:spacing w:line="240" w:lineRule="auto"/>
        <w:jc w:val="left"/>
        <w:textAlignment w:val="center"/>
        <w:outlineLvl w:val="9"/>
        <w:rPr>
          <w:rFonts w:ascii="宋体" w:hAnsi="宋体" w:cs="宋体"/>
          <w:color w:val="auto"/>
          <w:szCs w:val="21"/>
          <w:highlight w:val="none"/>
          <w:lang w:val="zh-CN"/>
        </w:rPr>
      </w:pPr>
    </w:p>
    <w:p w14:paraId="69D6344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（三）要求获得采购合同的供应商将采购项目中的一定比例分包给一家或者多家中小企业。</w:t>
      </w:r>
    </w:p>
    <w:p w14:paraId="162C1232">
      <w:pPr>
        <w:spacing w:line="240" w:lineRule="auto"/>
        <w:jc w:val="left"/>
        <w:textAlignment w:val="center"/>
        <w:outlineLvl w:val="9"/>
        <w:rPr>
          <w:rFonts w:ascii="宋体" w:hAnsi="宋体" w:cs="宋体"/>
          <w:color w:val="auto"/>
          <w:szCs w:val="21"/>
          <w:highlight w:val="none"/>
          <w:lang w:val="zh-CN"/>
        </w:rPr>
      </w:pPr>
    </w:p>
    <w:p w14:paraId="584F724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组成联合体或者接受分包合同的中小企业与联合体内其他企业、分包企业之间不得存在直接控股、管理关系。</w:t>
      </w:r>
    </w:p>
    <w:p w14:paraId="34F1B297">
      <w:pPr>
        <w:spacing w:line="240" w:lineRule="auto"/>
        <w:jc w:val="left"/>
        <w:textAlignment w:val="center"/>
        <w:outlineLvl w:val="9"/>
        <w:rPr>
          <w:rFonts w:ascii="宋体" w:hAnsi="宋体" w:cs="宋体"/>
          <w:color w:val="auto"/>
          <w:szCs w:val="21"/>
          <w:highlight w:val="none"/>
          <w:lang w:val="zh-CN"/>
        </w:rPr>
      </w:pPr>
    </w:p>
    <w:p w14:paraId="0C850B6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24F0D8E">
      <w:pPr>
        <w:spacing w:line="240" w:lineRule="auto"/>
        <w:jc w:val="left"/>
        <w:textAlignment w:val="center"/>
        <w:outlineLvl w:val="9"/>
        <w:rPr>
          <w:rFonts w:ascii="宋体" w:hAnsi="宋体" w:cs="宋体"/>
          <w:color w:val="auto"/>
          <w:szCs w:val="21"/>
          <w:highlight w:val="none"/>
          <w:lang w:val="zh-CN"/>
        </w:rPr>
      </w:pPr>
    </w:p>
    <w:p w14:paraId="24A6223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E98A1F">
      <w:pPr>
        <w:spacing w:line="240" w:lineRule="auto"/>
        <w:jc w:val="left"/>
        <w:textAlignment w:val="center"/>
        <w:outlineLvl w:val="9"/>
        <w:rPr>
          <w:rFonts w:ascii="宋体" w:hAnsi="宋体" w:cs="宋体"/>
          <w:color w:val="auto"/>
          <w:szCs w:val="21"/>
          <w:highlight w:val="none"/>
          <w:lang w:val="zh-CN"/>
        </w:rPr>
      </w:pPr>
    </w:p>
    <w:p w14:paraId="5424A32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1AF96AE">
      <w:pPr>
        <w:spacing w:line="240" w:lineRule="auto"/>
        <w:jc w:val="left"/>
        <w:textAlignment w:val="center"/>
        <w:outlineLvl w:val="9"/>
        <w:rPr>
          <w:rFonts w:ascii="宋体" w:hAnsi="宋体" w:cs="宋体"/>
          <w:color w:val="auto"/>
          <w:szCs w:val="21"/>
          <w:highlight w:val="none"/>
          <w:lang w:val="zh-CN"/>
        </w:rPr>
      </w:pPr>
    </w:p>
    <w:p w14:paraId="059A20A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A6B76EC">
      <w:pPr>
        <w:spacing w:line="240" w:lineRule="auto"/>
        <w:jc w:val="left"/>
        <w:textAlignment w:val="center"/>
        <w:outlineLvl w:val="9"/>
        <w:rPr>
          <w:rFonts w:ascii="宋体" w:hAnsi="宋体" w:cs="宋体"/>
          <w:color w:val="auto"/>
          <w:szCs w:val="21"/>
          <w:highlight w:val="none"/>
          <w:lang w:val="zh-CN"/>
        </w:rPr>
      </w:pPr>
    </w:p>
    <w:p w14:paraId="5DBB1DFA">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F5658DF">
      <w:pPr>
        <w:spacing w:line="240" w:lineRule="auto"/>
        <w:jc w:val="left"/>
        <w:textAlignment w:val="center"/>
        <w:outlineLvl w:val="9"/>
        <w:rPr>
          <w:rFonts w:ascii="宋体" w:hAnsi="宋体" w:cs="宋体"/>
          <w:color w:val="auto"/>
          <w:szCs w:val="21"/>
          <w:highlight w:val="none"/>
          <w:lang w:val="zh-CN"/>
        </w:rPr>
      </w:pPr>
    </w:p>
    <w:p w14:paraId="295216C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第十二条　采购项目涉及中小企业采购的，采购文件应当明确以下内容：</w:t>
      </w:r>
    </w:p>
    <w:p w14:paraId="565D6E34">
      <w:pPr>
        <w:spacing w:line="240" w:lineRule="auto"/>
        <w:jc w:val="left"/>
        <w:textAlignment w:val="center"/>
        <w:outlineLvl w:val="9"/>
        <w:rPr>
          <w:rFonts w:ascii="宋体" w:hAnsi="宋体" w:cs="宋体"/>
          <w:color w:val="auto"/>
          <w:szCs w:val="21"/>
          <w:highlight w:val="none"/>
          <w:lang w:val="zh-CN"/>
        </w:rPr>
      </w:pPr>
    </w:p>
    <w:p w14:paraId="6EC3617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（一）预留份额的采购项目或者采购包，明确该项目或相关采购包专门面向中小企业采购，以及相关标的及预算金额；</w:t>
      </w:r>
    </w:p>
    <w:p w14:paraId="26883F6B">
      <w:pPr>
        <w:spacing w:line="240" w:lineRule="auto"/>
        <w:jc w:val="left"/>
        <w:textAlignment w:val="center"/>
        <w:outlineLvl w:val="9"/>
        <w:rPr>
          <w:rFonts w:ascii="宋体" w:hAnsi="宋体" w:cs="宋体"/>
          <w:color w:val="auto"/>
          <w:szCs w:val="21"/>
          <w:highlight w:val="none"/>
          <w:lang w:val="zh-CN"/>
        </w:rPr>
      </w:pPr>
    </w:p>
    <w:p w14:paraId="4CB6835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（二）要求以联合体形式参加或者合同分包的，明确联合协议或者分包意向协议中中小企业合同金额应当达到的比例，并作为供应商资格条件；</w:t>
      </w:r>
    </w:p>
    <w:p w14:paraId="19A9DB9E">
      <w:pPr>
        <w:spacing w:line="240" w:lineRule="auto"/>
        <w:jc w:val="left"/>
        <w:textAlignment w:val="center"/>
        <w:outlineLvl w:val="9"/>
        <w:rPr>
          <w:rFonts w:ascii="宋体" w:hAnsi="宋体" w:cs="宋体"/>
          <w:color w:val="auto"/>
          <w:szCs w:val="21"/>
          <w:highlight w:val="none"/>
          <w:lang w:val="zh-CN"/>
        </w:rPr>
      </w:pPr>
    </w:p>
    <w:p w14:paraId="76339F9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（三）非预留份额的采购项目或者采购包，明确有关价格扣除比例或者价格分加分比例；</w:t>
      </w:r>
    </w:p>
    <w:p w14:paraId="14F19064">
      <w:pPr>
        <w:spacing w:line="240" w:lineRule="auto"/>
        <w:jc w:val="left"/>
        <w:textAlignment w:val="center"/>
        <w:outlineLvl w:val="9"/>
        <w:rPr>
          <w:rFonts w:ascii="宋体" w:hAnsi="宋体" w:cs="宋体"/>
          <w:color w:val="auto"/>
          <w:szCs w:val="21"/>
          <w:highlight w:val="none"/>
          <w:lang w:val="zh-CN"/>
        </w:rPr>
      </w:pPr>
    </w:p>
    <w:p w14:paraId="4D886B1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（四）规定依据本办法规定享受扶持政策获得政府采购合同的，小微企业不得将合同分包给大中型企业，中型企业不得将合同分包给大型企业；</w:t>
      </w:r>
    </w:p>
    <w:p w14:paraId="67621954">
      <w:pPr>
        <w:spacing w:line="240" w:lineRule="auto"/>
        <w:jc w:val="left"/>
        <w:textAlignment w:val="center"/>
        <w:outlineLvl w:val="9"/>
        <w:rPr>
          <w:rFonts w:ascii="宋体" w:hAnsi="宋体" w:cs="宋体"/>
          <w:color w:val="auto"/>
          <w:szCs w:val="21"/>
          <w:highlight w:val="none"/>
          <w:lang w:val="zh-CN"/>
        </w:rPr>
      </w:pPr>
    </w:p>
    <w:p w14:paraId="30468ED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（五）采购人认为具备相关条件的，明确对中小企业在资金支付期限、预付款比例等方面的优惠措施；</w:t>
      </w:r>
    </w:p>
    <w:p w14:paraId="75580F99">
      <w:pPr>
        <w:spacing w:line="240" w:lineRule="auto"/>
        <w:jc w:val="left"/>
        <w:textAlignment w:val="center"/>
        <w:outlineLvl w:val="9"/>
        <w:rPr>
          <w:rFonts w:ascii="宋体" w:hAnsi="宋体" w:cs="宋体"/>
          <w:color w:val="auto"/>
          <w:szCs w:val="21"/>
          <w:highlight w:val="none"/>
          <w:lang w:val="zh-CN"/>
        </w:rPr>
      </w:pPr>
    </w:p>
    <w:p w14:paraId="1008059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（六）明确采购标的对应的中小企业划分标准所属行业；</w:t>
      </w:r>
    </w:p>
    <w:p w14:paraId="215A630B">
      <w:pPr>
        <w:spacing w:line="240" w:lineRule="auto"/>
        <w:jc w:val="left"/>
        <w:textAlignment w:val="center"/>
        <w:outlineLvl w:val="9"/>
        <w:rPr>
          <w:rFonts w:ascii="宋体" w:hAnsi="宋体" w:cs="宋体"/>
          <w:color w:val="auto"/>
          <w:szCs w:val="21"/>
          <w:highlight w:val="none"/>
          <w:lang w:val="zh-CN"/>
        </w:rPr>
      </w:pPr>
    </w:p>
    <w:p w14:paraId="3A677A8A">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（七）法律法规和省级以上人民政府财政部门规定的其他事项。</w:t>
      </w:r>
    </w:p>
    <w:p w14:paraId="601A8B64">
      <w:pPr>
        <w:spacing w:line="240" w:lineRule="auto"/>
        <w:jc w:val="left"/>
        <w:textAlignment w:val="center"/>
        <w:outlineLvl w:val="9"/>
        <w:rPr>
          <w:rFonts w:ascii="宋体" w:hAnsi="宋体" w:cs="宋体"/>
          <w:color w:val="auto"/>
          <w:szCs w:val="21"/>
          <w:highlight w:val="none"/>
          <w:lang w:val="zh-CN"/>
        </w:rPr>
      </w:pPr>
    </w:p>
    <w:p w14:paraId="2876307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第十三条　中标、成交供应商享受本办法规定的中小企业扶持政策的，采购人、采购代理机构应当随中标、成交结果公开中标、成交供应商的《中小企业声明函》。</w:t>
      </w:r>
    </w:p>
    <w:p w14:paraId="71B1A825">
      <w:pPr>
        <w:spacing w:line="240" w:lineRule="auto"/>
        <w:jc w:val="left"/>
        <w:textAlignment w:val="center"/>
        <w:outlineLvl w:val="9"/>
        <w:rPr>
          <w:rFonts w:ascii="宋体" w:hAnsi="宋体" w:cs="宋体"/>
          <w:color w:val="auto"/>
          <w:szCs w:val="21"/>
          <w:highlight w:val="none"/>
          <w:lang w:val="zh-CN"/>
        </w:rPr>
      </w:pPr>
    </w:p>
    <w:p w14:paraId="3BDFB3E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适用招标投标法的政府采购工程建设项目，应当在公示中标候选人时公开中标候选人的《中小企业声明函》。</w:t>
      </w:r>
    </w:p>
    <w:p w14:paraId="29CE3E48">
      <w:pPr>
        <w:spacing w:line="240" w:lineRule="auto"/>
        <w:jc w:val="left"/>
        <w:textAlignment w:val="center"/>
        <w:outlineLvl w:val="9"/>
        <w:rPr>
          <w:rFonts w:ascii="宋体" w:hAnsi="宋体" w:cs="宋体"/>
          <w:color w:val="auto"/>
          <w:szCs w:val="21"/>
          <w:highlight w:val="none"/>
          <w:lang w:val="zh-CN"/>
        </w:rPr>
      </w:pPr>
    </w:p>
    <w:p w14:paraId="10DC888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838BD1E">
      <w:pPr>
        <w:spacing w:line="240" w:lineRule="auto"/>
        <w:jc w:val="left"/>
        <w:textAlignment w:val="center"/>
        <w:outlineLvl w:val="9"/>
        <w:rPr>
          <w:rFonts w:ascii="宋体" w:hAnsi="宋体" w:cs="宋体"/>
          <w:color w:val="auto"/>
          <w:szCs w:val="21"/>
          <w:highlight w:val="none"/>
          <w:lang w:val="zh-CN"/>
        </w:rPr>
      </w:pPr>
    </w:p>
    <w:p w14:paraId="173A944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014B6407">
      <w:pPr>
        <w:spacing w:line="240" w:lineRule="auto"/>
        <w:jc w:val="left"/>
        <w:textAlignment w:val="center"/>
        <w:outlineLvl w:val="9"/>
        <w:rPr>
          <w:rFonts w:ascii="宋体" w:hAnsi="宋体" w:cs="宋体"/>
          <w:color w:val="auto"/>
          <w:szCs w:val="21"/>
          <w:highlight w:val="none"/>
          <w:lang w:val="zh-CN"/>
        </w:rPr>
      </w:pPr>
    </w:p>
    <w:p w14:paraId="2A173BE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5F944D42">
      <w:pPr>
        <w:spacing w:line="240" w:lineRule="auto"/>
        <w:jc w:val="left"/>
        <w:textAlignment w:val="center"/>
        <w:outlineLvl w:val="9"/>
        <w:rPr>
          <w:rFonts w:ascii="宋体" w:hAnsi="宋体" w:cs="宋体"/>
          <w:color w:val="auto"/>
          <w:szCs w:val="21"/>
          <w:highlight w:val="none"/>
          <w:lang w:val="zh-CN"/>
        </w:rPr>
      </w:pPr>
    </w:p>
    <w:p w14:paraId="2EA59E3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中小企业主管部门应当在收到财政部门或者有关招标投标行政监督部门关于协助开展中小企业认定函后10个工作日内做出书面答复。</w:t>
      </w:r>
    </w:p>
    <w:p w14:paraId="110B521C">
      <w:pPr>
        <w:spacing w:line="240" w:lineRule="auto"/>
        <w:jc w:val="left"/>
        <w:textAlignment w:val="center"/>
        <w:outlineLvl w:val="9"/>
        <w:rPr>
          <w:rFonts w:ascii="宋体" w:hAnsi="宋体" w:cs="宋体"/>
          <w:color w:val="auto"/>
          <w:szCs w:val="21"/>
          <w:highlight w:val="none"/>
          <w:lang w:val="zh-CN"/>
        </w:rPr>
      </w:pPr>
    </w:p>
    <w:p w14:paraId="490BB75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8C3AB7D">
      <w:pPr>
        <w:spacing w:line="240" w:lineRule="auto"/>
        <w:jc w:val="left"/>
        <w:textAlignment w:val="center"/>
        <w:outlineLvl w:val="9"/>
        <w:rPr>
          <w:rFonts w:ascii="宋体" w:hAnsi="宋体" w:cs="宋体"/>
          <w:color w:val="auto"/>
          <w:szCs w:val="21"/>
          <w:highlight w:val="none"/>
          <w:lang w:val="zh-CN"/>
        </w:rPr>
      </w:pPr>
    </w:p>
    <w:p w14:paraId="3367412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A2ABF23">
      <w:pPr>
        <w:spacing w:line="240" w:lineRule="auto"/>
        <w:jc w:val="left"/>
        <w:textAlignment w:val="center"/>
        <w:outlineLvl w:val="9"/>
        <w:rPr>
          <w:rFonts w:ascii="宋体" w:hAnsi="宋体" w:cs="宋体"/>
          <w:color w:val="auto"/>
          <w:szCs w:val="21"/>
          <w:highlight w:val="none"/>
          <w:lang w:val="zh-CN"/>
        </w:rPr>
      </w:pPr>
    </w:p>
    <w:p w14:paraId="72C800E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07CA025">
      <w:pPr>
        <w:spacing w:line="240" w:lineRule="auto"/>
        <w:jc w:val="left"/>
        <w:textAlignment w:val="center"/>
        <w:outlineLvl w:val="9"/>
        <w:rPr>
          <w:rFonts w:ascii="宋体" w:hAnsi="宋体" w:cs="宋体"/>
          <w:color w:val="auto"/>
          <w:szCs w:val="21"/>
          <w:highlight w:val="none"/>
          <w:lang w:val="zh-CN"/>
        </w:rPr>
      </w:pPr>
    </w:p>
    <w:p w14:paraId="0EA5C0C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第二十条　供应商按照本办法规定提供声明函内容不实的，属于提供虚假材料谋取中标、成交，依照《中华人民共和国政府采购法》等国家有关规定追究相应责任。</w:t>
      </w:r>
    </w:p>
    <w:p w14:paraId="77D8A7D8">
      <w:pPr>
        <w:spacing w:line="240" w:lineRule="auto"/>
        <w:jc w:val="left"/>
        <w:textAlignment w:val="center"/>
        <w:outlineLvl w:val="9"/>
        <w:rPr>
          <w:rFonts w:ascii="宋体" w:hAnsi="宋体" w:cs="宋体"/>
          <w:color w:val="auto"/>
          <w:szCs w:val="21"/>
          <w:highlight w:val="none"/>
          <w:lang w:val="zh-CN"/>
        </w:rPr>
      </w:pPr>
    </w:p>
    <w:p w14:paraId="57D5C9D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4C0D6C76">
      <w:pPr>
        <w:spacing w:line="240" w:lineRule="auto"/>
        <w:jc w:val="left"/>
        <w:textAlignment w:val="center"/>
        <w:outlineLvl w:val="9"/>
        <w:rPr>
          <w:rFonts w:ascii="宋体" w:hAnsi="宋体" w:cs="宋体"/>
          <w:color w:val="auto"/>
          <w:szCs w:val="21"/>
          <w:highlight w:val="none"/>
          <w:lang w:val="zh-CN"/>
        </w:rPr>
      </w:pPr>
    </w:p>
    <w:p w14:paraId="6107FFD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BA0138">
      <w:pPr>
        <w:spacing w:line="240" w:lineRule="auto"/>
        <w:jc w:val="left"/>
        <w:textAlignment w:val="center"/>
        <w:outlineLvl w:val="9"/>
        <w:rPr>
          <w:rFonts w:ascii="宋体" w:hAnsi="宋体" w:cs="宋体"/>
          <w:color w:val="auto"/>
          <w:szCs w:val="21"/>
          <w:highlight w:val="none"/>
          <w:lang w:val="zh-CN"/>
        </w:rPr>
      </w:pPr>
    </w:p>
    <w:p w14:paraId="4D9DFD7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第二十二条　对外援助项目、国家相关资格或者资质管理制度另有规定的项目，不适用本办法。</w:t>
      </w:r>
    </w:p>
    <w:p w14:paraId="776C6590">
      <w:pPr>
        <w:spacing w:line="240" w:lineRule="auto"/>
        <w:jc w:val="left"/>
        <w:textAlignment w:val="center"/>
        <w:outlineLvl w:val="9"/>
        <w:rPr>
          <w:rFonts w:ascii="宋体" w:hAnsi="宋体" w:cs="宋体"/>
          <w:color w:val="auto"/>
          <w:szCs w:val="21"/>
          <w:highlight w:val="none"/>
          <w:lang w:val="zh-CN"/>
        </w:rPr>
      </w:pPr>
    </w:p>
    <w:p w14:paraId="768568E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第二十三条　关于视同中小企业的其他主体的政府采购扶持政策，由财政部会同有关部门另行规定。</w:t>
      </w:r>
    </w:p>
    <w:p w14:paraId="21D4BF18">
      <w:pPr>
        <w:spacing w:line="240" w:lineRule="auto"/>
        <w:jc w:val="left"/>
        <w:textAlignment w:val="center"/>
        <w:outlineLvl w:val="9"/>
        <w:rPr>
          <w:rFonts w:ascii="宋体" w:hAnsi="宋体" w:cs="宋体"/>
          <w:color w:val="auto"/>
          <w:szCs w:val="21"/>
          <w:highlight w:val="none"/>
          <w:lang w:val="zh-CN"/>
        </w:rPr>
      </w:pPr>
    </w:p>
    <w:p w14:paraId="0B9E5DA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第二十四条　省级财政部门可以会同中小企业主管部门根据本办法的规定制定具体实施办法。</w:t>
      </w:r>
    </w:p>
    <w:p w14:paraId="3D1DC88D">
      <w:pPr>
        <w:spacing w:line="240" w:lineRule="auto"/>
        <w:jc w:val="left"/>
        <w:textAlignment w:val="center"/>
        <w:outlineLvl w:val="9"/>
        <w:rPr>
          <w:rFonts w:ascii="宋体" w:hAnsi="宋体" w:cs="宋体"/>
          <w:color w:val="auto"/>
          <w:szCs w:val="21"/>
          <w:highlight w:val="none"/>
          <w:lang w:val="zh-CN"/>
        </w:rPr>
      </w:pPr>
    </w:p>
    <w:p w14:paraId="59AFCF7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第二十五条　本办法自2022年1月1日起施行。《财政部工业和信息化部关于印发〈政府采购促进中小企业发展暂行办法〉的通知》（财库﹝2011﹞181号）同时废止。</w:t>
      </w:r>
    </w:p>
    <w:p w14:paraId="1BE30E72">
      <w:pPr>
        <w:outlineLvl w:val="9"/>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br w:type="page"/>
      </w:r>
    </w:p>
    <w:p w14:paraId="7DFC1C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100" w:beforeAutospacing="0" w:after="0" w:afterLines="100" w:afterAutospacing="0" w:line="312" w:lineRule="auto"/>
        <w:ind w:left="0" w:right="0" w:firstLine="0"/>
        <w:jc w:val="center"/>
        <w:textAlignment w:val="baseline"/>
        <w:outlineLvl w:val="9"/>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关于进一步加大政府采购支持中小企业力度的通知</w:t>
      </w:r>
    </w:p>
    <w:p w14:paraId="0203D7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vertAlign w:val="baseline"/>
          <w:lang w:val="en-US" w:eastAsia="zh-CN" w:bidi="ar"/>
        </w:rPr>
        <w:t> </w:t>
      </w:r>
      <w:r>
        <w:rPr>
          <w:rFonts w:hint="eastAsia" w:ascii="宋体" w:hAnsi="宋体" w:eastAsia="宋体" w:cs="宋体"/>
          <w:b w:val="0"/>
          <w:bCs w:val="0"/>
          <w:i w:val="0"/>
          <w:iCs w:val="0"/>
          <w:caps w:val="0"/>
          <w:color w:val="auto"/>
          <w:spacing w:val="0"/>
          <w:kern w:val="0"/>
          <w:sz w:val="21"/>
          <w:szCs w:val="21"/>
          <w:highlight w:val="none"/>
          <w:u w:val="none"/>
          <w:shd w:val="clear" w:color="auto" w:fill="FFFFFF"/>
          <w:vertAlign w:val="baseline"/>
          <w:lang w:val="en-US" w:eastAsia="zh-CN" w:bidi="ar"/>
        </w:rPr>
        <w:t>财库〔2022〕19号</w:t>
      </w:r>
    </w:p>
    <w:p w14:paraId="07A1F35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各中央预算单位，各省、自治区、直辖市、计划单列市财政厅（局），新疆生产建设兵团财政局：</w:t>
      </w:r>
    </w:p>
    <w:p w14:paraId="787DFA0B">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E38CF7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51F3E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C6662FD">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7FEB43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四、认真做好组织实施。各地区、各部门应当加强组织领导，明确工作责任，细化执行要求，强化监督检查，确保国务院部署落实到位，对通知执行中出现的问题要及时向财政部报告。</w:t>
      </w:r>
    </w:p>
    <w:p w14:paraId="0C033F9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本通知自2022年7月1日起执行。</w:t>
      </w:r>
    </w:p>
    <w:p w14:paraId="1AF02496">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righ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财  政  部</w:t>
      </w:r>
    </w:p>
    <w:p w14:paraId="1AC5EF59">
      <w:pPr>
        <w:outlineLvl w:val="9"/>
        <w:rPr>
          <w:rFonts w:ascii="宋体" w:hAnsi="宋体" w:cs="宋体"/>
          <w:color w:val="auto"/>
          <w:sz w:val="24"/>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cs="宋体"/>
          <w:i w:val="0"/>
          <w:iCs w:val="0"/>
          <w:caps w:val="0"/>
          <w:color w:val="auto"/>
          <w:spacing w:val="0"/>
          <w:sz w:val="21"/>
          <w:szCs w:val="21"/>
          <w:highlight w:val="none"/>
          <w:u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1"/>
          <w:szCs w:val="21"/>
          <w:highlight w:val="none"/>
          <w:u w:val="none"/>
          <w:shd w:val="clear" w:color="auto" w:fill="FFFFFF"/>
          <w:vertAlign w:val="baseline"/>
        </w:rPr>
        <w:t>2022年5月30日</w:t>
      </w:r>
    </w:p>
    <w:p w14:paraId="76AB0187">
      <w:pPr>
        <w:widowControl/>
        <w:jc w:val="left"/>
        <w:outlineLvl w:val="9"/>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br w:type="page"/>
      </w:r>
    </w:p>
    <w:p w14:paraId="51D9EE5F">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 xml:space="preserve">工业和信息化部 国家统计局  国家发展改革委  财政部  </w:t>
      </w:r>
    </w:p>
    <w:p w14:paraId="10DFF99C">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工信部联企业[2011]300号</w:t>
      </w:r>
    </w:p>
    <w:p w14:paraId="0BE4F2F2">
      <w:pPr>
        <w:spacing w:line="50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关于印发中小企业划型标准规定的通知</w:t>
      </w:r>
    </w:p>
    <w:p w14:paraId="2548C5C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536BD45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03ECCDB">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工业和信息化部  国家统计局</w:t>
      </w:r>
    </w:p>
    <w:p w14:paraId="4FF1129A">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国家发展和改革委员会  财政部</w:t>
      </w:r>
    </w:p>
    <w:p w14:paraId="2CD8E7F4">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二○一一年六月十八日</w:t>
      </w:r>
    </w:p>
    <w:p w14:paraId="476AE30B">
      <w:pPr>
        <w:spacing w:line="50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中小企业划型标准规定</w:t>
      </w:r>
    </w:p>
    <w:p w14:paraId="16BCFBA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7BE95A8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453D3F6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EE2B8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四、各行业划型标准为：</w:t>
      </w:r>
    </w:p>
    <w:p w14:paraId="01A9F48B">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E2F458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15C94C">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58F51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B91FF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0CA03D">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9BC4C2">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7AD51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FEB8D4">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1930F2">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AD7D4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BD993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030734">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22C06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1673E1">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4EA40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204C129F">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256A014D">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23ED140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311A886">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23B7F1A6">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49238141">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19592F19">
      <w:pPr>
        <w:bidi w:val="0"/>
        <w:rPr>
          <w:rFonts w:hint="eastAsia"/>
          <w:color w:val="auto"/>
          <w:highlight w:val="none"/>
        </w:rPr>
      </w:pPr>
    </w:p>
    <w:p w14:paraId="0395D3B4">
      <w:pPr>
        <w:bidi w:val="0"/>
        <w:rPr>
          <w:rFonts w:hint="eastAsia"/>
          <w:color w:val="auto"/>
          <w:highlight w:val="none"/>
        </w:rPr>
      </w:pPr>
    </w:p>
    <w:p w14:paraId="76996C94">
      <w:pPr>
        <w:bidi w:val="0"/>
        <w:rPr>
          <w:rFonts w:hint="eastAsia"/>
          <w:color w:val="auto"/>
          <w:highlight w:val="none"/>
        </w:rPr>
      </w:pPr>
    </w:p>
    <w:p w14:paraId="6ED4EBEC">
      <w:pPr>
        <w:bidi w:val="0"/>
        <w:rPr>
          <w:rFonts w:hint="eastAsia"/>
          <w:color w:val="auto"/>
          <w:highlight w:val="none"/>
        </w:rPr>
      </w:pPr>
    </w:p>
    <w:p w14:paraId="6420CC72">
      <w:pPr>
        <w:bidi w:val="0"/>
        <w:rPr>
          <w:rFonts w:hint="eastAsia"/>
          <w:color w:val="auto"/>
          <w:highlight w:val="none"/>
        </w:rPr>
      </w:pPr>
    </w:p>
    <w:p w14:paraId="7FFB53D5">
      <w:pPr>
        <w:pStyle w:val="7"/>
        <w:rPr>
          <w:rFonts w:hint="eastAsia"/>
          <w:color w:val="auto"/>
          <w:highlight w:val="none"/>
        </w:rPr>
      </w:pPr>
    </w:p>
    <w:p w14:paraId="287C4293">
      <w:pPr>
        <w:pStyle w:val="7"/>
        <w:rPr>
          <w:rFonts w:hint="eastAsia"/>
          <w:color w:val="auto"/>
          <w:highlight w:val="none"/>
        </w:rPr>
      </w:pPr>
    </w:p>
    <w:p w14:paraId="1BF2C1E9">
      <w:pPr>
        <w:pStyle w:val="7"/>
        <w:rPr>
          <w:rFonts w:hint="eastAsia"/>
          <w:color w:val="auto"/>
          <w:highlight w:val="none"/>
        </w:rPr>
      </w:pPr>
    </w:p>
    <w:p w14:paraId="33B690F3">
      <w:pPr>
        <w:pStyle w:val="7"/>
        <w:rPr>
          <w:rFonts w:hint="eastAsia"/>
          <w:color w:val="auto"/>
          <w:highlight w:val="none"/>
        </w:rPr>
      </w:pPr>
    </w:p>
    <w:p w14:paraId="6BD13C4D">
      <w:pPr>
        <w:pStyle w:val="2"/>
        <w:spacing w:after="312" w:afterAutospacing="0" w:line="360" w:lineRule="auto"/>
        <w:jc w:val="center"/>
        <w:outlineLvl w:val="0"/>
        <w:rPr>
          <w:rFonts w:hint="eastAsia" w:ascii="宋体" w:hAnsi="宋体" w:eastAsia="宋体"/>
          <w:color w:val="auto"/>
          <w:sz w:val="36"/>
          <w:highlight w:val="none"/>
        </w:rPr>
      </w:pPr>
    </w:p>
    <w:p w14:paraId="4CAF25FD">
      <w:pPr>
        <w:pStyle w:val="2"/>
        <w:spacing w:after="312" w:afterAutospacing="0" w:line="360" w:lineRule="auto"/>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t>第四章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合同条款及格式</w:t>
      </w:r>
      <w:bookmarkEnd w:id="293"/>
    </w:p>
    <w:p w14:paraId="3447F3B4">
      <w:pPr>
        <w:pStyle w:val="2"/>
        <w:spacing w:before="0" w:beforeAutospacing="0" w:after="0" w:line="360" w:lineRule="auto"/>
        <w:jc w:val="center"/>
        <w:rPr>
          <w:rFonts w:hint="eastAsia" w:ascii="宋体" w:hAnsi="宋体"/>
          <w:color w:val="auto"/>
          <w:szCs w:val="32"/>
          <w:highlight w:val="none"/>
          <w:lang w:eastAsia="zh-CN"/>
        </w:rPr>
      </w:pPr>
      <w:bookmarkStart w:id="295" w:name="_Toc25372"/>
      <w:r>
        <w:rPr>
          <w:rFonts w:hint="eastAsia" w:ascii="宋体" w:hAnsi="宋体"/>
          <w:color w:val="auto"/>
          <w:szCs w:val="32"/>
          <w:highlight w:val="none"/>
        </w:rPr>
        <w:t>（具体合同格式内容以实际签订合同为准</w:t>
      </w:r>
      <w:r>
        <w:rPr>
          <w:rFonts w:hint="eastAsia" w:ascii="宋体" w:hAnsi="宋体"/>
          <w:color w:val="auto"/>
          <w:szCs w:val="32"/>
          <w:highlight w:val="none"/>
          <w:lang w:eastAsia="zh-CN"/>
        </w:rPr>
        <w:t>）</w:t>
      </w:r>
      <w:bookmarkEnd w:id="295"/>
    </w:p>
    <w:p w14:paraId="215E9307">
      <w:pPr>
        <w:rPr>
          <w:rFonts w:hint="eastAsia" w:ascii="宋体" w:hAnsi="宋体"/>
          <w:color w:val="auto"/>
          <w:szCs w:val="32"/>
          <w:highlight w:val="none"/>
          <w:lang w:eastAsia="zh-CN"/>
        </w:rPr>
      </w:pPr>
    </w:p>
    <w:p w14:paraId="44A93EAD">
      <w:pPr>
        <w:rPr>
          <w:rFonts w:hint="eastAsia" w:ascii="宋体" w:hAnsi="宋体"/>
          <w:color w:val="auto"/>
          <w:szCs w:val="32"/>
          <w:highlight w:val="none"/>
          <w:lang w:eastAsia="zh-CN"/>
        </w:rPr>
        <w:sectPr>
          <w:footerReference r:id="rId9" w:type="default"/>
          <w:pgSz w:w="11907" w:h="16840"/>
          <w:pgMar w:top="1134" w:right="1134" w:bottom="1134" w:left="1134" w:header="850" w:footer="850" w:gutter="0"/>
          <w:pgNumType w:fmt="decimal" w:start="1"/>
          <w:cols w:space="0" w:num="1"/>
          <w:rtlGutter w:val="0"/>
          <w:docGrid w:linePitch="312" w:charSpace="0"/>
        </w:sectPr>
      </w:pPr>
    </w:p>
    <w:p w14:paraId="1D72D21F">
      <w:pPr>
        <w:pStyle w:val="2"/>
        <w:spacing w:before="0" w:beforeAutospacing="0" w:after="315" w:afterLines="100" w:afterAutospacing="0" w:line="360" w:lineRule="exact"/>
        <w:jc w:val="center"/>
        <w:outlineLvl w:val="0"/>
        <w:rPr>
          <w:rFonts w:hint="eastAsia" w:ascii="宋体" w:hAnsi="宋体" w:eastAsia="宋体"/>
          <w:color w:val="auto"/>
          <w:sz w:val="36"/>
          <w:highlight w:val="none"/>
        </w:rPr>
      </w:pPr>
      <w:bookmarkStart w:id="296" w:name="_Toc30997"/>
    </w:p>
    <w:p w14:paraId="22133D7B">
      <w:pPr>
        <w:pStyle w:val="2"/>
        <w:numPr>
          <w:ilvl w:val="0"/>
          <w:numId w:val="16"/>
        </w:numPr>
        <w:spacing w:before="0" w:beforeAutospacing="0" w:after="315" w:afterLines="100" w:afterAutospacing="0" w:line="360" w:lineRule="exact"/>
        <w:jc w:val="center"/>
        <w:outlineLvl w:val="0"/>
        <w:rPr>
          <w:rFonts w:hint="eastAsia" w:cs="宋体"/>
          <w:b/>
          <w:bCs/>
          <w:sz w:val="30"/>
          <w:szCs w:val="30"/>
          <w:highlight w:val="none"/>
          <w:lang w:val="en-US" w:eastAsia="zh-CN"/>
        </w:rPr>
      </w:pPr>
      <w:r>
        <w:rPr>
          <w:rFonts w:hint="eastAsia" w:ascii="宋体" w:hAnsi="宋体" w:eastAsia="宋体"/>
          <w:color w:val="auto"/>
          <w:sz w:val="36"/>
          <w:highlight w:val="none"/>
          <w:lang w:eastAsia="zh-CN"/>
        </w:rPr>
        <w:t>采购需求</w:t>
      </w:r>
      <w:bookmarkEnd w:id="296"/>
      <w:bookmarkStart w:id="297" w:name="_Toc17033"/>
    </w:p>
    <w:p w14:paraId="6616B176">
      <w:pPr>
        <w:spacing w:line="360" w:lineRule="auto"/>
        <w:ind w:firstLine="630" w:firstLineChars="300"/>
        <w:rPr>
          <w:rFonts w:hint="eastAsia" w:cs="宋体"/>
          <w:b w:val="0"/>
          <w:bCs w:val="0"/>
          <w:sz w:val="21"/>
          <w:szCs w:val="21"/>
          <w:highlight w:val="none"/>
          <w:lang w:val="en-US" w:eastAsia="zh-CN"/>
        </w:rPr>
      </w:pPr>
    </w:p>
    <w:p w14:paraId="51F526B2">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1.视频眼震图仪技术参数</w:t>
      </w:r>
    </w:p>
    <w:p w14:paraId="19E1B445">
      <w:pPr>
        <w:spacing w:line="360" w:lineRule="auto"/>
        <w:jc w:val="center"/>
        <w:rPr>
          <w:rFonts w:hint="eastAsia" w:ascii="宋体" w:hAnsi="宋体" w:eastAsia="宋体" w:cs="宋体"/>
          <w:b/>
          <w:bCs/>
          <w:sz w:val="24"/>
          <w:szCs w:val="24"/>
          <w:lang w:val="en-US" w:eastAsia="zh-CN"/>
        </w:rPr>
      </w:pPr>
    </w:p>
    <w:p w14:paraId="06CA3FAB">
      <w:pPr>
        <w:pStyle w:val="7"/>
        <w:spacing w:line="360" w:lineRule="auto"/>
        <w:ind w:left="0" w:leftChars="0" w:firstLine="0" w:firstLineChars="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主要用途：由专业人员操作在医疗机构内用于记录眼震及眼动轨迹，辅助诊断眩晕症</w:t>
      </w:r>
    </w:p>
    <w:p w14:paraId="69C58D8C">
      <w:pPr>
        <w:pStyle w:val="7"/>
        <w:spacing w:line="360" w:lineRule="auto"/>
        <w:ind w:left="0" w:leftChars="0" w:firstLine="0" w:firstLineChars="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一、主机眼罩：</w:t>
      </w:r>
    </w:p>
    <w:p w14:paraId="17DE2F88">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1、不同</w:t>
      </w:r>
      <w:r>
        <w:rPr>
          <w:rFonts w:hint="eastAsia" w:ascii="宋体" w:hAnsi="宋体" w:eastAsia="宋体" w:cs="宋体"/>
          <w:sz w:val="24"/>
          <w:szCs w:val="24"/>
        </w:rPr>
        <w:t>分辨率</w:t>
      </w:r>
      <w:r>
        <w:rPr>
          <w:rFonts w:hint="eastAsia" w:ascii="宋体" w:hAnsi="宋体" w:eastAsia="宋体" w:cs="宋体"/>
          <w:sz w:val="24"/>
          <w:szCs w:val="24"/>
          <w:lang w:val="en-US" w:eastAsia="zh-CN"/>
        </w:rPr>
        <w:t>下帧率的要求</w:t>
      </w:r>
      <w:r>
        <w:rPr>
          <w:rFonts w:hint="eastAsia" w:ascii="宋体" w:hAnsi="宋体" w:eastAsia="宋体" w:cs="宋体"/>
          <w:sz w:val="24"/>
          <w:szCs w:val="24"/>
        </w:rPr>
        <w:t>:</w:t>
      </w:r>
    </w:p>
    <w:p w14:paraId="29F8E2A2">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1920*1080P/640</w:t>
      </w:r>
      <w:r>
        <w:rPr>
          <w:rFonts w:hint="eastAsia" w:ascii="宋体" w:hAnsi="宋体" w:eastAsia="宋体" w:cs="宋体"/>
          <w:color w:val="auto"/>
          <w:sz w:val="24"/>
          <w:szCs w:val="24"/>
          <w:lang w:val="en-US" w:eastAsia="zh-CN"/>
        </w:rPr>
        <w:t xml:space="preserve">*480P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 xml:space="preserve">60fps；320*240P  </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440fps；</w:t>
      </w:r>
    </w:p>
    <w:p w14:paraId="04495222">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2、双眼眼罩设计可以完成左、右双眼的检查</w:t>
      </w:r>
    </w:p>
    <w:p w14:paraId="76DC3ECF">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3、3D眼震描记并分析水平、垂直、旋转眼震曲线</w:t>
      </w:r>
    </w:p>
    <w:p w14:paraId="5AD06E4D">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w:t>
      </w:r>
      <w:r>
        <w:rPr>
          <w:rFonts w:hint="eastAsia" w:ascii="宋体" w:hAnsi="宋体" w:eastAsia="宋体" w:cs="宋体"/>
          <w:color w:val="auto"/>
          <w:sz w:val="24"/>
          <w:szCs w:val="24"/>
          <w:lang w:eastAsia="zh-CN"/>
        </w:rPr>
        <w:t>自动追踪瞳孔位置</w:t>
      </w:r>
      <w:r>
        <w:rPr>
          <w:rFonts w:hint="eastAsia" w:ascii="宋体" w:hAnsi="宋体" w:eastAsia="宋体" w:cs="宋体"/>
          <w:color w:val="auto"/>
          <w:sz w:val="24"/>
          <w:szCs w:val="24"/>
          <w:lang w:val="en-US" w:eastAsia="zh-CN"/>
        </w:rPr>
        <w:t>的功能</w:t>
      </w:r>
    </w:p>
    <w:p w14:paraId="690D9766">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实时追踪眼球动态，高清传输每一帧画面</w:t>
      </w:r>
    </w:p>
    <w:p w14:paraId="571D8559">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6、▲水平眼动识别准确度识别误差范围：≤±1.2°</w:t>
      </w:r>
    </w:p>
    <w:p w14:paraId="42576651">
      <w:pPr>
        <w:numPr>
          <w:ilvl w:val="0"/>
          <w:numId w:val="1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▲垂直眼动识别准确度识别误差范围：≤±1.2°</w:t>
      </w:r>
    </w:p>
    <w:p w14:paraId="57968DE4">
      <w:pPr>
        <w:numPr>
          <w:ilvl w:val="0"/>
          <w:numId w:val="17"/>
        </w:numPr>
        <w:spacing w:line="36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▲轴向眼动识别准确度识别误差范围：≤±1°</w:t>
      </w:r>
    </w:p>
    <w:p w14:paraId="1DF98138">
      <w:pPr>
        <w:numPr>
          <w:ilvl w:val="0"/>
          <w:numId w:val="18"/>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头动速度识别准确度误差范围≤±3°/s，速度范围（≤±250°/s）</w:t>
      </w:r>
    </w:p>
    <w:p w14:paraId="247B3B79">
      <w:pPr>
        <w:numPr>
          <w:ilvl w:val="0"/>
          <w:numId w:val="18"/>
        </w:numPr>
        <w:spacing w:line="36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频率准确度（正弦波、方波）误差范围≤±3%，速度准确度误差范围≤±6%</w:t>
      </w:r>
    </w:p>
    <w:p w14:paraId="092A63E5">
      <w:pPr>
        <w:numPr>
          <w:ilvl w:val="0"/>
          <w:numId w:val="18"/>
        </w:numPr>
        <w:spacing w:line="36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具备固视抑制灯</w:t>
      </w:r>
    </w:p>
    <w:p w14:paraId="359E4CA8">
      <w:pPr>
        <w:numPr>
          <w:ilvl w:val="0"/>
          <w:numId w:val="0"/>
        </w:numPr>
        <w:spacing w:line="360" w:lineRule="auto"/>
        <w:ind w:leftChars="0"/>
        <w:jc w:val="both"/>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二、软件功能要求：</w:t>
      </w:r>
    </w:p>
    <w:p w14:paraId="78155E88">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验模块：校准试验、自发性眼震试验，位置试验（静态、动态）、温度试验、视动试验（水平、垂直）、平稳追踪试验（水平、垂直）、扫视试验（水平、垂直）、凝视试验（水平、垂直）、视频头脉冲试验（甩头、甩头抑制）、自定义试验；</w:t>
      </w:r>
    </w:p>
    <w:p w14:paraId="61BD113C">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自发性眼震试验：记录时间0-600秒可调，显示水平、垂直、扭转眼震曲线；</w:t>
      </w:r>
    </w:p>
    <w:p w14:paraId="277AE9C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位置试验（静态、动态）：记录时间0-600秒可调，显示水平、垂直、扭转眼震曲线；</w:t>
      </w:r>
    </w:p>
    <w:p w14:paraId="6A77F36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温度试验：含自发性眼震；灌注期、观察期、凝视抑制期记录时间0-300秒可调；自动计算CP、DP、FI值；</w:t>
      </w:r>
    </w:p>
    <w:p w14:paraId="3EFA8E1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视频头脉冲试验（甩头、甩头抑制）：可以完成左、右双眼的检查，可进行甩头VVOR、甩头抑制VORS等试验；</w:t>
      </w:r>
    </w:p>
    <w:p w14:paraId="1001A18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2、具备诊断软件，视频图像清晰，包含视频储存回放功能。</w:t>
      </w:r>
    </w:p>
    <w:p w14:paraId="48111D40">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3、▲可描记和分析眼球水平、垂直、扭转运动曲线，并且出具眼震报告。</w:t>
      </w:r>
    </w:p>
    <w:p w14:paraId="229B80B8">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4、眼动视频、体位视频、眼震曲线、SPV值四位一体同步显示</w:t>
      </w:r>
    </w:p>
    <w:p w14:paraId="7F834D6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5、每个实验可以单独获取的眼震数据，并进行独立分析；</w:t>
      </w:r>
    </w:p>
    <w:p w14:paraId="02B13EE7">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6、具备精确的眼震分析图；</w:t>
      </w:r>
    </w:p>
    <w:p w14:paraId="020A284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7、可以分析病人有无眼震，显示眼震的方向以及慢相角速度</w:t>
      </w:r>
    </w:p>
    <w:p w14:paraId="19DECD02">
      <w:pPr>
        <w:spacing w:line="360" w:lineRule="auto"/>
        <w:jc w:val="both"/>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三、其他要求：</w:t>
      </w:r>
    </w:p>
    <w:p w14:paraId="7BF8B2BB">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1、内置问诊表：包含总结、眩晕及平衡失调、听力下降、耳鸣和过往诊断治疗史等。</w:t>
      </w:r>
    </w:p>
    <w:p w14:paraId="645CAFE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2、诊断报告：单独打印每个实验的分析数据图以及医生的初诊结果。</w:t>
      </w:r>
    </w:p>
    <w:p w14:paraId="0E96258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3、▲远程数据传输，负责HIS系统接口服务费用</w:t>
      </w:r>
    </w:p>
    <w:p w14:paraId="372669DA">
      <w:pPr>
        <w:spacing w:line="360" w:lineRule="auto"/>
        <w:jc w:val="both"/>
        <w:rPr>
          <w:rFonts w:hint="eastAsia" w:ascii="宋体" w:hAnsi="宋体" w:eastAsia="宋体" w:cs="宋体"/>
          <w:sz w:val="24"/>
          <w:szCs w:val="24"/>
          <w:lang w:val="en-US" w:eastAsia="zh-CN"/>
        </w:rPr>
      </w:pPr>
    </w:p>
    <w:p w14:paraId="7125D8EF">
      <w:pPr>
        <w:numPr>
          <w:ilvl w:val="0"/>
          <w:numId w:val="0"/>
        </w:numPr>
        <w:bidi w:val="0"/>
        <w:spacing w:line="360" w:lineRule="auto"/>
        <w:ind w:leftChars="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2.失眠治疗仪技术参数</w:t>
      </w:r>
    </w:p>
    <w:p w14:paraId="454073CF">
      <w:pPr>
        <w:spacing w:line="360" w:lineRule="auto"/>
        <w:jc w:val="both"/>
        <w:rPr>
          <w:rFonts w:hint="eastAsia" w:ascii="宋体" w:hAnsi="宋体" w:eastAsia="宋体" w:cs="宋体"/>
          <w:sz w:val="24"/>
          <w:szCs w:val="24"/>
        </w:rPr>
      </w:pPr>
    </w:p>
    <w:p w14:paraId="1399C7AB">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1.适用范围：适用于于非器质性失眠症患者的辅助治疗，包括脑神经功能紊乱，情绪心理因素所致失眠、老年性失眠、更年期失眠等，以及心理性失眠、特发性失眠和主观性失眠</w:t>
      </w:r>
    </w:p>
    <w:p w14:paraId="72785B0C">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2.用户界面：数码管双通道独立、治疗状态时实显示、同屏显示全部治疗参数</w:t>
      </w:r>
    </w:p>
    <w:p w14:paraId="07467835">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3.显示控制方式：按钮式控制,数码管显示</w:t>
      </w:r>
    </w:p>
    <w:p w14:paraId="17E8F0EA">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▲4治疗模块：≥2个通道治疗模块输出，独立控制，可同时开启2个通道治疗</w:t>
      </w:r>
    </w:p>
    <w:p w14:paraId="7A07A6B6">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5.治疗模式：≥3个治疗模式，包括普通模式、增加模式、维持模式，可根据失眠病情严重程度针对性选择治疗模式</w:t>
      </w:r>
    </w:p>
    <w:p w14:paraId="6087A84C">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6.治疗强度：1-32档，档位可调，可根据患者耐受程度调节大小，无痛恒流输出</w:t>
      </w:r>
    </w:p>
    <w:p w14:paraId="0D6C02DD">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7.治疗时间：15-60分钟，时间可调，步长为1分钟，准确度误差不超过±5%</w:t>
      </w:r>
    </w:p>
    <w:p w14:paraId="317C06C8">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8.辅助功能：治疗强度和治疗时间全程可调、治疗参数记忆功能</w:t>
      </w:r>
    </w:p>
    <w:p w14:paraId="193C3FFD">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9.注册认证：获国家医疗器械注册认证为-“失眠治疗仪”（见医疗器械注册证）</w:t>
      </w:r>
    </w:p>
    <w:p w14:paraId="102636D9">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 xml:space="preserve">10.控制软件：“失眠治仪软件控制系统” 获国家计算机软件著作权登记 </w:t>
      </w:r>
    </w:p>
    <w:p w14:paraId="13693C26">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▲11.设备技术临床验证:临床医用型治疗设备，设备通过临床机构试验验证，（提供医疗器械临床试验报告）</w:t>
      </w:r>
    </w:p>
    <w:p w14:paraId="6BBBA313">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12.技术认证：获国家技术认证“一种失眠治疗仪” （提供国家技术认证书）</w:t>
      </w:r>
    </w:p>
    <w:p w14:paraId="7895CB45">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13.治疗结束报警：1分钟为单位治疗倒记时，治疗结束自动报警停止，无需时时监护</w:t>
      </w:r>
    </w:p>
    <w:p w14:paraId="62F85CFF">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▲14.电刺激治疗波形:幅度被随机调制的指数衰减波</w:t>
      </w:r>
    </w:p>
    <w:p w14:paraId="222A78C5">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15.输出电流:交流电恒流输出，安全有效，保障不灼伤皮肤</w:t>
      </w:r>
    </w:p>
    <w:p w14:paraId="2DF925B0">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▲16.电刺激脉冲频率: 2ⅹ（1±30%）KHz</w:t>
      </w:r>
    </w:p>
    <w:p w14:paraId="5B0253B2">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17.电刺激脉冲宽度:</w:t>
      </w:r>
      <w:r>
        <w:rPr>
          <w:rFonts w:hint="eastAsia" w:ascii="宋体" w:hAnsi="宋体" w:eastAsia="宋体" w:cs="宋体"/>
          <w:sz w:val="24"/>
          <w:szCs w:val="24"/>
        </w:rPr>
        <w:tab/>
      </w:r>
      <w:r>
        <w:rPr>
          <w:rFonts w:hint="eastAsia" w:ascii="宋体" w:hAnsi="宋体" w:eastAsia="宋体" w:cs="宋体"/>
          <w:sz w:val="24"/>
          <w:szCs w:val="24"/>
        </w:rPr>
        <w:t>75ⅹ（1±30%）μs</w:t>
      </w:r>
    </w:p>
    <w:p w14:paraId="4DCA1CAE">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18.电刺激脉冲幅度:</w:t>
      </w:r>
      <w:r>
        <w:rPr>
          <w:rFonts w:hint="eastAsia" w:ascii="宋体" w:hAnsi="宋体" w:eastAsia="宋体" w:cs="宋体"/>
          <w:sz w:val="24"/>
          <w:szCs w:val="24"/>
        </w:rPr>
        <w:tab/>
      </w:r>
      <w:r>
        <w:rPr>
          <w:rFonts w:hint="eastAsia" w:ascii="宋体" w:hAnsi="宋体" w:eastAsia="宋体" w:cs="宋体"/>
          <w:sz w:val="24"/>
          <w:szCs w:val="24"/>
        </w:rPr>
        <w:t>≤20V</w:t>
      </w:r>
    </w:p>
    <w:p w14:paraId="54802BC8">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19.电极输出峰值电流 :≤10mA</w:t>
      </w:r>
    </w:p>
    <w:p w14:paraId="7E9B8972">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20.负载阻抗参数: 2k≥负载阻抗≥500Ω</w:t>
      </w:r>
    </w:p>
    <w:p w14:paraId="14193DF7">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21.负载阻抗参数: 对频率、脉宽影响≤±20%</w:t>
      </w:r>
    </w:p>
    <w:p w14:paraId="4A33EE95">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22.治疗电极规格: 为176mm2≤凝胶面积≤314mm2</w:t>
      </w:r>
    </w:p>
    <w:p w14:paraId="58F2A72B">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 xml:space="preserve">23.治疗仪防电击类型: Ⅱ类 </w:t>
      </w:r>
    </w:p>
    <w:p w14:paraId="379266A3">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24.治疗仪防电击程度: BF型</w:t>
      </w:r>
    </w:p>
    <w:p w14:paraId="20D61B8A">
      <w:pPr>
        <w:spacing w:line="360" w:lineRule="auto"/>
        <w:ind w:left="210" w:leftChars="100"/>
        <w:jc w:val="both"/>
        <w:rPr>
          <w:rFonts w:hint="eastAsia" w:ascii="宋体" w:hAnsi="宋体" w:eastAsia="宋体" w:cs="宋体"/>
          <w:sz w:val="24"/>
          <w:szCs w:val="24"/>
        </w:rPr>
      </w:pPr>
      <w:r>
        <w:rPr>
          <w:rFonts w:hint="eastAsia" w:ascii="宋体" w:hAnsi="宋体" w:eastAsia="宋体" w:cs="宋体"/>
          <w:sz w:val="24"/>
          <w:szCs w:val="24"/>
        </w:rPr>
        <w:t>25.转运推车: 万向轮灵活方便、转运把手，方便使用</w:t>
      </w:r>
    </w:p>
    <w:p w14:paraId="3ACDEBDD">
      <w:pPr>
        <w:spacing w:line="360" w:lineRule="auto"/>
        <w:ind w:firstLine="240" w:firstLineChars="100"/>
        <w:jc w:val="both"/>
        <w:rPr>
          <w:rFonts w:hint="eastAsia" w:ascii="宋体" w:hAnsi="宋体" w:eastAsia="宋体" w:cs="宋体"/>
          <w:color w:val="000000"/>
          <w:spacing w:val="2"/>
          <w:kern w:val="10"/>
          <w:position w:val="2"/>
          <w:sz w:val="24"/>
          <w:szCs w:val="24"/>
        </w:rPr>
      </w:pPr>
      <w:r>
        <w:rPr>
          <w:rFonts w:hint="eastAsia" w:ascii="宋体" w:hAnsi="宋体" w:eastAsia="宋体" w:cs="宋体"/>
          <w:sz w:val="24"/>
          <w:szCs w:val="24"/>
        </w:rPr>
        <w:t>▲26.</w:t>
      </w:r>
      <w:r>
        <w:rPr>
          <w:rFonts w:hint="eastAsia" w:ascii="宋体" w:hAnsi="宋体" w:eastAsia="宋体" w:cs="宋体"/>
          <w:color w:val="000000"/>
          <w:spacing w:val="2"/>
          <w:kern w:val="10"/>
          <w:position w:val="2"/>
          <w:sz w:val="24"/>
          <w:szCs w:val="24"/>
        </w:rPr>
        <w:t>设备使用年限：</w:t>
      </w:r>
      <w:r>
        <w:rPr>
          <w:rFonts w:hint="eastAsia" w:ascii="宋体" w:hAnsi="宋体" w:eastAsia="宋体" w:cs="宋体"/>
          <w:sz w:val="24"/>
          <w:szCs w:val="24"/>
        </w:rPr>
        <w:t>≥</w:t>
      </w:r>
      <w:r>
        <w:rPr>
          <w:rFonts w:hint="eastAsia" w:ascii="宋体" w:hAnsi="宋体" w:eastAsia="宋体" w:cs="宋体"/>
          <w:color w:val="000000"/>
          <w:spacing w:val="2"/>
          <w:kern w:val="10"/>
          <w:position w:val="2"/>
          <w:sz w:val="24"/>
          <w:szCs w:val="24"/>
        </w:rPr>
        <w:t>8年</w:t>
      </w:r>
    </w:p>
    <w:p w14:paraId="1838D5C0">
      <w:pPr>
        <w:spacing w:line="360" w:lineRule="auto"/>
        <w:ind w:firstLine="244" w:firstLineChars="100"/>
        <w:jc w:val="both"/>
        <w:rPr>
          <w:rFonts w:hint="eastAsia" w:ascii="宋体" w:hAnsi="宋体" w:eastAsia="宋体" w:cs="宋体"/>
          <w:color w:val="000000"/>
          <w:spacing w:val="2"/>
          <w:kern w:val="10"/>
          <w:position w:val="2"/>
          <w:sz w:val="24"/>
          <w:szCs w:val="24"/>
        </w:rPr>
      </w:pPr>
      <w:r>
        <w:rPr>
          <w:rFonts w:hint="eastAsia" w:ascii="宋体" w:hAnsi="宋体" w:eastAsia="宋体" w:cs="宋体"/>
          <w:color w:val="000000"/>
          <w:spacing w:val="2"/>
          <w:kern w:val="10"/>
          <w:position w:val="2"/>
          <w:sz w:val="24"/>
          <w:szCs w:val="24"/>
        </w:rPr>
        <w:t>27.工作环境：工作电源：220V  频率：50Hz  操作温度/湿度：+5-40℃，/30%-80%</w:t>
      </w:r>
    </w:p>
    <w:p w14:paraId="2544F179">
      <w:pPr>
        <w:spacing w:line="360" w:lineRule="auto"/>
        <w:ind w:left="210" w:leftChars="100" w:firstLine="244" w:firstLineChars="100"/>
        <w:jc w:val="both"/>
        <w:rPr>
          <w:rFonts w:hint="eastAsia" w:ascii="宋体" w:hAnsi="宋体" w:eastAsia="宋体" w:cs="宋体"/>
          <w:color w:val="000000"/>
          <w:spacing w:val="2"/>
          <w:kern w:val="10"/>
          <w:position w:val="2"/>
          <w:sz w:val="24"/>
          <w:szCs w:val="24"/>
        </w:rPr>
      </w:pPr>
      <w:r>
        <w:rPr>
          <w:rFonts w:hint="eastAsia" w:ascii="宋体" w:hAnsi="宋体" w:eastAsia="宋体" w:cs="宋体"/>
          <w:color w:val="000000"/>
          <w:spacing w:val="2"/>
          <w:kern w:val="10"/>
          <w:position w:val="2"/>
          <w:sz w:val="24"/>
          <w:szCs w:val="24"/>
        </w:rPr>
        <w:t>储存/运输温度-20-55℃/10%RH-95%R</w:t>
      </w:r>
    </w:p>
    <w:p w14:paraId="1B17C32F">
      <w:pPr>
        <w:spacing w:line="360" w:lineRule="auto"/>
        <w:ind w:left="21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pacing w:val="2"/>
          <w:kern w:val="10"/>
          <w:position w:val="2"/>
          <w:sz w:val="24"/>
          <w:szCs w:val="24"/>
          <w:lang w:val="en-US" w:eastAsia="zh-CN"/>
        </w:rPr>
        <w:t>28.具有智能</w:t>
      </w:r>
      <w:r>
        <w:rPr>
          <w:rFonts w:hint="eastAsia" w:ascii="宋体" w:hAnsi="宋体" w:eastAsia="宋体" w:cs="宋体"/>
          <w:sz w:val="24"/>
          <w:szCs w:val="24"/>
        </w:rPr>
        <w:t>治疗模式</w:t>
      </w:r>
    </w:p>
    <w:p w14:paraId="07FFDBC9">
      <w:pPr>
        <w:spacing w:line="360" w:lineRule="auto"/>
        <w:ind w:left="210" w:leftChars="0" w:firstLine="240" w:firstLineChars="100"/>
        <w:jc w:val="both"/>
        <w:rPr>
          <w:rFonts w:hint="eastAsia" w:ascii="宋体" w:hAnsi="宋体" w:eastAsia="宋体" w:cs="宋体"/>
          <w:sz w:val="24"/>
          <w:szCs w:val="24"/>
        </w:rPr>
      </w:pPr>
    </w:p>
    <w:p w14:paraId="63F30A8D">
      <w:pPr>
        <w:widowControl w:val="0"/>
        <w:spacing w:line="360"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3.</w:t>
      </w:r>
      <w:r>
        <w:rPr>
          <w:rFonts w:hint="eastAsia" w:ascii="宋体" w:hAnsi="宋体" w:eastAsia="宋体" w:cs="宋体"/>
          <w:b/>
          <w:bCs/>
          <w:kern w:val="2"/>
          <w:sz w:val="24"/>
          <w:szCs w:val="24"/>
          <w:lang w:val="zh-CN"/>
        </w:rPr>
        <w:t>便携式睡眠监测仪</w:t>
      </w:r>
      <w:r>
        <w:rPr>
          <w:rFonts w:hint="eastAsia" w:ascii="宋体" w:hAnsi="宋体" w:eastAsia="宋体" w:cs="宋体"/>
          <w:b/>
          <w:bCs/>
          <w:kern w:val="2"/>
          <w:sz w:val="24"/>
          <w:szCs w:val="24"/>
          <w:lang w:val="en-US" w:eastAsia="zh-CN"/>
        </w:rPr>
        <w:t>技术参数</w:t>
      </w:r>
    </w:p>
    <w:p w14:paraId="5BF2A99D">
      <w:pPr>
        <w:widowControl w:val="0"/>
        <w:spacing w:line="360" w:lineRule="auto"/>
        <w:jc w:val="both"/>
        <w:rPr>
          <w:rFonts w:hint="eastAsia" w:ascii="宋体" w:hAnsi="宋体" w:eastAsia="宋体" w:cs="宋体"/>
          <w:kern w:val="2"/>
          <w:sz w:val="24"/>
          <w:szCs w:val="24"/>
          <w:lang w:val="zh-CN"/>
        </w:rPr>
      </w:pPr>
    </w:p>
    <w:p w14:paraId="2DD9BAA7">
      <w:pPr>
        <w:widowControl w:val="0"/>
        <w:spacing w:line="360" w:lineRule="auto"/>
        <w:jc w:val="both"/>
        <w:rPr>
          <w:rFonts w:hint="eastAsia" w:ascii="宋体" w:hAnsi="宋体" w:eastAsia="宋体" w:cs="宋体"/>
          <w:color w:val="000000"/>
          <w:sz w:val="24"/>
          <w:szCs w:val="24"/>
          <w:lang w:bidi="ar"/>
        </w:rPr>
      </w:pPr>
      <w:r>
        <w:rPr>
          <w:rFonts w:hint="eastAsia" w:ascii="宋体" w:hAnsi="宋体" w:eastAsia="宋体" w:cs="宋体"/>
          <w:kern w:val="2"/>
          <w:sz w:val="24"/>
          <w:szCs w:val="24"/>
          <w:lang w:val="zh-CN"/>
        </w:rPr>
        <w:t>用途：</w:t>
      </w:r>
      <w:r>
        <w:rPr>
          <w:rFonts w:hint="eastAsia" w:ascii="宋体" w:hAnsi="宋体" w:eastAsia="宋体" w:cs="宋体"/>
          <w:color w:val="000000"/>
          <w:sz w:val="24"/>
          <w:szCs w:val="24"/>
          <w:lang w:bidi="ar"/>
        </w:rPr>
        <w:t>能监测的生理指标，需包含脑电、眼电、肌电（下颌）、下肢肌电、心电、口鼻气流、胸腹呼吸、血氧饱和度、脉率、鼾声、体动、体位、环境光等重要参数。从而符合国家医疗收费标准。</w:t>
      </w:r>
    </w:p>
    <w:p w14:paraId="0CD95015">
      <w:pPr>
        <w:widowControl w:val="0"/>
        <w:spacing w:line="360" w:lineRule="auto"/>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技术参数：</w:t>
      </w:r>
    </w:p>
    <w:p w14:paraId="630C118C">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一、脑电、眼电、肌电部分</w:t>
      </w:r>
    </w:p>
    <w:p w14:paraId="18170D8C">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 xml:space="preserve"> 输入阻抗：</w:t>
      </w:r>
      <w:r>
        <w:rPr>
          <w:rFonts w:hint="eastAsia" w:ascii="宋体" w:hAnsi="宋体" w:eastAsia="宋体" w:cs="宋体"/>
          <w:sz w:val="24"/>
          <w:szCs w:val="24"/>
          <w:lang w:val="en-GB"/>
        </w:rPr>
        <w:t>≥</w:t>
      </w:r>
      <w:r>
        <w:rPr>
          <w:rFonts w:hint="eastAsia" w:ascii="宋体" w:hAnsi="宋体" w:eastAsia="宋体" w:cs="宋体"/>
          <w:kern w:val="2"/>
          <w:sz w:val="24"/>
          <w:szCs w:val="24"/>
        </w:rPr>
        <w:t>19</w:t>
      </w:r>
      <w:r>
        <w:rPr>
          <w:rFonts w:hint="eastAsia" w:ascii="宋体" w:hAnsi="宋体" w:eastAsia="宋体" w:cs="宋体"/>
          <w:bCs/>
          <w:color w:val="000000"/>
          <w:sz w:val="24"/>
          <w:szCs w:val="24"/>
          <w:lang w:bidi="ar"/>
        </w:rPr>
        <w:t>MΩ</w:t>
      </w:r>
      <w:r>
        <w:rPr>
          <w:rFonts w:hint="eastAsia" w:ascii="宋体" w:hAnsi="宋体" w:eastAsia="宋体" w:cs="宋体"/>
          <w:kern w:val="2"/>
          <w:sz w:val="24"/>
          <w:szCs w:val="24"/>
          <w:lang w:val="zh-CN"/>
        </w:rPr>
        <w:t>。</w:t>
      </w:r>
    </w:p>
    <w:p w14:paraId="52C339D1">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幅频特性：以10Hz为基准，(1～60)Hz, 最大允许误差+5%～-10%。</w:t>
      </w:r>
    </w:p>
    <w:p w14:paraId="6A8F3E68">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3</w:t>
      </w:r>
      <w:r>
        <w:rPr>
          <w:rFonts w:hint="eastAsia" w:ascii="宋体" w:hAnsi="宋体" w:eastAsia="宋体" w:cs="宋体"/>
          <w:kern w:val="2"/>
          <w:sz w:val="24"/>
          <w:szCs w:val="24"/>
          <w:lang w:val="zh-CN"/>
        </w:rPr>
        <w:t>共模抑制比：</w:t>
      </w:r>
      <w:r>
        <w:rPr>
          <w:rFonts w:hint="eastAsia" w:ascii="宋体" w:hAnsi="宋体" w:eastAsia="宋体" w:cs="宋体"/>
          <w:kern w:val="2"/>
          <w:sz w:val="24"/>
          <w:szCs w:val="24"/>
        </w:rPr>
        <w:t>各通道</w:t>
      </w:r>
      <w:r>
        <w:rPr>
          <w:rFonts w:hint="eastAsia" w:ascii="宋体" w:hAnsi="宋体" w:eastAsia="宋体" w:cs="宋体"/>
          <w:sz w:val="24"/>
          <w:szCs w:val="24"/>
          <w:lang w:val="en-GB"/>
        </w:rPr>
        <w:t>≥</w:t>
      </w:r>
      <w:r>
        <w:rPr>
          <w:rFonts w:hint="eastAsia" w:ascii="宋体" w:hAnsi="宋体" w:eastAsia="宋体" w:cs="宋体"/>
          <w:kern w:val="2"/>
          <w:sz w:val="24"/>
          <w:szCs w:val="24"/>
        </w:rPr>
        <w:t>110d</w:t>
      </w:r>
      <w:r>
        <w:rPr>
          <w:rFonts w:hint="eastAsia" w:ascii="宋体" w:hAnsi="宋体" w:eastAsia="宋体" w:cs="宋体"/>
          <w:kern w:val="2"/>
          <w:sz w:val="24"/>
          <w:szCs w:val="24"/>
          <w:lang w:val="zh-CN"/>
        </w:rPr>
        <w:t>B。</w:t>
      </w:r>
    </w:p>
    <w:p w14:paraId="664B3678">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4</w:t>
      </w:r>
      <w:r>
        <w:rPr>
          <w:rFonts w:hint="eastAsia" w:ascii="宋体" w:hAnsi="宋体" w:eastAsia="宋体" w:cs="宋体"/>
          <w:kern w:val="2"/>
          <w:sz w:val="24"/>
          <w:szCs w:val="24"/>
          <w:lang w:val="zh-CN"/>
        </w:rPr>
        <w:t>内部噪声(噪声电平):</w:t>
      </w:r>
      <w:r>
        <w:rPr>
          <w:rFonts w:hint="eastAsia" w:ascii="宋体" w:hAnsi="宋体" w:eastAsia="宋体" w:cs="宋体"/>
          <w:sz w:val="24"/>
          <w:szCs w:val="24"/>
          <w:lang w:val="en-GB"/>
        </w:rPr>
        <w:t xml:space="preserve"> ≤</w:t>
      </w:r>
      <w:r>
        <w:rPr>
          <w:rFonts w:hint="eastAsia" w:ascii="宋体" w:hAnsi="宋体" w:eastAsia="宋体" w:cs="宋体"/>
          <w:kern w:val="2"/>
          <w:sz w:val="24"/>
          <w:szCs w:val="24"/>
          <w:lang w:val="zh-CN"/>
        </w:rPr>
        <w:t xml:space="preserve">1.5μV </w:t>
      </w:r>
    </w:p>
    <w:p w14:paraId="596C3283">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5、</w:t>
      </w:r>
      <w:r>
        <w:rPr>
          <w:rFonts w:hint="eastAsia" w:ascii="宋体" w:hAnsi="宋体" w:eastAsia="宋体" w:cs="宋体"/>
          <w:kern w:val="2"/>
          <w:sz w:val="24"/>
          <w:szCs w:val="24"/>
          <w:lang w:val="zh-CN"/>
        </w:rPr>
        <w:t>耐极化电压：加±300 mV的直流极化电压，误差不超过±5%。</w:t>
      </w:r>
    </w:p>
    <w:p w14:paraId="15D23D5C">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二、</w:t>
      </w:r>
      <w:r>
        <w:rPr>
          <w:rFonts w:hint="eastAsia" w:ascii="宋体" w:hAnsi="宋体" w:eastAsia="宋体" w:cs="宋体"/>
          <w:kern w:val="2"/>
          <w:sz w:val="24"/>
          <w:szCs w:val="24"/>
          <w:lang w:val="zh-CN"/>
        </w:rPr>
        <w:t>心电</w:t>
      </w:r>
      <w:r>
        <w:rPr>
          <w:rFonts w:hint="eastAsia" w:ascii="宋体" w:hAnsi="宋体" w:eastAsia="宋体" w:cs="宋体"/>
          <w:kern w:val="2"/>
          <w:sz w:val="24"/>
          <w:szCs w:val="24"/>
        </w:rPr>
        <w:t>部分</w:t>
      </w:r>
    </w:p>
    <w:p w14:paraId="307DDC78">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输入阻抗：</w:t>
      </w:r>
      <w:r>
        <w:rPr>
          <w:rFonts w:hint="eastAsia" w:ascii="宋体" w:hAnsi="宋体" w:eastAsia="宋体" w:cs="宋体"/>
          <w:sz w:val="24"/>
          <w:szCs w:val="24"/>
          <w:lang w:val="en-GB"/>
        </w:rPr>
        <w:t>≥</w:t>
      </w:r>
      <w:r>
        <w:rPr>
          <w:rFonts w:hint="eastAsia" w:ascii="宋体" w:hAnsi="宋体" w:eastAsia="宋体" w:cs="宋体"/>
          <w:kern w:val="2"/>
          <w:sz w:val="24"/>
          <w:szCs w:val="24"/>
        </w:rPr>
        <w:t>11</w:t>
      </w:r>
      <w:r>
        <w:rPr>
          <w:rFonts w:hint="eastAsia" w:ascii="宋体" w:hAnsi="宋体" w:eastAsia="宋体" w:cs="宋体"/>
          <w:bCs/>
          <w:color w:val="000000"/>
          <w:sz w:val="24"/>
          <w:szCs w:val="24"/>
          <w:lang w:bidi="ar"/>
        </w:rPr>
        <w:t>MΩ</w:t>
      </w:r>
      <w:r>
        <w:rPr>
          <w:rFonts w:hint="eastAsia" w:ascii="宋体" w:hAnsi="宋体" w:eastAsia="宋体" w:cs="宋体"/>
          <w:kern w:val="2"/>
          <w:sz w:val="24"/>
          <w:szCs w:val="24"/>
          <w:lang w:val="zh-CN"/>
        </w:rPr>
        <w:t>。</w:t>
      </w:r>
    </w:p>
    <w:p w14:paraId="2258DE4F">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幅频特性：以10Hz为基准，(1～25)Hz,  最大允许误差+5%～-10%。</w:t>
      </w:r>
    </w:p>
    <w:p w14:paraId="67DD76DA">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3、</w:t>
      </w:r>
      <w:r>
        <w:rPr>
          <w:rFonts w:hint="eastAsia" w:ascii="宋体" w:hAnsi="宋体" w:eastAsia="宋体" w:cs="宋体"/>
          <w:kern w:val="2"/>
          <w:sz w:val="24"/>
          <w:szCs w:val="24"/>
          <w:lang w:val="zh-CN"/>
        </w:rPr>
        <w:t>共模抑制比：</w:t>
      </w:r>
      <w:r>
        <w:rPr>
          <w:rFonts w:hint="eastAsia" w:ascii="宋体" w:hAnsi="宋体" w:eastAsia="宋体" w:cs="宋体"/>
          <w:sz w:val="24"/>
          <w:szCs w:val="24"/>
          <w:lang w:val="en-GB"/>
        </w:rPr>
        <w:t>≥</w:t>
      </w:r>
      <w:r>
        <w:rPr>
          <w:rFonts w:hint="eastAsia" w:ascii="宋体" w:hAnsi="宋体" w:eastAsia="宋体" w:cs="宋体"/>
          <w:kern w:val="2"/>
          <w:sz w:val="24"/>
          <w:szCs w:val="24"/>
        </w:rPr>
        <w:t>120d</w:t>
      </w:r>
      <w:r>
        <w:rPr>
          <w:rFonts w:hint="eastAsia" w:ascii="宋体" w:hAnsi="宋体" w:eastAsia="宋体" w:cs="宋体"/>
          <w:kern w:val="2"/>
          <w:sz w:val="24"/>
          <w:szCs w:val="24"/>
          <w:lang w:val="zh-CN"/>
        </w:rPr>
        <w:t>B。</w:t>
      </w:r>
    </w:p>
    <w:p w14:paraId="02828E0C">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4、</w:t>
      </w:r>
      <w:r>
        <w:rPr>
          <w:rFonts w:hint="eastAsia" w:ascii="宋体" w:hAnsi="宋体" w:eastAsia="宋体" w:cs="宋体"/>
          <w:kern w:val="2"/>
          <w:sz w:val="24"/>
          <w:szCs w:val="24"/>
          <w:lang w:val="zh-CN"/>
        </w:rPr>
        <w:t>内部噪声(噪声电平):</w:t>
      </w:r>
      <w:r>
        <w:rPr>
          <w:rFonts w:hint="eastAsia" w:ascii="宋体" w:hAnsi="宋体" w:eastAsia="宋体" w:cs="宋体"/>
          <w:sz w:val="24"/>
          <w:szCs w:val="24"/>
          <w:lang w:val="en-GB"/>
        </w:rPr>
        <w:t xml:space="preserve"> ≤</w:t>
      </w:r>
      <w:r>
        <w:rPr>
          <w:rFonts w:hint="eastAsia" w:ascii="宋体" w:hAnsi="宋体" w:eastAsia="宋体" w:cs="宋体"/>
          <w:kern w:val="2"/>
          <w:sz w:val="24"/>
          <w:szCs w:val="24"/>
          <w:lang w:val="zh-CN"/>
        </w:rPr>
        <w:t xml:space="preserve">1.5μV </w:t>
      </w:r>
    </w:p>
    <w:p w14:paraId="0AC69042">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5、</w:t>
      </w:r>
      <w:r>
        <w:rPr>
          <w:rFonts w:hint="eastAsia" w:ascii="宋体" w:hAnsi="宋体" w:eastAsia="宋体" w:cs="宋体"/>
          <w:kern w:val="2"/>
          <w:sz w:val="24"/>
          <w:szCs w:val="24"/>
          <w:lang w:val="zh-CN"/>
        </w:rPr>
        <w:t>耐极化电压：加±300 mV 的直流极化电压，误差不超过±5%。</w:t>
      </w:r>
    </w:p>
    <w:p w14:paraId="15F607CF">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三、</w:t>
      </w:r>
      <w:r>
        <w:rPr>
          <w:rFonts w:hint="eastAsia" w:ascii="宋体" w:hAnsi="宋体" w:eastAsia="宋体" w:cs="宋体"/>
          <w:kern w:val="2"/>
          <w:sz w:val="24"/>
          <w:szCs w:val="24"/>
          <w:lang w:val="zh-CN"/>
        </w:rPr>
        <w:t>血氧饱和度</w:t>
      </w:r>
      <w:r>
        <w:rPr>
          <w:rFonts w:hint="eastAsia" w:ascii="宋体" w:hAnsi="宋体" w:eastAsia="宋体" w:cs="宋体"/>
          <w:kern w:val="2"/>
          <w:sz w:val="24"/>
          <w:szCs w:val="24"/>
        </w:rPr>
        <w:t>部分</w:t>
      </w:r>
    </w:p>
    <w:p w14:paraId="015DC505">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显示范围：0～100%;</w:t>
      </w:r>
    </w:p>
    <w:p w14:paraId="3FD752BB">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测量范围与精度：70%～100%范围内，误差</w:t>
      </w:r>
      <w:r>
        <w:rPr>
          <w:rFonts w:hint="eastAsia" w:ascii="宋体" w:hAnsi="宋体" w:eastAsia="宋体" w:cs="宋体"/>
          <w:kern w:val="2"/>
          <w:sz w:val="24"/>
          <w:szCs w:val="24"/>
        </w:rPr>
        <w:t>为+</w:t>
      </w:r>
      <w:r>
        <w:rPr>
          <w:rFonts w:hint="eastAsia" w:ascii="宋体" w:hAnsi="宋体" w:eastAsia="宋体" w:cs="宋体"/>
          <w:kern w:val="2"/>
          <w:sz w:val="24"/>
          <w:szCs w:val="24"/>
          <w:lang w:val="zh-CN"/>
        </w:rPr>
        <w:t>2%;小于70%,无定义；</w:t>
      </w:r>
    </w:p>
    <w:p w14:paraId="50DEDA9F">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四、</w:t>
      </w:r>
      <w:r>
        <w:rPr>
          <w:rFonts w:hint="eastAsia" w:ascii="宋体" w:hAnsi="宋体" w:eastAsia="宋体" w:cs="宋体"/>
          <w:kern w:val="2"/>
          <w:sz w:val="24"/>
          <w:szCs w:val="24"/>
          <w:lang w:val="zh-CN"/>
        </w:rPr>
        <w:t>脉率</w:t>
      </w:r>
      <w:r>
        <w:rPr>
          <w:rFonts w:hint="eastAsia" w:ascii="宋体" w:hAnsi="宋体" w:eastAsia="宋体" w:cs="宋体"/>
          <w:kern w:val="2"/>
          <w:sz w:val="24"/>
          <w:szCs w:val="24"/>
        </w:rPr>
        <w:t>部分</w:t>
      </w:r>
    </w:p>
    <w:p w14:paraId="4C28FF8B">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显示范围：30次/分～250次/分；</w:t>
      </w:r>
    </w:p>
    <w:p w14:paraId="6D5E7702">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测量精度：30次/分～250次/分范围内，分辨率：1次/分。</w:t>
      </w:r>
    </w:p>
    <w:p w14:paraId="12B1EBEE">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五、</w:t>
      </w:r>
      <w:r>
        <w:rPr>
          <w:rFonts w:hint="eastAsia" w:ascii="宋体" w:hAnsi="宋体" w:eastAsia="宋体" w:cs="宋体"/>
          <w:kern w:val="2"/>
          <w:sz w:val="24"/>
          <w:szCs w:val="24"/>
          <w:lang w:val="zh-CN"/>
        </w:rPr>
        <w:t>呼吸气流</w:t>
      </w:r>
      <w:r>
        <w:rPr>
          <w:rFonts w:hint="eastAsia" w:ascii="宋体" w:hAnsi="宋体" w:eastAsia="宋体" w:cs="宋体"/>
          <w:kern w:val="2"/>
          <w:sz w:val="24"/>
          <w:szCs w:val="24"/>
        </w:rPr>
        <w:t>部分</w:t>
      </w:r>
    </w:p>
    <w:p w14:paraId="04D15E3A">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显示范围：0-40次；</w:t>
      </w:r>
    </w:p>
    <w:p w14:paraId="13A99101">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频率范围：10次/分～40次/分，误差≤±2次/分。</w:t>
      </w:r>
    </w:p>
    <w:p w14:paraId="70BCCE0B">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六、</w:t>
      </w:r>
      <w:r>
        <w:rPr>
          <w:rFonts w:hint="eastAsia" w:ascii="宋体" w:hAnsi="宋体" w:eastAsia="宋体" w:cs="宋体"/>
          <w:kern w:val="2"/>
          <w:sz w:val="24"/>
          <w:szCs w:val="24"/>
          <w:lang w:val="zh-CN"/>
        </w:rPr>
        <w:t>胸腹部呼吸运动</w:t>
      </w:r>
      <w:r>
        <w:rPr>
          <w:rFonts w:hint="eastAsia" w:ascii="宋体" w:hAnsi="宋体" w:eastAsia="宋体" w:cs="宋体"/>
          <w:kern w:val="2"/>
          <w:sz w:val="24"/>
          <w:szCs w:val="24"/>
        </w:rPr>
        <w:t>部分</w:t>
      </w:r>
    </w:p>
    <w:p w14:paraId="248ED150">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胸腹部呼吸显示范围：0-40次；</w:t>
      </w:r>
    </w:p>
    <w:p w14:paraId="272B726D">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胸腹呼吸频率范围：10次/分～40次/分，误差≤±2次/分</w:t>
      </w:r>
    </w:p>
    <w:p w14:paraId="345D6E30">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七</w:t>
      </w:r>
      <w:r>
        <w:rPr>
          <w:rFonts w:hint="eastAsia" w:ascii="宋体" w:hAnsi="宋体" w:eastAsia="宋体" w:cs="宋体"/>
          <w:kern w:val="2"/>
          <w:sz w:val="24"/>
          <w:szCs w:val="24"/>
        </w:rPr>
        <w:t>、</w:t>
      </w:r>
      <w:r>
        <w:rPr>
          <w:rFonts w:hint="eastAsia" w:ascii="宋体" w:hAnsi="宋体" w:eastAsia="宋体" w:cs="宋体"/>
          <w:kern w:val="2"/>
          <w:sz w:val="24"/>
          <w:szCs w:val="24"/>
          <w:lang w:val="zh-CN"/>
        </w:rPr>
        <w:t>腿部肌电信</w:t>
      </w:r>
      <w:r>
        <w:rPr>
          <w:rFonts w:hint="eastAsia" w:ascii="宋体" w:hAnsi="宋体" w:eastAsia="宋体" w:cs="宋体"/>
          <w:kern w:val="2"/>
          <w:sz w:val="24"/>
          <w:szCs w:val="24"/>
        </w:rPr>
        <w:t>部分</w:t>
      </w:r>
    </w:p>
    <w:p w14:paraId="19CF5EED">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1、</w:t>
      </w:r>
      <w:r>
        <w:rPr>
          <w:rFonts w:hint="eastAsia" w:ascii="宋体" w:hAnsi="宋体" w:eastAsia="宋体" w:cs="宋体"/>
          <w:kern w:val="2"/>
          <w:sz w:val="24"/>
          <w:szCs w:val="24"/>
          <w:lang w:val="zh-CN"/>
        </w:rPr>
        <w:t>输入阻抗：</w:t>
      </w:r>
      <w:r>
        <w:rPr>
          <w:rFonts w:hint="eastAsia" w:ascii="宋体" w:hAnsi="宋体" w:eastAsia="宋体" w:cs="宋体"/>
          <w:sz w:val="24"/>
          <w:szCs w:val="24"/>
          <w:lang w:val="en-GB"/>
        </w:rPr>
        <w:t>≥</w:t>
      </w:r>
      <w:r>
        <w:rPr>
          <w:rFonts w:hint="eastAsia" w:ascii="宋体" w:hAnsi="宋体" w:eastAsia="宋体" w:cs="宋体"/>
          <w:kern w:val="2"/>
          <w:sz w:val="24"/>
          <w:szCs w:val="24"/>
          <w:lang w:val="zh-CN"/>
        </w:rPr>
        <w:t>16</w:t>
      </w:r>
      <w:r>
        <w:rPr>
          <w:rFonts w:hint="eastAsia" w:ascii="宋体" w:hAnsi="宋体" w:eastAsia="宋体" w:cs="宋体"/>
          <w:bCs/>
          <w:color w:val="000000"/>
          <w:sz w:val="24"/>
          <w:szCs w:val="24"/>
          <w:lang w:bidi="ar"/>
        </w:rPr>
        <w:t>MΩ。</w:t>
      </w:r>
    </w:p>
    <w:p w14:paraId="1297238B">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2、</w:t>
      </w:r>
      <w:r>
        <w:rPr>
          <w:rFonts w:hint="eastAsia" w:ascii="宋体" w:hAnsi="宋体" w:eastAsia="宋体" w:cs="宋体"/>
          <w:kern w:val="2"/>
          <w:sz w:val="24"/>
          <w:szCs w:val="24"/>
          <w:lang w:val="zh-CN"/>
        </w:rPr>
        <w:t>幅频特性：以10Hz 为基准，(1～60)Hz, 最大允许误差+5%～-10%。</w:t>
      </w:r>
    </w:p>
    <w:p w14:paraId="5D5B3FDC">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3、</w:t>
      </w:r>
      <w:r>
        <w:rPr>
          <w:rFonts w:hint="eastAsia" w:ascii="宋体" w:hAnsi="宋体" w:eastAsia="宋体" w:cs="宋体"/>
          <w:kern w:val="2"/>
          <w:sz w:val="24"/>
          <w:szCs w:val="24"/>
          <w:lang w:val="zh-CN"/>
        </w:rPr>
        <w:t>共模抑制比：</w:t>
      </w:r>
      <w:r>
        <w:rPr>
          <w:rFonts w:hint="eastAsia" w:ascii="宋体" w:hAnsi="宋体" w:eastAsia="宋体" w:cs="宋体"/>
          <w:sz w:val="24"/>
          <w:szCs w:val="24"/>
          <w:lang w:val="en-GB"/>
        </w:rPr>
        <w:t>≥</w:t>
      </w:r>
      <w:r>
        <w:rPr>
          <w:rFonts w:hint="eastAsia" w:ascii="宋体" w:hAnsi="宋体" w:eastAsia="宋体" w:cs="宋体"/>
          <w:kern w:val="2"/>
          <w:sz w:val="24"/>
          <w:szCs w:val="24"/>
          <w:lang w:val="zh-CN"/>
        </w:rPr>
        <w:t>115dB。</w:t>
      </w:r>
    </w:p>
    <w:p w14:paraId="7919EA00">
      <w:pPr>
        <w:widowControl w:val="0"/>
        <w:spacing w:line="360" w:lineRule="auto"/>
        <w:jc w:val="both"/>
        <w:rPr>
          <w:rFonts w:hint="eastAsia" w:ascii="宋体" w:hAnsi="宋体" w:eastAsia="宋体" w:cs="宋体"/>
          <w:kern w:val="2"/>
          <w:sz w:val="24"/>
          <w:szCs w:val="24"/>
          <w:lang w:val="zh-CN"/>
        </w:rPr>
      </w:pPr>
      <w:r>
        <w:rPr>
          <w:rFonts w:hint="eastAsia" w:ascii="宋体" w:hAnsi="宋体" w:eastAsia="宋体" w:cs="宋体"/>
          <w:kern w:val="2"/>
          <w:sz w:val="24"/>
          <w:szCs w:val="24"/>
        </w:rPr>
        <w:t>4、</w:t>
      </w:r>
      <w:r>
        <w:rPr>
          <w:rFonts w:hint="eastAsia" w:ascii="宋体" w:hAnsi="宋体" w:eastAsia="宋体" w:cs="宋体"/>
          <w:kern w:val="2"/>
          <w:sz w:val="24"/>
          <w:szCs w:val="24"/>
          <w:lang w:val="zh-CN"/>
        </w:rPr>
        <w:t>内部噪声(噪声电平):</w:t>
      </w:r>
      <w:r>
        <w:rPr>
          <w:rFonts w:hint="eastAsia" w:ascii="宋体" w:hAnsi="宋体" w:eastAsia="宋体" w:cs="宋体"/>
          <w:sz w:val="24"/>
          <w:szCs w:val="24"/>
          <w:lang w:val="en-GB"/>
        </w:rPr>
        <w:t xml:space="preserve"> ≤</w:t>
      </w:r>
      <w:r>
        <w:rPr>
          <w:rFonts w:hint="eastAsia" w:ascii="宋体" w:hAnsi="宋体" w:eastAsia="宋体" w:cs="宋体"/>
          <w:kern w:val="2"/>
          <w:sz w:val="24"/>
          <w:szCs w:val="24"/>
          <w:lang w:val="zh-CN"/>
        </w:rPr>
        <w:t>1.5μV。</w:t>
      </w:r>
    </w:p>
    <w:p w14:paraId="116A3159">
      <w:pPr>
        <w:widowControl w:val="0"/>
        <w:spacing w:line="360" w:lineRule="auto"/>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功能简介：</w:t>
      </w:r>
    </w:p>
    <w:p w14:paraId="5AD7A371">
      <w:pPr>
        <w:widowControl w:val="0"/>
        <w:spacing w:line="360" w:lineRule="auto"/>
        <w:jc w:val="both"/>
        <w:rPr>
          <w:rFonts w:hint="eastAsia" w:ascii="宋体" w:hAnsi="宋体" w:eastAsia="宋体" w:cs="宋体"/>
          <w:kern w:val="2"/>
          <w:sz w:val="24"/>
          <w:szCs w:val="24"/>
        </w:rPr>
      </w:pPr>
      <w:r>
        <w:rPr>
          <w:rFonts w:hint="eastAsia" w:ascii="宋体" w:hAnsi="宋体" w:eastAsia="宋体" w:cs="宋体"/>
          <w:sz w:val="24"/>
          <w:szCs w:val="24"/>
          <w:lang w:val="en-GB"/>
        </w:rPr>
        <w:t>▲</w:t>
      </w:r>
      <w:r>
        <w:rPr>
          <w:rFonts w:hint="eastAsia" w:ascii="宋体" w:hAnsi="宋体" w:eastAsia="宋体" w:cs="宋体"/>
          <w:kern w:val="2"/>
          <w:sz w:val="24"/>
          <w:szCs w:val="24"/>
        </w:rPr>
        <w:t>1、导联数≥43导，记录和分析符合AASM标准。</w:t>
      </w:r>
    </w:p>
    <w:p w14:paraId="2F220435">
      <w:pPr>
        <w:widowControl w:val="0"/>
        <w:spacing w:line="360" w:lineRule="auto"/>
        <w:jc w:val="both"/>
        <w:rPr>
          <w:rFonts w:hint="eastAsia" w:ascii="宋体" w:hAnsi="宋体" w:eastAsia="宋体" w:cs="宋体"/>
          <w:kern w:val="2"/>
          <w:sz w:val="24"/>
          <w:szCs w:val="24"/>
        </w:rPr>
      </w:pPr>
      <w:r>
        <w:rPr>
          <w:rFonts w:hint="eastAsia" w:ascii="宋体" w:hAnsi="宋体" w:eastAsia="宋体" w:cs="宋体"/>
          <w:sz w:val="24"/>
          <w:szCs w:val="24"/>
          <w:lang w:val="en-GB"/>
        </w:rPr>
        <w:t>▲</w:t>
      </w:r>
      <w:r>
        <w:rPr>
          <w:rFonts w:hint="eastAsia" w:ascii="宋体" w:hAnsi="宋体" w:eastAsia="宋体" w:cs="宋体"/>
          <w:kern w:val="2"/>
          <w:sz w:val="24"/>
          <w:szCs w:val="24"/>
        </w:rPr>
        <w:t>2、包括脑电（7导）、眼动电（2导）、下颌肌电（2导）、心电（2导）、下肢肌电活动（2导）、呼吸气流（口鼻气流压力和口鼻气流热敏）、胸腹呼吸（独立RIP胸导联、独立RIP腹导联）、脉搏血氧饱和度、脉率、脉搏波、五体位、体动（胸部主机内置9轴加速度传感器）、CPAP压力、压力鼾声、麦克风鼾声、环境光、主动事件标记、双色工作指示灯、实时阻抗、电池电量、血氧阈值报警、双模组蓝牙通道、无线外接扩展通道参数。</w:t>
      </w:r>
    </w:p>
    <w:p w14:paraId="296C869F">
      <w:pPr>
        <w:spacing w:line="360" w:lineRule="auto"/>
        <w:jc w:val="both"/>
        <w:rPr>
          <w:rFonts w:hint="eastAsia" w:ascii="宋体" w:hAnsi="宋体" w:eastAsia="宋体" w:cs="宋体"/>
          <w:sz w:val="24"/>
          <w:szCs w:val="24"/>
          <w:lang w:val="en-GB"/>
        </w:rPr>
      </w:pPr>
      <w:r>
        <w:rPr>
          <w:rFonts w:hint="eastAsia" w:ascii="宋体" w:hAnsi="宋体" w:eastAsia="宋体" w:cs="宋体"/>
          <w:sz w:val="24"/>
          <w:szCs w:val="24"/>
          <w:lang w:val="en-GB"/>
        </w:rPr>
        <w:t>▲3、设备小巧轻便，胸部主机≤</w:t>
      </w:r>
      <w:r>
        <w:rPr>
          <w:rFonts w:hint="eastAsia" w:ascii="宋体" w:hAnsi="宋体" w:eastAsia="宋体" w:cs="宋体"/>
          <w:sz w:val="24"/>
          <w:szCs w:val="24"/>
        </w:rPr>
        <w:t>70mm × 60 mm ×20 mm，</w:t>
      </w:r>
      <w:r>
        <w:rPr>
          <w:rFonts w:hint="eastAsia" w:ascii="宋体" w:hAnsi="宋体" w:eastAsia="宋体" w:cs="宋体"/>
          <w:sz w:val="24"/>
          <w:szCs w:val="24"/>
          <w:lang w:val="en-GB"/>
        </w:rPr>
        <w:t>重量≤</w:t>
      </w:r>
      <w:r>
        <w:rPr>
          <w:rFonts w:hint="eastAsia" w:ascii="宋体" w:hAnsi="宋体" w:eastAsia="宋体" w:cs="宋体"/>
          <w:sz w:val="24"/>
          <w:szCs w:val="24"/>
        </w:rPr>
        <w:t>45g；腕部主机</w:t>
      </w:r>
      <w:r>
        <w:rPr>
          <w:rFonts w:hint="eastAsia" w:ascii="宋体" w:hAnsi="宋体" w:eastAsia="宋体" w:cs="宋体"/>
          <w:sz w:val="24"/>
          <w:szCs w:val="24"/>
          <w:lang w:val="en-GB"/>
        </w:rPr>
        <w:t>≤</w:t>
      </w:r>
      <w:r>
        <w:rPr>
          <w:rFonts w:hint="eastAsia" w:ascii="宋体" w:hAnsi="宋体" w:eastAsia="宋体" w:cs="宋体"/>
          <w:sz w:val="24"/>
          <w:szCs w:val="24"/>
        </w:rPr>
        <w:t>65mm × 50 mm ×20 mm</w:t>
      </w:r>
      <w:r>
        <w:rPr>
          <w:rFonts w:hint="eastAsia" w:ascii="宋体" w:hAnsi="宋体" w:eastAsia="宋体" w:cs="宋体"/>
          <w:sz w:val="24"/>
          <w:szCs w:val="24"/>
          <w:lang w:val="en-GB"/>
        </w:rPr>
        <w:t>，重量≤</w:t>
      </w:r>
      <w:r>
        <w:rPr>
          <w:rFonts w:hint="eastAsia" w:ascii="宋体" w:hAnsi="宋体" w:eastAsia="宋体" w:cs="宋体"/>
          <w:sz w:val="24"/>
          <w:szCs w:val="24"/>
        </w:rPr>
        <w:t>85g</w:t>
      </w:r>
      <w:r>
        <w:rPr>
          <w:rFonts w:hint="eastAsia" w:ascii="宋体" w:hAnsi="宋体" w:eastAsia="宋体" w:cs="宋体"/>
          <w:sz w:val="24"/>
          <w:szCs w:val="24"/>
          <w:lang w:val="en-GB"/>
        </w:rPr>
        <w:t>（含电池），监测过程中患者可在睡眠监测室活动。</w:t>
      </w:r>
    </w:p>
    <w:p w14:paraId="5B01B922">
      <w:pPr>
        <w:spacing w:line="360" w:lineRule="auto"/>
        <w:jc w:val="both"/>
        <w:rPr>
          <w:rFonts w:hint="eastAsia" w:ascii="宋体" w:hAnsi="宋体" w:eastAsia="宋体" w:cs="宋体"/>
          <w:sz w:val="24"/>
          <w:szCs w:val="24"/>
          <w:lang w:val="en-GB"/>
        </w:rPr>
      </w:pPr>
      <w:r>
        <w:rPr>
          <w:rFonts w:hint="eastAsia" w:ascii="宋体" w:hAnsi="宋体" w:eastAsia="宋体" w:cs="宋体"/>
          <w:sz w:val="24"/>
          <w:szCs w:val="24"/>
          <w:lang w:val="en-GB"/>
        </w:rPr>
        <w:t>▲4、设备具备≥2.0寸全彩液晶屏，可以显示记录状态、蓝牙状态、电池电量、受试者信息、设备版本号等信息，同时具备物理按键，用于患者主动标记事件。</w:t>
      </w:r>
    </w:p>
    <w:p w14:paraId="67A06D92">
      <w:pPr>
        <w:spacing w:line="360" w:lineRule="auto"/>
        <w:jc w:val="both"/>
        <w:rPr>
          <w:rFonts w:hint="eastAsia" w:ascii="宋体" w:hAnsi="宋体" w:eastAsia="宋体" w:cs="宋体"/>
          <w:sz w:val="24"/>
          <w:szCs w:val="24"/>
          <w:lang w:val="en-GB"/>
        </w:rPr>
      </w:pPr>
      <w:r>
        <w:rPr>
          <w:rFonts w:hint="eastAsia" w:ascii="宋体" w:hAnsi="宋体" w:eastAsia="宋体" w:cs="宋体"/>
          <w:sz w:val="24"/>
          <w:szCs w:val="24"/>
          <w:lang w:val="en-GB"/>
        </w:rPr>
        <w:t xml:space="preserve">5、采用内置充电锂电池供电，容量≥1600mAh，续航时间≥24h。 </w:t>
      </w:r>
    </w:p>
    <w:p w14:paraId="05B93376">
      <w:pPr>
        <w:spacing w:line="360" w:lineRule="auto"/>
        <w:jc w:val="both"/>
        <w:rPr>
          <w:rFonts w:hint="eastAsia" w:ascii="宋体" w:hAnsi="宋体" w:eastAsia="宋体" w:cs="宋体"/>
          <w:sz w:val="24"/>
          <w:szCs w:val="24"/>
          <w:lang w:val="en-GB"/>
        </w:rPr>
      </w:pPr>
      <w:r>
        <w:rPr>
          <w:rFonts w:hint="eastAsia" w:ascii="宋体" w:hAnsi="宋体" w:eastAsia="宋体" w:cs="宋体"/>
          <w:sz w:val="24"/>
          <w:szCs w:val="24"/>
          <w:lang w:val="en-GB"/>
        </w:rPr>
        <w:t>6、设备具有环境光监测功能，可通过环境光自动识别出关灯和开灯时间。</w:t>
      </w:r>
    </w:p>
    <w:p w14:paraId="5FE0D50D">
      <w:pPr>
        <w:spacing w:line="360" w:lineRule="auto"/>
        <w:jc w:val="both"/>
        <w:rPr>
          <w:rFonts w:hint="eastAsia" w:ascii="宋体" w:hAnsi="宋体" w:eastAsia="宋体" w:cs="宋体"/>
          <w:sz w:val="24"/>
          <w:szCs w:val="24"/>
          <w:lang w:val="en-GB"/>
        </w:rPr>
      </w:pPr>
      <w:r>
        <w:rPr>
          <w:rFonts w:hint="eastAsia" w:ascii="宋体" w:hAnsi="宋体" w:eastAsia="宋体" w:cs="宋体"/>
          <w:sz w:val="24"/>
          <w:szCs w:val="24"/>
          <w:lang w:val="en-GB"/>
        </w:rPr>
        <w:t>7、设备内存≥32Gb，存储并保留连续三个患者的睡眠数据，并可自动导入分析软件中进行分析。</w:t>
      </w:r>
    </w:p>
    <w:p w14:paraId="3102F489">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8、具有无线遥测功能，可以通过无线通讯通道，可升级外接呼末、呼吸机等多种外扩无线设备。</w:t>
      </w:r>
    </w:p>
    <w:p w14:paraId="610DBF2D">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9、具备硅胶指套、硅胶戒指等多种睡眠监测血氧传感器，不会对人体产生压迫伤，减少发生被动脱落的可能，确保整夜血氧指标监测的完整性。</w:t>
      </w:r>
    </w:p>
    <w:p w14:paraId="0D7A6A5C">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10、分析软件具有全中文操作界面，可生成全中文分析报告，方便临床进行报告分析及制定治疗方案。</w:t>
      </w:r>
    </w:p>
    <w:p w14:paraId="0BD586C5">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11、具有高通、低通滤波，工频陷波功能，可对单个通道进行滤波参数调整。</w:t>
      </w:r>
    </w:p>
    <w:p w14:paraId="707380D5">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12、具有实时阻抗检测功能，针对电生理信号（EXG信号）进行阻抗测试，避免因穿戴或其它不当问题影响信号采集质量。</w:t>
      </w:r>
    </w:p>
    <w:p w14:paraId="20971F5D">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sz w:val="24"/>
          <w:szCs w:val="24"/>
          <w:lang w:val="en-GB"/>
        </w:rPr>
        <w:t>▲</w:t>
      </w:r>
      <w:r>
        <w:rPr>
          <w:rFonts w:hint="eastAsia" w:ascii="宋体" w:hAnsi="宋体" w:eastAsia="宋体" w:cs="宋体"/>
          <w:kern w:val="2"/>
          <w:sz w:val="24"/>
          <w:szCs w:val="24"/>
          <w:lang w:val="en-GB"/>
        </w:rPr>
        <w:t>13、软件具备心电干扰滤除，眼电干扰滤除，特征波标注开关，优化判读体验。</w:t>
      </w:r>
    </w:p>
    <w:p w14:paraId="3C004075">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14、软件可自动翻页和滚动，速度30s/屏，时间可调；可以手动或自动分析睡眠分期、呼吸事件、缺氧、肢体运动等事件，并最终生成统计结果和报告。</w:t>
      </w:r>
    </w:p>
    <w:p w14:paraId="7EA3DDCC">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15、患者报告可导出为WORD、EXCEL、PDF格式，同时可自定义报告模板。</w:t>
      </w:r>
    </w:p>
    <w:p w14:paraId="50F85DFC">
      <w:pPr>
        <w:widowControl w:val="0"/>
        <w:spacing w:line="360" w:lineRule="auto"/>
        <w:jc w:val="both"/>
        <w:rPr>
          <w:rFonts w:hint="eastAsia" w:ascii="宋体" w:hAnsi="宋体" w:eastAsia="宋体" w:cs="宋体"/>
          <w:kern w:val="2"/>
          <w:sz w:val="24"/>
          <w:szCs w:val="24"/>
          <w:lang w:val="en-GB"/>
        </w:rPr>
      </w:pPr>
      <w:r>
        <w:rPr>
          <w:rFonts w:hint="eastAsia" w:ascii="宋体" w:hAnsi="宋体" w:eastAsia="宋体" w:cs="宋体"/>
          <w:kern w:val="2"/>
          <w:sz w:val="24"/>
          <w:szCs w:val="24"/>
          <w:lang w:val="en-GB"/>
        </w:rPr>
        <w:t>16、数据采集格式采用国际通用EDF格式，可将数据导入至其它所需要软件平台进行分析。</w:t>
      </w:r>
    </w:p>
    <w:p w14:paraId="671EA499">
      <w:pPr>
        <w:widowControl w:val="0"/>
        <w:spacing w:line="360" w:lineRule="auto"/>
        <w:jc w:val="both"/>
        <w:rPr>
          <w:rFonts w:hint="eastAsia" w:ascii="宋体" w:hAnsi="宋体" w:eastAsia="宋体" w:cs="宋体"/>
          <w:kern w:val="2"/>
          <w:sz w:val="24"/>
          <w:szCs w:val="24"/>
          <w:lang w:val="en-GB"/>
        </w:rPr>
      </w:pPr>
    </w:p>
    <w:p w14:paraId="36D3771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4.动态血压监测仪技术参数</w:t>
      </w:r>
    </w:p>
    <w:p w14:paraId="0A494B74">
      <w:pPr>
        <w:numPr>
          <w:ilvl w:val="0"/>
          <w:numId w:val="19"/>
        </w:numPr>
        <w:spacing w:line="360" w:lineRule="auto"/>
        <w:jc w:val="both"/>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BFBFB"/>
        </w:rPr>
        <w:t>血压技术</w:t>
      </w:r>
      <w:r>
        <w:rPr>
          <w:rFonts w:hint="eastAsia" w:ascii="宋体" w:hAnsi="宋体" w:eastAsia="宋体" w:cs="宋体"/>
          <w:color w:val="auto"/>
          <w:sz w:val="24"/>
          <w:szCs w:val="24"/>
          <w:shd w:val="clear" w:color="auto" w:fill="FBFBFB"/>
          <w:lang w:eastAsia="zh-CN"/>
        </w:rPr>
        <w:t>：</w:t>
      </w:r>
      <w:r>
        <w:rPr>
          <w:rFonts w:hint="eastAsia" w:ascii="宋体" w:hAnsi="宋体" w:eastAsia="宋体" w:cs="宋体"/>
          <w:color w:val="auto"/>
          <w:kern w:val="0"/>
          <w:sz w:val="24"/>
          <w:szCs w:val="24"/>
        </w:rPr>
        <w:t>逐步放气示波法</w:t>
      </w:r>
    </w:p>
    <w:p w14:paraId="2621E892">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产品</w:t>
      </w:r>
      <w:r>
        <w:rPr>
          <w:rFonts w:hint="eastAsia" w:ascii="宋体" w:hAnsi="宋体" w:eastAsia="宋体" w:cs="宋体"/>
          <w:color w:val="auto"/>
          <w:kern w:val="0"/>
          <w:sz w:val="24"/>
          <w:szCs w:val="24"/>
        </w:rPr>
        <w:t>经临床验证</w:t>
      </w:r>
    </w:p>
    <w:p w14:paraId="5164952D">
      <w:pPr>
        <w:numPr>
          <w:ilvl w:val="0"/>
          <w:numId w:val="19"/>
        </w:numPr>
        <w:spacing w:line="360" w:lineRule="auto"/>
        <w:jc w:val="both"/>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BFBFB"/>
        </w:rPr>
        <w:t>血压</w:t>
      </w:r>
      <w:r>
        <w:rPr>
          <w:rFonts w:hint="eastAsia" w:ascii="宋体" w:hAnsi="宋体" w:eastAsia="宋体" w:cs="宋体"/>
          <w:color w:val="auto"/>
          <w:sz w:val="24"/>
          <w:szCs w:val="24"/>
          <w:shd w:val="clear" w:color="auto" w:fill="FBFBFB"/>
          <w:lang w:val="en-US" w:eastAsia="zh-CN"/>
        </w:rPr>
        <w:t>测量</w:t>
      </w:r>
      <w:r>
        <w:rPr>
          <w:rFonts w:hint="eastAsia" w:ascii="宋体" w:hAnsi="宋体" w:eastAsia="宋体" w:cs="宋体"/>
          <w:color w:val="auto"/>
          <w:sz w:val="24"/>
          <w:szCs w:val="24"/>
          <w:shd w:val="clear" w:color="auto" w:fill="FBFBFB"/>
        </w:rPr>
        <w:t>范围</w:t>
      </w:r>
      <w:r>
        <w:rPr>
          <w:rFonts w:hint="eastAsia" w:ascii="宋体" w:hAnsi="宋体" w:eastAsia="宋体" w:cs="宋体"/>
          <w:color w:val="auto"/>
          <w:sz w:val="24"/>
          <w:szCs w:val="24"/>
          <w:shd w:val="clear" w:color="auto" w:fill="FBFBFB"/>
          <w:lang w:eastAsia="zh-CN"/>
        </w:rPr>
        <w:t>：</w:t>
      </w:r>
      <w:r>
        <w:rPr>
          <w:rFonts w:hint="eastAsia" w:ascii="宋体" w:hAnsi="宋体" w:eastAsia="宋体" w:cs="宋体"/>
          <w:color w:val="auto"/>
          <w:kern w:val="0"/>
          <w:sz w:val="24"/>
          <w:szCs w:val="24"/>
        </w:rPr>
        <w:t>收缩压：40-260mmHg</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舒张压：25-200mmHg</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最大值：280mmHg</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最大平均误差：±5 mmHg（0.67kPa），最大标准偏差：8 mmHg（1.07kPa）</w:t>
      </w:r>
    </w:p>
    <w:p w14:paraId="5528304E">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BFBFB"/>
        </w:rPr>
        <w:t>心率范围</w:t>
      </w:r>
      <w:r>
        <w:rPr>
          <w:rFonts w:hint="eastAsia" w:ascii="宋体" w:hAnsi="宋体" w:eastAsia="宋体" w:cs="宋体"/>
          <w:color w:val="auto"/>
          <w:sz w:val="24"/>
          <w:szCs w:val="24"/>
          <w:shd w:val="clear" w:color="auto" w:fill="FBFBFB"/>
          <w:lang w:eastAsia="zh-CN"/>
        </w:rPr>
        <w:t>：</w:t>
      </w:r>
      <w:r>
        <w:rPr>
          <w:rFonts w:hint="eastAsia" w:ascii="宋体" w:hAnsi="宋体" w:eastAsia="宋体" w:cs="宋体"/>
          <w:color w:val="auto"/>
          <w:kern w:val="0"/>
          <w:sz w:val="24"/>
          <w:szCs w:val="24"/>
        </w:rPr>
        <w:t>40-200 bpm</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心率在±2%或±3 bpm 范围内是准确的，以较大者为准。</w:t>
      </w:r>
    </w:p>
    <w:p w14:paraId="5329AB09">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监测时长：24小时</w:t>
      </w:r>
    </w:p>
    <w:p w14:paraId="7DA13A74">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rPr>
        <w:t>监测间隔：5分钟、10分钟、15分钟、20分钟、30分钟、45分钟、60分钟、90分钟、120分钟</w:t>
      </w:r>
    </w:p>
    <w:p w14:paraId="01532DDF">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操作条件：10°C (50°F)~50°C (122°F)20-95%（相对湿度），无冷凝</w:t>
      </w:r>
    </w:p>
    <w:p w14:paraId="050DBB3B">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校准：每两年一次</w:t>
      </w:r>
    </w:p>
    <w:p w14:paraId="6E124E73">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重量≤300g</w:t>
      </w:r>
    </w:p>
    <w:p w14:paraId="45164F70">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能够清晰显示时间、电池电量、血压测量结果</w:t>
      </w:r>
    </w:p>
    <w:p w14:paraId="0CF75543">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灵活的数据传输方式，支持type C的方式进行数据传输、读取</w:t>
      </w:r>
    </w:p>
    <w:p w14:paraId="45354E36">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支持事件记录功能，结合事件记录对血压数据进行分析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支持体位记录功能，能够辅助临床判断患者血压测量时的体位情况</w:t>
      </w:r>
    </w:p>
    <w:p w14:paraId="52B5073F">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rPr>
        <w:t>抗运动干扰技术</w:t>
      </w:r>
    </w:p>
    <w:p w14:paraId="0E69A797">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rPr>
        <w:t>自动高血压分析：自动白大衣高血压和隐匿性高血压分析</w:t>
      </w:r>
    </w:p>
    <w:p w14:paraId="5FE2F7C8">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lang w:val="en-US" w:eastAsia="zh-CN"/>
        </w:rPr>
        <w:t>可测</w:t>
      </w:r>
      <w:r>
        <w:rPr>
          <w:rFonts w:hint="eastAsia" w:ascii="宋体" w:hAnsi="宋体" w:eastAsia="宋体" w:cs="宋体"/>
          <w:color w:val="auto"/>
          <w:kern w:val="0"/>
          <w:sz w:val="24"/>
          <w:szCs w:val="24"/>
        </w:rPr>
        <w:t>血变异系数、血压晨峰、动脉硬化指数、平滑指数等</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多种分析功能辅助医生分析诊断</w:t>
      </w:r>
    </w:p>
    <w:p w14:paraId="1339BAD6">
      <w:pPr>
        <w:numPr>
          <w:ilvl w:val="0"/>
          <w:numId w:val="19"/>
        </w:numPr>
        <w:spacing w:line="360" w:lineRule="auto"/>
        <w:ind w:left="0" w:leftChars="0" w:firstLine="0" w:firstLineChars="0"/>
        <w:jc w:val="both"/>
        <w:rPr>
          <w:rFonts w:hint="eastAsia" w:ascii="宋体" w:hAnsi="宋体" w:eastAsia="宋体" w:cs="宋体"/>
          <w:color w:val="auto"/>
          <w:kern w:val="0"/>
          <w:sz w:val="24"/>
          <w:szCs w:val="24"/>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rPr>
        <w:t>判断阈值：内置JNC7、AHA、ESH11三大指南推荐阈值，且可调整</w:t>
      </w:r>
    </w:p>
    <w:p w14:paraId="55644FD6">
      <w:pPr>
        <w:numPr>
          <w:ilvl w:val="0"/>
          <w:numId w:val="19"/>
        </w:numPr>
        <w:spacing w:line="360" w:lineRule="auto"/>
        <w:ind w:left="0" w:leftChars="0" w:firstLine="0" w:firstLineChars="0"/>
        <w:jc w:val="both"/>
        <w:rPr>
          <w:rFonts w:hint="eastAsia" w:ascii="宋体" w:hAnsi="宋体" w:eastAsia="宋体" w:cs="宋体"/>
          <w:color w:val="auto"/>
          <w:kern w:val="0"/>
          <w:sz w:val="24"/>
          <w:szCs w:val="24"/>
          <w:lang w:val="en-US" w:eastAsia="zh-CN"/>
        </w:rPr>
      </w:pPr>
      <w:r>
        <w:rPr>
          <w:rFonts w:hint="eastAsia" w:ascii="宋体" w:hAnsi="宋体" w:eastAsia="宋体" w:cs="宋体"/>
          <w:sz w:val="24"/>
          <w:szCs w:val="24"/>
          <w:lang w:val="en-GB"/>
        </w:rPr>
        <w:t>▲</w:t>
      </w:r>
      <w:r>
        <w:rPr>
          <w:rFonts w:hint="eastAsia" w:ascii="宋体" w:hAnsi="宋体" w:eastAsia="宋体" w:cs="宋体"/>
          <w:color w:val="auto"/>
          <w:kern w:val="0"/>
          <w:sz w:val="24"/>
          <w:szCs w:val="24"/>
        </w:rPr>
        <w:t>儿童模式：内置儿童高血压分析标准</w:t>
      </w:r>
    </w:p>
    <w:p w14:paraId="21E94C40">
      <w:pPr>
        <w:numPr>
          <w:ilvl w:val="0"/>
          <w:numId w:val="19"/>
        </w:numPr>
        <w:spacing w:line="360" w:lineRule="auto"/>
        <w:ind w:left="0" w:leftChars="0" w:firstLine="0" w:firstLine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shd w:val="clear" w:color="auto" w:fill="FBFBFB"/>
        </w:rPr>
        <w:t>测量模式</w:t>
      </w:r>
      <w:r>
        <w:rPr>
          <w:rFonts w:hint="eastAsia" w:ascii="宋体" w:hAnsi="宋体" w:eastAsia="宋体" w:cs="宋体"/>
          <w:color w:val="auto"/>
          <w:sz w:val="24"/>
          <w:szCs w:val="24"/>
          <w:shd w:val="clear" w:color="auto" w:fill="FBFBFB"/>
          <w:lang w:eastAsia="zh-CN"/>
        </w:rPr>
        <w:t>：</w:t>
      </w:r>
      <w:r>
        <w:rPr>
          <w:rFonts w:hint="eastAsia" w:ascii="宋体" w:hAnsi="宋体" w:eastAsia="宋体" w:cs="宋体"/>
          <w:color w:val="auto"/>
          <w:kern w:val="0"/>
          <w:sz w:val="24"/>
          <w:szCs w:val="24"/>
        </w:rPr>
        <w:t>清醒、睡眠及特殊时段，可设置</w:t>
      </w:r>
    </w:p>
    <w:p w14:paraId="5948AC7C">
      <w:pPr>
        <w:numPr>
          <w:ilvl w:val="0"/>
          <w:numId w:val="19"/>
        </w:numPr>
        <w:spacing w:line="360" w:lineRule="auto"/>
        <w:ind w:left="0" w:leftChars="0" w:firstLine="0" w:firstLine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配件：带适合不同周径的原厂袖带2套</w:t>
      </w:r>
    </w:p>
    <w:p w14:paraId="2A293F6A">
      <w:pPr>
        <w:widowControl w:val="0"/>
        <w:numPr>
          <w:ilvl w:val="0"/>
          <w:numId w:val="0"/>
        </w:numPr>
        <w:tabs>
          <w:tab w:val="left" w:pos="312"/>
        </w:tabs>
        <w:spacing w:line="360" w:lineRule="auto"/>
        <w:jc w:val="both"/>
        <w:rPr>
          <w:rFonts w:hint="eastAsia" w:ascii="宋体" w:hAnsi="宋体" w:eastAsia="宋体" w:cs="宋体"/>
          <w:color w:val="auto"/>
          <w:kern w:val="0"/>
          <w:sz w:val="24"/>
          <w:szCs w:val="24"/>
          <w:lang w:val="en-US" w:eastAsia="zh-CN"/>
        </w:rPr>
      </w:pPr>
    </w:p>
    <w:p w14:paraId="3DFADF0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5.溶栓体重床（称重液压升降平车）技术参数</w:t>
      </w:r>
    </w:p>
    <w:p w14:paraId="07CA4070">
      <w:pPr>
        <w:spacing w:line="360" w:lineRule="auto"/>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产品需通过ISO14001环境管理体系认证、ISO45001职业健康安全管理体系认证；通过ISO9001、ISO13485质量管理体系认证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CE认证，FDA认证</w:t>
      </w:r>
      <w:r>
        <w:rPr>
          <w:rFonts w:hint="eastAsia" w:ascii="宋体" w:hAnsi="宋体" w:eastAsia="宋体" w:cs="宋体"/>
          <w:sz w:val="24"/>
          <w:szCs w:val="24"/>
        </w:rPr>
        <w:t>（提供各项资质认证文件）</w:t>
      </w:r>
    </w:p>
    <w:p w14:paraId="76564C7D">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规格：外形参考尺寸：长度≥2</w:t>
      </w:r>
      <w:r>
        <w:rPr>
          <w:rFonts w:hint="eastAsia" w:ascii="宋体" w:hAnsi="宋体" w:eastAsia="宋体" w:cs="宋体"/>
          <w:sz w:val="24"/>
          <w:szCs w:val="24"/>
          <w:lang w:val="en-US" w:eastAsia="zh-CN"/>
        </w:rPr>
        <w:t>26</w:t>
      </w:r>
      <w:r>
        <w:rPr>
          <w:rFonts w:hint="eastAsia" w:ascii="宋体" w:hAnsi="宋体" w:eastAsia="宋体" w:cs="宋体"/>
          <w:sz w:val="24"/>
          <w:szCs w:val="24"/>
        </w:rPr>
        <w:t>0㎜，床面宽度≥10</w:t>
      </w:r>
      <w:r>
        <w:rPr>
          <w:rFonts w:hint="eastAsia" w:ascii="宋体" w:hAnsi="宋体" w:eastAsia="宋体" w:cs="宋体"/>
          <w:sz w:val="24"/>
          <w:szCs w:val="24"/>
          <w:lang w:val="en-US" w:eastAsia="zh-CN"/>
        </w:rPr>
        <w:t>6</w:t>
      </w:r>
      <w:r>
        <w:rPr>
          <w:rFonts w:hint="eastAsia" w:ascii="宋体" w:hAnsi="宋体" w:eastAsia="宋体" w:cs="宋体"/>
          <w:sz w:val="24"/>
          <w:szCs w:val="24"/>
        </w:rPr>
        <w:t>0㎜，床体标准高度≥H</w:t>
      </w:r>
      <w:r>
        <w:rPr>
          <w:rFonts w:hint="eastAsia" w:ascii="宋体" w:hAnsi="宋体" w:eastAsia="宋体" w:cs="宋体"/>
          <w:sz w:val="24"/>
          <w:szCs w:val="24"/>
          <w:lang w:val="en-US" w:eastAsia="zh-CN"/>
        </w:rPr>
        <w:t>480</w:t>
      </w:r>
      <w:r>
        <w:rPr>
          <w:rFonts w:hint="eastAsia" w:ascii="宋体" w:hAnsi="宋体" w:eastAsia="宋体" w:cs="宋体"/>
          <w:sz w:val="24"/>
          <w:szCs w:val="24"/>
        </w:rPr>
        <w:t>/8</w:t>
      </w:r>
      <w:r>
        <w:rPr>
          <w:rFonts w:hint="eastAsia" w:ascii="宋体" w:hAnsi="宋体" w:eastAsia="宋体" w:cs="宋体"/>
          <w:sz w:val="24"/>
          <w:szCs w:val="24"/>
          <w:lang w:val="en-US" w:eastAsia="zh-CN"/>
        </w:rPr>
        <w:t>2</w:t>
      </w:r>
      <w:r>
        <w:rPr>
          <w:rFonts w:hint="eastAsia" w:ascii="宋体" w:hAnsi="宋体" w:eastAsia="宋体" w:cs="宋体"/>
          <w:sz w:val="24"/>
          <w:szCs w:val="24"/>
        </w:rPr>
        <w:t>0mm</w:t>
      </w:r>
    </w:p>
    <w:p w14:paraId="1A114180">
      <w:p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功能：</w:t>
      </w:r>
    </w:p>
    <w:p w14:paraId="6790249A">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背板调节≥65°；</w:t>
      </w:r>
    </w:p>
    <w:p w14:paraId="78C7F9CA">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腿部调节≥35°；</w:t>
      </w:r>
    </w:p>
    <w:p w14:paraId="7AB9BFAC">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头足倾斜≥12°；</w:t>
      </w:r>
    </w:p>
    <w:p w14:paraId="4C4011A4">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3.4床体升降</w:t>
      </w:r>
      <w:r>
        <w:rPr>
          <w:rFonts w:hint="eastAsia" w:ascii="宋体" w:hAnsi="宋体" w:eastAsia="宋体" w:cs="宋体"/>
          <w:sz w:val="24"/>
          <w:szCs w:val="24"/>
        </w:rPr>
        <w:t>≥</w:t>
      </w:r>
      <w:r>
        <w:rPr>
          <w:rFonts w:hint="eastAsia" w:ascii="宋体" w:hAnsi="宋体" w:eastAsia="宋体" w:cs="宋体"/>
          <w:sz w:val="24"/>
          <w:szCs w:val="24"/>
          <w:lang w:val="en-US" w:eastAsia="zh-CN"/>
        </w:rPr>
        <w:t>480</w:t>
      </w:r>
      <w:r>
        <w:rPr>
          <w:rFonts w:hint="eastAsia" w:ascii="宋体" w:hAnsi="宋体" w:eastAsia="宋体" w:cs="宋体"/>
          <w:sz w:val="24"/>
          <w:szCs w:val="24"/>
        </w:rPr>
        <w:t>/8</w:t>
      </w:r>
      <w:r>
        <w:rPr>
          <w:rFonts w:hint="eastAsia" w:ascii="宋体" w:hAnsi="宋体" w:eastAsia="宋体" w:cs="宋体"/>
          <w:sz w:val="24"/>
          <w:szCs w:val="24"/>
          <w:lang w:val="en-US" w:eastAsia="zh-CN"/>
        </w:rPr>
        <w:t>2</w:t>
      </w:r>
      <w:r>
        <w:rPr>
          <w:rFonts w:hint="eastAsia" w:ascii="宋体" w:hAnsi="宋体" w:eastAsia="宋体" w:cs="宋体"/>
          <w:sz w:val="24"/>
          <w:szCs w:val="24"/>
        </w:rPr>
        <w:t>0mm</w:t>
      </w:r>
    </w:p>
    <w:p w14:paraId="3D1115D8">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豪华中控脚轮；</w:t>
      </w:r>
    </w:p>
    <w:p w14:paraId="2B298290">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3.6具有</w:t>
      </w:r>
      <w:r>
        <w:rPr>
          <w:rFonts w:hint="eastAsia" w:ascii="宋体" w:hAnsi="宋体" w:eastAsia="宋体" w:cs="宋体"/>
          <w:sz w:val="24"/>
          <w:szCs w:val="24"/>
          <w:lang w:eastAsia="zh-CN"/>
        </w:rPr>
        <w:t>电控床尾功能；</w:t>
      </w:r>
    </w:p>
    <w:p w14:paraId="4CEE7042">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科学称重，称重精度为</w:t>
      </w:r>
      <w:r>
        <w:rPr>
          <w:rFonts w:hint="eastAsia" w:ascii="宋体" w:hAnsi="宋体" w:eastAsia="宋体" w:cs="宋体"/>
          <w:sz w:val="24"/>
          <w:szCs w:val="24"/>
          <w:lang w:val="en-US" w:eastAsia="zh-CN"/>
        </w:rPr>
        <w:t>≤</w:t>
      </w:r>
      <w:r>
        <w:rPr>
          <w:rFonts w:hint="eastAsia" w:ascii="宋体" w:hAnsi="宋体" w:eastAsia="宋体" w:cs="宋体"/>
          <w:sz w:val="24"/>
          <w:szCs w:val="24"/>
        </w:rPr>
        <w:t>50-100g，</w:t>
      </w:r>
      <w:r>
        <w:rPr>
          <w:rFonts w:hint="eastAsia" w:ascii="宋体" w:hAnsi="宋体" w:eastAsia="宋体" w:cs="宋体"/>
          <w:sz w:val="24"/>
          <w:szCs w:val="24"/>
          <w:lang w:val="en-US" w:eastAsia="zh-CN"/>
        </w:rPr>
        <w:t>床尾</w:t>
      </w:r>
      <w:r>
        <w:rPr>
          <w:rFonts w:hint="eastAsia" w:ascii="宋体" w:hAnsi="宋体" w:eastAsia="宋体" w:cs="宋体"/>
          <w:sz w:val="24"/>
          <w:szCs w:val="24"/>
        </w:rPr>
        <w:t>称重显示器，无论患者处于任何体位，只需轻触一个按键，内置称重系统即可测，在显示器处精确显示数据。</w:t>
      </w:r>
    </w:p>
    <w:p w14:paraId="79FE449C">
      <w:pPr>
        <w:spacing w:line="360" w:lineRule="auto"/>
        <w:jc w:val="both"/>
        <w:rPr>
          <w:rFonts w:hint="eastAsia" w:ascii="宋体" w:hAnsi="宋体" w:eastAsia="宋体" w:cs="宋体"/>
          <w:b/>
          <w:sz w:val="24"/>
          <w:szCs w:val="24"/>
        </w:rPr>
      </w:pPr>
      <w:r>
        <w:rPr>
          <w:rFonts w:hint="eastAsia" w:ascii="宋体" w:hAnsi="宋体" w:eastAsia="宋体" w:cs="宋体"/>
          <w:sz w:val="24"/>
          <w:szCs w:val="24"/>
          <w:lang w:val="en-US" w:eastAsia="zh-CN"/>
        </w:rPr>
        <w:t>4、</w:t>
      </w:r>
      <w:r>
        <w:rPr>
          <w:rFonts w:hint="eastAsia" w:ascii="宋体" w:hAnsi="宋体" w:eastAsia="宋体" w:cs="宋体"/>
          <w:b/>
          <w:sz w:val="24"/>
          <w:szCs w:val="24"/>
          <w:lang w:val="en-US" w:eastAsia="zh-CN"/>
        </w:rPr>
        <w:t>材质要求</w:t>
      </w:r>
      <w:r>
        <w:rPr>
          <w:rFonts w:hint="eastAsia" w:ascii="宋体" w:hAnsi="宋体" w:eastAsia="宋体" w:cs="宋体"/>
          <w:b/>
          <w:sz w:val="24"/>
          <w:szCs w:val="24"/>
        </w:rPr>
        <w:t>：</w:t>
      </w:r>
    </w:p>
    <w:p w14:paraId="11F1A447">
      <w:pPr>
        <w:numPr>
          <w:ilvl w:val="0"/>
          <w:numId w:val="0"/>
        </w:numPr>
        <w:spacing w:line="360" w:lineRule="auto"/>
        <w:ind w:left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4..1</w:t>
      </w:r>
      <w:r>
        <w:rPr>
          <w:rFonts w:hint="eastAsia" w:ascii="宋体" w:hAnsi="宋体" w:eastAsia="宋体" w:cs="宋体"/>
          <w:sz w:val="24"/>
          <w:szCs w:val="24"/>
        </w:rPr>
        <w:t>床体骨架采用≥60*30*</w:t>
      </w:r>
      <w:r>
        <w:rPr>
          <w:rFonts w:hint="eastAsia" w:ascii="宋体" w:hAnsi="宋体" w:eastAsia="宋体" w:cs="宋体"/>
          <w:sz w:val="24"/>
          <w:szCs w:val="24"/>
          <w:lang w:val="en-US" w:eastAsia="zh-CN"/>
        </w:rPr>
        <w:t>1.2</w:t>
      </w:r>
      <w:r>
        <w:rPr>
          <w:rFonts w:hint="eastAsia" w:ascii="宋体" w:hAnsi="宋体" w:eastAsia="宋体" w:cs="宋体"/>
          <w:sz w:val="24"/>
          <w:szCs w:val="24"/>
        </w:rPr>
        <w:t>mm的成型方管焊接而成，先进的焊接工艺，焊接质量优质，床体坚固，可承载≥2</w:t>
      </w:r>
      <w:r>
        <w:rPr>
          <w:rFonts w:hint="eastAsia" w:ascii="宋体" w:hAnsi="宋体" w:eastAsia="宋体" w:cs="宋体"/>
          <w:sz w:val="24"/>
          <w:szCs w:val="24"/>
          <w:lang w:val="en-US" w:eastAsia="zh-CN"/>
        </w:rPr>
        <w:t>4</w:t>
      </w:r>
      <w:r>
        <w:rPr>
          <w:rFonts w:hint="eastAsia" w:ascii="宋体" w:hAnsi="宋体" w:eastAsia="宋体" w:cs="宋体"/>
          <w:sz w:val="24"/>
          <w:szCs w:val="24"/>
        </w:rPr>
        <w:t>0kg;</w:t>
      </w:r>
    </w:p>
    <w:p w14:paraId="600E0B2B">
      <w:pPr>
        <w:numPr>
          <w:ilvl w:val="0"/>
          <w:numId w:val="0"/>
        </w:numPr>
        <w:spacing w:line="360" w:lineRule="auto"/>
        <w:ind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4.2床面：抗倍特床板，全身可投X射线；具有很好的防腐、耐酸碱和各种化学试剂的特性；背板配拍片暗盒，实现在床对患者上身进行X射线拍摄。</w:t>
      </w:r>
    </w:p>
    <w:p w14:paraId="4710CAFF">
      <w:pPr>
        <w:numPr>
          <w:ilvl w:val="0"/>
          <w:numId w:val="0"/>
        </w:numPr>
        <w:spacing w:line="360" w:lineRule="auto"/>
        <w:ind w:left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4.3</w:t>
      </w:r>
      <w:r>
        <w:rPr>
          <w:rFonts w:hint="eastAsia" w:ascii="宋体" w:hAnsi="宋体" w:eastAsia="宋体" w:cs="宋体"/>
          <w:sz w:val="24"/>
          <w:szCs w:val="24"/>
        </w:rPr>
        <w:t>床体采用</w:t>
      </w:r>
      <w:r>
        <w:rPr>
          <w:rFonts w:hint="eastAsia" w:ascii="宋体" w:hAnsi="宋体" w:eastAsia="宋体" w:cs="宋体"/>
          <w:sz w:val="24"/>
          <w:szCs w:val="24"/>
          <w:lang w:val="en-US" w:eastAsia="zh-CN"/>
        </w:rPr>
        <w:t>优质</w:t>
      </w:r>
      <w:r>
        <w:rPr>
          <w:rFonts w:hint="eastAsia" w:ascii="宋体" w:hAnsi="宋体" w:eastAsia="宋体" w:cs="宋体"/>
          <w:sz w:val="24"/>
          <w:szCs w:val="24"/>
        </w:rPr>
        <w:t>抗菌粉末静电喷涂而成，具有环保、抗菌的作用。</w:t>
      </w:r>
    </w:p>
    <w:p w14:paraId="00101FEA">
      <w:pPr>
        <w:numPr>
          <w:ilvl w:val="0"/>
          <w:numId w:val="0"/>
        </w:numPr>
        <w:spacing w:line="360" w:lineRule="auto"/>
        <w:ind w:leftChars="0"/>
        <w:jc w:val="both"/>
        <w:rPr>
          <w:rFonts w:hint="eastAsia" w:ascii="宋体" w:hAnsi="宋体" w:eastAsia="宋体" w:cs="宋体"/>
          <w:sz w:val="24"/>
          <w:szCs w:val="24"/>
        </w:rPr>
      </w:pPr>
      <w:r>
        <w:rPr>
          <w:rFonts w:hint="eastAsia" w:ascii="宋体" w:hAnsi="宋体" w:eastAsia="宋体" w:cs="宋体"/>
          <w:sz w:val="24"/>
          <w:szCs w:val="24"/>
        </w:rPr>
        <w:t>▲4.5 涂料对微生物大肠挨希氏菌和金黄色葡萄球菌均具有抗菌作用。</w:t>
      </w:r>
    </w:p>
    <w:p w14:paraId="2FE4F2F3">
      <w:pPr>
        <w:numPr>
          <w:ilvl w:val="0"/>
          <w:numId w:val="0"/>
        </w:numPr>
        <w:spacing w:line="360" w:lineRule="auto"/>
        <w:ind w:leftChars="0"/>
        <w:jc w:val="both"/>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床头、床尾板采用耐药PE树脂材料，整体吹塑成型，表面皮纹处理，易清洗，弧线形设计。床尾板</w:t>
      </w:r>
      <w:r>
        <w:rPr>
          <w:rFonts w:hint="eastAsia" w:ascii="宋体" w:hAnsi="宋体" w:eastAsia="宋体" w:cs="宋体"/>
          <w:sz w:val="24"/>
          <w:szCs w:val="24"/>
          <w:lang w:eastAsia="zh-CN"/>
        </w:rPr>
        <w:t>可电控操作</w:t>
      </w:r>
      <w:r>
        <w:rPr>
          <w:rFonts w:hint="eastAsia" w:ascii="宋体" w:hAnsi="宋体" w:eastAsia="宋体" w:cs="宋体"/>
          <w:sz w:val="24"/>
          <w:szCs w:val="24"/>
        </w:rPr>
        <w:t>。</w:t>
      </w:r>
    </w:p>
    <w:p w14:paraId="68B93408">
      <w:pPr>
        <w:numPr>
          <w:ilvl w:val="0"/>
          <w:numId w:val="0"/>
        </w:numPr>
        <w:spacing w:line="360" w:lineRule="auto"/>
        <w:ind w:leftChars="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color w:val="1F497D"/>
          <w:sz w:val="24"/>
          <w:szCs w:val="24"/>
          <w:lang w:val="en-US" w:eastAsia="zh-CN"/>
        </w:rPr>
        <w:t xml:space="preserve">.7 </w:t>
      </w:r>
      <w:r>
        <w:rPr>
          <w:rFonts w:hint="eastAsia" w:ascii="宋体" w:hAnsi="宋体" w:eastAsia="宋体" w:cs="宋体"/>
          <w:color w:val="000000" w:themeColor="text1"/>
          <w:sz w:val="24"/>
          <w:szCs w:val="24"/>
          <w:lang w:val="en-US" w:eastAsia="zh-CN"/>
          <w14:textFill>
            <w14:solidFill>
              <w14:schemeClr w14:val="tx1"/>
            </w14:solidFill>
          </w14:textFill>
        </w:rPr>
        <w:t>四片式可拆卸护栏 患者从床上起身站立时，起到支撑身体的作用，也对翻身起到辅助作用。拆卸方</w:t>
      </w:r>
      <w:r>
        <w:rPr>
          <w:rFonts w:hint="eastAsia" w:ascii="宋体" w:hAnsi="宋体" w:eastAsia="宋体" w:cs="宋体"/>
          <w:color w:val="000000" w:themeColor="text1"/>
          <w:sz w:val="24"/>
          <w:szCs w:val="24"/>
          <w14:textFill>
            <w14:solidFill>
              <w14:schemeClr w14:val="tx1"/>
            </w14:solidFill>
          </w14:textFill>
        </w:rPr>
        <w:t>便，美观大方、安全</w:t>
      </w:r>
      <w:r>
        <w:rPr>
          <w:rFonts w:hint="eastAsia" w:ascii="宋体" w:hAnsi="宋体" w:eastAsia="宋体" w:cs="宋体"/>
          <w:color w:val="000000" w:themeColor="text1"/>
          <w:sz w:val="24"/>
          <w:szCs w:val="24"/>
          <w:lang w:eastAsia="zh-CN"/>
          <w14:textFill>
            <w14:solidFill>
              <w14:schemeClr w14:val="tx1"/>
            </w14:solidFill>
          </w14:textFill>
        </w:rPr>
        <w:t>。</w:t>
      </w:r>
    </w:p>
    <w:p w14:paraId="0A77D2FC">
      <w:pPr>
        <w:numPr>
          <w:ilvl w:val="0"/>
          <w:numId w:val="0"/>
        </w:numPr>
        <w:spacing w:line="360" w:lineRule="auto"/>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4.8</w:t>
      </w:r>
      <w:r>
        <w:rPr>
          <w:rFonts w:hint="eastAsia" w:ascii="宋体" w:hAnsi="宋体" w:eastAsia="宋体" w:cs="宋体"/>
          <w:sz w:val="24"/>
          <w:szCs w:val="24"/>
        </w:rPr>
        <w:t>自带延长床框，延长床板可至≥2</w:t>
      </w:r>
      <w:r>
        <w:rPr>
          <w:rFonts w:hint="eastAsia" w:ascii="宋体" w:hAnsi="宋体" w:eastAsia="宋体" w:cs="宋体"/>
          <w:sz w:val="24"/>
          <w:szCs w:val="24"/>
          <w:lang w:val="en-US" w:eastAsia="zh-CN"/>
        </w:rPr>
        <w:t>46</w:t>
      </w:r>
      <w:r>
        <w:rPr>
          <w:rFonts w:hint="eastAsia" w:ascii="宋体" w:hAnsi="宋体" w:eastAsia="宋体" w:cs="宋体"/>
          <w:sz w:val="24"/>
          <w:szCs w:val="24"/>
        </w:rPr>
        <w:t>0mm,小腿板两段调节，调节小腿的舒适性</w:t>
      </w:r>
    </w:p>
    <w:p w14:paraId="4DEF9D5B">
      <w:pPr>
        <w:numPr>
          <w:ilvl w:val="0"/>
          <w:numId w:val="0"/>
        </w:numPr>
        <w:spacing w:line="360" w:lineRule="auto"/>
        <w:ind w:leftChars="0"/>
        <w:jc w:val="both"/>
        <w:rPr>
          <w:rFonts w:hint="eastAsia" w:ascii="宋体" w:hAnsi="宋体" w:eastAsia="宋体" w:cs="宋体"/>
          <w:color w:val="auto"/>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4.9采用</w:t>
      </w:r>
      <w:r>
        <w:rPr>
          <w:rFonts w:hint="eastAsia" w:ascii="宋体" w:hAnsi="宋体" w:eastAsia="宋体" w:cs="宋体"/>
          <w:color w:val="auto"/>
          <w:sz w:val="24"/>
          <w:szCs w:val="24"/>
          <w:lang w:eastAsia="zh-CN"/>
        </w:rPr>
        <w:t>高强度静音</w:t>
      </w:r>
      <w:r>
        <w:rPr>
          <w:rFonts w:hint="eastAsia" w:ascii="宋体" w:hAnsi="宋体" w:eastAsia="宋体" w:cs="宋体"/>
          <w:color w:val="auto"/>
          <w:sz w:val="24"/>
          <w:szCs w:val="24"/>
        </w:rPr>
        <w:t>双面脚轮</w:t>
      </w:r>
      <w:r>
        <w:rPr>
          <w:rFonts w:hint="eastAsia" w:ascii="宋体" w:hAnsi="宋体" w:eastAsia="宋体" w:cs="宋体"/>
          <w:sz w:val="24"/>
          <w:szCs w:val="24"/>
        </w:rPr>
        <w:t>，直径≥125mm，</w:t>
      </w:r>
      <w:r>
        <w:rPr>
          <w:rFonts w:hint="eastAsia" w:ascii="宋体" w:hAnsi="宋体" w:eastAsia="宋体" w:cs="宋体"/>
          <w:color w:val="auto"/>
          <w:sz w:val="24"/>
          <w:szCs w:val="24"/>
          <w:lang w:eastAsia="zh-CN"/>
        </w:rPr>
        <w:t>具有锁定、自由、定向</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中央控制锁定装置；高稳定性连动系统，静音、耐腐蚀、刹车力大、稳定安全。</w:t>
      </w:r>
    </w:p>
    <w:p w14:paraId="5F6F54D2">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4.10床垫止滑器，背板两侧、床脚处共有五处，避免床垫侧滑，提高安全性。约束带固定位置，左右各3处。</w:t>
      </w:r>
    </w:p>
    <w:p w14:paraId="53E9EF0C">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4.11床体左右两侧配置操作扳手，在紧急情况下可实现快速救治，减少医疗事故。左右两侧各1处引流挂钩。</w:t>
      </w:r>
    </w:p>
    <w:p w14:paraId="4FEA4450">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4.13具有手持手控器及护栏内外控制器，床尾控制器。</w:t>
      </w:r>
    </w:p>
    <w:p w14:paraId="3FBC7FB5">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4.14采用优质电机，速度控制平稳，噪音低，寿命长、安全可靠。导杆系统采用高碳钢与高强度铝台金组台，双向极点过载保护丝杆。</w:t>
      </w:r>
    </w:p>
    <w:p w14:paraId="6C5BE7B2">
      <w:pPr>
        <w:numPr>
          <w:ilvl w:val="0"/>
          <w:numId w:val="0"/>
        </w:numPr>
        <w:spacing w:line="360" w:lineRule="auto"/>
        <w:ind w:leftChars="0"/>
        <w:jc w:val="both"/>
        <w:rPr>
          <w:rFonts w:hint="eastAsia" w:ascii="宋体" w:hAnsi="宋体" w:eastAsia="宋体" w:cs="宋体"/>
          <w:sz w:val="24"/>
          <w:szCs w:val="24"/>
          <w:lang w:val="en-US" w:eastAsia="zh-CN"/>
        </w:rPr>
      </w:pPr>
    </w:p>
    <w:p w14:paraId="61AFE828">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冷藏箱</w:t>
      </w:r>
      <w:r>
        <w:rPr>
          <w:rFonts w:hint="eastAsia" w:ascii="宋体" w:hAnsi="宋体" w:eastAsia="宋体" w:cs="宋体"/>
          <w:b/>
          <w:bCs/>
          <w:sz w:val="24"/>
          <w:szCs w:val="24"/>
          <w:lang w:val="en-US" w:eastAsia="zh-CN"/>
        </w:rPr>
        <w:t>技术</w:t>
      </w:r>
      <w:r>
        <w:rPr>
          <w:rFonts w:hint="eastAsia" w:ascii="宋体" w:hAnsi="宋体" w:eastAsia="宋体" w:cs="宋体"/>
          <w:b/>
          <w:bCs/>
          <w:sz w:val="24"/>
          <w:szCs w:val="24"/>
          <w:lang w:eastAsia="zh-CN"/>
        </w:rPr>
        <w:t>参数</w:t>
      </w:r>
    </w:p>
    <w:p w14:paraId="6353E4D8">
      <w:pPr>
        <w:jc w:val="center"/>
        <w:rPr>
          <w:rFonts w:hint="eastAsia" w:ascii="宋体" w:hAnsi="宋体" w:eastAsia="宋体" w:cs="宋体"/>
          <w:sz w:val="24"/>
          <w:szCs w:val="24"/>
          <w:lang w:eastAsia="zh-CN"/>
        </w:rPr>
      </w:pPr>
    </w:p>
    <w:p w14:paraId="13B4EAC3">
      <w:pPr>
        <w:jc w:val="center"/>
        <w:rPr>
          <w:rFonts w:hint="eastAsia"/>
          <w:sz w:val="32"/>
          <w:szCs w:val="40"/>
          <w:lang w:eastAsia="zh-CN"/>
        </w:rPr>
      </w:pPr>
    </w:p>
    <w:p w14:paraId="55675922">
      <w:pPr>
        <w:numPr>
          <w:ilvl w:val="0"/>
          <w:numId w:val="2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功能及用途</w:t>
      </w:r>
    </w:p>
    <w:p w14:paraId="028FA31D">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保存药品</w:t>
      </w:r>
    </w:p>
    <w:p w14:paraId="00DBC6F4">
      <w:pPr>
        <w:numPr>
          <w:ilvl w:val="0"/>
          <w:numId w:val="2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14:paraId="01A5AEF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1.总容积：</w:t>
      </w:r>
      <w:r>
        <w:rPr>
          <w:rFonts w:hint="eastAsia" w:asciiTheme="minorEastAsia" w:hAnsiTheme="minorEastAsia" w:eastAsiaTheme="minorEastAsia" w:cstheme="minorEastAsia"/>
          <w:sz w:val="24"/>
          <w:szCs w:val="24"/>
          <w:lang w:eastAsia="zh-CN"/>
        </w:rPr>
        <w:t>不小于</w:t>
      </w:r>
      <w:r>
        <w:rPr>
          <w:rFonts w:hint="eastAsia" w:asciiTheme="minorEastAsia" w:hAnsiTheme="minorEastAsia" w:eastAsiaTheme="minorEastAsia" w:cstheme="minorEastAsia"/>
          <w:sz w:val="24"/>
          <w:szCs w:val="24"/>
        </w:rPr>
        <w:t>50L。</w:t>
      </w:r>
    </w:p>
    <w:p w14:paraId="0B1A6F4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2.产品尺寸（宽*深*高）：≦480*460*585㎜。</w:t>
      </w:r>
    </w:p>
    <w:p w14:paraId="253BB24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3.内胆尺寸（宽*深*高）：≦400*355*430㎜。</w:t>
      </w:r>
    </w:p>
    <w:p w14:paraId="208EE66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4.箱体外壳和颜色：喷涂优质冷轧钢板，白色。</w:t>
      </w:r>
    </w:p>
    <w:p w14:paraId="7D61F85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5.内胆材料：PS板。</w:t>
      </w:r>
    </w:p>
    <w:p w14:paraId="5A26BDA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6.保温层材料：全无氟环异戊烷高密度聚氨酯泡沫。</w:t>
      </w:r>
    </w:p>
    <w:p w14:paraId="462F574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7.门体：发泡门。</w:t>
      </w:r>
    </w:p>
    <w:p w14:paraId="456DC4D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8.把手：塑料隐藏把手。</w:t>
      </w:r>
    </w:p>
    <w:p w14:paraId="424EA97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9.搁板与抽屉：浸塑搁架X1。</w:t>
      </w:r>
    </w:p>
    <w:p w14:paraId="167F70D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10.底脚：2个底脚螺钉。</w:t>
      </w:r>
    </w:p>
    <w:p w14:paraId="0CC0B59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11.箱内灯：LED照明灯。</w:t>
      </w:r>
    </w:p>
    <w:p w14:paraId="462D403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12.压缩机：压缩机。</w:t>
      </w:r>
    </w:p>
    <w:p w14:paraId="49187F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13.噪音：≦42dba。</w:t>
      </w:r>
    </w:p>
    <w:p w14:paraId="7332E9C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14.温控器：数码管显示温控器。</w:t>
      </w:r>
    </w:p>
    <w:p w14:paraId="6C5A45A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15.传感器：2个传感器，测量范围-50℃～103℃。</w:t>
      </w:r>
    </w:p>
    <w:p w14:paraId="672E713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16.报警：高低温报警、传感器故障报警、开门报警、断电报警、蜂鸣器、灯光闪烁报警。</w:t>
      </w:r>
    </w:p>
    <w:p w14:paraId="7FE05D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17.蒸发风机：建准交流风机。</w:t>
      </w:r>
    </w:p>
    <w:p w14:paraId="0DDB2F1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18.化霜：无霜设计。</w:t>
      </w:r>
    </w:p>
    <w:p w14:paraId="1F0C280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19.门锁：内置安全门锁设计。</w:t>
      </w:r>
    </w:p>
    <w:p w14:paraId="033164F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20.产品特点：</w:t>
      </w:r>
    </w:p>
    <w:p w14:paraId="5ED2555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20.1层架可任意调整：层架可根据需要任意调节位置；</w:t>
      </w:r>
    </w:p>
    <w:p w14:paraId="287F853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20.2风道设计：箱内循环风道，温度均匀性更好。</w:t>
      </w:r>
    </w:p>
    <w:p w14:paraId="2FEC4EE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20.3门锁设计：使用方便、安全。</w:t>
      </w:r>
    </w:p>
    <w:p w14:paraId="3FA7C46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21.主要技术参数：</w:t>
      </w:r>
    </w:p>
    <w:p w14:paraId="7FE9D7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21.1额定电源：187～242V/50Hz；</w:t>
      </w:r>
    </w:p>
    <w:p w14:paraId="11D0B80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21.2气候类型：SN；</w:t>
      </w:r>
    </w:p>
    <w:p w14:paraId="63652F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21.3净重（㎏）：≦18；</w:t>
      </w:r>
    </w:p>
    <w:p w14:paraId="6ADC765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21.4毛重（㎏）：≦20.5；</w:t>
      </w:r>
    </w:p>
    <w:p w14:paraId="60E573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21.5防触电保护类型：I；</w:t>
      </w:r>
    </w:p>
    <w:p w14:paraId="17A3F7A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21.6箱内温度范围：2℃～8℃；</w:t>
      </w:r>
    </w:p>
    <w:p w14:paraId="74637EB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21.7耗电量：≦0.48度；</w:t>
      </w:r>
    </w:p>
    <w:p w14:paraId="1B1B112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21.8输入总功率：85W+20W；</w:t>
      </w:r>
    </w:p>
    <w:p w14:paraId="5AFE55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21.9制冷剂：R600a。</w:t>
      </w:r>
    </w:p>
    <w:p w14:paraId="758690F5">
      <w:pPr>
        <w:rPr>
          <w:rFonts w:hint="eastAsia"/>
          <w:sz w:val="22"/>
          <w:szCs w:val="28"/>
        </w:rPr>
      </w:pPr>
    </w:p>
    <w:p w14:paraId="25A9EF63">
      <w:pPr>
        <w:rPr>
          <w:rFonts w:hint="eastAsia" w:ascii="宋体" w:hAnsi="宋体" w:eastAsia="宋体" w:cs="宋体"/>
          <w:sz w:val="24"/>
          <w:szCs w:val="24"/>
        </w:rPr>
      </w:pPr>
    </w:p>
    <w:p w14:paraId="3A63B25F">
      <w:pPr>
        <w:rPr>
          <w:rFonts w:hint="eastAsia" w:ascii="宋体" w:hAnsi="宋体" w:eastAsia="宋体" w:cs="宋体"/>
          <w:sz w:val="24"/>
          <w:szCs w:val="24"/>
        </w:rPr>
      </w:pPr>
    </w:p>
    <w:p w14:paraId="74C10248">
      <w:pPr>
        <w:spacing w:line="360" w:lineRule="auto"/>
        <w:jc w:val="center"/>
        <w:rPr>
          <w:rFonts w:hint="default" w:ascii="宋体" w:hAnsi="宋体" w:eastAsia="宋体" w:cs="宋体"/>
          <w:sz w:val="24"/>
          <w:szCs w:val="24"/>
          <w:lang w:val="en-US"/>
        </w:rPr>
      </w:pPr>
      <w:r>
        <w:rPr>
          <w:rFonts w:hint="eastAsia" w:ascii="宋体" w:hAnsi="宋体" w:eastAsia="宋体" w:cs="宋体"/>
          <w:b/>
          <w:sz w:val="24"/>
          <w:szCs w:val="24"/>
          <w:lang w:val="en-US" w:eastAsia="zh-CN"/>
        </w:rPr>
        <w:t>7.监护仪技术参数</w:t>
      </w:r>
    </w:p>
    <w:p w14:paraId="25155AEE">
      <w:pPr>
        <w:spacing w:line="360" w:lineRule="auto"/>
        <w:jc w:val="both"/>
        <w:rPr>
          <w:rFonts w:hint="eastAsia" w:ascii="宋体" w:hAnsi="宋体" w:eastAsia="宋体" w:cs="宋体"/>
          <w:sz w:val="24"/>
          <w:szCs w:val="24"/>
        </w:rPr>
      </w:pPr>
      <w:r>
        <w:rPr>
          <w:rFonts w:hint="eastAsia" w:ascii="宋体" w:hAnsi="宋体" w:eastAsia="宋体" w:cs="宋体"/>
          <w:sz w:val="24"/>
          <w:szCs w:val="24"/>
        </w:rPr>
        <w:t>整机要求</w:t>
      </w:r>
    </w:p>
    <w:p w14:paraId="654B2063">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模块化监护仪，主机集成内置≥2槽位插件槽</w:t>
      </w:r>
    </w:p>
    <w:p w14:paraId="47380E8D">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b/>
          <w:sz w:val="24"/>
          <w:szCs w:val="24"/>
          <w:lang w:val="en-US" w:eastAsia="zh-CN"/>
        </w:rPr>
        <w:t>▲</w:t>
      </w:r>
      <w:r>
        <w:rPr>
          <w:rFonts w:hint="eastAsia" w:ascii="宋体" w:hAnsi="宋体" w:eastAsia="宋体" w:cs="宋体"/>
          <w:sz w:val="24"/>
          <w:szCs w:val="24"/>
        </w:rPr>
        <w:t>≥12英寸彩色液晶屏及电容触摸屏，分辨率高达≥1280*800像素，≥8通道波形显示。</w:t>
      </w:r>
    </w:p>
    <w:p w14:paraId="14E2A796">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显示屏采用宽视角技术，支持≥170度可视范围</w:t>
      </w:r>
    </w:p>
    <w:p w14:paraId="19576851">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内置锂电池，插槽式设计，无需螺丝刀工具支持快速拆卸和安装。锂电池支持监护仪工作时间≥4小时</w:t>
      </w:r>
    </w:p>
    <w:p w14:paraId="53310072">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USB接口支持连接鼠标、键盘、条码扫描枪和遥控器等设备</w:t>
      </w:r>
    </w:p>
    <w:p w14:paraId="23D8D9FE">
      <w:pPr>
        <w:spacing w:line="360" w:lineRule="auto"/>
        <w:jc w:val="both"/>
        <w:rPr>
          <w:rFonts w:hint="eastAsia" w:ascii="宋体" w:hAnsi="宋体" w:eastAsia="宋体" w:cs="宋体"/>
          <w:sz w:val="24"/>
          <w:szCs w:val="24"/>
        </w:rPr>
      </w:pPr>
    </w:p>
    <w:p w14:paraId="2F3D0CF9">
      <w:pPr>
        <w:spacing w:line="360" w:lineRule="auto"/>
        <w:jc w:val="both"/>
        <w:rPr>
          <w:rFonts w:hint="eastAsia" w:ascii="宋体" w:hAnsi="宋体" w:eastAsia="宋体" w:cs="宋体"/>
          <w:sz w:val="24"/>
          <w:szCs w:val="24"/>
        </w:rPr>
      </w:pPr>
      <w:r>
        <w:rPr>
          <w:rFonts w:hint="eastAsia" w:ascii="宋体" w:hAnsi="宋体" w:eastAsia="宋体" w:cs="宋体"/>
          <w:sz w:val="24"/>
          <w:szCs w:val="24"/>
        </w:rPr>
        <w:t>监测参数</w:t>
      </w:r>
    </w:p>
    <w:p w14:paraId="0880F7F9">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配置3/5导心电，呼吸，无创血压，血氧饱和度，脉搏和双通道体温参数监测，以上参数适用于成人、小儿、新生儿患者。</w:t>
      </w:r>
    </w:p>
    <w:p w14:paraId="6245D59C">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心电监护支持心率，ST段测量，心律失常分析，QT/QTc连续实时测量和对应报警功能。</w:t>
      </w:r>
    </w:p>
    <w:p w14:paraId="587FEDC7">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心电算法通过AHA/MIT-BIH数据库验证</w:t>
      </w:r>
    </w:p>
    <w:p w14:paraId="143E8747">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提供窗口支持心脏下壁，侧壁和前壁对应多个ST片段的同屏实时显示，提供参考片段和实时片段的对比查看。</w:t>
      </w:r>
    </w:p>
    <w:p w14:paraId="758357EB">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b/>
          <w:sz w:val="24"/>
          <w:szCs w:val="24"/>
          <w:lang w:val="en-US" w:eastAsia="zh-CN"/>
        </w:rPr>
        <w:t>▲</w:t>
      </w:r>
      <w:r>
        <w:rPr>
          <w:rFonts w:hint="eastAsia" w:ascii="宋体" w:hAnsi="宋体" w:eastAsia="宋体" w:cs="宋体"/>
          <w:sz w:val="24"/>
          <w:szCs w:val="24"/>
        </w:rPr>
        <w:t>支持室上性心动过速和SVCs/min等室上性心律失常分析</w:t>
      </w:r>
    </w:p>
    <w:p w14:paraId="0FD28D7B">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QT和QTc实时监测参数测量范围：200～800 ms</w:t>
      </w:r>
    </w:p>
    <w:p w14:paraId="51FE11B6">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心电支持≥3个分析导联实时动态同步分析，并非多个导联波形同屏显示及12导联静息分析</w:t>
      </w:r>
    </w:p>
    <w:p w14:paraId="3152D0C2">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支持选配升级提供过去24小时心电概览报告查看与打印，包括心率统计结果，心律失常统计结果，ST统计和QT/QTc统计结果。</w:t>
      </w:r>
    </w:p>
    <w:p w14:paraId="54D21730">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提供呼吸测量，适用于成人、小儿和新生儿。呼吸测量范围：1-200 rpm</w:t>
      </w:r>
    </w:p>
    <w:p w14:paraId="466FA5E3">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提供SpO2,PR和PI参数的实时监测，适用于成人，小儿和新生儿。来自SpO2的PR测量范围：20-300</w:t>
      </w:r>
    </w:p>
    <w:p w14:paraId="6DBE3039">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支持指套式血氧探头，IPX7防水等级，支持液体浸泡消毒和清洁。</w:t>
      </w:r>
    </w:p>
    <w:p w14:paraId="05209647">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配置无创血压测量，适用于成人，小儿和新生儿。无创血压成人测量范围：收缩压25~290mmH</w:t>
      </w:r>
    </w:p>
    <w:p w14:paraId="1B6A0EB3">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提供手动，自动，连续、序列和整点</w:t>
      </w:r>
      <w:r>
        <w:rPr>
          <w:rFonts w:hint="eastAsia" w:ascii="宋体" w:hAnsi="宋体" w:eastAsia="宋体" w:cs="宋体"/>
          <w:sz w:val="24"/>
          <w:szCs w:val="24"/>
          <w:lang w:val="en-US" w:eastAsia="zh-CN"/>
        </w:rPr>
        <w:t>等多种</w:t>
      </w:r>
      <w:r>
        <w:rPr>
          <w:rFonts w:hint="eastAsia" w:ascii="宋体" w:hAnsi="宋体" w:eastAsia="宋体" w:cs="宋体"/>
          <w:sz w:val="24"/>
          <w:szCs w:val="24"/>
        </w:rPr>
        <w:t>测量模式，并提供24小时动态血压统计结果。</w:t>
      </w:r>
    </w:p>
    <w:p w14:paraId="2420DFF8">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提供双通道体温和温差参数的监测功能, 并可根据需要更改体温通道标名</w:t>
      </w:r>
    </w:p>
    <w:p w14:paraId="783F7E72">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支持升级主流、旁流监测模块，旁流EtCO2监测模块支持升级顺磁氧监测技术进行氧气监测，水槽要求易用快速更换</w:t>
      </w:r>
    </w:p>
    <w:p w14:paraId="00036F4E">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 xml:space="preserve">支持升级与红外耳温计的配对使用，使用红外耳温计测量病人耳温后，将测量结果上传至本监护仪 </w:t>
      </w:r>
    </w:p>
    <w:p w14:paraId="4B083FBD">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选配患者下床移动监护功能，提供医用级穿戴传感器，可监测心电、呼吸、无创血压、血氧饱和度、脉搏参数，穿戴传感器支持健康参数监测，可监测患者睡眠时间、运动时间，支持患者4种状态的识别，包括：睡眠，休息，运动和跌倒，监测数据通过无线发送至监护仪。</w:t>
      </w:r>
    </w:p>
    <w:p w14:paraId="6AA80E24">
      <w:pPr>
        <w:spacing w:line="360" w:lineRule="auto"/>
        <w:jc w:val="both"/>
        <w:rPr>
          <w:rFonts w:hint="eastAsia" w:ascii="宋体" w:hAnsi="宋体" w:eastAsia="宋体" w:cs="宋体"/>
          <w:sz w:val="24"/>
          <w:szCs w:val="24"/>
        </w:rPr>
      </w:pPr>
    </w:p>
    <w:p w14:paraId="55805828">
      <w:pPr>
        <w:spacing w:line="360" w:lineRule="auto"/>
        <w:jc w:val="both"/>
        <w:rPr>
          <w:rFonts w:hint="eastAsia" w:ascii="宋体" w:hAnsi="宋体" w:eastAsia="宋体" w:cs="宋体"/>
          <w:sz w:val="24"/>
          <w:szCs w:val="24"/>
        </w:rPr>
      </w:pPr>
      <w:r>
        <w:rPr>
          <w:rFonts w:hint="eastAsia" w:ascii="宋体" w:hAnsi="宋体" w:eastAsia="宋体" w:cs="宋体"/>
          <w:sz w:val="24"/>
          <w:szCs w:val="24"/>
        </w:rPr>
        <w:t>系统功能</w:t>
      </w:r>
    </w:p>
    <w:p w14:paraId="227AEC5D">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支持所有监测参数报警限一键自动设置功能，满足医护团队快速管理患者报警需求</w:t>
      </w:r>
    </w:p>
    <w:p w14:paraId="64DAB820">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b/>
          <w:sz w:val="24"/>
          <w:szCs w:val="24"/>
          <w:lang w:val="en-US" w:eastAsia="zh-CN"/>
        </w:rPr>
        <w:t>▲</w:t>
      </w:r>
      <w:r>
        <w:rPr>
          <w:rFonts w:hint="eastAsia" w:ascii="宋体" w:hAnsi="宋体" w:eastAsia="宋体" w:cs="宋体"/>
          <w:sz w:val="24"/>
          <w:szCs w:val="24"/>
        </w:rPr>
        <w:t>具有图形化技术报警指示功能，帮助医护团队快速识别报警来源。</w:t>
      </w:r>
    </w:p>
    <w:p w14:paraId="57EA21C1">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支持≥800条事件回顾。每条报警事件至少能够存储32秒相关波形，以及报警触发时所有测量参数值。</w:t>
      </w:r>
    </w:p>
    <w:p w14:paraId="1555A80B">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支持≥800组NIBP测量结果的存储与回顾。可选配升级为高容量存储卡，支持3000组NIBP测量</w:t>
      </w:r>
    </w:p>
    <w:p w14:paraId="4D378894">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支持≥100小时（分辨率1分钟）ST模板存储与回顾</w:t>
      </w:r>
    </w:p>
    <w:p w14:paraId="52C60FA2">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具有报警升级功能，当参数报警经过一定的时间未被处理或伴发了其他报警，就会升级到更高一个级别</w:t>
      </w:r>
    </w:p>
    <w:p w14:paraId="335D5AAA">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支持RJ45接口进行有线网络通信，和除颤监护仪一起联网通信到中心监护系统。</w:t>
      </w:r>
    </w:p>
    <w:p w14:paraId="3840CD43">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配置临床评分系统</w:t>
      </w:r>
    </w:p>
    <w:p w14:paraId="73948156">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支持格拉斯哥昏迷评分（GCS）功能</w:t>
      </w:r>
    </w:p>
    <w:p w14:paraId="1F36AE23">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提供屏幕截图功能，将屏幕截图通过USB接口导出到U盘</w:t>
      </w:r>
    </w:p>
    <w:p w14:paraId="0FB176D1">
      <w:pPr>
        <w:pStyle w:val="443"/>
        <w:numPr>
          <w:ilvl w:val="0"/>
          <w:numId w:val="21"/>
        </w:numPr>
        <w:spacing w:line="360" w:lineRule="auto"/>
        <w:ind w:firstLineChars="0"/>
        <w:jc w:val="both"/>
        <w:rPr>
          <w:rFonts w:hint="eastAsia" w:ascii="宋体" w:hAnsi="宋体" w:eastAsia="宋体" w:cs="宋体"/>
          <w:sz w:val="24"/>
          <w:szCs w:val="24"/>
        </w:rPr>
      </w:pPr>
      <w:r>
        <w:rPr>
          <w:rFonts w:hint="eastAsia" w:ascii="宋体" w:hAnsi="宋体" w:eastAsia="宋体" w:cs="宋体"/>
          <w:sz w:val="24"/>
          <w:szCs w:val="24"/>
        </w:rPr>
        <w:t>标配2.4G/5G无线WiFi，方便无线联网。</w:t>
      </w:r>
    </w:p>
    <w:p w14:paraId="6B960536">
      <w:pPr>
        <w:pStyle w:val="443"/>
        <w:widowControl w:val="0"/>
        <w:numPr>
          <w:ilvl w:val="0"/>
          <w:numId w:val="0"/>
        </w:numPr>
        <w:spacing w:line="360" w:lineRule="auto"/>
        <w:jc w:val="both"/>
        <w:rPr>
          <w:rFonts w:hint="eastAsia" w:ascii="宋体" w:hAnsi="宋体" w:eastAsia="宋体" w:cs="宋体"/>
          <w:sz w:val="24"/>
          <w:szCs w:val="24"/>
        </w:rPr>
      </w:pPr>
    </w:p>
    <w:p w14:paraId="6B4CEE6B">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恒温箱</w:t>
      </w:r>
      <w:r>
        <w:rPr>
          <w:rFonts w:hint="eastAsia" w:ascii="宋体" w:hAnsi="宋体" w:eastAsia="宋体" w:cs="宋体"/>
          <w:b/>
          <w:bCs/>
          <w:sz w:val="24"/>
          <w:szCs w:val="24"/>
          <w:lang w:eastAsia="zh-CN"/>
        </w:rPr>
        <w:t>技术参数</w:t>
      </w:r>
    </w:p>
    <w:p w14:paraId="2304D3B0">
      <w:pPr>
        <w:jc w:val="center"/>
        <w:rPr>
          <w:rFonts w:hint="eastAsia" w:ascii="宋体" w:hAnsi="宋体" w:eastAsia="宋体" w:cs="宋体"/>
          <w:sz w:val="24"/>
          <w:szCs w:val="24"/>
          <w:lang w:eastAsia="zh-CN"/>
        </w:rPr>
      </w:pPr>
    </w:p>
    <w:p w14:paraId="387BFD01">
      <w:pPr>
        <w:numPr>
          <w:ilvl w:val="0"/>
          <w:numId w:val="0"/>
        </w:numP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功能及用途</w:t>
      </w:r>
    </w:p>
    <w:p w14:paraId="23C62756">
      <w:pPr>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提供恒定的温度环境的储存箱体</w:t>
      </w:r>
    </w:p>
    <w:p w14:paraId="00D8EE57">
      <w:pPr>
        <w:numPr>
          <w:ilvl w:val="0"/>
          <w:numId w:val="0"/>
        </w:numP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技术参数</w:t>
      </w:r>
    </w:p>
    <w:p w14:paraId="00DF6C97">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1、恒温箱30-50升，内带隔板，箱体内均采用镜面不锈钢氩弧焊制作而成，箱体外采用优质钢板，造型美观、新颖。</w:t>
      </w:r>
    </w:p>
    <w:p w14:paraId="05BD4C5C">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2、采用具有超温偏差保护、数字显示的微电脑 P.I.D温度控制器，带有定时功能，温度精确可靠。</w:t>
      </w:r>
    </w:p>
    <w:p w14:paraId="2BE7EAF0">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3、热风循环系统由能在高温下连续运转的风机和合适风道组成，提高工作室内温度均匀。</w:t>
      </w:r>
    </w:p>
    <w:p w14:paraId="571E875F">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4、采用新型的合成硅密封条，能长期高温运行，使用寿命长，便于更换。</w:t>
      </w:r>
    </w:p>
    <w:p w14:paraId="7028BFCD">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5、可以从控温面板上调节箱内进风和排气量大小。</w:t>
      </w:r>
    </w:p>
    <w:p w14:paraId="0D83E98B">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6、电源电压 ：AC220V 50HZ</w:t>
      </w:r>
    </w:p>
    <w:p w14:paraId="3218A3F2">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7、控温范围 ：RT+10～300℃</w:t>
      </w:r>
    </w:p>
    <w:p w14:paraId="25FC75E1">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8、恒温波动度 ：±1.0℃</w:t>
      </w:r>
    </w:p>
    <w:p w14:paraId="4B6FDEA8">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9、温度分辨率 ：0.1℃</w:t>
      </w:r>
    </w:p>
    <w:p w14:paraId="6A456595">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10、工作环境温度 ：RT+5～40℃</w:t>
      </w:r>
    </w:p>
    <w:p w14:paraId="3EB69F14">
      <w:pPr>
        <w:rPr>
          <w:rFonts w:hint="eastAsia" w:ascii="宋体" w:hAnsi="宋体" w:eastAsia="宋体" w:cs="宋体"/>
          <w:sz w:val="24"/>
          <w:szCs w:val="24"/>
        </w:rPr>
      </w:pPr>
    </w:p>
    <w:p w14:paraId="6C2DF744">
      <w:pPr>
        <w:rPr>
          <w:rFonts w:hint="eastAsia" w:ascii="宋体" w:hAnsi="宋体" w:eastAsia="宋体" w:cs="宋体"/>
          <w:sz w:val="24"/>
          <w:szCs w:val="24"/>
        </w:rPr>
      </w:pPr>
    </w:p>
    <w:p w14:paraId="28F5518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简易呼吸器</w:t>
      </w:r>
      <w:r>
        <w:rPr>
          <w:rFonts w:hint="eastAsia" w:ascii="宋体" w:hAnsi="宋体" w:eastAsia="宋体" w:cs="宋体"/>
          <w:b/>
          <w:bCs/>
          <w:sz w:val="24"/>
          <w:szCs w:val="24"/>
          <w:lang w:eastAsia="zh-CN"/>
        </w:rPr>
        <w:t>技术参数</w:t>
      </w:r>
    </w:p>
    <w:p w14:paraId="34A2F025">
      <w:pPr>
        <w:jc w:val="center"/>
        <w:rPr>
          <w:rFonts w:hint="eastAsia" w:ascii="宋体" w:hAnsi="宋体" w:eastAsia="宋体" w:cs="宋体"/>
          <w:sz w:val="24"/>
          <w:szCs w:val="24"/>
          <w:lang w:eastAsia="zh-CN"/>
        </w:rPr>
      </w:pPr>
    </w:p>
    <w:p w14:paraId="50BA2821">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功能及用途</w:t>
      </w:r>
    </w:p>
    <w:p w14:paraId="1B4F5E90">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用于对不能自主呼吸者进行人工通气</w:t>
      </w:r>
    </w:p>
    <w:p w14:paraId="0AE60045">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二、技术参数</w:t>
      </w:r>
    </w:p>
    <w:p w14:paraId="6982399B">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1、含呼吸气囊、面罩、组合颈、连接管、开口器、口咽通道，可以连接面罩或储气罐</w:t>
      </w:r>
      <w:r>
        <w:rPr>
          <w:rFonts w:hint="eastAsia" w:asciiTheme="minorEastAsia" w:hAnsiTheme="minorEastAsia" w:eastAsiaTheme="minorEastAsia" w:cstheme="minorEastAsia"/>
          <w:sz w:val="24"/>
          <w:szCs w:val="24"/>
          <w:lang w:eastAsia="zh-CN"/>
        </w:rPr>
        <w:t>。</w:t>
      </w:r>
    </w:p>
    <w:p w14:paraId="36AC31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2、呼吸球材质为：PVC 材质</w:t>
      </w:r>
    </w:p>
    <w:p w14:paraId="0520EF0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3、按压体积为：1350ml</w:t>
      </w:r>
    </w:p>
    <w:p w14:paraId="0F99E29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4、呼气阻抗（50L/min 时）：＜60cmH2O</w:t>
      </w:r>
    </w:p>
    <w:p w14:paraId="76F5922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5、安全阀压力设定：当大于 60cmH2O 时，自动开启。</w:t>
      </w:r>
    </w:p>
    <w:p w14:paraId="61416DE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6、平均死腔逆止阀 7ml</w:t>
      </w:r>
    </w:p>
    <w:p w14:paraId="61FDE4D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7、球体容积为：1600ml</w:t>
      </w:r>
    </w:p>
    <w:p w14:paraId="4B1D031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8、储气袋容积为：2000ml</w:t>
      </w:r>
    </w:p>
    <w:p w14:paraId="41252C6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9、呼吸球患者接头内径： 15mm 外径 22mm</w:t>
      </w:r>
    </w:p>
    <w:p w14:paraId="470706E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10、呼吸球接头 ：25mm 内径</w:t>
      </w:r>
    </w:p>
    <w:p w14:paraId="461FDCA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11、接储气袋端为内径 29mm</w:t>
      </w:r>
    </w:p>
    <w:p w14:paraId="372F7A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12、氧气接头外径 ：6 mm</w:t>
      </w:r>
    </w:p>
    <w:p w14:paraId="5A326F2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13、呼吸球操作环境的温度：为 -18℃～ 50℃</w:t>
      </w:r>
    </w:p>
    <w:p w14:paraId="54B9DEE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14、操作方式：双手操作</w:t>
      </w:r>
    </w:p>
    <w:p w14:paraId="75C6825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15、储存条件： -40℃～ 60℃，无腐蚀性气体、阴凉、干燥、通风良好、清洁的环境</w:t>
      </w:r>
    </w:p>
    <w:p w14:paraId="71F7B629">
      <w:pPr>
        <w:rPr>
          <w:rFonts w:hint="eastAsia" w:ascii="宋体" w:hAnsi="宋体" w:eastAsia="宋体" w:cs="宋体"/>
          <w:sz w:val="24"/>
          <w:szCs w:val="24"/>
        </w:rPr>
      </w:pPr>
    </w:p>
    <w:p w14:paraId="09F7647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便携式氧气筒</w:t>
      </w:r>
      <w:r>
        <w:rPr>
          <w:rFonts w:hint="eastAsia" w:ascii="宋体" w:hAnsi="宋体" w:eastAsia="宋体" w:cs="宋体"/>
          <w:b/>
          <w:bCs/>
          <w:sz w:val="24"/>
          <w:szCs w:val="24"/>
          <w:lang w:eastAsia="zh-CN"/>
        </w:rPr>
        <w:t>技术参数</w:t>
      </w:r>
    </w:p>
    <w:p w14:paraId="68B37578">
      <w:pPr>
        <w:jc w:val="center"/>
        <w:rPr>
          <w:rFonts w:hint="eastAsia" w:ascii="宋体" w:hAnsi="宋体" w:eastAsia="宋体" w:cs="宋体"/>
          <w:sz w:val="24"/>
          <w:szCs w:val="24"/>
          <w:lang w:eastAsia="zh-CN"/>
        </w:rPr>
      </w:pPr>
    </w:p>
    <w:p w14:paraId="14EB8DAC">
      <w:pPr>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功能及用途</w:t>
      </w:r>
    </w:p>
    <w:p w14:paraId="79CB0183">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辅助呼吸，缓解人体氧气不足，便携式，最好能与咱们转运呼吸机一起使用可以放置在平车上推动。</w:t>
      </w:r>
    </w:p>
    <w:p w14:paraId="4AD5BA77">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二、技术参数</w:t>
      </w:r>
    </w:p>
    <w:p w14:paraId="132532D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L</w:t>
      </w:r>
    </w:p>
    <w:p w14:paraId="4255FFD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1.储气瓶容积：≥4L。 </w:t>
      </w:r>
    </w:p>
    <w:p w14:paraId="20B5B06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2.最大储气量：≥600L。 </w:t>
      </w:r>
    </w:p>
    <w:p w14:paraId="1433669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3.外箱尺寸(cm)： 直径≤12cm，高度≤87cm。 </w:t>
      </w:r>
    </w:p>
    <w:p w14:paraId="24FE6FC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4.最大储气压力：14.7MPa。 </w:t>
      </w:r>
    </w:p>
    <w:p w14:paraId="5E0A151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5.氧气流量调节范围：(1-5)L/min。</w:t>
      </w:r>
    </w:p>
    <w:p w14:paraId="5C053EAE">
      <w:pPr>
        <w:rPr>
          <w:rFonts w:hint="eastAsia" w:ascii="宋体" w:hAnsi="宋体" w:eastAsia="宋体" w:cs="宋体"/>
          <w:sz w:val="24"/>
          <w:szCs w:val="24"/>
        </w:rPr>
      </w:pPr>
    </w:p>
    <w:p w14:paraId="4530033B">
      <w:pPr>
        <w:rPr>
          <w:rFonts w:hint="eastAsia" w:ascii="宋体" w:hAnsi="宋体" w:eastAsia="宋体" w:cs="宋体"/>
          <w:sz w:val="24"/>
          <w:szCs w:val="24"/>
        </w:rPr>
      </w:pPr>
    </w:p>
    <w:p w14:paraId="01257FBF">
      <w:pPr>
        <w:spacing w:line="360" w:lineRule="auto"/>
        <w:ind w:right="210"/>
        <w:jc w:val="center"/>
        <w:rPr>
          <w:rFonts w:hint="eastAsia" w:ascii="宋体" w:hAnsi="宋体" w:eastAsia="宋体" w:cs="宋体"/>
          <w:b/>
          <w:color w:val="000000" w:themeColor="text1"/>
          <w:sz w:val="24"/>
          <w:szCs w:val="24"/>
          <w:highlight w:val="yellow"/>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14:textFill>
            <w14:solidFill>
              <w14:schemeClr w14:val="tx1"/>
            </w14:solidFill>
          </w14:textFill>
        </w:rPr>
        <w:t>转运呼吸机技术参数</w:t>
      </w:r>
    </w:p>
    <w:p w14:paraId="6B586175">
      <w:pPr>
        <w:spacing w:line="360" w:lineRule="auto"/>
        <w:jc w:val="both"/>
        <w:rPr>
          <w:rFonts w:hint="eastAsia" w:ascii="宋体" w:hAnsi="宋体" w:eastAsia="宋体" w:cs="宋体"/>
          <w:b/>
          <w:color w:val="000000" w:themeColor="text1"/>
          <w:sz w:val="24"/>
          <w:szCs w:val="24"/>
          <w:highlight w:val="cyan"/>
          <w14:textFill>
            <w14:solidFill>
              <w14:schemeClr w14:val="tx1"/>
            </w14:solidFill>
          </w14:textFill>
        </w:rPr>
      </w:pPr>
    </w:p>
    <w:p w14:paraId="563A66B2">
      <w:pPr>
        <w:spacing w:line="360"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一、整机与显示要求</w:t>
      </w:r>
    </w:p>
    <w:p w14:paraId="13EB88A4">
      <w:pPr>
        <w:pStyle w:val="443"/>
        <w:numPr>
          <w:ilvl w:val="0"/>
          <w:numId w:val="22"/>
        </w:numPr>
        <w:spacing w:line="360" w:lineRule="auto"/>
        <w:ind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通过EN1789和YY0600.3转运标准测试</w:t>
      </w:r>
    </w:p>
    <w:p w14:paraId="7C5BF8EA">
      <w:pPr>
        <w:pStyle w:val="443"/>
        <w:numPr>
          <w:ilvl w:val="0"/>
          <w:numId w:val="22"/>
        </w:numPr>
        <w:spacing w:line="360" w:lineRule="auto"/>
        <w:ind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通过RTCA/DO-160G和EN 13718-1直升机转运标准测试。</w:t>
      </w:r>
    </w:p>
    <w:p w14:paraId="7902701E">
      <w:pPr>
        <w:pStyle w:val="443"/>
        <w:numPr>
          <w:ilvl w:val="0"/>
          <w:numId w:val="22"/>
        </w:numPr>
        <w:spacing w:line="360" w:lineRule="auto"/>
        <w:ind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适用于成人、小儿和婴幼儿患者通气辅助及呼吸支持。</w:t>
      </w:r>
    </w:p>
    <w:p w14:paraId="06030DDF">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整机为电动电控设计，涡轮驱动产生空气气源。</w:t>
      </w:r>
    </w:p>
    <w:p w14:paraId="2D0F429E">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可支持单管路通气，管路更加简单便携。</w:t>
      </w:r>
    </w:p>
    <w:p w14:paraId="0DC07766">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电池续航时间1块电池≥4小时</w:t>
      </w:r>
    </w:p>
    <w:p w14:paraId="6B3A04D8">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呼吸机主机重量≤5kg。</w:t>
      </w:r>
    </w:p>
    <w:p w14:paraId="09509D0B">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吸气峰值流速≥210L/min。</w:t>
      </w:r>
    </w:p>
    <w:p w14:paraId="643C19B8">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可选配提拿悬挂一体化多功能把手，灵活便携。</w:t>
      </w:r>
    </w:p>
    <w:p w14:paraId="21CC3D30">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w:t>
      </w:r>
      <w:r>
        <w:rPr>
          <w:rFonts w:hint="eastAsia" w:ascii="宋体" w:hAnsi="宋体" w:eastAsia="宋体" w:cs="宋体"/>
          <w:color w:val="000000" w:themeColor="text1"/>
          <w:sz w:val="24"/>
          <w:szCs w:val="24"/>
          <w:lang w:val="en-US" w:eastAsia="zh-CN"/>
          <w14:textFill>
            <w14:solidFill>
              <w14:schemeClr w14:val="tx1"/>
            </w14:solidFill>
          </w14:textFill>
        </w:rPr>
        <w:t>置</w:t>
      </w:r>
      <w:r>
        <w:rPr>
          <w:rFonts w:hint="eastAsia" w:ascii="宋体" w:hAnsi="宋体" w:eastAsia="宋体" w:cs="宋体"/>
          <w:color w:val="000000" w:themeColor="text1"/>
          <w:sz w:val="24"/>
          <w:szCs w:val="24"/>
          <w14:textFill>
            <w14:solidFill>
              <w14:schemeClr w14:val="tx1"/>
            </w14:solidFill>
          </w14:textFill>
        </w:rPr>
        <w:t>无消耗氧传感器，无需校准和更换。</w:t>
      </w:r>
    </w:p>
    <w:p w14:paraId="7C08D5AB">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支持高压氧气气源和低压氧气气源两种方式。</w:t>
      </w:r>
    </w:p>
    <w:p w14:paraId="186227DE">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采用≥7英寸彩色电容触摸控制屏，分辨率≥800*480像素，可同时显示波形和监测参数。</w:t>
      </w:r>
    </w:p>
    <w:p w14:paraId="61A03DCF">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具有屏幕亮度自动调节功能，根据环境光线强度自动调节屏幕亮度。</w:t>
      </w:r>
    </w:p>
    <w:p w14:paraId="31EC923A">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具有关机状态下电量显示功能，更加高效掌握机器剩余电量。</w:t>
      </w:r>
    </w:p>
    <w:p w14:paraId="0DACE682">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支持显示≥100小时的全部监测参数趋势图、表分析，≥7000条报警和操作日志记录。</w:t>
      </w:r>
    </w:p>
    <w:p w14:paraId="5499A7D1">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具备截屏U盘导出功能，可缓存≥45张屏幕文件。</w:t>
      </w:r>
    </w:p>
    <w:p w14:paraId="09DA00DF">
      <w:pPr>
        <w:pStyle w:val="443"/>
        <w:numPr>
          <w:ilvl w:val="0"/>
          <w:numId w:val="22"/>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▲整机可放置在患者转运车上移动使用，无需另外配备推车。</w:t>
      </w:r>
    </w:p>
    <w:p w14:paraId="361F7E36">
      <w:pPr>
        <w:spacing w:line="360"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二、环境适应性要求</w:t>
      </w:r>
    </w:p>
    <w:p w14:paraId="16B42AA7">
      <w:pPr>
        <w:pStyle w:val="443"/>
        <w:numPr>
          <w:ilvl w:val="0"/>
          <w:numId w:val="23"/>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防尘防水等级≥IP34，保证机器在复杂环境中的安全。</w:t>
      </w:r>
    </w:p>
    <w:p w14:paraId="4BEF945C">
      <w:pPr>
        <w:pStyle w:val="443"/>
        <w:numPr>
          <w:ilvl w:val="0"/>
          <w:numId w:val="23"/>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最高工作海拔≥7000m，满足高海拔和直升机转运要求。</w:t>
      </w:r>
    </w:p>
    <w:p w14:paraId="4862414D">
      <w:pPr>
        <w:pStyle w:val="443"/>
        <w:numPr>
          <w:ilvl w:val="0"/>
          <w:numId w:val="23"/>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工作温度范围：-20 ~ 50 ℃，满足低温和高温环境下工作要求。</w:t>
      </w:r>
    </w:p>
    <w:p w14:paraId="5380E066">
      <w:pPr>
        <w:pStyle w:val="443"/>
        <w:numPr>
          <w:ilvl w:val="0"/>
          <w:numId w:val="23"/>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具有自动海拔补偿功能和自动漏气补偿功能。</w:t>
      </w:r>
    </w:p>
    <w:p w14:paraId="49EEF936">
      <w:pPr>
        <w:spacing w:line="360"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三、呼吸模式及功能</w:t>
      </w:r>
    </w:p>
    <w:p w14:paraId="72251D63">
      <w:pPr>
        <w:pStyle w:val="443"/>
        <w:numPr>
          <w:ilvl w:val="0"/>
          <w:numId w:val="24"/>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p w14:paraId="33480F4E">
      <w:pPr>
        <w:pStyle w:val="443"/>
        <w:numPr>
          <w:ilvl w:val="0"/>
          <w:numId w:val="24"/>
        </w:numPr>
        <w:spacing w:line="360" w:lineRule="auto"/>
        <w:ind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可升级高级模式：容量支持通气VS、气道压力释放通气APRV；自适应分钟通气（如AMV或ASV等以Otis公式患者最小呼吸做功为通气目标的智能通气模式）</w:t>
      </w:r>
    </w:p>
    <w:p w14:paraId="5C002451">
      <w:pPr>
        <w:pStyle w:val="443"/>
        <w:numPr>
          <w:ilvl w:val="0"/>
          <w:numId w:val="24"/>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可升级无创通气模式和氧疗模式。</w:t>
      </w:r>
    </w:p>
    <w:p w14:paraId="05F908C6">
      <w:pPr>
        <w:pStyle w:val="443"/>
        <w:numPr>
          <w:ilvl w:val="0"/>
          <w:numId w:val="24"/>
        </w:numPr>
        <w:spacing w:line="360" w:lineRule="auto"/>
        <w:ind w:firstLineChars="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呼吸同步技术（如IntelliCycle，IntelliSync+），自动调节吸气和呼气触发灵敏度、压力上升时间，提高人机同步性和舒适度，减少手动调节参数。</w:t>
      </w:r>
    </w:p>
    <w:p w14:paraId="7B065FDD">
      <w:pPr>
        <w:pStyle w:val="443"/>
        <w:numPr>
          <w:ilvl w:val="0"/>
          <w:numId w:val="24"/>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标配内源性PEEP、口腔闭合压P0.1和浅快呼吸指数RSBI的测定。</w:t>
      </w:r>
    </w:p>
    <w:p w14:paraId="2A12612D">
      <w:pPr>
        <w:spacing w:line="360"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四、设置参数</w:t>
      </w:r>
    </w:p>
    <w:p w14:paraId="0037ED6E">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潮气量：20ml—2000ml</w:t>
      </w:r>
    </w:p>
    <w:p w14:paraId="454048CE">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吸气压力：2—60 cmH2O</w:t>
      </w:r>
    </w:p>
    <w:p w14:paraId="4A5F7DB2">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呼气末正压：1—50 cmH2O</w:t>
      </w:r>
    </w:p>
    <w:p w14:paraId="7AD6846C">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吸入氧浓度：21—100%</w:t>
      </w:r>
    </w:p>
    <w:p w14:paraId="21F82A61">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吸气时间：0.1—10s  </w:t>
      </w:r>
    </w:p>
    <w:p w14:paraId="48545E17">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压力触发灵敏度：-20— - 0.5cmH2O，或 OFF  </w:t>
      </w:r>
    </w:p>
    <w:p w14:paraId="0B736E0A">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流速触发灵敏度：0.5—20L/ min，或 OFF  </w:t>
      </w:r>
    </w:p>
    <w:p w14:paraId="6282B2BB">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呼气触发灵敏度：Auto, 2—85%  </w:t>
      </w:r>
    </w:p>
    <w:p w14:paraId="1B7B642A">
      <w:pPr>
        <w:pStyle w:val="443"/>
        <w:numPr>
          <w:ilvl w:val="0"/>
          <w:numId w:val="25"/>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氧疗流量：2—80L/min</w:t>
      </w:r>
    </w:p>
    <w:p w14:paraId="772CFB7F">
      <w:pPr>
        <w:spacing w:line="360" w:lineRule="auto"/>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五、监测参数和报警</w:t>
      </w:r>
    </w:p>
    <w:p w14:paraId="5F8B2520">
      <w:pPr>
        <w:pStyle w:val="443"/>
        <w:numPr>
          <w:ilvl w:val="0"/>
          <w:numId w:val="26"/>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监测参数：氧浓度、分钟通气量、潮气量、气道压力、呼吸频率等关键参数。</w:t>
      </w:r>
    </w:p>
    <w:p w14:paraId="48DEF91D">
      <w:pPr>
        <w:pStyle w:val="443"/>
        <w:numPr>
          <w:ilvl w:val="0"/>
          <w:numId w:val="26"/>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波形监测：压力—时间、流速—时间、容量—时间</w:t>
      </w:r>
    </w:p>
    <w:p w14:paraId="2104B3BD">
      <w:pPr>
        <w:pStyle w:val="443"/>
        <w:numPr>
          <w:ilvl w:val="0"/>
          <w:numId w:val="26"/>
        </w:numPr>
        <w:spacing w:line="360" w:lineRule="auto"/>
        <w:ind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报警：潮气量、通气量、压力、呼吸频率、窒息、氧浓度、氧气不足、电量不足、管路脱落、机器故障等。</w:t>
      </w:r>
    </w:p>
    <w:p w14:paraId="04E677C7">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阅片灯</w:t>
      </w:r>
      <w:r>
        <w:rPr>
          <w:rFonts w:hint="eastAsia" w:ascii="宋体" w:hAnsi="宋体" w:eastAsia="宋体" w:cs="宋体"/>
          <w:b/>
          <w:bCs/>
          <w:sz w:val="24"/>
          <w:szCs w:val="24"/>
          <w:lang w:eastAsia="zh-CN"/>
        </w:rPr>
        <w:t>技术参数</w:t>
      </w:r>
    </w:p>
    <w:p w14:paraId="02BA2A07">
      <w:pPr>
        <w:jc w:val="center"/>
        <w:rPr>
          <w:rFonts w:hint="eastAsia" w:ascii="宋体" w:hAnsi="宋体" w:eastAsia="宋体" w:cs="宋体"/>
          <w:sz w:val="24"/>
          <w:szCs w:val="24"/>
          <w:lang w:eastAsia="zh-CN"/>
        </w:rPr>
      </w:pPr>
    </w:p>
    <w:p w14:paraId="5053318A">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功能及用途</w:t>
      </w:r>
    </w:p>
    <w:p w14:paraId="24178FF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提供光源，用于观看医用X线片</w:t>
      </w:r>
    </w:p>
    <w:p w14:paraId="05DA5E59">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二、技术参数</w:t>
      </w:r>
    </w:p>
    <w:p w14:paraId="7C406482">
      <w:pPr>
        <w:rPr>
          <w:rFonts w:hint="eastAsia" w:ascii="宋体" w:hAnsi="宋体" w:eastAsia="宋体" w:cs="宋体"/>
          <w:sz w:val="24"/>
          <w:szCs w:val="24"/>
        </w:rPr>
      </w:pPr>
      <w:r>
        <w:rPr>
          <w:rFonts w:hint="eastAsia" w:ascii="宋体" w:hAnsi="宋体" w:eastAsia="宋体" w:cs="宋体"/>
          <w:sz w:val="24"/>
          <w:szCs w:val="24"/>
        </w:rPr>
        <w:t>0.7-1.5米长，0.4-0.5米高，厚度不超过3.0cm，可悬挂可站立，优质LED芯片灯</w:t>
      </w:r>
    </w:p>
    <w:p w14:paraId="2FF3AA2F">
      <w:pPr>
        <w:pStyle w:val="443"/>
        <w:widowControl w:val="0"/>
        <w:numPr>
          <w:ilvl w:val="0"/>
          <w:numId w:val="0"/>
        </w:numPr>
        <w:spacing w:line="360" w:lineRule="auto"/>
        <w:jc w:val="both"/>
        <w:rPr>
          <w:rFonts w:hint="eastAsia" w:ascii="宋体" w:hAnsi="宋体" w:eastAsia="宋体" w:cs="宋体"/>
          <w:color w:val="000000" w:themeColor="text1"/>
          <w:sz w:val="24"/>
          <w:szCs w:val="24"/>
          <w14:textFill>
            <w14:solidFill>
              <w14:schemeClr w14:val="tx1"/>
            </w14:solidFill>
          </w14:textFill>
        </w:rPr>
      </w:pPr>
    </w:p>
    <w:p w14:paraId="0F34EBC6">
      <w:pPr>
        <w:spacing w:line="360" w:lineRule="auto"/>
        <w:jc w:val="both"/>
        <w:rPr>
          <w:rFonts w:hint="eastAsia" w:ascii="宋体" w:hAnsi="宋体" w:eastAsia="宋体" w:cs="宋体"/>
          <w:color w:val="000000" w:themeColor="text1"/>
          <w:sz w:val="24"/>
          <w:szCs w:val="24"/>
          <w14:textFill>
            <w14:solidFill>
              <w14:schemeClr w14:val="tx1"/>
            </w14:solidFill>
          </w14:textFill>
        </w:rPr>
      </w:pPr>
    </w:p>
    <w:p w14:paraId="02348F95"/>
    <w:p w14:paraId="3F06D39F">
      <w:pPr>
        <w:rPr>
          <w:rFonts w:hint="eastAsia"/>
          <w:sz w:val="22"/>
          <w:szCs w:val="28"/>
        </w:rPr>
      </w:pPr>
    </w:p>
    <w:p w14:paraId="5EB023EE">
      <w:pPr>
        <w:rPr>
          <w:rFonts w:hint="eastAsia"/>
          <w:sz w:val="22"/>
          <w:szCs w:val="28"/>
        </w:rPr>
      </w:pPr>
    </w:p>
    <w:p w14:paraId="653260A7">
      <w:pPr>
        <w:rPr>
          <w:rFonts w:hint="eastAsia"/>
          <w:sz w:val="22"/>
          <w:szCs w:val="28"/>
        </w:rPr>
      </w:pPr>
    </w:p>
    <w:p w14:paraId="7A37A2B5">
      <w:pPr>
        <w:pStyle w:val="443"/>
        <w:widowControl w:val="0"/>
        <w:numPr>
          <w:ilvl w:val="0"/>
          <w:numId w:val="0"/>
        </w:numPr>
        <w:spacing w:line="360" w:lineRule="auto"/>
        <w:jc w:val="both"/>
        <w:rPr>
          <w:rFonts w:hint="eastAsia" w:ascii="宋体" w:hAnsi="宋体" w:eastAsia="宋体" w:cs="宋体"/>
          <w:sz w:val="24"/>
          <w:szCs w:val="24"/>
        </w:rPr>
      </w:pPr>
    </w:p>
    <w:p w14:paraId="47163AAD"/>
    <w:p w14:paraId="04469467">
      <w:pPr>
        <w:rPr>
          <w:rFonts w:hint="eastAsia"/>
          <w:sz w:val="22"/>
          <w:szCs w:val="28"/>
        </w:rPr>
      </w:pPr>
    </w:p>
    <w:p w14:paraId="336E0FC0">
      <w:pPr>
        <w:numPr>
          <w:ilvl w:val="0"/>
          <w:numId w:val="0"/>
        </w:numPr>
        <w:spacing w:line="360" w:lineRule="auto"/>
        <w:ind w:leftChars="0"/>
        <w:jc w:val="both"/>
        <w:rPr>
          <w:rFonts w:hint="eastAsia" w:ascii="宋体" w:hAnsi="宋体" w:eastAsia="宋体" w:cs="宋体"/>
          <w:sz w:val="24"/>
          <w:szCs w:val="24"/>
          <w:lang w:val="en-US" w:eastAsia="zh-CN"/>
        </w:rPr>
      </w:pPr>
    </w:p>
    <w:p w14:paraId="5AC64854"/>
    <w:p w14:paraId="1B667635">
      <w:pPr>
        <w:widowControl w:val="0"/>
        <w:numPr>
          <w:ilvl w:val="0"/>
          <w:numId w:val="0"/>
        </w:numPr>
        <w:tabs>
          <w:tab w:val="left" w:pos="312"/>
        </w:tabs>
        <w:spacing w:line="360" w:lineRule="auto"/>
        <w:jc w:val="both"/>
        <w:rPr>
          <w:rFonts w:hint="eastAsia" w:ascii="宋体" w:hAnsi="宋体" w:eastAsia="宋体" w:cs="宋体"/>
          <w:color w:val="auto"/>
          <w:kern w:val="0"/>
          <w:sz w:val="24"/>
          <w:szCs w:val="24"/>
          <w:lang w:val="en-US" w:eastAsia="zh-CN"/>
        </w:rPr>
      </w:pPr>
    </w:p>
    <w:p w14:paraId="7A28DDC2"/>
    <w:p w14:paraId="735F008A">
      <w:pPr>
        <w:widowControl w:val="0"/>
        <w:spacing w:line="360" w:lineRule="auto"/>
        <w:jc w:val="both"/>
        <w:rPr>
          <w:rFonts w:hint="eastAsia" w:ascii="宋体" w:hAnsi="宋体" w:eastAsia="宋体" w:cs="宋体"/>
          <w:kern w:val="2"/>
          <w:sz w:val="24"/>
          <w:szCs w:val="24"/>
          <w:lang w:val="en-GB"/>
        </w:rPr>
      </w:pPr>
    </w:p>
    <w:p w14:paraId="2DE6ACB9"/>
    <w:p w14:paraId="42013054">
      <w:pPr>
        <w:spacing w:line="360" w:lineRule="auto"/>
        <w:ind w:left="210" w:leftChars="0" w:firstLine="240" w:firstLineChars="100"/>
        <w:jc w:val="both"/>
        <w:rPr>
          <w:rFonts w:hint="eastAsia" w:ascii="宋体" w:hAnsi="宋体" w:eastAsia="宋体" w:cs="宋体"/>
          <w:sz w:val="24"/>
          <w:szCs w:val="24"/>
          <w:lang w:val="en-US" w:eastAsia="zh-CN"/>
        </w:rPr>
      </w:pPr>
    </w:p>
    <w:p w14:paraId="154B01F3"/>
    <w:p w14:paraId="53DAE2C0">
      <w:pPr>
        <w:spacing w:line="360" w:lineRule="auto"/>
        <w:jc w:val="both"/>
        <w:rPr>
          <w:rFonts w:hint="eastAsia" w:ascii="宋体" w:hAnsi="宋体" w:eastAsia="宋体" w:cs="宋体"/>
          <w:sz w:val="24"/>
          <w:szCs w:val="24"/>
          <w:lang w:val="en-US" w:eastAsia="zh-CN"/>
        </w:rPr>
      </w:pPr>
    </w:p>
    <w:p w14:paraId="0BC560B4"/>
    <w:p w14:paraId="3FEF427F">
      <w:pPr>
        <w:spacing w:line="360" w:lineRule="auto"/>
        <w:rPr>
          <w:rFonts w:hint="eastAsia" w:ascii="宋体" w:hAnsi="宋体" w:eastAsia="宋体" w:cs="宋体"/>
          <w:sz w:val="24"/>
          <w:szCs w:val="24"/>
          <w:highlight w:val="none"/>
          <w:lang w:val="en-US" w:eastAsia="zh-CN"/>
        </w:rPr>
      </w:pPr>
    </w:p>
    <w:p w14:paraId="5D567F8D">
      <w:pPr>
        <w:rPr>
          <w:highlight w:val="none"/>
        </w:rPr>
      </w:pPr>
    </w:p>
    <w:p w14:paraId="04F8960D">
      <w:pPr>
        <w:rPr>
          <w:rFonts w:hint="eastAsia" w:ascii="宋体" w:hAnsi="宋体" w:eastAsia="宋体"/>
          <w:color w:val="auto"/>
          <w:sz w:val="36"/>
          <w:highlight w:val="none"/>
        </w:rPr>
      </w:pPr>
      <w:r>
        <w:rPr>
          <w:rFonts w:hint="eastAsia" w:ascii="宋体" w:hAnsi="宋体" w:eastAsia="宋体"/>
          <w:color w:val="auto"/>
          <w:sz w:val="36"/>
          <w:highlight w:val="none"/>
        </w:rPr>
        <w:br w:type="page"/>
      </w:r>
    </w:p>
    <w:p w14:paraId="4C12A603">
      <w:pPr>
        <w:pStyle w:val="2"/>
        <w:spacing w:after="315" w:afterLines="100" w:afterAutospacing="0" w:line="360" w:lineRule="exact"/>
        <w:jc w:val="center"/>
        <w:outlineLvl w:val="0"/>
        <w:rPr>
          <w:rFonts w:hint="eastAsia" w:ascii="宋体" w:hAnsi="宋体" w:eastAsia="宋体"/>
          <w:color w:val="auto"/>
          <w:sz w:val="36"/>
          <w:highlight w:val="none"/>
          <w:lang w:eastAsia="zh-CN"/>
        </w:rPr>
      </w:pPr>
      <w:r>
        <w:rPr>
          <w:rFonts w:hint="eastAsia" w:ascii="宋体" w:hAnsi="宋体" w:eastAsia="宋体"/>
          <w:color w:val="auto"/>
          <w:sz w:val="36"/>
          <w:highlight w:val="none"/>
        </w:rPr>
        <w:t>第六章</w:t>
      </w:r>
      <w:bookmarkEnd w:id="73"/>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eastAsia="zh-CN"/>
        </w:rPr>
        <w:t>响应文件格式</w:t>
      </w:r>
      <w:bookmarkEnd w:id="297"/>
    </w:p>
    <w:p w14:paraId="64C5B93A">
      <w:pPr>
        <w:tabs>
          <w:tab w:val="left" w:pos="900"/>
          <w:tab w:val="left" w:pos="1980"/>
        </w:tabs>
        <w:snapToGrid w:val="0"/>
        <w:spacing w:line="360" w:lineRule="auto"/>
        <w:ind w:left="142"/>
        <w:rPr>
          <w:b/>
          <w:color w:val="auto"/>
          <w:kern w:val="0"/>
          <w:sz w:val="24"/>
          <w:highlight w:val="none"/>
        </w:rPr>
      </w:pPr>
      <w:r>
        <w:rPr>
          <w:rFonts w:hint="eastAsia"/>
          <w:b/>
          <w:color w:val="auto"/>
          <w:kern w:val="0"/>
          <w:sz w:val="24"/>
          <w:highlight w:val="none"/>
        </w:rPr>
        <w:t>供应商编制文件须知</w:t>
      </w:r>
    </w:p>
    <w:p w14:paraId="252CDC16">
      <w:pPr>
        <w:tabs>
          <w:tab w:val="left" w:pos="900"/>
          <w:tab w:val="left" w:pos="1980"/>
        </w:tabs>
        <w:snapToGrid w:val="0"/>
        <w:spacing w:line="360" w:lineRule="auto"/>
        <w:ind w:left="142"/>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5DA48199">
      <w:pPr>
        <w:tabs>
          <w:tab w:val="left" w:pos="900"/>
          <w:tab w:val="left" w:pos="1980"/>
        </w:tabs>
        <w:snapToGrid w:val="0"/>
        <w:spacing w:line="360" w:lineRule="auto"/>
        <w:ind w:left="142"/>
        <w:rPr>
          <w:color w:val="auto"/>
          <w:sz w:val="24"/>
          <w:highlight w:val="none"/>
        </w:rPr>
      </w:pPr>
      <w:r>
        <w:rPr>
          <w:rFonts w:hint="eastAsia"/>
          <w:color w:val="auto"/>
          <w:sz w:val="24"/>
          <w:highlight w:val="none"/>
        </w:rPr>
        <w:t>2</w:t>
      </w:r>
      <w:r>
        <w:rPr>
          <w:color w:val="auto"/>
          <w:sz w:val="24"/>
          <w:highlight w:val="none"/>
        </w:rPr>
        <w:t>、全部声明和问题的回答及所附材料必须是真实的、准确的和完整的。</w:t>
      </w:r>
    </w:p>
    <w:p w14:paraId="7526C928">
      <w:pPr>
        <w:pStyle w:val="451"/>
        <w:tabs>
          <w:tab w:val="left" w:pos="8640"/>
        </w:tabs>
        <w:snapToGrid w:val="0"/>
        <w:spacing w:line="360" w:lineRule="auto"/>
        <w:ind w:left="-1096" w:leftChars="-522" w:firstLine="4514" w:firstLineChars="627"/>
        <w:rPr>
          <w:rFonts w:hint="eastAsia" w:ascii="宋体" w:hAnsi="宋体" w:cs="宋体"/>
          <w:color w:val="auto"/>
          <w:sz w:val="72"/>
          <w:szCs w:val="72"/>
          <w:highlight w:val="none"/>
        </w:rPr>
        <w:sectPr>
          <w:headerReference r:id="rId10" w:type="default"/>
          <w:footerReference r:id="rId11" w:type="default"/>
          <w:pgSz w:w="11907" w:h="16840"/>
          <w:pgMar w:top="1134" w:right="1134" w:bottom="1134" w:left="1134" w:header="850" w:footer="850" w:gutter="0"/>
          <w:pgNumType w:fmt="decimal"/>
          <w:cols w:space="0" w:num="1"/>
          <w:rtlGutter w:val="0"/>
          <w:docGrid w:linePitch="312" w:charSpace="0"/>
        </w:sectPr>
      </w:pPr>
      <w:r>
        <w:rPr>
          <w:rFonts w:hint="eastAsia" w:ascii="宋体" w:hAnsi="宋体" w:cs="宋体"/>
          <w:color w:val="auto"/>
          <w:sz w:val="72"/>
          <w:szCs w:val="72"/>
          <w:highlight w:val="none"/>
        </w:rPr>
        <w:br w:type="page"/>
      </w:r>
    </w:p>
    <w:p w14:paraId="05B73BF1">
      <w:pPr>
        <w:jc w:val="center"/>
        <w:outlineLvl w:val="9"/>
        <w:rPr>
          <w:rFonts w:ascii="宋体" w:hAnsi="宋体" w:cs="宋体"/>
          <w:b/>
          <w:color w:val="auto"/>
          <w:sz w:val="52"/>
          <w:szCs w:val="52"/>
          <w:highlight w:val="none"/>
        </w:rPr>
      </w:pPr>
      <w:r>
        <w:rPr>
          <w:rFonts w:hint="eastAsia" w:ascii="宋体" w:hAnsi="宋体" w:cs="宋体"/>
          <w:b/>
          <w:color w:val="auto"/>
          <w:sz w:val="52"/>
          <w:szCs w:val="52"/>
          <w:highlight w:val="none"/>
          <w:u w:val="single"/>
        </w:rPr>
        <w:t>项目名称</w:t>
      </w:r>
    </w:p>
    <w:p w14:paraId="652A7273">
      <w:pPr>
        <w:outlineLvl w:val="9"/>
        <w:rPr>
          <w:rFonts w:ascii="宋体" w:hAnsi="宋体" w:cs="宋体"/>
          <w:b/>
          <w:color w:val="auto"/>
          <w:sz w:val="52"/>
          <w:szCs w:val="52"/>
          <w:highlight w:val="none"/>
        </w:rPr>
      </w:pPr>
    </w:p>
    <w:p w14:paraId="0E903C16">
      <w:pPr>
        <w:outlineLvl w:val="9"/>
        <w:rPr>
          <w:rFonts w:ascii="宋体" w:hAnsi="宋体" w:cs="宋体"/>
          <w:b/>
          <w:color w:val="auto"/>
          <w:sz w:val="52"/>
          <w:szCs w:val="52"/>
          <w:highlight w:val="none"/>
        </w:rPr>
      </w:pPr>
    </w:p>
    <w:p w14:paraId="5E69E1CA">
      <w:pPr>
        <w:outlineLvl w:val="9"/>
        <w:rPr>
          <w:rFonts w:ascii="宋体" w:hAnsi="宋体" w:cs="宋体"/>
          <w:b/>
          <w:color w:val="auto"/>
          <w:sz w:val="44"/>
          <w:szCs w:val="44"/>
          <w:highlight w:val="none"/>
        </w:rPr>
      </w:pPr>
    </w:p>
    <w:p w14:paraId="07F00517">
      <w:pPr>
        <w:jc w:val="center"/>
        <w:outlineLvl w:val="9"/>
        <w:rPr>
          <w:rFonts w:ascii="宋体" w:hAnsi="宋体" w:cs="宋体"/>
          <w:b/>
          <w:color w:val="auto"/>
          <w:sz w:val="36"/>
          <w:szCs w:val="36"/>
          <w:highlight w:val="none"/>
        </w:rPr>
      </w:pPr>
      <w:r>
        <w:rPr>
          <w:rFonts w:hint="eastAsia" w:ascii="宋体" w:hAnsi="宋体" w:cs="宋体"/>
          <w:b/>
          <w:color w:val="auto"/>
          <w:w w:val="80"/>
          <w:sz w:val="96"/>
          <w:szCs w:val="96"/>
          <w:highlight w:val="none"/>
          <w:lang w:val="en-US" w:eastAsia="zh-CN"/>
        </w:rPr>
        <w:t>响 应</w:t>
      </w:r>
      <w:r>
        <w:rPr>
          <w:rFonts w:hint="eastAsia" w:ascii="宋体" w:hAnsi="宋体" w:cs="宋体"/>
          <w:b/>
          <w:color w:val="auto"/>
          <w:w w:val="80"/>
          <w:sz w:val="96"/>
          <w:szCs w:val="96"/>
          <w:highlight w:val="none"/>
        </w:rPr>
        <w:t xml:space="preserve"> 文 件</w:t>
      </w:r>
    </w:p>
    <w:p w14:paraId="6024FA64">
      <w:pPr>
        <w:jc w:val="center"/>
        <w:outlineLvl w:val="9"/>
        <w:rPr>
          <w:rFonts w:ascii="宋体" w:hAnsi="宋体" w:cs="宋体"/>
          <w:b/>
          <w:color w:val="auto"/>
          <w:sz w:val="36"/>
          <w:szCs w:val="36"/>
          <w:highlight w:val="none"/>
        </w:rPr>
      </w:pPr>
    </w:p>
    <w:p w14:paraId="5DA893A3">
      <w:pPr>
        <w:spacing w:line="360" w:lineRule="auto"/>
        <w:ind w:firstLine="2530" w:firstLineChars="700"/>
        <w:jc w:val="both"/>
        <w:outlineLvl w:val="9"/>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项目</w:t>
      </w:r>
      <w:r>
        <w:rPr>
          <w:rFonts w:hint="eastAsia" w:ascii="宋体" w:hAnsi="宋体" w:cs="宋体"/>
          <w:b/>
          <w:color w:val="auto"/>
          <w:sz w:val="36"/>
          <w:szCs w:val="36"/>
          <w:highlight w:val="none"/>
        </w:rPr>
        <w:t>编号：</w:t>
      </w:r>
    </w:p>
    <w:p w14:paraId="40F46894">
      <w:pPr>
        <w:pStyle w:val="19"/>
        <w:ind w:firstLine="2530" w:firstLineChars="700"/>
        <w:outlineLvl w:val="9"/>
        <w:rPr>
          <w:rFonts w:hint="eastAsia" w:eastAsia="宋体"/>
          <w:color w:val="auto"/>
          <w:highlight w:val="none"/>
          <w:u w:val="none"/>
          <w:lang w:val="en-US" w:eastAsia="zh-CN"/>
        </w:rPr>
      </w:pPr>
      <w:r>
        <w:rPr>
          <w:rFonts w:hint="eastAsia" w:ascii="宋体" w:hAnsi="宋体" w:cs="宋体"/>
          <w:b/>
          <w:color w:val="auto"/>
          <w:sz w:val="36"/>
          <w:szCs w:val="36"/>
          <w:highlight w:val="none"/>
          <w:u w:val="none"/>
          <w:lang w:val="en-US" w:eastAsia="zh-CN"/>
        </w:rPr>
        <w:t>包号（如有）：</w:t>
      </w:r>
    </w:p>
    <w:p w14:paraId="0D167C23">
      <w:pP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80EAFA">
      <w:pPr>
        <w:jc w:val="center"/>
        <w:outlineLvl w:val="9"/>
        <w:rPr>
          <w:rFonts w:ascii="宋体" w:hAnsi="宋体" w:cs="宋体"/>
          <w:b/>
          <w:color w:val="auto"/>
          <w:sz w:val="36"/>
          <w:szCs w:val="36"/>
          <w:highlight w:val="none"/>
          <w:u w:val="single"/>
        </w:rPr>
      </w:pPr>
    </w:p>
    <w:p w14:paraId="7C4139EF">
      <w:pPr>
        <w:jc w:val="center"/>
        <w:outlineLvl w:val="9"/>
        <w:rPr>
          <w:rFonts w:ascii="宋体" w:hAnsi="宋体" w:cs="宋体"/>
          <w:b/>
          <w:color w:val="auto"/>
          <w:sz w:val="36"/>
          <w:szCs w:val="36"/>
          <w:highlight w:val="none"/>
          <w:u w:val="single"/>
        </w:rPr>
      </w:pPr>
    </w:p>
    <w:p w14:paraId="601F221C">
      <w:pPr>
        <w:jc w:val="center"/>
        <w:outlineLvl w:val="9"/>
        <w:rPr>
          <w:rFonts w:ascii="宋体" w:hAnsi="宋体" w:cs="宋体"/>
          <w:b/>
          <w:color w:val="auto"/>
          <w:sz w:val="36"/>
          <w:szCs w:val="36"/>
          <w:highlight w:val="none"/>
          <w:u w:val="single"/>
        </w:rPr>
      </w:pPr>
    </w:p>
    <w:p w14:paraId="4A278464">
      <w:pPr>
        <w:jc w:val="center"/>
        <w:outlineLvl w:val="9"/>
        <w:rPr>
          <w:rFonts w:ascii="宋体" w:hAnsi="宋体" w:cs="宋体"/>
          <w:b/>
          <w:color w:val="auto"/>
          <w:sz w:val="36"/>
          <w:szCs w:val="36"/>
          <w:highlight w:val="none"/>
          <w:u w:val="single"/>
        </w:rPr>
      </w:pPr>
    </w:p>
    <w:p w14:paraId="53BD0B15">
      <w:pPr>
        <w:jc w:val="center"/>
        <w:outlineLvl w:val="9"/>
        <w:rPr>
          <w:rFonts w:ascii="宋体" w:hAnsi="宋体" w:cs="宋体"/>
          <w:b/>
          <w:color w:val="auto"/>
          <w:sz w:val="36"/>
          <w:szCs w:val="36"/>
          <w:highlight w:val="none"/>
          <w:u w:val="single"/>
        </w:rPr>
      </w:pPr>
    </w:p>
    <w:p w14:paraId="72C471CB">
      <w:pPr>
        <w:outlineLvl w:val="9"/>
        <w:rPr>
          <w:rFonts w:ascii="宋体" w:hAnsi="宋体" w:cs="宋体"/>
          <w:b/>
          <w:color w:val="auto"/>
          <w:sz w:val="36"/>
          <w:szCs w:val="36"/>
          <w:highlight w:val="none"/>
        </w:rPr>
      </w:pPr>
    </w:p>
    <w:p w14:paraId="5DE6C3A4">
      <w:pPr>
        <w:outlineLvl w:val="9"/>
        <w:rPr>
          <w:rFonts w:ascii="宋体" w:hAnsi="宋体" w:cs="宋体"/>
          <w:b/>
          <w:color w:val="auto"/>
          <w:sz w:val="36"/>
          <w:szCs w:val="36"/>
          <w:highlight w:val="none"/>
        </w:rPr>
      </w:pPr>
    </w:p>
    <w:p w14:paraId="5E6A8666">
      <w:pPr>
        <w:spacing w:line="360" w:lineRule="auto"/>
        <w:ind w:firstLine="1446" w:firstLineChars="400"/>
        <w:jc w:val="left"/>
        <w:outlineLvl w:val="9"/>
        <w:rPr>
          <w:rFonts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 xml:space="preserve">                 （盖章）</w:t>
      </w:r>
    </w:p>
    <w:p w14:paraId="7BAA8AFD">
      <w:pPr>
        <w:spacing w:line="360" w:lineRule="auto"/>
        <w:ind w:firstLine="1446" w:firstLineChars="400"/>
        <w:outlineLvl w:val="9"/>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地址：_________________________</w:t>
      </w:r>
    </w:p>
    <w:p w14:paraId="30EDD142">
      <w:pPr>
        <w:spacing w:line="360" w:lineRule="auto"/>
        <w:jc w:val="center"/>
        <w:outlineLvl w:val="9"/>
        <w:rPr>
          <w:rFonts w:ascii="宋体" w:hAnsi="宋体" w:cs="宋体"/>
          <w:b/>
          <w:color w:val="auto"/>
          <w:sz w:val="36"/>
          <w:szCs w:val="36"/>
          <w:highlight w:val="none"/>
        </w:rPr>
      </w:pPr>
    </w:p>
    <w:p w14:paraId="24E4EDCF">
      <w:pPr>
        <w:spacing w:line="360" w:lineRule="auto"/>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年  月  日</w:t>
      </w:r>
    </w:p>
    <w:p w14:paraId="026D8D7A">
      <w:pPr>
        <w:outlineLvl w:val="9"/>
        <w:rPr>
          <w:color w:val="auto"/>
          <w:highlight w:val="none"/>
        </w:rPr>
      </w:pPr>
      <w:r>
        <w:rPr>
          <w:rFonts w:hint="eastAsia" w:ascii="宋体" w:hAnsi="宋体" w:cs="宋体"/>
          <w:b/>
          <w:color w:val="auto"/>
          <w:sz w:val="36"/>
          <w:szCs w:val="36"/>
          <w:highlight w:val="none"/>
        </w:rPr>
        <w:br w:type="page"/>
      </w:r>
    </w:p>
    <w:p w14:paraId="31856528">
      <w:pPr>
        <w:outlineLvl w:val="9"/>
        <w:rPr>
          <w:rFonts w:hint="eastAsia" w:cs="宋体"/>
          <w:color w:val="auto"/>
          <w:sz w:val="28"/>
          <w:szCs w:val="28"/>
          <w:highlight w:val="none"/>
          <w:lang w:val="en-US" w:eastAsia="zh-CN"/>
        </w:rPr>
      </w:pPr>
      <w:r>
        <w:rPr>
          <w:rFonts w:hint="eastAsia" w:cs="宋体"/>
          <w:color w:val="auto"/>
          <w:sz w:val="28"/>
          <w:szCs w:val="28"/>
          <w:highlight w:val="none"/>
        </w:rPr>
        <w:t>一、</w:t>
      </w:r>
      <w:r>
        <w:rPr>
          <w:rFonts w:hint="eastAsia" w:cs="宋体"/>
          <w:color w:val="auto"/>
          <w:sz w:val="28"/>
          <w:szCs w:val="28"/>
          <w:highlight w:val="none"/>
          <w:lang w:val="en-US" w:eastAsia="zh-CN"/>
        </w:rPr>
        <w:t>资格证明文件</w:t>
      </w:r>
    </w:p>
    <w:p w14:paraId="7D4A22D4">
      <w:pPr>
        <w:widowControl/>
        <w:spacing w:line="480" w:lineRule="auto"/>
        <w:jc w:val="center"/>
        <w:outlineLvl w:val="9"/>
        <w:rPr>
          <w:rFonts w:hint="eastAsia" w:ascii="宋体" w:hAnsi="宋体" w:cs="宋体"/>
          <w:b/>
          <w:bCs/>
          <w:color w:val="auto"/>
          <w:kern w:val="0"/>
          <w:sz w:val="28"/>
          <w:szCs w:val="28"/>
          <w:highlight w:val="none"/>
        </w:rPr>
      </w:pPr>
    </w:p>
    <w:p w14:paraId="430ED31F">
      <w:pPr>
        <w:widowControl/>
        <w:spacing w:line="480" w:lineRule="auto"/>
        <w:jc w:val="center"/>
        <w:outlineLvl w:val="9"/>
        <w:rPr>
          <w:rFonts w:ascii="宋体" w:hAnsi="宋体" w:cs="宋体"/>
          <w:color w:val="auto"/>
          <w:sz w:val="28"/>
          <w:szCs w:val="28"/>
          <w:highlight w:val="none"/>
        </w:rPr>
      </w:pPr>
      <w:r>
        <w:rPr>
          <w:rFonts w:hint="eastAsia" w:ascii="宋体" w:hAnsi="宋体" w:cs="宋体"/>
          <w:b/>
          <w:bCs/>
          <w:color w:val="auto"/>
          <w:kern w:val="0"/>
          <w:sz w:val="28"/>
          <w:szCs w:val="28"/>
          <w:highlight w:val="none"/>
        </w:rPr>
        <w:t xml:space="preserve">格式 </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供应商</w:t>
      </w:r>
      <w:r>
        <w:rPr>
          <w:rFonts w:hint="eastAsia" w:ascii="宋体" w:hAnsi="宋体" w:cs="宋体"/>
          <w:b/>
          <w:bCs/>
          <w:color w:val="auto"/>
          <w:kern w:val="0"/>
          <w:sz w:val="28"/>
          <w:szCs w:val="28"/>
          <w:highlight w:val="none"/>
        </w:rPr>
        <w:t>一般情况表（格式）</w:t>
      </w:r>
    </w:p>
    <w:p w14:paraId="07DFCF11">
      <w:pPr>
        <w:pStyle w:val="19"/>
        <w:ind w:firstLine="240" w:firstLineChars="100"/>
        <w:outlineLvl w:val="9"/>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p>
    <w:p w14:paraId="74DAF625">
      <w:pPr>
        <w:pStyle w:val="19"/>
        <w:ind w:firstLine="240" w:firstLineChars="100"/>
        <w:outlineLvl w:val="9"/>
        <w:rPr>
          <w:rFonts w:ascii="宋体" w:hAnsi="宋体" w:cs="宋体"/>
          <w:color w:val="auto"/>
          <w:sz w:val="24"/>
          <w:highlight w:val="none"/>
          <w:u w:val="single"/>
        </w:rPr>
      </w:pPr>
      <w:r>
        <w:rPr>
          <w:rFonts w:hint="eastAsia" w:ascii="宋体" w:hAnsi="宋体" w:cs="宋体"/>
          <w:color w:val="auto"/>
          <w:sz w:val="24"/>
          <w:highlight w:val="none"/>
          <w:u w:val="none"/>
          <w:lang w:val="en-US" w:eastAsia="zh-CN"/>
        </w:rPr>
        <w:t>包号（如有）：</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p>
    <w:p w14:paraId="0C3E279D">
      <w:pPr>
        <w:outlineLvl w:val="9"/>
        <w:rPr>
          <w:rFonts w:ascii="宋体" w:hAnsi="宋体" w:cs="宋体"/>
          <w:color w:val="auto"/>
          <w:sz w:val="24"/>
          <w:highlight w:val="none"/>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4"/>
        <w:gridCol w:w="2034"/>
        <w:gridCol w:w="2894"/>
      </w:tblGrid>
      <w:tr w14:paraId="38A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63" w:type="dxa"/>
            <w:tcBorders>
              <w:tl2br w:val="nil"/>
              <w:tr2bl w:val="nil"/>
            </w:tcBorders>
            <w:noWrap w:val="0"/>
            <w:vAlign w:val="center"/>
          </w:tcPr>
          <w:p w14:paraId="66F28AB4">
            <w:pPr>
              <w:pStyle w:val="19"/>
              <w:jc w:val="left"/>
              <w:outlineLvl w:val="9"/>
              <w:rPr>
                <w:rFonts w:ascii="宋体" w:hAnsi="宋体" w:cs="宋体"/>
                <w:b/>
                <w:bCs/>
                <w:color w:val="auto"/>
                <w:highlight w:val="none"/>
              </w:rPr>
            </w:pP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全称</w:t>
            </w:r>
          </w:p>
        </w:tc>
        <w:tc>
          <w:tcPr>
            <w:tcW w:w="2464" w:type="dxa"/>
            <w:tcBorders>
              <w:tl2br w:val="nil"/>
              <w:tr2bl w:val="nil"/>
            </w:tcBorders>
            <w:noWrap w:val="0"/>
            <w:vAlign w:val="top"/>
          </w:tcPr>
          <w:p w14:paraId="2768183D">
            <w:pPr>
              <w:pStyle w:val="19"/>
              <w:outlineLvl w:val="9"/>
              <w:rPr>
                <w:rFonts w:ascii="宋体" w:hAnsi="宋体" w:cs="宋体"/>
                <w:color w:val="auto"/>
                <w:highlight w:val="none"/>
              </w:rPr>
            </w:pPr>
          </w:p>
        </w:tc>
        <w:tc>
          <w:tcPr>
            <w:tcW w:w="2034" w:type="dxa"/>
            <w:tcBorders>
              <w:tl2br w:val="nil"/>
              <w:tr2bl w:val="nil"/>
            </w:tcBorders>
            <w:noWrap w:val="0"/>
            <w:vAlign w:val="center"/>
          </w:tcPr>
          <w:p w14:paraId="1505C2AA">
            <w:pPr>
              <w:pStyle w:val="19"/>
              <w:outlineLvl w:val="9"/>
              <w:rPr>
                <w:rFonts w:ascii="宋体" w:hAnsi="宋体" w:cs="宋体"/>
                <w:b/>
                <w:bCs/>
                <w:color w:val="auto"/>
                <w:highlight w:val="none"/>
              </w:rPr>
            </w:pPr>
            <w:r>
              <w:rPr>
                <w:rFonts w:hint="eastAsia" w:ascii="宋体" w:hAnsi="宋体" w:cs="宋体"/>
                <w:color w:val="auto"/>
                <w:highlight w:val="none"/>
              </w:rPr>
              <w:t>供应商性质</w:t>
            </w:r>
          </w:p>
        </w:tc>
        <w:tc>
          <w:tcPr>
            <w:tcW w:w="2894" w:type="dxa"/>
            <w:tcBorders>
              <w:tl2br w:val="nil"/>
              <w:tr2bl w:val="nil"/>
            </w:tcBorders>
            <w:noWrap w:val="0"/>
            <w:vAlign w:val="top"/>
          </w:tcPr>
          <w:p w14:paraId="40F6191E">
            <w:pPr>
              <w:pStyle w:val="19"/>
              <w:outlineLvl w:val="9"/>
              <w:rPr>
                <w:rFonts w:ascii="宋体" w:hAnsi="宋体" w:cs="宋体"/>
                <w:color w:val="auto"/>
                <w:highlight w:val="none"/>
              </w:rPr>
            </w:pPr>
            <w:r>
              <w:rPr>
                <w:rFonts w:hint="eastAsia" w:ascii="宋体" w:hAnsi="宋体" w:cs="宋体"/>
                <w:color w:val="auto"/>
                <w:highlight w:val="none"/>
              </w:rPr>
              <w:t>（需按照</w:t>
            </w:r>
            <w:r>
              <w:rPr>
                <w:rFonts w:hint="eastAsia" w:hAnsi="宋体" w:cs="宋体"/>
                <w:color w:val="auto"/>
                <w:highlight w:val="none"/>
                <w:lang w:val="en-US" w:eastAsia="zh-CN"/>
              </w:rPr>
              <w:t>供应商</w:t>
            </w:r>
            <w:r>
              <w:rPr>
                <w:rFonts w:hint="eastAsia" w:ascii="宋体" w:hAnsi="宋体" w:cs="宋体"/>
                <w:color w:val="auto"/>
                <w:highlight w:val="none"/>
              </w:rPr>
              <w:t>须知前附表第</w:t>
            </w:r>
            <w:r>
              <w:rPr>
                <w:rFonts w:hint="eastAsia" w:ascii="宋体" w:hAnsi="宋体" w:cs="宋体"/>
                <w:color w:val="auto"/>
                <w:highlight w:val="none"/>
                <w:lang w:val="en-US" w:eastAsia="zh-CN"/>
              </w:rPr>
              <w:t>8条</w:t>
            </w:r>
            <w:r>
              <w:rPr>
                <w:rFonts w:hint="eastAsia" w:ascii="宋体" w:hAnsi="宋体" w:cs="宋体"/>
                <w:color w:val="auto"/>
                <w:highlight w:val="none"/>
              </w:rPr>
              <w:t>要求在本表后提供相关证明材料）</w:t>
            </w:r>
          </w:p>
        </w:tc>
      </w:tr>
      <w:tr w14:paraId="50EA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63" w:type="dxa"/>
            <w:tcBorders>
              <w:tl2br w:val="nil"/>
              <w:tr2bl w:val="nil"/>
            </w:tcBorders>
            <w:noWrap w:val="0"/>
            <w:vAlign w:val="center"/>
          </w:tcPr>
          <w:p w14:paraId="4D26B94F">
            <w:pPr>
              <w:pStyle w:val="19"/>
              <w:outlineLvl w:val="9"/>
              <w:rPr>
                <w:rFonts w:ascii="宋体" w:hAnsi="宋体" w:cs="宋体"/>
                <w:b/>
                <w:bCs/>
                <w:color w:val="auto"/>
                <w:highlight w:val="none"/>
              </w:rPr>
            </w:pPr>
            <w:r>
              <w:rPr>
                <w:rFonts w:hint="eastAsia" w:ascii="宋体" w:hAnsi="宋体" w:cs="宋体"/>
                <w:b/>
                <w:bCs/>
                <w:color w:val="auto"/>
                <w:highlight w:val="none"/>
              </w:rPr>
              <w:t>法定代表人或负责人姓名</w:t>
            </w:r>
          </w:p>
        </w:tc>
        <w:tc>
          <w:tcPr>
            <w:tcW w:w="2464" w:type="dxa"/>
            <w:tcBorders>
              <w:tl2br w:val="nil"/>
              <w:tr2bl w:val="nil"/>
            </w:tcBorders>
            <w:noWrap w:val="0"/>
            <w:vAlign w:val="center"/>
          </w:tcPr>
          <w:p w14:paraId="49FCD7AE">
            <w:pPr>
              <w:pStyle w:val="19"/>
              <w:outlineLvl w:val="9"/>
              <w:rPr>
                <w:rFonts w:ascii="宋体" w:hAnsi="宋体" w:cs="宋体"/>
                <w:color w:val="auto"/>
                <w:highlight w:val="none"/>
              </w:rPr>
            </w:pPr>
          </w:p>
        </w:tc>
        <w:tc>
          <w:tcPr>
            <w:tcW w:w="2034" w:type="dxa"/>
            <w:tcBorders>
              <w:tl2br w:val="nil"/>
              <w:tr2bl w:val="nil"/>
            </w:tcBorders>
            <w:noWrap w:val="0"/>
            <w:vAlign w:val="center"/>
          </w:tcPr>
          <w:p w14:paraId="04193BFB">
            <w:pPr>
              <w:pStyle w:val="19"/>
              <w:outlineLvl w:val="9"/>
              <w:rPr>
                <w:rFonts w:ascii="宋体" w:hAnsi="宋体" w:cs="宋体"/>
                <w:b/>
                <w:bCs/>
                <w:color w:val="auto"/>
                <w:highlight w:val="none"/>
              </w:rPr>
            </w:pPr>
            <w:r>
              <w:rPr>
                <w:rFonts w:hint="eastAsia" w:ascii="宋体" w:hAnsi="宋体" w:cs="宋体"/>
                <w:b/>
                <w:bCs/>
                <w:color w:val="auto"/>
                <w:highlight w:val="none"/>
              </w:rPr>
              <w:t>上级主管部门</w:t>
            </w:r>
          </w:p>
        </w:tc>
        <w:tc>
          <w:tcPr>
            <w:tcW w:w="2894" w:type="dxa"/>
            <w:tcBorders>
              <w:tl2br w:val="nil"/>
              <w:tr2bl w:val="nil"/>
            </w:tcBorders>
            <w:noWrap w:val="0"/>
            <w:vAlign w:val="center"/>
          </w:tcPr>
          <w:p w14:paraId="13EDC4E6">
            <w:pPr>
              <w:pStyle w:val="19"/>
              <w:outlineLvl w:val="9"/>
              <w:rPr>
                <w:rFonts w:ascii="宋体" w:hAnsi="宋体" w:cs="宋体"/>
                <w:color w:val="auto"/>
                <w:highlight w:val="none"/>
              </w:rPr>
            </w:pPr>
          </w:p>
        </w:tc>
      </w:tr>
      <w:tr w14:paraId="1EC6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tcBorders>
              <w:tl2br w:val="nil"/>
              <w:tr2bl w:val="nil"/>
            </w:tcBorders>
            <w:noWrap w:val="0"/>
            <w:vAlign w:val="center"/>
          </w:tcPr>
          <w:p w14:paraId="6DA78830">
            <w:pPr>
              <w:pStyle w:val="19"/>
              <w:outlineLvl w:val="9"/>
              <w:rPr>
                <w:rFonts w:ascii="宋体" w:hAnsi="宋体" w:cs="宋体"/>
                <w:b/>
                <w:bCs/>
                <w:color w:val="auto"/>
                <w:highlight w:val="none"/>
              </w:rPr>
            </w:pPr>
            <w:r>
              <w:rPr>
                <w:rFonts w:hint="eastAsia" w:ascii="宋体" w:hAnsi="宋体" w:cs="宋体"/>
                <w:b/>
                <w:bCs/>
                <w:color w:val="auto"/>
                <w:highlight w:val="none"/>
              </w:rPr>
              <w:t>联系人、联系方式、办公地址</w:t>
            </w:r>
          </w:p>
        </w:tc>
        <w:tc>
          <w:tcPr>
            <w:tcW w:w="2464" w:type="dxa"/>
            <w:tcBorders>
              <w:tl2br w:val="nil"/>
              <w:tr2bl w:val="nil"/>
            </w:tcBorders>
            <w:noWrap w:val="0"/>
            <w:vAlign w:val="center"/>
          </w:tcPr>
          <w:p w14:paraId="2528F5F7">
            <w:pPr>
              <w:pStyle w:val="19"/>
              <w:outlineLvl w:val="9"/>
              <w:rPr>
                <w:rFonts w:ascii="宋体" w:hAnsi="宋体" w:cs="宋体"/>
                <w:color w:val="auto"/>
                <w:highlight w:val="none"/>
              </w:rPr>
            </w:pPr>
          </w:p>
        </w:tc>
        <w:tc>
          <w:tcPr>
            <w:tcW w:w="2034" w:type="dxa"/>
            <w:tcBorders>
              <w:tl2br w:val="nil"/>
              <w:tr2bl w:val="nil"/>
            </w:tcBorders>
            <w:noWrap w:val="0"/>
            <w:vAlign w:val="center"/>
          </w:tcPr>
          <w:p w14:paraId="1B1CE244">
            <w:pPr>
              <w:pStyle w:val="19"/>
              <w:outlineLvl w:val="9"/>
              <w:rPr>
                <w:rFonts w:ascii="宋体" w:hAnsi="宋体" w:cs="宋体"/>
                <w:b/>
                <w:bCs/>
                <w:color w:val="auto"/>
                <w:highlight w:val="none"/>
              </w:rPr>
            </w:pPr>
            <w:r>
              <w:rPr>
                <w:rFonts w:hint="eastAsia" w:ascii="宋体" w:hAnsi="宋体" w:cs="宋体"/>
                <w:b/>
                <w:bCs/>
                <w:color w:val="auto"/>
                <w:highlight w:val="none"/>
              </w:rPr>
              <w:t>基本开户银行名称</w:t>
            </w:r>
          </w:p>
        </w:tc>
        <w:tc>
          <w:tcPr>
            <w:tcW w:w="2894" w:type="dxa"/>
            <w:tcBorders>
              <w:tl2br w:val="nil"/>
              <w:tr2bl w:val="nil"/>
            </w:tcBorders>
            <w:noWrap w:val="0"/>
            <w:vAlign w:val="center"/>
          </w:tcPr>
          <w:p w14:paraId="6E7559DA">
            <w:pPr>
              <w:pStyle w:val="19"/>
              <w:outlineLvl w:val="9"/>
              <w:rPr>
                <w:rFonts w:ascii="宋体" w:hAnsi="宋体" w:cs="宋体"/>
                <w:color w:val="auto"/>
                <w:highlight w:val="none"/>
              </w:rPr>
            </w:pPr>
          </w:p>
        </w:tc>
      </w:tr>
      <w:tr w14:paraId="5DA1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463" w:type="dxa"/>
            <w:tcBorders>
              <w:tl2br w:val="nil"/>
              <w:tr2bl w:val="nil"/>
            </w:tcBorders>
            <w:noWrap w:val="0"/>
            <w:vAlign w:val="center"/>
          </w:tcPr>
          <w:p w14:paraId="11F22D72">
            <w:pPr>
              <w:pStyle w:val="19"/>
              <w:outlineLvl w:val="9"/>
              <w:rPr>
                <w:rFonts w:ascii="宋体" w:hAnsi="宋体" w:cs="宋体"/>
                <w:color w:val="auto"/>
                <w:highlight w:val="none"/>
              </w:rPr>
            </w:pPr>
            <w:r>
              <w:rPr>
                <w:rFonts w:hint="eastAsia" w:ascii="宋体" w:hAnsi="宋体" w:cs="宋体"/>
                <w:color w:val="auto"/>
                <w:highlight w:val="none"/>
              </w:rPr>
              <w:t>具有良好的商业信誉和健全的财务会计制度</w:t>
            </w:r>
          </w:p>
        </w:tc>
        <w:tc>
          <w:tcPr>
            <w:tcW w:w="2464" w:type="dxa"/>
            <w:tcBorders>
              <w:tl2br w:val="nil"/>
              <w:tr2bl w:val="nil"/>
            </w:tcBorders>
            <w:noWrap w:val="0"/>
            <w:vAlign w:val="center"/>
          </w:tcPr>
          <w:p w14:paraId="65EEE690">
            <w:pPr>
              <w:pStyle w:val="19"/>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01452DEF">
            <w:pPr>
              <w:pStyle w:val="19"/>
              <w:outlineLvl w:val="9"/>
              <w:rPr>
                <w:rFonts w:ascii="宋体" w:hAnsi="宋体" w:cs="宋体"/>
                <w:color w:val="auto"/>
                <w:highlight w:val="none"/>
              </w:rPr>
            </w:pPr>
            <w:r>
              <w:rPr>
                <w:rFonts w:hint="eastAsia" w:ascii="宋体" w:hAnsi="宋体" w:cs="宋体"/>
                <w:color w:val="auto"/>
                <w:highlight w:val="none"/>
              </w:rPr>
              <w:t>具有履行合同所必需的设备和专业技术能力</w:t>
            </w:r>
          </w:p>
        </w:tc>
        <w:tc>
          <w:tcPr>
            <w:tcW w:w="2894" w:type="dxa"/>
            <w:tcBorders>
              <w:tl2br w:val="nil"/>
              <w:tr2bl w:val="nil"/>
            </w:tcBorders>
            <w:noWrap w:val="0"/>
            <w:vAlign w:val="center"/>
          </w:tcPr>
          <w:p w14:paraId="63A5885F">
            <w:pPr>
              <w:pStyle w:val="19"/>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r>
      <w:tr w14:paraId="68F2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2463" w:type="dxa"/>
            <w:tcBorders>
              <w:tl2br w:val="nil"/>
              <w:tr2bl w:val="nil"/>
            </w:tcBorders>
            <w:noWrap w:val="0"/>
            <w:vAlign w:val="center"/>
          </w:tcPr>
          <w:p w14:paraId="100BDBB8">
            <w:pPr>
              <w:pStyle w:val="19"/>
              <w:outlineLvl w:val="9"/>
              <w:rPr>
                <w:rFonts w:ascii="宋体" w:hAnsi="宋体" w:cs="宋体"/>
                <w:color w:val="auto"/>
                <w:highlight w:val="none"/>
              </w:rPr>
            </w:pPr>
            <w:r>
              <w:rPr>
                <w:rFonts w:hint="eastAsia" w:ascii="宋体" w:hAnsi="宋体" w:cs="宋体"/>
                <w:color w:val="auto"/>
                <w:highlight w:val="none"/>
              </w:rPr>
              <w:t>近三年内，</w:t>
            </w:r>
            <w:r>
              <w:rPr>
                <w:rFonts w:hint="eastAsia" w:ascii="宋体" w:hAnsi="宋体" w:cs="宋体"/>
                <w:color w:val="auto"/>
                <w:highlight w:val="none"/>
                <w:lang w:eastAsia="zh-CN"/>
              </w:rPr>
              <w:t>供应商</w:t>
            </w:r>
            <w:r>
              <w:rPr>
                <w:rFonts w:hint="eastAsia" w:ascii="宋体" w:hAnsi="宋体" w:cs="宋体"/>
                <w:color w:val="auto"/>
                <w:highlight w:val="none"/>
              </w:rPr>
              <w:t>在经营活动中没有重大违法记录</w:t>
            </w:r>
          </w:p>
        </w:tc>
        <w:tc>
          <w:tcPr>
            <w:tcW w:w="2464" w:type="dxa"/>
            <w:tcBorders>
              <w:tl2br w:val="nil"/>
              <w:tr2bl w:val="nil"/>
            </w:tcBorders>
            <w:noWrap w:val="0"/>
            <w:vAlign w:val="center"/>
          </w:tcPr>
          <w:p w14:paraId="5B2451C7">
            <w:pPr>
              <w:pStyle w:val="19"/>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6A7C2134">
            <w:pPr>
              <w:pStyle w:val="19"/>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没有失信行为和重大税收违法案件记录</w:t>
            </w:r>
          </w:p>
        </w:tc>
        <w:tc>
          <w:tcPr>
            <w:tcW w:w="2894" w:type="dxa"/>
            <w:tcBorders>
              <w:tl2br w:val="nil"/>
              <w:tr2bl w:val="nil"/>
            </w:tcBorders>
            <w:noWrap w:val="0"/>
            <w:vAlign w:val="center"/>
          </w:tcPr>
          <w:p w14:paraId="1BC3459E">
            <w:pPr>
              <w:pStyle w:val="19"/>
              <w:outlineLvl w:val="9"/>
              <w:rPr>
                <w:rFonts w:ascii="宋体" w:hAnsi="宋体" w:cs="宋体"/>
                <w:color w:val="auto"/>
                <w:highlight w:val="none"/>
              </w:rPr>
            </w:pPr>
            <w:r>
              <w:rPr>
                <w:rFonts w:hint="eastAsia" w:ascii="宋体" w:hAnsi="宋体" w:eastAsia="宋体" w:cs="宋体"/>
                <w:color w:val="auto"/>
                <w:highlight w:val="none"/>
                <w:lang w:eastAsia="zh-CN"/>
              </w:rPr>
              <w:t>无需供应商提供，</w:t>
            </w:r>
            <w:r>
              <w:rPr>
                <w:rFonts w:hint="eastAsia" w:ascii="宋体" w:hAnsi="宋体" w:cs="宋体"/>
                <w:color w:val="auto"/>
                <w:highlight w:val="none"/>
                <w:lang w:eastAsia="zh-CN"/>
              </w:rPr>
              <w:t>响应</w:t>
            </w:r>
            <w:r>
              <w:rPr>
                <w:rFonts w:hint="eastAsia" w:ascii="宋体" w:hAnsi="宋体" w:eastAsia="宋体" w:cs="宋体"/>
                <w:color w:val="auto"/>
                <w:highlight w:val="none"/>
                <w:lang w:eastAsia="zh-CN"/>
              </w:rPr>
              <w:t>截止时间以后、资格审查阶段由采购人或者采购代理机构查询并留存证据。</w:t>
            </w:r>
          </w:p>
        </w:tc>
      </w:tr>
      <w:tr w14:paraId="138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463" w:type="dxa"/>
            <w:tcBorders>
              <w:tl2br w:val="nil"/>
              <w:tr2bl w:val="nil"/>
            </w:tcBorders>
            <w:noWrap w:val="0"/>
            <w:vAlign w:val="center"/>
          </w:tcPr>
          <w:p w14:paraId="245A9A33">
            <w:pPr>
              <w:pStyle w:val="19"/>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须知前附表规定的合格</w:t>
            </w:r>
            <w:r>
              <w:rPr>
                <w:rFonts w:hint="eastAsia" w:ascii="宋体" w:hAnsi="宋体" w:cs="宋体"/>
                <w:color w:val="auto"/>
                <w:highlight w:val="none"/>
                <w:lang w:eastAsia="zh-CN"/>
              </w:rPr>
              <w:t>供应商</w:t>
            </w:r>
            <w:r>
              <w:rPr>
                <w:rFonts w:hint="eastAsia" w:ascii="宋体" w:hAnsi="宋体" w:cs="宋体"/>
                <w:color w:val="auto"/>
                <w:highlight w:val="none"/>
              </w:rPr>
              <w:t>其他资格要求</w:t>
            </w:r>
          </w:p>
        </w:tc>
        <w:tc>
          <w:tcPr>
            <w:tcW w:w="2464" w:type="dxa"/>
            <w:tcBorders>
              <w:tl2br w:val="nil"/>
              <w:tr2bl w:val="nil"/>
            </w:tcBorders>
            <w:noWrap w:val="0"/>
            <w:vAlign w:val="center"/>
          </w:tcPr>
          <w:p w14:paraId="527BF2FD">
            <w:pPr>
              <w:pStyle w:val="19"/>
              <w:outlineLvl w:val="9"/>
              <w:rPr>
                <w:rFonts w:ascii="宋体" w:hAnsi="宋体" w:cs="宋体"/>
                <w:color w:val="auto"/>
                <w:highlight w:val="none"/>
              </w:rPr>
            </w:pPr>
            <w:r>
              <w:rPr>
                <w:rFonts w:hint="eastAsia" w:ascii="宋体" w:hAnsi="宋体" w:cs="宋体"/>
                <w:color w:val="auto"/>
                <w:highlight w:val="none"/>
              </w:rPr>
              <w:t>须提供相关声明或证明材料</w:t>
            </w:r>
          </w:p>
        </w:tc>
        <w:tc>
          <w:tcPr>
            <w:tcW w:w="2034" w:type="dxa"/>
            <w:tcBorders>
              <w:tl2br w:val="nil"/>
              <w:tr2bl w:val="nil"/>
            </w:tcBorders>
            <w:noWrap w:val="0"/>
            <w:vAlign w:val="center"/>
          </w:tcPr>
          <w:p w14:paraId="24D7C0BE">
            <w:pPr>
              <w:pStyle w:val="19"/>
              <w:outlineLvl w:val="9"/>
              <w:rPr>
                <w:rFonts w:hint="default" w:ascii="宋体" w:hAnsi="宋体" w:eastAsia="宋体" w:cs="宋体"/>
                <w:color w:val="auto"/>
                <w:highlight w:val="none"/>
                <w:lang w:val="en-US" w:eastAsia="zh-CN"/>
              </w:rPr>
            </w:pPr>
            <w:r>
              <w:rPr>
                <w:rFonts w:hint="eastAsia" w:ascii="宋体" w:hAnsi="宋体" w:cs="宋体"/>
                <w:color w:val="auto"/>
                <w:highlight w:val="none"/>
              </w:rPr>
              <w:t>是否提供小型</w:t>
            </w:r>
            <w:r>
              <w:rPr>
                <w:rFonts w:hint="default" w:ascii="宋体" w:hAnsi="宋体" w:cs="宋体"/>
                <w:color w:val="auto"/>
                <w:highlight w:val="none"/>
                <w:lang w:val="en-US"/>
              </w:rPr>
              <w:t>和</w:t>
            </w:r>
            <w:r>
              <w:rPr>
                <w:rFonts w:hint="eastAsia" w:ascii="宋体" w:hAnsi="宋体" w:cs="宋体"/>
                <w:color w:val="auto"/>
                <w:highlight w:val="none"/>
              </w:rPr>
              <w:t>微型企业</w:t>
            </w:r>
            <w:r>
              <w:rPr>
                <w:rFonts w:hint="default" w:ascii="宋体" w:hAnsi="宋体" w:cs="宋体"/>
                <w:color w:val="auto"/>
                <w:highlight w:val="none"/>
                <w:lang w:val="en-US"/>
              </w:rPr>
              <w:t>生产的产品</w:t>
            </w:r>
            <w:r>
              <w:rPr>
                <w:rFonts w:hint="eastAsia" w:ascii="宋体" w:hAnsi="宋体" w:cs="宋体"/>
                <w:color w:val="auto"/>
                <w:highlight w:val="none"/>
                <w:lang w:val="en-US" w:eastAsia="zh-CN"/>
              </w:rPr>
              <w:t>或服务的（适用于专门面向中小企业预留份额的项目）</w:t>
            </w:r>
          </w:p>
        </w:tc>
        <w:tc>
          <w:tcPr>
            <w:tcW w:w="2894" w:type="dxa"/>
            <w:tcBorders>
              <w:tl2br w:val="nil"/>
              <w:tr2bl w:val="nil"/>
            </w:tcBorders>
            <w:noWrap w:val="0"/>
            <w:vAlign w:val="center"/>
          </w:tcPr>
          <w:p w14:paraId="27086DBA">
            <w:pPr>
              <w:pStyle w:val="19"/>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r w14:paraId="5E53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63" w:type="dxa"/>
            <w:tcBorders>
              <w:tl2br w:val="nil"/>
              <w:tr2bl w:val="nil"/>
            </w:tcBorders>
            <w:noWrap w:val="0"/>
            <w:vAlign w:val="center"/>
          </w:tcPr>
          <w:p w14:paraId="13942EBD">
            <w:pPr>
              <w:pStyle w:val="19"/>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是否为监狱企业</w:t>
            </w:r>
            <w:r>
              <w:rPr>
                <w:rFonts w:hint="eastAsia" w:ascii="宋体" w:hAnsi="宋体" w:cs="宋体"/>
                <w:color w:val="auto"/>
                <w:highlight w:val="none"/>
                <w:lang w:val="en-US" w:eastAsia="zh-CN"/>
              </w:rPr>
              <w:t>（适用于专门面向中小企业预留份额的项目）</w:t>
            </w:r>
          </w:p>
        </w:tc>
        <w:tc>
          <w:tcPr>
            <w:tcW w:w="2464" w:type="dxa"/>
            <w:tcBorders>
              <w:tl2br w:val="nil"/>
              <w:tr2bl w:val="nil"/>
            </w:tcBorders>
            <w:noWrap w:val="0"/>
            <w:vAlign w:val="center"/>
          </w:tcPr>
          <w:p w14:paraId="1BAF42EF">
            <w:pPr>
              <w:pStyle w:val="19"/>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c>
          <w:tcPr>
            <w:tcW w:w="2034" w:type="dxa"/>
            <w:tcBorders>
              <w:tl2br w:val="nil"/>
              <w:tr2bl w:val="nil"/>
            </w:tcBorders>
            <w:noWrap w:val="0"/>
            <w:vAlign w:val="center"/>
          </w:tcPr>
          <w:p w14:paraId="46C2F42F">
            <w:pPr>
              <w:pStyle w:val="19"/>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是否为残疾人福利性单位</w:t>
            </w:r>
            <w:r>
              <w:rPr>
                <w:rFonts w:hint="eastAsia" w:ascii="宋体" w:hAnsi="宋体" w:cs="宋体"/>
                <w:color w:val="auto"/>
                <w:highlight w:val="none"/>
                <w:lang w:val="en-US" w:eastAsia="zh-CN"/>
              </w:rPr>
              <w:t>（适用于专门面向中小企业预留份额的项目）</w:t>
            </w:r>
          </w:p>
        </w:tc>
        <w:tc>
          <w:tcPr>
            <w:tcW w:w="2894" w:type="dxa"/>
            <w:tcBorders>
              <w:tl2br w:val="nil"/>
              <w:tr2bl w:val="nil"/>
            </w:tcBorders>
            <w:noWrap w:val="0"/>
            <w:vAlign w:val="center"/>
          </w:tcPr>
          <w:p w14:paraId="6CA014CB">
            <w:pPr>
              <w:pStyle w:val="19"/>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bl>
    <w:p w14:paraId="745A44DB">
      <w:pPr>
        <w:pStyle w:val="19"/>
        <w:spacing w:line="360" w:lineRule="auto"/>
        <w:outlineLvl w:val="9"/>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注：</w:t>
      </w:r>
      <w:r>
        <w:rPr>
          <w:rFonts w:hint="eastAsia" w:ascii="宋体" w:hAnsi="宋体" w:cs="宋体"/>
          <w:color w:val="auto"/>
          <w:highlight w:val="none"/>
        </w:rPr>
        <w:t>1.请按表内要求将上述证明文件附在此表后面；</w:t>
      </w:r>
    </w:p>
    <w:p w14:paraId="4AD0052B">
      <w:pPr>
        <w:pStyle w:val="20"/>
        <w:spacing w:line="360" w:lineRule="auto"/>
        <w:ind w:left="63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供应商</w:t>
      </w:r>
      <w:r>
        <w:rPr>
          <w:rFonts w:hint="eastAsia" w:ascii="宋体" w:hAnsi="宋体" w:cs="宋体"/>
          <w:color w:val="auto"/>
          <w:highlight w:val="none"/>
        </w:rPr>
        <w:t>提供的产品</w:t>
      </w:r>
      <w:r>
        <w:rPr>
          <w:rFonts w:hint="eastAsia" w:ascii="宋体" w:hAnsi="宋体" w:cs="宋体"/>
          <w:color w:val="auto"/>
          <w:highlight w:val="none"/>
          <w:lang w:val="en-US" w:eastAsia="zh-CN"/>
        </w:rPr>
        <w:t>或服务</w:t>
      </w:r>
      <w:r>
        <w:rPr>
          <w:rFonts w:hint="eastAsia" w:ascii="宋体" w:hAnsi="宋体" w:cs="宋体"/>
          <w:color w:val="auto"/>
          <w:highlight w:val="none"/>
        </w:rPr>
        <w:t>中有小型和微型企业生产</w:t>
      </w:r>
      <w:r>
        <w:rPr>
          <w:rFonts w:hint="eastAsia" w:ascii="宋体" w:hAnsi="宋体" w:cs="宋体"/>
          <w:color w:val="auto"/>
          <w:highlight w:val="none"/>
          <w:lang w:val="en-US" w:eastAsia="zh-CN"/>
        </w:rPr>
        <w:t>或提供的</w:t>
      </w:r>
      <w:r>
        <w:rPr>
          <w:rFonts w:hint="eastAsia" w:ascii="宋体" w:hAnsi="宋体" w:cs="宋体"/>
          <w:color w:val="auto"/>
          <w:highlight w:val="none"/>
        </w:rPr>
        <w:t>，需要提供《中小企业声明函》给予证明；</w:t>
      </w:r>
    </w:p>
    <w:p w14:paraId="28DCA287">
      <w:pPr>
        <w:spacing w:line="360" w:lineRule="auto"/>
        <w:ind w:left="63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供应商</w:t>
      </w:r>
      <w:r>
        <w:rPr>
          <w:rFonts w:hint="eastAsia" w:ascii="宋体" w:hAnsi="宋体" w:cs="宋体"/>
          <w:color w:val="auto"/>
          <w:highlight w:val="none"/>
        </w:rPr>
        <w:t>是</w:t>
      </w:r>
      <w:r>
        <w:rPr>
          <w:rFonts w:hint="eastAsia" w:ascii="宋体" w:hAnsi="宋体" w:cs="宋体"/>
          <w:color w:val="auto"/>
          <w:highlight w:val="none"/>
          <w:lang w:val="en-US" w:eastAsia="zh-CN"/>
        </w:rPr>
        <w:t>监狱企业或</w:t>
      </w:r>
      <w:r>
        <w:rPr>
          <w:rFonts w:hint="eastAsia" w:ascii="宋体" w:hAnsi="宋体" w:cs="宋体"/>
          <w:color w:val="auto"/>
          <w:highlight w:val="none"/>
        </w:rPr>
        <w:t>残疾人福利性单位的，需要提供</w:t>
      </w:r>
      <w:r>
        <w:rPr>
          <w:rFonts w:hint="eastAsia" w:ascii="宋体" w:hAnsi="宋体" w:cs="宋体"/>
          <w:color w:val="auto"/>
          <w:highlight w:val="none"/>
          <w:lang w:val="en-US" w:eastAsia="zh-CN"/>
        </w:rPr>
        <w:t>监狱企业证明文件或</w:t>
      </w:r>
      <w:r>
        <w:rPr>
          <w:rFonts w:hint="eastAsia" w:ascii="宋体" w:hAnsi="宋体" w:cs="宋体"/>
          <w:color w:val="auto"/>
          <w:highlight w:val="none"/>
        </w:rPr>
        <w:t>《残疾人福利性单位声明函》给予证明。</w:t>
      </w:r>
    </w:p>
    <w:p w14:paraId="02920D86">
      <w:pPr>
        <w:pStyle w:val="19"/>
        <w:outlineLvl w:val="9"/>
        <w:rPr>
          <w:rFonts w:ascii="宋体" w:hAnsi="宋体" w:cs="宋体"/>
          <w:color w:val="auto"/>
          <w:highlight w:val="none"/>
        </w:rPr>
      </w:pPr>
      <w:r>
        <w:rPr>
          <w:rFonts w:hint="eastAsia" w:ascii="宋体" w:hAnsi="宋体" w:cs="宋体"/>
          <w:color w:val="auto"/>
          <w:highlight w:val="none"/>
        </w:rPr>
        <w:t xml:space="preserve">    </w:t>
      </w:r>
    </w:p>
    <w:p w14:paraId="6E88F19D">
      <w:pPr>
        <w:pStyle w:val="20"/>
        <w:ind w:left="0" w:firstLine="840" w:firstLineChars="40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w:t>
      </w:r>
      <w:r>
        <w:rPr>
          <w:rFonts w:hint="eastAsia" w:ascii="宋体" w:hAnsi="宋体" w:cs="宋体"/>
          <w:color w:val="auto"/>
          <w:highlight w:val="none"/>
          <w:u w:val="single"/>
        </w:rPr>
        <w:t xml:space="preserve">                      </w:t>
      </w:r>
      <w:r>
        <w:rPr>
          <w:rFonts w:hint="eastAsia" w:ascii="宋体" w:hAnsi="宋体" w:cs="宋体"/>
          <w:color w:val="auto"/>
          <w:highlight w:val="none"/>
        </w:rPr>
        <w:t>（加盖</w:t>
      </w:r>
      <w:r>
        <w:rPr>
          <w:rFonts w:hint="eastAsia" w:ascii="宋体" w:hAnsi="宋体" w:cs="宋体"/>
          <w:color w:val="auto"/>
          <w:highlight w:val="none"/>
          <w:lang w:eastAsia="zh-CN"/>
        </w:rPr>
        <w:t>供应商</w:t>
      </w:r>
      <w:r>
        <w:rPr>
          <w:rFonts w:hint="eastAsia" w:ascii="宋体" w:hAnsi="宋体" w:cs="宋体"/>
          <w:color w:val="auto"/>
          <w:highlight w:val="none"/>
        </w:rPr>
        <w:t>单位公章）</w:t>
      </w:r>
    </w:p>
    <w:p w14:paraId="3A91C789">
      <w:pPr>
        <w:ind w:firstLine="840" w:firstLineChars="400"/>
        <w:outlineLvl w:val="9"/>
        <w:rPr>
          <w:rFonts w:ascii="宋体" w:hAnsi="宋体" w:cs="宋体"/>
          <w:color w:val="auto"/>
          <w:highlight w:val="none"/>
        </w:rPr>
      </w:pPr>
    </w:p>
    <w:p w14:paraId="79077506">
      <w:pPr>
        <w:pStyle w:val="20"/>
        <w:ind w:left="0" w:firstLine="840" w:firstLineChars="400"/>
        <w:outlineLvl w:val="9"/>
        <w:rPr>
          <w:rFonts w:ascii="宋体" w:hAnsi="宋体" w:cs="宋体"/>
          <w:color w:val="auto"/>
          <w:highlight w:val="none"/>
        </w:rPr>
      </w:pPr>
      <w:r>
        <w:rPr>
          <w:rFonts w:hint="eastAsia" w:ascii="宋体" w:hAnsi="宋体" w:cs="宋体"/>
          <w:color w:val="auto"/>
          <w:highlight w:val="none"/>
        </w:rPr>
        <w:t xml:space="preserve">法定代表人或授权代表： </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113CC0F9">
      <w:pPr>
        <w:ind w:firstLine="840" w:firstLineChars="400"/>
        <w:outlineLvl w:val="9"/>
        <w:rPr>
          <w:rFonts w:ascii="宋体" w:hAnsi="宋体" w:cs="宋体"/>
          <w:color w:val="auto"/>
          <w:highlight w:val="none"/>
        </w:rPr>
      </w:pPr>
    </w:p>
    <w:p w14:paraId="6AB7A691">
      <w:pPr>
        <w:pStyle w:val="20"/>
        <w:ind w:left="0" w:firstLine="840" w:firstLineChars="400"/>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0316A11">
      <w:pPr>
        <w:outlineLvl w:val="9"/>
        <w:rPr>
          <w:rFonts w:ascii="宋体" w:hAnsi="宋体" w:cs="宋体"/>
          <w:color w:val="auto"/>
          <w:highlight w:val="none"/>
        </w:rPr>
      </w:pPr>
    </w:p>
    <w:tbl>
      <w:tblPr>
        <w:tblStyle w:val="53"/>
        <w:tblpPr w:leftFromText="180" w:rightFromText="180" w:vertAnchor="text" w:horzAnchor="page" w:tblpX="1141"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36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9855" w:type="dxa"/>
            <w:noWrap w:val="0"/>
            <w:vAlign w:val="top"/>
          </w:tcPr>
          <w:p w14:paraId="7D6EF6D4">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.1 供应商是企业（包括合伙企业）的，</w:t>
            </w:r>
            <w:r>
              <w:rPr>
                <w:rFonts w:hint="eastAsia" w:ascii="宋体" w:hAnsi="宋体" w:cs="宋体"/>
                <w:color w:val="auto"/>
                <w:kern w:val="0"/>
                <w:sz w:val="24"/>
                <w:highlight w:val="none"/>
              </w:rPr>
              <w:t xml:space="preserve">应提供其在市场监督管理部门注册的有效“企业 </w:t>
            </w:r>
          </w:p>
          <w:p w14:paraId="60DD22B4">
            <w:pPr>
              <w:widowControl/>
              <w:spacing w:line="360" w:lineRule="auto"/>
              <w:jc w:val="left"/>
              <w:outlineLvl w:val="9"/>
              <w:rPr>
                <w:rFonts w:ascii="宋体" w:hAnsi="宋体" w:cs="宋体"/>
                <w:color w:val="auto"/>
                <w:highlight w:val="none"/>
              </w:rPr>
            </w:pPr>
            <w:r>
              <w:rPr>
                <w:rFonts w:hint="eastAsia" w:ascii="宋体" w:hAnsi="宋体" w:cs="宋体"/>
                <w:color w:val="auto"/>
                <w:kern w:val="0"/>
                <w:sz w:val="24"/>
                <w:highlight w:val="none"/>
              </w:rPr>
              <w:t xml:space="preserve">法人营业执照”或“营业执照”的复印件； </w:t>
            </w:r>
          </w:p>
          <w:p w14:paraId="4B9983D7">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供应商是事业单位的，</w:t>
            </w:r>
            <w:r>
              <w:rPr>
                <w:rFonts w:hint="eastAsia" w:ascii="宋体" w:hAnsi="宋体" w:cs="宋体"/>
                <w:color w:val="auto"/>
                <w:kern w:val="0"/>
                <w:sz w:val="24"/>
                <w:highlight w:val="none"/>
              </w:rPr>
              <w:t xml:space="preserve">应提供其有效的“事业单位法人证书”复印件； </w:t>
            </w:r>
          </w:p>
          <w:p w14:paraId="13FD4A11">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供应商是非企业专业服务机构的，</w:t>
            </w:r>
            <w:r>
              <w:rPr>
                <w:rFonts w:hint="eastAsia" w:ascii="宋体" w:hAnsi="宋体" w:cs="宋体"/>
                <w:color w:val="auto"/>
                <w:kern w:val="0"/>
                <w:sz w:val="24"/>
                <w:highlight w:val="none"/>
              </w:rPr>
              <w:t xml:space="preserve">应提供其有效的执业许可证复印件； </w:t>
            </w:r>
          </w:p>
          <w:p w14:paraId="1A0A8D20">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供应商是个体工商户的，</w:t>
            </w:r>
            <w:r>
              <w:rPr>
                <w:rFonts w:hint="eastAsia" w:ascii="宋体" w:hAnsi="宋体" w:cs="宋体"/>
                <w:color w:val="auto"/>
                <w:kern w:val="0"/>
                <w:sz w:val="24"/>
                <w:highlight w:val="none"/>
              </w:rPr>
              <w:t xml:space="preserve">应提供其有效的“个体工商户营业执照”复印件； </w:t>
            </w:r>
          </w:p>
          <w:p w14:paraId="148903FD">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供应商是自然人的，</w:t>
            </w:r>
            <w:r>
              <w:rPr>
                <w:rFonts w:hint="eastAsia" w:ascii="宋体" w:hAnsi="宋体" w:cs="宋体"/>
                <w:color w:val="auto"/>
                <w:kern w:val="0"/>
                <w:sz w:val="24"/>
                <w:highlight w:val="none"/>
              </w:rPr>
              <w:t>应提供其有效的自然人身份证明。</w:t>
            </w:r>
          </w:p>
          <w:p w14:paraId="772A9722">
            <w:pPr>
              <w:pStyle w:val="20"/>
              <w:widowControl w:val="0"/>
              <w:ind w:left="0"/>
              <w:outlineLvl w:val="9"/>
              <w:rPr>
                <w:rFonts w:ascii="宋体" w:hAnsi="宋体" w:cs="宋体"/>
                <w:color w:val="auto"/>
                <w:highlight w:val="none"/>
              </w:rPr>
            </w:pPr>
          </w:p>
        </w:tc>
      </w:tr>
    </w:tbl>
    <w:p w14:paraId="357B55B4">
      <w:pPr>
        <w:pStyle w:val="19"/>
        <w:outlineLvl w:val="9"/>
        <w:rPr>
          <w:rFonts w:ascii="宋体" w:hAnsi="宋体" w:cs="宋体"/>
          <w:color w:val="auto"/>
          <w:highlight w:val="none"/>
        </w:rPr>
      </w:pPr>
    </w:p>
    <w:p w14:paraId="23F6CFB3">
      <w:pPr>
        <w:pStyle w:val="20"/>
        <w:outlineLvl w:val="9"/>
        <w:rPr>
          <w:rFonts w:ascii="宋体" w:hAnsi="宋体" w:cs="宋体"/>
          <w:color w:val="auto"/>
          <w:highlight w:val="none"/>
        </w:rPr>
      </w:pPr>
    </w:p>
    <w:p w14:paraId="7A1A0B9D">
      <w:pPr>
        <w:outlineLvl w:val="9"/>
        <w:rPr>
          <w:rFonts w:ascii="宋体" w:hAnsi="宋体" w:cs="宋体"/>
          <w:color w:val="auto"/>
          <w:highlight w:val="none"/>
        </w:rPr>
      </w:pPr>
    </w:p>
    <w:p w14:paraId="6DD23682">
      <w:pPr>
        <w:pStyle w:val="19"/>
        <w:outlineLvl w:val="9"/>
        <w:rPr>
          <w:rFonts w:ascii="宋体" w:hAnsi="宋体" w:cs="宋体"/>
          <w:color w:val="auto"/>
          <w:highlight w:val="none"/>
        </w:rPr>
      </w:pPr>
      <w:r>
        <w:rPr>
          <w:rFonts w:ascii="宋体" w:hAnsi="宋体" w:cs="宋体"/>
          <w:color w:val="auto"/>
          <w:highlight w:val="none"/>
        </w:rPr>
        <w:br w:type="page"/>
      </w:r>
    </w:p>
    <w:tbl>
      <w:tblPr>
        <w:tblStyle w:val="53"/>
        <w:tblpPr w:leftFromText="180" w:rightFromText="180" w:vertAnchor="text" w:horzAnchor="page" w:tblpX="1141" w:tblpY="186"/>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14:paraId="571D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26" w:hRule="atLeast"/>
        </w:trPr>
        <w:tc>
          <w:tcPr>
            <w:tcW w:w="10260" w:type="dxa"/>
            <w:noWrap w:val="0"/>
            <w:vAlign w:val="top"/>
          </w:tcPr>
          <w:p w14:paraId="6CB2AABA">
            <w:pPr>
              <w:outlineLvl w:val="9"/>
              <w:rPr>
                <w:rFonts w:hint="eastAsia" w:ascii="宋体" w:hAnsi="宋体" w:eastAsia="宋体" w:cs="宋体"/>
                <w:b/>
                <w:bCs/>
                <w:color w:val="auto"/>
                <w:kern w:val="0"/>
                <w:sz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eastAsia="zh-CN"/>
              </w:rPr>
              <w:t>资格条件承诺函</w:t>
            </w:r>
          </w:p>
          <w:p w14:paraId="08EC5EDA">
            <w:pPr>
              <w:spacing w:before="184" w:line="176" w:lineRule="auto"/>
              <w:jc w:val="center"/>
              <w:rPr>
                <w:rFonts w:hint="eastAsia" w:ascii="宋体" w:hAnsi="宋体" w:eastAsia="宋体" w:cs="宋体"/>
                <w:b/>
                <w:bCs/>
                <w:color w:val="auto"/>
                <w:kern w:val="0"/>
                <w:sz w:val="24"/>
                <w:szCs w:val="20"/>
                <w:highlight w:val="none"/>
                <w:lang w:val="en-US" w:eastAsia="zh-CN" w:bidi="ar-SA"/>
              </w:rPr>
            </w:pPr>
          </w:p>
          <w:p w14:paraId="420DA69C">
            <w:pPr>
              <w:spacing w:before="184" w:line="176" w:lineRule="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资格条件承诺函</w:t>
            </w:r>
          </w:p>
          <w:p w14:paraId="1FB66348">
            <w:pPr>
              <w:spacing w:line="265" w:lineRule="auto"/>
              <w:rPr>
                <w:rFonts w:ascii="Arial"/>
                <w:color w:val="auto"/>
                <w:sz w:val="21"/>
                <w:highlight w:val="none"/>
              </w:rPr>
            </w:pPr>
          </w:p>
          <w:p w14:paraId="014656E2">
            <w:pPr>
              <w:spacing w:line="265" w:lineRule="auto"/>
              <w:rPr>
                <w:rFonts w:ascii="Arial"/>
                <w:color w:val="auto"/>
                <w:sz w:val="21"/>
                <w:highlight w:val="none"/>
              </w:rPr>
            </w:pPr>
          </w:p>
          <w:p w14:paraId="0DB305C2">
            <w:pPr>
              <w:spacing w:line="265" w:lineRule="auto"/>
              <w:rPr>
                <w:rFonts w:ascii="Arial"/>
                <w:color w:val="auto"/>
                <w:sz w:val="21"/>
                <w:highlight w:val="none"/>
              </w:rPr>
            </w:pPr>
          </w:p>
          <w:p w14:paraId="09F08971">
            <w:pPr>
              <w:pStyle w:val="19"/>
              <w:spacing w:before="100" w:line="228" w:lineRule="auto"/>
              <w:ind w:left="39"/>
              <w:rPr>
                <w:color w:val="auto"/>
                <w:sz w:val="24"/>
                <w:szCs w:val="24"/>
                <w:highlight w:val="none"/>
              </w:rPr>
            </w:pPr>
            <w:r>
              <w:rPr>
                <w:color w:val="auto"/>
                <w:spacing w:val="11"/>
                <w:sz w:val="24"/>
                <w:szCs w:val="24"/>
                <w:highlight w:val="none"/>
              </w:rPr>
              <w:t>致</w:t>
            </w:r>
            <w:r>
              <w:rPr>
                <w:color w:val="auto"/>
                <w:spacing w:val="-7"/>
                <w:sz w:val="24"/>
                <w:szCs w:val="24"/>
                <w:highlight w:val="none"/>
              </w:rPr>
              <w:t>：</w:t>
            </w:r>
            <w:r>
              <w:rPr>
                <w:color w:val="auto"/>
                <w:spacing w:val="7"/>
                <w:sz w:val="24"/>
                <w:szCs w:val="24"/>
                <w:highlight w:val="none"/>
                <w:u w:val="single" w:color="auto"/>
              </w:rPr>
              <w:t xml:space="preserve">   </w:t>
            </w:r>
            <w:r>
              <w:rPr>
                <w:color w:val="auto"/>
                <w:spacing w:val="-7"/>
                <w:sz w:val="24"/>
                <w:szCs w:val="24"/>
                <w:highlight w:val="none"/>
                <w:u w:val="single" w:color="auto"/>
              </w:rPr>
              <w:t>（</w:t>
            </w:r>
            <w:r>
              <w:rPr>
                <w:color w:val="auto"/>
                <w:spacing w:val="11"/>
                <w:sz w:val="24"/>
                <w:szCs w:val="24"/>
                <w:highlight w:val="none"/>
                <w:u w:val="single" w:color="auto"/>
              </w:rPr>
              <w:t>采购代理机构</w:t>
            </w:r>
            <w:r>
              <w:rPr>
                <w:color w:val="auto"/>
                <w:spacing w:val="-7"/>
                <w:sz w:val="24"/>
                <w:szCs w:val="24"/>
                <w:highlight w:val="none"/>
                <w:u w:val="single" w:color="auto"/>
              </w:rPr>
              <w:t>）</w:t>
            </w:r>
            <w:r>
              <w:rPr>
                <w:color w:val="auto"/>
                <w:spacing w:val="8"/>
                <w:sz w:val="24"/>
                <w:szCs w:val="24"/>
                <w:highlight w:val="none"/>
                <w:u w:val="single" w:color="auto"/>
              </w:rPr>
              <w:t xml:space="preserve">    </w:t>
            </w:r>
            <w:r>
              <w:rPr>
                <w:color w:val="auto"/>
                <w:spacing w:val="-7"/>
                <w:sz w:val="24"/>
                <w:szCs w:val="24"/>
                <w:highlight w:val="none"/>
              </w:rPr>
              <w:t>：</w:t>
            </w:r>
          </w:p>
          <w:p w14:paraId="6B64E22C">
            <w:pPr>
              <w:pStyle w:val="19"/>
              <w:spacing w:before="240" w:line="372" w:lineRule="auto"/>
              <w:ind w:firstLine="504" w:firstLineChars="200"/>
              <w:jc w:val="both"/>
              <w:rPr>
                <w:color w:val="auto"/>
                <w:sz w:val="24"/>
                <w:szCs w:val="24"/>
                <w:highlight w:val="none"/>
              </w:rPr>
            </w:pPr>
            <w:r>
              <w:rPr>
                <w:color w:val="auto"/>
                <w:spacing w:val="6"/>
                <w:sz w:val="24"/>
                <w:szCs w:val="24"/>
                <w:highlight w:val="none"/>
              </w:rPr>
              <w:t>我单位（公司）参与</w:t>
            </w:r>
            <w:r>
              <w:rPr>
                <w:color w:val="auto"/>
                <w:spacing w:val="6"/>
                <w:sz w:val="24"/>
                <w:szCs w:val="24"/>
                <w:highlight w:val="none"/>
                <w:u w:val="single" w:color="auto"/>
              </w:rPr>
              <w:t xml:space="preserve">     （采购项目名称  项目编号</w:t>
            </w:r>
            <w:r>
              <w:rPr>
                <w:rFonts w:hint="eastAsia"/>
                <w:color w:val="auto"/>
                <w:spacing w:val="6"/>
                <w:sz w:val="24"/>
                <w:szCs w:val="24"/>
                <w:highlight w:val="none"/>
                <w:u w:val="single" w:color="auto"/>
                <w:lang w:eastAsia="zh-CN"/>
              </w:rPr>
              <w:t>、包号</w:t>
            </w:r>
            <w:r>
              <w:rPr>
                <w:color w:val="auto"/>
                <w:spacing w:val="6"/>
                <w:sz w:val="24"/>
                <w:szCs w:val="24"/>
                <w:highlight w:val="none"/>
                <w:u w:val="single" w:color="auto"/>
              </w:rPr>
              <w:t>）</w:t>
            </w:r>
            <w:r>
              <w:rPr>
                <w:color w:val="auto"/>
                <w:spacing w:val="8"/>
                <w:sz w:val="24"/>
                <w:szCs w:val="24"/>
                <w:highlight w:val="none"/>
              </w:rPr>
              <w:t>采购项目的政府采购活动，现承诺如下：</w:t>
            </w:r>
          </w:p>
          <w:p w14:paraId="45D0565F">
            <w:pPr>
              <w:pStyle w:val="19"/>
              <w:spacing w:before="241" w:line="227" w:lineRule="auto"/>
              <w:ind w:firstLine="504" w:firstLineChars="200"/>
              <w:rPr>
                <w:color w:val="auto"/>
                <w:sz w:val="24"/>
                <w:szCs w:val="24"/>
                <w:highlight w:val="none"/>
              </w:rPr>
            </w:pPr>
            <w:r>
              <w:rPr>
                <w:color w:val="auto"/>
                <w:spacing w:val="6"/>
                <w:sz w:val="24"/>
                <w:szCs w:val="24"/>
                <w:highlight w:val="none"/>
              </w:rPr>
              <w:t>1.</w:t>
            </w:r>
            <w:r>
              <w:rPr>
                <w:color w:val="auto"/>
                <w:spacing w:val="-34"/>
                <w:sz w:val="24"/>
                <w:szCs w:val="24"/>
                <w:highlight w:val="none"/>
              </w:rPr>
              <w:t xml:space="preserve"> </w:t>
            </w:r>
            <w:r>
              <w:rPr>
                <w:color w:val="auto"/>
                <w:spacing w:val="6"/>
                <w:sz w:val="24"/>
                <w:szCs w:val="24"/>
                <w:highlight w:val="none"/>
              </w:rPr>
              <w:t>具有良好的商业信誉和健全的财务会计制度；</w:t>
            </w:r>
          </w:p>
          <w:p w14:paraId="21C4FF61">
            <w:pPr>
              <w:pStyle w:val="19"/>
              <w:spacing w:before="243" w:line="228" w:lineRule="auto"/>
              <w:ind w:firstLine="504" w:firstLineChars="200"/>
              <w:rPr>
                <w:color w:val="auto"/>
                <w:spacing w:val="-38"/>
                <w:sz w:val="24"/>
                <w:szCs w:val="24"/>
                <w:highlight w:val="none"/>
              </w:rPr>
            </w:pPr>
            <w:r>
              <w:rPr>
                <w:color w:val="auto"/>
                <w:spacing w:val="6"/>
                <w:sz w:val="24"/>
                <w:szCs w:val="24"/>
                <w:highlight w:val="none"/>
              </w:rPr>
              <w:t>2.</w:t>
            </w:r>
            <w:r>
              <w:rPr>
                <w:rFonts w:hint="default" w:ascii="Times New Roman" w:hAnsi="Times New Roman" w:eastAsia="宋体" w:cs="Times New Roman"/>
                <w:color w:val="auto"/>
                <w:spacing w:val="6"/>
                <w:sz w:val="24"/>
                <w:szCs w:val="24"/>
                <w:highlight w:val="none"/>
              </w:rPr>
              <w:t>具有履行合同所必需的设备和专业技术能力；</w:t>
            </w:r>
          </w:p>
          <w:p w14:paraId="14C5E960">
            <w:pPr>
              <w:pStyle w:val="19"/>
              <w:spacing w:before="243" w:line="228" w:lineRule="auto"/>
              <w:ind w:firstLine="504" w:firstLineChars="200"/>
              <w:rPr>
                <w:color w:val="auto"/>
                <w:sz w:val="24"/>
                <w:szCs w:val="24"/>
                <w:highlight w:val="none"/>
              </w:rPr>
            </w:pPr>
            <w:r>
              <w:rPr>
                <w:rFonts w:hint="eastAsia"/>
                <w:color w:val="auto"/>
                <w:spacing w:val="6"/>
                <w:sz w:val="24"/>
                <w:szCs w:val="24"/>
                <w:highlight w:val="none"/>
                <w:lang w:val="en-US" w:eastAsia="zh-CN"/>
              </w:rPr>
              <w:t>3.</w:t>
            </w:r>
            <w:r>
              <w:rPr>
                <w:color w:val="auto"/>
                <w:spacing w:val="6"/>
                <w:sz w:val="24"/>
                <w:szCs w:val="24"/>
                <w:highlight w:val="none"/>
              </w:rPr>
              <w:t>具有依法缴纳税收的良好记录；</w:t>
            </w:r>
          </w:p>
          <w:p w14:paraId="38DC174B">
            <w:pPr>
              <w:pStyle w:val="19"/>
              <w:spacing w:before="242" w:line="226" w:lineRule="auto"/>
              <w:ind w:firstLine="512" w:firstLineChars="200"/>
              <w:rPr>
                <w:color w:val="auto"/>
                <w:spacing w:val="8"/>
                <w:sz w:val="24"/>
                <w:szCs w:val="24"/>
                <w:highlight w:val="none"/>
              </w:rPr>
            </w:pPr>
            <w:r>
              <w:rPr>
                <w:rFonts w:hint="eastAsia"/>
                <w:color w:val="auto"/>
                <w:spacing w:val="8"/>
                <w:sz w:val="24"/>
                <w:szCs w:val="24"/>
                <w:highlight w:val="none"/>
                <w:lang w:val="en-US" w:eastAsia="zh-CN"/>
              </w:rPr>
              <w:t>4</w:t>
            </w:r>
            <w:r>
              <w:rPr>
                <w:color w:val="auto"/>
                <w:spacing w:val="8"/>
                <w:sz w:val="24"/>
                <w:szCs w:val="24"/>
                <w:highlight w:val="none"/>
              </w:rPr>
              <w:t>.具有依法缴纳社会保障金的良好记录。</w:t>
            </w:r>
          </w:p>
          <w:p w14:paraId="00FB7D4E">
            <w:pPr>
              <w:pStyle w:val="19"/>
              <w:spacing w:before="242" w:line="360" w:lineRule="auto"/>
              <w:ind w:firstLine="512" w:firstLineChars="200"/>
              <w:rPr>
                <w:rFonts w:hint="default" w:ascii="Times New Roman" w:hAnsi="Times New Roman" w:eastAsia="宋体" w:cs="Times New Roman"/>
                <w:color w:val="auto"/>
                <w:spacing w:val="8"/>
                <w:sz w:val="24"/>
                <w:szCs w:val="24"/>
                <w:highlight w:val="none"/>
                <w:lang w:val="en-US" w:eastAsia="zh-CN"/>
              </w:rPr>
            </w:pPr>
            <w:r>
              <w:rPr>
                <w:rFonts w:hint="default" w:ascii="Times New Roman" w:hAnsi="Times New Roman" w:eastAsia="宋体" w:cs="Times New Roman"/>
                <w:color w:val="auto"/>
                <w:spacing w:val="8"/>
                <w:sz w:val="24"/>
                <w:szCs w:val="24"/>
                <w:highlight w:val="none"/>
                <w:lang w:val="en-US" w:eastAsia="zh-CN"/>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463E301">
            <w:pPr>
              <w:pStyle w:val="19"/>
              <w:numPr>
                <w:ilvl w:val="0"/>
                <w:numId w:val="0"/>
              </w:numPr>
              <w:tabs>
                <w:tab w:val="left" w:pos="1830"/>
              </w:tabs>
              <w:spacing w:before="0" w:after="0" w:line="354" w:lineRule="auto"/>
              <w:ind w:left="0" w:right="164" w:firstLine="512" w:firstLineChars="200"/>
              <w:rPr>
                <w:color w:val="auto"/>
                <w:highlight w:val="none"/>
              </w:rPr>
            </w:pPr>
            <w:r>
              <w:rPr>
                <w:rFonts w:hint="eastAsia" w:ascii="Times New Roman" w:hAnsi="Times New Roman" w:eastAsia="宋体" w:cs="Times New Roman"/>
                <w:color w:val="auto"/>
                <w:spacing w:val="8"/>
                <w:sz w:val="24"/>
                <w:szCs w:val="24"/>
                <w:highlight w:val="none"/>
                <w:lang w:val="en-US" w:eastAsia="zh-CN"/>
              </w:rPr>
              <w:t>6.</w:t>
            </w:r>
            <w:r>
              <w:rPr>
                <w:rFonts w:ascii="宋体" w:hAnsi="宋体" w:eastAsia="宋体" w:cs="宋体"/>
                <w:color w:val="auto"/>
                <w:sz w:val="24"/>
                <w:szCs w:val="24"/>
                <w:highlight w:val="none"/>
              </w:rPr>
              <w:t>我单位不存在为采购项目提供整体设计、规范编制或者项目管理、监理、检</w:t>
            </w:r>
            <w:r>
              <w:rPr>
                <w:rFonts w:ascii="宋体" w:hAnsi="宋体" w:eastAsia="宋体" w:cs="宋体"/>
                <w:color w:val="auto"/>
                <w:spacing w:val="1"/>
                <w:sz w:val="24"/>
                <w:szCs w:val="24"/>
                <w:highlight w:val="none"/>
              </w:rPr>
              <w:t>测等服务后，再参</w:t>
            </w:r>
            <w:r>
              <w:rPr>
                <w:rFonts w:ascii="宋体" w:hAnsi="宋体" w:eastAsia="宋体" w:cs="宋体"/>
                <w:color w:val="auto"/>
                <w:sz w:val="24"/>
                <w:szCs w:val="24"/>
                <w:highlight w:val="none"/>
              </w:rPr>
              <w:t>加该采购项目的其他采购活动的情形（单一来源采购项目</w:t>
            </w:r>
            <w:r>
              <w:rPr>
                <w:rFonts w:ascii="宋体" w:hAnsi="宋体" w:eastAsia="宋体" w:cs="宋体"/>
                <w:color w:val="auto"/>
                <w:spacing w:val="-30"/>
                <w:sz w:val="24"/>
                <w:szCs w:val="24"/>
                <w:highlight w:val="none"/>
              </w:rPr>
              <w:t>除外）</w:t>
            </w:r>
            <w:r>
              <w:rPr>
                <w:rFonts w:ascii="宋体" w:hAnsi="宋体" w:eastAsia="宋体" w:cs="宋体"/>
                <w:color w:val="auto"/>
                <w:spacing w:val="-32"/>
                <w:sz w:val="24"/>
                <w:szCs w:val="24"/>
                <w:highlight w:val="none"/>
              </w:rPr>
              <w:t>；</w:t>
            </w:r>
          </w:p>
          <w:p w14:paraId="3F839F24">
            <w:pPr>
              <w:pStyle w:val="19"/>
              <w:spacing w:before="242" w:line="360" w:lineRule="auto"/>
              <w:ind w:firstLine="512" w:firstLineChars="200"/>
              <w:rPr>
                <w:rFonts w:hint="eastAsia" w:ascii="Times New Roman" w:hAnsi="Times New Roman" w:eastAsia="宋体" w:cs="Times New Roman"/>
                <w:color w:val="auto"/>
                <w:spacing w:val="8"/>
                <w:sz w:val="24"/>
                <w:szCs w:val="24"/>
                <w:highlight w:val="none"/>
                <w:lang w:val="en-US" w:eastAsia="zh-CN"/>
              </w:rPr>
            </w:pPr>
            <w:r>
              <w:rPr>
                <w:rFonts w:hint="eastAsia" w:ascii="Times New Roman" w:hAnsi="Times New Roman" w:eastAsia="宋体" w:cs="Times New Roman"/>
                <w:color w:val="auto"/>
                <w:spacing w:val="8"/>
                <w:sz w:val="24"/>
                <w:szCs w:val="24"/>
                <w:highlight w:val="none"/>
                <w:lang w:val="en-US" w:eastAsia="zh-CN"/>
              </w:rPr>
              <w:t>7.与我单位存在“单位负责人为同一人或者存在直接控股、管理关系”的其他法人单位信息如下（如有，不论其是否参加同一合同项下的政府采购活动均须填写）：</w:t>
            </w:r>
          </w:p>
          <w:tbl>
            <w:tblPr>
              <w:tblStyle w:val="52"/>
              <w:tblW w:w="0" w:type="auto"/>
              <w:tblInd w:w="982" w:type="dxa"/>
              <w:tblLayout w:type="autofit"/>
              <w:tblCellMar>
                <w:top w:w="0" w:type="dxa"/>
                <w:left w:w="0" w:type="dxa"/>
                <w:bottom w:w="0" w:type="dxa"/>
                <w:right w:w="0" w:type="dxa"/>
              </w:tblCellMar>
            </w:tblPr>
            <w:tblGrid>
              <w:gridCol w:w="949"/>
              <w:gridCol w:w="4573"/>
              <w:gridCol w:w="2976"/>
            </w:tblGrid>
            <w:tr w14:paraId="52E96D9B">
              <w:tblPrEx>
                <w:tblCellMar>
                  <w:top w:w="0" w:type="dxa"/>
                  <w:left w:w="0" w:type="dxa"/>
                  <w:bottom w:w="0" w:type="dxa"/>
                  <w:right w:w="0" w:type="dxa"/>
                </w:tblCellMar>
              </w:tblPrEx>
              <w:trPr>
                <w:trHeight w:val="444"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35DC4FE1">
                  <w:pPr>
                    <w:spacing w:before="83" w:after="0" w:line="240" w:lineRule="auto"/>
                    <w:ind w:left="225" w:right="0" w:firstLine="0"/>
                    <w:rPr>
                      <w:color w:val="auto"/>
                      <w:highlight w:val="none"/>
                    </w:rPr>
                  </w:pPr>
                  <w:r>
                    <w:rPr>
                      <w:rFonts w:ascii="宋体" w:hAnsi="宋体" w:eastAsia="宋体" w:cs="宋体"/>
                      <w:color w:val="auto"/>
                      <w:spacing w:val="-6"/>
                      <w:sz w:val="24"/>
                      <w:szCs w:val="24"/>
                      <w:highlight w:val="none"/>
                    </w:rPr>
                    <w:t>序号</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1B3AAB99">
                  <w:pPr>
                    <w:spacing w:before="83" w:after="0" w:line="240" w:lineRule="auto"/>
                    <w:ind w:left="1797" w:right="0" w:firstLine="0"/>
                    <w:rPr>
                      <w:color w:val="auto"/>
                      <w:highlight w:val="none"/>
                    </w:rPr>
                  </w:pPr>
                  <w:r>
                    <w:rPr>
                      <w:rFonts w:ascii="宋体" w:hAnsi="宋体" w:eastAsia="宋体" w:cs="宋体"/>
                      <w:color w:val="auto"/>
                      <w:spacing w:val="-4"/>
                      <w:sz w:val="24"/>
                      <w:szCs w:val="24"/>
                      <w:highlight w:val="none"/>
                    </w:rPr>
                    <w:t>单位</w:t>
                  </w:r>
                  <w:r>
                    <w:rPr>
                      <w:rFonts w:ascii="宋体" w:hAnsi="宋体" w:eastAsia="宋体" w:cs="宋体"/>
                      <w:color w:val="auto"/>
                      <w:spacing w:val="-2"/>
                      <w:sz w:val="24"/>
                      <w:szCs w:val="24"/>
                      <w:highlight w:val="none"/>
                    </w:rPr>
                    <w:t>名称</w:t>
                  </w: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7D327520">
                  <w:pPr>
                    <w:spacing w:before="83" w:after="0" w:line="240" w:lineRule="auto"/>
                    <w:ind w:left="998" w:right="0" w:firstLine="0"/>
                    <w:rPr>
                      <w:color w:val="auto"/>
                      <w:highlight w:val="none"/>
                    </w:rPr>
                  </w:pPr>
                  <w:r>
                    <w:rPr>
                      <w:rFonts w:ascii="宋体" w:hAnsi="宋体" w:eastAsia="宋体" w:cs="宋体"/>
                      <w:color w:val="auto"/>
                      <w:spacing w:val="-4"/>
                      <w:sz w:val="24"/>
                      <w:szCs w:val="24"/>
                      <w:highlight w:val="none"/>
                    </w:rPr>
                    <w:t>相互</w:t>
                  </w:r>
                  <w:r>
                    <w:rPr>
                      <w:rFonts w:ascii="宋体" w:hAnsi="宋体" w:eastAsia="宋体" w:cs="宋体"/>
                      <w:color w:val="auto"/>
                      <w:spacing w:val="-2"/>
                      <w:sz w:val="24"/>
                      <w:szCs w:val="24"/>
                      <w:highlight w:val="none"/>
                    </w:rPr>
                    <w:t>关系</w:t>
                  </w:r>
                </w:p>
              </w:tc>
            </w:tr>
            <w:tr w14:paraId="31FAD6C3">
              <w:tblPrEx>
                <w:tblCellMar>
                  <w:top w:w="0" w:type="dxa"/>
                  <w:left w:w="0" w:type="dxa"/>
                  <w:bottom w:w="0" w:type="dxa"/>
                  <w:right w:w="0" w:type="dxa"/>
                </w:tblCellMar>
              </w:tblPrEx>
              <w:trPr>
                <w:trHeight w:val="43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69E983F7">
                  <w:pPr>
                    <w:spacing w:before="74"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1</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50DE8949">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3ECC1462">
                  <w:pPr>
                    <w:rPr>
                      <w:color w:val="auto"/>
                      <w:highlight w:val="none"/>
                    </w:rPr>
                  </w:pPr>
                </w:p>
              </w:tc>
            </w:tr>
            <w:tr w14:paraId="51CF1CF9">
              <w:tblPrEx>
                <w:tblCellMar>
                  <w:top w:w="0" w:type="dxa"/>
                  <w:left w:w="0" w:type="dxa"/>
                  <w:bottom w:w="0" w:type="dxa"/>
                  <w:right w:w="0" w:type="dxa"/>
                </w:tblCellMar>
              </w:tblPrEx>
              <w:trPr>
                <w:trHeight w:val="440"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4B00EBEC">
                  <w:pPr>
                    <w:spacing w:before="75"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2</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74CBC225">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17387C02">
                  <w:pPr>
                    <w:rPr>
                      <w:color w:val="auto"/>
                      <w:highlight w:val="none"/>
                    </w:rPr>
                  </w:pPr>
                </w:p>
              </w:tc>
            </w:tr>
            <w:tr w14:paraId="7ED80E94">
              <w:tblPrEx>
                <w:tblCellMar>
                  <w:top w:w="0" w:type="dxa"/>
                  <w:left w:w="0" w:type="dxa"/>
                  <w:bottom w:w="0" w:type="dxa"/>
                  <w:right w:w="0" w:type="dxa"/>
                </w:tblCellMar>
              </w:tblPrEx>
              <w:trPr>
                <w:trHeight w:val="42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2A29581F">
                  <w:pPr>
                    <w:spacing w:before="74" w:after="0" w:line="242" w:lineRule="auto"/>
                    <w:ind w:left="344" w:right="0" w:firstLine="0"/>
                    <w:rPr>
                      <w:color w:val="auto"/>
                      <w:highlight w:val="none"/>
                    </w:rPr>
                  </w:pPr>
                  <w:r>
                    <w:rPr>
                      <w:rFonts w:ascii="Times New Roman" w:hAnsi="Times New Roman" w:eastAsia="Times New Roman" w:cs="Times New Roman"/>
                      <w:color w:val="auto"/>
                      <w:w w:val="380"/>
                      <w:sz w:val="24"/>
                      <w:szCs w:val="24"/>
                      <w:highlight w:val="none"/>
                    </w:rPr>
                    <w:t>.</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6A38E456">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1256524F">
                  <w:pPr>
                    <w:rPr>
                      <w:color w:val="auto"/>
                      <w:highlight w:val="none"/>
                    </w:rPr>
                  </w:pPr>
                </w:p>
              </w:tc>
            </w:tr>
          </w:tbl>
          <w:p w14:paraId="629FF835">
            <w:pPr>
              <w:pStyle w:val="19"/>
              <w:spacing w:before="242" w:line="372" w:lineRule="auto"/>
              <w:ind w:right="135" w:firstLine="512" w:firstLineChars="200"/>
              <w:rPr>
                <w:color w:val="auto"/>
                <w:sz w:val="24"/>
                <w:szCs w:val="24"/>
                <w:highlight w:val="none"/>
              </w:rPr>
            </w:pPr>
            <w:r>
              <w:rPr>
                <w:color w:val="auto"/>
                <w:spacing w:val="8"/>
                <w:sz w:val="24"/>
                <w:szCs w:val="24"/>
                <w:highlight w:val="none"/>
              </w:rPr>
              <w:t>我方在采购项目评审（评标）环节结束后，</w:t>
            </w:r>
            <w:r>
              <w:rPr>
                <w:color w:val="auto"/>
                <w:spacing w:val="7"/>
                <w:sz w:val="24"/>
                <w:szCs w:val="24"/>
                <w:highlight w:val="none"/>
              </w:rPr>
              <w:t>随时接受采</w:t>
            </w:r>
            <w:r>
              <w:rPr>
                <w:color w:val="auto"/>
                <w:spacing w:val="8"/>
                <w:sz w:val="24"/>
                <w:szCs w:val="24"/>
                <w:highlight w:val="none"/>
              </w:rPr>
              <w:t>购人、采购代理机构的检查验证，配合提供相关证明材料，证明符合《中华人民共和国政府采购法》规定的供应商基本</w:t>
            </w:r>
            <w:r>
              <w:rPr>
                <w:color w:val="auto"/>
                <w:sz w:val="24"/>
                <w:szCs w:val="24"/>
                <w:highlight w:val="none"/>
              </w:rPr>
              <w:t>资格条件。</w:t>
            </w:r>
          </w:p>
          <w:p w14:paraId="2B434BC3">
            <w:pPr>
              <w:pStyle w:val="19"/>
              <w:spacing w:before="241" w:line="624" w:lineRule="exact"/>
              <w:ind w:left="689"/>
              <w:rPr>
                <w:rFonts w:hint="eastAsia" w:eastAsia="宋体"/>
                <w:color w:val="auto"/>
                <w:spacing w:val="8"/>
                <w:position w:val="23"/>
                <w:sz w:val="24"/>
                <w:szCs w:val="24"/>
                <w:highlight w:val="none"/>
                <w:lang w:eastAsia="zh-CN"/>
              </w:rPr>
            </w:pPr>
            <w:r>
              <w:rPr>
                <w:rFonts w:hint="eastAsia"/>
                <w:color w:val="auto"/>
                <w:spacing w:val="8"/>
                <w:position w:val="23"/>
                <w:sz w:val="24"/>
                <w:szCs w:val="24"/>
                <w:highlight w:val="none"/>
                <w:lang w:eastAsia="zh-CN"/>
              </w:rPr>
              <w:t>我单位（公司）对上述承诺的真实性负责，如有虚假，将依法承担相应责任。</w:t>
            </w:r>
          </w:p>
          <w:p w14:paraId="0C0E9FEA">
            <w:pPr>
              <w:pStyle w:val="19"/>
              <w:spacing w:before="243" w:line="229" w:lineRule="auto"/>
              <w:ind w:left="677"/>
              <w:rPr>
                <w:color w:val="auto"/>
                <w:sz w:val="24"/>
                <w:szCs w:val="24"/>
                <w:highlight w:val="none"/>
              </w:rPr>
            </w:pPr>
            <w:r>
              <w:rPr>
                <w:color w:val="auto"/>
                <w:spacing w:val="3"/>
                <w:sz w:val="24"/>
                <w:szCs w:val="24"/>
                <w:highlight w:val="none"/>
              </w:rPr>
              <w:t>特此承诺。</w:t>
            </w:r>
          </w:p>
          <w:p w14:paraId="4CEA2688">
            <w:pPr>
              <w:pStyle w:val="19"/>
              <w:spacing w:before="241" w:line="624" w:lineRule="exact"/>
              <w:ind w:left="689"/>
              <w:rPr>
                <w:color w:val="auto"/>
                <w:spacing w:val="8"/>
                <w:position w:val="23"/>
                <w:sz w:val="24"/>
                <w:szCs w:val="24"/>
                <w:highlight w:val="none"/>
              </w:rPr>
            </w:pPr>
          </w:p>
          <w:p w14:paraId="2689C8BB">
            <w:pPr>
              <w:spacing w:line="252" w:lineRule="auto"/>
              <w:rPr>
                <w:rFonts w:ascii="Arial"/>
                <w:color w:val="auto"/>
                <w:sz w:val="24"/>
                <w:szCs w:val="24"/>
                <w:highlight w:val="none"/>
              </w:rPr>
            </w:pPr>
          </w:p>
          <w:p w14:paraId="074124F6">
            <w:pPr>
              <w:spacing w:line="252" w:lineRule="auto"/>
              <w:rPr>
                <w:rFonts w:ascii="Arial"/>
                <w:color w:val="auto"/>
                <w:sz w:val="24"/>
                <w:szCs w:val="24"/>
                <w:highlight w:val="none"/>
              </w:rPr>
            </w:pPr>
          </w:p>
          <w:p w14:paraId="7210593D">
            <w:pPr>
              <w:keepNext w:val="0"/>
              <w:keepLines w:val="0"/>
              <w:pageBreakBefore w:val="0"/>
              <w:widowControl w:val="0"/>
              <w:kinsoku/>
              <w:wordWrap/>
              <w:overflowPunct/>
              <w:topLinePunct w:val="0"/>
              <w:autoSpaceDE/>
              <w:autoSpaceDN/>
              <w:bidi w:val="0"/>
              <w:adjustRightInd w:val="0"/>
              <w:snapToGrid w:val="0"/>
              <w:spacing w:line="360" w:lineRule="auto"/>
              <w:ind w:firstLine="6000" w:firstLineChars="2500"/>
              <w:textAlignment w:val="auto"/>
              <w:rPr>
                <w:rFonts w:ascii="Arial"/>
                <w:color w:val="auto"/>
                <w:sz w:val="24"/>
                <w:szCs w:val="24"/>
                <w:highlight w:val="none"/>
              </w:rPr>
            </w:pPr>
          </w:p>
          <w:p w14:paraId="08C04982">
            <w:pPr>
              <w:spacing w:line="360" w:lineRule="auto"/>
              <w:ind w:left="0" w:leftChars="0" w:firstLine="3578" w:firstLineChars="1491"/>
              <w:rPr>
                <w:color w:val="auto"/>
                <w:sz w:val="24"/>
                <w:szCs w:val="32"/>
                <w:highlight w:val="none"/>
              </w:rPr>
            </w:pPr>
            <w:r>
              <w:rPr>
                <w:rFonts w:hint="eastAsia" w:ascii="Times New Roman" w:eastAsia="宋体"/>
                <w:color w:val="auto"/>
                <w:sz w:val="24"/>
                <w:szCs w:val="32"/>
                <w:highlight w:val="none"/>
                <w:lang w:val="en-US" w:eastAsia="zh-CN"/>
              </w:rPr>
              <w:t>供应商</w:t>
            </w:r>
            <w:r>
              <w:rPr>
                <w:rFonts w:hint="eastAsia"/>
                <w:color w:val="auto"/>
                <w:sz w:val="24"/>
                <w:szCs w:val="32"/>
                <w:highlight w:val="none"/>
              </w:rPr>
              <w:t>名称：</w:t>
            </w:r>
            <w:r>
              <w:rPr>
                <w:rFonts w:hint="eastAsia"/>
                <w:color w:val="auto"/>
                <w:sz w:val="24"/>
                <w:szCs w:val="32"/>
                <w:highlight w:val="none"/>
                <w:u w:val="single"/>
              </w:rPr>
              <w:t xml:space="preserve">                    </w:t>
            </w:r>
            <w:r>
              <w:rPr>
                <w:rFonts w:hint="eastAsia"/>
                <w:color w:val="auto"/>
                <w:sz w:val="24"/>
                <w:szCs w:val="32"/>
                <w:highlight w:val="none"/>
              </w:rPr>
              <w:t>（加盖单位公章）</w:t>
            </w:r>
          </w:p>
          <w:p w14:paraId="77AF2509">
            <w:pPr>
              <w:spacing w:line="360" w:lineRule="auto"/>
              <w:ind w:left="0" w:leftChars="0" w:firstLine="3578" w:firstLineChars="1491"/>
              <w:rPr>
                <w:color w:val="auto"/>
                <w:sz w:val="24"/>
                <w:szCs w:val="32"/>
                <w:highlight w:val="none"/>
              </w:rPr>
            </w:pPr>
            <w:r>
              <w:rPr>
                <w:rFonts w:hint="eastAsia"/>
                <w:color w:val="auto"/>
                <w:sz w:val="24"/>
                <w:szCs w:val="32"/>
                <w:highlight w:val="none"/>
              </w:rPr>
              <w:t>法定代表人或授权代表：</w:t>
            </w:r>
            <w:r>
              <w:rPr>
                <w:rFonts w:hint="eastAsia"/>
                <w:color w:val="auto"/>
                <w:sz w:val="24"/>
                <w:szCs w:val="32"/>
                <w:highlight w:val="none"/>
                <w:u w:val="single"/>
              </w:rPr>
              <w:t xml:space="preserve">                     </w:t>
            </w:r>
            <w:r>
              <w:rPr>
                <w:rFonts w:hint="eastAsia"/>
                <w:color w:val="auto"/>
                <w:sz w:val="24"/>
                <w:szCs w:val="32"/>
                <w:highlight w:val="none"/>
              </w:rPr>
              <w:t>（签字）</w:t>
            </w:r>
          </w:p>
          <w:p w14:paraId="114D0A92">
            <w:pPr>
              <w:spacing w:line="360" w:lineRule="auto"/>
              <w:ind w:left="0" w:leftChars="0" w:firstLine="3578" w:firstLineChars="1491"/>
              <w:rPr>
                <w:color w:val="auto"/>
                <w:highlight w:val="none"/>
              </w:rPr>
            </w:pPr>
            <w:r>
              <w:rPr>
                <w:rFonts w:hint="eastAsia"/>
                <w:color w:val="auto"/>
                <w:sz w:val="24"/>
                <w:szCs w:val="32"/>
                <w:highlight w:val="none"/>
              </w:rPr>
              <w:t>日期 ：</w:t>
            </w:r>
            <w:r>
              <w:rPr>
                <w:rFonts w:hint="eastAsia"/>
                <w:color w:val="auto"/>
                <w:highlight w:val="none"/>
                <w:u w:val="single"/>
              </w:rPr>
              <w:t xml:space="preserve"> </w:t>
            </w:r>
            <w:r>
              <w:rPr>
                <w:rFonts w:hint="eastAsia" w:ascii="Times New Roman" w:eastAsia="宋体"/>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bl>
    <w:p w14:paraId="307BC94F">
      <w:pPr>
        <w:outlineLvl w:val="9"/>
        <w:rPr>
          <w:rFonts w:hint="default" w:cs="宋体"/>
          <w:color w:val="auto"/>
          <w:sz w:val="28"/>
          <w:szCs w:val="28"/>
          <w:highlight w:val="none"/>
          <w:lang w:val="en-US" w:eastAsia="zh-CN"/>
        </w:rPr>
      </w:pPr>
    </w:p>
    <w:p w14:paraId="1414E586">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BDE943F">
      <w:pPr>
        <w:widowControl/>
        <w:jc w:val="left"/>
        <w:outlineLvl w:val="9"/>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1.3磋商</w:t>
      </w:r>
      <w:r>
        <w:rPr>
          <w:rFonts w:hint="eastAsia" w:ascii="宋体" w:hAnsi="宋体" w:cs="宋体"/>
          <w:b/>
          <w:bCs/>
          <w:color w:val="auto"/>
          <w:kern w:val="0"/>
          <w:sz w:val="24"/>
          <w:highlight w:val="none"/>
        </w:rPr>
        <w:t>保证金说明函（格式）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无需提供，本项目不适用</w:t>
      </w:r>
      <w:r>
        <w:rPr>
          <w:rFonts w:hint="eastAsia" w:ascii="宋体" w:hAnsi="宋体" w:cs="宋体"/>
          <w:b/>
          <w:bCs/>
          <w:color w:val="auto"/>
          <w:kern w:val="0"/>
          <w:sz w:val="24"/>
          <w:highlight w:val="none"/>
          <w:lang w:eastAsia="zh-CN"/>
        </w:rPr>
        <w:t>）</w:t>
      </w:r>
    </w:p>
    <w:p w14:paraId="716BADA0">
      <w:pPr>
        <w:widowControl/>
        <w:jc w:val="left"/>
        <w:outlineLvl w:val="9"/>
        <w:rPr>
          <w:rFonts w:hint="eastAsia" w:ascii="宋体" w:hAnsi="宋体" w:eastAsia="宋体" w:cs="宋体"/>
          <w:color w:val="auto"/>
          <w:highlight w:val="none"/>
          <w:lang w:eastAsia="zh-CN"/>
        </w:rPr>
      </w:pPr>
    </w:p>
    <w:p w14:paraId="3AA1BE49">
      <w:pPr>
        <w:widowControl/>
        <w:spacing w:line="360" w:lineRule="auto"/>
        <w:jc w:val="left"/>
        <w:outlineLvl w:val="9"/>
        <w:rPr>
          <w:rFonts w:ascii="宋体" w:hAnsi="宋体" w:cs="宋体"/>
          <w:color w:val="auto"/>
          <w:kern w:val="0"/>
          <w:sz w:val="24"/>
          <w:highlight w:val="none"/>
        </w:rPr>
      </w:pPr>
    </w:p>
    <w:p w14:paraId="45A87DB5">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 xml:space="preserve">致：中国洲际新资源集团股份公司 </w:t>
      </w:r>
    </w:p>
    <w:p w14:paraId="6CC8564A">
      <w:pPr>
        <w:widowControl/>
        <w:spacing w:line="360" w:lineRule="auto"/>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编号：__________</w:t>
      </w:r>
    </w:p>
    <w:p w14:paraId="742CF616">
      <w:pPr>
        <w:widowControl/>
        <w:spacing w:line="360" w:lineRule="auto"/>
        <w:jc w:val="left"/>
        <w:outlineLvl w:val="9"/>
        <w:rPr>
          <w:rFonts w:ascii="宋体" w:hAnsi="宋体" w:cs="宋体"/>
          <w:color w:val="auto"/>
          <w:sz w:val="24"/>
          <w:highlight w:val="none"/>
          <w:u w:val="single"/>
        </w:rPr>
      </w:pPr>
      <w:r>
        <w:rPr>
          <w:rFonts w:hint="eastAsia" w:ascii="宋体" w:hAnsi="宋体" w:cs="宋体"/>
          <w:color w:val="auto"/>
          <w:kern w:val="0"/>
          <w:sz w:val="24"/>
          <w:highlight w:val="none"/>
          <w:lang w:val="en-US" w:eastAsia="zh-CN"/>
        </w:rPr>
        <w:t>包号（如有）：</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26B04212">
      <w:pPr>
        <w:widowControl/>
        <w:spacing w:line="360" w:lineRule="auto"/>
        <w:jc w:val="left"/>
        <w:outlineLvl w:val="9"/>
        <w:rPr>
          <w:rFonts w:ascii="宋体" w:hAnsi="宋体" w:cs="宋体"/>
          <w:color w:val="auto"/>
          <w:kern w:val="0"/>
          <w:sz w:val="24"/>
          <w:highlight w:val="none"/>
        </w:rPr>
      </w:pPr>
    </w:p>
    <w:p w14:paraId="11B6B455">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rPr>
        <w:t>保证金金额(大写)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元，以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方式支付。 </w:t>
      </w:r>
    </w:p>
    <w:p w14:paraId="4BBB59F1">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 xml:space="preserve">2、在担保期内，贵公司根据下列事实中的任何一点，即可无条件地扣留保证金： </w:t>
      </w:r>
    </w:p>
    <w:p w14:paraId="12DA36BE">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（1）我方在</w:t>
      </w:r>
      <w:r>
        <w:rPr>
          <w:rFonts w:hint="eastAsia" w:ascii="宋体" w:hAnsi="宋体" w:cs="宋体"/>
          <w:color w:val="auto"/>
          <w:kern w:val="0"/>
          <w:sz w:val="24"/>
          <w:highlight w:val="none"/>
          <w:lang w:val="en-US" w:eastAsia="zh-CN"/>
        </w:rPr>
        <w:t>磋商截止</w:t>
      </w:r>
      <w:r>
        <w:rPr>
          <w:rFonts w:hint="eastAsia" w:ascii="宋体" w:hAnsi="宋体" w:cs="宋体"/>
          <w:color w:val="auto"/>
          <w:kern w:val="0"/>
          <w:sz w:val="24"/>
          <w:highlight w:val="none"/>
        </w:rPr>
        <w:t>之日后到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有效期满前，撤回</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w:t>
      </w:r>
    </w:p>
    <w:p w14:paraId="5D90CF35">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（2）我方在收到</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通知后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天内，未能按规定的时间、地点与买方签订合同。 </w:t>
      </w:r>
    </w:p>
    <w:p w14:paraId="6F853E54">
      <w:pPr>
        <w:widowControl/>
        <w:spacing w:line="360" w:lineRule="auto"/>
        <w:ind w:left="480" w:hanging="480" w:hangingChars="200"/>
        <w:jc w:val="left"/>
        <w:outlineLvl w:val="9"/>
        <w:rPr>
          <w:rFonts w:ascii="宋体" w:hAnsi="宋体" w:cs="宋体"/>
          <w:color w:val="auto"/>
          <w:sz w:val="24"/>
          <w:highlight w:val="none"/>
        </w:rPr>
      </w:pPr>
      <w:r>
        <w:rPr>
          <w:rFonts w:hint="eastAsia" w:ascii="宋体" w:hAnsi="宋体" w:cs="宋体"/>
          <w:color w:val="auto"/>
          <w:kern w:val="0"/>
          <w:sz w:val="24"/>
          <w:highlight w:val="none"/>
        </w:rPr>
        <w:t>3、保证金自开标之日起生效，直到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 xml:space="preserve">书有效期后 30 天或贵方与我方书面协定的延长期30 天内有效。 </w:t>
      </w:r>
    </w:p>
    <w:p w14:paraId="4D3CB7A6">
      <w:pPr>
        <w:widowControl/>
        <w:spacing w:line="360" w:lineRule="auto"/>
        <w:jc w:val="left"/>
        <w:outlineLvl w:val="9"/>
        <w:rPr>
          <w:rFonts w:ascii="宋体" w:hAnsi="宋体" w:cs="宋体"/>
          <w:color w:val="auto"/>
          <w:kern w:val="0"/>
          <w:sz w:val="24"/>
          <w:highlight w:val="none"/>
        </w:rPr>
      </w:pPr>
    </w:p>
    <w:p w14:paraId="27E04547">
      <w:pPr>
        <w:widowControl/>
        <w:spacing w:line="360" w:lineRule="auto"/>
        <w:jc w:val="left"/>
        <w:outlineLvl w:val="9"/>
        <w:rPr>
          <w:rFonts w:ascii="宋体" w:hAnsi="宋体" w:cs="宋体"/>
          <w:color w:val="auto"/>
          <w:kern w:val="0"/>
          <w:sz w:val="24"/>
          <w:highlight w:val="none"/>
        </w:rPr>
      </w:pPr>
    </w:p>
    <w:p w14:paraId="5A7C058C">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（加盖单位公章） </w:t>
      </w:r>
    </w:p>
    <w:p w14:paraId="3759C4F7">
      <w:pPr>
        <w:widowControl/>
        <w:spacing w:line="360" w:lineRule="auto"/>
        <w:jc w:val="left"/>
        <w:outlineLvl w:val="9"/>
        <w:rPr>
          <w:rFonts w:ascii="宋体" w:hAnsi="宋体" w:cs="宋体"/>
          <w:color w:val="auto"/>
          <w:kern w:val="0"/>
          <w:sz w:val="24"/>
          <w:highlight w:val="none"/>
        </w:rPr>
      </w:pPr>
    </w:p>
    <w:p w14:paraId="11C50103">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法定代表人或授权代表：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（签字） </w:t>
      </w:r>
    </w:p>
    <w:p w14:paraId="08BB62EF">
      <w:pPr>
        <w:widowControl/>
        <w:spacing w:line="360" w:lineRule="auto"/>
        <w:jc w:val="left"/>
        <w:outlineLvl w:val="9"/>
        <w:rPr>
          <w:rFonts w:ascii="宋体" w:hAnsi="宋体" w:cs="宋体"/>
          <w:color w:val="auto"/>
          <w:kern w:val="0"/>
          <w:sz w:val="24"/>
          <w:highlight w:val="none"/>
        </w:rPr>
      </w:pPr>
    </w:p>
    <w:p w14:paraId="604B971F">
      <w:pPr>
        <w:widowControl/>
        <w:spacing w:line="360" w:lineRule="auto"/>
        <w:jc w:val="left"/>
        <w:outlineLvl w:val="9"/>
        <w:rPr>
          <w:rFonts w:ascii="宋体" w:hAnsi="宋体" w:cs="宋体"/>
          <w:b/>
          <w:bCs/>
          <w:color w:val="auto"/>
          <w:kern w:val="0"/>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p>
    <w:p w14:paraId="5B82073D">
      <w:pPr>
        <w:outlineLvl w:val="9"/>
        <w:rPr>
          <w:rFonts w:ascii="宋体" w:hAnsi="宋体" w:cs="宋体"/>
          <w:b w:val="0"/>
          <w:bCs w:val="0"/>
          <w:color w:val="auto"/>
          <w:highlight w:val="none"/>
        </w:rPr>
      </w:pPr>
    </w:p>
    <w:p w14:paraId="496B8D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特别提醒： </w:t>
      </w:r>
    </w:p>
    <w:p w14:paraId="54E4E9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磋商</w:t>
      </w:r>
      <w:r>
        <w:rPr>
          <w:rFonts w:hint="eastAsia" w:ascii="宋体" w:hAnsi="宋体" w:eastAsia="宋体" w:cs="宋体"/>
          <w:b w:val="0"/>
          <w:bCs w:val="0"/>
          <w:color w:val="auto"/>
          <w:kern w:val="0"/>
          <w:sz w:val="24"/>
          <w:szCs w:val="24"/>
          <w:highlight w:val="none"/>
          <w:lang w:val="en-US" w:eastAsia="zh-CN" w:bidi="ar"/>
        </w:rPr>
        <w:t>保证金形式：支票、汇票、本票、网上银行支付或者金融机构、担保机构出具的保函等非现金形式。</w:t>
      </w:r>
    </w:p>
    <w:p w14:paraId="44688C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（2）保证金递交凭据（汇款单据复印件或金融机构出具的保函</w:t>
      </w:r>
      <w:r>
        <w:rPr>
          <w:rFonts w:hint="eastAsia" w:ascii="宋体" w:hAnsi="宋体" w:cs="宋体"/>
          <w:b w:val="0"/>
          <w:bCs w:val="0"/>
          <w:color w:val="auto"/>
          <w:kern w:val="0"/>
          <w:sz w:val="24"/>
          <w:szCs w:val="24"/>
          <w:highlight w:val="none"/>
          <w:lang w:val="en-US" w:eastAsia="zh-CN" w:bidi="ar"/>
        </w:rPr>
        <w:t>等</w:t>
      </w:r>
      <w:r>
        <w:rPr>
          <w:rFonts w:hint="eastAsia" w:ascii="宋体" w:hAnsi="宋体" w:eastAsia="宋体" w:cs="宋体"/>
          <w:b w:val="0"/>
          <w:bCs w:val="0"/>
          <w:color w:val="auto"/>
          <w:kern w:val="0"/>
          <w:sz w:val="24"/>
          <w:szCs w:val="24"/>
          <w:highlight w:val="none"/>
          <w:lang w:val="en-US" w:eastAsia="zh-CN" w:bidi="ar"/>
        </w:rPr>
        <w:t>）需单独密封，并在</w:t>
      </w:r>
      <w:r>
        <w:rPr>
          <w:rFonts w:hint="eastAsia" w:ascii="宋体" w:hAnsi="宋体" w:cs="宋体"/>
          <w:b w:val="0"/>
          <w:bCs w:val="0"/>
          <w:color w:val="auto"/>
          <w:kern w:val="0"/>
          <w:sz w:val="24"/>
          <w:szCs w:val="24"/>
          <w:highlight w:val="none"/>
          <w:lang w:val="en-US" w:eastAsia="zh-CN" w:bidi="ar"/>
        </w:rPr>
        <w:t>响应</w:t>
      </w:r>
      <w:r>
        <w:rPr>
          <w:rFonts w:hint="eastAsia" w:ascii="宋体" w:hAnsi="宋体" w:eastAsia="宋体" w:cs="宋体"/>
          <w:b w:val="0"/>
          <w:bCs w:val="0"/>
          <w:color w:val="auto"/>
          <w:kern w:val="0"/>
          <w:sz w:val="24"/>
          <w:szCs w:val="24"/>
          <w:highlight w:val="none"/>
          <w:lang w:val="en-US" w:eastAsia="zh-CN" w:bidi="ar"/>
        </w:rPr>
        <w:t xml:space="preserve">截止时间前递交给采购代理机构。 </w:t>
      </w:r>
    </w:p>
    <w:p w14:paraId="178A01DE">
      <w:pPr>
        <w:pStyle w:val="19"/>
        <w:outlineLvl w:val="9"/>
        <w:rPr>
          <w:rFonts w:hint="eastAsia"/>
          <w:b/>
          <w:bCs/>
          <w:color w:val="auto"/>
          <w:highlight w:val="none"/>
          <w:lang w:val="en-US" w:eastAsia="zh-CN"/>
        </w:rPr>
      </w:pPr>
    </w:p>
    <w:p w14:paraId="16074278">
      <w:pPr>
        <w:pStyle w:val="19"/>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注：按照长春市财政局长财采购[2021]695号文件关于取消政府采购</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保证金及</w:t>
      </w:r>
      <w:r>
        <w:rPr>
          <w:rFonts w:hint="eastAsia" w:ascii="宋体" w:hAnsi="宋体" w:cs="宋体"/>
          <w:b/>
          <w:bCs/>
          <w:color w:val="auto"/>
          <w:sz w:val="24"/>
          <w:szCs w:val="24"/>
          <w:highlight w:val="none"/>
          <w:lang w:eastAsia="zh-CN"/>
        </w:rPr>
        <w:t>竞争性磋商文件</w:t>
      </w:r>
      <w:r>
        <w:rPr>
          <w:rFonts w:hint="eastAsia" w:ascii="宋体" w:hAnsi="宋体" w:eastAsia="宋体" w:cs="宋体"/>
          <w:b/>
          <w:bCs/>
          <w:color w:val="auto"/>
          <w:sz w:val="24"/>
          <w:szCs w:val="24"/>
          <w:highlight w:val="none"/>
        </w:rPr>
        <w:t>工本费等有关事项的通知执行，诚信记录良好的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可不提交</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保证金，但对于满足《中华人民共和国政府采购法》第二十二条有关规定，经“信用中国”网站查询存在行政处罚信息的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，必须按规定收取</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w:t>
      </w:r>
    </w:p>
    <w:p w14:paraId="1ACFCDC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tbl>
      <w:tblPr>
        <w:tblStyle w:val="53"/>
        <w:tblpPr w:leftFromText="180" w:rightFromText="180" w:vertAnchor="text" w:horzAnchor="page" w:tblpX="1051" w:tblpY="3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0F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23F76362">
            <w:pPr>
              <w:numPr>
                <w:ilvl w:val="-1"/>
                <w:numId w:val="0"/>
              </w:numPr>
              <w:jc w:val="left"/>
              <w:rPr>
                <w:rFonts w:hint="eastAsia" w:ascii="宋体" w:hAnsi="宋体" w:eastAsia="宋体" w:cs="宋体"/>
                <w:b/>
                <w:bCs/>
                <w:color w:val="auto"/>
                <w:kern w:val="0"/>
                <w:szCs w:val="20"/>
                <w:highlight w:val="none"/>
                <w:lang w:eastAsia="zh-CN"/>
              </w:rPr>
            </w:pPr>
            <w:r>
              <w:rPr>
                <w:rFonts w:hint="eastAsia" w:ascii="宋体" w:hAnsi="宋体" w:eastAsia="宋体" w:cs="宋体"/>
                <w:b/>
                <w:bCs/>
                <w:color w:val="auto"/>
                <w:kern w:val="0"/>
                <w:szCs w:val="20"/>
                <w:highlight w:val="none"/>
                <w:lang w:val="en-US" w:eastAsia="zh-CN"/>
              </w:rPr>
              <w:t xml:space="preserve">1.4 </w:t>
            </w:r>
            <w:r>
              <w:rPr>
                <w:rFonts w:hint="eastAsia" w:ascii="宋体" w:hAnsi="宋体" w:eastAsia="宋体" w:cs="宋体"/>
                <w:b/>
                <w:bCs/>
                <w:color w:val="auto"/>
                <w:kern w:val="0"/>
                <w:szCs w:val="20"/>
                <w:highlight w:val="none"/>
                <w:lang w:eastAsia="zh-CN"/>
              </w:rPr>
              <w:t>政府采购政策</w:t>
            </w:r>
          </w:p>
          <w:p w14:paraId="29AA80C5">
            <w:pPr>
              <w:numPr>
                <w:ilvl w:val="-1"/>
                <w:numId w:val="0"/>
              </w:numPr>
              <w:jc w:val="center"/>
              <w:rPr>
                <w:rFonts w:hint="eastAsia" w:ascii="宋体" w:hAnsi="宋体" w:eastAsia="宋体" w:cs="Times New Roman"/>
                <w:b/>
                <w:color w:val="auto"/>
                <w:spacing w:val="1"/>
                <w:kern w:val="0"/>
                <w:sz w:val="32"/>
                <w:szCs w:val="22"/>
                <w:highlight w:val="none"/>
              </w:rPr>
            </w:pPr>
          </w:p>
          <w:p w14:paraId="0F9DFF62">
            <w:pPr>
              <w:numPr>
                <w:ilvl w:val="-1"/>
                <w:numId w:val="0"/>
              </w:numPr>
              <w:jc w:val="center"/>
              <w:rPr>
                <w:rFonts w:ascii="宋体" w:hAnsi="宋体" w:eastAsia="宋体" w:cs="Times New Roman"/>
                <w:color w:val="auto"/>
                <w:kern w:val="0"/>
                <w:sz w:val="32"/>
                <w:szCs w:val="22"/>
                <w:highlight w:val="none"/>
              </w:rPr>
            </w:pPr>
            <w:r>
              <w:rPr>
                <w:rFonts w:hint="eastAsia" w:ascii="宋体" w:hAnsi="宋体" w:eastAsia="宋体" w:cs="Times New Roman"/>
                <w:b/>
                <w:color w:val="auto"/>
                <w:spacing w:val="1"/>
                <w:kern w:val="0"/>
                <w:sz w:val="32"/>
                <w:szCs w:val="22"/>
                <w:highlight w:val="none"/>
                <w:lang w:val="en-US" w:eastAsia="zh-CN"/>
              </w:rPr>
              <w:t>1.4.1</w:t>
            </w:r>
            <w:r>
              <w:rPr>
                <w:rFonts w:hint="eastAsia" w:ascii="宋体" w:hAnsi="宋体" w:eastAsia="宋体" w:cs="Times New Roman"/>
                <w:b/>
                <w:color w:val="auto"/>
                <w:spacing w:val="1"/>
                <w:kern w:val="0"/>
                <w:sz w:val="32"/>
                <w:szCs w:val="22"/>
                <w:highlight w:val="none"/>
              </w:rPr>
              <w:t>中小企业声明函</w:t>
            </w:r>
          </w:p>
          <w:p w14:paraId="56FC6769">
            <w:pPr>
              <w:widowControl/>
              <w:jc w:val="left"/>
              <w:outlineLvl w:val="9"/>
              <w:rPr>
                <w:rFonts w:ascii="宋体" w:hAnsi="宋体" w:eastAsia="宋体" w:cs="宋体"/>
                <w:b/>
                <w:bCs/>
                <w:color w:val="auto"/>
                <w:kern w:val="0"/>
                <w:szCs w:val="20"/>
                <w:highlight w:val="none"/>
              </w:rPr>
            </w:pPr>
          </w:p>
          <w:p w14:paraId="03B16E4A">
            <w:pPr>
              <w:rPr>
                <w:rFonts w:ascii="宋体" w:hAnsi="宋体" w:eastAsia="宋体" w:cs="宋体"/>
                <w:color w:val="auto"/>
                <w:highlight w:val="none"/>
              </w:rPr>
            </w:pPr>
          </w:p>
          <w:p w14:paraId="30D0892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1E67A93">
            <w:pPr>
              <w:spacing w:line="500" w:lineRule="exact"/>
              <w:ind w:firstLine="420" w:firstLineChars="200"/>
              <w:jc w:val="left"/>
              <w:outlineLvl w:val="9"/>
              <w:rPr>
                <w:rFonts w:ascii="宋体" w:hAnsi="宋体" w:cs="宋体"/>
                <w:color w:val="auto"/>
                <w:highlight w:val="none"/>
              </w:rPr>
            </w:pPr>
          </w:p>
          <w:p w14:paraId="7B6E2A74">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1._(标的名称)，属于(采购文件中明确的所属行业)行业；制造商为(企业名称)，从业人员__人，营业收入为___万元，资产总额为 __万元，属于(中型企业、小型企业、微型企业)；</w:t>
            </w:r>
          </w:p>
          <w:p w14:paraId="3956A42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2. (标的名称)，属于(采购文件中明确的所属行业)行业；制造商为(企业名称)，从业人员__人，营业收入为_ _万元，资产总额为___万元，属于(中型企业、小型企业、微型企业)；</w:t>
            </w:r>
          </w:p>
          <w:p w14:paraId="6B227F1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w:t>
            </w:r>
          </w:p>
          <w:p w14:paraId="5605996B">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43D2149B">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28E6603">
            <w:pPr>
              <w:widowControl/>
              <w:outlineLvl w:val="9"/>
              <w:rPr>
                <w:rFonts w:ascii="宋体" w:hAnsi="宋体" w:cs="宋体"/>
                <w:color w:val="auto"/>
                <w:highlight w:val="none"/>
              </w:rPr>
            </w:pPr>
          </w:p>
          <w:p w14:paraId="02FBBBCD">
            <w:pPr>
              <w:spacing w:line="500" w:lineRule="exact"/>
              <w:ind w:right="420"/>
              <w:jc w:val="center"/>
              <w:outlineLvl w:val="9"/>
              <w:rPr>
                <w:rFonts w:ascii="宋体" w:hAnsi="宋体" w:cs="宋体"/>
                <w:color w:val="auto"/>
                <w:highlight w:val="none"/>
              </w:rPr>
            </w:pPr>
            <w:r>
              <w:rPr>
                <w:rFonts w:hint="eastAsia" w:ascii="宋体" w:hAnsi="宋体" w:cs="宋体"/>
                <w:color w:val="auto"/>
                <w:highlight w:val="none"/>
              </w:rPr>
              <w:t xml:space="preserve">           </w:t>
            </w:r>
          </w:p>
          <w:p w14:paraId="5CA89F76">
            <w:pPr>
              <w:spacing w:line="500" w:lineRule="exact"/>
              <w:ind w:right="420"/>
              <w:jc w:val="center"/>
              <w:outlineLvl w:val="9"/>
              <w:rPr>
                <w:rFonts w:ascii="宋体" w:hAnsi="宋体" w:cs="宋体"/>
                <w:color w:val="auto"/>
                <w:highlight w:val="none"/>
              </w:rPr>
            </w:pPr>
          </w:p>
          <w:p w14:paraId="7984AE2F">
            <w:pPr>
              <w:spacing w:line="500" w:lineRule="exact"/>
              <w:ind w:right="420"/>
              <w:jc w:val="center"/>
              <w:outlineLvl w:val="9"/>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p>
          <w:p w14:paraId="0E1F9D55">
            <w:pPr>
              <w:spacing w:line="500" w:lineRule="exact"/>
              <w:ind w:right="420"/>
              <w:jc w:val="center"/>
              <w:outlineLvl w:val="9"/>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1E16D8CD">
            <w:pPr>
              <w:outlineLvl w:val="9"/>
              <w:rPr>
                <w:rFonts w:ascii="宋体" w:hAnsi="宋体" w:cs="宋体"/>
                <w:color w:val="auto"/>
                <w:highlight w:val="none"/>
              </w:rPr>
            </w:pPr>
          </w:p>
          <w:p w14:paraId="1CDA969D">
            <w:pPr>
              <w:pStyle w:val="19"/>
              <w:outlineLvl w:val="9"/>
              <w:rPr>
                <w:rFonts w:ascii="宋体" w:hAnsi="宋体" w:cs="宋体"/>
                <w:color w:val="auto"/>
                <w:highlight w:val="none"/>
              </w:rPr>
            </w:pPr>
          </w:p>
          <w:p w14:paraId="310EC5B7">
            <w:pPr>
              <w:pStyle w:val="20"/>
              <w:widowControl w:val="0"/>
              <w:outlineLvl w:val="9"/>
              <w:rPr>
                <w:rFonts w:ascii="宋体" w:hAnsi="宋体" w:cs="宋体"/>
                <w:color w:val="auto"/>
                <w:highlight w:val="none"/>
              </w:rPr>
            </w:pPr>
          </w:p>
          <w:p w14:paraId="59FE39BD">
            <w:pPr>
              <w:outlineLvl w:val="9"/>
              <w:rPr>
                <w:rFonts w:ascii="宋体" w:hAnsi="宋体" w:cs="宋体"/>
                <w:color w:val="auto"/>
                <w:highlight w:val="none"/>
              </w:rPr>
            </w:pPr>
          </w:p>
          <w:p w14:paraId="72EDFC25">
            <w:pPr>
              <w:pStyle w:val="19"/>
              <w:outlineLvl w:val="9"/>
              <w:rPr>
                <w:rFonts w:ascii="宋体" w:hAnsi="宋体" w:cs="宋体"/>
                <w:color w:val="auto"/>
                <w:highlight w:val="none"/>
              </w:rPr>
            </w:pPr>
          </w:p>
          <w:p w14:paraId="098C4FD2">
            <w:pPr>
              <w:pStyle w:val="20"/>
              <w:widowControl w:val="0"/>
              <w:outlineLvl w:val="9"/>
              <w:rPr>
                <w:rFonts w:ascii="宋体" w:hAnsi="宋体" w:cs="宋体"/>
                <w:color w:val="auto"/>
                <w:highlight w:val="none"/>
              </w:rPr>
            </w:pPr>
          </w:p>
          <w:p w14:paraId="233ED41B">
            <w:pPr>
              <w:widowControl/>
              <w:jc w:val="left"/>
              <w:outlineLvl w:val="9"/>
              <w:rPr>
                <w:rFonts w:ascii="宋体" w:hAnsi="宋体" w:cs="宋体"/>
                <w:color w:val="auto"/>
                <w:highlight w:val="none"/>
              </w:rPr>
            </w:pPr>
            <w:r>
              <w:rPr>
                <w:rFonts w:hint="eastAsia" w:ascii="宋体" w:hAnsi="宋体" w:cs="宋体"/>
                <w:b/>
                <w:bCs/>
                <w:color w:val="auto"/>
                <w:kern w:val="0"/>
                <w:szCs w:val="21"/>
                <w:highlight w:val="none"/>
              </w:rPr>
              <w:t>注：1. 从业人员、营业收入、资产总额填报上一年度数据，无上一年度数据的新成立企业可不填报。</w:t>
            </w:r>
          </w:p>
          <w:p w14:paraId="5AD1446A">
            <w:pPr>
              <w:outlineLvl w:val="9"/>
              <w:rPr>
                <w:rFonts w:ascii="宋体" w:hAnsi="宋体" w:eastAsia="宋体" w:cs="宋体"/>
                <w:color w:val="auto"/>
                <w:highlight w:val="none"/>
              </w:rPr>
            </w:pPr>
          </w:p>
        </w:tc>
      </w:tr>
    </w:tbl>
    <w:p w14:paraId="22B40B5B">
      <w:pPr>
        <w:spacing w:line="360" w:lineRule="auto"/>
        <w:outlineLvl w:val="9"/>
        <w:rPr>
          <w:rFonts w:ascii="宋体" w:hAnsi="宋体" w:cs="宋体"/>
          <w:b/>
          <w:color w:val="auto"/>
          <w:sz w:val="36"/>
          <w:szCs w:val="36"/>
          <w:highlight w:val="none"/>
        </w:rPr>
        <w:sectPr>
          <w:pgSz w:w="11906" w:h="16838"/>
          <w:pgMar w:top="1418" w:right="1133" w:bottom="993" w:left="1134" w:header="851" w:footer="992" w:gutter="0"/>
          <w:pgNumType w:fmt="decimal"/>
          <w:cols w:space="720" w:num="1"/>
          <w:docGrid w:linePitch="312" w:charSpace="0"/>
        </w:sectPr>
      </w:pPr>
    </w:p>
    <w:p w14:paraId="3A90C9D8">
      <w:pPr>
        <w:spacing w:line="360" w:lineRule="auto"/>
        <w:outlineLvl w:val="9"/>
        <w:rPr>
          <w:rFonts w:ascii="宋体" w:hAnsi="宋体" w:cs="宋体"/>
          <w:b/>
          <w:color w:val="auto"/>
          <w:sz w:val="36"/>
          <w:szCs w:val="36"/>
          <w:highlight w:val="none"/>
        </w:rPr>
        <w:sectPr>
          <w:type w:val="continuous"/>
          <w:pgSz w:w="11906" w:h="16838"/>
          <w:pgMar w:top="1418" w:right="1133" w:bottom="993" w:left="1134" w:header="851" w:footer="992" w:gutter="0"/>
          <w:pgNumType w:fmt="decimal"/>
          <w:cols w:space="720" w:num="1"/>
          <w:docGrid w:linePitch="312" w:charSpace="0"/>
        </w:sectPr>
      </w:pPr>
    </w:p>
    <w:tbl>
      <w:tblPr>
        <w:tblStyle w:val="53"/>
        <w:tblpPr w:leftFromText="180" w:rightFromText="180" w:vertAnchor="page" w:horzAnchor="page" w:tblpX="1485" w:tblpY="2368"/>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BD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5F9CD36B">
            <w:pPr>
              <w:widowControl/>
              <w:jc w:val="center"/>
              <w:outlineLvl w:val="9"/>
              <w:rPr>
                <w:rFonts w:ascii="宋体" w:hAnsi="宋体" w:eastAsia="宋体" w:cs="宋体"/>
                <w:b/>
                <w:bCs/>
                <w:color w:val="auto"/>
                <w:kern w:val="0"/>
                <w:sz w:val="32"/>
                <w:szCs w:val="28"/>
                <w:highlight w:val="none"/>
              </w:rPr>
            </w:pPr>
            <w:r>
              <w:rPr>
                <w:rFonts w:hint="eastAsia" w:ascii="宋体" w:hAnsi="宋体" w:eastAsia="宋体" w:cs="宋体"/>
                <w:b/>
                <w:bCs/>
                <w:color w:val="auto"/>
                <w:kern w:val="0"/>
                <w:sz w:val="32"/>
                <w:szCs w:val="28"/>
                <w:highlight w:val="none"/>
                <w:lang w:val="en-US" w:eastAsia="zh-CN"/>
              </w:rPr>
              <w:t xml:space="preserve">1.4.2 </w:t>
            </w:r>
            <w:r>
              <w:rPr>
                <w:rFonts w:hint="eastAsia" w:ascii="宋体" w:hAnsi="宋体" w:eastAsia="宋体" w:cs="宋体"/>
                <w:b/>
                <w:bCs/>
                <w:color w:val="auto"/>
                <w:kern w:val="0"/>
                <w:sz w:val="32"/>
                <w:szCs w:val="28"/>
                <w:highlight w:val="none"/>
              </w:rPr>
              <w:t>残疾人福利性单位声明函（格式）</w:t>
            </w:r>
          </w:p>
          <w:p w14:paraId="01B87B4A">
            <w:pPr>
              <w:outlineLvl w:val="9"/>
              <w:rPr>
                <w:rFonts w:ascii="宋体" w:hAnsi="宋体" w:eastAsia="宋体" w:cs="宋体"/>
                <w:color w:val="auto"/>
                <w:highlight w:val="none"/>
              </w:rPr>
            </w:pPr>
          </w:p>
          <w:p w14:paraId="301B41AF">
            <w:pPr>
              <w:outlineLvl w:val="9"/>
              <w:rPr>
                <w:rFonts w:ascii="宋体" w:hAnsi="宋体" w:eastAsia="宋体" w:cs="宋体"/>
                <w:color w:val="auto"/>
                <w:highlight w:val="none"/>
              </w:rPr>
            </w:pPr>
          </w:p>
          <w:p w14:paraId="70A03CCF">
            <w:pPr>
              <w:outlineLvl w:val="9"/>
              <w:rPr>
                <w:rFonts w:ascii="宋体" w:hAnsi="宋体" w:eastAsia="宋体" w:cs="宋体"/>
                <w:color w:val="auto"/>
                <w:highlight w:val="none"/>
              </w:rPr>
            </w:pPr>
          </w:p>
          <w:p w14:paraId="24984C1D">
            <w:pPr>
              <w:spacing w:line="480" w:lineRule="auto"/>
              <w:ind w:firstLine="630" w:firstLineChars="300"/>
              <w:outlineLvl w:val="9"/>
              <w:rPr>
                <w:rFonts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号）的规定，本单位为符合条件的残疾人福利性单位，且本单位参加______单位的______项目采购活动提供本单位提供服务（由本单位承担工程/制造的货物），或者提供其他残疾人福利性单位</w:t>
            </w:r>
            <w:r>
              <w:rPr>
                <w:rFonts w:hint="eastAsia" w:ascii="宋体" w:hAnsi="宋体" w:eastAsia="宋体" w:cs="宋体"/>
                <w:color w:val="auto"/>
                <w:highlight w:val="none"/>
                <w:lang w:val="en-US" w:eastAsia="zh-CN"/>
              </w:rPr>
              <w:t>提供服务</w:t>
            </w:r>
            <w:r>
              <w:rPr>
                <w:rFonts w:hint="eastAsia" w:ascii="宋体" w:hAnsi="宋体" w:eastAsia="宋体" w:cs="宋体"/>
                <w:color w:val="auto"/>
                <w:highlight w:val="none"/>
              </w:rPr>
              <w:t>（不包括使用非残疾人福利性单位注册商标的</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w:t>
            </w:r>
          </w:p>
          <w:p w14:paraId="2D395EEE">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070B4BE8">
            <w:pPr>
              <w:spacing w:line="480" w:lineRule="auto"/>
              <w:ind w:firstLine="420" w:firstLineChars="200"/>
              <w:outlineLvl w:val="9"/>
              <w:rPr>
                <w:rFonts w:ascii="宋体" w:hAnsi="宋体" w:eastAsia="宋体" w:cs="宋体"/>
                <w:color w:val="auto"/>
                <w:highlight w:val="none"/>
              </w:rPr>
            </w:pPr>
          </w:p>
          <w:p w14:paraId="312B98B5">
            <w:pPr>
              <w:spacing w:line="480" w:lineRule="auto"/>
              <w:ind w:firstLine="420" w:firstLineChars="200"/>
              <w:outlineLvl w:val="9"/>
              <w:rPr>
                <w:rFonts w:ascii="宋体" w:hAnsi="宋体" w:eastAsia="宋体" w:cs="宋体"/>
                <w:color w:val="auto"/>
                <w:highlight w:val="none"/>
              </w:rPr>
            </w:pPr>
          </w:p>
          <w:p w14:paraId="6748BEFD">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（单位公章）</w:t>
            </w:r>
          </w:p>
          <w:p w14:paraId="2127414B">
            <w:pPr>
              <w:spacing w:line="480" w:lineRule="auto"/>
              <w:outlineLvl w:val="9"/>
              <w:rPr>
                <w:rFonts w:ascii="宋体" w:hAnsi="宋体" w:eastAsia="宋体" w:cs="宋体"/>
                <w:color w:val="auto"/>
                <w:highlight w:val="none"/>
              </w:rPr>
            </w:pPr>
          </w:p>
          <w:p w14:paraId="6B8B8009">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rPr>
              <w:t>法定代表人或授权代表：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463CF37">
            <w:pPr>
              <w:spacing w:line="480" w:lineRule="auto"/>
              <w:outlineLvl w:val="9"/>
              <w:rPr>
                <w:rFonts w:ascii="宋体" w:hAnsi="宋体" w:eastAsia="宋体" w:cs="宋体"/>
                <w:color w:val="auto"/>
                <w:highlight w:val="none"/>
              </w:rPr>
            </w:pPr>
          </w:p>
          <w:p w14:paraId="1FFDDF74">
            <w:pPr>
              <w:spacing w:line="480" w:lineRule="auto"/>
              <w:outlineLvl w:val="9"/>
              <w:rPr>
                <w:rFonts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tc>
      </w:tr>
    </w:tbl>
    <w:p w14:paraId="592CD6C0">
      <w:pPr>
        <w:outlineLvl w:val="9"/>
        <w:rPr>
          <w:rFonts w:ascii="Times New Roman" w:hAnsi="Times New Roman" w:eastAsia="宋体" w:cs="宋体"/>
          <w:color w:val="auto"/>
          <w:highlight w:val="none"/>
          <w:vertAlign w:val="baseline"/>
        </w:rPr>
      </w:pPr>
      <w:r>
        <w:rPr>
          <w:rFonts w:ascii="Times New Roman" w:hAnsi="Times New Roman" w:eastAsia="宋体" w:cs="宋体"/>
          <w:color w:val="auto"/>
          <w:highlight w:val="none"/>
        </w:rPr>
        <w:br w:type="page"/>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40A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14:paraId="2C7A3B37">
            <w:pPr>
              <w:spacing w:line="312" w:lineRule="auto"/>
              <w:jc w:val="center"/>
              <w:outlineLvl w:val="1"/>
              <w:rPr>
                <w:rFonts w:ascii="宋体" w:hAnsi="宋体" w:eastAsia="宋体" w:cs="宋体"/>
                <w:b/>
                <w:color w:val="auto"/>
                <w:sz w:val="22"/>
                <w:szCs w:val="22"/>
                <w:highlight w:val="none"/>
              </w:rPr>
            </w:pPr>
            <w:r>
              <w:rPr>
                <w:rFonts w:hint="eastAsia" w:ascii="宋体" w:hAnsi="宋体" w:eastAsia="宋体" w:cs="宋体"/>
                <w:b/>
                <w:bCs/>
                <w:color w:val="auto"/>
                <w:kern w:val="0"/>
                <w:sz w:val="32"/>
                <w:szCs w:val="22"/>
                <w:highlight w:val="none"/>
                <w:lang w:val="en-US" w:eastAsia="zh-CN"/>
              </w:rPr>
              <w:t>1.4.3</w:t>
            </w:r>
            <w:r>
              <w:rPr>
                <w:rFonts w:hint="eastAsia" w:ascii="宋体" w:hAnsi="宋体" w:eastAsia="宋体" w:cs="宋体"/>
                <w:b/>
                <w:bCs/>
                <w:color w:val="auto"/>
                <w:kern w:val="0"/>
                <w:sz w:val="32"/>
                <w:szCs w:val="22"/>
                <w:highlight w:val="none"/>
              </w:rPr>
              <w:t>监狱企业声明函</w:t>
            </w:r>
          </w:p>
          <w:p w14:paraId="3FC3A865">
            <w:pPr>
              <w:widowControl w:val="0"/>
              <w:spacing w:after="120"/>
              <w:jc w:val="both"/>
              <w:rPr>
                <w:rFonts w:ascii="宋体" w:hAnsi="宋体" w:eastAsia="宋体" w:cs="宋体"/>
                <w:b/>
                <w:color w:val="auto"/>
                <w:kern w:val="2"/>
                <w:sz w:val="21"/>
                <w:szCs w:val="21"/>
                <w:highlight w:val="none"/>
                <w:lang w:val="en-US" w:eastAsia="zh-CN" w:bidi="ar-SA"/>
              </w:rPr>
            </w:pPr>
          </w:p>
          <w:p w14:paraId="192A33DF">
            <w:pPr>
              <w:tabs>
                <w:tab w:val="left" w:pos="4860"/>
              </w:tabs>
              <w:spacing w:line="588" w:lineRule="exact"/>
              <w:ind w:right="17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监狱企业以提供由省级以上监狱管理局，戒毒管理局（含新疆生产建设兵团）出具的属于监狱企业的证明文件为准。</w:t>
            </w:r>
          </w:p>
          <w:p w14:paraId="7AEBA847">
            <w:pPr>
              <w:widowControl w:val="0"/>
              <w:jc w:val="both"/>
              <w:rPr>
                <w:rFonts w:hint="eastAsia" w:ascii="宋体" w:hAnsi="宋体" w:eastAsia="宋体" w:cs="宋体"/>
                <w:color w:val="auto"/>
                <w:kern w:val="2"/>
                <w:sz w:val="21"/>
                <w:szCs w:val="21"/>
                <w:highlight w:val="none"/>
                <w:lang w:val="en-US" w:eastAsia="zh-CN" w:bidi="ar-SA"/>
              </w:rPr>
            </w:pPr>
          </w:p>
          <w:p w14:paraId="56F3BFE1">
            <w:pPr>
              <w:widowControl w:val="0"/>
              <w:jc w:val="both"/>
              <w:rPr>
                <w:rFonts w:hint="eastAsia" w:ascii="宋体" w:hAnsi="宋体" w:eastAsia="宋体" w:cs="宋体"/>
                <w:color w:val="auto"/>
                <w:kern w:val="2"/>
                <w:sz w:val="21"/>
                <w:szCs w:val="21"/>
                <w:highlight w:val="none"/>
                <w:lang w:val="en-US" w:eastAsia="zh-CN" w:bidi="ar-SA"/>
              </w:rPr>
            </w:pPr>
          </w:p>
          <w:p w14:paraId="1C943E36">
            <w:pPr>
              <w:widowControl w:val="0"/>
              <w:jc w:val="both"/>
              <w:rPr>
                <w:rFonts w:hint="eastAsia" w:ascii="宋体" w:hAnsi="宋体" w:eastAsia="宋体" w:cs="宋体"/>
                <w:color w:val="auto"/>
                <w:kern w:val="2"/>
                <w:sz w:val="21"/>
                <w:szCs w:val="21"/>
                <w:highlight w:val="none"/>
                <w:lang w:val="en-US" w:eastAsia="zh-CN" w:bidi="ar-SA"/>
              </w:rPr>
            </w:pPr>
          </w:p>
          <w:p w14:paraId="6043E0F8">
            <w:pPr>
              <w:widowControl w:val="0"/>
              <w:jc w:val="both"/>
              <w:rPr>
                <w:rFonts w:hint="eastAsia" w:ascii="宋体" w:hAnsi="宋体" w:eastAsia="宋体" w:cs="宋体"/>
                <w:color w:val="auto"/>
                <w:kern w:val="2"/>
                <w:sz w:val="21"/>
                <w:szCs w:val="21"/>
                <w:highlight w:val="none"/>
                <w:lang w:val="en-US" w:eastAsia="zh-CN" w:bidi="ar-SA"/>
              </w:rPr>
            </w:pPr>
          </w:p>
          <w:p w14:paraId="65AFB41F">
            <w:pPr>
              <w:widowControl w:val="0"/>
              <w:jc w:val="both"/>
              <w:rPr>
                <w:rFonts w:hint="eastAsia" w:ascii="宋体" w:hAnsi="宋体" w:eastAsia="宋体" w:cs="宋体"/>
                <w:color w:val="auto"/>
                <w:kern w:val="2"/>
                <w:sz w:val="21"/>
                <w:szCs w:val="21"/>
                <w:highlight w:val="none"/>
                <w:lang w:val="en-US" w:eastAsia="zh-CN" w:bidi="ar-SA"/>
              </w:rPr>
            </w:pPr>
          </w:p>
          <w:p w14:paraId="41901156">
            <w:pPr>
              <w:widowControl w:val="0"/>
              <w:jc w:val="both"/>
              <w:rPr>
                <w:rFonts w:hint="eastAsia" w:ascii="宋体" w:hAnsi="宋体" w:eastAsia="宋体" w:cs="宋体"/>
                <w:color w:val="auto"/>
                <w:kern w:val="2"/>
                <w:sz w:val="21"/>
                <w:szCs w:val="21"/>
                <w:highlight w:val="none"/>
                <w:lang w:val="en-US" w:eastAsia="zh-CN" w:bidi="ar-SA"/>
              </w:rPr>
            </w:pPr>
          </w:p>
          <w:p w14:paraId="39EBE1DC">
            <w:pPr>
              <w:widowControl w:val="0"/>
              <w:jc w:val="both"/>
              <w:rPr>
                <w:rFonts w:hint="eastAsia" w:ascii="宋体" w:hAnsi="宋体" w:eastAsia="宋体" w:cs="宋体"/>
                <w:color w:val="auto"/>
                <w:kern w:val="2"/>
                <w:sz w:val="21"/>
                <w:szCs w:val="21"/>
                <w:highlight w:val="none"/>
                <w:lang w:val="en-US" w:eastAsia="zh-CN" w:bidi="ar-SA"/>
              </w:rPr>
            </w:pPr>
          </w:p>
          <w:p w14:paraId="6197D949">
            <w:pPr>
              <w:widowControl w:val="0"/>
              <w:jc w:val="both"/>
              <w:rPr>
                <w:rFonts w:hint="eastAsia" w:ascii="宋体" w:hAnsi="宋体" w:eastAsia="宋体" w:cs="宋体"/>
                <w:color w:val="auto"/>
                <w:kern w:val="2"/>
                <w:sz w:val="21"/>
                <w:szCs w:val="21"/>
                <w:highlight w:val="none"/>
                <w:lang w:val="en-US" w:eastAsia="zh-CN" w:bidi="ar-SA"/>
              </w:rPr>
            </w:pPr>
          </w:p>
          <w:p w14:paraId="178EC942">
            <w:pPr>
              <w:widowControl w:val="0"/>
              <w:jc w:val="both"/>
              <w:rPr>
                <w:rFonts w:hint="eastAsia" w:ascii="宋体" w:hAnsi="宋体" w:eastAsia="宋体" w:cs="宋体"/>
                <w:color w:val="auto"/>
                <w:kern w:val="2"/>
                <w:sz w:val="21"/>
                <w:szCs w:val="21"/>
                <w:highlight w:val="none"/>
                <w:lang w:val="en-US" w:eastAsia="zh-CN" w:bidi="ar-SA"/>
              </w:rPr>
            </w:pPr>
          </w:p>
          <w:p w14:paraId="7EE23549">
            <w:pPr>
              <w:widowControl w:val="0"/>
              <w:jc w:val="both"/>
              <w:rPr>
                <w:rFonts w:hint="eastAsia" w:ascii="宋体" w:hAnsi="宋体" w:eastAsia="宋体" w:cs="宋体"/>
                <w:color w:val="auto"/>
                <w:kern w:val="2"/>
                <w:sz w:val="21"/>
                <w:szCs w:val="21"/>
                <w:highlight w:val="none"/>
                <w:lang w:val="en-US" w:eastAsia="zh-CN" w:bidi="ar-SA"/>
              </w:rPr>
            </w:pPr>
          </w:p>
          <w:p w14:paraId="5E66163B">
            <w:pPr>
              <w:widowControl w:val="0"/>
              <w:jc w:val="both"/>
              <w:rPr>
                <w:rFonts w:hint="eastAsia" w:ascii="宋体" w:hAnsi="宋体" w:eastAsia="宋体" w:cs="宋体"/>
                <w:color w:val="auto"/>
                <w:kern w:val="2"/>
                <w:sz w:val="21"/>
                <w:szCs w:val="21"/>
                <w:highlight w:val="none"/>
                <w:lang w:val="en-US" w:eastAsia="zh-CN" w:bidi="ar-SA"/>
              </w:rPr>
            </w:pPr>
          </w:p>
          <w:p w14:paraId="17817396">
            <w:pPr>
              <w:widowControl w:val="0"/>
              <w:jc w:val="both"/>
              <w:rPr>
                <w:rFonts w:hint="eastAsia" w:ascii="宋体" w:hAnsi="宋体" w:eastAsia="宋体" w:cs="宋体"/>
                <w:color w:val="auto"/>
                <w:kern w:val="2"/>
                <w:sz w:val="21"/>
                <w:szCs w:val="21"/>
                <w:highlight w:val="none"/>
                <w:lang w:val="en-US" w:eastAsia="zh-CN" w:bidi="ar-SA"/>
              </w:rPr>
            </w:pPr>
          </w:p>
          <w:p w14:paraId="453CABB5">
            <w:pPr>
              <w:widowControl w:val="0"/>
              <w:jc w:val="both"/>
              <w:rPr>
                <w:rFonts w:hint="eastAsia" w:ascii="宋体" w:hAnsi="宋体" w:eastAsia="宋体" w:cs="宋体"/>
                <w:color w:val="auto"/>
                <w:kern w:val="2"/>
                <w:sz w:val="21"/>
                <w:szCs w:val="21"/>
                <w:highlight w:val="none"/>
                <w:lang w:val="en-US" w:eastAsia="zh-CN" w:bidi="ar-SA"/>
              </w:rPr>
            </w:pPr>
          </w:p>
          <w:p w14:paraId="748BFB11">
            <w:pPr>
              <w:widowControl w:val="0"/>
              <w:jc w:val="both"/>
              <w:rPr>
                <w:rFonts w:hint="eastAsia" w:ascii="宋体" w:hAnsi="宋体" w:eastAsia="宋体" w:cs="宋体"/>
                <w:color w:val="auto"/>
                <w:kern w:val="2"/>
                <w:sz w:val="21"/>
                <w:szCs w:val="21"/>
                <w:highlight w:val="none"/>
                <w:lang w:val="en-US" w:eastAsia="zh-CN" w:bidi="ar-SA"/>
              </w:rPr>
            </w:pPr>
          </w:p>
          <w:p w14:paraId="0B2BC5F3">
            <w:pPr>
              <w:widowControl w:val="0"/>
              <w:jc w:val="both"/>
              <w:rPr>
                <w:rFonts w:hint="eastAsia" w:ascii="宋体" w:hAnsi="宋体" w:eastAsia="宋体" w:cs="宋体"/>
                <w:color w:val="auto"/>
                <w:kern w:val="2"/>
                <w:sz w:val="21"/>
                <w:szCs w:val="21"/>
                <w:highlight w:val="none"/>
                <w:lang w:val="en-US" w:eastAsia="zh-CN" w:bidi="ar-SA"/>
              </w:rPr>
            </w:pPr>
          </w:p>
          <w:p w14:paraId="08224BED">
            <w:pPr>
              <w:widowControl w:val="0"/>
              <w:jc w:val="both"/>
              <w:rPr>
                <w:rFonts w:hint="eastAsia" w:ascii="宋体" w:hAnsi="宋体" w:eastAsia="宋体" w:cs="宋体"/>
                <w:color w:val="auto"/>
                <w:kern w:val="2"/>
                <w:sz w:val="21"/>
                <w:szCs w:val="21"/>
                <w:highlight w:val="none"/>
                <w:lang w:val="en-US" w:eastAsia="zh-CN" w:bidi="ar-SA"/>
              </w:rPr>
            </w:pPr>
          </w:p>
          <w:p w14:paraId="67EC4ACC">
            <w:pPr>
              <w:widowControl w:val="0"/>
              <w:jc w:val="both"/>
              <w:rPr>
                <w:rFonts w:hint="eastAsia" w:ascii="宋体" w:hAnsi="宋体" w:eastAsia="宋体" w:cs="宋体"/>
                <w:color w:val="auto"/>
                <w:kern w:val="2"/>
                <w:sz w:val="21"/>
                <w:szCs w:val="21"/>
                <w:highlight w:val="none"/>
                <w:lang w:val="en-US" w:eastAsia="zh-CN" w:bidi="ar-SA"/>
              </w:rPr>
            </w:pPr>
          </w:p>
          <w:p w14:paraId="0F23169E">
            <w:pPr>
              <w:widowControl w:val="0"/>
              <w:jc w:val="both"/>
              <w:rPr>
                <w:rFonts w:hint="eastAsia" w:ascii="宋体" w:hAnsi="宋体" w:eastAsia="宋体" w:cs="宋体"/>
                <w:color w:val="auto"/>
                <w:kern w:val="2"/>
                <w:sz w:val="21"/>
                <w:szCs w:val="21"/>
                <w:highlight w:val="none"/>
                <w:lang w:val="en-US" w:eastAsia="zh-CN" w:bidi="ar-SA"/>
              </w:rPr>
            </w:pPr>
          </w:p>
          <w:p w14:paraId="62395DE7">
            <w:pPr>
              <w:widowControl w:val="0"/>
              <w:jc w:val="both"/>
              <w:rPr>
                <w:rFonts w:hint="eastAsia" w:ascii="宋体" w:hAnsi="宋体" w:eastAsia="宋体" w:cs="宋体"/>
                <w:color w:val="auto"/>
                <w:kern w:val="2"/>
                <w:sz w:val="21"/>
                <w:szCs w:val="21"/>
                <w:highlight w:val="none"/>
                <w:lang w:val="en-US" w:eastAsia="zh-CN" w:bidi="ar-SA"/>
              </w:rPr>
            </w:pPr>
          </w:p>
          <w:p w14:paraId="6731EEA6">
            <w:pPr>
              <w:widowControl w:val="0"/>
              <w:jc w:val="both"/>
              <w:rPr>
                <w:rFonts w:hint="eastAsia" w:ascii="宋体" w:hAnsi="宋体" w:eastAsia="宋体" w:cs="宋体"/>
                <w:color w:val="auto"/>
                <w:kern w:val="2"/>
                <w:sz w:val="21"/>
                <w:szCs w:val="21"/>
                <w:highlight w:val="none"/>
                <w:lang w:val="en-US" w:eastAsia="zh-CN" w:bidi="ar-SA"/>
              </w:rPr>
            </w:pPr>
          </w:p>
          <w:p w14:paraId="55F72E8C">
            <w:pPr>
              <w:widowControl w:val="0"/>
              <w:jc w:val="both"/>
              <w:rPr>
                <w:rFonts w:hint="eastAsia" w:ascii="宋体" w:hAnsi="宋体" w:eastAsia="宋体" w:cs="宋体"/>
                <w:color w:val="auto"/>
                <w:kern w:val="2"/>
                <w:sz w:val="21"/>
                <w:szCs w:val="21"/>
                <w:highlight w:val="none"/>
                <w:lang w:val="en-US" w:eastAsia="zh-CN" w:bidi="ar-SA"/>
              </w:rPr>
            </w:pPr>
          </w:p>
          <w:p w14:paraId="75938CD0">
            <w:pPr>
              <w:widowControl w:val="0"/>
              <w:jc w:val="both"/>
              <w:rPr>
                <w:rFonts w:hint="eastAsia" w:ascii="宋体" w:hAnsi="宋体" w:eastAsia="宋体" w:cs="宋体"/>
                <w:color w:val="auto"/>
                <w:kern w:val="2"/>
                <w:sz w:val="21"/>
                <w:szCs w:val="21"/>
                <w:highlight w:val="none"/>
                <w:lang w:val="en-US" w:eastAsia="zh-CN" w:bidi="ar-SA"/>
              </w:rPr>
            </w:pPr>
          </w:p>
          <w:p w14:paraId="2B46A9D7">
            <w:pPr>
              <w:widowControl w:val="0"/>
              <w:jc w:val="both"/>
              <w:rPr>
                <w:rFonts w:hint="eastAsia" w:ascii="宋体" w:hAnsi="宋体" w:eastAsia="宋体" w:cs="宋体"/>
                <w:color w:val="auto"/>
                <w:kern w:val="2"/>
                <w:sz w:val="21"/>
                <w:szCs w:val="21"/>
                <w:highlight w:val="none"/>
                <w:lang w:val="en-US" w:eastAsia="zh-CN" w:bidi="ar-SA"/>
              </w:rPr>
            </w:pPr>
          </w:p>
          <w:p w14:paraId="1CB3D177">
            <w:pPr>
              <w:widowControl w:val="0"/>
              <w:jc w:val="both"/>
              <w:rPr>
                <w:rFonts w:hint="eastAsia" w:ascii="宋体" w:hAnsi="宋体" w:eastAsia="宋体" w:cs="宋体"/>
                <w:color w:val="auto"/>
                <w:kern w:val="2"/>
                <w:sz w:val="21"/>
                <w:szCs w:val="21"/>
                <w:highlight w:val="none"/>
                <w:lang w:val="en-US" w:eastAsia="zh-CN" w:bidi="ar-SA"/>
              </w:rPr>
            </w:pPr>
          </w:p>
          <w:p w14:paraId="35B8F536">
            <w:pPr>
              <w:widowControl w:val="0"/>
              <w:jc w:val="both"/>
              <w:rPr>
                <w:rFonts w:hint="eastAsia" w:ascii="宋体" w:hAnsi="宋体" w:eastAsia="宋体" w:cs="宋体"/>
                <w:color w:val="auto"/>
                <w:kern w:val="2"/>
                <w:sz w:val="21"/>
                <w:szCs w:val="21"/>
                <w:highlight w:val="none"/>
                <w:lang w:val="en-US" w:eastAsia="zh-CN" w:bidi="ar-SA"/>
              </w:rPr>
            </w:pPr>
          </w:p>
          <w:p w14:paraId="0F3F74E9">
            <w:pPr>
              <w:widowControl w:val="0"/>
              <w:jc w:val="both"/>
              <w:rPr>
                <w:rFonts w:hint="eastAsia" w:ascii="宋体" w:hAnsi="宋体" w:eastAsia="宋体" w:cs="宋体"/>
                <w:color w:val="auto"/>
                <w:kern w:val="2"/>
                <w:sz w:val="21"/>
                <w:szCs w:val="21"/>
                <w:highlight w:val="none"/>
                <w:lang w:val="en-US" w:eastAsia="zh-CN" w:bidi="ar-SA"/>
              </w:rPr>
            </w:pPr>
          </w:p>
          <w:p w14:paraId="0CCFB87C">
            <w:pPr>
              <w:widowControl w:val="0"/>
              <w:jc w:val="both"/>
              <w:rPr>
                <w:rFonts w:hint="eastAsia" w:ascii="宋体" w:hAnsi="宋体" w:eastAsia="宋体" w:cs="宋体"/>
                <w:color w:val="auto"/>
                <w:kern w:val="2"/>
                <w:sz w:val="21"/>
                <w:szCs w:val="21"/>
                <w:highlight w:val="none"/>
                <w:lang w:val="en-US" w:eastAsia="zh-CN" w:bidi="ar-SA"/>
              </w:rPr>
            </w:pPr>
          </w:p>
          <w:p w14:paraId="0F0614F5">
            <w:pPr>
              <w:widowControl w:val="0"/>
              <w:jc w:val="both"/>
              <w:rPr>
                <w:rFonts w:hint="eastAsia" w:ascii="宋体" w:hAnsi="宋体" w:eastAsia="宋体" w:cs="宋体"/>
                <w:color w:val="auto"/>
                <w:kern w:val="2"/>
                <w:sz w:val="21"/>
                <w:szCs w:val="21"/>
                <w:highlight w:val="none"/>
                <w:lang w:val="en-US" w:eastAsia="zh-CN" w:bidi="ar-SA"/>
              </w:rPr>
            </w:pPr>
          </w:p>
          <w:p w14:paraId="4762BF06">
            <w:pPr>
              <w:widowControl w:val="0"/>
              <w:jc w:val="both"/>
              <w:rPr>
                <w:rFonts w:hint="eastAsia" w:ascii="宋体" w:hAnsi="宋体" w:eastAsia="宋体" w:cs="宋体"/>
                <w:color w:val="auto"/>
                <w:kern w:val="2"/>
                <w:sz w:val="21"/>
                <w:szCs w:val="21"/>
                <w:highlight w:val="none"/>
                <w:lang w:val="en-US" w:eastAsia="zh-CN" w:bidi="ar-SA"/>
              </w:rPr>
            </w:pPr>
          </w:p>
          <w:p w14:paraId="7A527D2C">
            <w:pPr>
              <w:widowControl w:val="0"/>
              <w:jc w:val="both"/>
              <w:rPr>
                <w:rFonts w:hint="eastAsia" w:ascii="宋体" w:hAnsi="宋体" w:eastAsia="宋体" w:cs="宋体"/>
                <w:color w:val="auto"/>
                <w:kern w:val="2"/>
                <w:sz w:val="21"/>
                <w:szCs w:val="21"/>
                <w:highlight w:val="none"/>
                <w:lang w:val="en-US" w:eastAsia="zh-CN" w:bidi="ar-SA"/>
              </w:rPr>
            </w:pPr>
          </w:p>
          <w:p w14:paraId="4BE9723E">
            <w:pPr>
              <w:widowControl w:val="0"/>
              <w:jc w:val="both"/>
              <w:rPr>
                <w:rFonts w:hint="eastAsia" w:ascii="宋体" w:hAnsi="宋体" w:eastAsia="宋体" w:cs="宋体"/>
                <w:color w:val="auto"/>
                <w:kern w:val="2"/>
                <w:sz w:val="21"/>
                <w:szCs w:val="21"/>
                <w:highlight w:val="none"/>
                <w:lang w:val="en-US" w:eastAsia="zh-CN" w:bidi="ar-SA"/>
              </w:rPr>
            </w:pPr>
          </w:p>
          <w:p w14:paraId="5C8151F7">
            <w:pPr>
              <w:widowControl w:val="0"/>
              <w:jc w:val="both"/>
              <w:rPr>
                <w:rFonts w:hint="eastAsia" w:ascii="宋体" w:hAnsi="宋体" w:eastAsia="宋体" w:cs="宋体"/>
                <w:color w:val="auto"/>
                <w:kern w:val="2"/>
                <w:sz w:val="21"/>
                <w:szCs w:val="21"/>
                <w:highlight w:val="none"/>
                <w:lang w:val="en-US" w:eastAsia="zh-CN" w:bidi="ar-SA"/>
              </w:rPr>
            </w:pPr>
          </w:p>
          <w:p w14:paraId="37AFED17">
            <w:pPr>
              <w:widowControl w:val="0"/>
              <w:jc w:val="both"/>
              <w:rPr>
                <w:rFonts w:hint="eastAsia" w:ascii="宋体" w:hAnsi="宋体" w:eastAsia="宋体" w:cs="宋体"/>
                <w:color w:val="auto"/>
                <w:kern w:val="2"/>
                <w:sz w:val="21"/>
                <w:szCs w:val="21"/>
                <w:highlight w:val="none"/>
                <w:lang w:val="en-US" w:eastAsia="zh-CN" w:bidi="ar-SA"/>
              </w:rPr>
            </w:pPr>
          </w:p>
          <w:p w14:paraId="32BCF536">
            <w:pPr>
              <w:widowControl w:val="0"/>
              <w:jc w:val="both"/>
              <w:rPr>
                <w:rFonts w:hint="eastAsia" w:ascii="宋体" w:hAnsi="宋体" w:eastAsia="宋体" w:cs="宋体"/>
                <w:color w:val="auto"/>
                <w:kern w:val="2"/>
                <w:sz w:val="21"/>
                <w:szCs w:val="21"/>
                <w:highlight w:val="none"/>
                <w:lang w:val="en-US" w:eastAsia="zh-CN" w:bidi="ar-SA"/>
              </w:rPr>
            </w:pPr>
          </w:p>
          <w:p w14:paraId="49851796">
            <w:pPr>
              <w:widowControl w:val="0"/>
              <w:jc w:val="both"/>
              <w:rPr>
                <w:rFonts w:hint="eastAsia" w:ascii="宋体" w:hAnsi="宋体" w:eastAsia="宋体" w:cs="宋体"/>
                <w:color w:val="auto"/>
                <w:kern w:val="2"/>
                <w:sz w:val="21"/>
                <w:szCs w:val="21"/>
                <w:highlight w:val="none"/>
                <w:lang w:val="en-US" w:eastAsia="zh-CN" w:bidi="ar-SA"/>
              </w:rPr>
            </w:pPr>
          </w:p>
          <w:p w14:paraId="681AD8FB">
            <w:pPr>
              <w:widowControl w:val="0"/>
              <w:jc w:val="both"/>
              <w:rPr>
                <w:rFonts w:hint="eastAsia" w:ascii="宋体" w:hAnsi="宋体" w:eastAsia="宋体" w:cs="宋体"/>
                <w:color w:val="auto"/>
                <w:kern w:val="2"/>
                <w:sz w:val="21"/>
                <w:szCs w:val="21"/>
                <w:highlight w:val="none"/>
                <w:lang w:val="en-US" w:eastAsia="zh-CN" w:bidi="ar-SA"/>
              </w:rPr>
            </w:pPr>
          </w:p>
          <w:p w14:paraId="782419F3">
            <w:pPr>
              <w:outlineLvl w:val="9"/>
              <w:rPr>
                <w:rFonts w:ascii="Times New Roman" w:hAnsi="Times New Roman" w:eastAsia="宋体" w:cs="宋体"/>
                <w:color w:val="auto"/>
                <w:highlight w:val="none"/>
                <w:vertAlign w:val="baseline"/>
              </w:rPr>
            </w:pPr>
          </w:p>
        </w:tc>
      </w:tr>
    </w:tbl>
    <w:p w14:paraId="6C245AA8">
      <w:pPr>
        <w:outlineLvl w:val="9"/>
        <w:rPr>
          <w:rFonts w:ascii="Times New Roman" w:hAnsi="Times New Roman" w:eastAsia="宋体" w:cs="宋体"/>
          <w:color w:val="auto"/>
          <w:highlight w:val="none"/>
        </w:rPr>
      </w:pPr>
    </w:p>
    <w:p w14:paraId="799FC568">
      <w:pPr>
        <w:pStyle w:val="19"/>
        <w:outlineLvl w:val="9"/>
        <w:rPr>
          <w:rFonts w:hint="eastAsia" w:ascii="宋体" w:hAnsi="宋体" w:eastAsia="宋体" w:cs="宋体"/>
          <w:b/>
          <w:bCs/>
          <w:color w:val="auto"/>
          <w:sz w:val="24"/>
          <w:szCs w:val="24"/>
          <w:highlight w:val="none"/>
        </w:rPr>
      </w:pPr>
    </w:p>
    <w:p w14:paraId="1BE3471D">
      <w:pP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06BD1450">
      <w:pPr>
        <w:keepNext w:val="0"/>
        <w:keepLines w:val="0"/>
        <w:widowControl/>
        <w:suppressLineNumbers w:val="0"/>
        <w:jc w:val="both"/>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1.4.4 纳入节能产品政府采购清单的投标产品及纳入环境标志产品政府采购清单的投标产品的证明材料（格式）</w:t>
      </w:r>
    </w:p>
    <w:tbl>
      <w:tblPr>
        <w:tblStyle w:val="5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78"/>
        <w:gridCol w:w="1090"/>
        <w:gridCol w:w="2767"/>
        <w:gridCol w:w="1290"/>
      </w:tblGrid>
      <w:tr w14:paraId="330A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52" w:type="dxa"/>
            <w:noWrap w:val="0"/>
            <w:vAlign w:val="center"/>
          </w:tcPr>
          <w:p w14:paraId="435990A9">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产品名称</w:t>
            </w:r>
          </w:p>
        </w:tc>
        <w:tc>
          <w:tcPr>
            <w:tcW w:w="3078" w:type="dxa"/>
            <w:noWrap w:val="0"/>
            <w:vAlign w:val="center"/>
          </w:tcPr>
          <w:p w14:paraId="45BA753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是否纳入节能产品政府采购清单的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w:t>
            </w:r>
          </w:p>
        </w:tc>
        <w:tc>
          <w:tcPr>
            <w:tcW w:w="1090" w:type="dxa"/>
            <w:noWrap w:val="0"/>
            <w:vAlign w:val="center"/>
          </w:tcPr>
          <w:p w14:paraId="71DB1E7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产品名称</w:t>
            </w:r>
          </w:p>
        </w:tc>
        <w:tc>
          <w:tcPr>
            <w:tcW w:w="2767" w:type="dxa"/>
            <w:noWrap w:val="0"/>
            <w:vAlign w:val="center"/>
          </w:tcPr>
          <w:p w14:paraId="7FAAAAE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是否纳入环境标志产品政府采购清单的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w:t>
            </w:r>
          </w:p>
        </w:tc>
        <w:tc>
          <w:tcPr>
            <w:tcW w:w="1290" w:type="dxa"/>
            <w:noWrap w:val="0"/>
            <w:vAlign w:val="center"/>
          </w:tcPr>
          <w:p w14:paraId="5255371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588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438C49D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53B5FCA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4BBBB37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1464825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13F268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495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1538C0E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492A3AD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CA7175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E2B24B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1DC23A40">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29B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F9D54D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C80BA6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5E0DC63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282050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603F2E1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03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0CFA34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3EFBFB4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56B6D31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3F16F4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F25F1C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1BED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CFB16E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037D070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44248F6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6C6031D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235B4B8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4AA1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742D0FF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09FB659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1C2A877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5E92EE9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1354F2B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021B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6BED960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F7293B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30D53D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6DC794E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3BFA4B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32A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44193BC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464BCAE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467BD3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04A66E8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366A200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405E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2" w:type="dxa"/>
            <w:noWrap w:val="0"/>
            <w:vAlign w:val="top"/>
          </w:tcPr>
          <w:p w14:paraId="77EE63A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73CBC0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5CFCC7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D49FDC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2480BD4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bl>
    <w:p w14:paraId="2A1A4B89">
      <w:pPr>
        <w:outlineLvl w:val="9"/>
        <w:rPr>
          <w:rFonts w:hint="eastAsia" w:ascii="宋体" w:hAnsi="宋体" w:eastAsia="宋体" w:cs="宋体"/>
          <w:color w:val="auto"/>
          <w:sz w:val="21"/>
          <w:szCs w:val="21"/>
          <w:highlight w:val="none"/>
        </w:rPr>
      </w:pPr>
    </w:p>
    <w:p w14:paraId="6D55C48A">
      <w:pPr>
        <w:outlineLvl w:val="9"/>
        <w:rPr>
          <w:color w:val="auto"/>
          <w:highlight w:val="none"/>
          <w:lang w:val="en-US" w:eastAsia="zh-CN"/>
        </w:rPr>
      </w:pPr>
      <w:r>
        <w:rPr>
          <w:rFonts w:hint="eastAsia" w:ascii="宋体" w:hAnsi="宋体" w:eastAsia="宋体" w:cs="宋体"/>
          <w:color w:val="auto"/>
          <w:sz w:val="21"/>
          <w:szCs w:val="21"/>
          <w:highlight w:val="none"/>
        </w:rPr>
        <w:t>后附在有效期内的认证证书及相关材料，</w:t>
      </w:r>
      <w:r>
        <w:rPr>
          <w:rFonts w:hint="eastAsia" w:ascii="宋体" w:hAnsi="宋体" w:eastAsia="宋体" w:cs="宋体"/>
          <w:b/>
          <w:bCs/>
          <w:color w:val="auto"/>
          <w:sz w:val="21"/>
          <w:szCs w:val="21"/>
          <w:highlight w:val="none"/>
        </w:rPr>
        <w:t>如不填写此表或不提供认证证书及相关材料，不享受政府采购政策优惠。</w:t>
      </w:r>
    </w:p>
    <w:p w14:paraId="7707E55D">
      <w:pPr>
        <w:rPr>
          <w:color w:val="auto"/>
          <w:highlight w:val="none"/>
          <w:lang w:val="en-US" w:eastAsia="zh-CN"/>
        </w:rPr>
      </w:pPr>
      <w:r>
        <w:rPr>
          <w:color w:val="auto"/>
          <w:highlight w:val="none"/>
          <w:lang w:val="en-US" w:eastAsia="zh-CN"/>
        </w:rPr>
        <w:br w:type="page"/>
      </w:r>
    </w:p>
    <w:p w14:paraId="4930812B">
      <w:pPr>
        <w:widowControl/>
        <w:spacing w:line="360" w:lineRule="auto"/>
        <w:jc w:val="left"/>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rPr>
        <w:t>采购项目有特殊要求的，供应商应当提供其符合特殊要求的其他资格证明文件</w:t>
      </w:r>
    </w:p>
    <w:p w14:paraId="22A6EFE9">
      <w:pPr>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1.5.1</w:t>
      </w:r>
      <w:r>
        <w:rPr>
          <w:rFonts w:hint="eastAsia" w:ascii="宋体" w:hAnsi="宋体" w:eastAsia="宋体" w:cs="宋体"/>
          <w:bCs/>
          <w:color w:val="auto"/>
          <w:sz w:val="24"/>
          <w:highlight w:val="none"/>
        </w:rPr>
        <w:t>投标产品属于医疗器械的，须提供《医疗器械注册证》或《医疗器械备案凭证》；</w:t>
      </w:r>
    </w:p>
    <w:p w14:paraId="0508C9DC">
      <w:pPr>
        <w:spacing w:line="360" w:lineRule="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1.5.2</w:t>
      </w:r>
      <w:r>
        <w:rPr>
          <w:rFonts w:hint="eastAsia" w:ascii="宋体" w:hAnsi="宋体" w:eastAsia="宋体" w:cs="宋体"/>
          <w:bCs/>
          <w:color w:val="auto"/>
          <w:sz w:val="24"/>
          <w:highlight w:val="none"/>
        </w:rPr>
        <w:t>投标产品属于医疗器械的，投标人应具有合法的医疗器械经营资格，须提供证明材料</w:t>
      </w:r>
      <w:r>
        <w:rPr>
          <w:rFonts w:hint="eastAsia" w:ascii="宋体" w:hAnsi="宋体" w:eastAsia="宋体" w:cs="宋体"/>
          <w:bCs/>
          <w:color w:val="auto"/>
          <w:sz w:val="24"/>
          <w:highlight w:val="none"/>
          <w:lang w:eastAsia="zh-CN"/>
        </w:rPr>
        <w:t>；</w:t>
      </w:r>
    </w:p>
    <w:p w14:paraId="1A36AE32">
      <w:pPr>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其中：</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如为制造商须具备《医疗器械生产许可证》或《医疗器械生产备案凭证》；</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如为代理商须具备《医疗器械经营许可证》或《医疗器械经营备案凭证》；</w:t>
      </w:r>
    </w:p>
    <w:p w14:paraId="69F92DC6">
      <w:pPr>
        <w:spacing w:line="360" w:lineRule="auto"/>
        <w:outlineLvl w:val="9"/>
        <w:rPr>
          <w:rFonts w:hint="eastAsia" w:ascii="宋体" w:hAnsi="宋体" w:cs="宋体"/>
          <w:color w:val="auto"/>
          <w:highlight w:val="none"/>
        </w:rPr>
      </w:pPr>
      <w:r>
        <w:rPr>
          <w:rFonts w:hint="eastAsia" w:ascii="宋体" w:hAnsi="宋体" w:eastAsia="宋体" w:cs="宋体"/>
          <w:bCs/>
          <w:color w:val="auto"/>
          <w:sz w:val="24"/>
          <w:highlight w:val="none"/>
        </w:rPr>
        <w:t>上述</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须提供的资格文件均应为有效文件并加盖本单位公章（如</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rPr>
        <w:t>文件附件格式需要法定代表人或授权代表签字的，须同时按照要求进行签字），否则评标时不予认可。</w:t>
      </w:r>
    </w:p>
    <w:p w14:paraId="17948334">
      <w:pPr>
        <w:pStyle w:val="3"/>
        <w:rPr>
          <w:highlight w:val="none"/>
          <w:lang w:val="en-US" w:eastAsia="zh-CN"/>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3CD8F27E">
      <w:pPr>
        <w:widowControl/>
        <w:spacing w:line="360" w:lineRule="auto"/>
        <w:jc w:val="left"/>
        <w:outlineLvl w:val="9"/>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1.6</w:t>
      </w:r>
      <w:r>
        <w:rPr>
          <w:rFonts w:hint="eastAsia" w:ascii="宋体" w:hAnsi="宋体" w:eastAsia="宋体" w:cs="宋体"/>
          <w:b/>
          <w:bCs/>
          <w:color w:val="auto"/>
          <w:kern w:val="0"/>
          <w:sz w:val="24"/>
          <w:highlight w:val="none"/>
        </w:rPr>
        <w:t>其他资格证明文件</w:t>
      </w:r>
    </w:p>
    <w:p w14:paraId="00B62C7F">
      <w:pPr>
        <w:spacing w:line="360" w:lineRule="auto"/>
        <w:outlineLvl w:val="9"/>
        <w:rPr>
          <w:rFonts w:hint="eastAsia" w:ascii="宋体" w:hAnsi="宋体" w:cs="宋体"/>
          <w:bCs/>
          <w:color w:val="auto"/>
          <w:sz w:val="24"/>
          <w:highlight w:val="none"/>
          <w:lang w:val="en-US" w:eastAsia="zh-CN"/>
        </w:rPr>
      </w:pPr>
    </w:p>
    <w:p w14:paraId="2FCF62D5">
      <w:pPr>
        <w:spacing w:line="360" w:lineRule="auto"/>
        <w:outlineLvl w:val="9"/>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说明：</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须提供的资格文件均应为有效文件并加盖本单位公章（如</w:t>
      </w:r>
      <w:r>
        <w:rPr>
          <w:rFonts w:hint="eastAsia" w:ascii="宋体" w:hAnsi="宋体" w:eastAsia="宋体" w:cs="宋体"/>
          <w:bCs/>
          <w:color w:val="auto"/>
          <w:sz w:val="24"/>
          <w:highlight w:val="none"/>
          <w:lang w:eastAsia="zh-CN"/>
        </w:rPr>
        <w:t>磋商文件</w:t>
      </w:r>
      <w:r>
        <w:rPr>
          <w:rFonts w:hint="eastAsia" w:ascii="宋体" w:hAnsi="宋体" w:eastAsia="宋体" w:cs="宋体"/>
          <w:bCs/>
          <w:color w:val="auto"/>
          <w:sz w:val="24"/>
          <w:highlight w:val="none"/>
        </w:rPr>
        <w:t>附件格式需要法定代表人或授权代表签字的，须同时按照要求进行签字），否则评</w:t>
      </w:r>
      <w:r>
        <w:rPr>
          <w:rFonts w:hint="eastAsia" w:ascii="宋体" w:hAnsi="宋体" w:cs="宋体"/>
          <w:bCs/>
          <w:color w:val="auto"/>
          <w:sz w:val="24"/>
          <w:highlight w:val="none"/>
          <w:lang w:val="en-US" w:eastAsia="zh-CN"/>
        </w:rPr>
        <w:t>审</w:t>
      </w:r>
      <w:r>
        <w:rPr>
          <w:rFonts w:hint="eastAsia" w:ascii="宋体" w:hAnsi="宋体" w:eastAsia="宋体" w:cs="宋体"/>
          <w:bCs/>
          <w:color w:val="auto"/>
          <w:sz w:val="24"/>
          <w:highlight w:val="none"/>
        </w:rPr>
        <w:t>时不予认可</w:t>
      </w:r>
    </w:p>
    <w:p w14:paraId="50D349FD">
      <w:pPr>
        <w:pStyle w:val="42"/>
        <w:rPr>
          <w:rFonts w:hint="eastAsia" w:ascii="宋体" w:hAnsi="宋体" w:eastAsia="宋体" w:cs="宋体"/>
          <w:bCs/>
          <w:color w:val="auto"/>
          <w:sz w:val="24"/>
          <w:highlight w:val="none"/>
        </w:rPr>
      </w:pPr>
    </w:p>
    <w:p w14:paraId="3A6D6B2D">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4603D110">
      <w:pPr>
        <w:widowControl/>
        <w:numPr>
          <w:ilvl w:val="0"/>
          <w:numId w:val="27"/>
        </w:numPr>
        <w:jc w:val="left"/>
        <w:outlineLvl w:val="9"/>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商务、技术要求</w:t>
      </w:r>
    </w:p>
    <w:p w14:paraId="16E903A4">
      <w:pPr>
        <w:widowControl/>
        <w:numPr>
          <w:ilvl w:val="-1"/>
          <w:numId w:val="0"/>
        </w:numPr>
        <w:jc w:val="left"/>
        <w:outlineLvl w:val="9"/>
        <w:rPr>
          <w:rFonts w:hint="default" w:ascii="宋体" w:hAnsi="宋体" w:cs="宋体"/>
          <w:b/>
          <w:bCs/>
          <w:color w:val="auto"/>
          <w:kern w:val="0"/>
          <w:sz w:val="32"/>
          <w:szCs w:val="32"/>
          <w:highlight w:val="none"/>
          <w:lang w:val="en-US" w:eastAsia="zh-CN"/>
        </w:rPr>
      </w:pPr>
    </w:p>
    <w:p w14:paraId="252858B6">
      <w:pPr>
        <w:widowControl/>
        <w:jc w:val="center"/>
        <w:outlineLvl w:val="9"/>
        <w:rPr>
          <w:rFonts w:ascii="宋体" w:hAnsi="宋体" w:cs="宋体"/>
          <w:color w:val="auto"/>
          <w:sz w:val="32"/>
          <w:szCs w:val="32"/>
          <w:highlight w:val="none"/>
        </w:rPr>
      </w:pPr>
      <w:r>
        <w:rPr>
          <w:rFonts w:hint="eastAsia" w:ascii="宋体" w:hAnsi="宋体" w:cs="宋体"/>
          <w:b/>
          <w:bCs/>
          <w:color w:val="auto"/>
          <w:kern w:val="0"/>
          <w:sz w:val="32"/>
          <w:szCs w:val="32"/>
          <w:highlight w:val="none"/>
        </w:rPr>
        <w:t>格式 1.</w:t>
      </w:r>
      <w:r>
        <w:rPr>
          <w:rFonts w:hint="eastAsia" w:ascii="宋体" w:hAnsi="宋体" w:cs="宋体"/>
          <w:b/>
          <w:bCs/>
          <w:color w:val="auto"/>
          <w:kern w:val="0"/>
          <w:sz w:val="32"/>
          <w:szCs w:val="32"/>
          <w:highlight w:val="none"/>
          <w:lang w:eastAsia="zh-CN"/>
        </w:rPr>
        <w:t>响应</w:t>
      </w:r>
      <w:r>
        <w:rPr>
          <w:rFonts w:hint="eastAsia" w:ascii="宋体" w:hAnsi="宋体" w:cs="宋体"/>
          <w:b/>
          <w:bCs/>
          <w:color w:val="auto"/>
          <w:kern w:val="0"/>
          <w:sz w:val="32"/>
          <w:szCs w:val="32"/>
          <w:highlight w:val="none"/>
          <w:lang w:val="en-US" w:eastAsia="zh-CN"/>
        </w:rPr>
        <w:t>函</w:t>
      </w:r>
      <w:r>
        <w:rPr>
          <w:rFonts w:hint="eastAsia" w:ascii="宋体" w:hAnsi="宋体" w:cs="宋体"/>
          <w:b/>
          <w:bCs/>
          <w:color w:val="auto"/>
          <w:kern w:val="0"/>
          <w:sz w:val="32"/>
          <w:szCs w:val="32"/>
          <w:highlight w:val="none"/>
        </w:rPr>
        <w:t>（格式）</w:t>
      </w:r>
    </w:p>
    <w:p w14:paraId="6FF1EA99">
      <w:pPr>
        <w:widowControl/>
        <w:jc w:val="left"/>
        <w:outlineLvl w:val="9"/>
        <w:rPr>
          <w:rFonts w:ascii="宋体" w:hAnsi="宋体" w:cs="宋体"/>
          <w:color w:val="auto"/>
          <w:kern w:val="0"/>
          <w:sz w:val="24"/>
          <w:highlight w:val="none"/>
        </w:rPr>
      </w:pPr>
    </w:p>
    <w:p w14:paraId="4A47AD85">
      <w:pPr>
        <w:spacing w:before="120" w:beforeLines="50" w:after="120" w:afterLines="50" w:line="360" w:lineRule="auto"/>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lang w:val="en-US" w:eastAsia="zh-CN"/>
        </w:rPr>
        <w:t xml:space="preserve">                  </w:t>
      </w:r>
    </w:p>
    <w:p w14:paraId="5DE47147">
      <w:pPr>
        <w:spacing w:before="120" w:beforeLines="50" w:after="120" w:afterLines="50"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val="en-US" w:eastAsia="zh-CN"/>
        </w:rPr>
        <w:t>/包号（如有）</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C5AAE2E">
      <w:pPr>
        <w:tabs>
          <w:tab w:val="left" w:pos="6300"/>
        </w:tabs>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（采购人名称）</w:t>
      </w:r>
    </w:p>
    <w:p w14:paraId="6C76C1A9">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（供应商名称）系中华人民共和国合法企业，注册地址：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。我方就参加本次磋商有关事项郑重声明如下：</w:t>
      </w:r>
    </w:p>
    <w:p w14:paraId="5A43533F">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一、我方完全理解并接受该项目磋商所有要求。</w:t>
      </w:r>
    </w:p>
    <w:p w14:paraId="43D432C2">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二、我方提交的所有磋商响应文件、资料都是准确和真实的，如有虚假或隐瞒，我方愿意承担一切法律责任</w:t>
      </w:r>
      <w:r>
        <w:rPr>
          <w:rFonts w:hint="eastAsia" w:ascii="宋体" w:hAnsi="宋体" w:cs="宋体"/>
          <w:color w:val="auto"/>
          <w:sz w:val="21"/>
          <w:szCs w:val="21"/>
          <w:highlight w:val="none"/>
          <w:lang w:val="zh-CN"/>
        </w:rPr>
        <w:t>。符合第二章“供应商须知前附表”规定。</w:t>
      </w:r>
    </w:p>
    <w:p w14:paraId="550B10D1">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三、我方承诺按照磋商要求，提供磋商项目的技术服务。</w:t>
      </w:r>
    </w:p>
    <w:p w14:paraId="2CCBF13A">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、我方承诺：本次磋商的磋商有效期为90天。在此期间，本磋商响应文件将始终对我们具有约束力。</w:t>
      </w:r>
    </w:p>
    <w:p w14:paraId="29E12DE3">
      <w:pPr>
        <w:tabs>
          <w:tab w:val="left" w:pos="6300"/>
        </w:tabs>
        <w:snapToGrid w:val="0"/>
        <w:spacing w:before="120" w:beforeLines="50" w:after="120" w:after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rPr>
        <w:t>、我方磋商过程中最终报价在磋商有效期和合同有效期内，该报价固定不变。</w:t>
      </w:r>
    </w:p>
    <w:p w14:paraId="475055ED">
      <w:pPr>
        <w:tabs>
          <w:tab w:val="left" w:pos="6300"/>
        </w:tabs>
        <w:snapToGrid w:val="0"/>
        <w:spacing w:before="120" w:beforeLines="50" w:after="120" w:afterLines="50" w:line="360" w:lineRule="auto"/>
        <w:ind w:firstLine="420" w:firstLineChars="200"/>
        <w:rPr>
          <w:color w:val="auto"/>
          <w:sz w:val="24"/>
          <w:highlight w:val="none"/>
        </w:rPr>
      </w:pP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、如我方成交，我方将在法律规定的期限内与你方签订合同，按照竞争性磋商文件要求提交履约保证金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，并在合同约定的期限内完成合同规定的全部义务。</w:t>
      </w:r>
    </w:p>
    <w:p w14:paraId="4C8243F4">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cs="宋体"/>
          <w:color w:val="auto"/>
          <w:sz w:val="21"/>
          <w:szCs w:val="21"/>
          <w:highlight w:val="none"/>
        </w:rPr>
        <w:t>、我方理解，最低报价不是成交的唯一条件。</w:t>
      </w:r>
    </w:p>
    <w:p w14:paraId="4DCDED19">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、若我方成交，愿意按有关规定及磋商要求履行全部职责。</w:t>
      </w:r>
    </w:p>
    <w:p w14:paraId="5949B5D3">
      <w:pPr>
        <w:widowControl/>
        <w:spacing w:line="360" w:lineRule="auto"/>
        <w:ind w:left="659" w:leftChars="114" w:hanging="420" w:hangingChars="200"/>
        <w:jc w:val="left"/>
        <w:outlineLvl w:val="9"/>
        <w:rPr>
          <w:rFonts w:ascii="宋体" w:hAnsi="宋体" w:cs="宋体"/>
          <w:color w:val="auto"/>
          <w:highlight w:val="none"/>
        </w:rPr>
      </w:pPr>
    </w:p>
    <w:p w14:paraId="69312CD9">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供应商（盖章）：                                             </w:t>
      </w:r>
    </w:p>
    <w:p w14:paraId="5BED6FED">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法定代表人或被授权委托人（盖章或签字）：                 </w:t>
      </w:r>
    </w:p>
    <w:p w14:paraId="1B50AB19">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         年        月         日</w:t>
      </w:r>
    </w:p>
    <w:p w14:paraId="2D33F3B8">
      <w:pPr>
        <w:outlineLvl w:val="9"/>
        <w:rPr>
          <w:rFonts w:ascii="宋体" w:hAnsi="宋体" w:cs="宋体"/>
          <w:color w:val="auto"/>
          <w:highlight w:val="none"/>
        </w:rPr>
      </w:pPr>
    </w:p>
    <w:p w14:paraId="2AD00684">
      <w:pPr>
        <w:pStyle w:val="43"/>
        <w:tabs>
          <w:tab w:val="right" w:leader="dot" w:pos="8296"/>
          <w:tab w:val="clear" w:pos="8400"/>
        </w:tabs>
        <w:outlineLvl w:val="9"/>
        <w:rPr>
          <w:rFonts w:cs="宋体"/>
          <w:color w:val="auto"/>
          <w:highlight w:val="none"/>
        </w:rPr>
      </w:pPr>
    </w:p>
    <w:p w14:paraId="7F421DB0">
      <w:pPr>
        <w:outlineLvl w:val="9"/>
        <w:rPr>
          <w:rFonts w:ascii="宋体" w:hAnsi="宋体" w:cs="宋体"/>
          <w:color w:val="auto"/>
          <w:highlight w:val="none"/>
        </w:rPr>
      </w:pPr>
    </w:p>
    <w:p w14:paraId="4E885B5F">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2E9BD329">
      <w:pPr>
        <w:spacing w:line="360" w:lineRule="auto"/>
        <w:jc w:val="cente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格式 2. </w:t>
      </w:r>
      <w:r>
        <w:rPr>
          <w:rFonts w:hint="eastAsia" w:ascii="宋体" w:hAnsi="宋体" w:cs="宋体"/>
          <w:b/>
          <w:color w:val="auto"/>
          <w:sz w:val="32"/>
          <w:szCs w:val="32"/>
          <w:highlight w:val="none"/>
          <w:lang w:eastAsia="zh-CN"/>
        </w:rPr>
        <w:t>磋商报价一览表</w:t>
      </w:r>
      <w:r>
        <w:rPr>
          <w:rFonts w:hint="eastAsia" w:ascii="宋体" w:hAnsi="宋体" w:cs="宋体"/>
          <w:b/>
          <w:color w:val="auto"/>
          <w:sz w:val="32"/>
          <w:szCs w:val="32"/>
          <w:highlight w:val="none"/>
        </w:rPr>
        <w:t>（格式）</w:t>
      </w:r>
    </w:p>
    <w:p w14:paraId="08439C72">
      <w:pPr>
        <w:pStyle w:val="51"/>
        <w:outlineLvl w:val="9"/>
        <w:rPr>
          <w:color w:val="auto"/>
          <w:highlight w:val="none"/>
        </w:rPr>
      </w:pPr>
    </w:p>
    <w:p w14:paraId="375FAFE1">
      <w:pPr>
        <w:pStyle w:val="27"/>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14:paraId="5F95A85E">
      <w:pPr>
        <w:pStyle w:val="27"/>
        <w:snapToGrid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14:paraId="1BA71F75">
      <w:pPr>
        <w:pStyle w:val="27"/>
        <w:snapToGrid w:val="0"/>
        <w:spacing w:line="36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包号</w:t>
      </w:r>
      <w:r>
        <w:rPr>
          <w:rFonts w:hint="eastAsia"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p w14:paraId="42D63489">
      <w:pPr>
        <w:snapToGrid w:val="0"/>
        <w:spacing w:line="360" w:lineRule="auto"/>
        <w:ind w:firstLine="435"/>
        <w:jc w:val="center"/>
        <w:outlineLvl w:val="9"/>
        <w:rPr>
          <w:rFonts w:hint="eastAsia" w:ascii="宋体" w:hAnsi="宋体" w:cs="宋体"/>
          <w:color w:val="auto"/>
          <w:highlight w:val="none"/>
        </w:rPr>
      </w:pPr>
      <w:r>
        <w:rPr>
          <w:rFonts w:hint="eastAsia" w:ascii="宋体" w:hAnsi="宋体" w:cs="宋体"/>
          <w:color w:val="auto"/>
          <w:highlight w:val="none"/>
        </w:rPr>
        <w:t xml:space="preserve">                                            单位：人民币（</w:t>
      </w:r>
      <w:r>
        <w:rPr>
          <w:rFonts w:hint="eastAsia" w:ascii="宋体" w:hAnsi="宋体" w:cs="宋体"/>
          <w:color w:val="auto"/>
          <w:highlight w:val="none"/>
          <w:lang w:val="en-US" w:eastAsia="zh-CN"/>
        </w:rPr>
        <w:t>元</w:t>
      </w:r>
      <w:r>
        <w:rPr>
          <w:rFonts w:hint="eastAsia" w:ascii="宋体" w:hAnsi="宋体" w:cs="宋体"/>
          <w:color w:val="auto"/>
          <w:highlight w:val="none"/>
        </w:rPr>
        <w:t>）</w:t>
      </w:r>
    </w:p>
    <w:tbl>
      <w:tblPr>
        <w:tblStyle w:val="52"/>
        <w:tblpPr w:leftFromText="180" w:rightFromText="180" w:vertAnchor="text" w:horzAnchor="page" w:tblpX="814" w:tblpY="321"/>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1679"/>
        <w:gridCol w:w="2184"/>
        <w:gridCol w:w="2448"/>
        <w:gridCol w:w="2441"/>
        <w:gridCol w:w="975"/>
      </w:tblGrid>
      <w:tr w14:paraId="121D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598" w:type="dxa"/>
            <w:vMerge w:val="restart"/>
            <w:noWrap w:val="0"/>
            <w:vAlign w:val="center"/>
          </w:tcPr>
          <w:p w14:paraId="55B7696E">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1679" w:type="dxa"/>
            <w:vMerge w:val="restart"/>
            <w:noWrap w:val="0"/>
            <w:vAlign w:val="center"/>
          </w:tcPr>
          <w:p w14:paraId="1FD6F133">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r>
              <w:rPr>
                <w:rFonts w:ascii="宋体" w:hAnsi="宋体" w:eastAsia="宋体" w:cs="宋体"/>
                <w:b/>
                <w:color w:val="auto"/>
                <w:spacing w:val="-3"/>
                <w:kern w:val="0"/>
                <w:sz w:val="24"/>
                <w:szCs w:val="24"/>
                <w:highlight w:val="none"/>
                <w:lang w:eastAsia="en-US"/>
              </w:rPr>
              <w:t>供应</w:t>
            </w:r>
            <w:r>
              <w:rPr>
                <w:rFonts w:ascii="宋体" w:hAnsi="宋体" w:eastAsia="宋体" w:cs="宋体"/>
                <w:b/>
                <w:color w:val="auto"/>
                <w:spacing w:val="-2"/>
                <w:kern w:val="0"/>
                <w:sz w:val="24"/>
                <w:szCs w:val="24"/>
                <w:highlight w:val="none"/>
                <w:lang w:eastAsia="en-US"/>
              </w:rPr>
              <w:t>商名称</w:t>
            </w:r>
          </w:p>
        </w:tc>
        <w:tc>
          <w:tcPr>
            <w:tcW w:w="2184" w:type="dxa"/>
            <w:vMerge w:val="restart"/>
            <w:noWrap w:val="0"/>
            <w:vAlign w:val="center"/>
          </w:tcPr>
          <w:p w14:paraId="598D4051">
            <w:pPr>
              <w:autoSpaceDE w:val="0"/>
              <w:autoSpaceDN w:val="0"/>
              <w:spacing w:before="0" w:after="0" w:line="240" w:lineRule="auto"/>
              <w:ind w:left="0" w:right="0" w:firstLine="0"/>
              <w:jc w:val="center"/>
              <w:rPr>
                <w:rFonts w:hint="eastAsia" w:ascii="宋体" w:hAnsi="宋体" w:eastAsia="宋体" w:cs="宋体"/>
                <w:color w:val="auto"/>
                <w:kern w:val="0"/>
                <w:sz w:val="22"/>
                <w:szCs w:val="22"/>
                <w:highlight w:val="none"/>
                <w:lang w:eastAsia="zh-CN"/>
              </w:rPr>
            </w:pPr>
            <w:r>
              <w:rPr>
                <w:rFonts w:hint="eastAsia" w:ascii="宋体" w:hAnsi="宋体" w:cs="宋体"/>
                <w:b/>
                <w:color w:val="auto"/>
                <w:spacing w:val="-3"/>
                <w:kern w:val="0"/>
                <w:sz w:val="24"/>
                <w:szCs w:val="24"/>
                <w:highlight w:val="none"/>
                <w:lang w:val="en-US" w:eastAsia="zh-CN"/>
              </w:rPr>
              <w:t>交货期</w:t>
            </w:r>
          </w:p>
        </w:tc>
        <w:tc>
          <w:tcPr>
            <w:tcW w:w="4889" w:type="dxa"/>
            <w:gridSpan w:val="2"/>
            <w:noWrap w:val="0"/>
            <w:vAlign w:val="center"/>
          </w:tcPr>
          <w:p w14:paraId="3A238822">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hint="eastAsia" w:ascii="宋体" w:hAnsi="宋体" w:cs="宋体"/>
                <w:b/>
                <w:color w:val="auto"/>
                <w:spacing w:val="-3"/>
                <w:kern w:val="0"/>
                <w:sz w:val="24"/>
                <w:szCs w:val="24"/>
                <w:highlight w:val="none"/>
                <w:lang w:val="en-US" w:eastAsia="zh-CN"/>
              </w:rPr>
              <w:t>投标报价总价</w:t>
            </w:r>
            <w:r>
              <w:rPr>
                <w:rFonts w:hint="eastAsia" w:ascii="宋体" w:hAnsi="宋体" w:eastAsia="宋体" w:cs="宋体"/>
                <w:b/>
                <w:color w:val="auto"/>
                <w:spacing w:val="-4"/>
                <w:kern w:val="0"/>
                <w:sz w:val="24"/>
                <w:szCs w:val="24"/>
                <w:highlight w:val="none"/>
                <w:lang w:val="en-US" w:eastAsia="zh-CN"/>
              </w:rPr>
              <w:t>（元）</w:t>
            </w:r>
          </w:p>
        </w:tc>
        <w:tc>
          <w:tcPr>
            <w:tcW w:w="975" w:type="dxa"/>
            <w:vMerge w:val="restart"/>
            <w:noWrap w:val="0"/>
            <w:vAlign w:val="center"/>
          </w:tcPr>
          <w:p w14:paraId="401EB886">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6DC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98" w:type="dxa"/>
            <w:vMerge w:val="continue"/>
            <w:noWrap w:val="0"/>
            <w:vAlign w:val="center"/>
          </w:tcPr>
          <w:p w14:paraId="0603FB6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vMerge w:val="continue"/>
            <w:noWrap w:val="0"/>
            <w:vAlign w:val="center"/>
          </w:tcPr>
          <w:p w14:paraId="0B73FC7A">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p>
        </w:tc>
        <w:tc>
          <w:tcPr>
            <w:tcW w:w="2184" w:type="dxa"/>
            <w:vMerge w:val="continue"/>
            <w:noWrap w:val="0"/>
            <w:vAlign w:val="center"/>
          </w:tcPr>
          <w:p w14:paraId="66FEE740">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8" w:type="dxa"/>
            <w:noWrap w:val="0"/>
            <w:vAlign w:val="center"/>
          </w:tcPr>
          <w:p w14:paraId="573DBC65">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2441" w:type="dxa"/>
            <w:noWrap w:val="0"/>
            <w:vAlign w:val="center"/>
          </w:tcPr>
          <w:p w14:paraId="0D9C6769">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975" w:type="dxa"/>
            <w:vMerge w:val="continue"/>
            <w:noWrap w:val="0"/>
            <w:vAlign w:val="center"/>
          </w:tcPr>
          <w:p w14:paraId="3683FF3B">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23F4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598" w:type="dxa"/>
            <w:noWrap w:val="0"/>
            <w:vAlign w:val="center"/>
          </w:tcPr>
          <w:p w14:paraId="743ACEFE">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noWrap w:val="0"/>
            <w:vAlign w:val="center"/>
          </w:tcPr>
          <w:p w14:paraId="6575D79D">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84" w:type="dxa"/>
            <w:noWrap w:val="0"/>
            <w:vAlign w:val="center"/>
          </w:tcPr>
          <w:p w14:paraId="7CD319CE">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8" w:type="dxa"/>
            <w:noWrap w:val="0"/>
            <w:vAlign w:val="center"/>
          </w:tcPr>
          <w:p w14:paraId="0DE0FDB2">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1" w:type="dxa"/>
            <w:noWrap w:val="0"/>
            <w:vAlign w:val="center"/>
          </w:tcPr>
          <w:p w14:paraId="1405D8A6">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975" w:type="dxa"/>
            <w:noWrap w:val="0"/>
            <w:vAlign w:val="center"/>
          </w:tcPr>
          <w:p w14:paraId="66702298">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78DA0648">
      <w:pPr>
        <w:snapToGrid w:val="0"/>
        <w:spacing w:line="360" w:lineRule="auto"/>
        <w:outlineLvl w:val="9"/>
        <w:rPr>
          <w:rFonts w:hint="eastAsia" w:ascii="宋体" w:hAnsi="宋体" w:cs="宋体"/>
          <w:color w:val="auto"/>
          <w:highlight w:val="none"/>
        </w:rPr>
      </w:pPr>
    </w:p>
    <w:p w14:paraId="47265E63">
      <w:pPr>
        <w:snapToGrid w:val="0"/>
        <w:spacing w:line="360" w:lineRule="auto"/>
        <w:outlineLvl w:val="9"/>
        <w:rPr>
          <w:rFonts w:hint="eastAsia" w:ascii="宋体" w:hAnsi="宋体" w:cs="宋体"/>
          <w:color w:val="auto"/>
          <w:highlight w:val="none"/>
        </w:rPr>
      </w:pPr>
    </w:p>
    <w:p w14:paraId="50E463CF">
      <w:pPr>
        <w:spacing w:line="400" w:lineRule="exact"/>
        <w:rPr>
          <w:rFonts w:hint="eastAsia" w:ascii="宋体" w:hAnsi="宋体"/>
          <w:sz w:val="24"/>
          <w:highlight w:val="none"/>
          <w:lang w:val="en-US" w:eastAsia="zh-CN"/>
        </w:rPr>
      </w:pPr>
      <w:r>
        <w:rPr>
          <w:rFonts w:hint="eastAsia" w:ascii="宋体" w:hAnsi="宋体"/>
          <w:sz w:val="24"/>
          <w:highlight w:val="none"/>
          <w:lang w:val="en-US" w:eastAsia="zh-CN"/>
        </w:rPr>
        <w:t>注：</w:t>
      </w:r>
    </w:p>
    <w:p w14:paraId="349EF756">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报价要求</w:t>
      </w:r>
      <w:r>
        <w:rPr>
          <w:rFonts w:hint="eastAsia" w:ascii="宋体" w:hAnsi="宋体"/>
          <w:sz w:val="24"/>
          <w:highlight w:val="none"/>
          <w:lang w:eastAsia="zh-CN"/>
        </w:rPr>
        <w:t>：</w:t>
      </w:r>
      <w:r>
        <w:rPr>
          <w:rFonts w:hint="eastAsia" w:ascii="宋体" w:hAnsi="宋体"/>
          <w:sz w:val="24"/>
          <w:highlight w:val="none"/>
        </w:rPr>
        <w:t>本项目磋商响应报价为两次报价，供应商自行报价，</w:t>
      </w:r>
      <w:r>
        <w:rPr>
          <w:rFonts w:hint="eastAsia" w:ascii="宋体" w:hAnsi="宋体"/>
          <w:b/>
          <w:bCs/>
          <w:sz w:val="24"/>
          <w:highlight w:val="none"/>
        </w:rPr>
        <w:t>最高不得超过</w:t>
      </w:r>
      <w:r>
        <w:rPr>
          <w:rFonts w:hint="eastAsia" w:ascii="宋体" w:hAnsi="宋体"/>
          <w:b/>
          <w:bCs/>
          <w:sz w:val="24"/>
          <w:highlight w:val="none"/>
          <w:lang w:val="en-US" w:eastAsia="zh-CN"/>
        </w:rPr>
        <w:t>预算单价及</w:t>
      </w:r>
      <w:r>
        <w:rPr>
          <w:rFonts w:hint="eastAsia" w:ascii="宋体" w:hAnsi="宋体"/>
          <w:b/>
          <w:bCs/>
          <w:sz w:val="24"/>
          <w:highlight w:val="none"/>
        </w:rPr>
        <w:t>采购预算</w:t>
      </w:r>
      <w:r>
        <w:rPr>
          <w:rFonts w:hint="eastAsia" w:ascii="宋体" w:hAnsi="宋体"/>
          <w:sz w:val="24"/>
          <w:highlight w:val="none"/>
        </w:rPr>
        <w:t>；供应商未按照竞争性磋商文件提供的格式进行报价可导致其磋商响应文件被否决。</w:t>
      </w:r>
    </w:p>
    <w:p w14:paraId="2BB5F704">
      <w:pPr>
        <w:spacing w:line="400" w:lineRule="exact"/>
        <w:ind w:firstLine="480" w:firstLineChars="200"/>
        <w:rPr>
          <w:rFonts w:ascii="宋体" w:hAnsi="宋体"/>
          <w:sz w:val="24"/>
          <w:highlight w:val="none"/>
        </w:rPr>
      </w:pPr>
      <w:r>
        <w:rPr>
          <w:rFonts w:hint="eastAsia" w:ascii="宋体" w:hAnsi="宋体"/>
          <w:sz w:val="24"/>
          <w:highlight w:val="none"/>
          <w:lang w:val="en-US" w:eastAsia="zh-CN"/>
        </w:rPr>
        <w:t>2.磋商报价表内容与磋商文件中相应内容不一致的，以磋商报价表内容为准。</w:t>
      </w:r>
    </w:p>
    <w:p w14:paraId="3A7AFA46">
      <w:pPr>
        <w:spacing w:line="400" w:lineRule="exact"/>
        <w:ind w:firstLine="480" w:firstLineChars="200"/>
        <w:rPr>
          <w:rFonts w:hint="eastAsia" w:ascii="宋体" w:hAnsi="宋体" w:cs="Times New Roman"/>
          <w:sz w:val="24"/>
          <w:highlight w:val="none"/>
          <w:lang w:val="en-US" w:eastAsia="zh-CN"/>
        </w:rPr>
      </w:pPr>
    </w:p>
    <w:p w14:paraId="7B9920EA">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5026ECD7">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003C88F9">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397AB308">
      <w:pP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FBD77E1">
      <w:pPr>
        <w:pStyle w:val="19"/>
        <w:outlineLvl w:val="9"/>
        <w:rPr>
          <w:rFonts w:hint="eastAsia"/>
          <w:color w:val="auto"/>
          <w:highlight w:val="none"/>
        </w:rPr>
      </w:pPr>
    </w:p>
    <w:p w14:paraId="4714B0E3">
      <w:pPr>
        <w:widowControl/>
        <w:spacing w:line="480" w:lineRule="auto"/>
        <w:jc w:val="center"/>
        <w:outlineLvl w:val="9"/>
        <w:rPr>
          <w:rFonts w:ascii="宋体" w:hAnsi="宋体" w:cs="宋体"/>
          <w:color w:val="auto"/>
          <w:sz w:val="24"/>
          <w:szCs w:val="22"/>
          <w:highlight w:val="none"/>
        </w:rPr>
      </w:pPr>
      <w:r>
        <w:rPr>
          <w:rFonts w:hint="eastAsia" w:ascii="宋体" w:hAnsi="宋体" w:cs="宋体"/>
          <w:b/>
          <w:bCs/>
          <w:color w:val="auto"/>
          <w:kern w:val="0"/>
          <w:sz w:val="32"/>
          <w:szCs w:val="22"/>
          <w:highlight w:val="none"/>
        </w:rPr>
        <w:t>格式 3.分项报价表（格式）</w:t>
      </w:r>
    </w:p>
    <w:p w14:paraId="1C3463C9">
      <w:pPr>
        <w:widowControl/>
        <w:ind w:firstLine="840" w:firstLineChars="400"/>
        <w:jc w:val="left"/>
        <w:outlineLvl w:val="9"/>
        <w:rPr>
          <w:rFonts w:ascii="宋体" w:hAnsi="宋体" w:cs="宋体"/>
          <w:color w:val="auto"/>
          <w:kern w:val="0"/>
          <w:szCs w:val="21"/>
          <w:highlight w:val="none"/>
        </w:rPr>
      </w:pPr>
    </w:p>
    <w:p w14:paraId="086935C8">
      <w:pPr>
        <w:widowControl/>
        <w:ind w:firstLine="840" w:firstLineChars="400"/>
        <w:jc w:val="left"/>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63FE937B">
      <w:pPr>
        <w:widowControl/>
        <w:ind w:firstLine="840" w:firstLineChars="4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包号（如有）：</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76A70CDA">
      <w:pPr>
        <w:pStyle w:val="19"/>
        <w:outlineLvl w:val="9"/>
        <w:rPr>
          <w:rFonts w:ascii="宋体" w:hAnsi="宋体" w:cs="宋体"/>
          <w:color w:val="auto"/>
          <w:highlight w:val="none"/>
        </w:rPr>
      </w:pPr>
      <w:r>
        <w:rPr>
          <w:rFonts w:hint="eastAsia" w:ascii="宋体" w:hAnsi="宋体" w:cs="宋体"/>
          <w:color w:val="auto"/>
          <w:highlight w:val="none"/>
        </w:rPr>
        <w:t xml:space="preserve">                                                                    价格单位：人民币元 </w:t>
      </w:r>
    </w:p>
    <w:tbl>
      <w:tblPr>
        <w:tblStyle w:val="5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5"/>
        <w:gridCol w:w="1233"/>
        <w:gridCol w:w="1233"/>
        <w:gridCol w:w="1225"/>
        <w:gridCol w:w="920"/>
        <w:gridCol w:w="1375"/>
        <w:gridCol w:w="1112"/>
      </w:tblGrid>
      <w:tr w14:paraId="1BB88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22" w:hRule="atLeast"/>
        </w:trPr>
        <w:tc>
          <w:tcPr>
            <w:tcW w:w="216" w:type="pct"/>
            <w:noWrap w:val="0"/>
            <w:vAlign w:val="center"/>
          </w:tcPr>
          <w:p w14:paraId="029EAF66">
            <w:pPr>
              <w:pStyle w:val="27"/>
              <w:snapToGrid w:val="0"/>
              <w:spacing w:line="360" w:lineRule="auto"/>
              <w:jc w:val="center"/>
              <w:outlineLvl w:val="9"/>
              <w:rPr>
                <w:rFonts w:hAnsi="宋体" w:cs="宋体"/>
                <w:color w:val="auto"/>
                <w:highlight w:val="none"/>
              </w:rPr>
            </w:pPr>
            <w:r>
              <w:rPr>
                <w:rFonts w:hint="eastAsia" w:hAnsi="宋体" w:cs="宋体"/>
                <w:color w:val="auto"/>
                <w:highlight w:val="none"/>
              </w:rPr>
              <w:t xml:space="preserve"> 序号</w:t>
            </w:r>
          </w:p>
        </w:tc>
        <w:tc>
          <w:tcPr>
            <w:tcW w:w="1180" w:type="pct"/>
            <w:noWrap w:val="0"/>
            <w:vAlign w:val="center"/>
          </w:tcPr>
          <w:p w14:paraId="5B6F58AB">
            <w:pPr>
              <w:pStyle w:val="27"/>
              <w:snapToGrid w:val="0"/>
              <w:spacing w:line="360" w:lineRule="auto"/>
              <w:jc w:val="center"/>
              <w:outlineLvl w:val="9"/>
              <w:rPr>
                <w:rFonts w:hAnsi="宋体" w:cs="宋体"/>
                <w:color w:val="auto"/>
                <w:highlight w:val="none"/>
              </w:rPr>
            </w:pPr>
            <w:r>
              <w:rPr>
                <w:rFonts w:hint="eastAsia" w:hAnsi="宋体" w:cs="宋体"/>
                <w:color w:val="auto"/>
                <w:highlight w:val="none"/>
                <w:lang w:val="en-US" w:eastAsia="zh-CN"/>
              </w:rPr>
              <w:t>分项</w:t>
            </w:r>
            <w:r>
              <w:rPr>
                <w:rFonts w:hint="eastAsia" w:hAnsi="宋体" w:cs="宋体"/>
                <w:color w:val="auto"/>
                <w:highlight w:val="none"/>
              </w:rPr>
              <w:t>名称</w:t>
            </w:r>
          </w:p>
        </w:tc>
        <w:tc>
          <w:tcPr>
            <w:tcW w:w="626" w:type="pct"/>
            <w:noWrap w:val="0"/>
            <w:vAlign w:val="center"/>
          </w:tcPr>
          <w:p w14:paraId="5A16269F">
            <w:pPr>
              <w:pStyle w:val="27"/>
              <w:snapToGrid w:val="0"/>
              <w:spacing w:line="360" w:lineRule="auto"/>
              <w:jc w:val="center"/>
              <w:outlineLvl w:val="9"/>
              <w:rPr>
                <w:rFonts w:hint="default" w:hAnsi="宋体" w:cs="宋体"/>
                <w:color w:val="auto"/>
                <w:highlight w:val="none"/>
                <w:lang w:val="en-US" w:eastAsia="zh-CN"/>
              </w:rPr>
            </w:pPr>
            <w:r>
              <w:rPr>
                <w:rFonts w:hint="eastAsia" w:hAnsi="宋体" w:cs="宋体"/>
                <w:color w:val="auto"/>
                <w:highlight w:val="none"/>
                <w:lang w:val="en-US" w:eastAsia="zh-CN"/>
              </w:rPr>
              <w:t>制造商</w:t>
            </w:r>
          </w:p>
        </w:tc>
        <w:tc>
          <w:tcPr>
            <w:tcW w:w="626" w:type="pct"/>
            <w:noWrap w:val="0"/>
            <w:vAlign w:val="center"/>
          </w:tcPr>
          <w:p w14:paraId="02D53D3D">
            <w:pPr>
              <w:pStyle w:val="27"/>
              <w:snapToGrid w:val="0"/>
              <w:spacing w:line="360" w:lineRule="auto"/>
              <w:jc w:val="center"/>
              <w:outlineLvl w:val="9"/>
              <w:rPr>
                <w:rFonts w:hint="default" w:hAnsi="宋体" w:cs="宋体"/>
                <w:color w:val="auto"/>
                <w:highlight w:val="none"/>
                <w:lang w:val="en-US" w:eastAsia="zh-CN"/>
              </w:rPr>
            </w:pPr>
            <w:r>
              <w:rPr>
                <w:rFonts w:hint="eastAsia" w:hAnsi="宋体" w:cs="宋体"/>
                <w:color w:val="auto"/>
                <w:highlight w:val="none"/>
                <w:lang w:val="en-US" w:eastAsia="zh-CN"/>
              </w:rPr>
              <w:t>规格型号</w:t>
            </w:r>
          </w:p>
        </w:tc>
        <w:tc>
          <w:tcPr>
            <w:tcW w:w="622" w:type="pct"/>
            <w:noWrap w:val="0"/>
            <w:vAlign w:val="center"/>
          </w:tcPr>
          <w:p w14:paraId="6BE83CFC">
            <w:pPr>
              <w:pStyle w:val="27"/>
              <w:snapToGrid w:val="0"/>
              <w:spacing w:line="360" w:lineRule="auto"/>
              <w:jc w:val="center"/>
              <w:outlineLvl w:val="9"/>
              <w:rPr>
                <w:rFonts w:hint="eastAsia" w:hAnsi="宋体" w:eastAsia="宋体" w:cs="宋体"/>
                <w:color w:val="auto"/>
                <w:highlight w:val="none"/>
                <w:lang w:eastAsia="zh-CN"/>
              </w:rPr>
            </w:pPr>
            <w:r>
              <w:rPr>
                <w:rFonts w:hint="eastAsia" w:hAnsi="宋体" w:cs="宋体"/>
                <w:color w:val="auto"/>
                <w:highlight w:val="none"/>
                <w:lang w:val="en-US" w:eastAsia="zh-CN"/>
              </w:rPr>
              <w:t>单价（元）</w:t>
            </w:r>
          </w:p>
        </w:tc>
        <w:tc>
          <w:tcPr>
            <w:tcW w:w="464" w:type="pct"/>
            <w:noWrap w:val="0"/>
            <w:vAlign w:val="center"/>
          </w:tcPr>
          <w:p w14:paraId="50AAB9D2">
            <w:pPr>
              <w:pStyle w:val="27"/>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数量</w:t>
            </w:r>
          </w:p>
        </w:tc>
        <w:tc>
          <w:tcPr>
            <w:tcW w:w="698" w:type="pct"/>
            <w:noWrap w:val="0"/>
            <w:vAlign w:val="center"/>
          </w:tcPr>
          <w:p w14:paraId="264D8050">
            <w:pPr>
              <w:pStyle w:val="27"/>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总价（元）</w:t>
            </w:r>
          </w:p>
        </w:tc>
        <w:tc>
          <w:tcPr>
            <w:tcW w:w="563" w:type="pct"/>
            <w:noWrap w:val="0"/>
            <w:vAlign w:val="center"/>
          </w:tcPr>
          <w:p w14:paraId="5A9951E8">
            <w:pPr>
              <w:pStyle w:val="27"/>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备注/说明</w:t>
            </w:r>
          </w:p>
        </w:tc>
      </w:tr>
      <w:tr w14:paraId="6FF4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54C53FD5">
            <w:pPr>
              <w:pStyle w:val="27"/>
              <w:snapToGrid w:val="0"/>
              <w:spacing w:line="360" w:lineRule="auto"/>
              <w:jc w:val="left"/>
              <w:outlineLvl w:val="9"/>
              <w:rPr>
                <w:rFonts w:hAnsi="宋体" w:cs="宋体"/>
                <w:color w:val="auto"/>
                <w:highlight w:val="none"/>
              </w:rPr>
            </w:pPr>
          </w:p>
        </w:tc>
        <w:tc>
          <w:tcPr>
            <w:tcW w:w="1180" w:type="pct"/>
            <w:noWrap w:val="0"/>
            <w:vAlign w:val="center"/>
          </w:tcPr>
          <w:p w14:paraId="6C455333">
            <w:pPr>
              <w:spacing w:line="440" w:lineRule="exact"/>
              <w:outlineLvl w:val="9"/>
              <w:rPr>
                <w:rFonts w:ascii="宋体" w:hAnsi="宋体" w:cs="宋体"/>
                <w:color w:val="auto"/>
                <w:szCs w:val="21"/>
                <w:highlight w:val="none"/>
              </w:rPr>
            </w:pPr>
          </w:p>
        </w:tc>
        <w:tc>
          <w:tcPr>
            <w:tcW w:w="626" w:type="pct"/>
            <w:noWrap w:val="0"/>
            <w:vAlign w:val="center"/>
          </w:tcPr>
          <w:p w14:paraId="34BEA3D3">
            <w:pPr>
              <w:pStyle w:val="27"/>
              <w:snapToGrid w:val="0"/>
              <w:spacing w:line="360" w:lineRule="auto"/>
              <w:jc w:val="center"/>
              <w:outlineLvl w:val="9"/>
              <w:rPr>
                <w:rFonts w:hAnsi="宋体" w:cs="宋体"/>
                <w:color w:val="auto"/>
                <w:highlight w:val="none"/>
              </w:rPr>
            </w:pPr>
          </w:p>
        </w:tc>
        <w:tc>
          <w:tcPr>
            <w:tcW w:w="626" w:type="pct"/>
            <w:noWrap w:val="0"/>
            <w:vAlign w:val="center"/>
          </w:tcPr>
          <w:p w14:paraId="7118C8E6">
            <w:pPr>
              <w:pStyle w:val="27"/>
              <w:snapToGrid w:val="0"/>
              <w:spacing w:line="360" w:lineRule="auto"/>
              <w:jc w:val="center"/>
              <w:outlineLvl w:val="9"/>
              <w:rPr>
                <w:rFonts w:hAnsi="宋体" w:cs="宋体"/>
                <w:color w:val="auto"/>
                <w:highlight w:val="none"/>
              </w:rPr>
            </w:pPr>
          </w:p>
        </w:tc>
        <w:tc>
          <w:tcPr>
            <w:tcW w:w="622" w:type="pct"/>
            <w:noWrap w:val="0"/>
            <w:vAlign w:val="center"/>
          </w:tcPr>
          <w:p w14:paraId="2651FE75">
            <w:pPr>
              <w:pStyle w:val="27"/>
              <w:snapToGrid w:val="0"/>
              <w:spacing w:line="360" w:lineRule="auto"/>
              <w:jc w:val="center"/>
              <w:outlineLvl w:val="9"/>
              <w:rPr>
                <w:rFonts w:hAnsi="宋体" w:cs="宋体"/>
                <w:color w:val="auto"/>
                <w:highlight w:val="none"/>
              </w:rPr>
            </w:pPr>
          </w:p>
        </w:tc>
        <w:tc>
          <w:tcPr>
            <w:tcW w:w="464" w:type="pct"/>
            <w:noWrap w:val="0"/>
            <w:vAlign w:val="center"/>
          </w:tcPr>
          <w:p w14:paraId="5FC3DA02">
            <w:pPr>
              <w:pStyle w:val="27"/>
              <w:snapToGrid w:val="0"/>
              <w:spacing w:line="360" w:lineRule="auto"/>
              <w:jc w:val="center"/>
              <w:outlineLvl w:val="9"/>
              <w:rPr>
                <w:rFonts w:hAnsi="宋体" w:cs="宋体"/>
                <w:color w:val="auto"/>
                <w:highlight w:val="none"/>
              </w:rPr>
            </w:pPr>
          </w:p>
        </w:tc>
        <w:tc>
          <w:tcPr>
            <w:tcW w:w="698" w:type="pct"/>
            <w:noWrap w:val="0"/>
            <w:vAlign w:val="center"/>
          </w:tcPr>
          <w:p w14:paraId="7B2E8853">
            <w:pPr>
              <w:pStyle w:val="27"/>
              <w:snapToGrid w:val="0"/>
              <w:spacing w:line="360" w:lineRule="auto"/>
              <w:jc w:val="center"/>
              <w:outlineLvl w:val="9"/>
              <w:rPr>
                <w:rFonts w:hAnsi="宋体" w:cs="宋体"/>
                <w:color w:val="auto"/>
                <w:highlight w:val="none"/>
              </w:rPr>
            </w:pPr>
          </w:p>
        </w:tc>
        <w:tc>
          <w:tcPr>
            <w:tcW w:w="563" w:type="pct"/>
            <w:noWrap w:val="0"/>
            <w:vAlign w:val="center"/>
          </w:tcPr>
          <w:p w14:paraId="42EC4CA0">
            <w:pPr>
              <w:pStyle w:val="27"/>
              <w:snapToGrid w:val="0"/>
              <w:spacing w:line="360" w:lineRule="auto"/>
              <w:jc w:val="center"/>
              <w:outlineLvl w:val="9"/>
              <w:rPr>
                <w:rFonts w:hAnsi="宋体" w:cs="宋体"/>
                <w:color w:val="auto"/>
                <w:highlight w:val="none"/>
              </w:rPr>
            </w:pPr>
          </w:p>
        </w:tc>
      </w:tr>
      <w:tr w14:paraId="4E7D9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 w:type="pct"/>
            <w:noWrap w:val="0"/>
            <w:vAlign w:val="center"/>
          </w:tcPr>
          <w:p w14:paraId="21A04453">
            <w:pPr>
              <w:pStyle w:val="27"/>
              <w:snapToGrid w:val="0"/>
              <w:spacing w:line="360" w:lineRule="auto"/>
              <w:jc w:val="left"/>
              <w:outlineLvl w:val="9"/>
              <w:rPr>
                <w:rFonts w:hAnsi="宋体" w:cs="宋体"/>
                <w:color w:val="auto"/>
                <w:highlight w:val="none"/>
              </w:rPr>
            </w:pPr>
          </w:p>
        </w:tc>
        <w:tc>
          <w:tcPr>
            <w:tcW w:w="1180" w:type="pct"/>
            <w:noWrap w:val="0"/>
            <w:vAlign w:val="center"/>
          </w:tcPr>
          <w:p w14:paraId="2DD1D0CC">
            <w:pPr>
              <w:spacing w:line="440" w:lineRule="exact"/>
              <w:outlineLvl w:val="9"/>
              <w:rPr>
                <w:rFonts w:ascii="宋体" w:hAnsi="宋体" w:cs="宋体"/>
                <w:color w:val="auto"/>
                <w:szCs w:val="21"/>
                <w:highlight w:val="none"/>
              </w:rPr>
            </w:pPr>
          </w:p>
        </w:tc>
        <w:tc>
          <w:tcPr>
            <w:tcW w:w="626" w:type="pct"/>
            <w:noWrap w:val="0"/>
            <w:vAlign w:val="center"/>
          </w:tcPr>
          <w:p w14:paraId="64B4E647">
            <w:pPr>
              <w:pStyle w:val="27"/>
              <w:snapToGrid w:val="0"/>
              <w:spacing w:line="360" w:lineRule="auto"/>
              <w:jc w:val="center"/>
              <w:outlineLvl w:val="9"/>
              <w:rPr>
                <w:rFonts w:hAnsi="宋体" w:cs="宋体"/>
                <w:color w:val="auto"/>
                <w:highlight w:val="none"/>
              </w:rPr>
            </w:pPr>
          </w:p>
        </w:tc>
        <w:tc>
          <w:tcPr>
            <w:tcW w:w="626" w:type="pct"/>
            <w:noWrap w:val="0"/>
            <w:vAlign w:val="center"/>
          </w:tcPr>
          <w:p w14:paraId="23599F8B">
            <w:pPr>
              <w:pStyle w:val="27"/>
              <w:snapToGrid w:val="0"/>
              <w:spacing w:line="360" w:lineRule="auto"/>
              <w:jc w:val="center"/>
              <w:outlineLvl w:val="9"/>
              <w:rPr>
                <w:rFonts w:hAnsi="宋体" w:cs="宋体"/>
                <w:color w:val="auto"/>
                <w:highlight w:val="none"/>
              </w:rPr>
            </w:pPr>
          </w:p>
        </w:tc>
        <w:tc>
          <w:tcPr>
            <w:tcW w:w="622" w:type="pct"/>
            <w:noWrap w:val="0"/>
            <w:vAlign w:val="center"/>
          </w:tcPr>
          <w:p w14:paraId="5C8278D5">
            <w:pPr>
              <w:pStyle w:val="27"/>
              <w:snapToGrid w:val="0"/>
              <w:spacing w:line="360" w:lineRule="auto"/>
              <w:jc w:val="center"/>
              <w:outlineLvl w:val="9"/>
              <w:rPr>
                <w:rFonts w:hAnsi="宋体" w:cs="宋体"/>
                <w:color w:val="auto"/>
                <w:highlight w:val="none"/>
              </w:rPr>
            </w:pPr>
          </w:p>
        </w:tc>
        <w:tc>
          <w:tcPr>
            <w:tcW w:w="464" w:type="pct"/>
            <w:noWrap w:val="0"/>
            <w:vAlign w:val="center"/>
          </w:tcPr>
          <w:p w14:paraId="56BBA4E7">
            <w:pPr>
              <w:pStyle w:val="27"/>
              <w:snapToGrid w:val="0"/>
              <w:spacing w:line="360" w:lineRule="auto"/>
              <w:jc w:val="center"/>
              <w:outlineLvl w:val="9"/>
              <w:rPr>
                <w:rFonts w:hAnsi="宋体" w:cs="宋体"/>
                <w:color w:val="auto"/>
                <w:highlight w:val="none"/>
              </w:rPr>
            </w:pPr>
          </w:p>
        </w:tc>
        <w:tc>
          <w:tcPr>
            <w:tcW w:w="698" w:type="pct"/>
            <w:noWrap w:val="0"/>
            <w:vAlign w:val="center"/>
          </w:tcPr>
          <w:p w14:paraId="0366385D">
            <w:pPr>
              <w:pStyle w:val="27"/>
              <w:snapToGrid w:val="0"/>
              <w:spacing w:line="360" w:lineRule="auto"/>
              <w:jc w:val="center"/>
              <w:outlineLvl w:val="9"/>
              <w:rPr>
                <w:rFonts w:hAnsi="宋体" w:cs="宋体"/>
                <w:color w:val="auto"/>
                <w:highlight w:val="none"/>
              </w:rPr>
            </w:pPr>
          </w:p>
        </w:tc>
        <w:tc>
          <w:tcPr>
            <w:tcW w:w="563" w:type="pct"/>
            <w:noWrap w:val="0"/>
            <w:vAlign w:val="center"/>
          </w:tcPr>
          <w:p w14:paraId="4B5632D9">
            <w:pPr>
              <w:pStyle w:val="27"/>
              <w:snapToGrid w:val="0"/>
              <w:spacing w:line="360" w:lineRule="auto"/>
              <w:jc w:val="center"/>
              <w:outlineLvl w:val="9"/>
              <w:rPr>
                <w:rFonts w:hAnsi="宋体" w:cs="宋体"/>
                <w:color w:val="auto"/>
                <w:highlight w:val="none"/>
              </w:rPr>
            </w:pPr>
          </w:p>
        </w:tc>
      </w:tr>
      <w:tr w14:paraId="22175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4729308D">
            <w:pPr>
              <w:pStyle w:val="27"/>
              <w:snapToGrid w:val="0"/>
              <w:spacing w:line="360" w:lineRule="auto"/>
              <w:jc w:val="left"/>
              <w:outlineLvl w:val="9"/>
              <w:rPr>
                <w:rFonts w:hAnsi="宋体" w:cs="宋体"/>
                <w:color w:val="auto"/>
                <w:highlight w:val="none"/>
              </w:rPr>
            </w:pPr>
          </w:p>
        </w:tc>
        <w:tc>
          <w:tcPr>
            <w:tcW w:w="1180" w:type="pct"/>
            <w:noWrap w:val="0"/>
            <w:vAlign w:val="center"/>
          </w:tcPr>
          <w:p w14:paraId="78B2AD08">
            <w:pPr>
              <w:spacing w:line="440" w:lineRule="exact"/>
              <w:outlineLvl w:val="9"/>
              <w:rPr>
                <w:rFonts w:ascii="宋体" w:hAnsi="宋体" w:cs="宋体"/>
                <w:color w:val="auto"/>
                <w:szCs w:val="21"/>
                <w:highlight w:val="none"/>
              </w:rPr>
            </w:pPr>
          </w:p>
        </w:tc>
        <w:tc>
          <w:tcPr>
            <w:tcW w:w="626" w:type="pct"/>
            <w:noWrap w:val="0"/>
            <w:vAlign w:val="center"/>
          </w:tcPr>
          <w:p w14:paraId="5D3CD1D9">
            <w:pPr>
              <w:pStyle w:val="27"/>
              <w:snapToGrid w:val="0"/>
              <w:spacing w:line="360" w:lineRule="auto"/>
              <w:jc w:val="center"/>
              <w:outlineLvl w:val="9"/>
              <w:rPr>
                <w:rFonts w:hAnsi="宋体" w:cs="宋体"/>
                <w:color w:val="auto"/>
                <w:highlight w:val="none"/>
              </w:rPr>
            </w:pPr>
          </w:p>
        </w:tc>
        <w:tc>
          <w:tcPr>
            <w:tcW w:w="626" w:type="pct"/>
            <w:noWrap w:val="0"/>
            <w:vAlign w:val="center"/>
          </w:tcPr>
          <w:p w14:paraId="0C400329">
            <w:pPr>
              <w:pStyle w:val="27"/>
              <w:snapToGrid w:val="0"/>
              <w:spacing w:line="360" w:lineRule="auto"/>
              <w:jc w:val="center"/>
              <w:outlineLvl w:val="9"/>
              <w:rPr>
                <w:rFonts w:hAnsi="宋体" w:cs="宋体"/>
                <w:color w:val="auto"/>
                <w:highlight w:val="none"/>
              </w:rPr>
            </w:pPr>
          </w:p>
        </w:tc>
        <w:tc>
          <w:tcPr>
            <w:tcW w:w="622" w:type="pct"/>
            <w:noWrap w:val="0"/>
            <w:vAlign w:val="center"/>
          </w:tcPr>
          <w:p w14:paraId="12BEC1AA">
            <w:pPr>
              <w:pStyle w:val="27"/>
              <w:snapToGrid w:val="0"/>
              <w:spacing w:line="360" w:lineRule="auto"/>
              <w:jc w:val="center"/>
              <w:outlineLvl w:val="9"/>
              <w:rPr>
                <w:rFonts w:hAnsi="宋体" w:cs="宋体"/>
                <w:color w:val="auto"/>
                <w:highlight w:val="none"/>
              </w:rPr>
            </w:pPr>
          </w:p>
        </w:tc>
        <w:tc>
          <w:tcPr>
            <w:tcW w:w="464" w:type="pct"/>
            <w:noWrap w:val="0"/>
            <w:vAlign w:val="center"/>
          </w:tcPr>
          <w:p w14:paraId="69F933E5">
            <w:pPr>
              <w:pStyle w:val="27"/>
              <w:snapToGrid w:val="0"/>
              <w:spacing w:line="360" w:lineRule="auto"/>
              <w:jc w:val="center"/>
              <w:outlineLvl w:val="9"/>
              <w:rPr>
                <w:rFonts w:hAnsi="宋体" w:cs="宋体"/>
                <w:color w:val="auto"/>
                <w:highlight w:val="none"/>
              </w:rPr>
            </w:pPr>
          </w:p>
        </w:tc>
        <w:tc>
          <w:tcPr>
            <w:tcW w:w="698" w:type="pct"/>
            <w:noWrap w:val="0"/>
            <w:vAlign w:val="center"/>
          </w:tcPr>
          <w:p w14:paraId="41AAFE9B">
            <w:pPr>
              <w:pStyle w:val="27"/>
              <w:snapToGrid w:val="0"/>
              <w:spacing w:line="360" w:lineRule="auto"/>
              <w:jc w:val="center"/>
              <w:outlineLvl w:val="9"/>
              <w:rPr>
                <w:rFonts w:hAnsi="宋体" w:cs="宋体"/>
                <w:color w:val="auto"/>
                <w:highlight w:val="none"/>
              </w:rPr>
            </w:pPr>
          </w:p>
        </w:tc>
        <w:tc>
          <w:tcPr>
            <w:tcW w:w="563" w:type="pct"/>
            <w:noWrap w:val="0"/>
            <w:vAlign w:val="center"/>
          </w:tcPr>
          <w:p w14:paraId="57B6570C">
            <w:pPr>
              <w:pStyle w:val="27"/>
              <w:snapToGrid w:val="0"/>
              <w:spacing w:line="360" w:lineRule="auto"/>
              <w:jc w:val="center"/>
              <w:outlineLvl w:val="9"/>
              <w:rPr>
                <w:rFonts w:hAnsi="宋体" w:cs="宋体"/>
                <w:color w:val="auto"/>
                <w:highlight w:val="none"/>
              </w:rPr>
            </w:pPr>
          </w:p>
        </w:tc>
      </w:tr>
      <w:tr w14:paraId="5606C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304DCB5F">
            <w:pPr>
              <w:pStyle w:val="27"/>
              <w:snapToGrid w:val="0"/>
              <w:spacing w:line="360" w:lineRule="auto"/>
              <w:jc w:val="left"/>
              <w:outlineLvl w:val="9"/>
              <w:rPr>
                <w:rFonts w:hAnsi="宋体" w:cs="宋体"/>
                <w:color w:val="auto"/>
                <w:highlight w:val="none"/>
              </w:rPr>
            </w:pPr>
          </w:p>
        </w:tc>
        <w:tc>
          <w:tcPr>
            <w:tcW w:w="1180" w:type="pct"/>
            <w:noWrap w:val="0"/>
            <w:vAlign w:val="center"/>
          </w:tcPr>
          <w:p w14:paraId="41305605">
            <w:pPr>
              <w:spacing w:line="440" w:lineRule="exact"/>
              <w:outlineLvl w:val="9"/>
              <w:rPr>
                <w:rFonts w:ascii="宋体" w:hAnsi="宋体" w:cs="宋体"/>
                <w:color w:val="auto"/>
                <w:szCs w:val="21"/>
                <w:highlight w:val="none"/>
              </w:rPr>
            </w:pPr>
          </w:p>
        </w:tc>
        <w:tc>
          <w:tcPr>
            <w:tcW w:w="626" w:type="pct"/>
            <w:noWrap w:val="0"/>
            <w:vAlign w:val="center"/>
          </w:tcPr>
          <w:p w14:paraId="625410D6">
            <w:pPr>
              <w:pStyle w:val="27"/>
              <w:snapToGrid w:val="0"/>
              <w:spacing w:line="360" w:lineRule="auto"/>
              <w:jc w:val="center"/>
              <w:outlineLvl w:val="9"/>
              <w:rPr>
                <w:rFonts w:hAnsi="宋体" w:cs="宋体"/>
                <w:color w:val="auto"/>
                <w:highlight w:val="none"/>
              </w:rPr>
            </w:pPr>
          </w:p>
        </w:tc>
        <w:tc>
          <w:tcPr>
            <w:tcW w:w="626" w:type="pct"/>
            <w:noWrap w:val="0"/>
            <w:vAlign w:val="center"/>
          </w:tcPr>
          <w:p w14:paraId="3D6E4A08">
            <w:pPr>
              <w:pStyle w:val="27"/>
              <w:snapToGrid w:val="0"/>
              <w:spacing w:line="360" w:lineRule="auto"/>
              <w:jc w:val="center"/>
              <w:outlineLvl w:val="9"/>
              <w:rPr>
                <w:rFonts w:hAnsi="宋体" w:cs="宋体"/>
                <w:color w:val="auto"/>
                <w:highlight w:val="none"/>
              </w:rPr>
            </w:pPr>
          </w:p>
        </w:tc>
        <w:tc>
          <w:tcPr>
            <w:tcW w:w="622" w:type="pct"/>
            <w:noWrap w:val="0"/>
            <w:vAlign w:val="center"/>
          </w:tcPr>
          <w:p w14:paraId="0F88C827">
            <w:pPr>
              <w:pStyle w:val="27"/>
              <w:snapToGrid w:val="0"/>
              <w:spacing w:line="360" w:lineRule="auto"/>
              <w:jc w:val="center"/>
              <w:outlineLvl w:val="9"/>
              <w:rPr>
                <w:rFonts w:hAnsi="宋体" w:cs="宋体"/>
                <w:color w:val="auto"/>
                <w:highlight w:val="none"/>
              </w:rPr>
            </w:pPr>
          </w:p>
        </w:tc>
        <w:tc>
          <w:tcPr>
            <w:tcW w:w="464" w:type="pct"/>
            <w:noWrap w:val="0"/>
            <w:vAlign w:val="center"/>
          </w:tcPr>
          <w:p w14:paraId="68CEE7DA">
            <w:pPr>
              <w:pStyle w:val="27"/>
              <w:snapToGrid w:val="0"/>
              <w:spacing w:line="360" w:lineRule="auto"/>
              <w:jc w:val="center"/>
              <w:outlineLvl w:val="9"/>
              <w:rPr>
                <w:rFonts w:hAnsi="宋体" w:cs="宋体"/>
                <w:color w:val="auto"/>
                <w:highlight w:val="none"/>
              </w:rPr>
            </w:pPr>
          </w:p>
        </w:tc>
        <w:tc>
          <w:tcPr>
            <w:tcW w:w="698" w:type="pct"/>
            <w:noWrap w:val="0"/>
            <w:vAlign w:val="center"/>
          </w:tcPr>
          <w:p w14:paraId="1805C3A5">
            <w:pPr>
              <w:pStyle w:val="27"/>
              <w:snapToGrid w:val="0"/>
              <w:spacing w:line="360" w:lineRule="auto"/>
              <w:jc w:val="center"/>
              <w:outlineLvl w:val="9"/>
              <w:rPr>
                <w:rFonts w:hAnsi="宋体" w:cs="宋体"/>
                <w:color w:val="auto"/>
                <w:highlight w:val="none"/>
              </w:rPr>
            </w:pPr>
          </w:p>
        </w:tc>
        <w:tc>
          <w:tcPr>
            <w:tcW w:w="563" w:type="pct"/>
            <w:noWrap w:val="0"/>
            <w:vAlign w:val="center"/>
          </w:tcPr>
          <w:p w14:paraId="53CEB95F">
            <w:pPr>
              <w:pStyle w:val="27"/>
              <w:snapToGrid w:val="0"/>
              <w:spacing w:line="360" w:lineRule="auto"/>
              <w:jc w:val="center"/>
              <w:outlineLvl w:val="9"/>
              <w:rPr>
                <w:rFonts w:hAnsi="宋体" w:cs="宋体"/>
                <w:color w:val="auto"/>
                <w:highlight w:val="none"/>
              </w:rPr>
            </w:pPr>
          </w:p>
        </w:tc>
      </w:tr>
      <w:tr w14:paraId="5CA15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7FDC54DB">
            <w:pPr>
              <w:pStyle w:val="27"/>
              <w:snapToGrid w:val="0"/>
              <w:spacing w:line="360" w:lineRule="auto"/>
              <w:jc w:val="left"/>
              <w:outlineLvl w:val="9"/>
              <w:rPr>
                <w:rFonts w:hAnsi="宋体" w:cs="宋体"/>
                <w:color w:val="auto"/>
                <w:highlight w:val="none"/>
              </w:rPr>
            </w:pPr>
          </w:p>
        </w:tc>
        <w:tc>
          <w:tcPr>
            <w:tcW w:w="1180" w:type="pct"/>
            <w:noWrap w:val="0"/>
            <w:vAlign w:val="center"/>
          </w:tcPr>
          <w:p w14:paraId="44BC960A">
            <w:pPr>
              <w:spacing w:line="440" w:lineRule="exact"/>
              <w:outlineLvl w:val="9"/>
              <w:rPr>
                <w:rFonts w:ascii="宋体" w:hAnsi="宋体" w:cs="宋体"/>
                <w:color w:val="auto"/>
                <w:szCs w:val="21"/>
                <w:highlight w:val="none"/>
              </w:rPr>
            </w:pPr>
          </w:p>
        </w:tc>
        <w:tc>
          <w:tcPr>
            <w:tcW w:w="626" w:type="pct"/>
            <w:noWrap w:val="0"/>
            <w:vAlign w:val="center"/>
          </w:tcPr>
          <w:p w14:paraId="750794AC">
            <w:pPr>
              <w:pStyle w:val="27"/>
              <w:snapToGrid w:val="0"/>
              <w:spacing w:line="360" w:lineRule="auto"/>
              <w:jc w:val="center"/>
              <w:outlineLvl w:val="9"/>
              <w:rPr>
                <w:rFonts w:hAnsi="宋体" w:cs="宋体"/>
                <w:color w:val="auto"/>
                <w:highlight w:val="none"/>
              </w:rPr>
            </w:pPr>
          </w:p>
        </w:tc>
        <w:tc>
          <w:tcPr>
            <w:tcW w:w="626" w:type="pct"/>
            <w:noWrap w:val="0"/>
            <w:vAlign w:val="center"/>
          </w:tcPr>
          <w:p w14:paraId="195A257C">
            <w:pPr>
              <w:pStyle w:val="27"/>
              <w:snapToGrid w:val="0"/>
              <w:spacing w:line="360" w:lineRule="auto"/>
              <w:jc w:val="center"/>
              <w:outlineLvl w:val="9"/>
              <w:rPr>
                <w:rFonts w:hAnsi="宋体" w:cs="宋体"/>
                <w:color w:val="auto"/>
                <w:highlight w:val="none"/>
              </w:rPr>
            </w:pPr>
          </w:p>
        </w:tc>
        <w:tc>
          <w:tcPr>
            <w:tcW w:w="622" w:type="pct"/>
            <w:noWrap w:val="0"/>
            <w:vAlign w:val="center"/>
          </w:tcPr>
          <w:p w14:paraId="1B997711">
            <w:pPr>
              <w:pStyle w:val="27"/>
              <w:snapToGrid w:val="0"/>
              <w:spacing w:line="360" w:lineRule="auto"/>
              <w:jc w:val="center"/>
              <w:outlineLvl w:val="9"/>
              <w:rPr>
                <w:rFonts w:hAnsi="宋体" w:cs="宋体"/>
                <w:color w:val="auto"/>
                <w:highlight w:val="none"/>
              </w:rPr>
            </w:pPr>
          </w:p>
        </w:tc>
        <w:tc>
          <w:tcPr>
            <w:tcW w:w="464" w:type="pct"/>
            <w:noWrap w:val="0"/>
            <w:vAlign w:val="center"/>
          </w:tcPr>
          <w:p w14:paraId="6EE6D741">
            <w:pPr>
              <w:pStyle w:val="27"/>
              <w:snapToGrid w:val="0"/>
              <w:spacing w:line="360" w:lineRule="auto"/>
              <w:jc w:val="center"/>
              <w:outlineLvl w:val="9"/>
              <w:rPr>
                <w:rFonts w:hAnsi="宋体" w:cs="宋体"/>
                <w:color w:val="auto"/>
                <w:highlight w:val="none"/>
              </w:rPr>
            </w:pPr>
          </w:p>
        </w:tc>
        <w:tc>
          <w:tcPr>
            <w:tcW w:w="698" w:type="pct"/>
            <w:noWrap w:val="0"/>
            <w:vAlign w:val="center"/>
          </w:tcPr>
          <w:p w14:paraId="6815D6D6">
            <w:pPr>
              <w:pStyle w:val="27"/>
              <w:snapToGrid w:val="0"/>
              <w:spacing w:line="360" w:lineRule="auto"/>
              <w:jc w:val="center"/>
              <w:outlineLvl w:val="9"/>
              <w:rPr>
                <w:rFonts w:hAnsi="宋体" w:cs="宋体"/>
                <w:color w:val="auto"/>
                <w:highlight w:val="none"/>
              </w:rPr>
            </w:pPr>
          </w:p>
        </w:tc>
        <w:tc>
          <w:tcPr>
            <w:tcW w:w="563" w:type="pct"/>
            <w:noWrap w:val="0"/>
            <w:vAlign w:val="center"/>
          </w:tcPr>
          <w:p w14:paraId="20FB92DA">
            <w:pPr>
              <w:pStyle w:val="27"/>
              <w:snapToGrid w:val="0"/>
              <w:spacing w:line="360" w:lineRule="auto"/>
              <w:jc w:val="center"/>
              <w:outlineLvl w:val="9"/>
              <w:rPr>
                <w:rFonts w:hAnsi="宋体" w:cs="宋体"/>
                <w:color w:val="auto"/>
                <w:highlight w:val="none"/>
              </w:rPr>
            </w:pPr>
          </w:p>
        </w:tc>
      </w:tr>
      <w:tr w14:paraId="64199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7C4E32B5">
            <w:pPr>
              <w:pStyle w:val="27"/>
              <w:snapToGrid w:val="0"/>
              <w:spacing w:line="360" w:lineRule="auto"/>
              <w:jc w:val="left"/>
              <w:outlineLvl w:val="9"/>
              <w:rPr>
                <w:rFonts w:hAnsi="宋体" w:cs="宋体"/>
                <w:color w:val="auto"/>
                <w:highlight w:val="none"/>
              </w:rPr>
            </w:pPr>
          </w:p>
        </w:tc>
        <w:tc>
          <w:tcPr>
            <w:tcW w:w="1180" w:type="pct"/>
            <w:noWrap w:val="0"/>
            <w:vAlign w:val="center"/>
          </w:tcPr>
          <w:p w14:paraId="54059250">
            <w:pPr>
              <w:spacing w:line="440" w:lineRule="exact"/>
              <w:outlineLvl w:val="9"/>
              <w:rPr>
                <w:rFonts w:ascii="宋体" w:hAnsi="宋体" w:cs="宋体"/>
                <w:color w:val="auto"/>
                <w:szCs w:val="21"/>
                <w:highlight w:val="none"/>
              </w:rPr>
            </w:pPr>
          </w:p>
        </w:tc>
        <w:tc>
          <w:tcPr>
            <w:tcW w:w="626" w:type="pct"/>
            <w:noWrap w:val="0"/>
            <w:vAlign w:val="center"/>
          </w:tcPr>
          <w:p w14:paraId="30803850">
            <w:pPr>
              <w:pStyle w:val="27"/>
              <w:snapToGrid w:val="0"/>
              <w:spacing w:line="360" w:lineRule="auto"/>
              <w:jc w:val="center"/>
              <w:outlineLvl w:val="9"/>
              <w:rPr>
                <w:rFonts w:hAnsi="宋体" w:cs="宋体"/>
                <w:color w:val="auto"/>
                <w:highlight w:val="none"/>
              </w:rPr>
            </w:pPr>
          </w:p>
        </w:tc>
        <w:tc>
          <w:tcPr>
            <w:tcW w:w="626" w:type="pct"/>
            <w:noWrap w:val="0"/>
            <w:vAlign w:val="center"/>
          </w:tcPr>
          <w:p w14:paraId="61AB4498">
            <w:pPr>
              <w:pStyle w:val="27"/>
              <w:snapToGrid w:val="0"/>
              <w:spacing w:line="360" w:lineRule="auto"/>
              <w:jc w:val="center"/>
              <w:outlineLvl w:val="9"/>
              <w:rPr>
                <w:rFonts w:hAnsi="宋体" w:cs="宋体"/>
                <w:color w:val="auto"/>
                <w:highlight w:val="none"/>
              </w:rPr>
            </w:pPr>
          </w:p>
        </w:tc>
        <w:tc>
          <w:tcPr>
            <w:tcW w:w="622" w:type="pct"/>
            <w:noWrap w:val="0"/>
            <w:vAlign w:val="center"/>
          </w:tcPr>
          <w:p w14:paraId="6557EBF4">
            <w:pPr>
              <w:pStyle w:val="27"/>
              <w:snapToGrid w:val="0"/>
              <w:spacing w:line="360" w:lineRule="auto"/>
              <w:jc w:val="center"/>
              <w:outlineLvl w:val="9"/>
              <w:rPr>
                <w:rFonts w:hAnsi="宋体" w:cs="宋体"/>
                <w:color w:val="auto"/>
                <w:highlight w:val="none"/>
              </w:rPr>
            </w:pPr>
          </w:p>
        </w:tc>
        <w:tc>
          <w:tcPr>
            <w:tcW w:w="464" w:type="pct"/>
            <w:noWrap w:val="0"/>
            <w:vAlign w:val="center"/>
          </w:tcPr>
          <w:p w14:paraId="381101C7">
            <w:pPr>
              <w:pStyle w:val="27"/>
              <w:snapToGrid w:val="0"/>
              <w:spacing w:line="360" w:lineRule="auto"/>
              <w:jc w:val="center"/>
              <w:outlineLvl w:val="9"/>
              <w:rPr>
                <w:rFonts w:hAnsi="宋体" w:cs="宋体"/>
                <w:color w:val="auto"/>
                <w:highlight w:val="none"/>
              </w:rPr>
            </w:pPr>
          </w:p>
        </w:tc>
        <w:tc>
          <w:tcPr>
            <w:tcW w:w="698" w:type="pct"/>
            <w:noWrap w:val="0"/>
            <w:vAlign w:val="center"/>
          </w:tcPr>
          <w:p w14:paraId="5536226F">
            <w:pPr>
              <w:pStyle w:val="27"/>
              <w:snapToGrid w:val="0"/>
              <w:spacing w:line="360" w:lineRule="auto"/>
              <w:jc w:val="center"/>
              <w:outlineLvl w:val="9"/>
              <w:rPr>
                <w:rFonts w:hAnsi="宋体" w:cs="宋体"/>
                <w:color w:val="auto"/>
                <w:highlight w:val="none"/>
              </w:rPr>
            </w:pPr>
          </w:p>
        </w:tc>
        <w:tc>
          <w:tcPr>
            <w:tcW w:w="563" w:type="pct"/>
            <w:noWrap w:val="0"/>
            <w:vAlign w:val="center"/>
          </w:tcPr>
          <w:p w14:paraId="7E87EE72">
            <w:pPr>
              <w:pStyle w:val="27"/>
              <w:snapToGrid w:val="0"/>
              <w:spacing w:line="360" w:lineRule="auto"/>
              <w:jc w:val="center"/>
              <w:outlineLvl w:val="9"/>
              <w:rPr>
                <w:rFonts w:hAnsi="宋体" w:cs="宋体"/>
                <w:color w:val="auto"/>
                <w:highlight w:val="none"/>
              </w:rPr>
            </w:pPr>
          </w:p>
        </w:tc>
      </w:tr>
      <w:tr w14:paraId="55945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1E1A6475">
            <w:pPr>
              <w:pStyle w:val="27"/>
              <w:snapToGrid w:val="0"/>
              <w:spacing w:line="360" w:lineRule="auto"/>
              <w:jc w:val="left"/>
              <w:outlineLvl w:val="9"/>
              <w:rPr>
                <w:rFonts w:hAnsi="宋体" w:cs="宋体"/>
                <w:color w:val="auto"/>
                <w:highlight w:val="none"/>
              </w:rPr>
            </w:pPr>
          </w:p>
        </w:tc>
        <w:tc>
          <w:tcPr>
            <w:tcW w:w="1180" w:type="pct"/>
            <w:noWrap w:val="0"/>
            <w:vAlign w:val="center"/>
          </w:tcPr>
          <w:p w14:paraId="59EC9BFD">
            <w:pPr>
              <w:spacing w:line="440" w:lineRule="exact"/>
              <w:outlineLvl w:val="9"/>
              <w:rPr>
                <w:rFonts w:ascii="宋体" w:hAnsi="宋体" w:cs="宋体"/>
                <w:color w:val="auto"/>
                <w:szCs w:val="21"/>
                <w:highlight w:val="none"/>
              </w:rPr>
            </w:pPr>
          </w:p>
        </w:tc>
        <w:tc>
          <w:tcPr>
            <w:tcW w:w="626" w:type="pct"/>
            <w:noWrap w:val="0"/>
            <w:vAlign w:val="center"/>
          </w:tcPr>
          <w:p w14:paraId="3662287E">
            <w:pPr>
              <w:pStyle w:val="27"/>
              <w:snapToGrid w:val="0"/>
              <w:spacing w:line="360" w:lineRule="auto"/>
              <w:jc w:val="center"/>
              <w:outlineLvl w:val="9"/>
              <w:rPr>
                <w:rFonts w:hAnsi="宋体" w:cs="宋体"/>
                <w:color w:val="auto"/>
                <w:highlight w:val="none"/>
              </w:rPr>
            </w:pPr>
          </w:p>
        </w:tc>
        <w:tc>
          <w:tcPr>
            <w:tcW w:w="626" w:type="pct"/>
            <w:noWrap w:val="0"/>
            <w:vAlign w:val="center"/>
          </w:tcPr>
          <w:p w14:paraId="4315D4D6">
            <w:pPr>
              <w:pStyle w:val="27"/>
              <w:snapToGrid w:val="0"/>
              <w:spacing w:line="360" w:lineRule="auto"/>
              <w:jc w:val="center"/>
              <w:outlineLvl w:val="9"/>
              <w:rPr>
                <w:rFonts w:hAnsi="宋体" w:cs="宋体"/>
                <w:color w:val="auto"/>
                <w:highlight w:val="none"/>
              </w:rPr>
            </w:pPr>
          </w:p>
        </w:tc>
        <w:tc>
          <w:tcPr>
            <w:tcW w:w="622" w:type="pct"/>
            <w:noWrap w:val="0"/>
            <w:vAlign w:val="center"/>
          </w:tcPr>
          <w:p w14:paraId="7E74E465">
            <w:pPr>
              <w:pStyle w:val="27"/>
              <w:snapToGrid w:val="0"/>
              <w:spacing w:line="360" w:lineRule="auto"/>
              <w:jc w:val="center"/>
              <w:outlineLvl w:val="9"/>
              <w:rPr>
                <w:rFonts w:hAnsi="宋体" w:cs="宋体"/>
                <w:color w:val="auto"/>
                <w:highlight w:val="none"/>
              </w:rPr>
            </w:pPr>
          </w:p>
        </w:tc>
        <w:tc>
          <w:tcPr>
            <w:tcW w:w="464" w:type="pct"/>
            <w:noWrap w:val="0"/>
            <w:vAlign w:val="center"/>
          </w:tcPr>
          <w:p w14:paraId="1B1A6528">
            <w:pPr>
              <w:pStyle w:val="27"/>
              <w:snapToGrid w:val="0"/>
              <w:spacing w:line="360" w:lineRule="auto"/>
              <w:jc w:val="center"/>
              <w:outlineLvl w:val="9"/>
              <w:rPr>
                <w:rFonts w:hAnsi="宋体" w:cs="宋体"/>
                <w:color w:val="auto"/>
                <w:highlight w:val="none"/>
              </w:rPr>
            </w:pPr>
          </w:p>
        </w:tc>
        <w:tc>
          <w:tcPr>
            <w:tcW w:w="698" w:type="pct"/>
            <w:noWrap w:val="0"/>
            <w:vAlign w:val="center"/>
          </w:tcPr>
          <w:p w14:paraId="30EF14FC">
            <w:pPr>
              <w:pStyle w:val="27"/>
              <w:snapToGrid w:val="0"/>
              <w:spacing w:line="360" w:lineRule="auto"/>
              <w:jc w:val="center"/>
              <w:outlineLvl w:val="9"/>
              <w:rPr>
                <w:rFonts w:hAnsi="宋体" w:cs="宋体"/>
                <w:color w:val="auto"/>
                <w:highlight w:val="none"/>
              </w:rPr>
            </w:pPr>
          </w:p>
        </w:tc>
        <w:tc>
          <w:tcPr>
            <w:tcW w:w="563" w:type="pct"/>
            <w:noWrap w:val="0"/>
            <w:vAlign w:val="center"/>
          </w:tcPr>
          <w:p w14:paraId="33806DD6">
            <w:pPr>
              <w:pStyle w:val="27"/>
              <w:snapToGrid w:val="0"/>
              <w:spacing w:line="360" w:lineRule="auto"/>
              <w:jc w:val="center"/>
              <w:outlineLvl w:val="9"/>
              <w:rPr>
                <w:rFonts w:hAnsi="宋体" w:cs="宋体"/>
                <w:color w:val="auto"/>
                <w:highlight w:val="none"/>
              </w:rPr>
            </w:pPr>
          </w:p>
        </w:tc>
      </w:tr>
      <w:tr w14:paraId="3850D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37" w:type="pct"/>
            <w:gridSpan w:val="6"/>
            <w:noWrap w:val="0"/>
            <w:vAlign w:val="center"/>
          </w:tcPr>
          <w:p w14:paraId="453ADE26">
            <w:pPr>
              <w:pStyle w:val="27"/>
              <w:snapToGrid w:val="0"/>
              <w:spacing w:line="360" w:lineRule="auto"/>
              <w:jc w:val="center"/>
              <w:outlineLvl w:val="9"/>
              <w:rPr>
                <w:rFonts w:hint="eastAsia" w:hAnsi="宋体" w:cs="宋体"/>
                <w:color w:val="auto"/>
                <w:highlight w:val="none"/>
              </w:rPr>
            </w:pPr>
            <w:r>
              <w:rPr>
                <w:rFonts w:hint="eastAsia" w:hAnsi="宋体" w:cs="宋体"/>
                <w:color w:val="auto"/>
                <w:highlight w:val="none"/>
              </w:rPr>
              <w:t>总  计</w:t>
            </w:r>
          </w:p>
        </w:tc>
        <w:tc>
          <w:tcPr>
            <w:tcW w:w="1262" w:type="pct"/>
            <w:gridSpan w:val="2"/>
            <w:noWrap w:val="0"/>
            <w:vAlign w:val="center"/>
          </w:tcPr>
          <w:p w14:paraId="5195BCA6">
            <w:pPr>
              <w:pStyle w:val="27"/>
              <w:snapToGrid w:val="0"/>
              <w:spacing w:line="360" w:lineRule="auto"/>
              <w:jc w:val="center"/>
              <w:outlineLvl w:val="9"/>
              <w:rPr>
                <w:rFonts w:hAnsi="宋体" w:cs="宋体"/>
                <w:color w:val="auto"/>
                <w:highlight w:val="none"/>
              </w:rPr>
            </w:pPr>
          </w:p>
        </w:tc>
      </w:tr>
    </w:tbl>
    <w:p w14:paraId="57F28DB5">
      <w:pPr>
        <w:widowControl/>
        <w:jc w:val="left"/>
        <w:outlineLvl w:val="9"/>
        <w:rPr>
          <w:rFonts w:ascii="宋体" w:hAnsi="宋体" w:cs="宋体"/>
          <w:b/>
          <w:bCs/>
          <w:color w:val="auto"/>
          <w:kern w:val="0"/>
          <w:szCs w:val="21"/>
          <w:highlight w:val="none"/>
        </w:rPr>
      </w:pPr>
    </w:p>
    <w:p w14:paraId="5752C899">
      <w:pPr>
        <w:tabs>
          <w:tab w:val="left" w:pos="1800"/>
          <w:tab w:val="left" w:pos="5580"/>
        </w:tabs>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注：1.如果不提供分项报价将视为没有实质性响应</w:t>
      </w:r>
      <w:r>
        <w:rPr>
          <w:rFonts w:hint="eastAsia" w:ascii="Times New Roman" w:hAnsi="Times New Roman" w:eastAsia="宋体" w:cs="Times New Roman"/>
          <w:color w:val="auto"/>
          <w:sz w:val="24"/>
          <w:szCs w:val="24"/>
          <w:highlight w:val="none"/>
          <w:lang w:eastAsia="zh-CN"/>
        </w:rPr>
        <w:t>采购</w:t>
      </w:r>
      <w:r>
        <w:rPr>
          <w:rFonts w:ascii="Times New Roman" w:hAnsi="Times New Roman" w:eastAsia="宋体" w:cs="Times New Roman"/>
          <w:color w:val="auto"/>
          <w:sz w:val="24"/>
          <w:szCs w:val="24"/>
          <w:highlight w:val="none"/>
        </w:rPr>
        <w:t>文件。</w:t>
      </w:r>
    </w:p>
    <w:p w14:paraId="62441D88">
      <w:pPr>
        <w:tabs>
          <w:tab w:val="left" w:pos="1800"/>
          <w:tab w:val="left" w:pos="5580"/>
        </w:tabs>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.上述各项的详细规格（如有），可另页描述。</w:t>
      </w:r>
    </w:p>
    <w:p w14:paraId="6B0CDB1D">
      <w:pPr>
        <w:widowControl/>
        <w:jc w:val="left"/>
        <w:outlineLvl w:val="9"/>
        <w:rPr>
          <w:rFonts w:hint="eastAsia" w:ascii="宋体" w:hAnsi="宋体" w:cs="宋体"/>
          <w:color w:val="auto"/>
          <w:kern w:val="0"/>
          <w:szCs w:val="21"/>
          <w:highlight w:val="none"/>
          <w:lang w:eastAsia="zh-CN"/>
        </w:rPr>
      </w:pPr>
    </w:p>
    <w:p w14:paraId="6CD5B9C7">
      <w:pPr>
        <w:widowControl/>
        <w:jc w:val="left"/>
        <w:outlineLvl w:val="9"/>
        <w:rPr>
          <w:rFonts w:hint="default" w:ascii="宋体" w:hAnsi="宋体" w:cs="宋体"/>
          <w:color w:val="auto"/>
          <w:kern w:val="0"/>
          <w:szCs w:val="21"/>
          <w:highlight w:val="none"/>
          <w:lang w:val="en-US" w:eastAsia="zh-CN"/>
        </w:rPr>
      </w:pPr>
    </w:p>
    <w:p w14:paraId="24AC63F8">
      <w:pPr>
        <w:widowControl/>
        <w:jc w:val="left"/>
        <w:outlineLvl w:val="9"/>
        <w:rPr>
          <w:rFonts w:hint="eastAsia" w:ascii="宋体" w:hAnsi="宋体" w:cs="宋体"/>
          <w:color w:val="auto"/>
          <w:kern w:val="0"/>
          <w:szCs w:val="21"/>
          <w:highlight w:val="none"/>
          <w:lang w:eastAsia="zh-CN"/>
        </w:rPr>
      </w:pPr>
    </w:p>
    <w:p w14:paraId="04D5E273">
      <w:pPr>
        <w:widowControl/>
        <w:jc w:val="left"/>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（加盖单位公章） </w:t>
      </w:r>
    </w:p>
    <w:p w14:paraId="60CFAF6E">
      <w:pPr>
        <w:widowControl/>
        <w:jc w:val="left"/>
        <w:outlineLvl w:val="9"/>
        <w:rPr>
          <w:rFonts w:ascii="宋体" w:hAnsi="宋体" w:cs="宋体"/>
          <w:color w:val="auto"/>
          <w:kern w:val="0"/>
          <w:szCs w:val="21"/>
          <w:highlight w:val="none"/>
        </w:rPr>
      </w:pPr>
    </w:p>
    <w:p w14:paraId="59565211">
      <w:pPr>
        <w:widowControl/>
        <w:jc w:val="left"/>
        <w:outlineLvl w:val="9"/>
        <w:rPr>
          <w:rFonts w:ascii="宋体" w:hAnsi="宋体" w:cs="宋体"/>
          <w:color w:val="auto"/>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 </w:t>
      </w:r>
    </w:p>
    <w:p w14:paraId="6A9939A2">
      <w:pPr>
        <w:widowControl/>
        <w:jc w:val="left"/>
        <w:outlineLvl w:val="9"/>
        <w:rPr>
          <w:rFonts w:ascii="宋体" w:hAnsi="宋体" w:cs="宋体"/>
          <w:color w:val="auto"/>
          <w:kern w:val="0"/>
          <w:szCs w:val="21"/>
          <w:highlight w:val="none"/>
        </w:rPr>
      </w:pPr>
    </w:p>
    <w:p w14:paraId="20976C90">
      <w:pPr>
        <w:widowControl/>
        <w:jc w:val="left"/>
        <w:outlineLvl w:val="9"/>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p>
    <w:p w14:paraId="322FFD1E">
      <w:pPr>
        <w:pStyle w:val="51"/>
        <w:ind w:left="0" w:leftChars="0" w:firstLine="0" w:firstLineChars="0"/>
        <w:outlineLvl w:val="9"/>
        <w:rPr>
          <w:rFonts w:hint="eastAsia" w:hAnsi="宋体" w:cs="宋体"/>
          <w:color w:val="auto"/>
          <w:kern w:val="0"/>
          <w:szCs w:val="21"/>
          <w:highlight w:val="none"/>
          <w:u w:val="none"/>
          <w:lang w:val="en-US" w:eastAsia="zh-CN"/>
        </w:rPr>
      </w:pPr>
    </w:p>
    <w:p w14:paraId="70CC3720">
      <w:pPr>
        <w:widowControl/>
        <w:jc w:val="left"/>
        <w:outlineLvl w:val="9"/>
        <w:rPr>
          <w:rFonts w:ascii="宋体" w:hAnsi="宋体" w:cs="宋体"/>
          <w:color w:val="auto"/>
          <w:kern w:val="0"/>
          <w:szCs w:val="21"/>
          <w:highlight w:val="none"/>
          <w:u w:val="single"/>
        </w:rPr>
      </w:pPr>
    </w:p>
    <w:p w14:paraId="2B212729">
      <w:pPr>
        <w:widowControl/>
        <w:jc w:val="left"/>
        <w:outlineLvl w:val="9"/>
        <w:rPr>
          <w:rFonts w:ascii="宋体" w:hAnsi="宋体" w:cs="宋体"/>
          <w:color w:val="auto"/>
          <w:kern w:val="0"/>
          <w:szCs w:val="21"/>
          <w:highlight w:val="none"/>
          <w:u w:val="single"/>
        </w:rPr>
      </w:pPr>
    </w:p>
    <w:p w14:paraId="609BA86B">
      <w:pPr>
        <w:outlineLvl w:val="9"/>
        <w:rPr>
          <w:rFonts w:ascii="宋体" w:hAnsi="宋体" w:cs="宋体"/>
          <w:color w:val="auto"/>
          <w:highlight w:val="none"/>
        </w:rPr>
      </w:pPr>
      <w:r>
        <w:rPr>
          <w:rFonts w:hint="eastAsia" w:ascii="宋体" w:hAnsi="宋体" w:cs="宋体"/>
          <w:color w:val="auto"/>
          <w:highlight w:val="none"/>
        </w:rPr>
        <w:br w:type="page"/>
      </w:r>
    </w:p>
    <w:p w14:paraId="4A9DA36E">
      <w:pPr>
        <w:pStyle w:val="20"/>
        <w:outlineLvl w:val="9"/>
        <w:rPr>
          <w:rFonts w:ascii="宋体" w:hAnsi="宋体" w:cs="宋体"/>
          <w:color w:val="auto"/>
          <w:highlight w:val="none"/>
        </w:rPr>
      </w:pPr>
    </w:p>
    <w:p w14:paraId="625810CC">
      <w:pPr>
        <w:pStyle w:val="19"/>
        <w:outlineLvl w:val="9"/>
        <w:rPr>
          <w:rFonts w:hint="eastAsia"/>
          <w:color w:val="auto"/>
          <w:highlight w:val="none"/>
        </w:rPr>
      </w:pPr>
    </w:p>
    <w:p w14:paraId="0FF63FA0">
      <w:pPr>
        <w:pStyle w:val="19"/>
        <w:outlineLvl w:val="9"/>
        <w:rPr>
          <w:rFonts w:hint="eastAsia"/>
          <w:color w:val="auto"/>
          <w:highlight w:val="none"/>
        </w:rPr>
      </w:pPr>
    </w:p>
    <w:p w14:paraId="5686DAE5">
      <w:pPr>
        <w:pStyle w:val="19"/>
        <w:jc w:val="center"/>
        <w:outlineLvl w:val="9"/>
        <w:rPr>
          <w:rFonts w:hAnsi="宋体" w:cs="宋体"/>
          <w:b/>
          <w:color w:val="auto"/>
          <w:sz w:val="32"/>
          <w:szCs w:val="22"/>
          <w:highlight w:val="none"/>
        </w:rPr>
      </w:pPr>
      <w:r>
        <w:rPr>
          <w:rFonts w:hint="eastAsia" w:hAnsi="宋体" w:cs="宋体"/>
          <w:b/>
          <w:color w:val="auto"/>
          <w:sz w:val="32"/>
          <w:szCs w:val="22"/>
          <w:highlight w:val="none"/>
        </w:rPr>
        <w:t xml:space="preserve">格式 </w:t>
      </w:r>
      <w:r>
        <w:rPr>
          <w:rFonts w:hint="eastAsia" w:hAnsi="宋体" w:cs="宋体"/>
          <w:b/>
          <w:color w:val="auto"/>
          <w:sz w:val="32"/>
          <w:szCs w:val="22"/>
          <w:highlight w:val="none"/>
          <w:lang w:val="en-US" w:eastAsia="zh-CN"/>
        </w:rPr>
        <w:t>4</w:t>
      </w:r>
      <w:r>
        <w:rPr>
          <w:rFonts w:hint="eastAsia" w:hAnsi="宋体" w:cs="宋体"/>
          <w:b/>
          <w:color w:val="auto"/>
          <w:sz w:val="32"/>
          <w:szCs w:val="22"/>
          <w:highlight w:val="none"/>
        </w:rPr>
        <w:t>.法定代表人授权书(格式)</w:t>
      </w:r>
    </w:p>
    <w:p w14:paraId="3BBC804B">
      <w:pPr>
        <w:pStyle w:val="27"/>
        <w:tabs>
          <w:tab w:val="left" w:pos="5580"/>
        </w:tabs>
        <w:spacing w:line="360" w:lineRule="auto"/>
        <w:outlineLvl w:val="9"/>
        <w:rPr>
          <w:rFonts w:hAnsi="宋体" w:cs="宋体"/>
          <w:color w:val="auto"/>
          <w:highlight w:val="none"/>
        </w:rPr>
      </w:pPr>
      <w:r>
        <w:rPr>
          <w:rFonts w:hint="eastAsia" w:hAnsi="宋体" w:cs="宋体"/>
          <w:color w:val="auto"/>
          <w:sz w:val="24"/>
          <w:highlight w:val="none"/>
          <w:u w:val="single"/>
        </w:rPr>
        <w:cr/>
      </w:r>
      <w:r>
        <w:rPr>
          <w:rFonts w:hint="eastAsia" w:hAnsi="宋体" w:cs="宋体"/>
          <w:color w:val="auto"/>
          <w:sz w:val="24"/>
          <w:highlight w:val="none"/>
        </w:rPr>
        <w:t xml:space="preserve">   </w:t>
      </w:r>
      <w:r>
        <w:rPr>
          <w:rFonts w:hint="eastAsia" w:hAnsi="宋体" w:cs="宋体"/>
          <w:i w:val="0"/>
          <w:iCs w:val="0"/>
          <w:color w:val="auto"/>
          <w:highlight w:val="none"/>
        </w:rPr>
        <w:t xml:space="preserve"> </w:t>
      </w:r>
      <w:r>
        <w:rPr>
          <w:rFonts w:hint="eastAsia" w:hAnsi="宋体" w:cs="宋体"/>
          <w:i w:val="0"/>
          <w:iCs w:val="0"/>
          <w:color w:val="auto"/>
          <w:sz w:val="24"/>
          <w:szCs w:val="24"/>
          <w:highlight w:val="none"/>
        </w:rPr>
        <w:t>本授权书声明：注册于</w:t>
      </w:r>
      <w:r>
        <w:rPr>
          <w:rFonts w:hint="eastAsia" w:hAnsi="宋体" w:cs="宋体"/>
          <w:i w:val="0"/>
          <w:iCs w:val="0"/>
          <w:color w:val="auto"/>
          <w:sz w:val="24"/>
          <w:szCs w:val="24"/>
          <w:highlight w:val="none"/>
          <w:u w:val="single"/>
        </w:rPr>
        <w:t>（国家或地区的名称）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u w:val="single"/>
        </w:rPr>
        <w:t>公司名称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法人代表姓名、职务</w:t>
      </w:r>
      <w:r>
        <w:rPr>
          <w:rFonts w:hint="eastAsia" w:hAnsi="宋体" w:cs="宋体"/>
          <w:i w:val="0"/>
          <w:iCs w:val="0"/>
          <w:color w:val="auto"/>
          <w:sz w:val="24"/>
          <w:szCs w:val="24"/>
          <w:highlight w:val="none"/>
        </w:rPr>
        <w:t>）代表本公司授权（</w:t>
      </w:r>
      <w:r>
        <w:rPr>
          <w:rFonts w:hint="eastAsia" w:hAnsi="宋体" w:cs="宋体"/>
          <w:i w:val="0"/>
          <w:iCs w:val="0"/>
          <w:color w:val="auto"/>
          <w:sz w:val="24"/>
          <w:szCs w:val="24"/>
          <w:highlight w:val="none"/>
          <w:u w:val="single"/>
        </w:rPr>
        <w:t>单位名称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被授权人的姓名、职务</w:t>
      </w:r>
      <w:r>
        <w:rPr>
          <w:rFonts w:hint="eastAsia" w:hAnsi="宋体" w:cs="宋体"/>
          <w:i w:val="0"/>
          <w:iCs w:val="0"/>
          <w:color w:val="auto"/>
          <w:sz w:val="24"/>
          <w:szCs w:val="24"/>
          <w:highlight w:val="none"/>
        </w:rPr>
        <w:t>）为本公司的合法代理人，就（</w:t>
      </w:r>
      <w:r>
        <w:rPr>
          <w:rFonts w:hint="eastAsia" w:hAnsi="宋体" w:cs="宋体"/>
          <w:i w:val="0"/>
          <w:iCs w:val="0"/>
          <w:color w:val="auto"/>
          <w:sz w:val="24"/>
          <w:szCs w:val="24"/>
          <w:highlight w:val="none"/>
          <w:u w:val="single"/>
        </w:rPr>
        <w:t>项目名称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lang w:eastAsia="zh-CN"/>
        </w:rPr>
        <w:t>响应</w:t>
      </w:r>
      <w:r>
        <w:rPr>
          <w:rFonts w:hint="eastAsia" w:hAnsi="宋体" w:cs="宋体"/>
          <w:i w:val="0"/>
          <w:iCs w:val="0"/>
          <w:color w:val="auto"/>
          <w:sz w:val="24"/>
          <w:szCs w:val="24"/>
          <w:highlight w:val="none"/>
        </w:rPr>
        <w:t>，以本公司名义处理一切与之有关的事务</w:t>
      </w:r>
      <w:r>
        <w:rPr>
          <w:rFonts w:hint="eastAsia" w:hAnsi="宋体" w:cs="宋体"/>
          <w:color w:val="auto"/>
          <w:sz w:val="24"/>
          <w:szCs w:val="24"/>
          <w:highlight w:val="none"/>
        </w:rPr>
        <w:t>。</w:t>
      </w:r>
      <w:r>
        <w:rPr>
          <w:rFonts w:hint="eastAsia" w:hAnsi="宋体" w:cs="宋体"/>
          <w:color w:val="auto"/>
          <w:sz w:val="24"/>
          <w:szCs w:val="24"/>
          <w:highlight w:val="none"/>
        </w:rPr>
        <w:cr/>
      </w:r>
      <w:r>
        <w:rPr>
          <w:rFonts w:hint="eastAsia" w:hAnsi="宋体" w:cs="宋体"/>
          <w:color w:val="auto"/>
          <w:highlight w:val="none"/>
        </w:rPr>
        <w:t>　　</w:t>
      </w:r>
    </w:p>
    <w:p w14:paraId="5E894688">
      <w:pPr>
        <w:pStyle w:val="27"/>
        <w:tabs>
          <w:tab w:val="left" w:pos="5580"/>
        </w:tabs>
        <w:spacing w:line="360" w:lineRule="auto"/>
        <w:ind w:firstLine="480"/>
        <w:outlineLvl w:val="9"/>
        <w:rPr>
          <w:rFonts w:hAnsi="宋体" w:cs="宋体"/>
          <w:color w:val="auto"/>
          <w:highlight w:val="none"/>
        </w:rPr>
      </w:pPr>
      <w:r>
        <w:rPr>
          <w:rFonts w:hint="eastAsia" w:hAnsi="宋体" w:cs="宋体"/>
          <w:color w:val="auto"/>
          <w:highlight w:val="none"/>
        </w:rPr>
        <w:t>本授权书于________年_____月______日签字盖章生效,特此声明。</w:t>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t>法定代表人签字或盖章_______________________________</w:t>
      </w:r>
    </w:p>
    <w:p w14:paraId="74C8A5EB">
      <w:pPr>
        <w:pStyle w:val="27"/>
        <w:tabs>
          <w:tab w:val="left" w:pos="5580"/>
        </w:tabs>
        <w:spacing w:line="360" w:lineRule="auto"/>
        <w:outlineLvl w:val="9"/>
        <w:rPr>
          <w:rFonts w:hAnsi="宋体" w:cs="宋体"/>
          <w:color w:val="auto"/>
          <w:highlight w:val="none"/>
        </w:rPr>
      </w:pPr>
      <w:r>
        <w:rPr>
          <w:rFonts w:hint="eastAsia" w:hAnsi="宋体" w:cs="宋体"/>
          <w:color w:val="auto"/>
          <w:highlight w:val="none"/>
        </w:rPr>
        <w:cr/>
      </w:r>
      <w:r>
        <w:rPr>
          <w:rFonts w:hint="eastAsia" w:hAnsi="宋体" w:cs="宋体"/>
          <w:color w:val="auto"/>
          <w:highlight w:val="none"/>
        </w:rPr>
        <w:t>被授权人签字或盖章_______________________________</w:t>
      </w:r>
    </w:p>
    <w:p w14:paraId="628B2468">
      <w:pPr>
        <w:pStyle w:val="19"/>
        <w:outlineLvl w:val="9"/>
        <w:rPr>
          <w:rFonts w:ascii="宋体" w:hAnsi="宋体" w:cs="宋体"/>
          <w:color w:val="auto"/>
          <w:szCs w:val="21"/>
          <w:highlight w:val="none"/>
        </w:rPr>
      </w:pPr>
      <w:r>
        <w:rPr>
          <w:rFonts w:hint="eastAsia" w:ascii="宋体" w:hAnsi="宋体" w:cs="宋体"/>
          <w:color w:val="auto"/>
          <w:szCs w:val="21"/>
          <w:highlight w:val="none"/>
        </w:rPr>
        <w:cr/>
      </w:r>
      <w:r>
        <w:rPr>
          <w:rFonts w:hint="eastAsia" w:ascii="宋体" w:hAnsi="宋体" w:cs="宋体"/>
          <w:color w:val="auto"/>
          <w:szCs w:val="21"/>
          <w:highlight w:val="none"/>
        </w:rPr>
        <w:t>公司盖章：</w:t>
      </w:r>
    </w:p>
    <w:p w14:paraId="3F687838">
      <w:pPr>
        <w:pStyle w:val="19"/>
        <w:outlineLvl w:val="9"/>
        <w:rPr>
          <w:rFonts w:ascii="宋体" w:hAnsi="宋体" w:cs="宋体"/>
          <w:color w:val="auto"/>
          <w:szCs w:val="21"/>
          <w:highlight w:val="none"/>
        </w:rPr>
      </w:pPr>
    </w:p>
    <w:p w14:paraId="5547BC77">
      <w:pPr>
        <w:pStyle w:val="19"/>
        <w:outlineLvl w:val="9"/>
        <w:rPr>
          <w:rFonts w:ascii="宋体" w:hAnsi="宋体" w:cs="宋体"/>
          <w:color w:val="auto"/>
          <w:szCs w:val="21"/>
          <w:highlight w:val="none"/>
        </w:rPr>
      </w:pPr>
    </w:p>
    <w:p w14:paraId="7681F071">
      <w:pPr>
        <w:pStyle w:val="19"/>
        <w:outlineLvl w:val="9"/>
        <w:rPr>
          <w:rFonts w:ascii="宋体" w:hAnsi="宋体" w:cs="宋体"/>
          <w:color w:val="auto"/>
          <w:szCs w:val="21"/>
          <w:highlight w:val="none"/>
        </w:rPr>
      </w:pPr>
    </w:p>
    <w:p w14:paraId="31971A9D">
      <w:pPr>
        <w:pStyle w:val="19"/>
        <w:outlineLvl w:val="9"/>
        <w:rPr>
          <w:rFonts w:ascii="宋体" w:hAnsi="宋体" w:cs="宋体"/>
          <w:color w:val="auto"/>
          <w:szCs w:val="21"/>
          <w:highlight w:val="none"/>
        </w:rPr>
      </w:pPr>
    </w:p>
    <w:p w14:paraId="42937937">
      <w:pPr>
        <w:pStyle w:val="19"/>
        <w:outlineLvl w:val="9"/>
        <w:rPr>
          <w:rFonts w:ascii="宋体" w:hAnsi="宋体" w:cs="宋体"/>
          <w:color w:val="auto"/>
          <w:szCs w:val="21"/>
          <w:highlight w:val="none"/>
        </w:rPr>
      </w:pPr>
    </w:p>
    <w:p w14:paraId="5F991EFA">
      <w:pPr>
        <w:pStyle w:val="19"/>
        <w:outlineLvl w:val="9"/>
        <w:rPr>
          <w:rFonts w:ascii="宋体" w:hAnsi="宋体" w:cs="宋体"/>
          <w:b/>
          <w:bCs/>
          <w:color w:val="auto"/>
          <w:sz w:val="24"/>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4"/>
          <w:highlight w:val="none"/>
        </w:rPr>
        <w:t>说明：后附法定代表人及被授权人身份证复印件并加盖公章</w:t>
      </w:r>
    </w:p>
    <w:p w14:paraId="2FFD940F">
      <w:pPr>
        <w:pStyle w:val="20"/>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-1法定代表人身份证正反面复印件</w:t>
      </w:r>
    </w:p>
    <w:p w14:paraId="2E1FD674">
      <w:pPr>
        <w:pStyle w:val="20"/>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-2被授权人身份证正反面复印件</w:t>
      </w:r>
    </w:p>
    <w:p w14:paraId="6EB99F2D">
      <w:pPr>
        <w:numPr>
          <w:ilvl w:val="1"/>
          <w:numId w:val="0"/>
        </w:numPr>
        <w:spacing w:before="0" w:after="0" w:line="360" w:lineRule="auto"/>
        <w:jc w:val="center"/>
        <w:outlineLvl w:val="9"/>
        <w:rPr>
          <w:rFonts w:ascii="宋体" w:hAnsi="宋体" w:cs="宋体"/>
          <w:color w:val="auto"/>
          <w:sz w:val="32"/>
          <w:szCs w:val="32"/>
          <w:highlight w:val="none"/>
        </w:rPr>
      </w:pPr>
      <w:r>
        <w:rPr>
          <w:rFonts w:hint="eastAsia" w:ascii="宋体" w:hAnsi="宋体" w:cs="宋体"/>
          <w:color w:val="auto"/>
          <w:sz w:val="32"/>
          <w:szCs w:val="32"/>
          <w:highlight w:val="none"/>
        </w:rPr>
        <w:t xml:space="preserve">格式 </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.商务条款偏离表</w:t>
      </w:r>
    </w:p>
    <w:p w14:paraId="7AB9AF77">
      <w:pPr>
        <w:pStyle w:val="27"/>
        <w:outlineLvl w:val="9"/>
        <w:rPr>
          <w:rFonts w:hAnsi="宋体" w:cs="宋体"/>
          <w:color w:val="auto"/>
          <w:sz w:val="28"/>
          <w:szCs w:val="21"/>
          <w:highlight w:val="none"/>
        </w:rPr>
      </w:pPr>
    </w:p>
    <w:p w14:paraId="4E6809B9">
      <w:pPr>
        <w:pStyle w:val="27"/>
        <w:ind w:firstLine="630" w:firstLineChars="300"/>
        <w:outlineLvl w:val="9"/>
        <w:rPr>
          <w:rFonts w:hint="eastAsia" w:hAnsi="宋体" w:cs="宋体"/>
          <w:color w:val="auto"/>
          <w:highlight w:val="none"/>
        </w:rPr>
      </w:pPr>
      <w:r>
        <w:rPr>
          <w:rFonts w:hint="eastAsia" w:hAnsi="宋体" w:cs="宋体"/>
          <w:color w:val="auto"/>
          <w:highlight w:val="none"/>
          <w:lang w:val="en-US" w:eastAsia="zh-CN"/>
        </w:rPr>
        <w:t>项目</w:t>
      </w:r>
      <w:r>
        <w:rPr>
          <w:rFonts w:hint="eastAsia" w:hAnsi="宋体" w:cs="宋体"/>
          <w:color w:val="auto"/>
          <w:highlight w:val="none"/>
        </w:rPr>
        <w:t xml:space="preserve">编号:_____________ </w:t>
      </w:r>
    </w:p>
    <w:p w14:paraId="273BBFB3">
      <w:pPr>
        <w:pStyle w:val="27"/>
        <w:ind w:firstLine="630" w:firstLineChars="300"/>
        <w:outlineLvl w:val="9"/>
        <w:rPr>
          <w:rFonts w:hAnsi="宋体" w:cs="宋体"/>
          <w:color w:val="auto"/>
          <w:highlight w:val="none"/>
        </w:rPr>
      </w:pPr>
      <w:r>
        <w:rPr>
          <w:rFonts w:hint="eastAsia" w:hAnsi="宋体" w:cs="宋体"/>
          <w:color w:val="auto"/>
          <w:highlight w:val="none"/>
          <w:lang w:val="en-US" w:eastAsia="zh-CN"/>
        </w:rPr>
        <w:t>包号（如有）：</w:t>
      </w:r>
      <w:r>
        <w:rPr>
          <w:rFonts w:hint="eastAsia" w:hAnsi="宋体" w:cs="宋体"/>
          <w:color w:val="auto"/>
          <w:highlight w:val="none"/>
          <w:u w:val="single"/>
        </w:rPr>
        <w:t xml:space="preserve">      </w:t>
      </w:r>
      <w:r>
        <w:rPr>
          <w:rFonts w:hint="eastAsia" w:hAnsi="宋体" w:cs="宋体"/>
          <w:color w:val="auto"/>
          <w:highlight w:val="none"/>
        </w:rPr>
        <w:t xml:space="preserve">                         </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770"/>
        <w:gridCol w:w="2186"/>
        <w:gridCol w:w="1657"/>
        <w:gridCol w:w="1310"/>
        <w:gridCol w:w="781"/>
      </w:tblGrid>
      <w:tr w14:paraId="4CD0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822" w:type="dxa"/>
            <w:tcBorders>
              <w:tl2br w:val="nil"/>
              <w:tr2bl w:val="nil"/>
            </w:tcBorders>
            <w:noWrap w:val="0"/>
            <w:vAlign w:val="top"/>
          </w:tcPr>
          <w:p w14:paraId="649DF447">
            <w:pPr>
              <w:pStyle w:val="27"/>
              <w:spacing w:before="156"/>
              <w:jc w:val="center"/>
              <w:outlineLvl w:val="9"/>
              <w:rPr>
                <w:rFonts w:hAnsi="宋体" w:cs="宋体"/>
                <w:color w:val="auto"/>
                <w:highlight w:val="none"/>
              </w:rPr>
            </w:pPr>
            <w:r>
              <w:rPr>
                <w:rFonts w:hint="eastAsia" w:hAnsi="宋体" w:cs="宋体"/>
                <w:color w:val="auto"/>
                <w:highlight w:val="none"/>
              </w:rPr>
              <w:t>序号</w:t>
            </w:r>
          </w:p>
        </w:tc>
        <w:tc>
          <w:tcPr>
            <w:tcW w:w="1770" w:type="dxa"/>
            <w:tcBorders>
              <w:tl2br w:val="nil"/>
              <w:tr2bl w:val="nil"/>
            </w:tcBorders>
            <w:noWrap w:val="0"/>
            <w:vAlign w:val="top"/>
          </w:tcPr>
          <w:p w14:paraId="73566642">
            <w:pPr>
              <w:pStyle w:val="27"/>
              <w:spacing w:before="156"/>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文件条款号</w:t>
            </w:r>
          </w:p>
        </w:tc>
        <w:tc>
          <w:tcPr>
            <w:tcW w:w="2186" w:type="dxa"/>
            <w:tcBorders>
              <w:tl2br w:val="nil"/>
              <w:tr2bl w:val="nil"/>
            </w:tcBorders>
            <w:noWrap w:val="0"/>
            <w:vAlign w:val="top"/>
          </w:tcPr>
          <w:p w14:paraId="3DF2B795">
            <w:pPr>
              <w:pStyle w:val="27"/>
              <w:spacing w:before="156"/>
              <w:jc w:val="center"/>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文件要求</w:t>
            </w:r>
          </w:p>
        </w:tc>
        <w:tc>
          <w:tcPr>
            <w:tcW w:w="1657" w:type="dxa"/>
            <w:tcBorders>
              <w:tl2br w:val="nil"/>
              <w:tr2bl w:val="nil"/>
            </w:tcBorders>
            <w:noWrap w:val="0"/>
            <w:vAlign w:val="top"/>
          </w:tcPr>
          <w:p w14:paraId="5B6A69D3">
            <w:pPr>
              <w:pStyle w:val="27"/>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响应</w:t>
            </w:r>
            <w:r>
              <w:rPr>
                <w:rFonts w:hint="eastAsia" w:hAnsi="宋体" w:cs="宋体"/>
                <w:color w:val="auto"/>
                <w:highlight w:val="none"/>
                <w:lang w:val="en-US" w:eastAsia="zh-CN"/>
              </w:rPr>
              <w:t>内容</w:t>
            </w:r>
          </w:p>
        </w:tc>
        <w:tc>
          <w:tcPr>
            <w:tcW w:w="1310" w:type="dxa"/>
            <w:tcBorders>
              <w:tl2br w:val="nil"/>
              <w:tr2bl w:val="nil"/>
            </w:tcBorders>
            <w:noWrap w:val="0"/>
            <w:vAlign w:val="top"/>
          </w:tcPr>
          <w:p w14:paraId="200CDD16">
            <w:pPr>
              <w:pStyle w:val="27"/>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偏离</w:t>
            </w:r>
            <w:r>
              <w:rPr>
                <w:rFonts w:hint="eastAsia" w:hAnsi="宋体" w:cs="宋体"/>
                <w:color w:val="auto"/>
                <w:highlight w:val="none"/>
                <w:lang w:val="en-US" w:eastAsia="zh-CN"/>
              </w:rPr>
              <w:t>情况</w:t>
            </w:r>
          </w:p>
        </w:tc>
        <w:tc>
          <w:tcPr>
            <w:tcW w:w="781" w:type="dxa"/>
            <w:tcBorders>
              <w:tl2br w:val="nil"/>
              <w:tr2bl w:val="nil"/>
            </w:tcBorders>
            <w:noWrap w:val="0"/>
            <w:vAlign w:val="top"/>
          </w:tcPr>
          <w:p w14:paraId="6B328AF6">
            <w:pPr>
              <w:pStyle w:val="27"/>
              <w:spacing w:before="156"/>
              <w:jc w:val="center"/>
              <w:outlineLvl w:val="9"/>
              <w:rPr>
                <w:rFonts w:hAnsi="宋体" w:cs="宋体"/>
                <w:color w:val="auto"/>
                <w:highlight w:val="none"/>
              </w:rPr>
            </w:pPr>
            <w:r>
              <w:rPr>
                <w:rFonts w:hint="eastAsia" w:hAnsi="宋体" w:cs="宋体"/>
                <w:color w:val="auto"/>
                <w:highlight w:val="none"/>
              </w:rPr>
              <w:t>说明</w:t>
            </w:r>
          </w:p>
        </w:tc>
      </w:tr>
      <w:tr w14:paraId="3B06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380F511">
            <w:pPr>
              <w:pStyle w:val="27"/>
              <w:outlineLvl w:val="9"/>
              <w:rPr>
                <w:rFonts w:hAnsi="宋体" w:cs="宋体"/>
                <w:color w:val="auto"/>
                <w:highlight w:val="none"/>
              </w:rPr>
            </w:pPr>
          </w:p>
        </w:tc>
        <w:tc>
          <w:tcPr>
            <w:tcW w:w="1770" w:type="dxa"/>
            <w:tcBorders>
              <w:tl2br w:val="nil"/>
              <w:tr2bl w:val="nil"/>
            </w:tcBorders>
            <w:noWrap w:val="0"/>
            <w:vAlign w:val="top"/>
          </w:tcPr>
          <w:p w14:paraId="1F3B9344">
            <w:pPr>
              <w:pStyle w:val="27"/>
              <w:outlineLvl w:val="9"/>
              <w:rPr>
                <w:rFonts w:hAnsi="宋体" w:cs="宋体"/>
                <w:color w:val="auto"/>
                <w:highlight w:val="none"/>
              </w:rPr>
            </w:pPr>
          </w:p>
        </w:tc>
        <w:tc>
          <w:tcPr>
            <w:tcW w:w="2186" w:type="dxa"/>
            <w:tcBorders>
              <w:tl2br w:val="nil"/>
              <w:tr2bl w:val="nil"/>
            </w:tcBorders>
            <w:noWrap w:val="0"/>
            <w:vAlign w:val="top"/>
          </w:tcPr>
          <w:p w14:paraId="6D3840FC">
            <w:pPr>
              <w:pStyle w:val="27"/>
              <w:jc w:val="center"/>
              <w:outlineLvl w:val="9"/>
              <w:rPr>
                <w:rFonts w:hAnsi="宋体" w:cs="宋体"/>
                <w:color w:val="auto"/>
                <w:highlight w:val="none"/>
              </w:rPr>
            </w:pPr>
          </w:p>
        </w:tc>
        <w:tc>
          <w:tcPr>
            <w:tcW w:w="1657" w:type="dxa"/>
            <w:tcBorders>
              <w:tl2br w:val="nil"/>
              <w:tr2bl w:val="nil"/>
            </w:tcBorders>
            <w:noWrap w:val="0"/>
            <w:vAlign w:val="top"/>
          </w:tcPr>
          <w:p w14:paraId="6DDF02EF">
            <w:pPr>
              <w:pStyle w:val="27"/>
              <w:jc w:val="center"/>
              <w:outlineLvl w:val="9"/>
              <w:rPr>
                <w:rFonts w:hAnsi="宋体" w:cs="宋体"/>
                <w:color w:val="auto"/>
                <w:highlight w:val="none"/>
              </w:rPr>
            </w:pPr>
          </w:p>
        </w:tc>
        <w:tc>
          <w:tcPr>
            <w:tcW w:w="1310" w:type="dxa"/>
            <w:tcBorders>
              <w:tl2br w:val="nil"/>
              <w:tr2bl w:val="nil"/>
            </w:tcBorders>
            <w:noWrap w:val="0"/>
            <w:vAlign w:val="top"/>
          </w:tcPr>
          <w:p w14:paraId="0888E643">
            <w:pPr>
              <w:pStyle w:val="27"/>
              <w:outlineLvl w:val="9"/>
              <w:rPr>
                <w:rFonts w:hAnsi="宋体" w:cs="宋体"/>
                <w:color w:val="auto"/>
                <w:highlight w:val="none"/>
              </w:rPr>
            </w:pPr>
          </w:p>
        </w:tc>
        <w:tc>
          <w:tcPr>
            <w:tcW w:w="781" w:type="dxa"/>
            <w:tcBorders>
              <w:tl2br w:val="nil"/>
              <w:tr2bl w:val="nil"/>
            </w:tcBorders>
            <w:noWrap w:val="0"/>
            <w:vAlign w:val="top"/>
          </w:tcPr>
          <w:p w14:paraId="72335522">
            <w:pPr>
              <w:pStyle w:val="27"/>
              <w:outlineLvl w:val="9"/>
              <w:rPr>
                <w:rFonts w:hAnsi="宋体" w:cs="宋体"/>
                <w:color w:val="auto"/>
                <w:highlight w:val="none"/>
              </w:rPr>
            </w:pPr>
          </w:p>
        </w:tc>
      </w:tr>
      <w:tr w14:paraId="0938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3E14B21">
            <w:pPr>
              <w:pStyle w:val="27"/>
              <w:outlineLvl w:val="9"/>
              <w:rPr>
                <w:rFonts w:hAnsi="宋体" w:cs="宋体"/>
                <w:color w:val="auto"/>
                <w:highlight w:val="none"/>
              </w:rPr>
            </w:pPr>
          </w:p>
        </w:tc>
        <w:tc>
          <w:tcPr>
            <w:tcW w:w="1770" w:type="dxa"/>
            <w:tcBorders>
              <w:tl2br w:val="nil"/>
              <w:tr2bl w:val="nil"/>
            </w:tcBorders>
            <w:noWrap w:val="0"/>
            <w:vAlign w:val="top"/>
          </w:tcPr>
          <w:p w14:paraId="1401824E">
            <w:pPr>
              <w:pStyle w:val="27"/>
              <w:outlineLvl w:val="9"/>
              <w:rPr>
                <w:rFonts w:hAnsi="宋体" w:cs="宋体"/>
                <w:color w:val="auto"/>
                <w:highlight w:val="none"/>
              </w:rPr>
            </w:pPr>
          </w:p>
        </w:tc>
        <w:tc>
          <w:tcPr>
            <w:tcW w:w="2186" w:type="dxa"/>
            <w:tcBorders>
              <w:tl2br w:val="nil"/>
              <w:tr2bl w:val="nil"/>
            </w:tcBorders>
            <w:noWrap w:val="0"/>
            <w:vAlign w:val="top"/>
          </w:tcPr>
          <w:p w14:paraId="1B21E413">
            <w:pPr>
              <w:pStyle w:val="27"/>
              <w:outlineLvl w:val="9"/>
              <w:rPr>
                <w:rFonts w:hAnsi="宋体" w:cs="宋体"/>
                <w:color w:val="auto"/>
                <w:highlight w:val="none"/>
              </w:rPr>
            </w:pPr>
          </w:p>
        </w:tc>
        <w:tc>
          <w:tcPr>
            <w:tcW w:w="1657" w:type="dxa"/>
            <w:tcBorders>
              <w:tl2br w:val="nil"/>
              <w:tr2bl w:val="nil"/>
            </w:tcBorders>
            <w:noWrap w:val="0"/>
            <w:vAlign w:val="top"/>
          </w:tcPr>
          <w:p w14:paraId="49476928">
            <w:pPr>
              <w:pStyle w:val="27"/>
              <w:outlineLvl w:val="9"/>
              <w:rPr>
                <w:rFonts w:hAnsi="宋体" w:cs="宋体"/>
                <w:color w:val="auto"/>
                <w:highlight w:val="none"/>
              </w:rPr>
            </w:pPr>
          </w:p>
        </w:tc>
        <w:tc>
          <w:tcPr>
            <w:tcW w:w="1310" w:type="dxa"/>
            <w:tcBorders>
              <w:tl2br w:val="nil"/>
              <w:tr2bl w:val="nil"/>
            </w:tcBorders>
            <w:noWrap w:val="0"/>
            <w:vAlign w:val="top"/>
          </w:tcPr>
          <w:p w14:paraId="7FF61091">
            <w:pPr>
              <w:pStyle w:val="27"/>
              <w:outlineLvl w:val="9"/>
              <w:rPr>
                <w:rFonts w:hAnsi="宋体" w:cs="宋体"/>
                <w:color w:val="auto"/>
                <w:highlight w:val="none"/>
              </w:rPr>
            </w:pPr>
          </w:p>
        </w:tc>
        <w:tc>
          <w:tcPr>
            <w:tcW w:w="781" w:type="dxa"/>
            <w:tcBorders>
              <w:tl2br w:val="nil"/>
              <w:tr2bl w:val="nil"/>
            </w:tcBorders>
            <w:noWrap w:val="0"/>
            <w:vAlign w:val="top"/>
          </w:tcPr>
          <w:p w14:paraId="45AC299C">
            <w:pPr>
              <w:pStyle w:val="27"/>
              <w:outlineLvl w:val="9"/>
              <w:rPr>
                <w:rFonts w:hAnsi="宋体" w:cs="宋体"/>
                <w:color w:val="auto"/>
                <w:highlight w:val="none"/>
              </w:rPr>
            </w:pPr>
          </w:p>
        </w:tc>
      </w:tr>
      <w:tr w14:paraId="11A3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577E3D2">
            <w:pPr>
              <w:pStyle w:val="27"/>
              <w:outlineLvl w:val="9"/>
              <w:rPr>
                <w:rFonts w:hAnsi="宋体" w:cs="宋体"/>
                <w:color w:val="auto"/>
                <w:highlight w:val="none"/>
              </w:rPr>
            </w:pPr>
          </w:p>
        </w:tc>
        <w:tc>
          <w:tcPr>
            <w:tcW w:w="1770" w:type="dxa"/>
            <w:tcBorders>
              <w:tl2br w:val="nil"/>
              <w:tr2bl w:val="nil"/>
            </w:tcBorders>
            <w:noWrap w:val="0"/>
            <w:vAlign w:val="top"/>
          </w:tcPr>
          <w:p w14:paraId="04CFF7CD">
            <w:pPr>
              <w:pStyle w:val="27"/>
              <w:outlineLvl w:val="9"/>
              <w:rPr>
                <w:rFonts w:hAnsi="宋体" w:cs="宋体"/>
                <w:color w:val="auto"/>
                <w:highlight w:val="none"/>
              </w:rPr>
            </w:pPr>
          </w:p>
        </w:tc>
        <w:tc>
          <w:tcPr>
            <w:tcW w:w="2186" w:type="dxa"/>
            <w:tcBorders>
              <w:tl2br w:val="nil"/>
              <w:tr2bl w:val="nil"/>
            </w:tcBorders>
            <w:noWrap w:val="0"/>
            <w:vAlign w:val="top"/>
          </w:tcPr>
          <w:p w14:paraId="1E8684BD">
            <w:pPr>
              <w:pStyle w:val="27"/>
              <w:outlineLvl w:val="9"/>
              <w:rPr>
                <w:rFonts w:hAnsi="宋体" w:cs="宋体"/>
                <w:color w:val="auto"/>
                <w:highlight w:val="none"/>
              </w:rPr>
            </w:pPr>
          </w:p>
        </w:tc>
        <w:tc>
          <w:tcPr>
            <w:tcW w:w="1657" w:type="dxa"/>
            <w:tcBorders>
              <w:tl2br w:val="nil"/>
              <w:tr2bl w:val="nil"/>
            </w:tcBorders>
            <w:noWrap w:val="0"/>
            <w:vAlign w:val="top"/>
          </w:tcPr>
          <w:p w14:paraId="4C643745">
            <w:pPr>
              <w:pStyle w:val="27"/>
              <w:outlineLvl w:val="9"/>
              <w:rPr>
                <w:rFonts w:hAnsi="宋体" w:cs="宋体"/>
                <w:color w:val="auto"/>
                <w:highlight w:val="none"/>
              </w:rPr>
            </w:pPr>
          </w:p>
        </w:tc>
        <w:tc>
          <w:tcPr>
            <w:tcW w:w="1310" w:type="dxa"/>
            <w:tcBorders>
              <w:tl2br w:val="nil"/>
              <w:tr2bl w:val="nil"/>
            </w:tcBorders>
            <w:noWrap w:val="0"/>
            <w:vAlign w:val="top"/>
          </w:tcPr>
          <w:p w14:paraId="323C27BB">
            <w:pPr>
              <w:pStyle w:val="27"/>
              <w:outlineLvl w:val="9"/>
              <w:rPr>
                <w:rFonts w:hAnsi="宋体" w:cs="宋体"/>
                <w:color w:val="auto"/>
                <w:highlight w:val="none"/>
              </w:rPr>
            </w:pPr>
          </w:p>
        </w:tc>
        <w:tc>
          <w:tcPr>
            <w:tcW w:w="781" w:type="dxa"/>
            <w:tcBorders>
              <w:tl2br w:val="nil"/>
              <w:tr2bl w:val="nil"/>
            </w:tcBorders>
            <w:noWrap w:val="0"/>
            <w:vAlign w:val="top"/>
          </w:tcPr>
          <w:p w14:paraId="291FA599">
            <w:pPr>
              <w:pStyle w:val="27"/>
              <w:outlineLvl w:val="9"/>
              <w:rPr>
                <w:rFonts w:hAnsi="宋体" w:cs="宋体"/>
                <w:color w:val="auto"/>
                <w:highlight w:val="none"/>
              </w:rPr>
            </w:pPr>
          </w:p>
        </w:tc>
      </w:tr>
      <w:tr w14:paraId="1A4B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F57631C">
            <w:pPr>
              <w:pStyle w:val="27"/>
              <w:outlineLvl w:val="9"/>
              <w:rPr>
                <w:rFonts w:hAnsi="宋体" w:cs="宋体"/>
                <w:color w:val="auto"/>
                <w:highlight w:val="none"/>
              </w:rPr>
            </w:pPr>
          </w:p>
        </w:tc>
        <w:tc>
          <w:tcPr>
            <w:tcW w:w="1770" w:type="dxa"/>
            <w:tcBorders>
              <w:tl2br w:val="nil"/>
              <w:tr2bl w:val="nil"/>
            </w:tcBorders>
            <w:noWrap w:val="0"/>
            <w:vAlign w:val="top"/>
          </w:tcPr>
          <w:p w14:paraId="420FE3E6">
            <w:pPr>
              <w:pStyle w:val="27"/>
              <w:outlineLvl w:val="9"/>
              <w:rPr>
                <w:rFonts w:hAnsi="宋体" w:cs="宋体"/>
                <w:color w:val="auto"/>
                <w:highlight w:val="none"/>
              </w:rPr>
            </w:pPr>
          </w:p>
        </w:tc>
        <w:tc>
          <w:tcPr>
            <w:tcW w:w="2186" w:type="dxa"/>
            <w:tcBorders>
              <w:tl2br w:val="nil"/>
              <w:tr2bl w:val="nil"/>
            </w:tcBorders>
            <w:noWrap w:val="0"/>
            <w:vAlign w:val="top"/>
          </w:tcPr>
          <w:p w14:paraId="27FD573D">
            <w:pPr>
              <w:pStyle w:val="27"/>
              <w:outlineLvl w:val="9"/>
              <w:rPr>
                <w:rFonts w:hAnsi="宋体" w:cs="宋体"/>
                <w:color w:val="auto"/>
                <w:highlight w:val="none"/>
              </w:rPr>
            </w:pPr>
          </w:p>
        </w:tc>
        <w:tc>
          <w:tcPr>
            <w:tcW w:w="1657" w:type="dxa"/>
            <w:tcBorders>
              <w:tl2br w:val="nil"/>
              <w:tr2bl w:val="nil"/>
            </w:tcBorders>
            <w:noWrap w:val="0"/>
            <w:vAlign w:val="top"/>
          </w:tcPr>
          <w:p w14:paraId="417C9A61">
            <w:pPr>
              <w:pStyle w:val="27"/>
              <w:outlineLvl w:val="9"/>
              <w:rPr>
                <w:rFonts w:hAnsi="宋体" w:cs="宋体"/>
                <w:color w:val="auto"/>
                <w:highlight w:val="none"/>
              </w:rPr>
            </w:pPr>
          </w:p>
        </w:tc>
        <w:tc>
          <w:tcPr>
            <w:tcW w:w="1310" w:type="dxa"/>
            <w:tcBorders>
              <w:tl2br w:val="nil"/>
              <w:tr2bl w:val="nil"/>
            </w:tcBorders>
            <w:noWrap w:val="0"/>
            <w:vAlign w:val="top"/>
          </w:tcPr>
          <w:p w14:paraId="4874A739">
            <w:pPr>
              <w:pStyle w:val="27"/>
              <w:outlineLvl w:val="9"/>
              <w:rPr>
                <w:rFonts w:hAnsi="宋体" w:cs="宋体"/>
                <w:color w:val="auto"/>
                <w:highlight w:val="none"/>
              </w:rPr>
            </w:pPr>
          </w:p>
        </w:tc>
        <w:tc>
          <w:tcPr>
            <w:tcW w:w="781" w:type="dxa"/>
            <w:tcBorders>
              <w:tl2br w:val="nil"/>
              <w:tr2bl w:val="nil"/>
            </w:tcBorders>
            <w:noWrap w:val="0"/>
            <w:vAlign w:val="top"/>
          </w:tcPr>
          <w:p w14:paraId="6F31EAF5">
            <w:pPr>
              <w:pStyle w:val="27"/>
              <w:outlineLvl w:val="9"/>
              <w:rPr>
                <w:rFonts w:hAnsi="宋体" w:cs="宋体"/>
                <w:color w:val="auto"/>
                <w:highlight w:val="none"/>
              </w:rPr>
            </w:pPr>
          </w:p>
        </w:tc>
      </w:tr>
      <w:tr w14:paraId="1107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jc w:val="center"/>
        </w:trPr>
        <w:tc>
          <w:tcPr>
            <w:tcW w:w="822" w:type="dxa"/>
            <w:tcBorders>
              <w:tl2br w:val="nil"/>
              <w:tr2bl w:val="nil"/>
            </w:tcBorders>
            <w:noWrap w:val="0"/>
            <w:vAlign w:val="top"/>
          </w:tcPr>
          <w:p w14:paraId="201C3176">
            <w:pPr>
              <w:pStyle w:val="27"/>
              <w:outlineLvl w:val="9"/>
              <w:rPr>
                <w:rFonts w:hAnsi="宋体" w:cs="宋体"/>
                <w:color w:val="auto"/>
                <w:highlight w:val="none"/>
              </w:rPr>
            </w:pPr>
          </w:p>
        </w:tc>
        <w:tc>
          <w:tcPr>
            <w:tcW w:w="1770" w:type="dxa"/>
            <w:tcBorders>
              <w:tl2br w:val="nil"/>
              <w:tr2bl w:val="nil"/>
            </w:tcBorders>
            <w:noWrap w:val="0"/>
            <w:vAlign w:val="top"/>
          </w:tcPr>
          <w:p w14:paraId="5E31AF90">
            <w:pPr>
              <w:pStyle w:val="27"/>
              <w:outlineLvl w:val="9"/>
              <w:rPr>
                <w:rFonts w:hAnsi="宋体" w:cs="宋体"/>
                <w:color w:val="auto"/>
                <w:highlight w:val="none"/>
              </w:rPr>
            </w:pPr>
          </w:p>
        </w:tc>
        <w:tc>
          <w:tcPr>
            <w:tcW w:w="2186" w:type="dxa"/>
            <w:tcBorders>
              <w:tl2br w:val="nil"/>
              <w:tr2bl w:val="nil"/>
            </w:tcBorders>
            <w:noWrap w:val="0"/>
            <w:vAlign w:val="top"/>
          </w:tcPr>
          <w:p w14:paraId="34890D97">
            <w:pPr>
              <w:pStyle w:val="27"/>
              <w:outlineLvl w:val="9"/>
              <w:rPr>
                <w:rFonts w:hAnsi="宋体" w:cs="宋体"/>
                <w:color w:val="auto"/>
                <w:highlight w:val="none"/>
              </w:rPr>
            </w:pPr>
          </w:p>
        </w:tc>
        <w:tc>
          <w:tcPr>
            <w:tcW w:w="1657" w:type="dxa"/>
            <w:tcBorders>
              <w:tl2br w:val="nil"/>
              <w:tr2bl w:val="nil"/>
            </w:tcBorders>
            <w:noWrap w:val="0"/>
            <w:vAlign w:val="top"/>
          </w:tcPr>
          <w:p w14:paraId="5C78ECCB">
            <w:pPr>
              <w:pStyle w:val="27"/>
              <w:outlineLvl w:val="9"/>
              <w:rPr>
                <w:rFonts w:hAnsi="宋体" w:cs="宋体"/>
                <w:color w:val="auto"/>
                <w:highlight w:val="none"/>
              </w:rPr>
            </w:pPr>
          </w:p>
        </w:tc>
        <w:tc>
          <w:tcPr>
            <w:tcW w:w="1310" w:type="dxa"/>
            <w:tcBorders>
              <w:tl2br w:val="nil"/>
              <w:tr2bl w:val="nil"/>
            </w:tcBorders>
            <w:noWrap w:val="0"/>
            <w:vAlign w:val="top"/>
          </w:tcPr>
          <w:p w14:paraId="44D2A448">
            <w:pPr>
              <w:pStyle w:val="27"/>
              <w:outlineLvl w:val="9"/>
              <w:rPr>
                <w:rFonts w:hAnsi="宋体" w:cs="宋体"/>
                <w:color w:val="auto"/>
                <w:highlight w:val="none"/>
              </w:rPr>
            </w:pPr>
          </w:p>
        </w:tc>
        <w:tc>
          <w:tcPr>
            <w:tcW w:w="781" w:type="dxa"/>
            <w:tcBorders>
              <w:tl2br w:val="nil"/>
              <w:tr2bl w:val="nil"/>
            </w:tcBorders>
            <w:noWrap w:val="0"/>
            <w:vAlign w:val="top"/>
          </w:tcPr>
          <w:p w14:paraId="2E9F82EE">
            <w:pPr>
              <w:pStyle w:val="27"/>
              <w:outlineLvl w:val="9"/>
              <w:rPr>
                <w:rFonts w:hAnsi="宋体" w:cs="宋体"/>
                <w:color w:val="auto"/>
                <w:highlight w:val="none"/>
              </w:rPr>
            </w:pPr>
          </w:p>
        </w:tc>
      </w:tr>
      <w:tr w14:paraId="6830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1C186D9A">
            <w:pPr>
              <w:pStyle w:val="27"/>
              <w:outlineLvl w:val="9"/>
              <w:rPr>
                <w:rFonts w:hAnsi="宋体" w:cs="宋体"/>
                <w:color w:val="auto"/>
                <w:highlight w:val="none"/>
              </w:rPr>
            </w:pPr>
          </w:p>
        </w:tc>
        <w:tc>
          <w:tcPr>
            <w:tcW w:w="1770" w:type="dxa"/>
            <w:tcBorders>
              <w:tl2br w:val="nil"/>
              <w:tr2bl w:val="nil"/>
            </w:tcBorders>
            <w:noWrap w:val="0"/>
            <w:vAlign w:val="top"/>
          </w:tcPr>
          <w:p w14:paraId="38ADC49E">
            <w:pPr>
              <w:pStyle w:val="27"/>
              <w:outlineLvl w:val="9"/>
              <w:rPr>
                <w:rFonts w:hAnsi="宋体" w:cs="宋体"/>
                <w:color w:val="auto"/>
                <w:highlight w:val="none"/>
              </w:rPr>
            </w:pPr>
          </w:p>
        </w:tc>
        <w:tc>
          <w:tcPr>
            <w:tcW w:w="2186" w:type="dxa"/>
            <w:tcBorders>
              <w:tl2br w:val="nil"/>
              <w:tr2bl w:val="nil"/>
            </w:tcBorders>
            <w:noWrap w:val="0"/>
            <w:vAlign w:val="top"/>
          </w:tcPr>
          <w:p w14:paraId="680A7D55">
            <w:pPr>
              <w:pStyle w:val="27"/>
              <w:outlineLvl w:val="9"/>
              <w:rPr>
                <w:rFonts w:hAnsi="宋体" w:cs="宋体"/>
                <w:color w:val="auto"/>
                <w:highlight w:val="none"/>
              </w:rPr>
            </w:pPr>
          </w:p>
        </w:tc>
        <w:tc>
          <w:tcPr>
            <w:tcW w:w="1657" w:type="dxa"/>
            <w:tcBorders>
              <w:tl2br w:val="nil"/>
              <w:tr2bl w:val="nil"/>
            </w:tcBorders>
            <w:noWrap w:val="0"/>
            <w:vAlign w:val="top"/>
          </w:tcPr>
          <w:p w14:paraId="03B22B01">
            <w:pPr>
              <w:pStyle w:val="27"/>
              <w:outlineLvl w:val="9"/>
              <w:rPr>
                <w:rFonts w:hAnsi="宋体" w:cs="宋体"/>
                <w:color w:val="auto"/>
                <w:highlight w:val="none"/>
              </w:rPr>
            </w:pPr>
          </w:p>
        </w:tc>
        <w:tc>
          <w:tcPr>
            <w:tcW w:w="1310" w:type="dxa"/>
            <w:tcBorders>
              <w:tl2br w:val="nil"/>
              <w:tr2bl w:val="nil"/>
            </w:tcBorders>
            <w:noWrap w:val="0"/>
            <w:vAlign w:val="top"/>
          </w:tcPr>
          <w:p w14:paraId="51A99C18">
            <w:pPr>
              <w:pStyle w:val="27"/>
              <w:outlineLvl w:val="9"/>
              <w:rPr>
                <w:rFonts w:hAnsi="宋体" w:cs="宋体"/>
                <w:color w:val="auto"/>
                <w:highlight w:val="none"/>
              </w:rPr>
            </w:pPr>
          </w:p>
        </w:tc>
        <w:tc>
          <w:tcPr>
            <w:tcW w:w="781" w:type="dxa"/>
            <w:tcBorders>
              <w:tl2br w:val="nil"/>
              <w:tr2bl w:val="nil"/>
            </w:tcBorders>
            <w:noWrap w:val="0"/>
            <w:vAlign w:val="top"/>
          </w:tcPr>
          <w:p w14:paraId="2AF03F6F">
            <w:pPr>
              <w:pStyle w:val="27"/>
              <w:outlineLvl w:val="9"/>
              <w:rPr>
                <w:rFonts w:hAnsi="宋体" w:cs="宋体"/>
                <w:color w:val="auto"/>
                <w:highlight w:val="none"/>
              </w:rPr>
            </w:pPr>
          </w:p>
        </w:tc>
      </w:tr>
      <w:tr w14:paraId="0FF4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6CB4B7E3">
            <w:pPr>
              <w:pStyle w:val="27"/>
              <w:outlineLvl w:val="9"/>
              <w:rPr>
                <w:rFonts w:hAnsi="宋体" w:cs="宋体"/>
                <w:color w:val="auto"/>
                <w:highlight w:val="none"/>
              </w:rPr>
            </w:pPr>
          </w:p>
        </w:tc>
        <w:tc>
          <w:tcPr>
            <w:tcW w:w="1770" w:type="dxa"/>
            <w:tcBorders>
              <w:tl2br w:val="nil"/>
              <w:tr2bl w:val="nil"/>
            </w:tcBorders>
            <w:noWrap w:val="0"/>
            <w:vAlign w:val="top"/>
          </w:tcPr>
          <w:p w14:paraId="537F7814">
            <w:pPr>
              <w:pStyle w:val="27"/>
              <w:outlineLvl w:val="9"/>
              <w:rPr>
                <w:rFonts w:hAnsi="宋体" w:cs="宋体"/>
                <w:color w:val="auto"/>
                <w:highlight w:val="none"/>
              </w:rPr>
            </w:pPr>
          </w:p>
        </w:tc>
        <w:tc>
          <w:tcPr>
            <w:tcW w:w="2186" w:type="dxa"/>
            <w:tcBorders>
              <w:tl2br w:val="nil"/>
              <w:tr2bl w:val="nil"/>
            </w:tcBorders>
            <w:noWrap w:val="0"/>
            <w:vAlign w:val="top"/>
          </w:tcPr>
          <w:p w14:paraId="335BF833">
            <w:pPr>
              <w:pStyle w:val="27"/>
              <w:outlineLvl w:val="9"/>
              <w:rPr>
                <w:rFonts w:hAnsi="宋体" w:cs="宋体"/>
                <w:color w:val="auto"/>
                <w:highlight w:val="none"/>
              </w:rPr>
            </w:pPr>
          </w:p>
        </w:tc>
        <w:tc>
          <w:tcPr>
            <w:tcW w:w="1657" w:type="dxa"/>
            <w:tcBorders>
              <w:tl2br w:val="nil"/>
              <w:tr2bl w:val="nil"/>
            </w:tcBorders>
            <w:noWrap w:val="0"/>
            <w:vAlign w:val="top"/>
          </w:tcPr>
          <w:p w14:paraId="257AE328">
            <w:pPr>
              <w:pStyle w:val="27"/>
              <w:outlineLvl w:val="9"/>
              <w:rPr>
                <w:rFonts w:hAnsi="宋体" w:cs="宋体"/>
                <w:color w:val="auto"/>
                <w:highlight w:val="none"/>
              </w:rPr>
            </w:pPr>
          </w:p>
        </w:tc>
        <w:tc>
          <w:tcPr>
            <w:tcW w:w="1310" w:type="dxa"/>
            <w:tcBorders>
              <w:tl2br w:val="nil"/>
              <w:tr2bl w:val="nil"/>
            </w:tcBorders>
            <w:noWrap w:val="0"/>
            <w:vAlign w:val="top"/>
          </w:tcPr>
          <w:p w14:paraId="366FC168">
            <w:pPr>
              <w:pStyle w:val="27"/>
              <w:outlineLvl w:val="9"/>
              <w:rPr>
                <w:rFonts w:hAnsi="宋体" w:cs="宋体"/>
                <w:color w:val="auto"/>
                <w:highlight w:val="none"/>
              </w:rPr>
            </w:pPr>
          </w:p>
        </w:tc>
        <w:tc>
          <w:tcPr>
            <w:tcW w:w="781" w:type="dxa"/>
            <w:tcBorders>
              <w:tl2br w:val="nil"/>
              <w:tr2bl w:val="nil"/>
            </w:tcBorders>
            <w:noWrap w:val="0"/>
            <w:vAlign w:val="top"/>
          </w:tcPr>
          <w:p w14:paraId="07FA907A">
            <w:pPr>
              <w:pStyle w:val="27"/>
              <w:outlineLvl w:val="9"/>
              <w:rPr>
                <w:rFonts w:hAnsi="宋体" w:cs="宋体"/>
                <w:color w:val="auto"/>
                <w:highlight w:val="none"/>
              </w:rPr>
            </w:pPr>
          </w:p>
        </w:tc>
      </w:tr>
      <w:tr w14:paraId="2418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8614283">
            <w:pPr>
              <w:pStyle w:val="27"/>
              <w:outlineLvl w:val="9"/>
              <w:rPr>
                <w:rFonts w:hAnsi="宋体" w:cs="宋体"/>
                <w:color w:val="auto"/>
                <w:highlight w:val="none"/>
              </w:rPr>
            </w:pPr>
          </w:p>
        </w:tc>
        <w:tc>
          <w:tcPr>
            <w:tcW w:w="1770" w:type="dxa"/>
            <w:tcBorders>
              <w:tl2br w:val="nil"/>
              <w:tr2bl w:val="nil"/>
            </w:tcBorders>
            <w:noWrap w:val="0"/>
            <w:vAlign w:val="top"/>
          </w:tcPr>
          <w:p w14:paraId="544A098A">
            <w:pPr>
              <w:pStyle w:val="27"/>
              <w:outlineLvl w:val="9"/>
              <w:rPr>
                <w:rFonts w:hAnsi="宋体" w:cs="宋体"/>
                <w:color w:val="auto"/>
                <w:highlight w:val="none"/>
              </w:rPr>
            </w:pPr>
          </w:p>
        </w:tc>
        <w:tc>
          <w:tcPr>
            <w:tcW w:w="2186" w:type="dxa"/>
            <w:tcBorders>
              <w:tl2br w:val="nil"/>
              <w:tr2bl w:val="nil"/>
            </w:tcBorders>
            <w:noWrap w:val="0"/>
            <w:vAlign w:val="top"/>
          </w:tcPr>
          <w:p w14:paraId="306F9957">
            <w:pPr>
              <w:pStyle w:val="27"/>
              <w:outlineLvl w:val="9"/>
              <w:rPr>
                <w:rFonts w:hAnsi="宋体" w:cs="宋体"/>
                <w:color w:val="auto"/>
                <w:highlight w:val="none"/>
              </w:rPr>
            </w:pPr>
          </w:p>
        </w:tc>
        <w:tc>
          <w:tcPr>
            <w:tcW w:w="1657" w:type="dxa"/>
            <w:tcBorders>
              <w:tl2br w:val="nil"/>
              <w:tr2bl w:val="nil"/>
            </w:tcBorders>
            <w:noWrap w:val="0"/>
            <w:vAlign w:val="top"/>
          </w:tcPr>
          <w:p w14:paraId="00457E9A">
            <w:pPr>
              <w:pStyle w:val="27"/>
              <w:outlineLvl w:val="9"/>
              <w:rPr>
                <w:rFonts w:hAnsi="宋体" w:cs="宋体"/>
                <w:color w:val="auto"/>
                <w:highlight w:val="none"/>
              </w:rPr>
            </w:pPr>
          </w:p>
        </w:tc>
        <w:tc>
          <w:tcPr>
            <w:tcW w:w="1310" w:type="dxa"/>
            <w:tcBorders>
              <w:tl2br w:val="nil"/>
              <w:tr2bl w:val="nil"/>
            </w:tcBorders>
            <w:noWrap w:val="0"/>
            <w:vAlign w:val="top"/>
          </w:tcPr>
          <w:p w14:paraId="545B3001">
            <w:pPr>
              <w:pStyle w:val="27"/>
              <w:outlineLvl w:val="9"/>
              <w:rPr>
                <w:rFonts w:hAnsi="宋体" w:cs="宋体"/>
                <w:color w:val="auto"/>
                <w:highlight w:val="none"/>
              </w:rPr>
            </w:pPr>
          </w:p>
        </w:tc>
        <w:tc>
          <w:tcPr>
            <w:tcW w:w="781" w:type="dxa"/>
            <w:tcBorders>
              <w:tl2br w:val="nil"/>
              <w:tr2bl w:val="nil"/>
            </w:tcBorders>
            <w:noWrap w:val="0"/>
            <w:vAlign w:val="top"/>
          </w:tcPr>
          <w:p w14:paraId="4CB81F09">
            <w:pPr>
              <w:pStyle w:val="27"/>
              <w:outlineLvl w:val="9"/>
              <w:rPr>
                <w:rFonts w:hAnsi="宋体" w:cs="宋体"/>
                <w:color w:val="auto"/>
                <w:highlight w:val="none"/>
              </w:rPr>
            </w:pPr>
          </w:p>
        </w:tc>
      </w:tr>
      <w:tr w14:paraId="3DC37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8526" w:type="dxa"/>
            <w:gridSpan w:val="6"/>
            <w:tcBorders>
              <w:tl2br w:val="nil"/>
              <w:tr2bl w:val="nil"/>
            </w:tcBorders>
            <w:noWrap w:val="0"/>
            <w:vAlign w:val="center"/>
          </w:tcPr>
          <w:p w14:paraId="5E70D6D6">
            <w:pPr>
              <w:pStyle w:val="27"/>
              <w:outlineLvl w:val="9"/>
              <w:rPr>
                <w:rFonts w:hAnsi="宋体" w:cs="宋体"/>
                <w:color w:val="auto"/>
                <w:highlight w:val="none"/>
              </w:rPr>
            </w:pPr>
            <w:r>
              <w:rPr>
                <w:rFonts w:hint="eastAsia" w:hAnsi="宋体" w:cs="宋体"/>
                <w:b/>
                <w:bCs/>
                <w:color w:val="auto"/>
                <w:highlight w:val="none"/>
              </w:rPr>
              <w:t>注：我单位确认，除以上表格中列明的偏离外，我单位接受</w:t>
            </w:r>
            <w:r>
              <w:rPr>
                <w:rFonts w:hint="eastAsia" w:hAnsi="宋体" w:cs="宋体"/>
                <w:b/>
                <w:bCs/>
                <w:color w:val="auto"/>
                <w:highlight w:val="none"/>
                <w:lang w:val="en-US" w:eastAsia="zh-CN"/>
              </w:rPr>
              <w:t>采购</w:t>
            </w:r>
            <w:r>
              <w:rPr>
                <w:rFonts w:hint="eastAsia" w:hAnsi="宋体" w:cs="宋体"/>
                <w:b/>
                <w:bCs/>
                <w:color w:val="auto"/>
                <w:highlight w:val="none"/>
              </w:rPr>
              <w:t>文件规定的所有商务条款，无其他偏离。</w:t>
            </w:r>
          </w:p>
        </w:tc>
      </w:tr>
    </w:tbl>
    <w:p w14:paraId="05448445">
      <w:pPr>
        <w:pStyle w:val="27"/>
        <w:outlineLvl w:val="9"/>
        <w:rPr>
          <w:rFonts w:hAnsi="宋体" w:cs="宋体"/>
          <w:color w:val="auto"/>
          <w:highlight w:val="none"/>
        </w:rPr>
      </w:pPr>
      <w:r>
        <w:rPr>
          <w:rFonts w:hint="eastAsia" w:hAnsi="宋体" w:cs="宋体"/>
          <w:color w:val="auto"/>
          <w:highlight w:val="none"/>
        </w:rPr>
        <w:t xml:space="preserve">          </w:t>
      </w:r>
    </w:p>
    <w:p w14:paraId="25F212E1">
      <w:pPr>
        <w:pStyle w:val="27"/>
        <w:spacing w:line="360" w:lineRule="auto"/>
        <w:outlineLvl w:val="9"/>
        <w:rPr>
          <w:rFonts w:hAnsi="宋体" w:cs="宋体"/>
          <w:color w:val="auto"/>
          <w:highlight w:val="none"/>
        </w:rPr>
      </w:pPr>
      <w:r>
        <w:rPr>
          <w:rFonts w:hint="eastAsia" w:hAnsi="宋体" w:cs="宋体"/>
          <w:color w:val="auto"/>
          <w:highlight w:val="none"/>
        </w:rPr>
        <w:t xml:space="preserve">       注：1.本表应包括对合同条款的偏离说明。</w:t>
      </w:r>
    </w:p>
    <w:p w14:paraId="7DDA55D8">
      <w:pPr>
        <w:pStyle w:val="27"/>
        <w:spacing w:line="360" w:lineRule="auto"/>
        <w:ind w:left="1470" w:hanging="1470" w:hangingChars="700"/>
        <w:outlineLvl w:val="9"/>
        <w:rPr>
          <w:rFonts w:hAnsi="宋体" w:cs="宋体"/>
          <w:color w:val="auto"/>
          <w:highlight w:val="none"/>
        </w:rPr>
      </w:pPr>
      <w:r>
        <w:rPr>
          <w:rFonts w:hint="eastAsia" w:hAnsi="宋体" w:cs="宋体"/>
          <w:color w:val="auto"/>
          <w:highlight w:val="none"/>
        </w:rPr>
        <w:t xml:space="preserve">           2.</w:t>
      </w:r>
      <w:r>
        <w:rPr>
          <w:rFonts w:hint="eastAsia" w:hAnsi="宋体" w:cs="宋体"/>
          <w:color w:val="auto"/>
          <w:highlight w:val="none"/>
          <w:lang w:val="en-US" w:eastAsia="zh-CN"/>
        </w:rPr>
        <w:t>供应商</w:t>
      </w:r>
      <w:r>
        <w:rPr>
          <w:rFonts w:hint="eastAsia" w:hAnsi="宋体" w:cs="宋体"/>
          <w:color w:val="auto"/>
          <w:highlight w:val="none"/>
        </w:rPr>
        <w:t>对</w:t>
      </w:r>
      <w:r>
        <w:rPr>
          <w:rFonts w:hint="eastAsia" w:hAnsi="宋体" w:cs="宋体"/>
          <w:color w:val="auto"/>
          <w:highlight w:val="none"/>
          <w:lang w:val="en-US" w:eastAsia="zh-CN"/>
        </w:rPr>
        <w:t>采购</w:t>
      </w:r>
      <w:r>
        <w:rPr>
          <w:rFonts w:hint="eastAsia" w:hAnsi="宋体" w:cs="宋体"/>
          <w:color w:val="auto"/>
          <w:highlight w:val="none"/>
        </w:rPr>
        <w:t>文件的商务部分有任何负偏离，则必须在该表中全部列明。若对</w:t>
      </w:r>
      <w:r>
        <w:rPr>
          <w:rFonts w:hint="eastAsia" w:hAnsi="宋体" w:cs="宋体"/>
          <w:color w:val="auto"/>
          <w:highlight w:val="none"/>
          <w:lang w:val="en-US" w:eastAsia="zh-CN"/>
        </w:rPr>
        <w:t>采购</w:t>
      </w:r>
      <w:r>
        <w:rPr>
          <w:rFonts w:hint="eastAsia" w:hAnsi="宋体" w:cs="宋体"/>
          <w:color w:val="auto"/>
          <w:highlight w:val="none"/>
        </w:rPr>
        <w:t>文件无商务偏离，请在“</w:t>
      </w:r>
      <w:r>
        <w:rPr>
          <w:rFonts w:hint="eastAsia" w:hAnsi="宋体" w:cs="宋体"/>
          <w:color w:val="auto"/>
          <w:highlight w:val="none"/>
          <w:lang w:eastAsia="zh-CN"/>
        </w:rPr>
        <w:t>响应</w:t>
      </w:r>
      <w:r>
        <w:rPr>
          <w:rFonts w:hint="eastAsia" w:hAnsi="宋体" w:cs="宋体"/>
          <w:color w:val="auto"/>
          <w:highlight w:val="none"/>
        </w:rPr>
        <w:t>文件的响应”栏只填写</w:t>
      </w:r>
      <w:r>
        <w:rPr>
          <w:rFonts w:hint="eastAsia" w:hAnsi="宋体" w:cs="宋体"/>
          <w:b/>
          <w:bCs/>
          <w:color w:val="auto"/>
          <w:highlight w:val="none"/>
        </w:rPr>
        <w:t>“对</w:t>
      </w:r>
      <w:r>
        <w:rPr>
          <w:rFonts w:hint="eastAsia" w:hAnsi="宋体" w:cs="宋体"/>
          <w:b/>
          <w:bCs/>
          <w:color w:val="auto"/>
          <w:highlight w:val="none"/>
          <w:lang w:val="en-US" w:eastAsia="zh-CN"/>
        </w:rPr>
        <w:t>采购</w:t>
      </w:r>
      <w:r>
        <w:rPr>
          <w:rFonts w:hint="eastAsia" w:hAnsi="宋体" w:cs="宋体"/>
          <w:b/>
          <w:bCs/>
          <w:color w:val="auto"/>
          <w:highlight w:val="none"/>
        </w:rPr>
        <w:t>文件全部商务条款无商务偏离”</w:t>
      </w:r>
      <w:r>
        <w:rPr>
          <w:rFonts w:hint="eastAsia" w:hAnsi="宋体" w:cs="宋体"/>
          <w:color w:val="auto"/>
          <w:highlight w:val="none"/>
        </w:rPr>
        <w:t>即可。不提供上述表格的</w:t>
      </w:r>
      <w:r>
        <w:rPr>
          <w:rFonts w:hint="eastAsia" w:hAnsi="宋体" w:cs="宋体"/>
          <w:color w:val="auto"/>
          <w:highlight w:val="none"/>
          <w:lang w:eastAsia="zh-CN"/>
        </w:rPr>
        <w:t>响应</w:t>
      </w:r>
      <w:r>
        <w:rPr>
          <w:rFonts w:hint="eastAsia" w:hAnsi="宋体" w:cs="宋体"/>
          <w:color w:val="auto"/>
          <w:highlight w:val="none"/>
        </w:rPr>
        <w:t>可被决绝。</w:t>
      </w:r>
    </w:p>
    <w:p w14:paraId="2A353111">
      <w:pPr>
        <w:spacing w:line="360" w:lineRule="auto"/>
        <w:ind w:left="-1100" w:leftChars="-524" w:firstLine="1785" w:firstLineChars="850"/>
        <w:outlineLvl w:val="9"/>
        <w:rPr>
          <w:rFonts w:ascii="宋体" w:hAnsi="宋体" w:cs="宋体"/>
          <w:color w:val="auto"/>
          <w:highlight w:val="none"/>
        </w:rPr>
      </w:pPr>
    </w:p>
    <w:p w14:paraId="562F19E1">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B33119C">
      <w:pPr>
        <w:spacing w:line="360" w:lineRule="auto"/>
        <w:ind w:left="-1100" w:leftChars="-524" w:firstLine="1785" w:firstLineChars="850"/>
        <w:outlineLvl w:val="9"/>
        <w:rPr>
          <w:rFonts w:ascii="宋体" w:hAnsi="宋体" w:cs="宋体"/>
          <w:color w:val="auto"/>
          <w:highlight w:val="none"/>
        </w:rPr>
      </w:pPr>
    </w:p>
    <w:p w14:paraId="373011AC">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法定代表人或被授权委托人（签字）：</w:t>
      </w:r>
      <w:r>
        <w:rPr>
          <w:rFonts w:hint="eastAsia" w:ascii="宋体" w:hAnsi="宋体" w:cs="宋体"/>
          <w:color w:val="auto"/>
          <w:highlight w:val="none"/>
          <w:u w:val="single"/>
        </w:rPr>
        <w:t xml:space="preserve">                             </w:t>
      </w:r>
    </w:p>
    <w:p w14:paraId="50C57249">
      <w:pPr>
        <w:spacing w:line="360" w:lineRule="auto"/>
        <w:ind w:left="-1100" w:leftChars="-524" w:firstLine="1785" w:firstLineChars="850"/>
        <w:outlineLvl w:val="9"/>
        <w:rPr>
          <w:rFonts w:ascii="宋体" w:hAnsi="宋体" w:cs="宋体"/>
          <w:color w:val="auto"/>
          <w:highlight w:val="none"/>
        </w:rPr>
      </w:pPr>
    </w:p>
    <w:p w14:paraId="7EB6FBA2">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14:paraId="69DACE77">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613A0E73">
      <w:pPr>
        <w:widowControl/>
        <w:jc w:val="center"/>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32"/>
          <w:szCs w:val="22"/>
          <w:highlight w:val="none"/>
        </w:rPr>
        <w:t>格式</w:t>
      </w:r>
      <w:r>
        <w:rPr>
          <w:rFonts w:hint="eastAsia" w:ascii="宋体" w:hAnsi="宋体" w:cs="宋体"/>
          <w:b/>
          <w:bCs/>
          <w:color w:val="auto"/>
          <w:kern w:val="0"/>
          <w:sz w:val="32"/>
          <w:szCs w:val="22"/>
          <w:highlight w:val="none"/>
          <w:lang w:val="en-US" w:eastAsia="zh-CN"/>
        </w:rPr>
        <w:t>6</w:t>
      </w:r>
      <w:r>
        <w:rPr>
          <w:rFonts w:hint="eastAsia" w:ascii="宋体" w:hAnsi="宋体" w:eastAsia="宋体" w:cs="宋体"/>
          <w:b/>
          <w:bCs/>
          <w:color w:val="auto"/>
          <w:kern w:val="0"/>
          <w:sz w:val="32"/>
          <w:szCs w:val="22"/>
          <w:highlight w:val="none"/>
        </w:rPr>
        <w:t>.采购需求响应及偏离表（格式）</w:t>
      </w:r>
    </w:p>
    <w:p w14:paraId="44F89C46">
      <w:pPr>
        <w:widowControl/>
        <w:jc w:val="left"/>
        <w:outlineLvl w:val="9"/>
        <w:rPr>
          <w:rFonts w:hint="eastAsia" w:ascii="宋体" w:hAnsi="宋体" w:eastAsia="宋体" w:cs="宋体"/>
          <w:color w:val="auto"/>
          <w:kern w:val="0"/>
          <w:szCs w:val="21"/>
          <w:highlight w:val="none"/>
        </w:rPr>
      </w:pPr>
    </w:p>
    <w:p w14:paraId="257EB65D">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项目名称</w:t>
      </w:r>
      <w:r>
        <w:rPr>
          <w:rFonts w:hint="eastAsia" w:ascii="宋体" w:hAnsi="宋体" w:eastAsia="宋体" w:cs="宋体"/>
          <w:color w:val="auto"/>
          <w:kern w:val="0"/>
          <w:szCs w:val="21"/>
          <w:highlight w:val="none"/>
        </w:rPr>
        <w:t xml:space="preserve">：__________ </w:t>
      </w:r>
    </w:p>
    <w:p w14:paraId="3A7DF48C">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 xml:space="preserve">编号：__________  </w:t>
      </w:r>
    </w:p>
    <w:p w14:paraId="5221072E">
      <w:pPr>
        <w:widowControl/>
        <w:spacing w:line="360" w:lineRule="auto"/>
        <w:ind w:firstLine="210" w:firstLineChars="100"/>
        <w:jc w:val="left"/>
        <w:outlineLvl w:val="9"/>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包号（如有）：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p>
    <w:tbl>
      <w:tblPr>
        <w:tblStyle w:val="53"/>
        <w:tblpPr w:leftFromText="180" w:rightFromText="180" w:vertAnchor="text" w:horzAnchor="page" w:tblpX="1141"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617"/>
        <w:gridCol w:w="1958"/>
        <w:gridCol w:w="1708"/>
        <w:gridCol w:w="1059"/>
        <w:gridCol w:w="1341"/>
      </w:tblGrid>
      <w:tr w14:paraId="3032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trPr>
        <w:tc>
          <w:tcPr>
            <w:tcW w:w="717" w:type="dxa"/>
            <w:noWrap w:val="0"/>
            <w:vAlign w:val="center"/>
          </w:tcPr>
          <w:p w14:paraId="3220044F">
            <w:pPr>
              <w:pStyle w:val="19"/>
              <w:jc w:val="center"/>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序号</w:t>
            </w:r>
          </w:p>
        </w:tc>
        <w:tc>
          <w:tcPr>
            <w:tcW w:w="2617" w:type="dxa"/>
            <w:noWrap w:val="0"/>
            <w:vAlign w:val="center"/>
          </w:tcPr>
          <w:p w14:paraId="210B4001">
            <w:pPr>
              <w:pStyle w:val="19"/>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标的名称</w:t>
            </w:r>
          </w:p>
        </w:tc>
        <w:tc>
          <w:tcPr>
            <w:tcW w:w="1958" w:type="dxa"/>
            <w:noWrap w:val="0"/>
            <w:vAlign w:val="center"/>
          </w:tcPr>
          <w:p w14:paraId="32138F2A">
            <w:pPr>
              <w:pStyle w:val="19"/>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要求</w:t>
            </w:r>
          </w:p>
        </w:tc>
        <w:tc>
          <w:tcPr>
            <w:tcW w:w="1708" w:type="dxa"/>
            <w:noWrap w:val="0"/>
            <w:vAlign w:val="center"/>
          </w:tcPr>
          <w:p w14:paraId="7844EA54">
            <w:pPr>
              <w:pStyle w:val="19"/>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en-US" w:eastAsia="zh-CN"/>
              </w:rPr>
              <w:t>内容</w:t>
            </w:r>
          </w:p>
        </w:tc>
        <w:tc>
          <w:tcPr>
            <w:tcW w:w="1059" w:type="dxa"/>
            <w:noWrap w:val="0"/>
            <w:vAlign w:val="center"/>
          </w:tcPr>
          <w:p w14:paraId="7FE6A125">
            <w:pPr>
              <w:pStyle w:val="19"/>
              <w:spacing w:line="360" w:lineRule="auto"/>
              <w:jc w:val="center"/>
              <w:outlineLvl w:val="9"/>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rPr>
              <w:t>偏离情况</w:t>
            </w:r>
          </w:p>
        </w:tc>
        <w:tc>
          <w:tcPr>
            <w:tcW w:w="1341" w:type="dxa"/>
            <w:noWrap w:val="0"/>
            <w:vAlign w:val="center"/>
          </w:tcPr>
          <w:p w14:paraId="3F2CF992">
            <w:pPr>
              <w:pStyle w:val="19"/>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如提供证明材料需标注所在页码</w:t>
            </w:r>
          </w:p>
        </w:tc>
      </w:tr>
      <w:tr w14:paraId="29C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16292EC3">
            <w:pPr>
              <w:pStyle w:val="19"/>
              <w:jc w:val="center"/>
              <w:outlineLvl w:val="9"/>
              <w:rPr>
                <w:rFonts w:hint="eastAsia" w:ascii="宋体" w:hAnsi="宋体" w:eastAsia="宋体" w:cs="宋体"/>
                <w:color w:val="auto"/>
                <w:highlight w:val="none"/>
              </w:rPr>
            </w:pPr>
          </w:p>
        </w:tc>
        <w:tc>
          <w:tcPr>
            <w:tcW w:w="2617" w:type="dxa"/>
            <w:noWrap w:val="0"/>
            <w:vAlign w:val="center"/>
          </w:tcPr>
          <w:p w14:paraId="2F04DA4C">
            <w:pPr>
              <w:pStyle w:val="19"/>
              <w:jc w:val="center"/>
              <w:outlineLvl w:val="9"/>
              <w:rPr>
                <w:rFonts w:hint="eastAsia" w:ascii="宋体" w:hAnsi="宋体" w:eastAsia="宋体" w:cs="宋体"/>
                <w:color w:val="auto"/>
                <w:highlight w:val="none"/>
              </w:rPr>
            </w:pPr>
          </w:p>
        </w:tc>
        <w:tc>
          <w:tcPr>
            <w:tcW w:w="1958" w:type="dxa"/>
            <w:noWrap w:val="0"/>
            <w:vAlign w:val="center"/>
          </w:tcPr>
          <w:p w14:paraId="02845B06">
            <w:pPr>
              <w:pStyle w:val="19"/>
              <w:jc w:val="center"/>
              <w:outlineLvl w:val="9"/>
              <w:rPr>
                <w:rFonts w:hint="eastAsia" w:ascii="宋体" w:hAnsi="宋体" w:eastAsia="宋体" w:cs="宋体"/>
                <w:color w:val="auto"/>
                <w:highlight w:val="none"/>
              </w:rPr>
            </w:pPr>
          </w:p>
        </w:tc>
        <w:tc>
          <w:tcPr>
            <w:tcW w:w="1708" w:type="dxa"/>
            <w:noWrap w:val="0"/>
            <w:vAlign w:val="center"/>
          </w:tcPr>
          <w:p w14:paraId="600DCA38">
            <w:pPr>
              <w:pStyle w:val="19"/>
              <w:jc w:val="center"/>
              <w:outlineLvl w:val="9"/>
              <w:rPr>
                <w:rFonts w:hint="eastAsia" w:ascii="宋体" w:hAnsi="宋体" w:eastAsia="宋体" w:cs="宋体"/>
                <w:color w:val="auto"/>
                <w:highlight w:val="none"/>
              </w:rPr>
            </w:pPr>
          </w:p>
        </w:tc>
        <w:tc>
          <w:tcPr>
            <w:tcW w:w="1059" w:type="dxa"/>
            <w:noWrap w:val="0"/>
            <w:vAlign w:val="center"/>
          </w:tcPr>
          <w:p w14:paraId="68644D10">
            <w:pPr>
              <w:pStyle w:val="19"/>
              <w:jc w:val="center"/>
              <w:outlineLvl w:val="9"/>
              <w:rPr>
                <w:rFonts w:hint="eastAsia" w:ascii="宋体" w:hAnsi="宋体" w:eastAsia="宋体" w:cs="宋体"/>
                <w:color w:val="auto"/>
                <w:highlight w:val="none"/>
              </w:rPr>
            </w:pPr>
          </w:p>
        </w:tc>
        <w:tc>
          <w:tcPr>
            <w:tcW w:w="1341" w:type="dxa"/>
            <w:noWrap w:val="0"/>
            <w:vAlign w:val="center"/>
          </w:tcPr>
          <w:p w14:paraId="7D3BBA95">
            <w:pPr>
              <w:pStyle w:val="19"/>
              <w:jc w:val="center"/>
              <w:outlineLvl w:val="9"/>
              <w:rPr>
                <w:rFonts w:hint="eastAsia" w:ascii="宋体" w:hAnsi="宋体" w:eastAsia="宋体" w:cs="宋体"/>
                <w:color w:val="auto"/>
                <w:highlight w:val="none"/>
              </w:rPr>
            </w:pPr>
          </w:p>
        </w:tc>
      </w:tr>
      <w:tr w14:paraId="0A46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3D5017A">
            <w:pPr>
              <w:pStyle w:val="19"/>
              <w:jc w:val="center"/>
              <w:outlineLvl w:val="9"/>
              <w:rPr>
                <w:rFonts w:hint="eastAsia" w:ascii="宋体" w:hAnsi="宋体" w:eastAsia="宋体" w:cs="宋体"/>
                <w:color w:val="auto"/>
                <w:highlight w:val="none"/>
              </w:rPr>
            </w:pPr>
          </w:p>
        </w:tc>
        <w:tc>
          <w:tcPr>
            <w:tcW w:w="2617" w:type="dxa"/>
            <w:noWrap w:val="0"/>
            <w:vAlign w:val="center"/>
          </w:tcPr>
          <w:p w14:paraId="4D1E53B6">
            <w:pPr>
              <w:pStyle w:val="19"/>
              <w:jc w:val="center"/>
              <w:outlineLvl w:val="9"/>
              <w:rPr>
                <w:rFonts w:hint="eastAsia" w:ascii="宋体" w:hAnsi="宋体" w:eastAsia="宋体" w:cs="宋体"/>
                <w:color w:val="auto"/>
                <w:highlight w:val="none"/>
              </w:rPr>
            </w:pPr>
          </w:p>
        </w:tc>
        <w:tc>
          <w:tcPr>
            <w:tcW w:w="1958" w:type="dxa"/>
            <w:noWrap w:val="0"/>
            <w:vAlign w:val="center"/>
          </w:tcPr>
          <w:p w14:paraId="1B25D48D">
            <w:pPr>
              <w:pStyle w:val="19"/>
              <w:jc w:val="center"/>
              <w:outlineLvl w:val="9"/>
              <w:rPr>
                <w:rFonts w:hint="eastAsia" w:ascii="宋体" w:hAnsi="宋体" w:eastAsia="宋体" w:cs="宋体"/>
                <w:color w:val="auto"/>
                <w:highlight w:val="none"/>
              </w:rPr>
            </w:pPr>
          </w:p>
        </w:tc>
        <w:tc>
          <w:tcPr>
            <w:tcW w:w="1708" w:type="dxa"/>
            <w:noWrap w:val="0"/>
            <w:vAlign w:val="center"/>
          </w:tcPr>
          <w:p w14:paraId="42295E62">
            <w:pPr>
              <w:pStyle w:val="19"/>
              <w:jc w:val="center"/>
              <w:outlineLvl w:val="9"/>
              <w:rPr>
                <w:rFonts w:hint="eastAsia" w:ascii="宋体" w:hAnsi="宋体" w:eastAsia="宋体" w:cs="宋体"/>
                <w:color w:val="auto"/>
                <w:highlight w:val="none"/>
              </w:rPr>
            </w:pPr>
          </w:p>
        </w:tc>
        <w:tc>
          <w:tcPr>
            <w:tcW w:w="1059" w:type="dxa"/>
            <w:noWrap w:val="0"/>
            <w:vAlign w:val="center"/>
          </w:tcPr>
          <w:p w14:paraId="651D2A24">
            <w:pPr>
              <w:pStyle w:val="19"/>
              <w:jc w:val="center"/>
              <w:outlineLvl w:val="9"/>
              <w:rPr>
                <w:rFonts w:hint="eastAsia" w:ascii="宋体" w:hAnsi="宋体" w:eastAsia="宋体" w:cs="宋体"/>
                <w:color w:val="auto"/>
                <w:highlight w:val="none"/>
              </w:rPr>
            </w:pPr>
          </w:p>
        </w:tc>
        <w:tc>
          <w:tcPr>
            <w:tcW w:w="1341" w:type="dxa"/>
            <w:noWrap w:val="0"/>
            <w:vAlign w:val="center"/>
          </w:tcPr>
          <w:p w14:paraId="12DABAD6">
            <w:pPr>
              <w:pStyle w:val="19"/>
              <w:jc w:val="center"/>
              <w:outlineLvl w:val="9"/>
              <w:rPr>
                <w:rFonts w:hint="eastAsia" w:ascii="宋体" w:hAnsi="宋体" w:eastAsia="宋体" w:cs="宋体"/>
                <w:color w:val="auto"/>
                <w:highlight w:val="none"/>
              </w:rPr>
            </w:pPr>
          </w:p>
        </w:tc>
      </w:tr>
      <w:tr w14:paraId="34B9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45F0B37B">
            <w:pPr>
              <w:pStyle w:val="19"/>
              <w:jc w:val="center"/>
              <w:outlineLvl w:val="9"/>
              <w:rPr>
                <w:rFonts w:hint="eastAsia" w:ascii="宋体" w:hAnsi="宋体" w:eastAsia="宋体" w:cs="宋体"/>
                <w:color w:val="auto"/>
                <w:highlight w:val="none"/>
              </w:rPr>
            </w:pPr>
          </w:p>
        </w:tc>
        <w:tc>
          <w:tcPr>
            <w:tcW w:w="2617" w:type="dxa"/>
            <w:noWrap w:val="0"/>
            <w:vAlign w:val="center"/>
          </w:tcPr>
          <w:p w14:paraId="3819F638">
            <w:pPr>
              <w:pStyle w:val="19"/>
              <w:jc w:val="center"/>
              <w:outlineLvl w:val="9"/>
              <w:rPr>
                <w:rFonts w:hint="eastAsia" w:ascii="宋体" w:hAnsi="宋体" w:eastAsia="宋体" w:cs="宋体"/>
                <w:color w:val="auto"/>
                <w:highlight w:val="none"/>
              </w:rPr>
            </w:pPr>
          </w:p>
        </w:tc>
        <w:tc>
          <w:tcPr>
            <w:tcW w:w="1958" w:type="dxa"/>
            <w:noWrap w:val="0"/>
            <w:vAlign w:val="center"/>
          </w:tcPr>
          <w:p w14:paraId="68E747E0">
            <w:pPr>
              <w:pStyle w:val="19"/>
              <w:jc w:val="center"/>
              <w:outlineLvl w:val="9"/>
              <w:rPr>
                <w:rFonts w:hint="eastAsia" w:ascii="宋体" w:hAnsi="宋体" w:eastAsia="宋体" w:cs="宋体"/>
                <w:color w:val="auto"/>
                <w:highlight w:val="none"/>
              </w:rPr>
            </w:pPr>
          </w:p>
        </w:tc>
        <w:tc>
          <w:tcPr>
            <w:tcW w:w="1708" w:type="dxa"/>
            <w:noWrap w:val="0"/>
            <w:vAlign w:val="center"/>
          </w:tcPr>
          <w:p w14:paraId="25A8CDB8">
            <w:pPr>
              <w:pStyle w:val="19"/>
              <w:jc w:val="center"/>
              <w:outlineLvl w:val="9"/>
              <w:rPr>
                <w:rFonts w:hint="eastAsia" w:ascii="宋体" w:hAnsi="宋体" w:eastAsia="宋体" w:cs="宋体"/>
                <w:color w:val="auto"/>
                <w:highlight w:val="none"/>
              </w:rPr>
            </w:pPr>
          </w:p>
        </w:tc>
        <w:tc>
          <w:tcPr>
            <w:tcW w:w="1059" w:type="dxa"/>
            <w:noWrap w:val="0"/>
            <w:vAlign w:val="center"/>
          </w:tcPr>
          <w:p w14:paraId="1159D034">
            <w:pPr>
              <w:pStyle w:val="19"/>
              <w:jc w:val="center"/>
              <w:outlineLvl w:val="9"/>
              <w:rPr>
                <w:rFonts w:hint="eastAsia" w:ascii="宋体" w:hAnsi="宋体" w:eastAsia="宋体" w:cs="宋体"/>
                <w:color w:val="auto"/>
                <w:highlight w:val="none"/>
              </w:rPr>
            </w:pPr>
          </w:p>
        </w:tc>
        <w:tc>
          <w:tcPr>
            <w:tcW w:w="1341" w:type="dxa"/>
            <w:noWrap w:val="0"/>
            <w:vAlign w:val="center"/>
          </w:tcPr>
          <w:p w14:paraId="66A8E282">
            <w:pPr>
              <w:pStyle w:val="19"/>
              <w:jc w:val="center"/>
              <w:outlineLvl w:val="9"/>
              <w:rPr>
                <w:rFonts w:hint="eastAsia" w:ascii="宋体" w:hAnsi="宋体" w:eastAsia="宋体" w:cs="宋体"/>
                <w:color w:val="auto"/>
                <w:highlight w:val="none"/>
              </w:rPr>
            </w:pPr>
          </w:p>
        </w:tc>
      </w:tr>
      <w:tr w14:paraId="066D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22FB3D02">
            <w:pPr>
              <w:pStyle w:val="19"/>
              <w:jc w:val="center"/>
              <w:outlineLvl w:val="9"/>
              <w:rPr>
                <w:rFonts w:hint="eastAsia" w:ascii="宋体" w:hAnsi="宋体" w:eastAsia="宋体" w:cs="宋体"/>
                <w:color w:val="auto"/>
                <w:highlight w:val="none"/>
              </w:rPr>
            </w:pPr>
          </w:p>
        </w:tc>
        <w:tc>
          <w:tcPr>
            <w:tcW w:w="2617" w:type="dxa"/>
            <w:noWrap w:val="0"/>
            <w:vAlign w:val="center"/>
          </w:tcPr>
          <w:p w14:paraId="005EAC15">
            <w:pPr>
              <w:pStyle w:val="19"/>
              <w:jc w:val="center"/>
              <w:outlineLvl w:val="9"/>
              <w:rPr>
                <w:rFonts w:hint="eastAsia" w:ascii="宋体" w:hAnsi="宋体" w:eastAsia="宋体" w:cs="宋体"/>
                <w:color w:val="auto"/>
                <w:highlight w:val="none"/>
              </w:rPr>
            </w:pPr>
          </w:p>
        </w:tc>
        <w:tc>
          <w:tcPr>
            <w:tcW w:w="1958" w:type="dxa"/>
            <w:noWrap w:val="0"/>
            <w:vAlign w:val="center"/>
          </w:tcPr>
          <w:p w14:paraId="1A130247">
            <w:pPr>
              <w:pStyle w:val="19"/>
              <w:jc w:val="center"/>
              <w:outlineLvl w:val="9"/>
              <w:rPr>
                <w:rFonts w:hint="eastAsia" w:ascii="宋体" w:hAnsi="宋体" w:eastAsia="宋体" w:cs="宋体"/>
                <w:color w:val="auto"/>
                <w:highlight w:val="none"/>
              </w:rPr>
            </w:pPr>
          </w:p>
        </w:tc>
        <w:tc>
          <w:tcPr>
            <w:tcW w:w="1708" w:type="dxa"/>
            <w:noWrap w:val="0"/>
            <w:vAlign w:val="center"/>
          </w:tcPr>
          <w:p w14:paraId="33F40506">
            <w:pPr>
              <w:pStyle w:val="19"/>
              <w:jc w:val="center"/>
              <w:outlineLvl w:val="9"/>
              <w:rPr>
                <w:rFonts w:hint="eastAsia" w:ascii="宋体" w:hAnsi="宋体" w:eastAsia="宋体" w:cs="宋体"/>
                <w:color w:val="auto"/>
                <w:highlight w:val="none"/>
              </w:rPr>
            </w:pPr>
          </w:p>
        </w:tc>
        <w:tc>
          <w:tcPr>
            <w:tcW w:w="1059" w:type="dxa"/>
            <w:noWrap w:val="0"/>
            <w:vAlign w:val="center"/>
          </w:tcPr>
          <w:p w14:paraId="722E68DA">
            <w:pPr>
              <w:pStyle w:val="19"/>
              <w:jc w:val="center"/>
              <w:outlineLvl w:val="9"/>
              <w:rPr>
                <w:rFonts w:hint="eastAsia" w:ascii="宋体" w:hAnsi="宋体" w:eastAsia="宋体" w:cs="宋体"/>
                <w:color w:val="auto"/>
                <w:highlight w:val="none"/>
              </w:rPr>
            </w:pPr>
          </w:p>
        </w:tc>
        <w:tc>
          <w:tcPr>
            <w:tcW w:w="1341" w:type="dxa"/>
            <w:noWrap w:val="0"/>
            <w:vAlign w:val="center"/>
          </w:tcPr>
          <w:p w14:paraId="4BD42D62">
            <w:pPr>
              <w:pStyle w:val="19"/>
              <w:jc w:val="center"/>
              <w:outlineLvl w:val="9"/>
              <w:rPr>
                <w:rFonts w:hint="eastAsia" w:ascii="宋体" w:hAnsi="宋体" w:eastAsia="宋体" w:cs="宋体"/>
                <w:color w:val="auto"/>
                <w:highlight w:val="none"/>
              </w:rPr>
            </w:pPr>
          </w:p>
        </w:tc>
      </w:tr>
      <w:tr w14:paraId="3CB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C584A16">
            <w:pPr>
              <w:pStyle w:val="19"/>
              <w:jc w:val="center"/>
              <w:outlineLvl w:val="9"/>
              <w:rPr>
                <w:rFonts w:hint="eastAsia" w:ascii="宋体" w:hAnsi="宋体" w:eastAsia="宋体" w:cs="宋体"/>
                <w:color w:val="auto"/>
                <w:highlight w:val="none"/>
              </w:rPr>
            </w:pPr>
          </w:p>
        </w:tc>
        <w:tc>
          <w:tcPr>
            <w:tcW w:w="2617" w:type="dxa"/>
            <w:noWrap w:val="0"/>
            <w:vAlign w:val="center"/>
          </w:tcPr>
          <w:p w14:paraId="1990BFBD">
            <w:pPr>
              <w:pStyle w:val="19"/>
              <w:jc w:val="center"/>
              <w:outlineLvl w:val="9"/>
              <w:rPr>
                <w:rFonts w:hint="eastAsia" w:ascii="宋体" w:hAnsi="宋体" w:eastAsia="宋体" w:cs="宋体"/>
                <w:color w:val="auto"/>
                <w:highlight w:val="none"/>
              </w:rPr>
            </w:pPr>
          </w:p>
        </w:tc>
        <w:tc>
          <w:tcPr>
            <w:tcW w:w="1958" w:type="dxa"/>
            <w:noWrap w:val="0"/>
            <w:vAlign w:val="center"/>
          </w:tcPr>
          <w:p w14:paraId="76D39FDD">
            <w:pPr>
              <w:pStyle w:val="19"/>
              <w:jc w:val="center"/>
              <w:outlineLvl w:val="9"/>
              <w:rPr>
                <w:rFonts w:hint="eastAsia" w:ascii="宋体" w:hAnsi="宋体" w:eastAsia="宋体" w:cs="宋体"/>
                <w:color w:val="auto"/>
                <w:highlight w:val="none"/>
              </w:rPr>
            </w:pPr>
          </w:p>
        </w:tc>
        <w:tc>
          <w:tcPr>
            <w:tcW w:w="1708" w:type="dxa"/>
            <w:noWrap w:val="0"/>
            <w:vAlign w:val="center"/>
          </w:tcPr>
          <w:p w14:paraId="08F47AF7">
            <w:pPr>
              <w:pStyle w:val="19"/>
              <w:jc w:val="center"/>
              <w:outlineLvl w:val="9"/>
              <w:rPr>
                <w:rFonts w:hint="eastAsia" w:ascii="宋体" w:hAnsi="宋体" w:eastAsia="宋体" w:cs="宋体"/>
                <w:color w:val="auto"/>
                <w:highlight w:val="none"/>
              </w:rPr>
            </w:pPr>
          </w:p>
        </w:tc>
        <w:tc>
          <w:tcPr>
            <w:tcW w:w="1059" w:type="dxa"/>
            <w:noWrap w:val="0"/>
            <w:vAlign w:val="center"/>
          </w:tcPr>
          <w:p w14:paraId="5F2431F2">
            <w:pPr>
              <w:pStyle w:val="19"/>
              <w:jc w:val="center"/>
              <w:outlineLvl w:val="9"/>
              <w:rPr>
                <w:rFonts w:hint="eastAsia" w:ascii="宋体" w:hAnsi="宋体" w:eastAsia="宋体" w:cs="宋体"/>
                <w:color w:val="auto"/>
                <w:highlight w:val="none"/>
              </w:rPr>
            </w:pPr>
          </w:p>
        </w:tc>
        <w:tc>
          <w:tcPr>
            <w:tcW w:w="1341" w:type="dxa"/>
            <w:noWrap w:val="0"/>
            <w:vAlign w:val="center"/>
          </w:tcPr>
          <w:p w14:paraId="014A6305">
            <w:pPr>
              <w:pStyle w:val="19"/>
              <w:jc w:val="center"/>
              <w:outlineLvl w:val="9"/>
              <w:rPr>
                <w:rFonts w:hint="eastAsia" w:ascii="宋体" w:hAnsi="宋体" w:eastAsia="宋体" w:cs="宋体"/>
                <w:color w:val="auto"/>
                <w:highlight w:val="none"/>
              </w:rPr>
            </w:pPr>
          </w:p>
        </w:tc>
      </w:tr>
      <w:tr w14:paraId="64A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FEB3534">
            <w:pPr>
              <w:pStyle w:val="19"/>
              <w:jc w:val="center"/>
              <w:outlineLvl w:val="9"/>
              <w:rPr>
                <w:rFonts w:hint="eastAsia" w:ascii="宋体" w:hAnsi="宋体" w:eastAsia="宋体" w:cs="宋体"/>
                <w:color w:val="auto"/>
                <w:highlight w:val="none"/>
              </w:rPr>
            </w:pPr>
          </w:p>
        </w:tc>
        <w:tc>
          <w:tcPr>
            <w:tcW w:w="2617" w:type="dxa"/>
            <w:noWrap w:val="0"/>
            <w:vAlign w:val="center"/>
          </w:tcPr>
          <w:p w14:paraId="126B6A65">
            <w:pPr>
              <w:pStyle w:val="19"/>
              <w:jc w:val="center"/>
              <w:outlineLvl w:val="9"/>
              <w:rPr>
                <w:rFonts w:hint="eastAsia" w:ascii="宋体" w:hAnsi="宋体" w:eastAsia="宋体" w:cs="宋体"/>
                <w:color w:val="auto"/>
                <w:highlight w:val="none"/>
              </w:rPr>
            </w:pPr>
          </w:p>
        </w:tc>
        <w:tc>
          <w:tcPr>
            <w:tcW w:w="1958" w:type="dxa"/>
            <w:noWrap w:val="0"/>
            <w:vAlign w:val="center"/>
          </w:tcPr>
          <w:p w14:paraId="0C2DA4DA">
            <w:pPr>
              <w:pStyle w:val="19"/>
              <w:jc w:val="center"/>
              <w:outlineLvl w:val="9"/>
              <w:rPr>
                <w:rFonts w:hint="eastAsia" w:ascii="宋体" w:hAnsi="宋体" w:eastAsia="宋体" w:cs="宋体"/>
                <w:color w:val="auto"/>
                <w:highlight w:val="none"/>
              </w:rPr>
            </w:pPr>
          </w:p>
        </w:tc>
        <w:tc>
          <w:tcPr>
            <w:tcW w:w="1708" w:type="dxa"/>
            <w:noWrap w:val="0"/>
            <w:vAlign w:val="center"/>
          </w:tcPr>
          <w:p w14:paraId="1D8B98A4">
            <w:pPr>
              <w:pStyle w:val="19"/>
              <w:jc w:val="center"/>
              <w:outlineLvl w:val="9"/>
              <w:rPr>
                <w:rFonts w:hint="eastAsia" w:ascii="宋体" w:hAnsi="宋体" w:eastAsia="宋体" w:cs="宋体"/>
                <w:color w:val="auto"/>
                <w:highlight w:val="none"/>
              </w:rPr>
            </w:pPr>
          </w:p>
        </w:tc>
        <w:tc>
          <w:tcPr>
            <w:tcW w:w="1059" w:type="dxa"/>
            <w:noWrap w:val="0"/>
            <w:vAlign w:val="center"/>
          </w:tcPr>
          <w:p w14:paraId="43403F0F">
            <w:pPr>
              <w:pStyle w:val="19"/>
              <w:jc w:val="center"/>
              <w:outlineLvl w:val="9"/>
              <w:rPr>
                <w:rFonts w:hint="eastAsia" w:ascii="宋体" w:hAnsi="宋体" w:eastAsia="宋体" w:cs="宋体"/>
                <w:color w:val="auto"/>
                <w:highlight w:val="none"/>
              </w:rPr>
            </w:pPr>
          </w:p>
        </w:tc>
        <w:tc>
          <w:tcPr>
            <w:tcW w:w="1341" w:type="dxa"/>
            <w:noWrap w:val="0"/>
            <w:vAlign w:val="center"/>
          </w:tcPr>
          <w:p w14:paraId="02BFDD09">
            <w:pPr>
              <w:pStyle w:val="19"/>
              <w:jc w:val="center"/>
              <w:outlineLvl w:val="9"/>
              <w:rPr>
                <w:rFonts w:hint="eastAsia" w:ascii="宋体" w:hAnsi="宋体" w:eastAsia="宋体" w:cs="宋体"/>
                <w:color w:val="auto"/>
                <w:highlight w:val="none"/>
              </w:rPr>
            </w:pPr>
          </w:p>
        </w:tc>
      </w:tr>
      <w:tr w14:paraId="366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F5789B4">
            <w:pPr>
              <w:pStyle w:val="19"/>
              <w:jc w:val="center"/>
              <w:outlineLvl w:val="9"/>
              <w:rPr>
                <w:rFonts w:hint="eastAsia" w:ascii="宋体" w:hAnsi="宋体" w:eastAsia="宋体" w:cs="宋体"/>
                <w:color w:val="auto"/>
                <w:highlight w:val="none"/>
              </w:rPr>
            </w:pPr>
          </w:p>
        </w:tc>
        <w:tc>
          <w:tcPr>
            <w:tcW w:w="2617" w:type="dxa"/>
            <w:noWrap w:val="0"/>
            <w:vAlign w:val="center"/>
          </w:tcPr>
          <w:p w14:paraId="676B4789">
            <w:pPr>
              <w:pStyle w:val="19"/>
              <w:jc w:val="center"/>
              <w:outlineLvl w:val="9"/>
              <w:rPr>
                <w:rFonts w:hint="eastAsia" w:ascii="宋体" w:hAnsi="宋体" w:eastAsia="宋体" w:cs="宋体"/>
                <w:color w:val="auto"/>
                <w:highlight w:val="none"/>
              </w:rPr>
            </w:pPr>
          </w:p>
        </w:tc>
        <w:tc>
          <w:tcPr>
            <w:tcW w:w="1958" w:type="dxa"/>
            <w:noWrap w:val="0"/>
            <w:vAlign w:val="center"/>
          </w:tcPr>
          <w:p w14:paraId="7417CBD8">
            <w:pPr>
              <w:pStyle w:val="19"/>
              <w:jc w:val="center"/>
              <w:outlineLvl w:val="9"/>
              <w:rPr>
                <w:rFonts w:hint="eastAsia" w:ascii="宋体" w:hAnsi="宋体" w:eastAsia="宋体" w:cs="宋体"/>
                <w:color w:val="auto"/>
                <w:highlight w:val="none"/>
              </w:rPr>
            </w:pPr>
          </w:p>
        </w:tc>
        <w:tc>
          <w:tcPr>
            <w:tcW w:w="1708" w:type="dxa"/>
            <w:noWrap w:val="0"/>
            <w:vAlign w:val="center"/>
          </w:tcPr>
          <w:p w14:paraId="56742058">
            <w:pPr>
              <w:pStyle w:val="19"/>
              <w:jc w:val="center"/>
              <w:outlineLvl w:val="9"/>
              <w:rPr>
                <w:rFonts w:hint="eastAsia" w:ascii="宋体" w:hAnsi="宋体" w:eastAsia="宋体" w:cs="宋体"/>
                <w:color w:val="auto"/>
                <w:highlight w:val="none"/>
              </w:rPr>
            </w:pPr>
          </w:p>
        </w:tc>
        <w:tc>
          <w:tcPr>
            <w:tcW w:w="1059" w:type="dxa"/>
            <w:noWrap w:val="0"/>
            <w:vAlign w:val="center"/>
          </w:tcPr>
          <w:p w14:paraId="6C5396EE">
            <w:pPr>
              <w:pStyle w:val="19"/>
              <w:jc w:val="center"/>
              <w:outlineLvl w:val="9"/>
              <w:rPr>
                <w:rFonts w:hint="eastAsia" w:ascii="宋体" w:hAnsi="宋体" w:eastAsia="宋体" w:cs="宋体"/>
                <w:color w:val="auto"/>
                <w:highlight w:val="none"/>
              </w:rPr>
            </w:pPr>
          </w:p>
        </w:tc>
        <w:tc>
          <w:tcPr>
            <w:tcW w:w="1341" w:type="dxa"/>
            <w:noWrap w:val="0"/>
            <w:vAlign w:val="center"/>
          </w:tcPr>
          <w:p w14:paraId="26B75243">
            <w:pPr>
              <w:pStyle w:val="19"/>
              <w:jc w:val="center"/>
              <w:outlineLvl w:val="9"/>
              <w:rPr>
                <w:rFonts w:hint="eastAsia" w:ascii="宋体" w:hAnsi="宋体" w:eastAsia="宋体" w:cs="宋体"/>
                <w:color w:val="auto"/>
                <w:highlight w:val="none"/>
              </w:rPr>
            </w:pPr>
          </w:p>
        </w:tc>
      </w:tr>
    </w:tbl>
    <w:p w14:paraId="7EAB9C7A">
      <w:pPr>
        <w:pStyle w:val="19"/>
        <w:outlineLvl w:val="9"/>
        <w:rPr>
          <w:rFonts w:hint="eastAsia" w:ascii="宋体" w:hAnsi="宋体" w:eastAsia="宋体" w:cs="宋体"/>
          <w:color w:val="auto"/>
          <w:highlight w:val="none"/>
        </w:rPr>
      </w:pPr>
    </w:p>
    <w:p w14:paraId="4F4E5A3F">
      <w:pPr>
        <w:pStyle w:val="19"/>
        <w:outlineLvl w:val="9"/>
        <w:rPr>
          <w:rFonts w:hint="eastAsia" w:ascii="宋体" w:hAnsi="宋体" w:eastAsia="宋体" w:cs="宋体"/>
          <w:color w:val="auto"/>
          <w:highlight w:val="none"/>
        </w:rPr>
      </w:pPr>
      <w:r>
        <w:rPr>
          <w:rFonts w:hint="eastAsia" w:ascii="宋体" w:hAnsi="宋体" w:eastAsia="宋体" w:cs="宋体"/>
          <w:color w:val="auto"/>
          <w:highlight w:val="none"/>
        </w:rPr>
        <w:t>注：</w:t>
      </w:r>
    </w:p>
    <w:p w14:paraId="43D859F4">
      <w:pPr>
        <w:widowControl/>
        <w:numPr>
          <w:ilvl w:val="0"/>
          <w:numId w:val="0"/>
        </w:numPr>
        <w:spacing w:line="360" w:lineRule="auto"/>
        <w:jc w:val="left"/>
        <w:outlineLvl w:val="9"/>
        <w:rPr>
          <w:rFonts w:hint="eastAsia" w:ascii="宋体" w:hAnsi="宋体" w:eastAsia="宋体" w:cs="宋体"/>
          <w:b/>
          <w:bCs/>
          <w:color w:val="auto"/>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lang w:eastAsia="zh-CN"/>
        </w:rPr>
        <w:t>供应商</w:t>
      </w:r>
      <w:r>
        <w:rPr>
          <w:rFonts w:hint="eastAsia" w:ascii="宋体" w:hAnsi="宋体" w:eastAsia="宋体" w:cs="宋体"/>
          <w:color w:val="auto"/>
          <w:highlight w:val="none"/>
        </w:rPr>
        <w:t>应对</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文件第五章采购</w:t>
      </w:r>
      <w:r>
        <w:rPr>
          <w:rFonts w:hint="eastAsia" w:ascii="宋体" w:hAnsi="宋体" w:eastAsia="宋体" w:cs="宋体"/>
          <w:color w:val="auto"/>
          <w:highlight w:val="none"/>
          <w:lang w:val="en-US" w:eastAsia="zh-CN"/>
        </w:rPr>
        <w:t>需求所</w:t>
      </w:r>
      <w:r>
        <w:rPr>
          <w:rFonts w:hint="eastAsia" w:ascii="宋体" w:hAnsi="宋体" w:eastAsia="宋体" w:cs="宋体"/>
          <w:color w:val="auto"/>
          <w:highlight w:val="none"/>
        </w:rPr>
        <w:t>要求的内容给予逐条响应，以</w:t>
      </w:r>
      <w:r>
        <w:rPr>
          <w:rFonts w:hint="eastAsia" w:ascii="宋体" w:hAnsi="宋体" w:cs="宋体"/>
          <w:color w:val="auto"/>
          <w:highlight w:val="none"/>
          <w:lang w:eastAsia="zh-CN"/>
        </w:rPr>
        <w:t>响应</w:t>
      </w:r>
      <w:r>
        <w:rPr>
          <w:rFonts w:hint="eastAsia" w:ascii="宋体" w:hAnsi="宋体" w:eastAsia="宋体" w:cs="宋体"/>
          <w:color w:val="auto"/>
          <w:highlight w:val="none"/>
        </w:rPr>
        <w:t>产品</w:t>
      </w:r>
      <w:r>
        <w:rPr>
          <w:rFonts w:hint="eastAsia" w:ascii="宋体" w:hAnsi="宋体" w:cs="宋体"/>
          <w:color w:val="auto"/>
          <w:highlight w:val="none"/>
          <w:lang w:val="en-US" w:eastAsia="zh-CN"/>
        </w:rPr>
        <w:t>或</w:t>
      </w:r>
      <w:r>
        <w:rPr>
          <w:rFonts w:hint="eastAsia" w:ascii="宋体" w:hAnsi="宋体" w:eastAsia="宋体" w:cs="宋体"/>
          <w:color w:val="auto"/>
          <w:highlight w:val="none"/>
        </w:rPr>
        <w:t>服务所能达到的内容予以填写，</w:t>
      </w:r>
      <w:r>
        <w:rPr>
          <w:rFonts w:hint="eastAsia" w:ascii="宋体" w:hAnsi="宋体" w:eastAsia="宋体" w:cs="宋体"/>
          <w:b/>
          <w:bCs/>
          <w:color w:val="auto"/>
          <w:highlight w:val="none"/>
        </w:rPr>
        <w:t>而不应</w:t>
      </w:r>
      <w:r>
        <w:rPr>
          <w:rFonts w:hint="eastAsia" w:ascii="宋体" w:hAnsi="宋体" w:eastAsia="宋体" w:cs="宋体"/>
          <w:b/>
          <w:bCs/>
          <w:color w:val="auto"/>
          <w:highlight w:val="none"/>
          <w:lang w:val="en-US" w:eastAsia="zh-CN"/>
        </w:rPr>
        <w:t>简单复制</w:t>
      </w:r>
      <w:r>
        <w:rPr>
          <w:rFonts w:hint="eastAsia" w:ascii="宋体" w:hAnsi="宋体" w:cs="宋体"/>
          <w:b/>
          <w:bCs/>
          <w:color w:val="auto"/>
          <w:highlight w:val="none"/>
          <w:lang w:val="en-US" w:eastAsia="zh-CN"/>
        </w:rPr>
        <w:t>采购</w:t>
      </w:r>
      <w:r>
        <w:rPr>
          <w:rFonts w:hint="eastAsia" w:ascii="宋体" w:hAnsi="宋体" w:eastAsia="宋体" w:cs="宋体"/>
          <w:b/>
          <w:bCs/>
          <w:color w:val="auto"/>
          <w:highlight w:val="none"/>
        </w:rPr>
        <w:t>的技术要求作为响应内容，有具体参数的应填写具体参数。</w:t>
      </w:r>
    </w:p>
    <w:p w14:paraId="57D2A8FF">
      <w:pPr>
        <w:pStyle w:val="19"/>
        <w:spacing w:line="360" w:lineRule="auto"/>
        <w:outlineLvl w:val="9"/>
        <w:rPr>
          <w:rFonts w:hint="eastAsia" w:ascii="宋体" w:hAnsi="宋体" w:eastAsia="宋体" w:cs="宋体"/>
          <w:b/>
          <w:bCs/>
          <w:color w:val="auto"/>
          <w:highlight w:val="none"/>
          <w:lang w:eastAsia="zh-CN"/>
        </w:rPr>
      </w:pPr>
    </w:p>
    <w:p w14:paraId="36362209">
      <w:pPr>
        <w:widowControl/>
        <w:spacing w:line="360" w:lineRule="auto"/>
        <w:jc w:val="left"/>
        <w:outlineLvl w:val="9"/>
        <w:rPr>
          <w:rFonts w:hint="eastAsia" w:ascii="宋体" w:hAnsi="宋体" w:eastAsia="宋体" w:cs="宋体"/>
          <w:color w:val="auto"/>
          <w:kern w:val="0"/>
          <w:sz w:val="21"/>
          <w:szCs w:val="21"/>
          <w:highlight w:val="none"/>
        </w:rPr>
      </w:pPr>
    </w:p>
    <w:p w14:paraId="3B157BB0">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（加盖单位公章） </w:t>
      </w:r>
    </w:p>
    <w:p w14:paraId="06ECFE30">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3F6CE41F">
      <w:pPr>
        <w:spacing w:line="360" w:lineRule="auto"/>
        <w:outlineLvl w:val="9"/>
        <w:rPr>
          <w:rFonts w:hint="eastAsia" w:ascii="宋体" w:hAnsi="宋体" w:eastAsia="宋体" w:cs="宋体"/>
          <w:b/>
          <w:color w:val="auto"/>
          <w:sz w:val="21"/>
          <w:szCs w:val="21"/>
          <w:highlight w:val="none"/>
        </w:rPr>
        <w:sectPr>
          <w:headerReference r:id="rId12" w:type="default"/>
          <w:footerReference r:id="rId13" w:type="default"/>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6A66230B">
      <w:pPr>
        <w:snapToGrid/>
        <w:spacing w:line="240" w:lineRule="auto"/>
        <w:jc w:val="left"/>
        <w:outlineLvl w:val="9"/>
        <w:rPr>
          <w:rStyle w:val="449"/>
          <w:rFonts w:hint="eastAsia" w:eastAsia="楷体_GB2312"/>
          <w:color w:val="auto"/>
          <w:highlight w:val="none"/>
          <w:lang w:val="en-US" w:eastAsia="zh-CN"/>
        </w:rPr>
      </w:pPr>
    </w:p>
    <w:p w14:paraId="6B14FF46">
      <w:pPr>
        <w:tabs>
          <w:tab w:val="left" w:pos="360"/>
        </w:tabs>
        <w:snapToGrid w:val="0"/>
        <w:spacing w:line="360" w:lineRule="auto"/>
        <w:jc w:val="center"/>
        <w:outlineLvl w:val="1"/>
        <w:rPr>
          <w:rStyle w:val="449"/>
          <w:color w:val="auto"/>
          <w:highlight w:val="none"/>
        </w:rPr>
      </w:pPr>
      <w:r>
        <w:rPr>
          <w:rStyle w:val="449"/>
          <w:rFonts w:hint="default" w:eastAsia="黑体"/>
          <w:color w:val="auto"/>
          <w:highlight w:val="none"/>
          <w:lang w:val="en-US" w:eastAsia="zh-CN"/>
        </w:rPr>
        <w:t>格式7、</w:t>
      </w:r>
      <w:r>
        <w:rPr>
          <w:rStyle w:val="449"/>
          <w:color w:val="auto"/>
          <w:highlight w:val="none"/>
        </w:rPr>
        <w:t>最后报价一览表（磋商后提交）</w:t>
      </w:r>
    </w:p>
    <w:p w14:paraId="77AA017C">
      <w:pPr>
        <w:widowControl/>
        <w:jc w:val="left"/>
        <w:rPr>
          <w:color w:val="auto"/>
          <w:kern w:val="0"/>
          <w:sz w:val="24"/>
          <w:highlight w:val="none"/>
        </w:rPr>
      </w:pPr>
    </w:p>
    <w:p w14:paraId="7C7072F4">
      <w:pPr>
        <w:spacing w:line="360" w:lineRule="auto"/>
        <w:jc w:val="center"/>
        <w:rPr>
          <w:b/>
          <w:color w:val="auto"/>
          <w:sz w:val="28"/>
          <w:szCs w:val="28"/>
          <w:highlight w:val="none"/>
        </w:rPr>
      </w:pPr>
      <w:r>
        <w:rPr>
          <w:rFonts w:hint="eastAsia"/>
          <w:b/>
          <w:color w:val="auto"/>
          <w:sz w:val="28"/>
          <w:szCs w:val="28"/>
          <w:highlight w:val="none"/>
          <w:lang w:val="en-US" w:eastAsia="zh-CN"/>
        </w:rPr>
        <w:t>7.1</w:t>
      </w:r>
      <w:r>
        <w:rPr>
          <w:rFonts w:hint="eastAsia"/>
          <w:b/>
          <w:color w:val="auto"/>
          <w:sz w:val="28"/>
          <w:szCs w:val="28"/>
          <w:highlight w:val="none"/>
        </w:rPr>
        <w:t>最后报价一览表</w:t>
      </w:r>
    </w:p>
    <w:p w14:paraId="7EE4E158">
      <w:pPr>
        <w:tabs>
          <w:tab w:val="left" w:pos="1800"/>
          <w:tab w:val="left" w:pos="5580"/>
        </w:tabs>
        <w:spacing w:line="360" w:lineRule="auto"/>
        <w:jc w:val="left"/>
        <w:rPr>
          <w:color w:val="auto"/>
          <w:sz w:val="24"/>
          <w:highlight w:val="none"/>
        </w:rPr>
      </w:pPr>
    </w:p>
    <w:p w14:paraId="085E5430">
      <w:pPr>
        <w:spacing w:before="120" w:beforeLines="50" w:after="120" w:afterLines="50" w:line="312"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578DBD2">
      <w:pPr>
        <w:spacing w:before="120" w:beforeLines="50" w:after="120" w:afterLines="50" w:line="312" w:lineRule="auto"/>
        <w:ind w:firstLine="210" w:firstLineChars="100"/>
        <w:rPr>
          <w:rFonts w:ascii="宋体" w:hAnsi="宋体" w:cs="宋体"/>
          <w:color w:val="auto"/>
          <w:sz w:val="21"/>
          <w:szCs w:val="21"/>
          <w:highlight w:val="none"/>
          <w:u w:val="single"/>
        </w:rPr>
      </w:pPr>
      <w:r>
        <w:rPr>
          <w:rFonts w:hint="eastAsia" w:ascii="宋体" w:hAnsi="宋体" w:cs="宋体"/>
          <w:color w:val="auto"/>
          <w:sz w:val="21"/>
          <w:szCs w:val="21"/>
          <w:highlight w:val="none"/>
        </w:rPr>
        <w:t>项目编号/包号（如有）：</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52"/>
        <w:tblW w:w="9658"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2431"/>
        <w:gridCol w:w="2466"/>
        <w:gridCol w:w="2292"/>
        <w:gridCol w:w="1711"/>
      </w:tblGrid>
      <w:tr w14:paraId="37B9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exact"/>
        </w:trPr>
        <w:tc>
          <w:tcPr>
            <w:tcW w:w="758" w:type="dxa"/>
            <w:vMerge w:val="restart"/>
            <w:noWrap w:val="0"/>
            <w:vAlign w:val="center"/>
          </w:tcPr>
          <w:p w14:paraId="7C497E3E">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2431" w:type="dxa"/>
            <w:vMerge w:val="restart"/>
            <w:noWrap w:val="0"/>
            <w:vAlign w:val="center"/>
          </w:tcPr>
          <w:p w14:paraId="04DA93E2">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p>
          <w:p w14:paraId="4FB18D0F">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r>
              <w:rPr>
                <w:rFonts w:ascii="宋体" w:hAnsi="宋体" w:eastAsia="宋体" w:cs="宋体"/>
                <w:b/>
                <w:color w:val="auto"/>
                <w:spacing w:val="-7"/>
                <w:kern w:val="0"/>
                <w:sz w:val="24"/>
                <w:szCs w:val="24"/>
                <w:highlight w:val="none"/>
                <w:lang w:eastAsia="en-US"/>
              </w:rPr>
              <w:t>供应商名称</w:t>
            </w:r>
          </w:p>
          <w:p w14:paraId="25475ED4">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p>
        </w:tc>
        <w:tc>
          <w:tcPr>
            <w:tcW w:w="4758" w:type="dxa"/>
            <w:gridSpan w:val="2"/>
            <w:noWrap w:val="0"/>
            <w:vAlign w:val="center"/>
          </w:tcPr>
          <w:p w14:paraId="5B210F20">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4"/>
                <w:kern w:val="0"/>
                <w:sz w:val="24"/>
                <w:szCs w:val="24"/>
                <w:highlight w:val="none"/>
                <w:lang w:eastAsia="en-US"/>
              </w:rPr>
              <w:t>最后</w:t>
            </w:r>
            <w:r>
              <w:rPr>
                <w:rFonts w:hint="eastAsia" w:ascii="宋体" w:hAnsi="宋体" w:cs="宋体"/>
                <w:b/>
                <w:color w:val="auto"/>
                <w:spacing w:val="-4"/>
                <w:kern w:val="0"/>
                <w:sz w:val="24"/>
                <w:szCs w:val="24"/>
                <w:highlight w:val="none"/>
                <w:lang w:val="en-US" w:eastAsia="zh-CN"/>
              </w:rPr>
              <w:t>投标</w:t>
            </w:r>
            <w:r>
              <w:rPr>
                <w:rFonts w:ascii="宋体" w:hAnsi="宋体" w:eastAsia="宋体" w:cs="宋体"/>
                <w:b/>
                <w:color w:val="auto"/>
                <w:spacing w:val="-3"/>
                <w:kern w:val="0"/>
                <w:sz w:val="24"/>
                <w:szCs w:val="24"/>
                <w:highlight w:val="none"/>
                <w:lang w:eastAsia="en-US"/>
              </w:rPr>
              <w:t>报价</w:t>
            </w:r>
            <w:r>
              <w:rPr>
                <w:rFonts w:hint="eastAsia" w:ascii="宋体" w:hAnsi="宋体" w:cs="宋体"/>
                <w:b/>
                <w:color w:val="auto"/>
                <w:spacing w:val="-3"/>
                <w:kern w:val="0"/>
                <w:sz w:val="24"/>
                <w:szCs w:val="24"/>
                <w:highlight w:val="none"/>
                <w:lang w:val="en-US" w:eastAsia="zh-CN"/>
              </w:rPr>
              <w:t>总价</w:t>
            </w:r>
            <w:r>
              <w:rPr>
                <w:rFonts w:hint="eastAsia" w:ascii="宋体" w:hAnsi="宋体" w:eastAsia="宋体" w:cs="宋体"/>
                <w:b/>
                <w:color w:val="auto"/>
                <w:spacing w:val="-4"/>
                <w:kern w:val="0"/>
                <w:sz w:val="24"/>
                <w:szCs w:val="24"/>
                <w:highlight w:val="none"/>
                <w:lang w:val="en-US" w:eastAsia="zh-CN"/>
              </w:rPr>
              <w:t>（元）</w:t>
            </w:r>
          </w:p>
        </w:tc>
        <w:tc>
          <w:tcPr>
            <w:tcW w:w="1711" w:type="dxa"/>
            <w:vMerge w:val="restart"/>
            <w:noWrap w:val="0"/>
            <w:vAlign w:val="center"/>
          </w:tcPr>
          <w:p w14:paraId="6A734850">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40E8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758" w:type="dxa"/>
            <w:vMerge w:val="continue"/>
            <w:noWrap w:val="0"/>
            <w:vAlign w:val="center"/>
          </w:tcPr>
          <w:p w14:paraId="7BF525D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31" w:type="dxa"/>
            <w:vMerge w:val="continue"/>
            <w:noWrap w:val="0"/>
            <w:vAlign w:val="center"/>
          </w:tcPr>
          <w:p w14:paraId="55300D49">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66" w:type="dxa"/>
            <w:noWrap w:val="0"/>
            <w:vAlign w:val="center"/>
          </w:tcPr>
          <w:p w14:paraId="12A62F0D">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2292" w:type="dxa"/>
            <w:noWrap w:val="0"/>
            <w:vAlign w:val="center"/>
          </w:tcPr>
          <w:p w14:paraId="1533ED32">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1711" w:type="dxa"/>
            <w:vMerge w:val="continue"/>
            <w:noWrap w:val="0"/>
            <w:vAlign w:val="center"/>
          </w:tcPr>
          <w:p w14:paraId="5AF7B06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66B1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exact"/>
        </w:trPr>
        <w:tc>
          <w:tcPr>
            <w:tcW w:w="758" w:type="dxa"/>
            <w:noWrap w:val="0"/>
            <w:vAlign w:val="center"/>
          </w:tcPr>
          <w:p w14:paraId="456619D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31" w:type="dxa"/>
            <w:noWrap w:val="0"/>
            <w:vAlign w:val="center"/>
          </w:tcPr>
          <w:p w14:paraId="28F8C678">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66" w:type="dxa"/>
            <w:noWrap w:val="0"/>
            <w:vAlign w:val="center"/>
          </w:tcPr>
          <w:p w14:paraId="66F686F2">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292" w:type="dxa"/>
            <w:noWrap w:val="0"/>
            <w:vAlign w:val="center"/>
          </w:tcPr>
          <w:p w14:paraId="0F66702D">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711" w:type="dxa"/>
            <w:noWrap w:val="0"/>
            <w:vAlign w:val="center"/>
          </w:tcPr>
          <w:p w14:paraId="2CFA1A3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3C774700">
      <w:pPr>
        <w:spacing w:line="360" w:lineRule="auto"/>
        <w:ind w:left="-1100" w:leftChars="-524" w:firstLine="1365" w:firstLineChars="650"/>
        <w:rPr>
          <w:rFonts w:hint="eastAsia" w:ascii="宋体" w:hAnsi="宋体" w:eastAsia="宋体" w:cs="宋体"/>
          <w:color w:val="auto"/>
          <w:kern w:val="0"/>
          <w:sz w:val="21"/>
          <w:szCs w:val="21"/>
          <w:highlight w:val="none"/>
        </w:rPr>
      </w:pPr>
    </w:p>
    <w:p w14:paraId="5426A080">
      <w:pPr>
        <w:spacing w:line="360" w:lineRule="auto"/>
        <w:ind w:left="-1100" w:leftChars="-524" w:firstLine="1365" w:firstLineChars="6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注：1.此表中，每包的最后报价应和《最后分项报价表》中的总价相一致。</w:t>
      </w:r>
    </w:p>
    <w:p w14:paraId="49DA6B07">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2.本表必须按包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分别填写。</w:t>
      </w:r>
    </w:p>
    <w:p w14:paraId="4F5C95D9">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3.此表无需在响应文件中提交，磋商后供应商按磋商小组要求</w:t>
      </w:r>
      <w:r>
        <w:rPr>
          <w:rFonts w:hint="eastAsia" w:ascii="宋体" w:hAnsi="宋体" w:cs="宋体"/>
          <w:color w:val="auto"/>
          <w:kern w:val="0"/>
          <w:sz w:val="21"/>
          <w:szCs w:val="21"/>
          <w:highlight w:val="none"/>
          <w:lang w:val="en-US" w:eastAsia="zh-CN"/>
        </w:rPr>
        <w:t>在“政采云”平台中</w:t>
      </w:r>
      <w:r>
        <w:rPr>
          <w:rFonts w:hint="eastAsia" w:ascii="宋体" w:hAnsi="宋体" w:eastAsia="宋体" w:cs="宋体"/>
          <w:color w:val="auto"/>
          <w:kern w:val="0"/>
          <w:sz w:val="21"/>
          <w:szCs w:val="21"/>
          <w:highlight w:val="none"/>
        </w:rPr>
        <w:t>提交。</w:t>
      </w:r>
    </w:p>
    <w:p w14:paraId="044EDACD">
      <w:pPr>
        <w:spacing w:line="360" w:lineRule="auto"/>
        <w:ind w:left="-1100" w:leftChars="-524" w:firstLine="1785" w:firstLineChars="85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4.不得超过预算单价及预算金额。</w:t>
      </w:r>
    </w:p>
    <w:p w14:paraId="5635F0F6">
      <w:pPr>
        <w:spacing w:line="360" w:lineRule="auto"/>
        <w:ind w:left="-1100" w:leftChars="-524" w:firstLine="1365" w:firstLineChars="650"/>
        <w:rPr>
          <w:rFonts w:hint="eastAsia" w:ascii="宋体" w:hAnsi="宋体" w:eastAsia="宋体" w:cs="宋体"/>
          <w:color w:val="auto"/>
          <w:kern w:val="0"/>
          <w:sz w:val="21"/>
          <w:szCs w:val="21"/>
          <w:highlight w:val="none"/>
        </w:rPr>
      </w:pPr>
    </w:p>
    <w:p w14:paraId="01DDEBE5">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bookmarkStart w:id="298" w:name="_Toc29430"/>
      <w:r>
        <w:rPr>
          <w:rFonts w:hint="eastAsia" w:ascii="宋体" w:hAnsi="宋体" w:eastAsia="宋体" w:cs="宋体"/>
          <w:color w:val="auto"/>
          <w:kern w:val="0"/>
          <w:sz w:val="21"/>
          <w:szCs w:val="21"/>
          <w:highlight w:val="none"/>
        </w:rPr>
        <w:t>供应商授权代表签字（或加盖供应商公章）：___________</w:t>
      </w:r>
    </w:p>
    <w:p w14:paraId="27297116">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日期：____年____月____日</w:t>
      </w:r>
    </w:p>
    <w:p w14:paraId="193FB403">
      <w:pPr>
        <w:tabs>
          <w:tab w:val="left" w:pos="360"/>
        </w:tabs>
        <w:snapToGrid w:val="0"/>
        <w:spacing w:line="360" w:lineRule="auto"/>
        <w:jc w:val="center"/>
        <w:outlineLvl w:val="1"/>
        <w:rPr>
          <w:rFonts w:hint="eastAsia" w:ascii="宋体" w:hAnsi="宋体" w:eastAsia="宋体" w:cs="宋体"/>
          <w:color w:val="auto"/>
          <w:kern w:val="0"/>
          <w:sz w:val="21"/>
          <w:szCs w:val="21"/>
          <w:highlight w:val="none"/>
        </w:rPr>
        <w:sectPr>
          <w:pgSz w:w="11907" w:h="16840"/>
          <w:pgMar w:top="1117" w:right="616" w:bottom="1091" w:left="1148" w:header="1117" w:footer="1091" w:gutter="0"/>
          <w:pgNumType w:fmt="decimal"/>
          <w:cols w:space="720" w:num="1"/>
        </w:sectPr>
      </w:pPr>
    </w:p>
    <w:p w14:paraId="26125780">
      <w:pPr>
        <w:tabs>
          <w:tab w:val="left" w:pos="360"/>
        </w:tabs>
        <w:snapToGrid w:val="0"/>
        <w:spacing w:line="360" w:lineRule="auto"/>
        <w:jc w:val="center"/>
        <w:outlineLvl w:val="1"/>
        <w:rPr>
          <w:rStyle w:val="449"/>
          <w:rFonts w:ascii="Arial" w:hAnsi="Arial" w:cs="Times New Roman"/>
          <w:color w:val="auto"/>
          <w:sz w:val="28"/>
          <w:szCs w:val="18"/>
          <w:highlight w:val="none"/>
        </w:rPr>
      </w:pPr>
      <w:r>
        <w:rPr>
          <w:rStyle w:val="449"/>
          <w:rFonts w:hint="eastAsia" w:ascii="Arial" w:hAnsi="Arial" w:cs="Times New Roman"/>
          <w:color w:val="auto"/>
          <w:sz w:val="28"/>
          <w:szCs w:val="18"/>
          <w:highlight w:val="none"/>
          <w:lang w:val="en-US"/>
        </w:rPr>
        <w:t>7.2</w:t>
      </w:r>
      <w:r>
        <w:rPr>
          <w:rStyle w:val="449"/>
          <w:rFonts w:ascii="Arial" w:hAnsi="Arial" w:cs="Times New Roman"/>
          <w:color w:val="auto"/>
          <w:sz w:val="28"/>
          <w:szCs w:val="18"/>
          <w:highlight w:val="none"/>
        </w:rPr>
        <w:t>最后分项报价表</w:t>
      </w:r>
      <w:bookmarkEnd w:id="298"/>
    </w:p>
    <w:tbl>
      <w:tblPr>
        <w:tblStyle w:val="52"/>
        <w:tblpPr w:leftFromText="180" w:rightFromText="180" w:vertAnchor="text" w:horzAnchor="page" w:tblpX="1135" w:tblpY="1153"/>
        <w:tblOverlap w:val="never"/>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2463"/>
        <w:gridCol w:w="1639"/>
        <w:gridCol w:w="1832"/>
        <w:gridCol w:w="1542"/>
        <w:gridCol w:w="1542"/>
      </w:tblGrid>
      <w:tr w14:paraId="3F4A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exact"/>
        </w:trPr>
        <w:tc>
          <w:tcPr>
            <w:tcW w:w="338" w:type="pct"/>
            <w:noWrap w:val="0"/>
            <w:vAlign w:val="center"/>
          </w:tcPr>
          <w:p w14:paraId="113C39DF">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1273" w:type="pct"/>
            <w:noWrap w:val="0"/>
            <w:vAlign w:val="center"/>
          </w:tcPr>
          <w:p w14:paraId="7AFAFCC1">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分项名称</w:t>
            </w:r>
          </w:p>
        </w:tc>
        <w:tc>
          <w:tcPr>
            <w:tcW w:w="847" w:type="pct"/>
            <w:noWrap w:val="0"/>
            <w:vAlign w:val="center"/>
          </w:tcPr>
          <w:p w14:paraId="563E242A">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单价（元）</w:t>
            </w:r>
          </w:p>
        </w:tc>
        <w:tc>
          <w:tcPr>
            <w:tcW w:w="946" w:type="pct"/>
            <w:noWrap w:val="0"/>
            <w:vAlign w:val="center"/>
          </w:tcPr>
          <w:p w14:paraId="4C867460">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数量</w:t>
            </w:r>
          </w:p>
        </w:tc>
        <w:tc>
          <w:tcPr>
            <w:tcW w:w="797" w:type="pct"/>
            <w:noWrap w:val="0"/>
            <w:vAlign w:val="center"/>
          </w:tcPr>
          <w:p w14:paraId="3D6CA446">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总价</w:t>
            </w:r>
            <w:r>
              <w:rPr>
                <w:rFonts w:hint="eastAsia" w:ascii="Times New Roman" w:hAnsi="Times New Roman" w:eastAsia="宋体" w:cs="Times New Roman"/>
                <w:color w:val="auto"/>
                <w:sz w:val="24"/>
                <w:szCs w:val="24"/>
                <w:highlight w:val="none"/>
                <w:lang w:val="en-US" w:eastAsia="zh-CN"/>
              </w:rPr>
              <w:t>（元）</w:t>
            </w:r>
          </w:p>
        </w:tc>
        <w:tc>
          <w:tcPr>
            <w:tcW w:w="797" w:type="pct"/>
            <w:noWrap w:val="0"/>
            <w:vAlign w:val="center"/>
          </w:tcPr>
          <w:p w14:paraId="3457F240">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备注/说明</w:t>
            </w:r>
          </w:p>
        </w:tc>
      </w:tr>
      <w:tr w14:paraId="234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338" w:type="pct"/>
            <w:noWrap w:val="0"/>
            <w:vAlign w:val="center"/>
          </w:tcPr>
          <w:p w14:paraId="5FCF252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74FAF99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29E67E2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71A0788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26C8E6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03C957E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3AE1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4C6FB63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0F99D4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1E5098B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08EFB43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E28760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E033A6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2404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09B9C34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25E65CE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CFB48E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45FC13F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A30EF5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1F4EE0B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AF3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exact"/>
        </w:trPr>
        <w:tc>
          <w:tcPr>
            <w:tcW w:w="338" w:type="pct"/>
            <w:noWrap w:val="0"/>
            <w:vAlign w:val="center"/>
          </w:tcPr>
          <w:p w14:paraId="39AA475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E2198B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25E8882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5615602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BE573C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C41EDF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E5B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63AE9DF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8E98FE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1E956F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0603743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A32194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E1E5F1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71B9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574B7CB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4EFCBE7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779E56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768223C5">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E16774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1A9E682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1AB5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1211E90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3D1190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0476F96D">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61EC5C9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E2CE80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1F066D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482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24E02725">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p>
        </w:tc>
        <w:tc>
          <w:tcPr>
            <w:tcW w:w="1273" w:type="pct"/>
            <w:noWrap w:val="0"/>
            <w:vAlign w:val="center"/>
          </w:tcPr>
          <w:p w14:paraId="4541FDBA">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eastAsia="zh-CN"/>
              </w:rPr>
            </w:pPr>
          </w:p>
        </w:tc>
        <w:tc>
          <w:tcPr>
            <w:tcW w:w="847" w:type="pct"/>
            <w:noWrap w:val="0"/>
            <w:vAlign w:val="center"/>
          </w:tcPr>
          <w:p w14:paraId="6F9C7B6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37C73BA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70B087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6197A3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0FF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3EB28B3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2ABB86D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7E55D57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42AD8E3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76D325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00BA0D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5793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3405" w:type="pct"/>
            <w:gridSpan w:val="4"/>
            <w:noWrap w:val="0"/>
            <w:vAlign w:val="center"/>
          </w:tcPr>
          <w:p w14:paraId="31B5E312">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总计</w:t>
            </w:r>
            <w:r>
              <w:rPr>
                <w:rFonts w:hint="eastAsia" w:ascii="Times New Roman" w:hAnsi="Times New Roman" w:eastAsia="宋体" w:cs="Times New Roman"/>
                <w:color w:val="auto"/>
                <w:sz w:val="24"/>
                <w:szCs w:val="24"/>
                <w:highlight w:val="none"/>
                <w:lang w:val="en-US" w:eastAsia="zh-CN"/>
              </w:rPr>
              <w:t>（元）</w:t>
            </w:r>
          </w:p>
        </w:tc>
        <w:tc>
          <w:tcPr>
            <w:tcW w:w="1594" w:type="pct"/>
            <w:gridSpan w:val="2"/>
            <w:noWrap w:val="0"/>
            <w:vAlign w:val="center"/>
          </w:tcPr>
          <w:p w14:paraId="7C0D504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bl>
    <w:p w14:paraId="3CD53055">
      <w:pPr>
        <w:tabs>
          <w:tab w:val="left" w:pos="1800"/>
          <w:tab w:val="left" w:pos="5580"/>
        </w:tabs>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rPr>
        <w:t>/包号（如有）</w:t>
      </w:r>
      <w:r>
        <w:rPr>
          <w:rFonts w:ascii="Times New Roman" w:hAnsi="Times New Roman" w:eastAsia="宋体" w:cs="Times New Roman"/>
          <w:color w:val="auto"/>
          <w:sz w:val="24"/>
          <w:szCs w:val="24"/>
          <w:highlight w:val="none"/>
        </w:rPr>
        <w:t xml:space="preserve">：________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项目名称：__________</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报价单位：人民币元</w:t>
      </w:r>
    </w:p>
    <w:p w14:paraId="1D8A073E">
      <w:pPr>
        <w:pStyle w:val="19"/>
        <w:spacing w:before="0" w:after="0" w:line="239" w:lineRule="auto"/>
        <w:ind w:left="1033" w:right="0" w:firstLine="0"/>
        <w:rPr>
          <w:rFonts w:ascii="Times New Roman" w:hAnsi="Times New Roman" w:eastAsia="Times New Roman" w:cs="Times New Roman"/>
          <w:color w:val="auto"/>
          <w:spacing w:val="-1"/>
          <w:sz w:val="24"/>
          <w:szCs w:val="24"/>
          <w:highlight w:val="none"/>
        </w:rPr>
      </w:pPr>
    </w:p>
    <w:p w14:paraId="45CF8003">
      <w:pPr>
        <w:pStyle w:val="19"/>
        <w:keepNext w:val="0"/>
        <w:keepLines w:val="0"/>
        <w:pageBreakBefore w:val="0"/>
        <w:widowControl w:val="0"/>
        <w:kinsoku/>
        <w:wordWrap/>
        <w:overflowPunct/>
        <w:topLinePunct w:val="0"/>
        <w:autoSpaceDE/>
        <w:autoSpaceDN/>
        <w:bidi w:val="0"/>
        <w:adjustRightInd/>
        <w:snapToGrid/>
        <w:spacing w:before="0" w:after="0" w:line="240" w:lineRule="auto"/>
        <w:ind w:left="986" w:right="0" w:firstLine="0"/>
        <w:textAlignment w:val="auto"/>
        <w:rPr>
          <w:rFonts w:ascii="Times New Roman" w:hAnsi="Times New Roman" w:eastAsia="Times New Roman" w:cs="Times New Roman"/>
          <w:color w:val="auto"/>
          <w:spacing w:val="-1"/>
          <w:sz w:val="24"/>
          <w:szCs w:val="24"/>
          <w:highlight w:val="none"/>
        </w:rPr>
      </w:pPr>
    </w:p>
    <w:p w14:paraId="7DE36431">
      <w:pPr>
        <w:pStyle w:val="19"/>
        <w:spacing w:before="0" w:after="0" w:line="239" w:lineRule="auto"/>
        <w:ind w:left="1033" w:right="0" w:firstLine="0"/>
        <w:rPr>
          <w:rFonts w:hint="eastAsia" w:ascii="Times New Roman" w:hAnsi="Times New Roman" w:eastAsia="Times New Roman" w:cs="Times New Roman"/>
          <w:color w:val="auto"/>
          <w:spacing w:val="-1"/>
          <w:sz w:val="24"/>
          <w:szCs w:val="24"/>
          <w:highlight w:val="none"/>
        </w:rPr>
      </w:pPr>
    </w:p>
    <w:p w14:paraId="6EBE9285">
      <w:pPr>
        <w:pStyle w:val="19"/>
        <w:spacing w:before="0" w:after="0" w:line="239" w:lineRule="auto"/>
        <w:ind w:left="1033" w:right="0" w:firstLine="0"/>
        <w:rPr>
          <w:rFonts w:ascii="Times New Roman" w:hAnsi="Times New Roman" w:eastAsia="Times New Roman" w:cs="Times New Roman"/>
          <w:color w:val="auto"/>
          <w:spacing w:val="-1"/>
          <w:sz w:val="24"/>
          <w:szCs w:val="24"/>
          <w:highlight w:val="none"/>
        </w:rPr>
      </w:pPr>
      <w:r>
        <w:rPr>
          <w:rFonts w:hint="eastAsia" w:ascii="Times New Roman" w:hAnsi="Times New Roman" w:eastAsia="Times New Roman" w:cs="Times New Roman"/>
          <w:color w:val="auto"/>
          <w:spacing w:val="-1"/>
          <w:sz w:val="24"/>
          <w:szCs w:val="24"/>
          <w:highlight w:val="none"/>
        </w:rPr>
        <w:t>注：1.本表应按包</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宋体" w:cs="Times New Roman"/>
          <w:color w:val="auto"/>
          <w:spacing w:val="-1"/>
          <w:sz w:val="24"/>
          <w:szCs w:val="24"/>
          <w:highlight w:val="none"/>
          <w:lang w:val="en-US" w:eastAsia="zh-CN"/>
        </w:rPr>
        <w:t>如有</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Times New Roman" w:cs="Times New Roman"/>
          <w:color w:val="auto"/>
          <w:spacing w:val="-1"/>
          <w:sz w:val="24"/>
          <w:szCs w:val="24"/>
          <w:highlight w:val="none"/>
        </w:rPr>
        <w:t>分别填写。</w:t>
      </w:r>
    </w:p>
    <w:p w14:paraId="1BFD7BC3">
      <w:pPr>
        <w:pStyle w:val="19"/>
        <w:spacing w:before="0" w:after="0" w:line="240" w:lineRule="auto"/>
        <w:ind w:left="1033" w:right="0" w:firstLine="480" w:firstLineChars="200"/>
        <w:rPr>
          <w:color w:val="auto"/>
          <w:highlight w:val="none"/>
        </w:rPr>
      </w:pPr>
      <w:r>
        <w:rPr>
          <w:rFonts w:hint="eastAsia" w:ascii="Times New Roman" w:hAnsi="Times New Roman" w:eastAsia="宋体" w:cs="Times New Roman"/>
          <w:color w:val="auto"/>
          <w:sz w:val="24"/>
          <w:szCs w:val="24"/>
          <w:highlight w:val="none"/>
          <w:lang w:val="en-US" w:eastAsia="zh-CN"/>
        </w:rPr>
        <w:t>2.</w:t>
      </w:r>
      <w:r>
        <w:rPr>
          <w:rFonts w:ascii="宋体" w:hAnsi="宋体" w:eastAsia="宋体" w:cs="宋体"/>
          <w:color w:val="auto"/>
          <w:spacing w:val="2"/>
          <w:sz w:val="24"/>
          <w:szCs w:val="24"/>
          <w:highlight w:val="none"/>
        </w:rPr>
        <w:t>此表无需在响应文件中提交，磋商后供应</w:t>
      </w:r>
      <w:r>
        <w:rPr>
          <w:rFonts w:ascii="宋体" w:hAnsi="宋体" w:eastAsia="宋体" w:cs="宋体"/>
          <w:color w:val="auto"/>
          <w:spacing w:val="1"/>
          <w:sz w:val="24"/>
          <w:szCs w:val="24"/>
          <w:highlight w:val="none"/>
        </w:rPr>
        <w:t>商按磋商小组要求提交。</w:t>
      </w:r>
    </w:p>
    <w:p w14:paraId="66789171">
      <w:pPr>
        <w:pStyle w:val="19"/>
        <w:spacing w:before="5" w:after="0" w:line="237" w:lineRule="auto"/>
        <w:ind w:left="553" w:right="516" w:firstLine="480"/>
        <w:rPr>
          <w:color w:val="auto"/>
          <w:highlight w:val="none"/>
        </w:rPr>
      </w:pPr>
    </w:p>
    <w:p w14:paraId="52D264B8">
      <w:pPr>
        <w:spacing w:before="0" w:after="0" w:line="200" w:lineRule="exact"/>
        <w:ind w:left="0" w:right="0"/>
        <w:rPr>
          <w:color w:val="auto"/>
          <w:highlight w:val="none"/>
        </w:rPr>
      </w:pPr>
    </w:p>
    <w:p w14:paraId="63A0E964">
      <w:pPr>
        <w:spacing w:before="0" w:after="0" w:line="275" w:lineRule="exact"/>
        <w:ind w:left="0" w:right="0"/>
        <w:rPr>
          <w:color w:val="auto"/>
          <w:highlight w:val="none"/>
        </w:rPr>
      </w:pPr>
    </w:p>
    <w:p w14:paraId="318E971D">
      <w:pPr>
        <w:pStyle w:val="19"/>
        <w:spacing w:before="0" w:after="0" w:line="358" w:lineRule="auto"/>
        <w:ind w:left="553" w:right="3350" w:firstLine="0"/>
        <w:rPr>
          <w:rFonts w:ascii="宋体" w:hAnsi="宋体" w:eastAsia="宋体" w:cs="宋体"/>
          <w:color w:val="auto"/>
          <w:spacing w:val="-10"/>
          <w:sz w:val="24"/>
          <w:szCs w:val="24"/>
          <w:highlight w:val="none"/>
        </w:rPr>
      </w:pPr>
      <w:r>
        <w:rPr>
          <w:rFonts w:ascii="宋体" w:hAnsi="宋体" w:eastAsia="宋体" w:cs="宋体"/>
          <w:color w:val="auto"/>
          <w:sz w:val="24"/>
          <w:szCs w:val="24"/>
          <w:highlight w:val="none"/>
        </w:rPr>
        <w:t>供应商授权代表签字（或加盖供应商公章）</w:t>
      </w:r>
      <w:r>
        <w:rPr>
          <w:rFonts w:ascii="宋体" w:hAnsi="宋体" w:eastAsia="宋体" w:cs="宋体"/>
          <w:color w:val="auto"/>
          <w:spacing w:val="-10"/>
          <w:sz w:val="24"/>
          <w:szCs w:val="24"/>
          <w:highlight w:val="none"/>
        </w:rPr>
        <w:t>：</w:t>
      </w:r>
    </w:p>
    <w:p w14:paraId="1D057167">
      <w:pPr>
        <w:pStyle w:val="19"/>
        <w:spacing w:before="0" w:after="0" w:line="358" w:lineRule="auto"/>
        <w:ind w:left="553" w:right="3350" w:firstLine="0"/>
        <w:rPr>
          <w:color w:val="auto"/>
          <w:highlight w:val="none"/>
        </w:rPr>
      </w:pPr>
      <w:r>
        <w:rPr>
          <w:rFonts w:ascii="宋体" w:hAnsi="宋体" w:eastAsia="宋体" w:cs="宋体"/>
          <w:color w:val="auto"/>
          <w:sz w:val="24"/>
          <w:szCs w:val="24"/>
          <w:highlight w:val="none"/>
        </w:rPr>
        <w:t>日期：</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年</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月</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日</w:t>
      </w:r>
    </w:p>
    <w:p w14:paraId="34A0182E">
      <w:pPr>
        <w:outlineLvl w:val="9"/>
        <w:rPr>
          <w:rFonts w:ascii="宋体" w:hAnsi="宋体" w:cs="宋体"/>
          <w:color w:val="auto"/>
          <w:highlight w:val="none"/>
        </w:rPr>
        <w:sectPr>
          <w:headerReference r:id="rId14" w:type="default"/>
          <w:footerReference r:id="rId15" w:type="default"/>
          <w:pgSz w:w="11906" w:h="16838"/>
          <w:pgMar w:top="1418" w:right="1133" w:bottom="993" w:left="1134" w:header="851" w:footer="992" w:gutter="0"/>
          <w:pgNumType w:fmt="decimal"/>
          <w:cols w:space="720" w:num="1"/>
          <w:docGrid w:linePitch="312" w:charSpace="0"/>
        </w:sectPr>
      </w:pPr>
    </w:p>
    <w:p w14:paraId="7428BB54">
      <w:pPr>
        <w:pStyle w:val="20"/>
        <w:ind w:left="0"/>
        <w:outlineLvl w:val="9"/>
        <w:rPr>
          <w:rStyle w:val="449"/>
          <w:rFonts w:hint="default" w:cs="Times New Roman"/>
          <w:color w:val="auto"/>
          <w:highlight w:val="none"/>
        </w:rPr>
      </w:pPr>
      <w:r>
        <w:rPr>
          <w:rStyle w:val="449"/>
          <w:rFonts w:hint="default" w:cs="Times New Roman"/>
          <w:color w:val="auto"/>
          <w:highlight w:val="none"/>
        </w:rPr>
        <w:t>格式8</w:t>
      </w:r>
      <w:r>
        <w:rPr>
          <w:rStyle w:val="449"/>
          <w:rFonts w:hint="eastAsia" w:cs="Times New Roman"/>
          <w:color w:val="auto"/>
          <w:highlight w:val="none"/>
        </w:rPr>
        <w:t>、</w:t>
      </w:r>
      <w:r>
        <w:rPr>
          <w:rStyle w:val="449"/>
          <w:rFonts w:hint="default" w:cs="Times New Roman"/>
          <w:color w:val="auto"/>
          <w:highlight w:val="none"/>
        </w:rPr>
        <w:t>其他材料</w:t>
      </w:r>
    </w:p>
    <w:p w14:paraId="34FCD0E8">
      <w:pPr>
        <w:widowControl/>
        <w:jc w:val="left"/>
        <w:outlineLvl w:val="9"/>
        <w:rPr>
          <w:rFonts w:hint="eastAsia" w:ascii="宋体" w:hAnsi="宋体" w:eastAsia="宋体" w:cs="宋体"/>
          <w:b/>
          <w:bCs/>
          <w:color w:val="auto"/>
          <w:kern w:val="0"/>
          <w:sz w:val="24"/>
          <w:highlight w:val="none"/>
        </w:rPr>
      </w:pPr>
    </w:p>
    <w:p w14:paraId="059EBD89">
      <w:pPr>
        <w:pStyle w:val="4"/>
        <w:rPr>
          <w:rFonts w:hint="eastAsia" w:ascii="宋体" w:hAnsi="宋体" w:cs="宋体"/>
          <w:b/>
          <w:bCs/>
          <w:color w:val="auto"/>
          <w:sz w:val="21"/>
          <w:szCs w:val="21"/>
          <w:highlight w:val="none"/>
        </w:rPr>
      </w:pP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一</w:t>
      </w:r>
      <w:r>
        <w:rPr>
          <w:rFonts w:hint="eastAsia" w:ascii="宋体" w:hAnsi="宋体" w:cs="宋体"/>
          <w:b/>
          <w:bCs/>
          <w:color w:val="auto"/>
          <w:kern w:val="2"/>
          <w:sz w:val="21"/>
          <w:szCs w:val="21"/>
          <w:highlight w:val="none"/>
          <w:lang w:eastAsia="zh-CN"/>
        </w:rPr>
        <w:t>）</w:t>
      </w: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方案</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rPr>
        <w:t>（结合评分标准</w:t>
      </w:r>
      <w:r>
        <w:rPr>
          <w:rFonts w:hint="eastAsia" w:ascii="宋体" w:hAnsi="宋体" w:cs="宋体"/>
          <w:b/>
          <w:bCs/>
          <w:color w:val="auto"/>
          <w:sz w:val="21"/>
          <w:szCs w:val="21"/>
          <w:highlight w:val="none"/>
          <w:lang w:eastAsia="zh-CN"/>
        </w:rPr>
        <w:t>，格式自拟</w:t>
      </w:r>
      <w:r>
        <w:rPr>
          <w:rFonts w:hint="eastAsia" w:ascii="宋体" w:hAnsi="宋体" w:cs="宋体"/>
          <w:b/>
          <w:bCs/>
          <w:color w:val="auto"/>
          <w:sz w:val="21"/>
          <w:szCs w:val="21"/>
          <w:highlight w:val="none"/>
        </w:rPr>
        <w:t>）</w:t>
      </w:r>
    </w:p>
    <w:p w14:paraId="5357DF8C">
      <w:pPr>
        <w:widowControl/>
        <w:jc w:val="left"/>
        <w:outlineLvl w:val="9"/>
        <w:rPr>
          <w:rFonts w:hint="eastAsia" w:ascii="宋体" w:hAnsi="宋体" w:eastAsia="宋体" w:cs="宋体"/>
          <w:color w:val="auto"/>
          <w:highlight w:val="none"/>
        </w:rPr>
      </w:pPr>
    </w:p>
    <w:p w14:paraId="29584B80">
      <w:pPr>
        <w:pStyle w:val="4"/>
        <w:rPr>
          <w:rFonts w:ascii="宋体" w:hAnsi="宋体" w:cs="宋体"/>
          <w:b w:val="0"/>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）其他资料</w:t>
      </w:r>
      <w:r>
        <w:rPr>
          <w:rFonts w:hint="eastAsia" w:ascii="宋体" w:hAnsi="宋体" w:cs="宋体"/>
          <w:b w:val="0"/>
          <w:color w:val="auto"/>
          <w:sz w:val="21"/>
          <w:szCs w:val="21"/>
          <w:highlight w:val="none"/>
        </w:rPr>
        <w:t>（供应商根据对磋商的理解还需提供用于磋商小组评分的其他佐证材料（格式无固定要求），请自行设计在响应文件中。</w:t>
      </w:r>
    </w:p>
    <w:p w14:paraId="180DCCE2">
      <w:pPr>
        <w:pStyle w:val="4"/>
        <w:rPr>
          <w:rFonts w:ascii="宋体" w:hAnsi="宋体" w:cs="宋体"/>
          <w:b w:val="0"/>
          <w:bCs/>
          <w:color w:val="auto"/>
          <w:sz w:val="22"/>
          <w:szCs w:val="24"/>
          <w:highlight w:val="none"/>
          <w:lang w:val="zh-CN"/>
        </w:rPr>
      </w:pPr>
    </w:p>
    <w:p w14:paraId="385D63A4">
      <w:pPr>
        <w:spacing w:before="294" w:line="505" w:lineRule="auto"/>
        <w:rPr>
          <w:b/>
          <w:bCs/>
          <w:color w:val="auto"/>
          <w:highlight w:val="none"/>
          <w:lang w:val="zh-CN"/>
        </w:rPr>
        <w:sectPr>
          <w:headerReference r:id="rId16" w:type="default"/>
          <w:footerReference r:id="rId17" w:type="default"/>
          <w:pgSz w:w="11907" w:h="16840"/>
          <w:pgMar w:top="1587" w:right="1418" w:bottom="1418" w:left="1418" w:header="851" w:footer="992" w:gutter="0"/>
          <w:pgNumType w:fmt="decimal"/>
          <w:cols w:space="720" w:num="1"/>
          <w:docGrid w:linePitch="381" w:charSpace="-5735"/>
        </w:sectPr>
      </w:pPr>
      <w:r>
        <w:rPr>
          <w:rFonts w:hint="eastAsia" w:ascii="宋体" w:hAnsi="宋体" w:cs="宋体"/>
          <w:b/>
          <w:bCs/>
          <w:color w:val="auto"/>
          <w:spacing w:val="24"/>
          <w:sz w:val="22"/>
          <w:szCs w:val="22"/>
          <w:highlight w:val="none"/>
          <w:lang w:val="en-US" w:eastAsia="zh-CN"/>
        </w:rPr>
        <w:t>注：</w:t>
      </w:r>
      <w:r>
        <w:rPr>
          <w:rFonts w:hint="eastAsia" w:ascii="宋体" w:hAnsi="宋体" w:cs="宋体"/>
          <w:b/>
          <w:bCs/>
          <w:color w:val="auto"/>
          <w:spacing w:val="24"/>
          <w:sz w:val="22"/>
          <w:szCs w:val="22"/>
          <w:highlight w:val="none"/>
          <w:lang w:eastAsia="zh-CN"/>
        </w:rPr>
        <w:t>供应商</w:t>
      </w:r>
      <w:r>
        <w:rPr>
          <w:rFonts w:hint="eastAsia" w:ascii="宋体" w:hAnsi="宋体" w:eastAsia="宋体" w:cs="宋体"/>
          <w:b/>
          <w:bCs/>
          <w:color w:val="auto"/>
          <w:spacing w:val="12"/>
          <w:sz w:val="22"/>
          <w:szCs w:val="22"/>
          <w:highlight w:val="none"/>
        </w:rPr>
        <w:t>在</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文件递交前自行检查所提供文件资料是否已完整提交，</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文件格式中虽未列</w:t>
      </w:r>
      <w:r>
        <w:rPr>
          <w:rFonts w:hint="eastAsia" w:ascii="宋体" w:hAnsi="宋体" w:eastAsia="宋体" w:cs="宋体"/>
          <w:b/>
          <w:bCs/>
          <w:color w:val="auto"/>
          <w:spacing w:val="18"/>
          <w:sz w:val="22"/>
          <w:szCs w:val="22"/>
          <w:highlight w:val="none"/>
        </w:rPr>
        <w:t>出</w:t>
      </w:r>
      <w:r>
        <w:rPr>
          <w:rFonts w:hint="eastAsia" w:ascii="宋体" w:hAnsi="宋体" w:eastAsia="宋体" w:cs="宋体"/>
          <w:b/>
          <w:bCs/>
          <w:color w:val="auto"/>
          <w:spacing w:val="17"/>
          <w:sz w:val="22"/>
          <w:szCs w:val="22"/>
          <w:highlight w:val="none"/>
        </w:rPr>
        <w:t>但</w:t>
      </w:r>
      <w:r>
        <w:rPr>
          <w:rFonts w:hint="eastAsia" w:ascii="宋体" w:hAnsi="宋体" w:eastAsia="宋体" w:cs="宋体"/>
          <w:b/>
          <w:bCs/>
          <w:color w:val="auto"/>
          <w:spacing w:val="9"/>
          <w:sz w:val="22"/>
          <w:szCs w:val="22"/>
          <w:highlight w:val="none"/>
        </w:rPr>
        <w:t>有必要的提供的文件材料，</w:t>
      </w:r>
      <w:r>
        <w:rPr>
          <w:rFonts w:hint="eastAsia" w:ascii="宋体" w:hAnsi="宋体" w:cs="宋体"/>
          <w:b/>
          <w:bCs/>
          <w:color w:val="auto"/>
          <w:spacing w:val="9"/>
          <w:sz w:val="22"/>
          <w:szCs w:val="22"/>
          <w:highlight w:val="none"/>
          <w:lang w:eastAsia="zh-CN"/>
        </w:rPr>
        <w:t>供应商</w:t>
      </w:r>
      <w:r>
        <w:rPr>
          <w:rFonts w:hint="eastAsia" w:ascii="宋体" w:hAnsi="宋体" w:eastAsia="宋体" w:cs="宋体"/>
          <w:b/>
          <w:bCs/>
          <w:color w:val="auto"/>
          <w:spacing w:val="9"/>
          <w:sz w:val="22"/>
          <w:szCs w:val="22"/>
          <w:highlight w:val="none"/>
        </w:rPr>
        <w:t>自行提交。</w:t>
      </w:r>
    </w:p>
    <w:p w14:paraId="6EC30FA3">
      <w:pPr>
        <w:pStyle w:val="42"/>
        <w:rPr>
          <w:rFonts w:hint="eastAsia" w:ascii="宋体" w:hAnsi="宋体" w:eastAsia="宋体" w:cs="宋体"/>
          <w:bCs/>
          <w:color w:val="auto"/>
          <w:sz w:val="24"/>
          <w:highlight w:val="none"/>
        </w:rPr>
      </w:pPr>
    </w:p>
    <w:p w14:paraId="4E96E480">
      <w:pPr>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三、</w:t>
      </w: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代理服务费承诺</w:t>
      </w:r>
    </w:p>
    <w:p w14:paraId="2A33E3E6">
      <w:pPr>
        <w:pStyle w:val="21"/>
        <w:tabs>
          <w:tab w:val="left" w:pos="8640"/>
        </w:tabs>
        <w:snapToGrid w:val="0"/>
        <w:outlineLvl w:val="9"/>
        <w:rPr>
          <w:rFonts w:hAnsi="宋体" w:cs="宋体"/>
          <w:color w:val="auto"/>
          <w:szCs w:val="24"/>
          <w:highlight w:val="none"/>
        </w:rPr>
      </w:pPr>
    </w:p>
    <w:p w14:paraId="22B29AA1">
      <w:pPr>
        <w:pStyle w:val="21"/>
        <w:tabs>
          <w:tab w:val="left" w:pos="8640"/>
        </w:tabs>
        <w:snapToGrid w:val="0"/>
        <w:outlineLvl w:val="9"/>
        <w:rPr>
          <w:rFonts w:hAnsi="宋体" w:cs="宋体"/>
          <w:color w:val="auto"/>
          <w:sz w:val="21"/>
          <w:szCs w:val="21"/>
          <w:highlight w:val="none"/>
        </w:rPr>
      </w:pPr>
      <w:r>
        <w:rPr>
          <w:rFonts w:hint="eastAsia" w:hAnsi="宋体" w:cs="宋体"/>
          <w:color w:val="auto"/>
          <w:sz w:val="21"/>
          <w:szCs w:val="21"/>
          <w:highlight w:val="none"/>
        </w:rPr>
        <w:t>致：</w:t>
      </w:r>
      <w:r>
        <w:rPr>
          <w:rStyle w:val="447"/>
          <w:rFonts w:hint="eastAsia" w:cs="宋体"/>
          <w:color w:val="auto"/>
          <w:sz w:val="21"/>
          <w:szCs w:val="21"/>
          <w:highlight w:val="none"/>
        </w:rPr>
        <w:t>中国洲际新资源集团股份公司</w:t>
      </w:r>
    </w:p>
    <w:p w14:paraId="6711F494">
      <w:pPr>
        <w:pStyle w:val="21"/>
        <w:tabs>
          <w:tab w:val="left" w:pos="8640"/>
        </w:tabs>
        <w:snapToGrid w:val="0"/>
        <w:spacing w:line="360" w:lineRule="auto"/>
        <w:ind w:left="480"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在贵公司组织的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项目中若获</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包号（如有）：   </w:t>
      </w:r>
      <w:r>
        <w:rPr>
          <w:rFonts w:hint="eastAsia" w:ascii="宋体" w:hAnsi="宋体" w:cs="宋体"/>
          <w:color w:val="auto"/>
          <w:sz w:val="21"/>
          <w:szCs w:val="21"/>
          <w:highlight w:val="none"/>
        </w:rPr>
        <w:t>），我们保证</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rPr>
        <w:t>代理机构发出</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eastAsia="zh-CN"/>
        </w:rPr>
        <w:t>通知书的同时</w:t>
      </w:r>
      <w:r>
        <w:rPr>
          <w:rFonts w:hint="eastAsia" w:ascii="宋体" w:hAnsi="宋体" w:cs="宋体"/>
          <w:color w:val="auto"/>
          <w:kern w:val="0"/>
          <w:sz w:val="21"/>
          <w:szCs w:val="21"/>
          <w:highlight w:val="none"/>
        </w:rPr>
        <w:t>，按照</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rPr>
        <w:t>文件规定标准向代理机构即</w:t>
      </w:r>
      <w:r>
        <w:rPr>
          <w:rStyle w:val="447"/>
          <w:rFonts w:hint="eastAsia" w:cs="宋体"/>
          <w:color w:val="auto"/>
          <w:sz w:val="21"/>
          <w:szCs w:val="21"/>
          <w:highlight w:val="none"/>
        </w:rPr>
        <w:t>中国洲际新资源集团股份公司</w:t>
      </w:r>
      <w:r>
        <w:rPr>
          <w:rFonts w:hint="eastAsia" w:ascii="宋体" w:hAnsi="宋体" w:cs="宋体"/>
          <w:color w:val="auto"/>
          <w:kern w:val="0"/>
          <w:sz w:val="21"/>
          <w:szCs w:val="21"/>
          <w:highlight w:val="none"/>
        </w:rPr>
        <w:t>支付</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服务费一次性付清，用人民币进行支付。</w:t>
      </w:r>
    </w:p>
    <w:p w14:paraId="1FC8AEB9">
      <w:pPr>
        <w:spacing w:line="360" w:lineRule="auto"/>
        <w:outlineLvl w:val="9"/>
        <w:rPr>
          <w:rFonts w:hint="eastAsia" w:ascii="宋体" w:hAnsi="宋体" w:eastAsia="宋体" w:cs="宋体"/>
          <w:color w:val="auto"/>
          <w:sz w:val="21"/>
          <w:szCs w:val="21"/>
          <w:highlight w:val="none"/>
        </w:rPr>
      </w:pPr>
    </w:p>
    <w:p w14:paraId="5BE9E467">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服务费支付后，请贵公司按照方式 （请填写</w:t>
      </w:r>
      <w:r>
        <w:rPr>
          <w:rFonts w:hint="eastAsia" w:ascii="宋体" w:hAnsi="宋体" w:cs="宋体"/>
          <w:b/>
          <w:bCs/>
          <w:color w:val="auto"/>
          <w:highlight w:val="none"/>
        </w:rPr>
        <w:t>① 或 ②</w:t>
      </w:r>
      <w:r>
        <w:rPr>
          <w:rFonts w:hint="eastAsia" w:ascii="宋体" w:hAnsi="宋体" w:cs="宋体"/>
          <w:color w:val="auto"/>
          <w:highlight w:val="none"/>
        </w:rPr>
        <w:t>）开具发票：</w:t>
      </w:r>
    </w:p>
    <w:p w14:paraId="31131D18">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增值税专用发票</w:t>
      </w:r>
      <w:r>
        <w:rPr>
          <w:rFonts w:hint="eastAsia" w:ascii="宋体" w:hAnsi="宋体" w:cs="宋体"/>
          <w:color w:val="auto"/>
          <w:highlight w:val="none"/>
        </w:rPr>
        <w:t>）</w:t>
      </w:r>
    </w:p>
    <w:p w14:paraId="2CED5F3A">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22F94D7C">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18F7AD71">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公司地址：</w:t>
      </w:r>
    </w:p>
    <w:p w14:paraId="750FB543">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 xml:space="preserve">公司电话：  </w:t>
      </w:r>
    </w:p>
    <w:p w14:paraId="74ADF98F">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开户行名称：</w:t>
      </w:r>
    </w:p>
    <w:p w14:paraId="6E0477F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开户行账号：</w:t>
      </w:r>
    </w:p>
    <w:p w14:paraId="70F7C701">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增值税普通发票</w:t>
      </w:r>
      <w:r>
        <w:rPr>
          <w:rFonts w:hint="eastAsia" w:ascii="宋体" w:hAnsi="宋体" w:cs="宋体"/>
          <w:color w:val="auto"/>
          <w:highlight w:val="none"/>
        </w:rPr>
        <w:t>）</w:t>
      </w:r>
    </w:p>
    <w:p w14:paraId="0433964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4A5C228F">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695EED90">
      <w:pPr>
        <w:spacing w:line="360" w:lineRule="auto"/>
        <w:ind w:firstLine="420" w:firstLineChars="200"/>
        <w:outlineLvl w:val="9"/>
        <w:rPr>
          <w:rFonts w:ascii="宋体" w:hAnsi="宋体" w:cs="宋体"/>
          <w:color w:val="auto"/>
          <w:highlight w:val="none"/>
        </w:rPr>
      </w:pPr>
      <w:r>
        <w:rPr>
          <w:rFonts w:hint="eastAsia" w:ascii="宋体" w:hAnsi="宋体" w:cs="宋体"/>
          <w:color w:val="auto"/>
          <w:highlight w:val="none"/>
        </w:rPr>
        <w:t>我公司保证所提供的开票信息真实、准确。如因信息提供错误而导致发票无法抵扣或无法入账等情况，由此产生的一切后果由我公司承担。</w:t>
      </w:r>
    </w:p>
    <w:p w14:paraId="63DD084F">
      <w:pPr>
        <w:spacing w:line="360" w:lineRule="auto"/>
        <w:ind w:firstLine="1050" w:firstLineChars="500"/>
        <w:rPr>
          <w:rFonts w:hint="eastAsia" w:ascii="宋体" w:hAnsi="宋体" w:eastAsia="宋体" w:cs="宋体"/>
          <w:color w:val="auto"/>
          <w:highlight w:val="none"/>
        </w:rPr>
      </w:pPr>
    </w:p>
    <w:p w14:paraId="7C8CAC2F">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承诺方法定名称（盖章）：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7D078505">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cs="宋体"/>
          <w:color w:val="auto"/>
          <w:highlight w:val="none"/>
          <w:lang w:val="en-US" w:eastAsia="zh-CN"/>
        </w:rPr>
        <w:t>签字或</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rPr>
        <w:t xml:space="preserve">）：                                    </w:t>
      </w:r>
    </w:p>
    <w:p w14:paraId="5C5870B0">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承诺方授权代表（</w:t>
      </w:r>
      <w:r>
        <w:rPr>
          <w:rFonts w:hint="eastAsia" w:ascii="宋体" w:hAnsi="宋体" w:cs="宋体"/>
          <w:color w:val="auto"/>
          <w:highlight w:val="none"/>
          <w:lang w:val="en-US" w:eastAsia="zh-CN"/>
        </w:rPr>
        <w:t>签字或</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140C2FCA">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地          址：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22855896">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电话：                             传真：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E1B97DA">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邮编：                             邮箱：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89D4CC1">
      <w:pPr>
        <w:spacing w:line="360" w:lineRule="auto"/>
        <w:ind w:firstLine="1050" w:firstLineChars="5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日期：                   </w:t>
      </w:r>
    </w:p>
    <w:p w14:paraId="5CCD92B6">
      <w:pPr>
        <w:spacing w:line="360" w:lineRule="auto"/>
        <w:ind w:firstLine="1050" w:firstLineChars="500"/>
        <w:outlineLvl w:val="9"/>
        <w:rPr>
          <w:rFonts w:hint="eastAsia" w:ascii="宋体" w:hAnsi="宋体" w:eastAsia="宋体" w:cs="宋体"/>
          <w:color w:val="auto"/>
          <w:highlight w:val="none"/>
        </w:rPr>
      </w:pPr>
    </w:p>
    <w:p w14:paraId="595F34BF">
      <w:pPr>
        <w:rPr>
          <w:color w:val="auto"/>
          <w:highlight w:val="none"/>
        </w:rPr>
      </w:pPr>
    </w:p>
    <w:p w14:paraId="32D2E965">
      <w:pPr>
        <w:pStyle w:val="2"/>
        <w:rPr>
          <w:rFonts w:hint="eastAsia"/>
          <w:color w:val="auto"/>
          <w:highlight w:val="none"/>
          <w:lang w:val="zh-CN"/>
        </w:rPr>
      </w:pPr>
    </w:p>
    <w:sectPr>
      <w:headerReference r:id="rId18" w:type="default"/>
      <w:footerReference r:id="rId19" w:type="default"/>
      <w:pgSz w:w="11907" w:h="16840"/>
      <w:pgMar w:top="1134" w:right="1134" w:bottom="1134" w:left="113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Futura Hv">
    <w:altName w:val="Arial"/>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angal">
    <w:altName w:val="Segoe Print"/>
    <w:panose1 w:val="02040503050203030202"/>
    <w:charset w:val="00"/>
    <w:family w:val="roman"/>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7CFB">
    <w:pPr>
      <w:pStyle w:val="32"/>
      <w:jc w:val="center"/>
    </w:pPr>
  </w:p>
  <w:p w14:paraId="2E49A304">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8C7A">
    <w:pPr>
      <w:pStyle w:val="32"/>
      <w:framePr w:wrap="around" w:vAnchor="text" w:hAnchor="margin" w:xAlign="right" w:y="1"/>
      <w:rPr>
        <w:rStyle w:val="56"/>
      </w:rPr>
    </w:pPr>
    <w:r>
      <w:fldChar w:fldCharType="begin"/>
    </w:r>
    <w:r>
      <w:rPr>
        <w:rStyle w:val="56"/>
      </w:rPr>
      <w:instrText xml:space="preserve">PAGE  </w:instrText>
    </w:r>
    <w:r>
      <w:fldChar w:fldCharType="end"/>
    </w:r>
  </w:p>
  <w:p w14:paraId="10BD3147">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6F92">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2CE3">
    <w:pPr>
      <w:pStyle w:val="3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706F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0706FA">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E4B4">
    <w:pPr>
      <w:pStyle w:val="3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6398">
                          <w:pPr>
                            <w:pStyle w:val="3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776398">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5E35">
    <w:pPr>
      <w:pStyle w:val="3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CE6C9">
                          <w:pPr>
                            <w:pStyle w:val="32"/>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D8CE6C9">
                    <w:pPr>
                      <w:pStyle w:val="3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964E">
    <w:pPr>
      <w:pStyle w:val="19"/>
      <w:spacing w:before="0"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8F7DA">
                          <w:pPr>
                            <w:pStyle w:val="32"/>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1CB8F7DA">
                    <w:pPr>
                      <w:pStyle w:val="3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6976">
    <w:pPr>
      <w:pStyle w:val="3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B3455">
                          <w:pPr>
                            <w:pStyle w:val="32"/>
                          </w:pPr>
                          <w:r>
                            <w:fldChar w:fldCharType="begin"/>
                          </w:r>
                          <w:r>
                            <w:instrText xml:space="preserve"> PAGE  \* MERGEFORMAT </w:instrText>
                          </w:r>
                          <w:r>
                            <w:fldChar w:fldCharType="separate"/>
                          </w:r>
                          <w:r>
                            <w:t>102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605B3455">
                    <w:pPr>
                      <w:pStyle w:val="3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91F2">
    <w:pPr>
      <w:pStyle w:val="3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2B3E9">
                          <w:pPr>
                            <w:pStyle w:val="32"/>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5F62B3E9">
                    <w:pPr>
                      <w:pStyle w:val="3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99">
    <w:pPr>
      <w:pStyle w:val="33"/>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9B6F">
    <w:pPr>
      <w:pStyle w:val="33"/>
      <w:rPr>
        <w:rFonts w:hint="eastAsia" w:eastAsia="宋体"/>
        <w:szCs w:val="18"/>
        <w:lang w:eastAsia="zh-CN"/>
      </w:rPr>
    </w:pPr>
    <w:r>
      <w:rPr>
        <w:rFonts w:hint="eastAsia"/>
        <w:szCs w:val="18"/>
        <w:highlight w:val="cyan"/>
        <w:lang w:eastAsia="zh-CN"/>
      </w:rPr>
      <w:t>中国洲际新资源集团股份公司</w:t>
    </w:r>
    <w:r>
      <w:rPr>
        <w:rFonts w:hint="eastAsia"/>
        <w:szCs w:val="18"/>
      </w:rPr>
      <w:t>—</w:t>
    </w:r>
    <w:r>
      <w:rPr>
        <w:rFonts w:hint="eastAsia"/>
        <w:szCs w:val="18"/>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9403">
    <w:pPr>
      <w:pStyle w:val="33"/>
      <w:pBdr>
        <w:bottom w:val="single" w:color="auto" w:sz="4" w:space="1"/>
      </w:pBdr>
      <w:jc w:val="left"/>
      <w:rPr>
        <w:rFonts w:ascii="Cambria" w:hAnsi="Cambria" w:cs="黑体"/>
        <w:sz w:val="32"/>
        <w:szCs w:val="32"/>
      </w:rPr>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F987">
    <w:pPr>
      <w:pStyle w:val="33"/>
      <w:pBdr>
        <w:bottom w:val="single" w:color="auto" w:sz="4" w:space="1"/>
      </w:pBdr>
      <w:jc w:val="left"/>
      <w:rPr>
        <w:rFonts w:ascii="Cambria" w:hAnsi="Cambria" w:cs="黑体"/>
        <w:b/>
        <w:szCs w:val="18"/>
      </w:rPr>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9F48">
    <w:pPr>
      <w:pStyle w:val="33"/>
      <w:pBdr>
        <w:bottom w:val="single" w:color="auto" w:sz="4" w:space="1"/>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2321">
    <w:pPr>
      <w:pStyle w:val="19"/>
      <w:pBdr>
        <w:bottom w:val="single" w:color="auto" w:sz="4" w:space="0"/>
      </w:pBdr>
      <w:spacing w:before="0" w:line="14" w:lineRule="auto"/>
      <w:rPr>
        <w:sz w:val="20"/>
      </w:rPr>
    </w:pPr>
    <w:r>
      <w:rPr>
        <w:rFonts w:ascii="Times New Roman" w:hAnsi="Times New Roman" w:eastAsia="宋体" w:cs="Times New Roman"/>
        <w:kern w:val="2"/>
        <w:sz w:val="18"/>
        <w:szCs w:val="18"/>
        <w:lang w:val="en-US" w:eastAsia="zh-CN" w:bidi="ar-SA"/>
      </w:rPr>
      <w:drawing>
        <wp:inline distT="0" distB="0" distL="114300" distR="114300">
          <wp:extent cx="2649220" cy="381635"/>
          <wp:effectExtent l="0" t="0" r="508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2649220" cy="38163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B620">
    <w:pPr>
      <w:pStyle w:val="33"/>
      <w:pBdr>
        <w:bottom w:val="single" w:color="auto" w:sz="4" w:space="0"/>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417B">
    <w:pPr>
      <w:pStyle w:val="33"/>
      <w:pBdr>
        <w:bottom w:val="single" w:color="auto" w:sz="4" w:space="1"/>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825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A4A56"/>
    <w:multiLevelType w:val="singleLevel"/>
    <w:tmpl w:val="805A4A56"/>
    <w:lvl w:ilvl="0" w:tentative="0">
      <w:start w:val="1"/>
      <w:numFmt w:val="decimal"/>
      <w:lvlText w:val="%1."/>
      <w:lvlJc w:val="left"/>
      <w:pPr>
        <w:tabs>
          <w:tab w:val="left" w:pos="312"/>
        </w:tabs>
      </w:pPr>
      <w:rPr>
        <w:rFonts w:hint="default"/>
        <w:color w:val="auto"/>
      </w:rPr>
    </w:lvl>
  </w:abstractNum>
  <w:abstractNum w:abstractNumId="1">
    <w:nsid w:val="C82F9701"/>
    <w:multiLevelType w:val="singleLevel"/>
    <w:tmpl w:val="C82F9701"/>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B"/>
    <w:multiLevelType w:val="multilevel"/>
    <w:tmpl w:val="0000000B"/>
    <w:lvl w:ilvl="0" w:tentative="0">
      <w:start w:val="1"/>
      <w:numFmt w:val="decimal"/>
      <w:pStyle w:val="110"/>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5"/>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C61012"/>
    <w:multiLevelType w:val="multilevel"/>
    <w:tmpl w:val="0AC61012"/>
    <w:lvl w:ilvl="0" w:tentative="0">
      <w:start w:val="1"/>
      <w:numFmt w:val="decimal"/>
      <w:pStyle w:val="157"/>
      <w:lvlText w:val="%1."/>
      <w:lvlJc w:val="left"/>
      <w:pPr>
        <w:tabs>
          <w:tab w:val="left" w:pos="720"/>
        </w:tabs>
        <w:ind w:left="720" w:hanging="720"/>
      </w:pPr>
      <w:rPr>
        <w:rFonts w:hint="default"/>
      </w:rPr>
    </w:lvl>
    <w:lvl w:ilvl="1" w:tentative="0">
      <w:start w:val="1"/>
      <w:numFmt w:val="decimal"/>
      <w:pStyle w:val="158"/>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F461AA7"/>
    <w:multiLevelType w:val="multilevel"/>
    <w:tmpl w:val="0F461AA7"/>
    <w:lvl w:ilvl="0" w:tentative="0">
      <w:start w:val="1"/>
      <w:numFmt w:val="decimal"/>
      <w:pStyle w:val="278"/>
      <w:suff w:val="space"/>
      <w:lvlText w:val="%1"/>
      <w:lvlJc w:val="left"/>
      <w:pPr>
        <w:ind w:left="0" w:firstLine="0"/>
      </w:pPr>
    </w:lvl>
    <w:lvl w:ilvl="1" w:tentative="0">
      <w:start w:val="1"/>
      <w:numFmt w:val="decimal"/>
      <w:pStyle w:val="279"/>
      <w:suff w:val="space"/>
      <w:lvlText w:val="%1.%2"/>
      <w:lvlJc w:val="left"/>
      <w:pPr>
        <w:ind w:left="0" w:firstLine="0"/>
      </w:pPr>
    </w:lvl>
    <w:lvl w:ilvl="2" w:tentative="0">
      <w:start w:val="1"/>
      <w:numFmt w:val="decimal"/>
      <w:pStyle w:val="280"/>
      <w:suff w:val="space"/>
      <w:lvlText w:val="%1.%2.%3"/>
      <w:lvlJc w:val="left"/>
      <w:pPr>
        <w:ind w:left="0" w:firstLine="0"/>
      </w:pPr>
    </w:lvl>
    <w:lvl w:ilvl="3" w:tentative="0">
      <w:start w:val="1"/>
      <w:numFmt w:val="decimal"/>
      <w:pStyle w:val="281"/>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141656AF"/>
    <w:multiLevelType w:val="multilevel"/>
    <w:tmpl w:val="141656AF"/>
    <w:lvl w:ilvl="0" w:tentative="0">
      <w:start w:val="1"/>
      <w:numFmt w:val="bullet"/>
      <w:pStyle w:val="3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3E7ED0"/>
    <w:multiLevelType w:val="multilevel"/>
    <w:tmpl w:val="163E7ED0"/>
    <w:lvl w:ilvl="0" w:tentative="0">
      <w:start w:val="1"/>
      <w:numFmt w:val="bullet"/>
      <w:pStyle w:val="122"/>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1DF45335"/>
    <w:multiLevelType w:val="multilevel"/>
    <w:tmpl w:val="1DF453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875E84"/>
    <w:multiLevelType w:val="multilevel"/>
    <w:tmpl w:val="22875E8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FEEAAF"/>
    <w:multiLevelType w:val="singleLevel"/>
    <w:tmpl w:val="23FEEAAF"/>
    <w:lvl w:ilvl="0" w:tentative="0">
      <w:start w:val="7"/>
      <w:numFmt w:val="decimal"/>
      <w:suff w:val="nothing"/>
      <w:lvlText w:val="%1、"/>
      <w:lvlJc w:val="left"/>
    </w:lvl>
  </w:abstractNum>
  <w:abstractNum w:abstractNumId="15">
    <w:nsid w:val="2A1132B8"/>
    <w:multiLevelType w:val="singleLevel"/>
    <w:tmpl w:val="2A1132B8"/>
    <w:lvl w:ilvl="0" w:tentative="0">
      <w:start w:val="9"/>
      <w:numFmt w:val="decimal"/>
      <w:suff w:val="nothing"/>
      <w:lvlText w:val="%1、"/>
      <w:lvlJc w:val="left"/>
      <w:rPr>
        <w:rFonts w:hint="default"/>
        <w:b w:val="0"/>
        <w:bCs w:val="0"/>
      </w:rPr>
    </w:lvl>
  </w:abstractNum>
  <w:abstractNum w:abstractNumId="16">
    <w:nsid w:val="325C4322"/>
    <w:multiLevelType w:val="multilevel"/>
    <w:tmpl w:val="325C4322"/>
    <w:lvl w:ilvl="0" w:tentative="0">
      <w:start w:val="1"/>
      <w:numFmt w:val="decimal"/>
      <w:pStyle w:val="207"/>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7">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21"/>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0"/>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49"/>
      <w:suff w:val="space"/>
      <w:lvlText w:val="表%9"/>
      <w:lvlJc w:val="center"/>
      <w:pPr>
        <w:ind w:left="0" w:firstLine="0"/>
      </w:pPr>
      <w:rPr>
        <w:rFonts w:hint="default" w:ascii="Arial" w:hAnsi="Arial" w:eastAsia="黑体"/>
        <w:b w:val="0"/>
        <w:i w:val="0"/>
        <w:sz w:val="18"/>
        <w:szCs w:val="18"/>
      </w:rPr>
    </w:lvl>
  </w:abstractNum>
  <w:abstractNum w:abstractNumId="19">
    <w:nsid w:val="49395221"/>
    <w:multiLevelType w:val="multilevel"/>
    <w:tmpl w:val="49395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230C3F"/>
    <w:multiLevelType w:val="multilevel"/>
    <w:tmpl w:val="54230C3F"/>
    <w:lvl w:ilvl="0" w:tentative="0">
      <w:start w:val="1"/>
      <w:numFmt w:val="decimal"/>
      <w:pStyle w:val="108"/>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5AB099DD"/>
    <w:multiLevelType w:val="singleLevel"/>
    <w:tmpl w:val="5AB099DD"/>
    <w:lvl w:ilvl="0" w:tentative="0">
      <w:start w:val="5"/>
      <w:numFmt w:val="chineseCounting"/>
      <w:suff w:val="space"/>
      <w:lvlText w:val="第%1章"/>
      <w:lvlJc w:val="left"/>
      <w:rPr>
        <w:rFonts w:hint="eastAsia"/>
        <w:sz w:val="36"/>
        <w:szCs w:val="36"/>
      </w:rPr>
    </w:lvl>
  </w:abstractNum>
  <w:abstractNum w:abstractNumId="22">
    <w:nsid w:val="63CD74F7"/>
    <w:multiLevelType w:val="multilevel"/>
    <w:tmpl w:val="63CD7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4A5C9E"/>
    <w:multiLevelType w:val="multilevel"/>
    <w:tmpl w:val="674A5C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F84B92"/>
    <w:multiLevelType w:val="multilevel"/>
    <w:tmpl w:val="6BF84B92"/>
    <w:lvl w:ilvl="0" w:tentative="0">
      <w:start w:val="1"/>
      <w:numFmt w:val="bullet"/>
      <w:pStyle w:val="30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25">
    <w:nsid w:val="7DFC74A1"/>
    <w:multiLevelType w:val="multilevel"/>
    <w:tmpl w:val="7DFC74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56C21E"/>
    <w:multiLevelType w:val="singleLevel"/>
    <w:tmpl w:val="7F56C21E"/>
    <w:lvl w:ilvl="0" w:tentative="0">
      <w:start w:val="1"/>
      <w:numFmt w:val="chineseCounting"/>
      <w:suff w:val="nothing"/>
      <w:lvlText w:val="%1、"/>
      <w:lvlJc w:val="left"/>
      <w:rPr>
        <w:rFonts w:hint="eastAsia"/>
      </w:rPr>
    </w:lvl>
  </w:abstractNum>
  <w:num w:numId="1">
    <w:abstractNumId w:val="4"/>
  </w:num>
  <w:num w:numId="2">
    <w:abstractNumId w:val="9"/>
  </w:num>
  <w:num w:numId="3">
    <w:abstractNumId w:val="2"/>
  </w:num>
  <w:num w:numId="4">
    <w:abstractNumId w:val="5"/>
  </w:num>
  <w:num w:numId="5">
    <w:abstractNumId w:val="20"/>
  </w:num>
  <w:num w:numId="6">
    <w:abstractNumId w:val="3"/>
  </w:num>
  <w:num w:numId="7">
    <w:abstractNumId w:val="17"/>
  </w:num>
  <w:num w:numId="8">
    <w:abstractNumId w:val="10"/>
  </w:num>
  <w:num w:numId="9">
    <w:abstractNumId w:val="7"/>
  </w:num>
  <w:num w:numId="10">
    <w:abstractNumId w:val="16"/>
  </w:num>
  <w:num w:numId="11">
    <w:abstractNumId w:val="18"/>
  </w:num>
  <w:num w:numId="12">
    <w:abstractNumId w:val="8"/>
  </w:num>
  <w:num w:numId="13">
    <w:abstractNumId w:val="11"/>
  </w:num>
  <w:num w:numId="14">
    <w:abstractNumId w:val="24"/>
  </w:num>
  <w:num w:numId="15">
    <w:abstractNumId w:val="6"/>
  </w:num>
  <w:num w:numId="16">
    <w:abstractNumId w:val="21"/>
  </w:num>
  <w:num w:numId="17">
    <w:abstractNumId w:val="14"/>
  </w:num>
  <w:num w:numId="18">
    <w:abstractNumId w:val="15"/>
  </w:num>
  <w:num w:numId="19">
    <w:abstractNumId w:val="0"/>
  </w:num>
  <w:num w:numId="20">
    <w:abstractNumId w:val="26"/>
  </w:num>
  <w:num w:numId="21">
    <w:abstractNumId w:val="23"/>
  </w:num>
  <w:num w:numId="22">
    <w:abstractNumId w:val="13"/>
  </w:num>
  <w:num w:numId="23">
    <w:abstractNumId w:val="12"/>
  </w:num>
  <w:num w:numId="24">
    <w:abstractNumId w:val="25"/>
  </w:num>
  <w:num w:numId="25">
    <w:abstractNumId w:val="19"/>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ZjU1MWJkM2ZhMTFlY2Q4OWRhMzJhZjEyN2VmNWYifQ=="/>
  </w:docVars>
  <w:rsids>
    <w:rsidRoot w:val="00000000"/>
    <w:rsid w:val="000969AD"/>
    <w:rsid w:val="0010077D"/>
    <w:rsid w:val="001F128E"/>
    <w:rsid w:val="002D5D5A"/>
    <w:rsid w:val="00360E24"/>
    <w:rsid w:val="00614CAD"/>
    <w:rsid w:val="00D30013"/>
    <w:rsid w:val="00DE5743"/>
    <w:rsid w:val="00EA058C"/>
    <w:rsid w:val="00F72CA9"/>
    <w:rsid w:val="00F75D58"/>
    <w:rsid w:val="01407E4F"/>
    <w:rsid w:val="015754F6"/>
    <w:rsid w:val="015B2B28"/>
    <w:rsid w:val="015D28CD"/>
    <w:rsid w:val="017B5688"/>
    <w:rsid w:val="01840BB5"/>
    <w:rsid w:val="01991672"/>
    <w:rsid w:val="01AA21ED"/>
    <w:rsid w:val="01BE5667"/>
    <w:rsid w:val="01C7355A"/>
    <w:rsid w:val="01D32DCE"/>
    <w:rsid w:val="01E0373D"/>
    <w:rsid w:val="02055605"/>
    <w:rsid w:val="020B07BA"/>
    <w:rsid w:val="02132C84"/>
    <w:rsid w:val="02317AF5"/>
    <w:rsid w:val="0236335D"/>
    <w:rsid w:val="024B505A"/>
    <w:rsid w:val="02502671"/>
    <w:rsid w:val="026E7509"/>
    <w:rsid w:val="027F4D04"/>
    <w:rsid w:val="02813F4D"/>
    <w:rsid w:val="02895B83"/>
    <w:rsid w:val="02942095"/>
    <w:rsid w:val="02B26E88"/>
    <w:rsid w:val="02D908B8"/>
    <w:rsid w:val="02DD3BE3"/>
    <w:rsid w:val="02E01C47"/>
    <w:rsid w:val="02EB239A"/>
    <w:rsid w:val="02F2197A"/>
    <w:rsid w:val="02FA438B"/>
    <w:rsid w:val="03010C49"/>
    <w:rsid w:val="0313544C"/>
    <w:rsid w:val="03195159"/>
    <w:rsid w:val="03600692"/>
    <w:rsid w:val="03851769"/>
    <w:rsid w:val="03855452"/>
    <w:rsid w:val="03867D4B"/>
    <w:rsid w:val="0398212A"/>
    <w:rsid w:val="03B3262F"/>
    <w:rsid w:val="03CE5F43"/>
    <w:rsid w:val="03EE69DA"/>
    <w:rsid w:val="03F4527E"/>
    <w:rsid w:val="03FE7EAB"/>
    <w:rsid w:val="0412766C"/>
    <w:rsid w:val="0429762D"/>
    <w:rsid w:val="042C0EBC"/>
    <w:rsid w:val="042F1AF1"/>
    <w:rsid w:val="04390EE3"/>
    <w:rsid w:val="04581CB1"/>
    <w:rsid w:val="0475016D"/>
    <w:rsid w:val="048A4FEC"/>
    <w:rsid w:val="048C42DD"/>
    <w:rsid w:val="04A10F62"/>
    <w:rsid w:val="04A16865"/>
    <w:rsid w:val="04B37295"/>
    <w:rsid w:val="05121010"/>
    <w:rsid w:val="05130366"/>
    <w:rsid w:val="052D6C99"/>
    <w:rsid w:val="05323C89"/>
    <w:rsid w:val="05584C5D"/>
    <w:rsid w:val="05634469"/>
    <w:rsid w:val="05B5363E"/>
    <w:rsid w:val="05BB42A5"/>
    <w:rsid w:val="05CA098C"/>
    <w:rsid w:val="05E51322"/>
    <w:rsid w:val="05E850FF"/>
    <w:rsid w:val="05FA1EA5"/>
    <w:rsid w:val="06002CA7"/>
    <w:rsid w:val="06050A87"/>
    <w:rsid w:val="060F2843"/>
    <w:rsid w:val="06230DC8"/>
    <w:rsid w:val="06304C93"/>
    <w:rsid w:val="0682208A"/>
    <w:rsid w:val="069F3E2E"/>
    <w:rsid w:val="06A76237"/>
    <w:rsid w:val="06A854F1"/>
    <w:rsid w:val="06CB676A"/>
    <w:rsid w:val="06DE46EF"/>
    <w:rsid w:val="06E31D05"/>
    <w:rsid w:val="06ED4932"/>
    <w:rsid w:val="06FC3A77"/>
    <w:rsid w:val="07041C7C"/>
    <w:rsid w:val="071338A0"/>
    <w:rsid w:val="072F4F4B"/>
    <w:rsid w:val="074B1659"/>
    <w:rsid w:val="077446C6"/>
    <w:rsid w:val="078B4AD8"/>
    <w:rsid w:val="079A613C"/>
    <w:rsid w:val="079E79DA"/>
    <w:rsid w:val="07BE007D"/>
    <w:rsid w:val="07D72EEC"/>
    <w:rsid w:val="07DE427B"/>
    <w:rsid w:val="07EA0E72"/>
    <w:rsid w:val="080D4B60"/>
    <w:rsid w:val="08153BA8"/>
    <w:rsid w:val="083420ED"/>
    <w:rsid w:val="08354676"/>
    <w:rsid w:val="084E296C"/>
    <w:rsid w:val="086D4810"/>
    <w:rsid w:val="086F75C9"/>
    <w:rsid w:val="0882028B"/>
    <w:rsid w:val="08C8374C"/>
    <w:rsid w:val="08D062B9"/>
    <w:rsid w:val="08E73603"/>
    <w:rsid w:val="08E75EC9"/>
    <w:rsid w:val="08ED1A08"/>
    <w:rsid w:val="08F26B9D"/>
    <w:rsid w:val="0905407E"/>
    <w:rsid w:val="090D306A"/>
    <w:rsid w:val="091A5787"/>
    <w:rsid w:val="092D2D4A"/>
    <w:rsid w:val="093F6F9B"/>
    <w:rsid w:val="09434CDD"/>
    <w:rsid w:val="095347F5"/>
    <w:rsid w:val="099A4234"/>
    <w:rsid w:val="099C1B08"/>
    <w:rsid w:val="09B259BF"/>
    <w:rsid w:val="09B26718"/>
    <w:rsid w:val="09B64B07"/>
    <w:rsid w:val="09C23538"/>
    <w:rsid w:val="09C74F5C"/>
    <w:rsid w:val="09D05E45"/>
    <w:rsid w:val="09D771D4"/>
    <w:rsid w:val="09DD0B8C"/>
    <w:rsid w:val="09E2497D"/>
    <w:rsid w:val="09EF6C13"/>
    <w:rsid w:val="09F02110"/>
    <w:rsid w:val="0A096DD5"/>
    <w:rsid w:val="0A0A75A9"/>
    <w:rsid w:val="0A382368"/>
    <w:rsid w:val="0A434869"/>
    <w:rsid w:val="0A4F726B"/>
    <w:rsid w:val="0A59408D"/>
    <w:rsid w:val="0A7B6A0E"/>
    <w:rsid w:val="0A7F7F97"/>
    <w:rsid w:val="0A870BFA"/>
    <w:rsid w:val="0A892101"/>
    <w:rsid w:val="0ABA242D"/>
    <w:rsid w:val="0ACB2992"/>
    <w:rsid w:val="0AD96F48"/>
    <w:rsid w:val="0AE6209F"/>
    <w:rsid w:val="0AEF0A53"/>
    <w:rsid w:val="0AFF63A4"/>
    <w:rsid w:val="0B0A74FF"/>
    <w:rsid w:val="0B0F1132"/>
    <w:rsid w:val="0B157C40"/>
    <w:rsid w:val="0B302AB7"/>
    <w:rsid w:val="0B330D82"/>
    <w:rsid w:val="0B485107"/>
    <w:rsid w:val="0B6A77D8"/>
    <w:rsid w:val="0B721CF9"/>
    <w:rsid w:val="0B952F4D"/>
    <w:rsid w:val="0BA37CB5"/>
    <w:rsid w:val="0BAE0408"/>
    <w:rsid w:val="0BAF665A"/>
    <w:rsid w:val="0BDE2F2C"/>
    <w:rsid w:val="0BE1258C"/>
    <w:rsid w:val="0C012C2E"/>
    <w:rsid w:val="0C1C1816"/>
    <w:rsid w:val="0C2D57D1"/>
    <w:rsid w:val="0C38687A"/>
    <w:rsid w:val="0C4072B2"/>
    <w:rsid w:val="0C762AEF"/>
    <w:rsid w:val="0C774C9E"/>
    <w:rsid w:val="0C8D1724"/>
    <w:rsid w:val="0CA21D1B"/>
    <w:rsid w:val="0CA331A2"/>
    <w:rsid w:val="0CFA3905"/>
    <w:rsid w:val="0D314E4D"/>
    <w:rsid w:val="0D3A63F7"/>
    <w:rsid w:val="0D3E5E58"/>
    <w:rsid w:val="0D993EF8"/>
    <w:rsid w:val="0DA816A4"/>
    <w:rsid w:val="0DB5782C"/>
    <w:rsid w:val="0DD8176C"/>
    <w:rsid w:val="0DDD6023"/>
    <w:rsid w:val="0E010CC3"/>
    <w:rsid w:val="0E0371A7"/>
    <w:rsid w:val="0E092969"/>
    <w:rsid w:val="0E230C39"/>
    <w:rsid w:val="0E2C3DC4"/>
    <w:rsid w:val="0E34094B"/>
    <w:rsid w:val="0E7019A5"/>
    <w:rsid w:val="0E8F4521"/>
    <w:rsid w:val="0EA359D7"/>
    <w:rsid w:val="0EB85F51"/>
    <w:rsid w:val="0EF201B0"/>
    <w:rsid w:val="0EF426A5"/>
    <w:rsid w:val="0F0D0E00"/>
    <w:rsid w:val="0F182768"/>
    <w:rsid w:val="0F220EF1"/>
    <w:rsid w:val="0F446130"/>
    <w:rsid w:val="0F657030"/>
    <w:rsid w:val="0F73799F"/>
    <w:rsid w:val="0F7B6F9B"/>
    <w:rsid w:val="0F8265A9"/>
    <w:rsid w:val="0FA83CE8"/>
    <w:rsid w:val="0FAF5D73"/>
    <w:rsid w:val="10117E85"/>
    <w:rsid w:val="10150A56"/>
    <w:rsid w:val="102D2243"/>
    <w:rsid w:val="103A13AC"/>
    <w:rsid w:val="104C34B8"/>
    <w:rsid w:val="105E41AB"/>
    <w:rsid w:val="106A6FF4"/>
    <w:rsid w:val="10707D4D"/>
    <w:rsid w:val="10753FE6"/>
    <w:rsid w:val="108205D9"/>
    <w:rsid w:val="10953945"/>
    <w:rsid w:val="10B95885"/>
    <w:rsid w:val="10CD5141"/>
    <w:rsid w:val="10E20A8E"/>
    <w:rsid w:val="11390FFC"/>
    <w:rsid w:val="11401B02"/>
    <w:rsid w:val="114535BD"/>
    <w:rsid w:val="11610DAE"/>
    <w:rsid w:val="11776A7F"/>
    <w:rsid w:val="118916FB"/>
    <w:rsid w:val="118E3EB1"/>
    <w:rsid w:val="11967974"/>
    <w:rsid w:val="11B53A61"/>
    <w:rsid w:val="11D54941"/>
    <w:rsid w:val="12211934"/>
    <w:rsid w:val="12280F14"/>
    <w:rsid w:val="12301B77"/>
    <w:rsid w:val="12353631"/>
    <w:rsid w:val="123F625E"/>
    <w:rsid w:val="124E5920"/>
    <w:rsid w:val="12506973"/>
    <w:rsid w:val="127C300E"/>
    <w:rsid w:val="128F7E55"/>
    <w:rsid w:val="129052AF"/>
    <w:rsid w:val="12B47555"/>
    <w:rsid w:val="12C4776A"/>
    <w:rsid w:val="12C56763"/>
    <w:rsid w:val="12D65D4C"/>
    <w:rsid w:val="130C0EAB"/>
    <w:rsid w:val="13203999"/>
    <w:rsid w:val="13310719"/>
    <w:rsid w:val="133B6A25"/>
    <w:rsid w:val="135F6376"/>
    <w:rsid w:val="137005F7"/>
    <w:rsid w:val="13721C9A"/>
    <w:rsid w:val="13960100"/>
    <w:rsid w:val="13AE369B"/>
    <w:rsid w:val="13B642FE"/>
    <w:rsid w:val="13CB40B8"/>
    <w:rsid w:val="13F61035"/>
    <w:rsid w:val="13F6294C"/>
    <w:rsid w:val="13F84916"/>
    <w:rsid w:val="13F96DB9"/>
    <w:rsid w:val="14223741"/>
    <w:rsid w:val="14454FA9"/>
    <w:rsid w:val="144C729A"/>
    <w:rsid w:val="146B6E96"/>
    <w:rsid w:val="147F6DE6"/>
    <w:rsid w:val="14FB4561"/>
    <w:rsid w:val="14FF5EC9"/>
    <w:rsid w:val="150A2F86"/>
    <w:rsid w:val="153320AA"/>
    <w:rsid w:val="153674A4"/>
    <w:rsid w:val="153E45AB"/>
    <w:rsid w:val="154D3EC9"/>
    <w:rsid w:val="1552682D"/>
    <w:rsid w:val="155E1BD1"/>
    <w:rsid w:val="156404B5"/>
    <w:rsid w:val="15857A9F"/>
    <w:rsid w:val="159830FC"/>
    <w:rsid w:val="15A4585F"/>
    <w:rsid w:val="15BE4B4E"/>
    <w:rsid w:val="15F1786F"/>
    <w:rsid w:val="15FE00E8"/>
    <w:rsid w:val="16314110"/>
    <w:rsid w:val="1638549E"/>
    <w:rsid w:val="16461B0D"/>
    <w:rsid w:val="1663076D"/>
    <w:rsid w:val="166E7112"/>
    <w:rsid w:val="16702E8A"/>
    <w:rsid w:val="16BA1931"/>
    <w:rsid w:val="16C50B80"/>
    <w:rsid w:val="16D056D6"/>
    <w:rsid w:val="16D7072C"/>
    <w:rsid w:val="16E1501D"/>
    <w:rsid w:val="170B5A67"/>
    <w:rsid w:val="172D2DFA"/>
    <w:rsid w:val="17316571"/>
    <w:rsid w:val="174E26C0"/>
    <w:rsid w:val="17931F74"/>
    <w:rsid w:val="17935082"/>
    <w:rsid w:val="17AD33C8"/>
    <w:rsid w:val="17B2302E"/>
    <w:rsid w:val="17B84AE8"/>
    <w:rsid w:val="17F05913"/>
    <w:rsid w:val="17FC7011"/>
    <w:rsid w:val="181D494B"/>
    <w:rsid w:val="182F3E20"/>
    <w:rsid w:val="183B1275"/>
    <w:rsid w:val="183D0B4A"/>
    <w:rsid w:val="183D6D9C"/>
    <w:rsid w:val="183F2B14"/>
    <w:rsid w:val="183F471A"/>
    <w:rsid w:val="18502E61"/>
    <w:rsid w:val="18510198"/>
    <w:rsid w:val="185B407E"/>
    <w:rsid w:val="18745314"/>
    <w:rsid w:val="187C78C4"/>
    <w:rsid w:val="18BD60C6"/>
    <w:rsid w:val="18C80D5B"/>
    <w:rsid w:val="18D70F9E"/>
    <w:rsid w:val="18DE057F"/>
    <w:rsid w:val="18E03F3F"/>
    <w:rsid w:val="18E05E3E"/>
    <w:rsid w:val="191C4DA5"/>
    <w:rsid w:val="191E4E1F"/>
    <w:rsid w:val="1937518F"/>
    <w:rsid w:val="193A0F3F"/>
    <w:rsid w:val="193C24A9"/>
    <w:rsid w:val="19467ED2"/>
    <w:rsid w:val="19874772"/>
    <w:rsid w:val="198B3B37"/>
    <w:rsid w:val="199D3052"/>
    <w:rsid w:val="19E41BC5"/>
    <w:rsid w:val="1A0D7905"/>
    <w:rsid w:val="1A0E6C42"/>
    <w:rsid w:val="1A4240A2"/>
    <w:rsid w:val="1A5E22AC"/>
    <w:rsid w:val="1A63327F"/>
    <w:rsid w:val="1A676352"/>
    <w:rsid w:val="1A694281"/>
    <w:rsid w:val="1A925448"/>
    <w:rsid w:val="1A9B0880"/>
    <w:rsid w:val="1AB31597"/>
    <w:rsid w:val="1ABB0E90"/>
    <w:rsid w:val="1AC3220B"/>
    <w:rsid w:val="1AC95BD0"/>
    <w:rsid w:val="1B012302"/>
    <w:rsid w:val="1B124765"/>
    <w:rsid w:val="1B395F40"/>
    <w:rsid w:val="1B4F7512"/>
    <w:rsid w:val="1B5D491F"/>
    <w:rsid w:val="1B6330F0"/>
    <w:rsid w:val="1B746375"/>
    <w:rsid w:val="1B83725A"/>
    <w:rsid w:val="1B9B4505"/>
    <w:rsid w:val="1BAA0BEC"/>
    <w:rsid w:val="1BB9498B"/>
    <w:rsid w:val="1BD43860"/>
    <w:rsid w:val="1BDD4B1E"/>
    <w:rsid w:val="1BEA548C"/>
    <w:rsid w:val="1BEE499C"/>
    <w:rsid w:val="1BF66552"/>
    <w:rsid w:val="1BFE2CE6"/>
    <w:rsid w:val="1BFE4A94"/>
    <w:rsid w:val="1C18071D"/>
    <w:rsid w:val="1C387FA6"/>
    <w:rsid w:val="1C4619FB"/>
    <w:rsid w:val="1C6377EB"/>
    <w:rsid w:val="1C66671F"/>
    <w:rsid w:val="1C6A48CE"/>
    <w:rsid w:val="1C705992"/>
    <w:rsid w:val="1C8F393E"/>
    <w:rsid w:val="1C940F54"/>
    <w:rsid w:val="1CB05D8E"/>
    <w:rsid w:val="1CB5175D"/>
    <w:rsid w:val="1CBA7A95"/>
    <w:rsid w:val="1CD944B9"/>
    <w:rsid w:val="1CFC2474"/>
    <w:rsid w:val="1D0775A6"/>
    <w:rsid w:val="1D22539B"/>
    <w:rsid w:val="1D2B3667"/>
    <w:rsid w:val="1D570895"/>
    <w:rsid w:val="1D6E2CD8"/>
    <w:rsid w:val="1D8D3D4D"/>
    <w:rsid w:val="1D8F0099"/>
    <w:rsid w:val="1DA84CBF"/>
    <w:rsid w:val="1DB00010"/>
    <w:rsid w:val="1DC35F95"/>
    <w:rsid w:val="1DD71A40"/>
    <w:rsid w:val="1DE42315"/>
    <w:rsid w:val="1DF47EFC"/>
    <w:rsid w:val="1E0C16EA"/>
    <w:rsid w:val="1E3B3D7D"/>
    <w:rsid w:val="1E4874B8"/>
    <w:rsid w:val="1E553317"/>
    <w:rsid w:val="1E56447C"/>
    <w:rsid w:val="1E5E6959"/>
    <w:rsid w:val="1E806E2E"/>
    <w:rsid w:val="1E877D62"/>
    <w:rsid w:val="1E951832"/>
    <w:rsid w:val="1E9D2342"/>
    <w:rsid w:val="1EAE454F"/>
    <w:rsid w:val="1EBD29E4"/>
    <w:rsid w:val="1ECE2E43"/>
    <w:rsid w:val="1EF83A1C"/>
    <w:rsid w:val="1EFC7622"/>
    <w:rsid w:val="1F0423C1"/>
    <w:rsid w:val="1F26058A"/>
    <w:rsid w:val="1F28259D"/>
    <w:rsid w:val="1F3170DF"/>
    <w:rsid w:val="1F4653BC"/>
    <w:rsid w:val="1F5C3FAB"/>
    <w:rsid w:val="1F622543"/>
    <w:rsid w:val="1F647304"/>
    <w:rsid w:val="1F8D0609"/>
    <w:rsid w:val="2000093B"/>
    <w:rsid w:val="200F101E"/>
    <w:rsid w:val="202C658D"/>
    <w:rsid w:val="20340A84"/>
    <w:rsid w:val="20503630"/>
    <w:rsid w:val="20547378"/>
    <w:rsid w:val="207D60BD"/>
    <w:rsid w:val="20A037ED"/>
    <w:rsid w:val="20E261BF"/>
    <w:rsid w:val="20E34258"/>
    <w:rsid w:val="20F30C63"/>
    <w:rsid w:val="20F63F8C"/>
    <w:rsid w:val="20FB5A46"/>
    <w:rsid w:val="210267E7"/>
    <w:rsid w:val="21053F59"/>
    <w:rsid w:val="21067180"/>
    <w:rsid w:val="211C1789"/>
    <w:rsid w:val="21375E88"/>
    <w:rsid w:val="21470C8B"/>
    <w:rsid w:val="21645998"/>
    <w:rsid w:val="217E26B5"/>
    <w:rsid w:val="218E0668"/>
    <w:rsid w:val="21902632"/>
    <w:rsid w:val="21927E8A"/>
    <w:rsid w:val="219F0AC7"/>
    <w:rsid w:val="21A14F6E"/>
    <w:rsid w:val="21A667D8"/>
    <w:rsid w:val="21AE2AB8"/>
    <w:rsid w:val="21C5133A"/>
    <w:rsid w:val="22056B7C"/>
    <w:rsid w:val="22180013"/>
    <w:rsid w:val="222D2534"/>
    <w:rsid w:val="223905D4"/>
    <w:rsid w:val="22405DEE"/>
    <w:rsid w:val="22460F43"/>
    <w:rsid w:val="22461C28"/>
    <w:rsid w:val="224A27E1"/>
    <w:rsid w:val="224D22D1"/>
    <w:rsid w:val="2264745D"/>
    <w:rsid w:val="22694766"/>
    <w:rsid w:val="227724C5"/>
    <w:rsid w:val="227B299A"/>
    <w:rsid w:val="22C37E78"/>
    <w:rsid w:val="22DF5F10"/>
    <w:rsid w:val="22E45EA7"/>
    <w:rsid w:val="22F32E79"/>
    <w:rsid w:val="22FE7FD2"/>
    <w:rsid w:val="231F5A1C"/>
    <w:rsid w:val="232426E5"/>
    <w:rsid w:val="23496F3C"/>
    <w:rsid w:val="23564902"/>
    <w:rsid w:val="237D0994"/>
    <w:rsid w:val="239E285B"/>
    <w:rsid w:val="239E43CB"/>
    <w:rsid w:val="23B94A71"/>
    <w:rsid w:val="23BF2D5C"/>
    <w:rsid w:val="23CA0322"/>
    <w:rsid w:val="23D31999"/>
    <w:rsid w:val="23E672A5"/>
    <w:rsid w:val="23F92711"/>
    <w:rsid w:val="2414167F"/>
    <w:rsid w:val="24331A70"/>
    <w:rsid w:val="24480FA2"/>
    <w:rsid w:val="246E36CF"/>
    <w:rsid w:val="247D6B3E"/>
    <w:rsid w:val="248875A5"/>
    <w:rsid w:val="248E24A2"/>
    <w:rsid w:val="2490202C"/>
    <w:rsid w:val="24967F5F"/>
    <w:rsid w:val="24A563F4"/>
    <w:rsid w:val="24B07B87"/>
    <w:rsid w:val="24B369D8"/>
    <w:rsid w:val="24E70274"/>
    <w:rsid w:val="24EF58C2"/>
    <w:rsid w:val="24F83F3B"/>
    <w:rsid w:val="24FC4195"/>
    <w:rsid w:val="25083D77"/>
    <w:rsid w:val="251946ED"/>
    <w:rsid w:val="251B0465"/>
    <w:rsid w:val="251F6174"/>
    <w:rsid w:val="25232A7A"/>
    <w:rsid w:val="25276A19"/>
    <w:rsid w:val="253D5BE5"/>
    <w:rsid w:val="2570755D"/>
    <w:rsid w:val="25780A03"/>
    <w:rsid w:val="2588320D"/>
    <w:rsid w:val="259453BA"/>
    <w:rsid w:val="25960BBC"/>
    <w:rsid w:val="25C846F8"/>
    <w:rsid w:val="25E42F4C"/>
    <w:rsid w:val="26013AFE"/>
    <w:rsid w:val="26793695"/>
    <w:rsid w:val="26834676"/>
    <w:rsid w:val="268B5C3C"/>
    <w:rsid w:val="26AE09A8"/>
    <w:rsid w:val="26CB1A16"/>
    <w:rsid w:val="26E00DFE"/>
    <w:rsid w:val="26E16310"/>
    <w:rsid w:val="270F7B55"/>
    <w:rsid w:val="271B0BF0"/>
    <w:rsid w:val="27281EA0"/>
    <w:rsid w:val="2742617D"/>
    <w:rsid w:val="275B5822"/>
    <w:rsid w:val="276854B7"/>
    <w:rsid w:val="27892194"/>
    <w:rsid w:val="27C22E19"/>
    <w:rsid w:val="27D72D69"/>
    <w:rsid w:val="27FD20A3"/>
    <w:rsid w:val="280E374E"/>
    <w:rsid w:val="280F2271"/>
    <w:rsid w:val="2818512F"/>
    <w:rsid w:val="282E10FF"/>
    <w:rsid w:val="28371D4E"/>
    <w:rsid w:val="285509D6"/>
    <w:rsid w:val="28667C49"/>
    <w:rsid w:val="286921C0"/>
    <w:rsid w:val="28862099"/>
    <w:rsid w:val="28A721D0"/>
    <w:rsid w:val="28A727C2"/>
    <w:rsid w:val="28B5472C"/>
    <w:rsid w:val="28C932A9"/>
    <w:rsid w:val="28D70B46"/>
    <w:rsid w:val="28DA4193"/>
    <w:rsid w:val="28E82E05"/>
    <w:rsid w:val="290C07F0"/>
    <w:rsid w:val="290C4C94"/>
    <w:rsid w:val="292024ED"/>
    <w:rsid w:val="29331B8B"/>
    <w:rsid w:val="294D2BB7"/>
    <w:rsid w:val="29626662"/>
    <w:rsid w:val="29683EFE"/>
    <w:rsid w:val="297840D8"/>
    <w:rsid w:val="29935FD2"/>
    <w:rsid w:val="29A26949"/>
    <w:rsid w:val="29C84254"/>
    <w:rsid w:val="29D32968"/>
    <w:rsid w:val="29F77B83"/>
    <w:rsid w:val="29F97C59"/>
    <w:rsid w:val="2A043BBD"/>
    <w:rsid w:val="2A135695"/>
    <w:rsid w:val="2A172A6F"/>
    <w:rsid w:val="2A197E92"/>
    <w:rsid w:val="2A1C2CB5"/>
    <w:rsid w:val="2A247DBB"/>
    <w:rsid w:val="2A261D85"/>
    <w:rsid w:val="2A2E2932"/>
    <w:rsid w:val="2A353B5D"/>
    <w:rsid w:val="2A3F4BF5"/>
    <w:rsid w:val="2A445D2E"/>
    <w:rsid w:val="2A73664D"/>
    <w:rsid w:val="2A8A2271"/>
    <w:rsid w:val="2A9228D5"/>
    <w:rsid w:val="2A9A007E"/>
    <w:rsid w:val="2A9D41C3"/>
    <w:rsid w:val="2AA84549"/>
    <w:rsid w:val="2AAA4765"/>
    <w:rsid w:val="2AC36E38"/>
    <w:rsid w:val="2AC670C5"/>
    <w:rsid w:val="2AD6555A"/>
    <w:rsid w:val="2ADF519A"/>
    <w:rsid w:val="2AE13EFE"/>
    <w:rsid w:val="2AE1487A"/>
    <w:rsid w:val="2AF21C68"/>
    <w:rsid w:val="2AF568D7"/>
    <w:rsid w:val="2AFA2388"/>
    <w:rsid w:val="2B1B2BBA"/>
    <w:rsid w:val="2B231E21"/>
    <w:rsid w:val="2B2B0C85"/>
    <w:rsid w:val="2B30539C"/>
    <w:rsid w:val="2B462258"/>
    <w:rsid w:val="2B487ADA"/>
    <w:rsid w:val="2B4F74FE"/>
    <w:rsid w:val="2B54022C"/>
    <w:rsid w:val="2B5C51D1"/>
    <w:rsid w:val="2B6D2EB0"/>
    <w:rsid w:val="2B6D7540"/>
    <w:rsid w:val="2B703996"/>
    <w:rsid w:val="2B7F2E0B"/>
    <w:rsid w:val="2B8F5708"/>
    <w:rsid w:val="2BB46F1D"/>
    <w:rsid w:val="2BD870AF"/>
    <w:rsid w:val="2BFA4688"/>
    <w:rsid w:val="2C0C6D59"/>
    <w:rsid w:val="2C351E0C"/>
    <w:rsid w:val="2C3A1AE5"/>
    <w:rsid w:val="2C4B162F"/>
    <w:rsid w:val="2C770676"/>
    <w:rsid w:val="2C812208"/>
    <w:rsid w:val="2CB2345D"/>
    <w:rsid w:val="2CB5119F"/>
    <w:rsid w:val="2CB76BFF"/>
    <w:rsid w:val="2CC01CCD"/>
    <w:rsid w:val="2D287BC3"/>
    <w:rsid w:val="2D437207"/>
    <w:rsid w:val="2D5A73F9"/>
    <w:rsid w:val="2D5E4CD1"/>
    <w:rsid w:val="2D754291"/>
    <w:rsid w:val="2D8E211C"/>
    <w:rsid w:val="2D9708A4"/>
    <w:rsid w:val="2D99286E"/>
    <w:rsid w:val="2D9968CA"/>
    <w:rsid w:val="2DCE4936"/>
    <w:rsid w:val="2DDB6695"/>
    <w:rsid w:val="2E073C7C"/>
    <w:rsid w:val="2E310CF9"/>
    <w:rsid w:val="2E33681F"/>
    <w:rsid w:val="2E446F0A"/>
    <w:rsid w:val="2E4D7E48"/>
    <w:rsid w:val="2E557B86"/>
    <w:rsid w:val="2E684101"/>
    <w:rsid w:val="2E6B5FB9"/>
    <w:rsid w:val="2EBD258D"/>
    <w:rsid w:val="2EC60740"/>
    <w:rsid w:val="2EE713B8"/>
    <w:rsid w:val="2EEB70FA"/>
    <w:rsid w:val="2EF11EA9"/>
    <w:rsid w:val="2EF91817"/>
    <w:rsid w:val="2F0A3A24"/>
    <w:rsid w:val="2F1458EF"/>
    <w:rsid w:val="2F1C3757"/>
    <w:rsid w:val="2F283EAA"/>
    <w:rsid w:val="2F345EB4"/>
    <w:rsid w:val="2F394641"/>
    <w:rsid w:val="2F3C0A04"/>
    <w:rsid w:val="2F3D4111"/>
    <w:rsid w:val="2F423FAD"/>
    <w:rsid w:val="2F566C69"/>
    <w:rsid w:val="2F5B59C5"/>
    <w:rsid w:val="2F6953C2"/>
    <w:rsid w:val="2F696D3D"/>
    <w:rsid w:val="2F804CA0"/>
    <w:rsid w:val="2F866E22"/>
    <w:rsid w:val="2F930378"/>
    <w:rsid w:val="2F972DDE"/>
    <w:rsid w:val="2F9C0FFA"/>
    <w:rsid w:val="2FA462C9"/>
    <w:rsid w:val="2FC35981"/>
    <w:rsid w:val="2FEC4DF6"/>
    <w:rsid w:val="2FF13BF2"/>
    <w:rsid w:val="2FFC77DD"/>
    <w:rsid w:val="30025281"/>
    <w:rsid w:val="301F1D20"/>
    <w:rsid w:val="30391038"/>
    <w:rsid w:val="30517430"/>
    <w:rsid w:val="305D1CF8"/>
    <w:rsid w:val="3065488C"/>
    <w:rsid w:val="3075518C"/>
    <w:rsid w:val="307F0D2F"/>
    <w:rsid w:val="30A443CE"/>
    <w:rsid w:val="30AB4285"/>
    <w:rsid w:val="30AE708C"/>
    <w:rsid w:val="30D756C5"/>
    <w:rsid w:val="30EA1A17"/>
    <w:rsid w:val="30FF77EE"/>
    <w:rsid w:val="3103599E"/>
    <w:rsid w:val="310B2D29"/>
    <w:rsid w:val="310F6CD4"/>
    <w:rsid w:val="31150D45"/>
    <w:rsid w:val="311566B0"/>
    <w:rsid w:val="3119059A"/>
    <w:rsid w:val="313649A0"/>
    <w:rsid w:val="314515EB"/>
    <w:rsid w:val="3163741B"/>
    <w:rsid w:val="319C3FA5"/>
    <w:rsid w:val="31A812D2"/>
    <w:rsid w:val="31E17F04"/>
    <w:rsid w:val="3210122D"/>
    <w:rsid w:val="32153DF3"/>
    <w:rsid w:val="32167FB7"/>
    <w:rsid w:val="323C4C0D"/>
    <w:rsid w:val="324234D5"/>
    <w:rsid w:val="326F1DF0"/>
    <w:rsid w:val="32717916"/>
    <w:rsid w:val="32737B32"/>
    <w:rsid w:val="329027F6"/>
    <w:rsid w:val="32951856"/>
    <w:rsid w:val="329A50BF"/>
    <w:rsid w:val="329A6E6D"/>
    <w:rsid w:val="32A61CB5"/>
    <w:rsid w:val="32B37F2E"/>
    <w:rsid w:val="32BB5035"/>
    <w:rsid w:val="32D3484B"/>
    <w:rsid w:val="32EA7DC1"/>
    <w:rsid w:val="32FD11AA"/>
    <w:rsid w:val="32FF4F22"/>
    <w:rsid w:val="33003DC7"/>
    <w:rsid w:val="333C6176"/>
    <w:rsid w:val="334D6CA4"/>
    <w:rsid w:val="336A2E44"/>
    <w:rsid w:val="336F3C4F"/>
    <w:rsid w:val="33806F6A"/>
    <w:rsid w:val="33835B53"/>
    <w:rsid w:val="33900270"/>
    <w:rsid w:val="339C380E"/>
    <w:rsid w:val="33B51A84"/>
    <w:rsid w:val="33C023B0"/>
    <w:rsid w:val="33C76311"/>
    <w:rsid w:val="33D03B18"/>
    <w:rsid w:val="33D04B10"/>
    <w:rsid w:val="33E106CB"/>
    <w:rsid w:val="340E4AD6"/>
    <w:rsid w:val="34141865"/>
    <w:rsid w:val="341713FC"/>
    <w:rsid w:val="34205944"/>
    <w:rsid w:val="34930017"/>
    <w:rsid w:val="34951FCC"/>
    <w:rsid w:val="34A43FD3"/>
    <w:rsid w:val="34AD4440"/>
    <w:rsid w:val="34AE6BFF"/>
    <w:rsid w:val="34D40423"/>
    <w:rsid w:val="34E2248E"/>
    <w:rsid w:val="34F211E2"/>
    <w:rsid w:val="3529097C"/>
    <w:rsid w:val="35413DCC"/>
    <w:rsid w:val="354E2190"/>
    <w:rsid w:val="356B4AF0"/>
    <w:rsid w:val="357E1593"/>
    <w:rsid w:val="35801CA3"/>
    <w:rsid w:val="35932A3D"/>
    <w:rsid w:val="35A324DC"/>
    <w:rsid w:val="35B17776"/>
    <w:rsid w:val="35BE7316"/>
    <w:rsid w:val="35C778E7"/>
    <w:rsid w:val="35D2691D"/>
    <w:rsid w:val="361C228F"/>
    <w:rsid w:val="36335860"/>
    <w:rsid w:val="3648705E"/>
    <w:rsid w:val="36555259"/>
    <w:rsid w:val="366E2AEA"/>
    <w:rsid w:val="367C2F59"/>
    <w:rsid w:val="368F41DF"/>
    <w:rsid w:val="36AC0215"/>
    <w:rsid w:val="36BD63B4"/>
    <w:rsid w:val="36BD6AFE"/>
    <w:rsid w:val="36C070BE"/>
    <w:rsid w:val="36CD4B67"/>
    <w:rsid w:val="36F8668C"/>
    <w:rsid w:val="36FB00F6"/>
    <w:rsid w:val="371E1B08"/>
    <w:rsid w:val="37223AAC"/>
    <w:rsid w:val="37354B65"/>
    <w:rsid w:val="373B4A03"/>
    <w:rsid w:val="37493898"/>
    <w:rsid w:val="37710A72"/>
    <w:rsid w:val="37757EA8"/>
    <w:rsid w:val="37B26A07"/>
    <w:rsid w:val="37B3452D"/>
    <w:rsid w:val="37DC7F27"/>
    <w:rsid w:val="37E13F8F"/>
    <w:rsid w:val="380521AD"/>
    <w:rsid w:val="380B6117"/>
    <w:rsid w:val="385A4871"/>
    <w:rsid w:val="38A0760B"/>
    <w:rsid w:val="38B247E4"/>
    <w:rsid w:val="38B32A9A"/>
    <w:rsid w:val="38C02F38"/>
    <w:rsid w:val="38C70290"/>
    <w:rsid w:val="38C84008"/>
    <w:rsid w:val="38CC33CE"/>
    <w:rsid w:val="38EC419A"/>
    <w:rsid w:val="390B4AF3"/>
    <w:rsid w:val="39157FCB"/>
    <w:rsid w:val="391A6808"/>
    <w:rsid w:val="39202096"/>
    <w:rsid w:val="3944365B"/>
    <w:rsid w:val="39453024"/>
    <w:rsid w:val="395C0C67"/>
    <w:rsid w:val="395C1320"/>
    <w:rsid w:val="396054F7"/>
    <w:rsid w:val="39691347"/>
    <w:rsid w:val="39724065"/>
    <w:rsid w:val="397C3770"/>
    <w:rsid w:val="39A26005"/>
    <w:rsid w:val="39A47F70"/>
    <w:rsid w:val="39B20F40"/>
    <w:rsid w:val="39BE3F55"/>
    <w:rsid w:val="39CA2CC8"/>
    <w:rsid w:val="39D37108"/>
    <w:rsid w:val="39DE6900"/>
    <w:rsid w:val="39DE7F87"/>
    <w:rsid w:val="39E268AF"/>
    <w:rsid w:val="39E60BE9"/>
    <w:rsid w:val="39EC470E"/>
    <w:rsid w:val="39ED1F78"/>
    <w:rsid w:val="3A06128C"/>
    <w:rsid w:val="3A0D261A"/>
    <w:rsid w:val="3A1A2F88"/>
    <w:rsid w:val="3A235E98"/>
    <w:rsid w:val="3A240899"/>
    <w:rsid w:val="3A40479E"/>
    <w:rsid w:val="3A553503"/>
    <w:rsid w:val="3A5A625F"/>
    <w:rsid w:val="3A614714"/>
    <w:rsid w:val="3A916DA7"/>
    <w:rsid w:val="3A9B6657"/>
    <w:rsid w:val="3ABF0039"/>
    <w:rsid w:val="3AC0768C"/>
    <w:rsid w:val="3AD30A33"/>
    <w:rsid w:val="3AD841A2"/>
    <w:rsid w:val="3AD84407"/>
    <w:rsid w:val="3AF954DC"/>
    <w:rsid w:val="3AFA311F"/>
    <w:rsid w:val="3B077069"/>
    <w:rsid w:val="3B20637D"/>
    <w:rsid w:val="3B4523FD"/>
    <w:rsid w:val="3B453A80"/>
    <w:rsid w:val="3B4C0F20"/>
    <w:rsid w:val="3B5421EF"/>
    <w:rsid w:val="3B5F50F7"/>
    <w:rsid w:val="3B7566C9"/>
    <w:rsid w:val="3B98578A"/>
    <w:rsid w:val="3B9C2CE0"/>
    <w:rsid w:val="3BAC5E63"/>
    <w:rsid w:val="3C1D515E"/>
    <w:rsid w:val="3C275424"/>
    <w:rsid w:val="3C2E6878"/>
    <w:rsid w:val="3C4026F5"/>
    <w:rsid w:val="3C415D6A"/>
    <w:rsid w:val="3C566B00"/>
    <w:rsid w:val="3C5A58BF"/>
    <w:rsid w:val="3C700148"/>
    <w:rsid w:val="3C7624CD"/>
    <w:rsid w:val="3C8A1488"/>
    <w:rsid w:val="3C8B3CCA"/>
    <w:rsid w:val="3CA134EE"/>
    <w:rsid w:val="3CA6643C"/>
    <w:rsid w:val="3CC6538C"/>
    <w:rsid w:val="3D043164"/>
    <w:rsid w:val="3D0A2E41"/>
    <w:rsid w:val="3D385C00"/>
    <w:rsid w:val="3D424389"/>
    <w:rsid w:val="3D477BF1"/>
    <w:rsid w:val="3D485717"/>
    <w:rsid w:val="3D4E1C31"/>
    <w:rsid w:val="3D74650C"/>
    <w:rsid w:val="3D803103"/>
    <w:rsid w:val="3DA46DF1"/>
    <w:rsid w:val="3DA47309"/>
    <w:rsid w:val="3DB35286"/>
    <w:rsid w:val="3DC56557"/>
    <w:rsid w:val="3DD275CB"/>
    <w:rsid w:val="3DF41ED7"/>
    <w:rsid w:val="3DFF03C5"/>
    <w:rsid w:val="3DFF671E"/>
    <w:rsid w:val="3E144B41"/>
    <w:rsid w:val="3E155F41"/>
    <w:rsid w:val="3E442382"/>
    <w:rsid w:val="3E530817"/>
    <w:rsid w:val="3E5E5B84"/>
    <w:rsid w:val="3E736A24"/>
    <w:rsid w:val="3E8B1D5F"/>
    <w:rsid w:val="3E8D5AD7"/>
    <w:rsid w:val="3EBE0387"/>
    <w:rsid w:val="3EC139D3"/>
    <w:rsid w:val="3EC62D97"/>
    <w:rsid w:val="3ED656D0"/>
    <w:rsid w:val="3EEE19AC"/>
    <w:rsid w:val="3EF47905"/>
    <w:rsid w:val="3F0538C0"/>
    <w:rsid w:val="3F1B1335"/>
    <w:rsid w:val="3F204B9E"/>
    <w:rsid w:val="3F247041"/>
    <w:rsid w:val="3F453CC2"/>
    <w:rsid w:val="3F66469D"/>
    <w:rsid w:val="3F7E18C4"/>
    <w:rsid w:val="3F88629F"/>
    <w:rsid w:val="3F9559A0"/>
    <w:rsid w:val="3F966C0E"/>
    <w:rsid w:val="3F9A4950"/>
    <w:rsid w:val="3FA255B3"/>
    <w:rsid w:val="3FC0579B"/>
    <w:rsid w:val="3FE12556"/>
    <w:rsid w:val="3FF322B2"/>
    <w:rsid w:val="40072094"/>
    <w:rsid w:val="40380BBF"/>
    <w:rsid w:val="40416B7A"/>
    <w:rsid w:val="40562885"/>
    <w:rsid w:val="405B6F2C"/>
    <w:rsid w:val="406E36E7"/>
    <w:rsid w:val="40736672"/>
    <w:rsid w:val="40797EA0"/>
    <w:rsid w:val="408227D7"/>
    <w:rsid w:val="40963F4E"/>
    <w:rsid w:val="409A272E"/>
    <w:rsid w:val="40B30F05"/>
    <w:rsid w:val="40B51316"/>
    <w:rsid w:val="40CC706A"/>
    <w:rsid w:val="40E165AE"/>
    <w:rsid w:val="40E419D6"/>
    <w:rsid w:val="410F6C78"/>
    <w:rsid w:val="412A1D04"/>
    <w:rsid w:val="412F541A"/>
    <w:rsid w:val="41335EAF"/>
    <w:rsid w:val="41405083"/>
    <w:rsid w:val="414C2F58"/>
    <w:rsid w:val="417F0B65"/>
    <w:rsid w:val="41B07D66"/>
    <w:rsid w:val="41B45633"/>
    <w:rsid w:val="41F45E6E"/>
    <w:rsid w:val="42022339"/>
    <w:rsid w:val="42132798"/>
    <w:rsid w:val="422055F1"/>
    <w:rsid w:val="425F59DD"/>
    <w:rsid w:val="426018CC"/>
    <w:rsid w:val="42646396"/>
    <w:rsid w:val="42A846D3"/>
    <w:rsid w:val="42B70C9D"/>
    <w:rsid w:val="42BF46CD"/>
    <w:rsid w:val="42C322F7"/>
    <w:rsid w:val="42F51E9D"/>
    <w:rsid w:val="430B346F"/>
    <w:rsid w:val="431861E4"/>
    <w:rsid w:val="433724B6"/>
    <w:rsid w:val="43377C58"/>
    <w:rsid w:val="434F15AD"/>
    <w:rsid w:val="435C3CCA"/>
    <w:rsid w:val="438876FC"/>
    <w:rsid w:val="438A0837"/>
    <w:rsid w:val="43A044FF"/>
    <w:rsid w:val="43BB6C43"/>
    <w:rsid w:val="43C964C9"/>
    <w:rsid w:val="43CD2C34"/>
    <w:rsid w:val="43CE2E1A"/>
    <w:rsid w:val="4400619E"/>
    <w:rsid w:val="440919EC"/>
    <w:rsid w:val="44225DA7"/>
    <w:rsid w:val="44225E77"/>
    <w:rsid w:val="44254A04"/>
    <w:rsid w:val="444A6CA0"/>
    <w:rsid w:val="44507CD3"/>
    <w:rsid w:val="44846754"/>
    <w:rsid w:val="448B59E3"/>
    <w:rsid w:val="449D218D"/>
    <w:rsid w:val="44A75419"/>
    <w:rsid w:val="44AE4D9C"/>
    <w:rsid w:val="44B32010"/>
    <w:rsid w:val="44C91833"/>
    <w:rsid w:val="44CE3A2B"/>
    <w:rsid w:val="453C5739"/>
    <w:rsid w:val="454C3CB1"/>
    <w:rsid w:val="45611A6C"/>
    <w:rsid w:val="45910BC6"/>
    <w:rsid w:val="45B62D3F"/>
    <w:rsid w:val="45B933A3"/>
    <w:rsid w:val="45C60EA8"/>
    <w:rsid w:val="45D24BF4"/>
    <w:rsid w:val="45E0118F"/>
    <w:rsid w:val="45F63EC0"/>
    <w:rsid w:val="46026DAB"/>
    <w:rsid w:val="46225DEE"/>
    <w:rsid w:val="464970FD"/>
    <w:rsid w:val="466C691A"/>
    <w:rsid w:val="46844BE7"/>
    <w:rsid w:val="4692534A"/>
    <w:rsid w:val="46957C1F"/>
    <w:rsid w:val="46B0341C"/>
    <w:rsid w:val="46C93D6D"/>
    <w:rsid w:val="472745EF"/>
    <w:rsid w:val="473D7A41"/>
    <w:rsid w:val="4750669E"/>
    <w:rsid w:val="47655843"/>
    <w:rsid w:val="4766336A"/>
    <w:rsid w:val="476F66C2"/>
    <w:rsid w:val="477517FF"/>
    <w:rsid w:val="47793279"/>
    <w:rsid w:val="479223B1"/>
    <w:rsid w:val="47A11CCF"/>
    <w:rsid w:val="47C159B7"/>
    <w:rsid w:val="47C3422D"/>
    <w:rsid w:val="47D909D6"/>
    <w:rsid w:val="47EA7AF7"/>
    <w:rsid w:val="47ED3A8B"/>
    <w:rsid w:val="480212E4"/>
    <w:rsid w:val="481C285F"/>
    <w:rsid w:val="48213131"/>
    <w:rsid w:val="48221986"/>
    <w:rsid w:val="487274B4"/>
    <w:rsid w:val="487E6AC6"/>
    <w:rsid w:val="488427FF"/>
    <w:rsid w:val="48A71E8C"/>
    <w:rsid w:val="48AB51BA"/>
    <w:rsid w:val="48EB497E"/>
    <w:rsid w:val="48FC3204"/>
    <w:rsid w:val="49064E04"/>
    <w:rsid w:val="49284D7B"/>
    <w:rsid w:val="49364A48"/>
    <w:rsid w:val="49437E06"/>
    <w:rsid w:val="49441489"/>
    <w:rsid w:val="495D2601"/>
    <w:rsid w:val="496A09F9"/>
    <w:rsid w:val="49885819"/>
    <w:rsid w:val="49891591"/>
    <w:rsid w:val="499D050F"/>
    <w:rsid w:val="49B36DD7"/>
    <w:rsid w:val="49B97D24"/>
    <w:rsid w:val="49C56A6D"/>
    <w:rsid w:val="49F7299F"/>
    <w:rsid w:val="4A064E42"/>
    <w:rsid w:val="4A2A4B22"/>
    <w:rsid w:val="4A55590F"/>
    <w:rsid w:val="4A63202C"/>
    <w:rsid w:val="4A6F5702"/>
    <w:rsid w:val="4A8055D9"/>
    <w:rsid w:val="4ACA29EA"/>
    <w:rsid w:val="4ACE7AED"/>
    <w:rsid w:val="4AE0491B"/>
    <w:rsid w:val="4B03161F"/>
    <w:rsid w:val="4B266BED"/>
    <w:rsid w:val="4B2C48CA"/>
    <w:rsid w:val="4B302306"/>
    <w:rsid w:val="4B3519D1"/>
    <w:rsid w:val="4B3A0D95"/>
    <w:rsid w:val="4B555BCF"/>
    <w:rsid w:val="4B66152C"/>
    <w:rsid w:val="4B7C13AE"/>
    <w:rsid w:val="4B997D17"/>
    <w:rsid w:val="4B9A1834"/>
    <w:rsid w:val="4BAD5A0B"/>
    <w:rsid w:val="4BE9413D"/>
    <w:rsid w:val="4BF90C50"/>
    <w:rsid w:val="4BF91CC9"/>
    <w:rsid w:val="4BFC65E6"/>
    <w:rsid w:val="4C2C4B82"/>
    <w:rsid w:val="4C312198"/>
    <w:rsid w:val="4C361629"/>
    <w:rsid w:val="4C453A97"/>
    <w:rsid w:val="4C485734"/>
    <w:rsid w:val="4CA767FC"/>
    <w:rsid w:val="4CB93F3C"/>
    <w:rsid w:val="4CC07196"/>
    <w:rsid w:val="4CC61ABE"/>
    <w:rsid w:val="4CFA4C80"/>
    <w:rsid w:val="4D043409"/>
    <w:rsid w:val="4D3A5FF3"/>
    <w:rsid w:val="4D673998"/>
    <w:rsid w:val="4D7A191D"/>
    <w:rsid w:val="4D8C33FE"/>
    <w:rsid w:val="4D8F77C9"/>
    <w:rsid w:val="4DA76B18"/>
    <w:rsid w:val="4DDE1E7D"/>
    <w:rsid w:val="4DFC4A28"/>
    <w:rsid w:val="4E0C586B"/>
    <w:rsid w:val="4E1738D6"/>
    <w:rsid w:val="4E193662"/>
    <w:rsid w:val="4E1C2CD0"/>
    <w:rsid w:val="4E30647F"/>
    <w:rsid w:val="4E322D1C"/>
    <w:rsid w:val="4E437F61"/>
    <w:rsid w:val="4E656491"/>
    <w:rsid w:val="4E943171"/>
    <w:rsid w:val="4EB76712"/>
    <w:rsid w:val="4EB96475"/>
    <w:rsid w:val="4EC6050B"/>
    <w:rsid w:val="4ECB4475"/>
    <w:rsid w:val="4EDD6607"/>
    <w:rsid w:val="4EE31744"/>
    <w:rsid w:val="4EEA48AC"/>
    <w:rsid w:val="4F1725FA"/>
    <w:rsid w:val="4F343D4D"/>
    <w:rsid w:val="4F4F465B"/>
    <w:rsid w:val="4F5E1AD4"/>
    <w:rsid w:val="4F8E16AF"/>
    <w:rsid w:val="4FCF01D2"/>
    <w:rsid w:val="4FE17A31"/>
    <w:rsid w:val="50203FF1"/>
    <w:rsid w:val="502B5150"/>
    <w:rsid w:val="504879DF"/>
    <w:rsid w:val="50497CF7"/>
    <w:rsid w:val="50574197"/>
    <w:rsid w:val="50816A1E"/>
    <w:rsid w:val="50A96705"/>
    <w:rsid w:val="50AB1303"/>
    <w:rsid w:val="50FE6564"/>
    <w:rsid w:val="510C1F17"/>
    <w:rsid w:val="5119769F"/>
    <w:rsid w:val="516C5A20"/>
    <w:rsid w:val="516F72BF"/>
    <w:rsid w:val="51740427"/>
    <w:rsid w:val="517B3EB5"/>
    <w:rsid w:val="51917235"/>
    <w:rsid w:val="51972622"/>
    <w:rsid w:val="51AB6549"/>
    <w:rsid w:val="51CB79F1"/>
    <w:rsid w:val="51D16620"/>
    <w:rsid w:val="51D610EC"/>
    <w:rsid w:val="51E07E88"/>
    <w:rsid w:val="51FC6DA4"/>
    <w:rsid w:val="524F6DE3"/>
    <w:rsid w:val="526C2DA9"/>
    <w:rsid w:val="527E3C5D"/>
    <w:rsid w:val="529214B7"/>
    <w:rsid w:val="52AA6800"/>
    <w:rsid w:val="52AB4326"/>
    <w:rsid w:val="52D300B0"/>
    <w:rsid w:val="52FA54CA"/>
    <w:rsid w:val="52FB52AE"/>
    <w:rsid w:val="53130849"/>
    <w:rsid w:val="531604FA"/>
    <w:rsid w:val="53193D38"/>
    <w:rsid w:val="5325057D"/>
    <w:rsid w:val="532C36B9"/>
    <w:rsid w:val="53426453"/>
    <w:rsid w:val="53671F1D"/>
    <w:rsid w:val="536D782E"/>
    <w:rsid w:val="53940B1D"/>
    <w:rsid w:val="53956558"/>
    <w:rsid w:val="53A476F3"/>
    <w:rsid w:val="53B86CFB"/>
    <w:rsid w:val="53CC67DD"/>
    <w:rsid w:val="53D6122F"/>
    <w:rsid w:val="541303D5"/>
    <w:rsid w:val="544B5808"/>
    <w:rsid w:val="545B714E"/>
    <w:rsid w:val="54822299"/>
    <w:rsid w:val="54870F4E"/>
    <w:rsid w:val="54882B71"/>
    <w:rsid w:val="549A28A4"/>
    <w:rsid w:val="549A7497"/>
    <w:rsid w:val="54B86362"/>
    <w:rsid w:val="54C11C45"/>
    <w:rsid w:val="54C3004D"/>
    <w:rsid w:val="54C811C0"/>
    <w:rsid w:val="54DC2EBD"/>
    <w:rsid w:val="54ED0C26"/>
    <w:rsid w:val="54FC530D"/>
    <w:rsid w:val="550666CF"/>
    <w:rsid w:val="551E5284"/>
    <w:rsid w:val="552E34A8"/>
    <w:rsid w:val="553F5754"/>
    <w:rsid w:val="554B78D9"/>
    <w:rsid w:val="55546EF7"/>
    <w:rsid w:val="555869E7"/>
    <w:rsid w:val="555D5DAC"/>
    <w:rsid w:val="557A1216"/>
    <w:rsid w:val="558275C0"/>
    <w:rsid w:val="55985036"/>
    <w:rsid w:val="55A7171D"/>
    <w:rsid w:val="55BA680E"/>
    <w:rsid w:val="55CA76F9"/>
    <w:rsid w:val="55CC5AF1"/>
    <w:rsid w:val="55D02A22"/>
    <w:rsid w:val="55ED4109"/>
    <w:rsid w:val="55F25F0B"/>
    <w:rsid w:val="56044479"/>
    <w:rsid w:val="560501F2"/>
    <w:rsid w:val="56084EC2"/>
    <w:rsid w:val="5612100A"/>
    <w:rsid w:val="563D612E"/>
    <w:rsid w:val="5641747C"/>
    <w:rsid w:val="564B02FA"/>
    <w:rsid w:val="56503B63"/>
    <w:rsid w:val="566B62A7"/>
    <w:rsid w:val="56811F6E"/>
    <w:rsid w:val="56835CE6"/>
    <w:rsid w:val="568947EB"/>
    <w:rsid w:val="56B66CD9"/>
    <w:rsid w:val="57094502"/>
    <w:rsid w:val="5738302A"/>
    <w:rsid w:val="573A3ECB"/>
    <w:rsid w:val="574E4D9E"/>
    <w:rsid w:val="57537FD5"/>
    <w:rsid w:val="57600ACE"/>
    <w:rsid w:val="57623F96"/>
    <w:rsid w:val="57664DCE"/>
    <w:rsid w:val="57763155"/>
    <w:rsid w:val="577E025B"/>
    <w:rsid w:val="57A91193"/>
    <w:rsid w:val="57BC2B32"/>
    <w:rsid w:val="57C83788"/>
    <w:rsid w:val="57D721B7"/>
    <w:rsid w:val="57DF507A"/>
    <w:rsid w:val="57EA3B43"/>
    <w:rsid w:val="57EF4246"/>
    <w:rsid w:val="5811096C"/>
    <w:rsid w:val="5814471C"/>
    <w:rsid w:val="584A41F8"/>
    <w:rsid w:val="585711D8"/>
    <w:rsid w:val="587D0513"/>
    <w:rsid w:val="58803ECD"/>
    <w:rsid w:val="58BE1257"/>
    <w:rsid w:val="58DF0933"/>
    <w:rsid w:val="58E721C7"/>
    <w:rsid w:val="58E86CA3"/>
    <w:rsid w:val="591744C4"/>
    <w:rsid w:val="591E1CF6"/>
    <w:rsid w:val="592963DB"/>
    <w:rsid w:val="59653481"/>
    <w:rsid w:val="597162CA"/>
    <w:rsid w:val="5979517E"/>
    <w:rsid w:val="59947D1D"/>
    <w:rsid w:val="599B3347"/>
    <w:rsid w:val="59A26483"/>
    <w:rsid w:val="59C42A07"/>
    <w:rsid w:val="59D81EA5"/>
    <w:rsid w:val="5A353697"/>
    <w:rsid w:val="5A696EB4"/>
    <w:rsid w:val="5A76346C"/>
    <w:rsid w:val="5A9870D7"/>
    <w:rsid w:val="5ABA5A4E"/>
    <w:rsid w:val="5AC8698F"/>
    <w:rsid w:val="5ACB367E"/>
    <w:rsid w:val="5AEB4E62"/>
    <w:rsid w:val="5AFE3B8D"/>
    <w:rsid w:val="5B0373F5"/>
    <w:rsid w:val="5B231846"/>
    <w:rsid w:val="5B24602D"/>
    <w:rsid w:val="5B334B39"/>
    <w:rsid w:val="5B401BAA"/>
    <w:rsid w:val="5B5473DC"/>
    <w:rsid w:val="5B743E4F"/>
    <w:rsid w:val="5B795F86"/>
    <w:rsid w:val="5B835E40"/>
    <w:rsid w:val="5B8A71CF"/>
    <w:rsid w:val="5BA1276A"/>
    <w:rsid w:val="5BAF30D9"/>
    <w:rsid w:val="5BB16D40"/>
    <w:rsid w:val="5BB94624"/>
    <w:rsid w:val="5BDC07D1"/>
    <w:rsid w:val="5BE07737"/>
    <w:rsid w:val="5C07081F"/>
    <w:rsid w:val="5C1E1400"/>
    <w:rsid w:val="5C361105"/>
    <w:rsid w:val="5C3B496D"/>
    <w:rsid w:val="5C4107CB"/>
    <w:rsid w:val="5C4C0928"/>
    <w:rsid w:val="5C583771"/>
    <w:rsid w:val="5C5C12BA"/>
    <w:rsid w:val="5CAC604F"/>
    <w:rsid w:val="5CBB703B"/>
    <w:rsid w:val="5CC96967"/>
    <w:rsid w:val="5CD07055"/>
    <w:rsid w:val="5CE52726"/>
    <w:rsid w:val="5CE60D7D"/>
    <w:rsid w:val="5CF22484"/>
    <w:rsid w:val="5CFD1C22"/>
    <w:rsid w:val="5D0D23D9"/>
    <w:rsid w:val="5D1A4B7F"/>
    <w:rsid w:val="5D4164B3"/>
    <w:rsid w:val="5D434890"/>
    <w:rsid w:val="5D443CF5"/>
    <w:rsid w:val="5D4930BA"/>
    <w:rsid w:val="5D504448"/>
    <w:rsid w:val="5D616655"/>
    <w:rsid w:val="5DBC7D30"/>
    <w:rsid w:val="5DC170F4"/>
    <w:rsid w:val="5DD11BB3"/>
    <w:rsid w:val="5DE15290"/>
    <w:rsid w:val="5E0E058B"/>
    <w:rsid w:val="5E2F22B0"/>
    <w:rsid w:val="5E3B2A02"/>
    <w:rsid w:val="5E7E34FE"/>
    <w:rsid w:val="5E877F0C"/>
    <w:rsid w:val="5E9B4495"/>
    <w:rsid w:val="5EB32D74"/>
    <w:rsid w:val="5EB6477F"/>
    <w:rsid w:val="5EC549C2"/>
    <w:rsid w:val="5ECC7AFE"/>
    <w:rsid w:val="5ED90675"/>
    <w:rsid w:val="5EEC3A96"/>
    <w:rsid w:val="5EF157B7"/>
    <w:rsid w:val="5EFB03E4"/>
    <w:rsid w:val="5F0F2F82"/>
    <w:rsid w:val="5F71028E"/>
    <w:rsid w:val="5F75353A"/>
    <w:rsid w:val="5F7D7F13"/>
    <w:rsid w:val="5F842357"/>
    <w:rsid w:val="5FC15189"/>
    <w:rsid w:val="600532C8"/>
    <w:rsid w:val="600E24AE"/>
    <w:rsid w:val="603F7682"/>
    <w:rsid w:val="606A66EB"/>
    <w:rsid w:val="60875CBE"/>
    <w:rsid w:val="60A909FE"/>
    <w:rsid w:val="60B151FE"/>
    <w:rsid w:val="60B8658C"/>
    <w:rsid w:val="60CE4002"/>
    <w:rsid w:val="60D1284F"/>
    <w:rsid w:val="60D62CA3"/>
    <w:rsid w:val="60DC595C"/>
    <w:rsid w:val="611B41A9"/>
    <w:rsid w:val="613021D1"/>
    <w:rsid w:val="614147D4"/>
    <w:rsid w:val="61451523"/>
    <w:rsid w:val="614B5652"/>
    <w:rsid w:val="6161442C"/>
    <w:rsid w:val="61750921"/>
    <w:rsid w:val="61880654"/>
    <w:rsid w:val="6197590A"/>
    <w:rsid w:val="61AF3E33"/>
    <w:rsid w:val="61CF5F64"/>
    <w:rsid w:val="61D349D1"/>
    <w:rsid w:val="61E671FB"/>
    <w:rsid w:val="61E86101"/>
    <w:rsid w:val="61EB408A"/>
    <w:rsid w:val="61EE6949"/>
    <w:rsid w:val="61F813CF"/>
    <w:rsid w:val="620E723F"/>
    <w:rsid w:val="62141EE8"/>
    <w:rsid w:val="62143C96"/>
    <w:rsid w:val="62253210"/>
    <w:rsid w:val="62324C9D"/>
    <w:rsid w:val="62375BD7"/>
    <w:rsid w:val="62540537"/>
    <w:rsid w:val="626B3B80"/>
    <w:rsid w:val="627D7A8D"/>
    <w:rsid w:val="62B9483E"/>
    <w:rsid w:val="62DC1DAC"/>
    <w:rsid w:val="62E23D94"/>
    <w:rsid w:val="62EF64B1"/>
    <w:rsid w:val="62FA10DE"/>
    <w:rsid w:val="62FE612C"/>
    <w:rsid w:val="63025B06"/>
    <w:rsid w:val="6333639E"/>
    <w:rsid w:val="63387DCB"/>
    <w:rsid w:val="63590B64"/>
    <w:rsid w:val="63872687"/>
    <w:rsid w:val="639C03E7"/>
    <w:rsid w:val="63A1155A"/>
    <w:rsid w:val="63B10E0F"/>
    <w:rsid w:val="63BF6FD1"/>
    <w:rsid w:val="63DA18BD"/>
    <w:rsid w:val="63E1404C"/>
    <w:rsid w:val="63E4504B"/>
    <w:rsid w:val="63FF5952"/>
    <w:rsid w:val="64011719"/>
    <w:rsid w:val="640E2967"/>
    <w:rsid w:val="641A61F8"/>
    <w:rsid w:val="64202DC6"/>
    <w:rsid w:val="64236BF9"/>
    <w:rsid w:val="6436055D"/>
    <w:rsid w:val="643E45A6"/>
    <w:rsid w:val="64416899"/>
    <w:rsid w:val="64505F45"/>
    <w:rsid w:val="64516CD9"/>
    <w:rsid w:val="645E569D"/>
    <w:rsid w:val="646B7DB9"/>
    <w:rsid w:val="646C4200"/>
    <w:rsid w:val="647666CF"/>
    <w:rsid w:val="648C045C"/>
    <w:rsid w:val="64A12F6B"/>
    <w:rsid w:val="64B259E8"/>
    <w:rsid w:val="64EE6A20"/>
    <w:rsid w:val="65183A9D"/>
    <w:rsid w:val="654A2129"/>
    <w:rsid w:val="654B3E73"/>
    <w:rsid w:val="657A6D9C"/>
    <w:rsid w:val="65841133"/>
    <w:rsid w:val="65AC34BA"/>
    <w:rsid w:val="65AD2600"/>
    <w:rsid w:val="65BF216B"/>
    <w:rsid w:val="65C634F9"/>
    <w:rsid w:val="65D976D1"/>
    <w:rsid w:val="65F30067"/>
    <w:rsid w:val="65F35DD0"/>
    <w:rsid w:val="65F55B8D"/>
    <w:rsid w:val="660E4009"/>
    <w:rsid w:val="662270C4"/>
    <w:rsid w:val="662D3578"/>
    <w:rsid w:val="662E03D6"/>
    <w:rsid w:val="66342B59"/>
    <w:rsid w:val="666B77CE"/>
    <w:rsid w:val="66876422"/>
    <w:rsid w:val="66974E96"/>
    <w:rsid w:val="669F44F8"/>
    <w:rsid w:val="66A217B7"/>
    <w:rsid w:val="66B2453A"/>
    <w:rsid w:val="66E6069B"/>
    <w:rsid w:val="67085FC4"/>
    <w:rsid w:val="67297347"/>
    <w:rsid w:val="67586449"/>
    <w:rsid w:val="679D76B0"/>
    <w:rsid w:val="67A41618"/>
    <w:rsid w:val="67B101D9"/>
    <w:rsid w:val="67FC2F18"/>
    <w:rsid w:val="682E182A"/>
    <w:rsid w:val="683C2ADF"/>
    <w:rsid w:val="683E01D5"/>
    <w:rsid w:val="688723D3"/>
    <w:rsid w:val="68975621"/>
    <w:rsid w:val="689C49E5"/>
    <w:rsid w:val="68CC1E36"/>
    <w:rsid w:val="68D0468F"/>
    <w:rsid w:val="68D51CA5"/>
    <w:rsid w:val="693E2E18"/>
    <w:rsid w:val="694E213E"/>
    <w:rsid w:val="694F4F20"/>
    <w:rsid w:val="695031F4"/>
    <w:rsid w:val="69AB22DA"/>
    <w:rsid w:val="69D23D87"/>
    <w:rsid w:val="69EB3E43"/>
    <w:rsid w:val="69F820EF"/>
    <w:rsid w:val="6A0E4073"/>
    <w:rsid w:val="6A15640E"/>
    <w:rsid w:val="6A3D5D54"/>
    <w:rsid w:val="6A426975"/>
    <w:rsid w:val="6A472A68"/>
    <w:rsid w:val="6A486BD3"/>
    <w:rsid w:val="6A854B9B"/>
    <w:rsid w:val="6A9260A0"/>
    <w:rsid w:val="6A9E2C97"/>
    <w:rsid w:val="6AA3205B"/>
    <w:rsid w:val="6AB42CF3"/>
    <w:rsid w:val="6AB9362D"/>
    <w:rsid w:val="6AC87D14"/>
    <w:rsid w:val="6AE368FC"/>
    <w:rsid w:val="6B073DF6"/>
    <w:rsid w:val="6B1A4EC6"/>
    <w:rsid w:val="6B1E2904"/>
    <w:rsid w:val="6B1E5B86"/>
    <w:rsid w:val="6B2573DB"/>
    <w:rsid w:val="6B4C17C5"/>
    <w:rsid w:val="6B4D2B15"/>
    <w:rsid w:val="6B511AB7"/>
    <w:rsid w:val="6B855C05"/>
    <w:rsid w:val="6B99520C"/>
    <w:rsid w:val="6BA267ED"/>
    <w:rsid w:val="6BF30DC0"/>
    <w:rsid w:val="6C225864"/>
    <w:rsid w:val="6C316EB7"/>
    <w:rsid w:val="6C3D1780"/>
    <w:rsid w:val="6C666856"/>
    <w:rsid w:val="6C6C2AD7"/>
    <w:rsid w:val="6C9E6F7E"/>
    <w:rsid w:val="6CAB169B"/>
    <w:rsid w:val="6CC93727"/>
    <w:rsid w:val="6CF03552"/>
    <w:rsid w:val="6CFF5543"/>
    <w:rsid w:val="6D062D75"/>
    <w:rsid w:val="6D09723B"/>
    <w:rsid w:val="6D243B67"/>
    <w:rsid w:val="6D48513C"/>
    <w:rsid w:val="6D4C1FCA"/>
    <w:rsid w:val="6D535F87"/>
    <w:rsid w:val="6D7D5608"/>
    <w:rsid w:val="6D9066A4"/>
    <w:rsid w:val="6DA700B4"/>
    <w:rsid w:val="6DA71E62"/>
    <w:rsid w:val="6DCD3EB2"/>
    <w:rsid w:val="6DD10C8D"/>
    <w:rsid w:val="6DD80D8D"/>
    <w:rsid w:val="6DF83A97"/>
    <w:rsid w:val="6E0E5E44"/>
    <w:rsid w:val="6E11552E"/>
    <w:rsid w:val="6E146DCC"/>
    <w:rsid w:val="6E152CDB"/>
    <w:rsid w:val="6E154156"/>
    <w:rsid w:val="6E366EBA"/>
    <w:rsid w:val="6E3D2A73"/>
    <w:rsid w:val="6E46167B"/>
    <w:rsid w:val="6E7D2BC3"/>
    <w:rsid w:val="6EA37DB5"/>
    <w:rsid w:val="6EAB3BD4"/>
    <w:rsid w:val="6EB70495"/>
    <w:rsid w:val="6EBF31DC"/>
    <w:rsid w:val="6F03527C"/>
    <w:rsid w:val="6F082DD5"/>
    <w:rsid w:val="6F1A48B6"/>
    <w:rsid w:val="6F257845"/>
    <w:rsid w:val="6F4F3169"/>
    <w:rsid w:val="6F541B76"/>
    <w:rsid w:val="6F5F177E"/>
    <w:rsid w:val="6F803996"/>
    <w:rsid w:val="6F806E0F"/>
    <w:rsid w:val="6F8D5088"/>
    <w:rsid w:val="6F914B78"/>
    <w:rsid w:val="6F96754E"/>
    <w:rsid w:val="6F991C7F"/>
    <w:rsid w:val="6FC82821"/>
    <w:rsid w:val="6FCB26C1"/>
    <w:rsid w:val="6FFB6495"/>
    <w:rsid w:val="70046D83"/>
    <w:rsid w:val="701518CA"/>
    <w:rsid w:val="70192C51"/>
    <w:rsid w:val="70420F06"/>
    <w:rsid w:val="7064228D"/>
    <w:rsid w:val="706B20A7"/>
    <w:rsid w:val="70840239"/>
    <w:rsid w:val="708C2977"/>
    <w:rsid w:val="70983CE4"/>
    <w:rsid w:val="709A5CAE"/>
    <w:rsid w:val="70C70595"/>
    <w:rsid w:val="70E91AA9"/>
    <w:rsid w:val="70FA59F8"/>
    <w:rsid w:val="70FE448F"/>
    <w:rsid w:val="71072C18"/>
    <w:rsid w:val="710D6480"/>
    <w:rsid w:val="711772FF"/>
    <w:rsid w:val="712872E9"/>
    <w:rsid w:val="712B2E91"/>
    <w:rsid w:val="713B684A"/>
    <w:rsid w:val="719E532A"/>
    <w:rsid w:val="71AF5789"/>
    <w:rsid w:val="71B52674"/>
    <w:rsid w:val="71B61295"/>
    <w:rsid w:val="71DD7A24"/>
    <w:rsid w:val="720E1DF4"/>
    <w:rsid w:val="722112F4"/>
    <w:rsid w:val="72227D09"/>
    <w:rsid w:val="722C3185"/>
    <w:rsid w:val="722F2426"/>
    <w:rsid w:val="72335600"/>
    <w:rsid w:val="723D4B43"/>
    <w:rsid w:val="72620A4E"/>
    <w:rsid w:val="72671CB0"/>
    <w:rsid w:val="72706D1F"/>
    <w:rsid w:val="72746BDD"/>
    <w:rsid w:val="7279567C"/>
    <w:rsid w:val="727D3192"/>
    <w:rsid w:val="727E1F48"/>
    <w:rsid w:val="72B86E14"/>
    <w:rsid w:val="72C834C6"/>
    <w:rsid w:val="72CE1C3F"/>
    <w:rsid w:val="72E32DBD"/>
    <w:rsid w:val="72E66F89"/>
    <w:rsid w:val="72EB511F"/>
    <w:rsid w:val="72F0391D"/>
    <w:rsid w:val="72F134FC"/>
    <w:rsid w:val="72F673C4"/>
    <w:rsid w:val="73027B3B"/>
    <w:rsid w:val="73267CCD"/>
    <w:rsid w:val="734233DC"/>
    <w:rsid w:val="73451423"/>
    <w:rsid w:val="73691BC5"/>
    <w:rsid w:val="73981C67"/>
    <w:rsid w:val="73A740C2"/>
    <w:rsid w:val="73E07E7C"/>
    <w:rsid w:val="73E6120B"/>
    <w:rsid w:val="74277859"/>
    <w:rsid w:val="744A0A36"/>
    <w:rsid w:val="74504C9C"/>
    <w:rsid w:val="74976A94"/>
    <w:rsid w:val="74B04CDE"/>
    <w:rsid w:val="74B547F1"/>
    <w:rsid w:val="74BD640F"/>
    <w:rsid w:val="74D7657E"/>
    <w:rsid w:val="74DD616A"/>
    <w:rsid w:val="74E848E4"/>
    <w:rsid w:val="74EA0887"/>
    <w:rsid w:val="74F04754"/>
    <w:rsid w:val="74FD4A5E"/>
    <w:rsid w:val="74FE2C7D"/>
    <w:rsid w:val="7501454E"/>
    <w:rsid w:val="751541D2"/>
    <w:rsid w:val="751A7EE5"/>
    <w:rsid w:val="751B4EE4"/>
    <w:rsid w:val="752124FA"/>
    <w:rsid w:val="752E7228"/>
    <w:rsid w:val="756845CD"/>
    <w:rsid w:val="756E398C"/>
    <w:rsid w:val="75765B5E"/>
    <w:rsid w:val="758807CB"/>
    <w:rsid w:val="759C4277"/>
    <w:rsid w:val="75B96BD7"/>
    <w:rsid w:val="75C31803"/>
    <w:rsid w:val="75C57F15"/>
    <w:rsid w:val="75DD1931"/>
    <w:rsid w:val="75E55076"/>
    <w:rsid w:val="75F44423"/>
    <w:rsid w:val="75FE45EA"/>
    <w:rsid w:val="761958C7"/>
    <w:rsid w:val="762713B4"/>
    <w:rsid w:val="76283D5C"/>
    <w:rsid w:val="763B575E"/>
    <w:rsid w:val="765C2B6F"/>
    <w:rsid w:val="76962725"/>
    <w:rsid w:val="76A61356"/>
    <w:rsid w:val="77152FBD"/>
    <w:rsid w:val="77317F25"/>
    <w:rsid w:val="77400721"/>
    <w:rsid w:val="77613F66"/>
    <w:rsid w:val="776A6D0B"/>
    <w:rsid w:val="776B3F01"/>
    <w:rsid w:val="77957B2F"/>
    <w:rsid w:val="77AB69F3"/>
    <w:rsid w:val="77BC475C"/>
    <w:rsid w:val="77D0356D"/>
    <w:rsid w:val="77D2381E"/>
    <w:rsid w:val="77E570E8"/>
    <w:rsid w:val="77EB3EFF"/>
    <w:rsid w:val="77FA7033"/>
    <w:rsid w:val="78066D81"/>
    <w:rsid w:val="78177433"/>
    <w:rsid w:val="781E5417"/>
    <w:rsid w:val="782347DB"/>
    <w:rsid w:val="7826607A"/>
    <w:rsid w:val="78290233"/>
    <w:rsid w:val="7836450F"/>
    <w:rsid w:val="78444D3A"/>
    <w:rsid w:val="786C6182"/>
    <w:rsid w:val="786F5C73"/>
    <w:rsid w:val="7874387B"/>
    <w:rsid w:val="78792841"/>
    <w:rsid w:val="787C1390"/>
    <w:rsid w:val="78BB0EB8"/>
    <w:rsid w:val="78BC0E85"/>
    <w:rsid w:val="78CD7ACF"/>
    <w:rsid w:val="78E63461"/>
    <w:rsid w:val="78EB7A9A"/>
    <w:rsid w:val="78F32400"/>
    <w:rsid w:val="78FB64A7"/>
    <w:rsid w:val="790C526F"/>
    <w:rsid w:val="790F61C2"/>
    <w:rsid w:val="791B54B2"/>
    <w:rsid w:val="79246A5D"/>
    <w:rsid w:val="792C3B64"/>
    <w:rsid w:val="79586707"/>
    <w:rsid w:val="796E4A27"/>
    <w:rsid w:val="797846B3"/>
    <w:rsid w:val="79832BE1"/>
    <w:rsid w:val="798474FC"/>
    <w:rsid w:val="79F14F58"/>
    <w:rsid w:val="7A0D6B52"/>
    <w:rsid w:val="7A1F7FEC"/>
    <w:rsid w:val="7A212F9C"/>
    <w:rsid w:val="7A226B24"/>
    <w:rsid w:val="7A2D7B93"/>
    <w:rsid w:val="7A3235F1"/>
    <w:rsid w:val="7A441008"/>
    <w:rsid w:val="7A5549F4"/>
    <w:rsid w:val="7A6B08D3"/>
    <w:rsid w:val="7A8B651E"/>
    <w:rsid w:val="7A993EC5"/>
    <w:rsid w:val="7A9E6D85"/>
    <w:rsid w:val="7AA656A5"/>
    <w:rsid w:val="7AAE5DB4"/>
    <w:rsid w:val="7AB11CB6"/>
    <w:rsid w:val="7AB12572"/>
    <w:rsid w:val="7AD54C07"/>
    <w:rsid w:val="7ADC3B7E"/>
    <w:rsid w:val="7AEE0676"/>
    <w:rsid w:val="7B2F2B06"/>
    <w:rsid w:val="7B407452"/>
    <w:rsid w:val="7B4A3A05"/>
    <w:rsid w:val="7B516098"/>
    <w:rsid w:val="7B551150"/>
    <w:rsid w:val="7B6249F8"/>
    <w:rsid w:val="7B685D25"/>
    <w:rsid w:val="7B762E74"/>
    <w:rsid w:val="7B902188"/>
    <w:rsid w:val="7B9A6B62"/>
    <w:rsid w:val="7BA22866"/>
    <w:rsid w:val="7BFD5343"/>
    <w:rsid w:val="7C1508DF"/>
    <w:rsid w:val="7C5165BF"/>
    <w:rsid w:val="7C5F7F87"/>
    <w:rsid w:val="7C8623D2"/>
    <w:rsid w:val="7C8810C4"/>
    <w:rsid w:val="7C991510"/>
    <w:rsid w:val="7C9E56BA"/>
    <w:rsid w:val="7CA73C2D"/>
    <w:rsid w:val="7CAD0525"/>
    <w:rsid w:val="7CC5493F"/>
    <w:rsid w:val="7CE309DD"/>
    <w:rsid w:val="7CEF1130"/>
    <w:rsid w:val="7CEF7382"/>
    <w:rsid w:val="7D00333D"/>
    <w:rsid w:val="7D0355C4"/>
    <w:rsid w:val="7D145E23"/>
    <w:rsid w:val="7D3D1E9B"/>
    <w:rsid w:val="7D4116FC"/>
    <w:rsid w:val="7D422E99"/>
    <w:rsid w:val="7D4F0A23"/>
    <w:rsid w:val="7D6660A9"/>
    <w:rsid w:val="7D782ED3"/>
    <w:rsid w:val="7DA22646"/>
    <w:rsid w:val="7DA55C93"/>
    <w:rsid w:val="7DAF266D"/>
    <w:rsid w:val="7DF12C86"/>
    <w:rsid w:val="7DF21621"/>
    <w:rsid w:val="7E01736D"/>
    <w:rsid w:val="7E265025"/>
    <w:rsid w:val="7E2A0282"/>
    <w:rsid w:val="7E381CF1"/>
    <w:rsid w:val="7E421843"/>
    <w:rsid w:val="7E8F0526"/>
    <w:rsid w:val="7E9957F7"/>
    <w:rsid w:val="7EA45F4A"/>
    <w:rsid w:val="7EBB3E9D"/>
    <w:rsid w:val="7ED24271"/>
    <w:rsid w:val="7EDA0961"/>
    <w:rsid w:val="7EDB5E10"/>
    <w:rsid w:val="7EDE7ED6"/>
    <w:rsid w:val="7EF02F3D"/>
    <w:rsid w:val="7EFD6547"/>
    <w:rsid w:val="7EFD797B"/>
    <w:rsid w:val="7F00119D"/>
    <w:rsid w:val="7F01339C"/>
    <w:rsid w:val="7F0B1256"/>
    <w:rsid w:val="7F1E2075"/>
    <w:rsid w:val="7F2A7E75"/>
    <w:rsid w:val="7F453289"/>
    <w:rsid w:val="7F4671ED"/>
    <w:rsid w:val="7F482D79"/>
    <w:rsid w:val="7F4C4618"/>
    <w:rsid w:val="7F5D6B4C"/>
    <w:rsid w:val="7F6F0306"/>
    <w:rsid w:val="7F8C710A"/>
    <w:rsid w:val="7FA2248A"/>
    <w:rsid w:val="7FB0104A"/>
    <w:rsid w:val="7FC56178"/>
    <w:rsid w:val="7FD44C9D"/>
    <w:rsid w:val="7FE44850"/>
    <w:rsid w:val="7FF0259C"/>
    <w:rsid w:val="7FF17541"/>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autoRedefine/>
    <w:qFormat/>
    <w:uiPriority w:val="0"/>
    <w:pPr>
      <w:keepNext/>
      <w:keepLines/>
      <w:spacing w:before="340" w:after="330" w:line="576" w:lineRule="auto"/>
      <w:outlineLvl w:val="0"/>
    </w:pPr>
    <w:rPr>
      <w:b/>
      <w:spacing w:val="-2"/>
      <w:kern w:val="0"/>
      <w:sz w:val="24"/>
    </w:rPr>
  </w:style>
  <w:style w:type="paragraph" w:styleId="3">
    <w:name w:val="heading 2"/>
    <w:basedOn w:val="1"/>
    <w:next w:val="1"/>
    <w:link w:val="449"/>
    <w:autoRedefine/>
    <w:qFormat/>
    <w:uiPriority w:val="0"/>
    <w:pPr>
      <w:keepNext/>
      <w:keepLines/>
      <w:spacing w:before="260" w:after="260" w:line="500" w:lineRule="exact"/>
      <w:outlineLvl w:val="1"/>
    </w:pPr>
    <w:rPr>
      <w:rFonts w:ascii="楷体_GB2312" w:hAnsi="Arial" w:eastAsia="楷体_GB2312"/>
      <w:b/>
      <w:bCs/>
      <w:sz w:val="24"/>
      <w:szCs w:val="32"/>
    </w:rPr>
  </w:style>
  <w:style w:type="paragraph" w:styleId="4">
    <w:name w:val="heading 3"/>
    <w:basedOn w:val="1"/>
    <w:next w:val="1"/>
    <w:link w:val="344"/>
    <w:autoRedefine/>
    <w:qFormat/>
    <w:uiPriority w:val="0"/>
    <w:pPr>
      <w:keepNext/>
      <w:keepLines/>
      <w:spacing w:before="260" w:after="260" w:line="413" w:lineRule="auto"/>
      <w:outlineLvl w:val="2"/>
    </w:pPr>
    <w:rPr>
      <w:b/>
      <w:sz w:val="32"/>
    </w:rPr>
  </w:style>
  <w:style w:type="paragraph" w:styleId="5">
    <w:name w:val="heading 4"/>
    <w:basedOn w:val="1"/>
    <w:next w:val="1"/>
    <w:link w:val="345"/>
    <w:autoRedefine/>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346"/>
    <w:autoRedefine/>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47"/>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link w:val="348"/>
    <w:autoRedefine/>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link w:val="349"/>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link w:val="350"/>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autoRedefine/>
    <w:unhideWhenUsed/>
    <w:qFormat/>
    <w:uiPriority w:val="1"/>
  </w:style>
  <w:style w:type="table" w:default="1" w:styleId="52">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link w:val="351"/>
    <w:autoRedefine/>
    <w:qFormat/>
    <w:uiPriority w:val="0"/>
    <w:pPr>
      <w:ind w:firstLine="420"/>
    </w:pPr>
  </w:style>
  <w:style w:type="paragraph" w:styleId="12">
    <w:name w:val="toc 7"/>
    <w:basedOn w:val="1"/>
    <w:next w:val="1"/>
    <w:autoRedefine/>
    <w:unhideWhenUsed/>
    <w:qFormat/>
    <w:uiPriority w:val="39"/>
    <w:pPr>
      <w:adjustRightInd w:val="0"/>
      <w:snapToGrid w:val="0"/>
      <w:spacing w:line="360" w:lineRule="auto"/>
      <w:ind w:left="1440"/>
      <w:jc w:val="left"/>
    </w:pPr>
    <w:rPr>
      <w:rFonts w:ascii="Calibri" w:hAnsi="Calibri"/>
      <w:sz w:val="18"/>
      <w:szCs w:val="18"/>
    </w:rPr>
  </w:style>
  <w:style w:type="paragraph" w:styleId="13">
    <w:name w:val="Note Heading"/>
    <w:basedOn w:val="1"/>
    <w:next w:val="1"/>
    <w:link w:val="415"/>
    <w:autoRedefine/>
    <w:qFormat/>
    <w:uiPriority w:val="0"/>
    <w:pPr>
      <w:adjustRightInd w:val="0"/>
      <w:snapToGrid w:val="0"/>
      <w:spacing w:line="360" w:lineRule="auto"/>
      <w:jc w:val="center"/>
    </w:pPr>
    <w:rPr>
      <w:kern w:val="0"/>
      <w:sz w:val="20"/>
      <w:szCs w:val="24"/>
    </w:rPr>
  </w:style>
  <w:style w:type="paragraph" w:styleId="14">
    <w:name w:val="caption"/>
    <w:basedOn w:val="1"/>
    <w:next w:val="1"/>
    <w:autoRedefine/>
    <w:qFormat/>
    <w:uiPriority w:val="0"/>
    <w:pPr>
      <w:adjustRightInd w:val="0"/>
      <w:snapToGrid w:val="0"/>
      <w:spacing w:line="300" w:lineRule="auto"/>
      <w:ind w:firstLine="200" w:firstLineChars="200"/>
    </w:pPr>
    <w:rPr>
      <w:rFonts w:ascii="Cambria" w:hAnsi="Cambria" w:eastAsia="黑体"/>
      <w:sz w:val="20"/>
    </w:rPr>
  </w:style>
  <w:style w:type="paragraph" w:styleId="15">
    <w:name w:val="index 5"/>
    <w:basedOn w:val="1"/>
    <w:next w:val="1"/>
    <w:autoRedefine/>
    <w:qFormat/>
    <w:uiPriority w:val="0"/>
    <w:pPr>
      <w:adjustRightInd w:val="0"/>
      <w:snapToGrid w:val="0"/>
      <w:spacing w:line="360" w:lineRule="auto"/>
      <w:ind w:left="800" w:leftChars="800" w:firstLine="200" w:firstLineChars="200"/>
    </w:pPr>
    <w:rPr>
      <w:sz w:val="24"/>
      <w:szCs w:val="24"/>
    </w:rPr>
  </w:style>
  <w:style w:type="paragraph" w:styleId="16">
    <w:name w:val="Document Map"/>
    <w:basedOn w:val="1"/>
    <w:link w:val="336"/>
    <w:autoRedefine/>
    <w:qFormat/>
    <w:uiPriority w:val="0"/>
    <w:pPr>
      <w:shd w:val="clear" w:color="auto" w:fill="000080"/>
    </w:pPr>
  </w:style>
  <w:style w:type="paragraph" w:styleId="17">
    <w:name w:val="annotation text"/>
    <w:basedOn w:val="1"/>
    <w:link w:val="353"/>
    <w:autoRedefine/>
    <w:qFormat/>
    <w:uiPriority w:val="0"/>
    <w:pPr>
      <w:adjustRightInd w:val="0"/>
      <w:snapToGrid w:val="0"/>
      <w:spacing w:line="360" w:lineRule="auto"/>
      <w:jc w:val="left"/>
    </w:pPr>
    <w:rPr>
      <w:rFonts w:eastAsia="微软雅黑"/>
      <w:kern w:val="0"/>
      <w:sz w:val="24"/>
      <w:szCs w:val="24"/>
    </w:rPr>
  </w:style>
  <w:style w:type="paragraph" w:styleId="18">
    <w:name w:val="Body Text 3"/>
    <w:basedOn w:val="1"/>
    <w:link w:val="367"/>
    <w:autoRedefine/>
    <w:qFormat/>
    <w:uiPriority w:val="0"/>
    <w:pPr>
      <w:spacing w:line="500" w:lineRule="exact"/>
    </w:pPr>
    <w:rPr>
      <w:b/>
      <w:sz w:val="24"/>
    </w:rPr>
  </w:style>
  <w:style w:type="paragraph" w:styleId="19">
    <w:name w:val="Body Text"/>
    <w:basedOn w:val="1"/>
    <w:next w:val="20"/>
    <w:link w:val="340"/>
    <w:autoRedefine/>
    <w:qFormat/>
    <w:uiPriority w:val="0"/>
    <w:pPr>
      <w:spacing w:after="120"/>
    </w:p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1">
    <w:name w:val="Body Text Indent"/>
    <w:basedOn w:val="1"/>
    <w:link w:val="335"/>
    <w:autoRedefine/>
    <w:qFormat/>
    <w:uiPriority w:val="0"/>
    <w:pPr>
      <w:ind w:firstLine="630"/>
    </w:pPr>
    <w:rPr>
      <w:sz w:val="32"/>
    </w:rPr>
  </w:style>
  <w:style w:type="paragraph" w:styleId="22">
    <w:name w:val="List 2"/>
    <w:basedOn w:val="1"/>
    <w:autoRedefine/>
    <w:qFormat/>
    <w:uiPriority w:val="0"/>
    <w:pPr>
      <w:adjustRightInd w:val="0"/>
      <w:snapToGrid w:val="0"/>
      <w:spacing w:line="360" w:lineRule="auto"/>
      <w:ind w:left="100" w:leftChars="200" w:hanging="200" w:hangingChars="200"/>
    </w:pPr>
    <w:rPr>
      <w:rFonts w:eastAsia="微软雅黑"/>
      <w:sz w:val="24"/>
      <w:szCs w:val="24"/>
    </w:rPr>
  </w:style>
  <w:style w:type="paragraph" w:styleId="23">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24">
    <w:name w:val="HTML Address"/>
    <w:basedOn w:val="1"/>
    <w:link w:val="388"/>
    <w:autoRedefine/>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5">
    <w:name w:val="toc 5"/>
    <w:basedOn w:val="1"/>
    <w:next w:val="1"/>
    <w:autoRedefine/>
    <w:unhideWhenUsed/>
    <w:qFormat/>
    <w:uiPriority w:val="39"/>
    <w:pPr>
      <w:adjustRightInd w:val="0"/>
      <w:snapToGrid w:val="0"/>
      <w:spacing w:line="360" w:lineRule="auto"/>
      <w:ind w:left="960"/>
      <w:jc w:val="left"/>
    </w:pPr>
    <w:rPr>
      <w:rFonts w:ascii="Calibri" w:hAnsi="Calibri"/>
      <w:sz w:val="18"/>
      <w:szCs w:val="18"/>
    </w:rPr>
  </w:style>
  <w:style w:type="paragraph" w:styleId="26">
    <w:name w:val="toc 3"/>
    <w:basedOn w:val="1"/>
    <w:next w:val="1"/>
    <w:autoRedefine/>
    <w:qFormat/>
    <w:uiPriority w:val="39"/>
    <w:pPr>
      <w:tabs>
        <w:tab w:val="right" w:leader="dot" w:pos="8398"/>
      </w:tabs>
      <w:spacing w:line="400" w:lineRule="exact"/>
      <w:ind w:left="-2" w:firstLine="209" w:firstLineChars="87"/>
      <w:jc w:val="left"/>
    </w:pPr>
    <w:rPr>
      <w:rFonts w:ascii="宋体" w:hAnsi="宋体"/>
      <w:i/>
      <w:sz w:val="24"/>
    </w:rPr>
  </w:style>
  <w:style w:type="paragraph" w:styleId="27">
    <w:name w:val="Plain Text"/>
    <w:basedOn w:val="1"/>
    <w:link w:val="327"/>
    <w:autoRedefine/>
    <w:qFormat/>
    <w:uiPriority w:val="0"/>
    <w:rPr>
      <w:rFonts w:ascii="宋体" w:hAnsi="Courier New"/>
    </w:rPr>
  </w:style>
  <w:style w:type="paragraph" w:styleId="28">
    <w:name w:val="toc 8"/>
    <w:basedOn w:val="1"/>
    <w:next w:val="1"/>
    <w:autoRedefine/>
    <w:unhideWhenUsed/>
    <w:qFormat/>
    <w:uiPriority w:val="39"/>
    <w:pPr>
      <w:adjustRightInd w:val="0"/>
      <w:snapToGrid w:val="0"/>
      <w:spacing w:line="360" w:lineRule="auto"/>
      <w:ind w:left="1680"/>
      <w:jc w:val="left"/>
    </w:pPr>
    <w:rPr>
      <w:rFonts w:ascii="Calibri" w:hAnsi="Calibri"/>
      <w:sz w:val="18"/>
      <w:szCs w:val="18"/>
    </w:rPr>
  </w:style>
  <w:style w:type="paragraph" w:styleId="29">
    <w:name w:val="Date"/>
    <w:basedOn w:val="1"/>
    <w:next w:val="1"/>
    <w:link w:val="365"/>
    <w:autoRedefine/>
    <w:qFormat/>
    <w:uiPriority w:val="0"/>
    <w:rPr>
      <w:rFonts w:eastAsia="黑体"/>
      <w:sz w:val="36"/>
    </w:rPr>
  </w:style>
  <w:style w:type="paragraph" w:styleId="30">
    <w:name w:val="Body Text Indent 2"/>
    <w:basedOn w:val="1"/>
    <w:link w:val="334"/>
    <w:autoRedefine/>
    <w:qFormat/>
    <w:uiPriority w:val="0"/>
    <w:pPr>
      <w:ind w:firstLine="630"/>
    </w:pPr>
    <w:rPr>
      <w:sz w:val="32"/>
    </w:rPr>
  </w:style>
  <w:style w:type="paragraph" w:styleId="31">
    <w:name w:val="Balloon Text"/>
    <w:basedOn w:val="1"/>
    <w:link w:val="355"/>
    <w:autoRedefine/>
    <w:qFormat/>
    <w:uiPriority w:val="99"/>
    <w:rPr>
      <w:sz w:val="18"/>
    </w:rPr>
  </w:style>
  <w:style w:type="paragraph" w:styleId="32">
    <w:name w:val="footer"/>
    <w:basedOn w:val="1"/>
    <w:link w:val="343"/>
    <w:autoRedefine/>
    <w:qFormat/>
    <w:uiPriority w:val="99"/>
    <w:pPr>
      <w:tabs>
        <w:tab w:val="center" w:pos="4153"/>
        <w:tab w:val="right" w:pos="8306"/>
      </w:tabs>
      <w:snapToGrid w:val="0"/>
      <w:jc w:val="left"/>
    </w:pPr>
    <w:rPr>
      <w:sz w:val="18"/>
    </w:rPr>
  </w:style>
  <w:style w:type="paragraph" w:styleId="33">
    <w:name w:val="header"/>
    <w:basedOn w:val="1"/>
    <w:link w:val="342"/>
    <w:autoRedefine/>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caps/>
      <w:sz w:val="24"/>
    </w:rPr>
  </w:style>
  <w:style w:type="paragraph" w:styleId="35">
    <w:name w:val="toc 4"/>
    <w:basedOn w:val="1"/>
    <w:next w:val="1"/>
    <w:autoRedefine/>
    <w:qFormat/>
    <w:uiPriority w:val="39"/>
    <w:pPr>
      <w:adjustRightInd w:val="0"/>
      <w:snapToGrid w:val="0"/>
      <w:spacing w:line="360" w:lineRule="auto"/>
      <w:ind w:left="720"/>
      <w:jc w:val="left"/>
    </w:pPr>
    <w:rPr>
      <w:rFonts w:ascii="Calibri" w:hAnsi="Calibri"/>
      <w:sz w:val="18"/>
      <w:szCs w:val="18"/>
    </w:rPr>
  </w:style>
  <w:style w:type="paragraph" w:styleId="36">
    <w:name w:val="index heading"/>
    <w:basedOn w:val="1"/>
    <w:next w:val="37"/>
    <w:autoRedefine/>
    <w:qFormat/>
    <w:uiPriority w:val="0"/>
    <w:pPr>
      <w:adjustRightInd w:val="0"/>
      <w:snapToGrid w:val="0"/>
      <w:spacing w:line="360" w:lineRule="auto"/>
      <w:ind w:firstLine="200" w:firstLineChars="200"/>
    </w:pPr>
    <w:rPr>
      <w:sz w:val="24"/>
      <w:szCs w:val="24"/>
    </w:rPr>
  </w:style>
  <w:style w:type="paragraph" w:styleId="37">
    <w:name w:val="index 1"/>
    <w:basedOn w:val="1"/>
    <w:next w:val="1"/>
    <w:autoRedefine/>
    <w:qFormat/>
    <w:uiPriority w:val="0"/>
    <w:pPr>
      <w:spacing w:line="360" w:lineRule="auto"/>
    </w:pPr>
    <w:rPr>
      <w:rFonts w:ascii="仿宋_GB2312" w:eastAsia="仿宋_GB2312"/>
      <w:sz w:val="24"/>
    </w:rPr>
  </w:style>
  <w:style w:type="paragraph" w:styleId="38">
    <w:name w:val="Subtitle"/>
    <w:link w:val="379"/>
    <w:autoRedefine/>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39">
    <w:name w:val="List"/>
    <w:basedOn w:val="1"/>
    <w:autoRedefine/>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40">
    <w:name w:val="footnote text"/>
    <w:basedOn w:val="1"/>
    <w:link w:val="360"/>
    <w:autoRedefine/>
    <w:qFormat/>
    <w:uiPriority w:val="0"/>
    <w:pPr>
      <w:adjustRightInd w:val="0"/>
      <w:snapToGrid w:val="0"/>
      <w:spacing w:line="360" w:lineRule="auto"/>
    </w:pPr>
    <w:rPr>
      <w:kern w:val="0"/>
      <w:sz w:val="20"/>
    </w:rPr>
  </w:style>
  <w:style w:type="paragraph" w:styleId="41">
    <w:name w:val="toc 6"/>
    <w:basedOn w:val="1"/>
    <w:next w:val="1"/>
    <w:autoRedefine/>
    <w:unhideWhenUsed/>
    <w:qFormat/>
    <w:uiPriority w:val="39"/>
    <w:pPr>
      <w:adjustRightInd w:val="0"/>
      <w:snapToGrid w:val="0"/>
      <w:spacing w:line="360" w:lineRule="auto"/>
      <w:ind w:left="1200"/>
      <w:jc w:val="left"/>
    </w:pPr>
    <w:rPr>
      <w:rFonts w:ascii="Calibri" w:hAnsi="Calibri"/>
      <w:sz w:val="18"/>
      <w:szCs w:val="18"/>
    </w:rPr>
  </w:style>
  <w:style w:type="paragraph" w:styleId="42">
    <w:name w:val="Body Text Indent 3"/>
    <w:basedOn w:val="1"/>
    <w:link w:val="357"/>
    <w:autoRedefine/>
    <w:qFormat/>
    <w:uiPriority w:val="0"/>
    <w:pPr>
      <w:adjustRightInd w:val="0"/>
      <w:snapToGrid w:val="0"/>
      <w:spacing w:line="360" w:lineRule="auto"/>
      <w:ind w:firstLine="600" w:firstLineChars="200"/>
    </w:pPr>
    <w:rPr>
      <w:rFonts w:ascii="黑体" w:eastAsia="黑体"/>
      <w:sz w:val="30"/>
    </w:rPr>
  </w:style>
  <w:style w:type="paragraph" w:styleId="43">
    <w:name w:val="toc 2"/>
    <w:basedOn w:val="1"/>
    <w:next w:val="1"/>
    <w:autoRedefine/>
    <w:qFormat/>
    <w:uiPriority w:val="39"/>
    <w:pPr>
      <w:tabs>
        <w:tab w:val="right" w:leader="dot" w:pos="8400"/>
      </w:tabs>
      <w:ind w:left="210"/>
      <w:jc w:val="left"/>
    </w:pPr>
    <w:rPr>
      <w:rFonts w:ascii="宋体" w:hAnsi="宋体"/>
      <w:b/>
      <w:smallCaps/>
      <w:sz w:val="24"/>
    </w:rPr>
  </w:style>
  <w:style w:type="paragraph" w:styleId="44">
    <w:name w:val="toc 9"/>
    <w:basedOn w:val="1"/>
    <w:next w:val="1"/>
    <w:autoRedefine/>
    <w:unhideWhenUsed/>
    <w:qFormat/>
    <w:uiPriority w:val="39"/>
    <w:pPr>
      <w:adjustRightInd w:val="0"/>
      <w:snapToGrid w:val="0"/>
      <w:spacing w:line="360" w:lineRule="auto"/>
      <w:ind w:left="1920"/>
      <w:jc w:val="left"/>
    </w:pPr>
    <w:rPr>
      <w:rFonts w:ascii="Calibri" w:hAnsi="Calibri"/>
      <w:sz w:val="18"/>
      <w:szCs w:val="18"/>
    </w:rPr>
  </w:style>
  <w:style w:type="paragraph" w:styleId="45">
    <w:name w:val="Body Text 2"/>
    <w:basedOn w:val="1"/>
    <w:link w:val="364"/>
    <w:autoRedefine/>
    <w:qFormat/>
    <w:uiPriority w:val="0"/>
    <w:pPr>
      <w:spacing w:after="120" w:line="480" w:lineRule="auto"/>
    </w:pPr>
  </w:style>
  <w:style w:type="paragraph" w:styleId="46">
    <w:name w:val="HTML Preformatted"/>
    <w:basedOn w:val="1"/>
    <w:link w:val="3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18"/>
    </w:rPr>
  </w:style>
  <w:style w:type="paragraph" w:styleId="48">
    <w:name w:val="Title"/>
    <w:basedOn w:val="1"/>
    <w:next w:val="1"/>
    <w:link w:val="375"/>
    <w:autoRedefine/>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49">
    <w:name w:val="annotation subject"/>
    <w:basedOn w:val="17"/>
    <w:next w:val="17"/>
    <w:link w:val="354"/>
    <w:autoRedefine/>
    <w:qFormat/>
    <w:uiPriority w:val="0"/>
    <w:rPr>
      <w:b/>
      <w:bCs/>
    </w:rPr>
  </w:style>
  <w:style w:type="paragraph" w:styleId="50">
    <w:name w:val="Body Text First Indent"/>
    <w:basedOn w:val="19"/>
    <w:link w:val="352"/>
    <w:autoRedefine/>
    <w:qFormat/>
    <w:uiPriority w:val="0"/>
    <w:pPr>
      <w:ind w:firstLine="420" w:firstLineChars="100"/>
    </w:pPr>
  </w:style>
  <w:style w:type="paragraph" w:styleId="51">
    <w:name w:val="Body Text First Indent 2"/>
    <w:basedOn w:val="21"/>
    <w:autoRedefine/>
    <w:unhideWhenUsed/>
    <w:qFormat/>
    <w:uiPriority w:val="0"/>
    <w:pPr>
      <w:ind w:firstLine="420" w:firstLineChars="200"/>
    </w:pPr>
  </w:style>
  <w:style w:type="table" w:styleId="53">
    <w:name w:val="Table Grid"/>
    <w:basedOn w:val="52"/>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basedOn w:val="54"/>
    <w:autoRedefine/>
    <w:qFormat/>
    <w:uiPriority w:val="0"/>
    <w:rPr>
      <w:b/>
    </w:rPr>
  </w:style>
  <w:style w:type="character" w:styleId="56">
    <w:name w:val="page number"/>
    <w:basedOn w:val="54"/>
    <w:autoRedefine/>
    <w:qFormat/>
    <w:uiPriority w:val="0"/>
  </w:style>
  <w:style w:type="character" w:styleId="57">
    <w:name w:val="FollowedHyperlink"/>
    <w:basedOn w:val="54"/>
    <w:autoRedefine/>
    <w:qFormat/>
    <w:uiPriority w:val="0"/>
    <w:rPr>
      <w:color w:val="800080"/>
      <w:u w:val="single"/>
    </w:rPr>
  </w:style>
  <w:style w:type="character" w:styleId="58">
    <w:name w:val="Emphasis"/>
    <w:autoRedefine/>
    <w:qFormat/>
    <w:uiPriority w:val="20"/>
    <w:rPr>
      <w:color w:val="CC0033"/>
    </w:rPr>
  </w:style>
  <w:style w:type="character" w:styleId="59">
    <w:name w:val="Hyperlink"/>
    <w:basedOn w:val="54"/>
    <w:autoRedefine/>
    <w:qFormat/>
    <w:uiPriority w:val="0"/>
    <w:rPr>
      <w:color w:val="0000FF"/>
      <w:u w:val="single"/>
    </w:rPr>
  </w:style>
  <w:style w:type="character" w:styleId="60">
    <w:name w:val="HTML Code"/>
    <w:autoRedefine/>
    <w:qFormat/>
    <w:uiPriority w:val="0"/>
    <w:rPr>
      <w:rFonts w:ascii="黑体" w:hAnsi="Courier New" w:eastAsia="黑体" w:cs="楷体_GB2312"/>
      <w:sz w:val="20"/>
      <w:szCs w:val="20"/>
    </w:rPr>
  </w:style>
  <w:style w:type="character" w:styleId="61">
    <w:name w:val="annotation reference"/>
    <w:basedOn w:val="54"/>
    <w:autoRedefine/>
    <w:qFormat/>
    <w:uiPriority w:val="0"/>
    <w:rPr>
      <w:sz w:val="21"/>
    </w:rPr>
  </w:style>
  <w:style w:type="paragraph" w:customStyle="1" w:styleId="62">
    <w:name w:val="正文缩进1"/>
    <w:basedOn w:val="1"/>
    <w:autoRedefine/>
    <w:qFormat/>
    <w:uiPriority w:val="0"/>
    <w:pPr>
      <w:widowControl/>
      <w:ind w:firstLine="420"/>
    </w:pPr>
    <w:rPr>
      <w:color w:val="000000"/>
    </w:rPr>
  </w:style>
  <w:style w:type="character" w:customStyle="1" w:styleId="63">
    <w:name w:val="标题 1 Char"/>
    <w:link w:val="2"/>
    <w:autoRedefine/>
    <w:qFormat/>
    <w:uiPriority w:val="0"/>
    <w:rPr>
      <w:rFonts w:eastAsia="宋体"/>
      <w:b/>
      <w:spacing w:val="-2"/>
      <w:sz w:val="24"/>
      <w:lang w:val="en-US" w:eastAsia="zh-CN" w:bidi="ar-SA"/>
    </w:rPr>
  </w:style>
  <w:style w:type="character" w:customStyle="1" w:styleId="64">
    <w:name w:val="标题 2 Char"/>
    <w:link w:val="3"/>
    <w:autoRedefine/>
    <w:qFormat/>
    <w:uiPriority w:val="0"/>
    <w:rPr>
      <w:rFonts w:ascii="楷体_GB2312" w:hAnsi="Arial" w:eastAsia="楷体_GB2312"/>
      <w:b/>
      <w:bCs/>
      <w:kern w:val="2"/>
      <w:sz w:val="24"/>
      <w:szCs w:val="32"/>
      <w:lang w:val="en-US" w:eastAsia="zh-CN" w:bidi="ar-SA"/>
    </w:rPr>
  </w:style>
  <w:style w:type="paragraph" w:customStyle="1" w:styleId="65">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 w:type="paragraph" w:customStyle="1" w:styleId="66">
    <w:name w:val="段"/>
    <w:autoRedefine/>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正文文本缩进 2 Char"/>
    <w:autoRedefine/>
    <w:qFormat/>
    <w:uiPriority w:val="0"/>
    <w:rPr>
      <w:rFonts w:eastAsia="宋体"/>
      <w:kern w:val="2"/>
      <w:sz w:val="32"/>
      <w:lang w:val="en-US" w:eastAsia="zh-CN" w:bidi="ar-SA"/>
    </w:rPr>
  </w:style>
  <w:style w:type="paragraph" w:customStyle="1" w:styleId="69">
    <w:name w:val="（符号）三标题1.1"/>
    <w:basedOn w:val="1"/>
    <w:link w:val="328"/>
    <w:autoRedefine/>
    <w:qFormat/>
    <w:uiPriority w:val="0"/>
    <w:pPr>
      <w:numPr>
        <w:ilvl w:val="1"/>
        <w:numId w:val="3"/>
      </w:numPr>
      <w:tabs>
        <w:tab w:val="left" w:pos="0"/>
      </w:tabs>
      <w:spacing w:line="500" w:lineRule="exact"/>
    </w:pPr>
    <w:rPr>
      <w:rFonts w:ascii="宋体" w:hAnsi="宋体"/>
      <w:sz w:val="24"/>
      <w:szCs w:val="24"/>
    </w:rPr>
  </w:style>
  <w:style w:type="paragraph" w:customStyle="1" w:styleId="70">
    <w:name w:val="Char"/>
    <w:basedOn w:val="1"/>
    <w:link w:val="330"/>
    <w:autoRedefine/>
    <w:qFormat/>
    <w:uiPriority w:val="0"/>
    <w:pPr>
      <w:widowControl/>
      <w:spacing w:before="100" w:beforeAutospacing="1" w:after="100" w:afterAutospacing="1" w:line="360" w:lineRule="auto"/>
      <w:jc w:val="left"/>
    </w:pPr>
    <w:rPr>
      <w:b/>
      <w:sz w:val="32"/>
    </w:rPr>
  </w:style>
  <w:style w:type="paragraph" w:customStyle="1" w:styleId="71">
    <w:name w:val="正文首行缩进两字符"/>
    <w:basedOn w:val="1"/>
    <w:link w:val="332"/>
    <w:autoRedefine/>
    <w:qFormat/>
    <w:uiPriority w:val="0"/>
    <w:pPr>
      <w:spacing w:line="360" w:lineRule="auto"/>
      <w:ind w:firstLine="200" w:firstLineChars="200"/>
    </w:pPr>
  </w:style>
  <w:style w:type="paragraph" w:customStyle="1" w:styleId="72">
    <w:name w:val="Char1 Char Char Char Char Char Char"/>
    <w:basedOn w:val="1"/>
    <w:autoRedefine/>
    <w:qFormat/>
    <w:uiPriority w:val="0"/>
  </w:style>
  <w:style w:type="paragraph" w:customStyle="1" w:styleId="73">
    <w:name w:val="纯文本1"/>
    <w:basedOn w:val="1"/>
    <w:autoRedefine/>
    <w:qFormat/>
    <w:uiPriority w:val="0"/>
    <w:pPr>
      <w:adjustRightInd w:val="0"/>
      <w:textAlignment w:val="baseline"/>
    </w:pPr>
    <w:rPr>
      <w:rFonts w:ascii="宋体" w:hAnsi="Courier New"/>
    </w:rPr>
  </w:style>
  <w:style w:type="paragraph" w:customStyle="1" w:styleId="74">
    <w:name w:val="Table Text"/>
    <w:basedOn w:val="1"/>
    <w:autoRedefine/>
    <w:qFormat/>
    <w:uiPriority w:val="0"/>
    <w:pPr>
      <w:widowControl/>
      <w:spacing w:before="60" w:after="60"/>
      <w:jc w:val="left"/>
    </w:pPr>
    <w:rPr>
      <w:kern w:val="0"/>
    </w:rPr>
  </w:style>
  <w:style w:type="paragraph" w:customStyle="1" w:styleId="75">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6">
    <w:name w:val="Char Char Char Char Char Char1 Char"/>
    <w:basedOn w:val="16"/>
    <w:autoRedefine/>
    <w:qFormat/>
    <w:uiPriority w:val="0"/>
    <w:rPr>
      <w:rFonts w:ascii="Tahoma" w:hAnsi="Tahoma"/>
      <w:sz w:val="24"/>
    </w:rPr>
  </w:style>
  <w:style w:type="paragraph" w:customStyle="1" w:styleId="77">
    <w:name w:val="0"/>
    <w:basedOn w:val="1"/>
    <w:autoRedefine/>
    <w:qFormat/>
    <w:uiPriority w:val="0"/>
    <w:pPr>
      <w:widowControl/>
      <w:spacing w:before="100" w:beforeAutospacing="1" w:after="100" w:afterAutospacing="1"/>
      <w:jc w:val="left"/>
    </w:pPr>
    <w:rPr>
      <w:rFonts w:ascii="宋体" w:hAnsi="宋体"/>
      <w:color w:val="000000"/>
      <w:kern w:val="0"/>
      <w:sz w:val="18"/>
    </w:rPr>
  </w:style>
  <w:style w:type="paragraph" w:customStyle="1" w:styleId="78">
    <w:name w:val="Char Char Char Char"/>
    <w:basedOn w:val="1"/>
    <w:autoRedefine/>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9">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80">
    <w:name w:val="Char Char Char Char Char Char"/>
    <w:basedOn w:val="1"/>
    <w:autoRedefine/>
    <w:qFormat/>
    <w:uiPriority w:val="0"/>
    <w:rPr>
      <w:rFonts w:ascii="Tahoma" w:hAnsi="Tahoma"/>
      <w:sz w:val="24"/>
    </w:rPr>
  </w:style>
  <w:style w:type="paragraph" w:customStyle="1" w:styleId="81">
    <w:name w:val="Char2 Char Char Char"/>
    <w:basedOn w:val="1"/>
    <w:autoRedefine/>
    <w:qFormat/>
    <w:uiPriority w:val="0"/>
    <w:rPr>
      <w:rFonts w:ascii="仿宋_GB2312" w:eastAsia="仿宋_GB2312"/>
      <w:b/>
      <w:sz w:val="32"/>
    </w:rPr>
  </w:style>
  <w:style w:type="paragraph" w:customStyle="1" w:styleId="82">
    <w:name w:val="Char1"/>
    <w:basedOn w:val="1"/>
    <w:autoRedefine/>
    <w:qFormat/>
    <w:uiPriority w:val="0"/>
  </w:style>
  <w:style w:type="paragraph" w:customStyle="1" w:styleId="83">
    <w:name w:val="正文1"/>
    <w:link w:val="4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默认段落字体 Para Char Char Char Char Char Char Char Char Char1 Char Char Char Char"/>
    <w:basedOn w:val="1"/>
    <w:autoRedefine/>
    <w:qFormat/>
    <w:uiPriority w:val="0"/>
    <w:rPr>
      <w:rFonts w:ascii="Tahoma" w:hAnsi="Tahoma"/>
      <w:sz w:val="24"/>
    </w:rPr>
  </w:style>
  <w:style w:type="paragraph" w:customStyle="1" w:styleId="8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6">
    <w:name w:val="缺省文本"/>
    <w:basedOn w:val="1"/>
    <w:autoRedefine/>
    <w:qFormat/>
    <w:uiPriority w:val="0"/>
    <w:pPr>
      <w:autoSpaceDE w:val="0"/>
      <w:autoSpaceDN w:val="0"/>
      <w:adjustRightInd w:val="0"/>
      <w:jc w:val="left"/>
    </w:pPr>
    <w:rPr>
      <w:kern w:val="0"/>
      <w:sz w:val="24"/>
    </w:rPr>
  </w:style>
  <w:style w:type="paragraph" w:customStyle="1" w:styleId="87">
    <w:name w:val="样式 首行缩进:  2 字符"/>
    <w:basedOn w:val="1"/>
    <w:autoRedefine/>
    <w:qFormat/>
    <w:uiPriority w:val="0"/>
    <w:pPr>
      <w:spacing w:line="400" w:lineRule="exact"/>
      <w:ind w:firstLine="200" w:firstLineChars="200"/>
    </w:pPr>
    <w:rPr>
      <w:sz w:val="24"/>
    </w:rPr>
  </w:style>
  <w:style w:type="paragraph" w:customStyle="1" w:styleId="88">
    <w:name w:val="Char2"/>
    <w:basedOn w:val="1"/>
    <w:autoRedefine/>
    <w:qFormat/>
    <w:uiPriority w:val="0"/>
    <w:pPr>
      <w:widowControl/>
      <w:spacing w:after="160" w:line="240" w:lineRule="exact"/>
      <w:jc w:val="left"/>
    </w:pPr>
  </w:style>
  <w:style w:type="paragraph" w:customStyle="1" w:styleId="89">
    <w:name w:val="table head"/>
    <w:basedOn w:val="1"/>
    <w:autoRedefine/>
    <w:qFormat/>
    <w:uiPriority w:val="0"/>
    <w:pPr>
      <w:keepNext/>
      <w:keepLines/>
      <w:adjustRightInd w:val="0"/>
      <w:spacing w:line="312" w:lineRule="atLeast"/>
      <w:jc w:val="center"/>
      <w:textAlignment w:val="baseline"/>
    </w:pPr>
    <w:rPr>
      <w:b/>
      <w:kern w:val="0"/>
    </w:rPr>
  </w:style>
  <w:style w:type="paragraph" w:customStyle="1" w:styleId="90">
    <w:name w:val="表格"/>
    <w:basedOn w:val="1"/>
    <w:autoRedefine/>
    <w:qFormat/>
    <w:uiPriority w:val="0"/>
    <w:pPr>
      <w:spacing w:line="400" w:lineRule="exact"/>
    </w:pPr>
    <w:rPr>
      <w:sz w:val="24"/>
    </w:rPr>
  </w:style>
  <w:style w:type="paragraph" w:customStyle="1" w:styleId="91">
    <w:name w:val="plain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2">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3">
    <w:name w:val="列出段落1"/>
    <w:basedOn w:val="1"/>
    <w:autoRedefine/>
    <w:qFormat/>
    <w:uiPriority w:val="34"/>
    <w:pPr>
      <w:ind w:firstLine="420" w:firstLineChars="200"/>
    </w:pPr>
  </w:style>
  <w:style w:type="paragraph" w:customStyle="1" w:styleId="94">
    <w:name w:val="Char111"/>
    <w:basedOn w:val="1"/>
    <w:autoRedefine/>
    <w:qFormat/>
    <w:uiPriority w:val="0"/>
    <w:rPr>
      <w:rFonts w:ascii="仿宋_GB2312" w:eastAsia="仿宋_GB2312"/>
      <w:b/>
      <w:sz w:val="32"/>
    </w:rPr>
  </w:style>
  <w:style w:type="paragraph" w:customStyle="1" w:styleId="95">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文字2"/>
    <w:basedOn w:val="19"/>
    <w:autoRedefine/>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7">
    <w:name w:val="节标题"/>
    <w:basedOn w:val="1"/>
    <w:next w:val="1"/>
    <w:autoRedefine/>
    <w:qFormat/>
    <w:uiPriority w:val="0"/>
    <w:pPr>
      <w:widowControl/>
      <w:spacing w:line="289" w:lineRule="atLeast"/>
      <w:jc w:val="center"/>
      <w:textAlignment w:val="baseline"/>
    </w:pPr>
    <w:rPr>
      <w:color w:val="000000"/>
      <w:kern w:val="0"/>
      <w:sz w:val="28"/>
      <w:u w:color="000000"/>
    </w:rPr>
  </w:style>
  <w:style w:type="paragraph" w:customStyle="1" w:styleId="98">
    <w:name w:val="1 Char Char Char Char"/>
    <w:basedOn w:val="1"/>
    <w:autoRedefine/>
    <w:qFormat/>
    <w:uiPriority w:val="0"/>
    <w:rPr>
      <w:rFonts w:ascii="Tahoma" w:hAnsi="Tahoma"/>
      <w:sz w:val="24"/>
    </w:rPr>
  </w:style>
  <w:style w:type="paragraph" w:customStyle="1" w:styleId="99">
    <w:name w:val="默认段落字体 Para Char Char Char Char Char Char Char Char Char1 Char"/>
    <w:basedOn w:val="1"/>
    <w:autoRedefine/>
    <w:qFormat/>
    <w:uiPriority w:val="0"/>
    <w:rPr>
      <w:rFonts w:ascii="Tahoma" w:hAnsi="Tahoma"/>
      <w:sz w:val="24"/>
    </w:rPr>
  </w:style>
  <w:style w:type="paragraph" w:customStyle="1" w:styleId="10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01">
    <w:name w:val="黑体 四号 加粗"/>
    <w:basedOn w:val="1"/>
    <w:autoRedefine/>
    <w:qFormat/>
    <w:uiPriority w:val="0"/>
    <w:pPr>
      <w:spacing w:beforeLines="50" w:afterLines="50"/>
    </w:pPr>
    <w:rPr>
      <w:rFonts w:ascii="黑体" w:hAnsi="华文细黑" w:eastAsia="黑体"/>
      <w:b/>
      <w:sz w:val="28"/>
      <w:szCs w:val="28"/>
    </w:rPr>
  </w:style>
  <w:style w:type="paragraph" w:customStyle="1" w:styleId="102">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pa-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内容正文"/>
    <w:basedOn w:val="1"/>
    <w:autoRedefine/>
    <w:qFormat/>
    <w:uiPriority w:val="0"/>
    <w:pPr>
      <w:widowControl/>
      <w:numPr>
        <w:ilvl w:val="1"/>
        <w:numId w:val="4"/>
      </w:numPr>
      <w:tabs>
        <w:tab w:val="left" w:pos="630"/>
      </w:tabs>
      <w:jc w:val="left"/>
    </w:pPr>
    <w:rPr>
      <w:kern w:val="0"/>
    </w:rPr>
  </w:style>
  <w:style w:type="paragraph" w:customStyle="1" w:styleId="106">
    <w:name w:val="p0"/>
    <w:basedOn w:val="1"/>
    <w:autoRedefine/>
    <w:qFormat/>
    <w:uiPriority w:val="0"/>
    <w:pPr>
      <w:widowControl/>
    </w:pPr>
    <w:rPr>
      <w:rFonts w:ascii="宋体" w:hAnsi="宋体" w:cs="宋体"/>
      <w:kern w:val="0"/>
      <w:szCs w:val="21"/>
    </w:rPr>
  </w:style>
  <w:style w:type="paragraph" w:customStyle="1" w:styleId="10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8">
    <w:name w:val="D标4"/>
    <w:basedOn w:val="1"/>
    <w:next w:val="1"/>
    <w:autoRedefine/>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09">
    <w:name w:val="正文首行缩进."/>
    <w:basedOn w:val="1"/>
    <w:autoRedefine/>
    <w:qFormat/>
    <w:uiPriority w:val="0"/>
    <w:pPr>
      <w:widowControl/>
      <w:spacing w:line="360" w:lineRule="auto"/>
      <w:ind w:firstLine="200" w:firstLineChars="200"/>
      <w:jc w:val="left"/>
    </w:pPr>
    <w:rPr>
      <w:rFonts w:ascii="Arial" w:hAnsi="Arial"/>
      <w:kern w:val="0"/>
      <w:sz w:val="24"/>
      <w:szCs w:val="21"/>
    </w:rPr>
  </w:style>
  <w:style w:type="paragraph" w:customStyle="1" w:styleId="110">
    <w:name w:val="列表内容"/>
    <w:basedOn w:val="1"/>
    <w:next w:val="1"/>
    <w:autoRedefine/>
    <w:qFormat/>
    <w:uiPriority w:val="0"/>
    <w:pPr>
      <w:widowControl/>
      <w:numPr>
        <w:ilvl w:val="0"/>
        <w:numId w:val="6"/>
      </w:numPr>
      <w:tabs>
        <w:tab w:val="left" w:pos="840"/>
      </w:tabs>
      <w:jc w:val="left"/>
    </w:pPr>
    <w:rPr>
      <w:kern w:val="0"/>
      <w:sz w:val="18"/>
    </w:rPr>
  </w:style>
  <w:style w:type="paragraph" w:customStyle="1" w:styleId="111">
    <w:name w:val="表格文字"/>
    <w:basedOn w:val="1"/>
    <w:next w:val="7"/>
    <w:autoRedefine/>
    <w:qFormat/>
    <w:uiPriority w:val="0"/>
    <w:pPr>
      <w:adjustRightInd w:val="0"/>
      <w:snapToGrid w:val="0"/>
      <w:spacing w:line="360" w:lineRule="auto"/>
    </w:pPr>
    <w:rPr>
      <w:rFonts w:ascii="Arial" w:hAnsi="Arial"/>
      <w:spacing w:val="-5"/>
      <w:kern w:val="0"/>
      <w:sz w:val="24"/>
    </w:rPr>
  </w:style>
  <w:style w:type="paragraph" w:customStyle="1" w:styleId="112">
    <w:name w:val="样式1"/>
    <w:basedOn w:val="3"/>
    <w:autoRedefine/>
    <w:qFormat/>
    <w:uiPriority w:val="0"/>
    <w:pPr>
      <w:adjustRightInd w:val="0"/>
      <w:snapToGrid w:val="0"/>
      <w:spacing w:before="120" w:after="120" w:line="360" w:lineRule="auto"/>
      <w:ind w:firstLine="57"/>
    </w:pPr>
    <w:rPr>
      <w:rFonts w:ascii="微软雅黑" w:hAnsi="微软雅黑"/>
      <w:sz w:val="32"/>
    </w:rPr>
  </w:style>
  <w:style w:type="paragraph" w:customStyle="1" w:styleId="113">
    <w:name w:val="样式 小四 首行缩进:  0.74 厘米 行距: 1.5 倍行距"/>
    <w:basedOn w:val="1"/>
    <w:autoRedefine/>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4">
    <w:name w:val="1"/>
    <w:basedOn w:val="1"/>
    <w:next w:val="21"/>
    <w:autoRedefine/>
    <w:qFormat/>
    <w:uiPriority w:val="0"/>
    <w:pPr>
      <w:adjustRightInd w:val="0"/>
      <w:snapToGrid w:val="0"/>
      <w:spacing w:line="360" w:lineRule="auto"/>
      <w:ind w:firstLine="420" w:firstLineChars="200"/>
    </w:pPr>
    <w:rPr>
      <w:sz w:val="24"/>
      <w:szCs w:val="24"/>
    </w:rPr>
  </w:style>
  <w:style w:type="paragraph" w:customStyle="1" w:styleId="115">
    <w:name w:val="Char24"/>
    <w:basedOn w:val="1"/>
    <w:autoRedefine/>
    <w:qFormat/>
    <w:uiPriority w:val="0"/>
    <w:pPr>
      <w:adjustRightInd w:val="0"/>
      <w:snapToGrid w:val="0"/>
      <w:spacing w:line="360" w:lineRule="auto"/>
    </w:pPr>
    <w:rPr>
      <w:rFonts w:ascii="仿宋_GB2312" w:eastAsia="仿宋_GB2312"/>
      <w:b/>
      <w:sz w:val="32"/>
      <w:szCs w:val="32"/>
    </w:rPr>
  </w:style>
  <w:style w:type="paragraph" w:customStyle="1" w:styleId="116">
    <w:name w:val="样式 正文缩进 + 首行缩进:  2 字符"/>
    <w:basedOn w:val="7"/>
    <w:autoRedefine/>
    <w:qFormat/>
    <w:uiPriority w:val="0"/>
    <w:pPr>
      <w:snapToGrid w:val="0"/>
      <w:spacing w:line="360" w:lineRule="auto"/>
      <w:ind w:firstLine="200" w:firstLineChars="200"/>
    </w:pPr>
    <w:rPr>
      <w:rFonts w:cs="宋体"/>
      <w:sz w:val="24"/>
    </w:rPr>
  </w:style>
  <w:style w:type="paragraph" w:customStyle="1" w:styleId="117">
    <w:name w:val="样式2"/>
    <w:basedOn w:val="1"/>
    <w:autoRedefine/>
    <w:qFormat/>
    <w:uiPriority w:val="0"/>
    <w:pPr>
      <w:adjustRightInd w:val="0"/>
      <w:snapToGrid w:val="0"/>
      <w:spacing w:line="360" w:lineRule="auto"/>
    </w:pPr>
    <w:rPr>
      <w:sz w:val="24"/>
      <w:szCs w:val="24"/>
    </w:rPr>
  </w:style>
  <w:style w:type="paragraph" w:customStyle="1" w:styleId="118">
    <w:name w:val="样式3"/>
    <w:basedOn w:val="1"/>
    <w:autoRedefine/>
    <w:qFormat/>
    <w:uiPriority w:val="0"/>
    <w:pPr>
      <w:adjustRightInd w:val="0"/>
      <w:snapToGrid w:val="0"/>
      <w:spacing w:line="440" w:lineRule="exact"/>
      <w:ind w:firstLine="539"/>
    </w:pPr>
    <w:rPr>
      <w:sz w:val="24"/>
    </w:rPr>
  </w:style>
  <w:style w:type="paragraph" w:customStyle="1" w:styleId="119">
    <w:name w:val="样式4"/>
    <w:basedOn w:val="4"/>
    <w:autoRedefine/>
    <w:qFormat/>
    <w:uiPriority w:val="0"/>
    <w:pPr>
      <w:adjustRightInd w:val="0"/>
      <w:snapToGrid w:val="0"/>
      <w:spacing w:before="0" w:after="0" w:line="240" w:lineRule="auto"/>
      <w:jc w:val="center"/>
    </w:pPr>
    <w:rPr>
      <w:bCs/>
      <w:kern w:val="0"/>
      <w:sz w:val="24"/>
    </w:rPr>
  </w:style>
  <w:style w:type="paragraph" w:customStyle="1" w:styleId="120">
    <w:name w:val="样式5"/>
    <w:basedOn w:val="5"/>
    <w:autoRedefine/>
    <w:qFormat/>
    <w:uiPriority w:val="0"/>
    <w:pPr>
      <w:adjustRightInd w:val="0"/>
      <w:snapToGrid w:val="0"/>
      <w:spacing w:line="376" w:lineRule="auto"/>
    </w:pPr>
    <w:rPr>
      <w:rFonts w:ascii="宋体" w:hAnsi="宋体" w:eastAsia="宋体"/>
      <w:bCs/>
      <w:kern w:val="0"/>
      <w:sz w:val="24"/>
      <w:szCs w:val="28"/>
    </w:rPr>
  </w:style>
  <w:style w:type="paragraph" w:customStyle="1" w:styleId="121">
    <w:name w:val="样式6"/>
    <w:basedOn w:val="5"/>
    <w:next w:val="1"/>
    <w:autoRedefine/>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22">
    <w:name w:val="正文文字缩进项目"/>
    <w:basedOn w:val="21"/>
    <w:autoRedefine/>
    <w:qFormat/>
    <w:uiPriority w:val="0"/>
    <w:pPr>
      <w:numPr>
        <w:ilvl w:val="0"/>
        <w:numId w:val="8"/>
      </w:numPr>
      <w:adjustRightInd w:val="0"/>
      <w:snapToGrid w:val="0"/>
      <w:spacing w:after="120"/>
      <w:ind w:left="0"/>
    </w:pPr>
    <w:rPr>
      <w:rFonts w:ascii="Tahoma" w:hAnsi="Tahoma"/>
      <w:kern w:val="0"/>
      <w:sz w:val="22"/>
    </w:rPr>
  </w:style>
  <w:style w:type="paragraph" w:customStyle="1" w:styleId="123">
    <w:name w:val="样式 标题 2H2h2Underrubrik1prop2l2Chapter Titlesect 1.2DO NO..."/>
    <w:basedOn w:val="3"/>
    <w:autoRedefine/>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4">
    <w:name w:val="列出段落111"/>
    <w:basedOn w:val="1"/>
    <w:autoRedefine/>
    <w:qFormat/>
    <w:uiPriority w:val="34"/>
    <w:pPr>
      <w:adjustRightInd w:val="0"/>
      <w:snapToGrid w:val="0"/>
      <w:spacing w:line="360" w:lineRule="auto"/>
      <w:ind w:firstLine="420" w:firstLineChars="200"/>
    </w:pPr>
    <w:rPr>
      <w:rFonts w:ascii="宋体" w:hAnsi="宋体"/>
      <w:sz w:val="24"/>
      <w:szCs w:val="24"/>
    </w:rPr>
  </w:style>
  <w:style w:type="paragraph" w:customStyle="1" w:styleId="125">
    <w:name w:val="有符号正文"/>
    <w:basedOn w:val="1"/>
    <w:autoRedefine/>
    <w:qFormat/>
    <w:uiPriority w:val="0"/>
    <w:pPr>
      <w:adjustRightInd w:val="0"/>
      <w:snapToGrid w:val="0"/>
      <w:spacing w:line="400" w:lineRule="exact"/>
      <w:ind w:firstLine="200" w:firstLineChars="200"/>
    </w:pPr>
    <w:rPr>
      <w:rFonts w:ascii="Arial" w:hAnsi="Arial"/>
      <w:sz w:val="24"/>
      <w:szCs w:val="24"/>
    </w:rPr>
  </w:style>
  <w:style w:type="paragraph" w:customStyle="1" w:styleId="126">
    <w:name w:val="P1"/>
    <w:basedOn w:val="1"/>
    <w:autoRedefine/>
    <w:qFormat/>
    <w:uiPriority w:val="0"/>
    <w:pPr>
      <w:adjustRightInd w:val="0"/>
      <w:snapToGrid w:val="0"/>
      <w:spacing w:line="288" w:lineRule="auto"/>
      <w:ind w:firstLine="425"/>
    </w:pPr>
    <w:rPr>
      <w:sz w:val="24"/>
      <w:szCs w:val="24"/>
    </w:rPr>
  </w:style>
  <w:style w:type="paragraph" w:customStyle="1" w:styleId="12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8">
    <w:name w:val="style3"/>
    <w:basedOn w:val="1"/>
    <w:autoRedefine/>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29">
    <w:name w:val="Char1 Char Char Char"/>
    <w:basedOn w:val="1"/>
    <w:autoRedefine/>
    <w:qFormat/>
    <w:uiPriority w:val="0"/>
    <w:pPr>
      <w:adjustRightInd w:val="0"/>
      <w:snapToGrid w:val="0"/>
      <w:spacing w:line="360" w:lineRule="auto"/>
    </w:pPr>
    <w:rPr>
      <w:rFonts w:ascii="Tahoma" w:hAnsi="Tahoma"/>
      <w:sz w:val="24"/>
    </w:rPr>
  </w:style>
  <w:style w:type="paragraph" w:customStyle="1" w:styleId="130">
    <w:name w:val="列出段落4"/>
    <w:basedOn w:val="1"/>
    <w:link w:val="434"/>
    <w:autoRedefine/>
    <w:qFormat/>
    <w:uiPriority w:val="34"/>
    <w:pPr>
      <w:adjustRightInd w:val="0"/>
      <w:snapToGrid w:val="0"/>
      <w:spacing w:line="360" w:lineRule="auto"/>
      <w:ind w:firstLine="420" w:firstLineChars="200"/>
    </w:pPr>
    <w:rPr>
      <w:rFonts w:eastAsia="微软雅黑"/>
      <w:kern w:val="0"/>
      <w:sz w:val="24"/>
      <w:szCs w:val="24"/>
    </w:rPr>
  </w:style>
  <w:style w:type="paragraph" w:customStyle="1" w:styleId="131">
    <w:name w:val="TOC 标题1"/>
    <w:basedOn w:val="2"/>
    <w:next w:val="1"/>
    <w:autoRedefine/>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32">
    <w:name w:val="小标题"/>
    <w:basedOn w:val="1"/>
    <w:autoRedefine/>
    <w:qFormat/>
    <w:uiPriority w:val="0"/>
    <w:pPr>
      <w:adjustRightInd w:val="0"/>
      <w:snapToGrid w:val="0"/>
      <w:spacing w:line="360" w:lineRule="auto"/>
      <w:ind w:firstLine="425"/>
    </w:pPr>
    <w:rPr>
      <w:rFonts w:ascii="宋体" w:hAnsi="宋体"/>
      <w:b/>
      <w:bCs/>
      <w:sz w:val="24"/>
    </w:rPr>
  </w:style>
  <w:style w:type="paragraph" w:customStyle="1" w:styleId="133">
    <w:name w:val="样式1 + (中宋体"/>
    <w:basedOn w:val="112"/>
    <w:autoRedefine/>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4">
    <w:name w:val="封面"/>
    <w:basedOn w:val="1"/>
    <w:autoRedefine/>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5">
    <w:name w:val="xl38"/>
    <w:basedOn w:val="1"/>
    <w:autoRedefine/>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6">
    <w:name w:val="bt_content"/>
    <w:basedOn w:val="1"/>
    <w:autoRedefine/>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7">
    <w:name w:val="Char22"/>
    <w:basedOn w:val="1"/>
    <w:autoRedefine/>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8">
    <w:name w:val="Char4"/>
    <w:basedOn w:val="1"/>
    <w:autoRedefine/>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39">
    <w:name w:val="Text"/>
    <w:autoRedefine/>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40">
    <w:name w:val="Figure"/>
    <w:basedOn w:val="139"/>
    <w:next w:val="139"/>
    <w:autoRedefine/>
    <w:qFormat/>
    <w:uiPriority w:val="0"/>
    <w:pPr>
      <w:spacing w:before="120" w:after="120" w:line="240" w:lineRule="auto"/>
      <w:ind w:right="720"/>
    </w:pPr>
  </w:style>
  <w:style w:type="paragraph" w:customStyle="1" w:styleId="14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42">
    <w:name w:val="Default Text"/>
    <w:basedOn w:val="1"/>
    <w:autoRedefine/>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3">
    <w:name w:val="Normal0"/>
    <w:autoRedefine/>
    <w:qFormat/>
    <w:uiPriority w:val="0"/>
    <w:rPr>
      <w:rFonts w:ascii="Times New Roman" w:hAnsi="Times New Roman" w:eastAsia="宋体" w:cs="Times New Roman"/>
      <w:lang w:val="en-US" w:eastAsia="en-US" w:bidi="ar-SA"/>
    </w:rPr>
  </w:style>
  <w:style w:type="paragraph" w:customStyle="1" w:styleId="144">
    <w:name w:val="La0b"/>
    <w:basedOn w:val="1"/>
    <w:autoRedefine/>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5">
    <w:name w:val="样式7"/>
    <w:basedOn w:val="1"/>
    <w:autoRedefine/>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8">
    <w:name w:val="Thf"/>
    <w:basedOn w:val="147"/>
    <w:autoRedefine/>
    <w:qFormat/>
    <w:uiPriority w:val="0"/>
    <w:pPr>
      <w:ind w:left="0"/>
    </w:pPr>
  </w:style>
  <w:style w:type="paragraph" w:customStyle="1" w:styleId="149">
    <w:name w:val="正文文字 2"/>
    <w:basedOn w:val="67"/>
    <w:next w:val="67"/>
    <w:autoRedefine/>
    <w:qFormat/>
    <w:uiPriority w:val="0"/>
    <w:rPr>
      <w:rFonts w:ascii="宋体"/>
      <w:color w:val="auto"/>
    </w:rPr>
  </w:style>
  <w:style w:type="paragraph" w:customStyle="1" w:styleId="150">
    <w:name w:val="!大节"/>
    <w:basedOn w:val="3"/>
    <w:autoRedefine/>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51">
    <w:name w:val="列出段落11"/>
    <w:basedOn w:val="1"/>
    <w:autoRedefine/>
    <w:qFormat/>
    <w:uiPriority w:val="0"/>
    <w:pPr>
      <w:adjustRightInd w:val="0"/>
      <w:snapToGrid w:val="0"/>
      <w:spacing w:line="360" w:lineRule="auto"/>
      <w:ind w:firstLine="420" w:firstLineChars="200"/>
    </w:pPr>
    <w:rPr>
      <w:rFonts w:eastAsia="微软雅黑"/>
      <w:sz w:val="24"/>
      <w:szCs w:val="24"/>
    </w:rPr>
  </w:style>
  <w:style w:type="paragraph" w:customStyle="1" w:styleId="152">
    <w:name w:val="此正文"/>
    <w:basedOn w:val="1"/>
    <w:link w:val="383"/>
    <w:autoRedefine/>
    <w:qFormat/>
    <w:uiPriority w:val="0"/>
    <w:pPr>
      <w:adjustRightInd w:val="0"/>
      <w:snapToGrid w:val="0"/>
      <w:spacing w:line="360" w:lineRule="auto"/>
      <w:ind w:firstLine="480" w:firstLineChars="200"/>
    </w:pPr>
    <w:rPr>
      <w:rFonts w:eastAsia="微软雅黑"/>
      <w:kern w:val="0"/>
      <w:sz w:val="24"/>
      <w:szCs w:val="24"/>
    </w:rPr>
  </w:style>
  <w:style w:type="paragraph" w:customStyle="1" w:styleId="153">
    <w:name w:val="样式 标题 4h4H4Fab-4T5Ref Heading 1rh1Heading sqlsect 1.2.3...."/>
    <w:basedOn w:val="5"/>
    <w:link w:val="384"/>
    <w:autoRedefine/>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4">
    <w:name w:val="样式 样式 标题 4h4H4Fab-4T5Ref Heading 1rh1Heading sqlsect 1.2.3.... +..."/>
    <w:basedOn w:val="153"/>
    <w:link w:val="385"/>
    <w:autoRedefine/>
    <w:qFormat/>
    <w:uiPriority w:val="0"/>
    <w:rPr>
      <w:b w:val="0"/>
      <w:bCs w:val="0"/>
    </w:rPr>
  </w:style>
  <w:style w:type="paragraph" w:customStyle="1" w:styleId="155">
    <w:name w:val="样式 标题 22h2L1 Heading 2H2sect 1.2H21sect 1.21H22sect 1.2..."/>
    <w:basedOn w:val="3"/>
    <w:next w:val="1"/>
    <w:autoRedefine/>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6">
    <w:name w:val="Char1 Char Char Char5"/>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57">
    <w:name w:val="RFI Heading 3rd Level"/>
    <w:basedOn w:val="1"/>
    <w:autoRedefine/>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8">
    <w:name w:val="RFI Heading 2nd Level"/>
    <w:basedOn w:val="1"/>
    <w:autoRedefine/>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59">
    <w:name w:val="Char1 Char Char Char4"/>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0">
    <w:name w:val="Char1 Char Char 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1">
    <w:name w:val="标题4_自定义"/>
    <w:basedOn w:val="5"/>
    <w:autoRedefine/>
    <w:qFormat/>
    <w:uiPriority w:val="0"/>
    <w:pPr>
      <w:adjustRightInd w:val="0"/>
      <w:snapToGrid w:val="0"/>
      <w:spacing w:before="0" w:after="0" w:line="360" w:lineRule="auto"/>
    </w:pPr>
    <w:rPr>
      <w:rFonts w:ascii="Verdana" w:eastAsia="Verdana"/>
      <w:bCs/>
      <w:kern w:val="0"/>
      <w:sz w:val="21"/>
      <w:szCs w:val="28"/>
    </w:rPr>
  </w:style>
  <w:style w:type="paragraph" w:customStyle="1" w:styleId="162">
    <w:name w:val="font5"/>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3">
    <w:name w:val="font6"/>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4">
    <w:name w:val="font7"/>
    <w:basedOn w:val="1"/>
    <w:autoRedefine/>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6">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1">
    <w:name w:val="xl30"/>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8">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9">
    <w:name w:val="xl23"/>
    <w:basedOn w:val="1"/>
    <w:autoRedefine/>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80">
    <w:name w:val="样式 正文文本缩进 + 左侧:  2 字符 首行缩进:  2 字符"/>
    <w:basedOn w:val="21"/>
    <w:autoRedefine/>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81">
    <w:name w:val="图中文字"/>
    <w:basedOn w:val="1"/>
    <w:autoRedefine/>
    <w:qFormat/>
    <w:uiPriority w:val="0"/>
    <w:pPr>
      <w:adjustRightInd w:val="0"/>
      <w:snapToGrid w:val="0"/>
      <w:spacing w:line="0" w:lineRule="atLeast"/>
      <w:ind w:firstLine="200" w:firstLineChars="200"/>
      <w:jc w:val="center"/>
    </w:pPr>
    <w:rPr>
      <w:sz w:val="24"/>
    </w:rPr>
  </w:style>
  <w:style w:type="paragraph" w:customStyle="1" w:styleId="182">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3">
    <w:name w:val="CSS1级正文 Char"/>
    <w:basedOn w:val="19"/>
    <w:autoRedefine/>
    <w:qFormat/>
    <w:uiPriority w:val="0"/>
    <w:pPr>
      <w:adjustRightInd w:val="0"/>
      <w:snapToGrid w:val="0"/>
      <w:spacing w:after="0" w:line="360" w:lineRule="auto"/>
      <w:ind w:firstLine="480" w:firstLineChars="200"/>
    </w:pPr>
    <w:rPr>
      <w:kern w:val="0"/>
      <w:sz w:val="24"/>
      <w:szCs w:val="24"/>
    </w:rPr>
  </w:style>
  <w:style w:type="paragraph" w:customStyle="1" w:styleId="184">
    <w:name w:val="目录2"/>
    <w:basedOn w:val="1"/>
    <w:autoRedefine/>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5">
    <w:name w:val="目录3"/>
    <w:basedOn w:val="1"/>
    <w:autoRedefine/>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6">
    <w:name w:val="目录4"/>
    <w:basedOn w:val="1"/>
    <w:autoRedefine/>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7">
    <w:name w:val="目录1"/>
    <w:basedOn w:val="1"/>
    <w:autoRedefine/>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8">
    <w:name w:val="目录标题"/>
    <w:basedOn w:val="1"/>
    <w:autoRedefine/>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89">
    <w:name w:val="文章总标题"/>
    <w:basedOn w:val="1"/>
    <w:autoRedefine/>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90">
    <w:name w:val="文章附标题"/>
    <w:basedOn w:val="1"/>
    <w:autoRedefine/>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91">
    <w:name w:val="小节标题"/>
    <w:basedOn w:val="1"/>
    <w:autoRedefine/>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92">
    <w:name w:val="章标题"/>
    <w:basedOn w:val="1"/>
    <w:autoRedefine/>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3">
    <w:name w:val="批注框文本1"/>
    <w:basedOn w:val="1"/>
    <w:autoRedefine/>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4">
    <w:name w:val="小项目标题"/>
    <w:basedOn w:val="1"/>
    <w:autoRedefine/>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5">
    <w:name w:val="样式 标题 1章节第一层h1H"/>
    <w:basedOn w:val="2"/>
    <w:autoRedefine/>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6">
    <w:name w:val="金宏发行正文 Char"/>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7">
    <w:name w:val="普通正文"/>
    <w:basedOn w:val="1"/>
    <w:autoRedefine/>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8">
    <w:name w:val="金宏发行正文"/>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9">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200">
    <w:name w:val="Char1 Char Char Char1"/>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1">
    <w:name w:val="Char21"/>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02">
    <w:name w:val="Char1 Char Char Char2"/>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3">
    <w:name w:val="zTableCellBody"/>
    <w:basedOn w:val="1"/>
    <w:autoRedefine/>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4">
    <w:name w:val="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5">
    <w:name w:val="列出段落2"/>
    <w:basedOn w:val="1"/>
    <w:autoRedefine/>
    <w:qFormat/>
    <w:uiPriority w:val="0"/>
    <w:pPr>
      <w:adjustRightInd w:val="0"/>
      <w:snapToGrid w:val="0"/>
      <w:spacing w:line="360" w:lineRule="auto"/>
      <w:ind w:firstLine="420" w:firstLineChars="200"/>
    </w:pPr>
    <w:rPr>
      <w:rFonts w:ascii="宋体" w:hAnsi="宋体"/>
      <w:sz w:val="24"/>
      <w:szCs w:val="24"/>
    </w:rPr>
  </w:style>
  <w:style w:type="paragraph" w:customStyle="1" w:styleId="206">
    <w:name w:val="Char Char Char Char1"/>
    <w:basedOn w:val="1"/>
    <w:autoRedefine/>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7">
    <w:name w:val="Bul Text 9/14"/>
    <w:autoRedefine/>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8">
    <w:name w:val="Char Char Char Char Char Char Char Char Char"/>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9">
    <w:name w:val="Char11"/>
    <w:basedOn w:val="1"/>
    <w:autoRedefine/>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10">
    <w:name w:val="加粗正文"/>
    <w:basedOn w:val="1"/>
    <w:autoRedefine/>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11">
    <w:name w:val="CM14"/>
    <w:basedOn w:val="67"/>
    <w:next w:val="67"/>
    <w:autoRedefine/>
    <w:qFormat/>
    <w:uiPriority w:val="0"/>
    <w:pPr>
      <w:spacing w:after="68"/>
    </w:pPr>
    <w:rPr>
      <w:rFonts w:ascii="FHLHE E+ Futura Bk" w:eastAsia="FHLHE E+ Futura Bk"/>
      <w:color w:val="auto"/>
    </w:rPr>
  </w:style>
  <w:style w:type="paragraph" w:customStyle="1" w:styleId="212">
    <w:name w:val="Char Char Char Char Char Char Char Char"/>
    <w:basedOn w:val="1"/>
    <w:autoRedefine/>
    <w:qFormat/>
    <w:uiPriority w:val="0"/>
    <w:pPr>
      <w:tabs>
        <w:tab w:val="left" w:pos="360"/>
      </w:tabs>
      <w:adjustRightInd w:val="0"/>
      <w:snapToGrid w:val="0"/>
      <w:spacing w:line="360" w:lineRule="auto"/>
      <w:ind w:firstLine="200" w:firstLineChars="200"/>
    </w:pPr>
    <w:rPr>
      <w:sz w:val="24"/>
      <w:szCs w:val="24"/>
    </w:rPr>
  </w:style>
  <w:style w:type="paragraph" w:customStyle="1" w:styleId="213">
    <w:name w:val="Body"/>
    <w:basedOn w:val="1"/>
    <w:autoRedefine/>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4">
    <w:name w:val="正文2"/>
    <w:basedOn w:val="1"/>
    <w:autoRedefine/>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5">
    <w:name w:val="正文4"/>
    <w:basedOn w:val="1"/>
    <w:autoRedefine/>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6">
    <w:name w:val="Z5"/>
    <w:basedOn w:val="1"/>
    <w:next w:val="1"/>
    <w:autoRedefine/>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2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19">
    <w:name w:val="body text bold"/>
    <w:basedOn w:val="19"/>
    <w:autoRedefine/>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20">
    <w:name w:val="Bullet"/>
    <w:basedOn w:val="1"/>
    <w:autoRedefine/>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222">
    <w:name w:val="trademark"/>
    <w:autoRedefine/>
    <w:qFormat/>
    <w:uiPriority w:val="0"/>
    <w:pPr>
      <w:spacing w:after="60"/>
    </w:pPr>
    <w:rPr>
      <w:rFonts w:ascii="Futura Bk" w:hAnsi="Futura Bk" w:eastAsia="宋体" w:cs="Times New Roman"/>
      <w:sz w:val="15"/>
      <w:lang w:val="en-US" w:eastAsia="en-US" w:bidi="ar-SA"/>
    </w:rPr>
  </w:style>
  <w:style w:type="paragraph" w:customStyle="1" w:styleId="223">
    <w:name w:val="chart text"/>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4">
    <w:name w:val="正文文字缩进"/>
    <w:basedOn w:val="1"/>
    <w:autoRedefine/>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5">
    <w:name w:val="legal"/>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6">
    <w:name w:val="Bullet with text 4"/>
    <w:basedOn w:val="1"/>
    <w:autoRedefine/>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7">
    <w:name w:val="样式 标题 1Level 1 HeadPIM 1Section Headh1l11Heading 0Datash..."/>
    <w:basedOn w:val="2"/>
    <w:autoRedefine/>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8">
    <w:name w:val="Picture"/>
    <w:basedOn w:val="1"/>
    <w:next w:val="14"/>
    <w:autoRedefine/>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29">
    <w:name w:val="正文文字缩进2字"/>
    <w:basedOn w:val="19"/>
    <w:autoRedefine/>
    <w:qFormat/>
    <w:uiPriority w:val="0"/>
    <w:pPr>
      <w:adjustRightInd w:val="0"/>
      <w:snapToGrid w:val="0"/>
      <w:spacing w:before="60" w:after="60" w:line="360" w:lineRule="auto"/>
      <w:ind w:firstLine="200" w:firstLineChars="200"/>
    </w:pPr>
    <w:rPr>
      <w:kern w:val="0"/>
      <w:sz w:val="24"/>
    </w:rPr>
  </w:style>
  <w:style w:type="paragraph" w:customStyle="1" w:styleId="230">
    <w:name w:val="solutionfonts1"/>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31">
    <w:name w:val="正文21"/>
    <w:basedOn w:val="1"/>
    <w:autoRedefine/>
    <w:qFormat/>
    <w:uiPriority w:val="0"/>
    <w:pPr>
      <w:adjustRightInd w:val="0"/>
      <w:snapToGrid w:val="0"/>
      <w:spacing w:before="156" w:line="360" w:lineRule="auto"/>
      <w:ind w:firstLine="510" w:firstLineChars="200"/>
    </w:pPr>
    <w:rPr>
      <w:sz w:val="24"/>
    </w:rPr>
  </w:style>
  <w:style w:type="paragraph" w:customStyle="1" w:styleId="2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3">
    <w:name w:val="style25"/>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4">
    <w:name w:val="content"/>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5">
    <w:name w:val="Body Copy"/>
    <w:basedOn w:val="1"/>
    <w:autoRedefine/>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6">
    <w:name w:val="章正文"/>
    <w:basedOn w:val="1"/>
    <w:autoRedefine/>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7">
    <w:name w:val="Preformatted Text"/>
    <w:basedOn w:val="1"/>
    <w:autoRedefine/>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8">
    <w:name w:val="表格文字（大）"/>
    <w:basedOn w:val="1"/>
    <w:autoRedefine/>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39">
    <w:name w:val="main"/>
    <w:basedOn w:val="1"/>
    <w:autoRedefine/>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40">
    <w:name w:val="左对齐表格文字"/>
    <w:basedOn w:val="1"/>
    <w:autoRedefine/>
    <w:qFormat/>
    <w:uiPriority w:val="0"/>
    <w:pPr>
      <w:adjustRightInd w:val="0"/>
      <w:snapToGrid w:val="0"/>
      <w:spacing w:line="360" w:lineRule="auto"/>
      <w:ind w:firstLine="200" w:firstLineChars="200"/>
      <w:jc w:val="right"/>
    </w:pPr>
    <w:rPr>
      <w:sz w:val="24"/>
      <w:szCs w:val="24"/>
    </w:rPr>
  </w:style>
  <w:style w:type="paragraph" w:customStyle="1" w:styleId="241">
    <w:name w:val="xl40"/>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2">
    <w:name w:val="xl41"/>
    <w:basedOn w:val="1"/>
    <w:autoRedefine/>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3">
    <w:name w:val="xl42"/>
    <w:basedOn w:val="1"/>
    <w:autoRedefine/>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4">
    <w:name w:val="xl43"/>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5">
    <w:name w:val="Char Char Char1 Char"/>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6">
    <w:name w:val="封面文档标题"/>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7">
    <w:name w:val="封面华为技术"/>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8">
    <w:name w:val="封面表格文本"/>
    <w:basedOn w:val="1"/>
    <w:autoRedefine/>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49">
    <w:name w:val="表格题注"/>
    <w:next w:val="1"/>
    <w:autoRedefine/>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50">
    <w:name w:val="插图题注"/>
    <w:next w:val="1"/>
    <w:autoRedefine/>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51">
    <w:name w:val="默认段落字体 Para Char Char Char Char"/>
    <w:basedOn w:val="1"/>
    <w:autoRedefine/>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52">
    <w:name w:val="说明"/>
    <w:basedOn w:val="1"/>
    <w:autoRedefine/>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3">
    <w:name w:val="Item List"/>
    <w:link w:val="409"/>
    <w:autoRedefine/>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4">
    <w:name w:val="Char1 Char Char Char Char Char Char Char Char Char"/>
    <w:basedOn w:val="1"/>
    <w:autoRedefine/>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5">
    <w:name w:val="无间隔1"/>
    <w:link w:val="410"/>
    <w:autoRedefine/>
    <w:qFormat/>
    <w:uiPriority w:val="1"/>
    <w:rPr>
      <w:rFonts w:ascii="Calibri" w:hAnsi="Calibri" w:eastAsia="宋体" w:cs="Times New Roman"/>
      <w:sz w:val="22"/>
      <w:szCs w:val="22"/>
      <w:lang w:val="en-US" w:eastAsia="zh-CN" w:bidi="ar-SA"/>
    </w:rPr>
  </w:style>
  <w:style w:type="paragraph" w:customStyle="1" w:styleId="256">
    <w:name w:val="表内文字"/>
    <w:basedOn w:val="1"/>
    <w:autoRedefine/>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7">
    <w:name w:val="正文（首行不缩进）"/>
    <w:basedOn w:val="1"/>
    <w:autoRedefine/>
    <w:qFormat/>
    <w:uiPriority w:val="0"/>
    <w:pPr>
      <w:adjustRightInd w:val="0"/>
      <w:snapToGrid w:val="0"/>
      <w:spacing w:afterLines="50" w:line="360" w:lineRule="auto"/>
    </w:pPr>
    <w:rPr>
      <w:sz w:val="24"/>
      <w:szCs w:val="24"/>
    </w:rPr>
  </w:style>
  <w:style w:type="paragraph" w:customStyle="1" w:styleId="258">
    <w:name w:val="text"/>
    <w:basedOn w:val="1"/>
    <w:autoRedefine/>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59">
    <w:name w:val="表正文中"/>
    <w:autoRedefine/>
    <w:qFormat/>
    <w:uiPriority w:val="0"/>
    <w:pPr>
      <w:jc w:val="center"/>
    </w:pPr>
    <w:rPr>
      <w:rFonts w:ascii="Arial" w:hAnsi="Arial" w:eastAsia="宋体" w:cs="Times New Roman"/>
      <w:kern w:val="2"/>
      <w:sz w:val="18"/>
      <w:szCs w:val="24"/>
      <w:lang w:val="en-US" w:eastAsia="zh-CN" w:bidi="ar-SA"/>
    </w:rPr>
  </w:style>
  <w:style w:type="paragraph" w:customStyle="1" w:styleId="260">
    <w:name w:val="表头"/>
    <w:autoRedefine/>
    <w:qFormat/>
    <w:uiPriority w:val="0"/>
    <w:rPr>
      <w:rFonts w:ascii="Arial" w:hAnsi="Arial" w:eastAsia="宋体" w:cs="Times New Roman"/>
      <w:kern w:val="2"/>
      <w:sz w:val="18"/>
      <w:szCs w:val="24"/>
      <w:lang w:val="en-US" w:eastAsia="zh-CN" w:bidi="ar-SA"/>
    </w:rPr>
  </w:style>
  <w:style w:type="paragraph" w:customStyle="1" w:styleId="261">
    <w:name w:val="表正文左"/>
    <w:autoRedefine/>
    <w:qFormat/>
    <w:uiPriority w:val="0"/>
    <w:rPr>
      <w:rFonts w:ascii="Arial" w:hAnsi="Arial" w:eastAsia="宋体" w:cs="Times New Roman"/>
      <w:kern w:val="2"/>
      <w:sz w:val="18"/>
      <w:szCs w:val="24"/>
      <w:lang w:val="en-US" w:eastAsia="zh-CN" w:bidi="ar-SA"/>
    </w:rPr>
  </w:style>
  <w:style w:type="paragraph" w:customStyle="1" w:styleId="262">
    <w:name w:val="项目正文"/>
    <w:autoRedefine/>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3">
    <w:name w:val="Char23"/>
    <w:basedOn w:val="1"/>
    <w:autoRedefine/>
    <w:qFormat/>
    <w:uiPriority w:val="0"/>
    <w:pPr>
      <w:adjustRightInd w:val="0"/>
      <w:snapToGrid w:val="0"/>
      <w:spacing w:line="360" w:lineRule="auto"/>
    </w:pPr>
    <w:rPr>
      <w:rFonts w:ascii="仿宋_GB2312" w:eastAsia="仿宋_GB2312"/>
      <w:b/>
      <w:sz w:val="32"/>
      <w:szCs w:val="32"/>
    </w:rPr>
  </w:style>
  <w:style w:type="paragraph" w:customStyle="1" w:styleId="264">
    <w:name w:val="文档正文"/>
    <w:basedOn w:val="1"/>
    <w:autoRedefine/>
    <w:qFormat/>
    <w:uiPriority w:val="0"/>
    <w:pPr>
      <w:adjustRightInd w:val="0"/>
      <w:snapToGrid w:val="0"/>
      <w:spacing w:line="480" w:lineRule="atLeast"/>
      <w:ind w:firstLine="567"/>
      <w:textAlignment w:val="baseline"/>
    </w:pPr>
    <w:rPr>
      <w:rFonts w:eastAsia="楷体_GB2312"/>
      <w:kern w:val="0"/>
      <w:sz w:val="28"/>
    </w:rPr>
  </w:style>
  <w:style w:type="paragraph" w:customStyle="1" w:styleId="265">
    <w:name w:val="哈哈正文"/>
    <w:basedOn w:val="1"/>
    <w:link w:val="413"/>
    <w:autoRedefine/>
    <w:qFormat/>
    <w:uiPriority w:val="0"/>
    <w:pPr>
      <w:adjustRightInd w:val="0"/>
      <w:snapToGrid w:val="0"/>
      <w:spacing w:line="360" w:lineRule="auto"/>
      <w:ind w:firstLine="200" w:firstLineChars="200"/>
    </w:pPr>
    <w:rPr>
      <w:rFonts w:ascii="宋体" w:hAnsi="宋体"/>
      <w:kern w:val="0"/>
      <w:sz w:val="24"/>
    </w:rPr>
  </w:style>
  <w:style w:type="paragraph" w:customStyle="1" w:styleId="266">
    <w:name w:val="Char5"/>
    <w:basedOn w:val="1"/>
    <w:autoRedefine/>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7">
    <w:name w:val="正文（首行缩进）"/>
    <w:basedOn w:val="1"/>
    <w:autoRedefine/>
    <w:qFormat/>
    <w:uiPriority w:val="0"/>
    <w:pPr>
      <w:adjustRightInd w:val="0"/>
      <w:snapToGrid w:val="0"/>
      <w:spacing w:line="360" w:lineRule="auto"/>
      <w:ind w:firstLine="420"/>
    </w:pPr>
    <w:rPr>
      <w:rFonts w:eastAsia="仿宋_GB2312"/>
      <w:sz w:val="24"/>
    </w:rPr>
  </w:style>
  <w:style w:type="paragraph" w:customStyle="1" w:styleId="268">
    <w:name w:val="Char32"/>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69">
    <w:name w:val="Char Char Char Char Char Char Char Char Char Char Char Char Char"/>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70">
    <w:name w:val="标题 5 + 宋体"/>
    <w:basedOn w:val="5"/>
    <w:autoRedefine/>
    <w:qFormat/>
    <w:uiPriority w:val="0"/>
    <w:pPr>
      <w:adjustRightInd w:val="0"/>
      <w:snapToGrid w:val="0"/>
      <w:spacing w:line="376" w:lineRule="auto"/>
    </w:pPr>
    <w:rPr>
      <w:rFonts w:ascii="宋体" w:hAnsi="宋体" w:eastAsia="宋体"/>
      <w:bCs/>
      <w:kern w:val="0"/>
      <w:sz w:val="24"/>
      <w:szCs w:val="28"/>
    </w:rPr>
  </w:style>
  <w:style w:type="paragraph" w:customStyle="1" w:styleId="271">
    <w:name w:val="我的正文"/>
    <w:basedOn w:val="1"/>
    <w:autoRedefine/>
    <w:qFormat/>
    <w:uiPriority w:val="0"/>
    <w:pPr>
      <w:adjustRightInd w:val="0"/>
      <w:snapToGrid w:val="0"/>
      <w:spacing w:line="360" w:lineRule="auto"/>
      <w:ind w:firstLine="200" w:firstLineChars="200"/>
    </w:pPr>
    <w:rPr>
      <w:sz w:val="24"/>
      <w:szCs w:val="24"/>
      <w:lang w:val="zh-CN"/>
    </w:rPr>
  </w:style>
  <w:style w:type="paragraph" w:customStyle="1" w:styleId="272">
    <w:name w:val="Char2 Char Char Char Char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73">
    <w:name w:val="Char13"/>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4">
    <w:name w:val="Char26"/>
    <w:basedOn w:val="1"/>
    <w:autoRedefine/>
    <w:qFormat/>
    <w:uiPriority w:val="0"/>
    <w:pPr>
      <w:adjustRightInd w:val="0"/>
      <w:snapToGrid w:val="0"/>
      <w:spacing w:line="360" w:lineRule="auto"/>
    </w:pPr>
    <w:rPr>
      <w:rFonts w:ascii="仿宋_GB2312" w:eastAsia="仿宋_GB2312"/>
      <w:b/>
      <w:sz w:val="32"/>
      <w:szCs w:val="32"/>
    </w:rPr>
  </w:style>
  <w:style w:type="paragraph" w:customStyle="1" w:styleId="275">
    <w:name w:val="Char Char Char Char Char Char Char Char Char2"/>
    <w:basedOn w:val="1"/>
    <w:autoRedefine/>
    <w:qFormat/>
    <w:uiPriority w:val="0"/>
    <w:pPr>
      <w:adjustRightInd w:val="0"/>
      <w:snapToGrid w:val="0"/>
      <w:spacing w:line="360" w:lineRule="auto"/>
    </w:pPr>
    <w:rPr>
      <w:rFonts w:ascii="Tahoma" w:hAnsi="Tahoma"/>
      <w:sz w:val="24"/>
    </w:rPr>
  </w:style>
  <w:style w:type="paragraph" w:customStyle="1" w:styleId="276">
    <w:name w:val="Char Char Char Char Char Char Char1 Char Char Char Char Char Char Char"/>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7">
    <w:name w:val="MM Title"/>
    <w:basedOn w:val="48"/>
    <w:link w:val="418"/>
    <w:autoRedefine/>
    <w:qFormat/>
    <w:uiPriority w:val="0"/>
    <w:pPr>
      <w:spacing w:line="240" w:lineRule="auto"/>
      <w:ind w:firstLine="0" w:firstLineChars="0"/>
    </w:pPr>
    <w:rPr>
      <w:rFonts w:ascii="Cambria" w:hAnsi="Cambria"/>
      <w:b w:val="0"/>
      <w:bCs w:val="0"/>
    </w:rPr>
  </w:style>
  <w:style w:type="paragraph" w:customStyle="1" w:styleId="278">
    <w:name w:val="MM Topic 1"/>
    <w:basedOn w:val="2"/>
    <w:link w:val="419"/>
    <w:autoRedefine/>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79">
    <w:name w:val="MM Topic 2"/>
    <w:basedOn w:val="3"/>
    <w:link w:val="420"/>
    <w:autoRedefine/>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80">
    <w:name w:val="MM Topic 3"/>
    <w:basedOn w:val="4"/>
    <w:link w:val="421"/>
    <w:autoRedefine/>
    <w:qFormat/>
    <w:uiPriority w:val="0"/>
    <w:pPr>
      <w:numPr>
        <w:ilvl w:val="2"/>
        <w:numId w:val="12"/>
      </w:numPr>
      <w:adjustRightInd w:val="0"/>
      <w:snapToGrid w:val="0"/>
      <w:spacing w:line="416" w:lineRule="auto"/>
    </w:pPr>
    <w:rPr>
      <w:rFonts w:ascii="Calibri" w:hAnsi="Calibri"/>
      <w:bCs/>
      <w:kern w:val="0"/>
      <w:szCs w:val="32"/>
    </w:rPr>
  </w:style>
  <w:style w:type="paragraph" w:customStyle="1" w:styleId="281">
    <w:name w:val="MM Topic 4"/>
    <w:basedOn w:val="5"/>
    <w:link w:val="422"/>
    <w:autoRedefine/>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82">
    <w:name w:val="MM Empty"/>
    <w:basedOn w:val="1"/>
    <w:link w:val="423"/>
    <w:autoRedefine/>
    <w:qFormat/>
    <w:uiPriority w:val="0"/>
    <w:pPr>
      <w:adjustRightInd w:val="0"/>
      <w:snapToGrid w:val="0"/>
      <w:spacing w:line="360" w:lineRule="auto"/>
    </w:pPr>
    <w:rPr>
      <w:rFonts w:ascii="Calibri" w:hAnsi="Calibri"/>
      <w:kern w:val="0"/>
      <w:sz w:val="20"/>
    </w:rPr>
  </w:style>
  <w:style w:type="paragraph" w:customStyle="1" w:styleId="283">
    <w:name w:val="MM Topic 5"/>
    <w:basedOn w:val="6"/>
    <w:link w:val="424"/>
    <w:autoRedefine/>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4">
    <w:name w:val="MM Topic 6"/>
    <w:basedOn w:val="8"/>
    <w:link w:val="425"/>
    <w:autoRedefine/>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5">
    <w:name w:val="样式 正文缩进 + 首行缩进:  2 字符 段前: 0.5 行 段后: 0.5 行6"/>
    <w:basedOn w:val="7"/>
    <w:autoRedefine/>
    <w:qFormat/>
    <w:uiPriority w:val="0"/>
    <w:pPr>
      <w:snapToGrid w:val="0"/>
      <w:spacing w:beforeLines="50" w:afterLines="50" w:line="360" w:lineRule="auto"/>
      <w:ind w:firstLine="480" w:firstLineChars="200"/>
    </w:pPr>
    <w:rPr>
      <w:sz w:val="24"/>
    </w:rPr>
  </w:style>
  <w:style w:type="paragraph" w:customStyle="1" w:styleId="286">
    <w:name w:val="样式 标题 2 + 宋体"/>
    <w:basedOn w:val="3"/>
    <w:autoRedefine/>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7">
    <w:name w:val="样式 标题 4 + 宋体1"/>
    <w:basedOn w:val="1"/>
    <w:autoRedefine/>
    <w:qFormat/>
    <w:uiPriority w:val="0"/>
    <w:pPr>
      <w:tabs>
        <w:tab w:val="left" w:pos="750"/>
      </w:tabs>
      <w:adjustRightInd w:val="0"/>
      <w:snapToGrid w:val="0"/>
      <w:spacing w:line="360" w:lineRule="auto"/>
      <w:ind w:left="750" w:hanging="750"/>
    </w:pPr>
    <w:rPr>
      <w:sz w:val="24"/>
      <w:szCs w:val="24"/>
    </w:rPr>
  </w:style>
  <w:style w:type="paragraph" w:customStyle="1" w:styleId="288">
    <w:name w:val="样式 标题 4 + 宋体"/>
    <w:basedOn w:val="5"/>
    <w:autoRedefine/>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89">
    <w:name w:val="Char2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0">
    <w:name w:val="样式 标题 3 + 宋体"/>
    <w:basedOn w:val="4"/>
    <w:autoRedefine/>
    <w:qFormat/>
    <w:uiPriority w:val="0"/>
    <w:pPr>
      <w:tabs>
        <w:tab w:val="left" w:pos="750"/>
      </w:tabs>
      <w:adjustRightInd w:val="0"/>
      <w:snapToGrid w:val="0"/>
      <w:spacing w:line="415" w:lineRule="auto"/>
    </w:pPr>
    <w:rPr>
      <w:rFonts w:ascii="宋体" w:hAnsi="宋体"/>
      <w:bCs/>
      <w:kern w:val="0"/>
      <w:szCs w:val="32"/>
    </w:rPr>
  </w:style>
  <w:style w:type="paragraph" w:customStyle="1" w:styleId="291">
    <w:name w:val="Char3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2">
    <w:name w:val="Char Char Char Char Char Char Char Char Char Char Char Char Char1"/>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3">
    <w:name w:val="Char2 Char Char Char Char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4">
    <w:name w:val="Char12"/>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5">
    <w:name w:val="Char Char 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6">
    <w:name w:val="Char25"/>
    <w:basedOn w:val="1"/>
    <w:autoRedefine/>
    <w:qFormat/>
    <w:uiPriority w:val="0"/>
    <w:pPr>
      <w:adjustRightInd w:val="0"/>
      <w:snapToGrid w:val="0"/>
      <w:spacing w:line="360" w:lineRule="auto"/>
    </w:pPr>
    <w:rPr>
      <w:rFonts w:ascii="仿宋_GB2312" w:eastAsia="仿宋_GB2312"/>
      <w:b/>
      <w:sz w:val="32"/>
      <w:szCs w:val="32"/>
    </w:rPr>
  </w:style>
  <w:style w:type="paragraph" w:customStyle="1" w:styleId="297">
    <w:name w:val="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8">
    <w:name w:val="Char Char Char Char Char Char Char1 Char Char Char Char Char Char Char1"/>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9">
    <w:name w:val="Char2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300">
    <w:name w:val="Char27"/>
    <w:basedOn w:val="1"/>
    <w:autoRedefine/>
    <w:qFormat/>
    <w:uiPriority w:val="0"/>
    <w:pPr>
      <w:adjustRightInd w:val="0"/>
      <w:snapToGrid w:val="0"/>
      <w:spacing w:line="360" w:lineRule="auto"/>
    </w:pPr>
    <w:rPr>
      <w:rFonts w:ascii="仿宋_GB2312" w:eastAsia="仿宋_GB2312"/>
      <w:b/>
      <w:sz w:val="32"/>
      <w:szCs w:val="32"/>
    </w:rPr>
  </w:style>
  <w:style w:type="paragraph" w:customStyle="1" w:styleId="301">
    <w:name w:val="Char Char Char Char Char Char Char1 Char Char Char Char Char Char Char2"/>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2">
    <w:name w:val="style2"/>
    <w:basedOn w:val="1"/>
    <w:autoRedefine/>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3">
    <w:name w:val="Char14"/>
    <w:basedOn w:val="1"/>
    <w:autoRedefine/>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4">
    <w:name w:val="ul"/>
    <w:basedOn w:val="1"/>
    <w:autoRedefine/>
    <w:qFormat/>
    <w:uiPriority w:val="0"/>
    <w:pPr>
      <w:widowControl/>
      <w:numPr>
        <w:ilvl w:val="0"/>
        <w:numId w:val="14"/>
      </w:numPr>
      <w:adjustRightInd w:val="0"/>
      <w:snapToGrid w:val="0"/>
      <w:spacing w:line="360" w:lineRule="auto"/>
    </w:pPr>
    <w:rPr>
      <w:kern w:val="0"/>
      <w:sz w:val="24"/>
      <w:szCs w:val="24"/>
    </w:rPr>
  </w:style>
  <w:style w:type="paragraph" w:customStyle="1" w:styleId="305">
    <w:name w:val="标题5"/>
    <w:basedOn w:val="7"/>
    <w:autoRedefine/>
    <w:qFormat/>
    <w:uiPriority w:val="0"/>
    <w:pPr>
      <w:snapToGrid w:val="0"/>
      <w:spacing w:line="360" w:lineRule="auto"/>
      <w:ind w:firstLine="0"/>
      <w:jc w:val="center"/>
    </w:pPr>
    <w:rPr>
      <w:rFonts w:ascii="黑体" w:hAnsi="宋体" w:eastAsia="黑体"/>
      <w:b/>
      <w:bCs/>
      <w:color w:val="000000"/>
      <w:sz w:val="24"/>
    </w:rPr>
  </w:style>
  <w:style w:type="paragraph" w:customStyle="1" w:styleId="306">
    <w:name w:val="tabletext"/>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7">
    <w:name w:val="style11"/>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8">
    <w:name w:val="正文3"/>
    <w:basedOn w:val="1"/>
    <w:autoRedefine/>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09">
    <w:name w:val="图文"/>
    <w:basedOn w:val="1"/>
    <w:autoRedefine/>
    <w:qFormat/>
    <w:uiPriority w:val="0"/>
    <w:pPr>
      <w:adjustRightInd w:val="0"/>
      <w:snapToGrid w:val="0"/>
      <w:spacing w:line="240" w:lineRule="atLeast"/>
      <w:jc w:val="center"/>
    </w:pPr>
    <w:rPr>
      <w:sz w:val="18"/>
      <w:szCs w:val="24"/>
    </w:rPr>
  </w:style>
  <w:style w:type="paragraph" w:customStyle="1" w:styleId="310">
    <w:name w:val="引用1"/>
    <w:basedOn w:val="1"/>
    <w:next w:val="1"/>
    <w:link w:val="433"/>
    <w:autoRedefine/>
    <w:qFormat/>
    <w:uiPriority w:val="29"/>
    <w:pPr>
      <w:adjustRightInd w:val="0"/>
      <w:snapToGrid w:val="0"/>
      <w:spacing w:line="360" w:lineRule="auto"/>
    </w:pPr>
    <w:rPr>
      <w:rFonts w:eastAsia="微软雅黑"/>
      <w:i/>
      <w:iCs/>
      <w:color w:val="000000"/>
      <w:kern w:val="0"/>
      <w:sz w:val="20"/>
      <w:szCs w:val="24"/>
    </w:rPr>
  </w:style>
  <w:style w:type="paragraph" w:customStyle="1" w:styleId="311">
    <w:name w:val="列出段落3"/>
    <w:basedOn w:val="1"/>
    <w:autoRedefine/>
    <w:qFormat/>
    <w:uiPriority w:val="0"/>
    <w:pPr>
      <w:adjustRightInd w:val="0"/>
      <w:snapToGrid w:val="0"/>
      <w:spacing w:line="360" w:lineRule="auto"/>
      <w:ind w:firstLine="420" w:firstLineChars="200"/>
    </w:pPr>
    <w:rPr>
      <w:sz w:val="24"/>
      <w:szCs w:val="24"/>
    </w:rPr>
  </w:style>
  <w:style w:type="paragraph" w:customStyle="1" w:styleId="312">
    <w:name w:val="列表1"/>
    <w:basedOn w:val="1"/>
    <w:autoRedefine/>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3">
    <w:name w:val="题注 New"/>
    <w:basedOn w:val="1"/>
    <w:next w:val="1"/>
    <w:autoRedefine/>
    <w:qFormat/>
    <w:uiPriority w:val="0"/>
    <w:pPr>
      <w:spacing w:before="152" w:after="160"/>
    </w:pPr>
    <w:rPr>
      <w:rFonts w:ascii="Calibri" w:hAnsi="Calibri" w:cs="Arial"/>
    </w:rPr>
  </w:style>
  <w:style w:type="paragraph" w:customStyle="1" w:styleId="314">
    <w:name w:val="标题 3 New"/>
    <w:basedOn w:val="1"/>
    <w:next w:val="1"/>
    <w:autoRedefine/>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5">
    <w:name w:val="List Paragraph1"/>
    <w:basedOn w:val="1"/>
    <w:autoRedefine/>
    <w:qFormat/>
    <w:uiPriority w:val="0"/>
    <w:pPr>
      <w:ind w:firstLine="420" w:firstLineChars="200"/>
    </w:pPr>
    <w:rPr>
      <w:rFonts w:ascii="Calibri" w:hAnsi="Calibri"/>
      <w:szCs w:val="22"/>
    </w:rPr>
  </w:style>
  <w:style w:type="paragraph" w:customStyle="1" w:styleId="316">
    <w:name w:val="注释标题1"/>
    <w:basedOn w:val="1"/>
    <w:next w:val="1"/>
    <w:autoRedefine/>
    <w:qFormat/>
    <w:uiPriority w:val="0"/>
    <w:pPr>
      <w:jc w:val="center"/>
    </w:pPr>
    <w:rPr>
      <w:rFonts w:ascii="DFKai-SB" w:hAnsi="DFKai-SB" w:eastAsia="DFKai-SB" w:cs="Mangal"/>
      <w:sz w:val="20"/>
      <w:szCs w:val="24"/>
      <w:lang w:val="zh-CN"/>
    </w:rPr>
  </w:style>
  <w:style w:type="paragraph" w:customStyle="1" w:styleId="317">
    <w:name w:val="普通(网站)1"/>
    <w:basedOn w:val="1"/>
    <w:autoRedefine/>
    <w:qFormat/>
    <w:uiPriority w:val="0"/>
    <w:pPr>
      <w:widowControl/>
      <w:spacing w:before="100" w:beforeAutospacing="1" w:after="100" w:afterAutospacing="1"/>
    </w:pPr>
    <w:rPr>
      <w:rFonts w:ascii="Arial Unicode MS" w:hAnsi="Arial Unicode MS" w:cs="DFKai-SB"/>
      <w:szCs w:val="24"/>
    </w:rPr>
  </w:style>
  <w:style w:type="paragraph" w:customStyle="1" w:styleId="318">
    <w:name w:val="正文文本缩进 31"/>
    <w:basedOn w:val="1"/>
    <w:autoRedefine/>
    <w:qFormat/>
    <w:uiPriority w:val="0"/>
    <w:pPr>
      <w:spacing w:after="120"/>
      <w:ind w:left="420" w:leftChars="200"/>
    </w:pPr>
    <w:rPr>
      <w:rFonts w:ascii="Calibri" w:hAnsi="Calibri" w:cs="Mangal"/>
      <w:sz w:val="16"/>
      <w:szCs w:val="16"/>
      <w:lang w:val="zh-CN"/>
    </w:rPr>
  </w:style>
  <w:style w:type="paragraph" w:customStyle="1" w:styleId="319">
    <w:name w:val="Char Char Char Char Char Char1"/>
    <w:basedOn w:val="1"/>
    <w:autoRedefine/>
    <w:qFormat/>
    <w:uiPriority w:val="0"/>
    <w:rPr>
      <w:rFonts w:ascii="Tahoma" w:hAnsi="Tahoma"/>
      <w:sz w:val="24"/>
    </w:rPr>
  </w:style>
  <w:style w:type="paragraph" w:customStyle="1" w:styleId="320">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列出段落5"/>
    <w:basedOn w:val="1"/>
    <w:autoRedefine/>
    <w:qFormat/>
    <w:uiPriority w:val="0"/>
    <w:pPr>
      <w:ind w:firstLine="420" w:firstLineChars="200"/>
    </w:pPr>
    <w:rPr>
      <w:szCs w:val="24"/>
    </w:rPr>
  </w:style>
  <w:style w:type="character" w:customStyle="1" w:styleId="323">
    <w:name w:val="unnamed31"/>
    <w:basedOn w:val="54"/>
    <w:autoRedefine/>
    <w:qFormat/>
    <w:uiPriority w:val="0"/>
    <w:rPr>
      <w:sz w:val="22"/>
    </w:rPr>
  </w:style>
  <w:style w:type="character" w:customStyle="1" w:styleId="324">
    <w:name w:val="标题 3 Char Char Char"/>
    <w:basedOn w:val="54"/>
    <w:autoRedefine/>
    <w:qFormat/>
    <w:uiPriority w:val="0"/>
    <w:rPr>
      <w:rFonts w:eastAsia="宋体"/>
      <w:b/>
      <w:kern w:val="2"/>
      <w:sz w:val="32"/>
      <w:lang w:val="en-US" w:eastAsia="zh-CN"/>
    </w:rPr>
  </w:style>
  <w:style w:type="character" w:customStyle="1" w:styleId="325">
    <w:name w:val="ariticlecontent"/>
    <w:basedOn w:val="54"/>
    <w:autoRedefine/>
    <w:qFormat/>
    <w:uiPriority w:val="0"/>
  </w:style>
  <w:style w:type="character" w:customStyle="1" w:styleId="326">
    <w:name w:val="rili11"/>
    <w:basedOn w:val="54"/>
    <w:autoRedefine/>
    <w:qFormat/>
    <w:uiPriority w:val="0"/>
    <w:rPr>
      <w:sz w:val="21"/>
      <w:szCs w:val="21"/>
    </w:rPr>
  </w:style>
  <w:style w:type="character" w:customStyle="1" w:styleId="327">
    <w:name w:val="纯文本 Char"/>
    <w:basedOn w:val="54"/>
    <w:link w:val="27"/>
    <w:autoRedefine/>
    <w:qFormat/>
    <w:uiPriority w:val="0"/>
    <w:rPr>
      <w:rFonts w:ascii="宋体" w:hAnsi="Courier New" w:eastAsia="宋体"/>
      <w:kern w:val="2"/>
      <w:sz w:val="21"/>
      <w:lang w:val="en-US" w:eastAsia="zh-CN" w:bidi="ar-SA"/>
    </w:rPr>
  </w:style>
  <w:style w:type="character" w:customStyle="1" w:styleId="328">
    <w:name w:val="（符号）三标题1.1 Char Char"/>
    <w:basedOn w:val="54"/>
    <w:link w:val="69"/>
    <w:autoRedefine/>
    <w:qFormat/>
    <w:uiPriority w:val="0"/>
    <w:rPr>
      <w:rFonts w:ascii="宋体" w:hAnsi="宋体"/>
      <w:kern w:val="2"/>
      <w:sz w:val="24"/>
      <w:szCs w:val="24"/>
    </w:rPr>
  </w:style>
  <w:style w:type="character" w:customStyle="1" w:styleId="329">
    <w:name w:val="textnorm_chn1"/>
    <w:basedOn w:val="54"/>
    <w:autoRedefine/>
    <w:qFormat/>
    <w:uiPriority w:val="0"/>
    <w:rPr>
      <w:rFonts w:hint="default" w:ascii="Arial" w:hAnsi="Arial"/>
      <w:color w:val="21254A"/>
      <w:sz w:val="22"/>
    </w:rPr>
  </w:style>
  <w:style w:type="character" w:customStyle="1" w:styleId="330">
    <w:name w:val="Char Char Char"/>
    <w:basedOn w:val="54"/>
    <w:link w:val="70"/>
    <w:autoRedefine/>
    <w:qFormat/>
    <w:uiPriority w:val="0"/>
    <w:rPr>
      <w:rFonts w:eastAsia="宋体"/>
      <w:b/>
      <w:kern w:val="2"/>
      <w:sz w:val="32"/>
      <w:lang w:val="en-US" w:eastAsia="zh-CN" w:bidi="ar-SA"/>
    </w:rPr>
  </w:style>
  <w:style w:type="character" w:customStyle="1" w:styleId="331">
    <w:name w:val="eng1"/>
    <w:autoRedefine/>
    <w:qFormat/>
    <w:uiPriority w:val="0"/>
    <w:rPr>
      <w:rFonts w:hint="default" w:ascii="Verdana" w:hAnsi="Verdana"/>
      <w:color w:val="3D3D3D"/>
      <w:sz w:val="18"/>
      <w:szCs w:val="18"/>
      <w:u w:val="none"/>
    </w:rPr>
  </w:style>
  <w:style w:type="character" w:customStyle="1" w:styleId="332">
    <w:name w:val="正文首行缩进两字符 Char Char"/>
    <w:basedOn w:val="54"/>
    <w:link w:val="71"/>
    <w:autoRedefine/>
    <w:qFormat/>
    <w:uiPriority w:val="0"/>
    <w:rPr>
      <w:rFonts w:eastAsia="宋体"/>
      <w:kern w:val="2"/>
      <w:sz w:val="21"/>
      <w:lang w:val="en-US" w:eastAsia="zh-CN" w:bidi="ar-SA"/>
    </w:rPr>
  </w:style>
  <w:style w:type="character" w:customStyle="1" w:styleId="333">
    <w:name w:val="contentbody"/>
    <w:basedOn w:val="54"/>
    <w:autoRedefine/>
    <w:qFormat/>
    <w:uiPriority w:val="0"/>
  </w:style>
  <w:style w:type="character" w:customStyle="1" w:styleId="334">
    <w:name w:val="正文文本缩进 2 Char1"/>
    <w:link w:val="30"/>
    <w:autoRedefine/>
    <w:qFormat/>
    <w:uiPriority w:val="0"/>
    <w:rPr>
      <w:rFonts w:eastAsia="宋体"/>
      <w:kern w:val="2"/>
      <w:sz w:val="32"/>
      <w:lang w:val="en-US" w:eastAsia="zh-CN" w:bidi="ar-SA"/>
    </w:rPr>
  </w:style>
  <w:style w:type="character" w:customStyle="1" w:styleId="335">
    <w:name w:val="正文文本缩进 Char"/>
    <w:basedOn w:val="54"/>
    <w:link w:val="21"/>
    <w:autoRedefine/>
    <w:qFormat/>
    <w:uiPriority w:val="0"/>
    <w:rPr>
      <w:kern w:val="2"/>
      <w:sz w:val="32"/>
    </w:rPr>
  </w:style>
  <w:style w:type="character" w:customStyle="1" w:styleId="336">
    <w:name w:val="文档结构图 Char"/>
    <w:basedOn w:val="54"/>
    <w:link w:val="16"/>
    <w:autoRedefine/>
    <w:qFormat/>
    <w:uiPriority w:val="0"/>
    <w:rPr>
      <w:kern w:val="2"/>
      <w:sz w:val="21"/>
      <w:shd w:val="clear" w:color="auto" w:fill="000080"/>
    </w:rPr>
  </w:style>
  <w:style w:type="character" w:customStyle="1" w:styleId="337">
    <w:name w:val="ca-3"/>
    <w:basedOn w:val="54"/>
    <w:autoRedefine/>
    <w:qFormat/>
    <w:uiPriority w:val="0"/>
  </w:style>
  <w:style w:type="character" w:customStyle="1" w:styleId="338">
    <w:name w:val="ca-4"/>
    <w:basedOn w:val="54"/>
    <w:autoRedefine/>
    <w:qFormat/>
    <w:uiPriority w:val="0"/>
  </w:style>
  <w:style w:type="character" w:customStyle="1" w:styleId="339">
    <w:name w:val="ca-5"/>
    <w:basedOn w:val="54"/>
    <w:autoRedefine/>
    <w:qFormat/>
    <w:uiPriority w:val="0"/>
  </w:style>
  <w:style w:type="character" w:customStyle="1" w:styleId="340">
    <w:name w:val="正文文本 Char"/>
    <w:basedOn w:val="54"/>
    <w:link w:val="19"/>
    <w:autoRedefine/>
    <w:qFormat/>
    <w:uiPriority w:val="0"/>
    <w:rPr>
      <w:kern w:val="2"/>
      <w:sz w:val="21"/>
    </w:rPr>
  </w:style>
  <w:style w:type="character" w:customStyle="1" w:styleId="341">
    <w:name w:val="tdtwolines"/>
    <w:basedOn w:val="54"/>
    <w:autoRedefine/>
    <w:qFormat/>
    <w:uiPriority w:val="0"/>
  </w:style>
  <w:style w:type="character" w:customStyle="1" w:styleId="342">
    <w:name w:val="页眉 Char"/>
    <w:link w:val="33"/>
    <w:autoRedefine/>
    <w:qFormat/>
    <w:uiPriority w:val="99"/>
    <w:rPr>
      <w:kern w:val="2"/>
      <w:sz w:val="18"/>
    </w:rPr>
  </w:style>
  <w:style w:type="character" w:customStyle="1" w:styleId="343">
    <w:name w:val="页脚 Char"/>
    <w:link w:val="32"/>
    <w:autoRedefine/>
    <w:qFormat/>
    <w:uiPriority w:val="99"/>
    <w:rPr>
      <w:kern w:val="2"/>
      <w:sz w:val="18"/>
    </w:rPr>
  </w:style>
  <w:style w:type="character" w:customStyle="1" w:styleId="344">
    <w:name w:val="标题 3 Char"/>
    <w:link w:val="4"/>
    <w:autoRedefine/>
    <w:qFormat/>
    <w:uiPriority w:val="0"/>
    <w:rPr>
      <w:b/>
      <w:kern w:val="2"/>
      <w:sz w:val="32"/>
    </w:rPr>
  </w:style>
  <w:style w:type="character" w:customStyle="1" w:styleId="345">
    <w:name w:val="标题 4 Char"/>
    <w:link w:val="5"/>
    <w:autoRedefine/>
    <w:qFormat/>
    <w:uiPriority w:val="0"/>
    <w:rPr>
      <w:rFonts w:ascii="Arial" w:hAnsi="Arial" w:eastAsia="黑体"/>
      <w:b/>
      <w:kern w:val="2"/>
      <w:sz w:val="28"/>
    </w:rPr>
  </w:style>
  <w:style w:type="character" w:customStyle="1" w:styleId="346">
    <w:name w:val="标题 5 Char"/>
    <w:link w:val="6"/>
    <w:autoRedefine/>
    <w:qFormat/>
    <w:uiPriority w:val="0"/>
    <w:rPr>
      <w:b/>
      <w:kern w:val="2"/>
      <w:sz w:val="28"/>
    </w:rPr>
  </w:style>
  <w:style w:type="character" w:customStyle="1" w:styleId="347">
    <w:name w:val="标题 6 Char"/>
    <w:link w:val="8"/>
    <w:autoRedefine/>
    <w:qFormat/>
    <w:uiPriority w:val="0"/>
    <w:rPr>
      <w:rFonts w:ascii="Arial" w:hAnsi="Arial" w:eastAsia="黑体"/>
      <w:b/>
      <w:kern w:val="2"/>
      <w:sz w:val="24"/>
    </w:rPr>
  </w:style>
  <w:style w:type="character" w:customStyle="1" w:styleId="348">
    <w:name w:val="标题 7 Char"/>
    <w:link w:val="9"/>
    <w:autoRedefine/>
    <w:qFormat/>
    <w:uiPriority w:val="0"/>
    <w:rPr>
      <w:b/>
      <w:kern w:val="2"/>
      <w:sz w:val="24"/>
    </w:rPr>
  </w:style>
  <w:style w:type="character" w:customStyle="1" w:styleId="349">
    <w:name w:val="标题 8 Char"/>
    <w:link w:val="10"/>
    <w:autoRedefine/>
    <w:qFormat/>
    <w:uiPriority w:val="0"/>
    <w:rPr>
      <w:rFonts w:ascii="Arial" w:hAnsi="Arial" w:eastAsia="黑体"/>
      <w:kern w:val="2"/>
      <w:sz w:val="24"/>
    </w:rPr>
  </w:style>
  <w:style w:type="character" w:customStyle="1" w:styleId="350">
    <w:name w:val="标题 9 Char"/>
    <w:link w:val="11"/>
    <w:autoRedefine/>
    <w:qFormat/>
    <w:uiPriority w:val="0"/>
    <w:rPr>
      <w:rFonts w:ascii="Arial" w:hAnsi="Arial" w:eastAsia="黑体"/>
      <w:kern w:val="2"/>
      <w:sz w:val="21"/>
    </w:rPr>
  </w:style>
  <w:style w:type="character" w:customStyle="1" w:styleId="351">
    <w:name w:val="正文缩进 Char"/>
    <w:link w:val="7"/>
    <w:autoRedefine/>
    <w:qFormat/>
    <w:uiPriority w:val="0"/>
    <w:rPr>
      <w:kern w:val="2"/>
      <w:sz w:val="21"/>
    </w:rPr>
  </w:style>
  <w:style w:type="character" w:customStyle="1" w:styleId="352">
    <w:name w:val="正文首行缩进 Char"/>
    <w:link w:val="50"/>
    <w:autoRedefine/>
    <w:qFormat/>
    <w:uiPriority w:val="0"/>
    <w:rPr>
      <w:kern w:val="2"/>
      <w:sz w:val="21"/>
    </w:rPr>
  </w:style>
  <w:style w:type="character" w:customStyle="1" w:styleId="353">
    <w:name w:val="批注文字 Char"/>
    <w:basedOn w:val="54"/>
    <w:link w:val="17"/>
    <w:autoRedefine/>
    <w:qFormat/>
    <w:uiPriority w:val="0"/>
    <w:rPr>
      <w:rFonts w:eastAsia="微软雅黑"/>
      <w:sz w:val="24"/>
      <w:szCs w:val="24"/>
    </w:rPr>
  </w:style>
  <w:style w:type="character" w:customStyle="1" w:styleId="354">
    <w:name w:val="批注主题 Char"/>
    <w:basedOn w:val="353"/>
    <w:link w:val="49"/>
    <w:autoRedefine/>
    <w:qFormat/>
    <w:uiPriority w:val="0"/>
    <w:rPr>
      <w:rFonts w:eastAsia="微软雅黑"/>
      <w:b/>
      <w:bCs/>
      <w:sz w:val="24"/>
      <w:szCs w:val="24"/>
    </w:rPr>
  </w:style>
  <w:style w:type="character" w:customStyle="1" w:styleId="355">
    <w:name w:val="批注框文本 Char"/>
    <w:link w:val="31"/>
    <w:autoRedefine/>
    <w:qFormat/>
    <w:uiPriority w:val="99"/>
    <w:rPr>
      <w:kern w:val="2"/>
      <w:sz w:val="18"/>
    </w:rPr>
  </w:style>
  <w:style w:type="character" w:customStyle="1" w:styleId="356">
    <w:name w:val="px14"/>
    <w:autoRedefine/>
    <w:qFormat/>
    <w:uiPriority w:val="0"/>
    <w:rPr>
      <w:rFonts w:ascii="Tahoma" w:hAnsi="Tahoma" w:eastAsia="宋体"/>
      <w:kern w:val="2"/>
      <w:sz w:val="24"/>
      <w:lang w:val="en-US" w:eastAsia="zh-CN" w:bidi="ar-SA"/>
    </w:rPr>
  </w:style>
  <w:style w:type="character" w:customStyle="1" w:styleId="357">
    <w:name w:val="正文文本缩进 3 Char"/>
    <w:link w:val="42"/>
    <w:autoRedefine/>
    <w:qFormat/>
    <w:uiPriority w:val="0"/>
    <w:rPr>
      <w:rFonts w:ascii="黑体" w:eastAsia="黑体"/>
      <w:kern w:val="2"/>
      <w:sz w:val="30"/>
    </w:rPr>
  </w:style>
  <w:style w:type="character" w:customStyle="1" w:styleId="358">
    <w:name w:val="h4 Char"/>
    <w:autoRedefine/>
    <w:qFormat/>
    <w:uiPriority w:val="0"/>
    <w:rPr>
      <w:rFonts w:ascii="Arial" w:hAnsi="Arial" w:eastAsia="黑体"/>
      <w:b/>
      <w:bCs/>
      <w:kern w:val="2"/>
      <w:sz w:val="28"/>
      <w:szCs w:val="28"/>
      <w:lang w:val="en-US" w:eastAsia="zh-CN" w:bidi="ar-SA"/>
    </w:rPr>
  </w:style>
  <w:style w:type="character" w:customStyle="1" w:styleId="359">
    <w:name w:val="pt9"/>
    <w:basedOn w:val="54"/>
    <w:autoRedefine/>
    <w:qFormat/>
    <w:uiPriority w:val="0"/>
  </w:style>
  <w:style w:type="character" w:customStyle="1" w:styleId="360">
    <w:name w:val="脚注文本 Char"/>
    <w:basedOn w:val="54"/>
    <w:link w:val="40"/>
    <w:autoRedefine/>
    <w:qFormat/>
    <w:uiPriority w:val="0"/>
  </w:style>
  <w:style w:type="character" w:customStyle="1" w:styleId="361">
    <w:name w:val="txt"/>
    <w:autoRedefine/>
    <w:qFormat/>
    <w:uiPriority w:val="0"/>
    <w:rPr>
      <w:rFonts w:ascii="Tahoma" w:hAnsi="Tahoma" w:eastAsia="宋体"/>
      <w:kern w:val="2"/>
      <w:sz w:val="24"/>
      <w:lang w:val="en-US" w:eastAsia="zh-CN" w:bidi="ar-SA"/>
    </w:rPr>
  </w:style>
  <w:style w:type="character" w:customStyle="1" w:styleId="362">
    <w:name w:val="f141"/>
    <w:autoRedefine/>
    <w:qFormat/>
    <w:uiPriority w:val="0"/>
    <w:rPr>
      <w:rFonts w:ascii="Tahoma" w:hAnsi="Tahoma" w:eastAsia="宋体"/>
      <w:kern w:val="2"/>
      <w:sz w:val="21"/>
      <w:szCs w:val="21"/>
      <w:lang w:val="en-US" w:eastAsia="zh-CN" w:bidi="ar-SA"/>
    </w:rPr>
  </w:style>
  <w:style w:type="character" w:customStyle="1" w:styleId="363">
    <w:name w:val="Char Char Char Char Char Char Char Char Char Char Char Char"/>
    <w:autoRedefine/>
    <w:qFormat/>
    <w:uiPriority w:val="0"/>
    <w:rPr>
      <w:rFonts w:ascii="Arial" w:hAnsi="Arial" w:eastAsia="宋体"/>
      <w:b/>
      <w:bCs/>
      <w:kern w:val="2"/>
      <w:sz w:val="32"/>
      <w:szCs w:val="32"/>
      <w:lang w:val="en-US" w:eastAsia="zh-CN" w:bidi="ar-SA"/>
    </w:rPr>
  </w:style>
  <w:style w:type="character" w:customStyle="1" w:styleId="364">
    <w:name w:val="正文文本 2 Char"/>
    <w:link w:val="45"/>
    <w:autoRedefine/>
    <w:qFormat/>
    <w:uiPriority w:val="0"/>
    <w:rPr>
      <w:kern w:val="2"/>
      <w:sz w:val="21"/>
    </w:rPr>
  </w:style>
  <w:style w:type="character" w:customStyle="1" w:styleId="365">
    <w:name w:val="日期 Char"/>
    <w:link w:val="29"/>
    <w:autoRedefine/>
    <w:qFormat/>
    <w:uiPriority w:val="0"/>
    <w:rPr>
      <w:rFonts w:eastAsia="黑体"/>
      <w:kern w:val="2"/>
      <w:sz w:val="36"/>
    </w:rPr>
  </w:style>
  <w:style w:type="character" w:customStyle="1" w:styleId="366">
    <w:name w:val="font12gray1"/>
    <w:autoRedefine/>
    <w:qFormat/>
    <w:uiPriority w:val="0"/>
    <w:rPr>
      <w:rFonts w:ascii="仿宋_GB2312" w:eastAsia="微软雅黑"/>
      <w:b/>
      <w:spacing w:val="300"/>
      <w:kern w:val="2"/>
      <w:sz w:val="18"/>
      <w:szCs w:val="18"/>
      <w:lang w:val="en-US" w:eastAsia="zh-CN" w:bidi="ar-SA"/>
    </w:rPr>
  </w:style>
  <w:style w:type="character" w:customStyle="1" w:styleId="367">
    <w:name w:val="正文文本 3 Char"/>
    <w:link w:val="18"/>
    <w:autoRedefine/>
    <w:qFormat/>
    <w:uiPriority w:val="0"/>
    <w:rPr>
      <w:b/>
      <w:kern w:val="2"/>
      <w:sz w:val="24"/>
    </w:rPr>
  </w:style>
  <w:style w:type="character" w:customStyle="1" w:styleId="368">
    <w:name w:val="t21"/>
    <w:autoRedefine/>
    <w:qFormat/>
    <w:uiPriority w:val="0"/>
    <w:rPr>
      <w:rFonts w:ascii="仿宋_GB2312" w:eastAsia="微软雅黑"/>
      <w:b/>
      <w:kern w:val="2"/>
      <w:sz w:val="23"/>
      <w:szCs w:val="23"/>
      <w:lang w:val="en-US" w:eastAsia="zh-CN" w:bidi="ar-SA"/>
    </w:rPr>
  </w:style>
  <w:style w:type="character" w:customStyle="1" w:styleId="369">
    <w:name w:val="Bold"/>
    <w:autoRedefine/>
    <w:qFormat/>
    <w:uiPriority w:val="0"/>
    <w:rPr>
      <w:rFonts w:ascii="Arial" w:hAnsi="Arial" w:eastAsia="黑体" w:cs="Times New Roman"/>
      <w:b/>
      <w:kern w:val="2"/>
      <w:sz w:val="32"/>
      <w:szCs w:val="32"/>
      <w:lang w:val="en-US" w:eastAsia="zh-CN" w:bidi="ar-SA"/>
    </w:rPr>
  </w:style>
  <w:style w:type="character" w:customStyle="1" w:styleId="370">
    <w:name w:val="highlight1"/>
    <w:autoRedefine/>
    <w:qFormat/>
    <w:uiPriority w:val="0"/>
    <w:rPr>
      <w:rFonts w:ascii="仿宋_GB2312" w:eastAsia="微软雅黑"/>
      <w:b/>
      <w:kern w:val="2"/>
      <w:sz w:val="23"/>
      <w:szCs w:val="23"/>
      <w:lang w:val="en-US" w:eastAsia="zh-CN" w:bidi="ar-SA"/>
    </w:rPr>
  </w:style>
  <w:style w:type="character" w:customStyle="1" w:styleId="371">
    <w:name w:val="HTML 预设格式 Char"/>
    <w:basedOn w:val="54"/>
    <w:link w:val="46"/>
    <w:autoRedefine/>
    <w:qFormat/>
    <w:uiPriority w:val="0"/>
    <w:rPr>
      <w:rFonts w:ascii="黑体" w:hAnsi="Courier New" w:eastAsia="黑体"/>
    </w:rPr>
  </w:style>
  <w:style w:type="character" w:customStyle="1" w:styleId="372">
    <w:name w:val="myp11"/>
    <w:autoRedefine/>
    <w:qFormat/>
    <w:uiPriority w:val="0"/>
    <w:rPr>
      <w:rFonts w:ascii="仿宋_GB2312" w:eastAsia="微软雅黑"/>
      <w:b/>
      <w:kern w:val="2"/>
      <w:sz w:val="32"/>
      <w:szCs w:val="32"/>
      <w:lang w:val="en-US" w:eastAsia="zh-CN" w:bidi="ar-SA"/>
    </w:rPr>
  </w:style>
  <w:style w:type="character" w:customStyle="1" w:styleId="373">
    <w:name w:val="Char Char3"/>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374">
    <w:name w:val="unnamed11"/>
    <w:autoRedefine/>
    <w:qFormat/>
    <w:uiPriority w:val="0"/>
    <w:rPr>
      <w:rFonts w:ascii="仿宋_GB2312" w:eastAsia="微软雅黑"/>
      <w:b/>
      <w:color w:val="000000"/>
      <w:spacing w:val="360"/>
      <w:kern w:val="2"/>
      <w:sz w:val="18"/>
      <w:szCs w:val="18"/>
      <w:u w:val="none"/>
      <w:lang w:val="en-US" w:eastAsia="zh-CN" w:bidi="ar-SA"/>
    </w:rPr>
  </w:style>
  <w:style w:type="character" w:customStyle="1" w:styleId="375">
    <w:name w:val="标题 Char"/>
    <w:basedOn w:val="54"/>
    <w:link w:val="48"/>
    <w:autoRedefine/>
    <w:qFormat/>
    <w:uiPriority w:val="0"/>
    <w:rPr>
      <w:rFonts w:ascii="Arial" w:hAnsi="Arial" w:eastAsia="微软雅黑"/>
      <w:b/>
      <w:bCs/>
      <w:sz w:val="32"/>
      <w:szCs w:val="32"/>
    </w:rPr>
  </w:style>
  <w:style w:type="character" w:customStyle="1" w:styleId="37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377">
    <w:name w:val="Char Char8"/>
    <w:autoRedefine/>
    <w:qFormat/>
    <w:uiPriority w:val="0"/>
    <w:rPr>
      <w:rFonts w:ascii="Arial" w:hAnsi="Arial" w:eastAsia="黑体" w:cs="Times New Roman"/>
      <w:b/>
      <w:bCs/>
      <w:kern w:val="2"/>
      <w:sz w:val="28"/>
      <w:szCs w:val="28"/>
      <w:lang w:val="en-US" w:eastAsia="zh-CN" w:bidi="ar-SA"/>
    </w:rPr>
  </w:style>
  <w:style w:type="character" w:customStyle="1" w:styleId="378">
    <w:name w:val="Char Char1"/>
    <w:autoRedefine/>
    <w:qFormat/>
    <w:uiPriority w:val="0"/>
    <w:rPr>
      <w:rFonts w:ascii="Times New Roman" w:hAnsi="Times New Roman" w:eastAsia="宋体" w:cs="Times New Roman"/>
      <w:b/>
      <w:kern w:val="2"/>
      <w:sz w:val="32"/>
      <w:szCs w:val="24"/>
      <w:lang w:val="en-US" w:eastAsia="zh-CN" w:bidi="ar-SA"/>
    </w:rPr>
  </w:style>
  <w:style w:type="character" w:customStyle="1" w:styleId="379">
    <w:name w:val="副标题 Char"/>
    <w:basedOn w:val="54"/>
    <w:link w:val="38"/>
    <w:autoRedefine/>
    <w:qFormat/>
    <w:uiPriority w:val="0"/>
    <w:rPr>
      <w:rFonts w:ascii="Arial" w:hAnsi="Arial" w:eastAsia="隶书" w:cs="Arial"/>
      <w:b/>
      <w:bCs/>
      <w:kern w:val="28"/>
      <w:sz w:val="44"/>
      <w:szCs w:val="32"/>
      <w:lang w:val="en-US" w:eastAsia="zh-CN" w:bidi="ar-SA"/>
    </w:rPr>
  </w:style>
  <w:style w:type="character" w:customStyle="1" w:styleId="380">
    <w:name w:val="mdeck"/>
    <w:autoRedefine/>
    <w:qFormat/>
    <w:uiPriority w:val="0"/>
    <w:rPr>
      <w:rFonts w:ascii="仿宋_GB2312" w:eastAsia="微软雅黑"/>
      <w:b/>
      <w:kern w:val="2"/>
      <w:sz w:val="32"/>
      <w:szCs w:val="32"/>
      <w:lang w:val="en-US" w:eastAsia="zh-CN" w:bidi="ar-SA"/>
    </w:rPr>
  </w:style>
  <w:style w:type="character" w:customStyle="1" w:styleId="38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82">
    <w:name w:val="Char Char11"/>
    <w:autoRedefine/>
    <w:qFormat/>
    <w:locked/>
    <w:uiPriority w:val="0"/>
    <w:rPr>
      <w:rFonts w:ascii="宋体" w:hAnsi="宋体" w:eastAsia="宋体"/>
      <w:b/>
      <w:kern w:val="2"/>
      <w:sz w:val="24"/>
      <w:szCs w:val="24"/>
      <w:lang w:val="en-US" w:eastAsia="zh-CN" w:bidi="ar-SA"/>
    </w:rPr>
  </w:style>
  <w:style w:type="character" w:customStyle="1" w:styleId="383">
    <w:name w:val="此正文 Char Char"/>
    <w:link w:val="152"/>
    <w:autoRedefine/>
    <w:qFormat/>
    <w:uiPriority w:val="0"/>
    <w:rPr>
      <w:rFonts w:eastAsia="微软雅黑"/>
      <w:sz w:val="24"/>
      <w:szCs w:val="24"/>
    </w:rPr>
  </w:style>
  <w:style w:type="character" w:customStyle="1" w:styleId="384">
    <w:name w:val="样式 标题 4h4H4Fab-4T5Ref Heading 1rh1Heading sqlsect 1.2.3.... Char Char"/>
    <w:link w:val="153"/>
    <w:autoRedefine/>
    <w:qFormat/>
    <w:uiPriority w:val="0"/>
    <w:rPr>
      <w:rFonts w:ascii="微软雅黑" w:hAnsi="微软雅黑"/>
      <w:b/>
      <w:bCs/>
      <w:sz w:val="24"/>
    </w:rPr>
  </w:style>
  <w:style w:type="character" w:customStyle="1" w:styleId="385">
    <w:name w:val="样式 样式 标题 4h4H4Fab-4T5Ref Heading 1rh1Heading sqlsect 1.2.3.... +... Char Char"/>
    <w:link w:val="154"/>
    <w:autoRedefine/>
    <w:qFormat/>
    <w:uiPriority w:val="0"/>
    <w:rPr>
      <w:rFonts w:ascii="微软雅黑" w:hAnsi="微软雅黑"/>
      <w:sz w:val="24"/>
    </w:rPr>
  </w:style>
  <w:style w:type="character" w:customStyle="1" w:styleId="386">
    <w:name w:val="Footer Char"/>
    <w:autoRedefine/>
    <w:semiHidden/>
    <w:qFormat/>
    <w:locked/>
    <w:uiPriority w:val="0"/>
    <w:rPr>
      <w:rFonts w:eastAsia="宋体"/>
      <w:kern w:val="2"/>
      <w:sz w:val="18"/>
      <w:szCs w:val="18"/>
      <w:lang w:val="en-US" w:eastAsia="zh-CN" w:bidi="ar-SA"/>
    </w:rPr>
  </w:style>
  <w:style w:type="character" w:customStyle="1" w:styleId="387">
    <w:name w:val="链接"/>
    <w:autoRedefine/>
    <w:qFormat/>
    <w:uiPriority w:val="0"/>
    <w:rPr>
      <w:color w:val="0000FF"/>
      <w:sz w:val="21"/>
      <w:szCs w:val="21"/>
      <w:u w:val="single"/>
    </w:rPr>
  </w:style>
  <w:style w:type="character" w:customStyle="1" w:styleId="388">
    <w:name w:val="HTML 地址 Char"/>
    <w:basedOn w:val="54"/>
    <w:link w:val="24"/>
    <w:autoRedefine/>
    <w:qFormat/>
    <w:uiPriority w:val="0"/>
    <w:rPr>
      <w:rFonts w:ascii="宋体" w:hAnsi="宋体"/>
      <w:i/>
      <w:iCs/>
      <w:sz w:val="24"/>
      <w:szCs w:val="24"/>
    </w:rPr>
  </w:style>
  <w:style w:type="character" w:customStyle="1" w:styleId="389">
    <w:name w:val="javascript"/>
    <w:basedOn w:val="54"/>
    <w:autoRedefine/>
    <w:qFormat/>
    <w:uiPriority w:val="0"/>
  </w:style>
  <w:style w:type="character" w:customStyle="1" w:styleId="39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391">
    <w:name w:val="Heading 7 Char"/>
    <w:autoRedefine/>
    <w:qFormat/>
    <w:locked/>
    <w:uiPriority w:val="0"/>
    <w:rPr>
      <w:rFonts w:ascii="宋体" w:hAnsi="宋体" w:eastAsia="宋体"/>
      <w:b/>
      <w:bCs/>
      <w:kern w:val="2"/>
      <w:sz w:val="24"/>
      <w:szCs w:val="24"/>
      <w:lang w:val="en-US" w:eastAsia="zh-CN" w:bidi="ar-SA"/>
    </w:rPr>
  </w:style>
  <w:style w:type="character" w:customStyle="1" w:styleId="392">
    <w:name w:val="Header Char"/>
    <w:autoRedefine/>
    <w:semiHidden/>
    <w:qFormat/>
    <w:locked/>
    <w:uiPriority w:val="0"/>
    <w:rPr>
      <w:rFonts w:eastAsia="宋体"/>
      <w:kern w:val="2"/>
      <w:sz w:val="18"/>
      <w:szCs w:val="18"/>
      <w:lang w:val="en-US" w:eastAsia="zh-CN" w:bidi="ar-SA"/>
    </w:rPr>
  </w:style>
  <w:style w:type="character" w:customStyle="1" w:styleId="393">
    <w:name w:val="Balloon Text Char"/>
    <w:autoRedefine/>
    <w:semiHidden/>
    <w:qFormat/>
    <w:locked/>
    <w:uiPriority w:val="0"/>
    <w:rPr>
      <w:rFonts w:eastAsia="宋体"/>
      <w:kern w:val="2"/>
      <w:sz w:val="18"/>
      <w:szCs w:val="18"/>
      <w:lang w:val="en-US" w:eastAsia="zh-CN" w:bidi="ar-SA"/>
    </w:rPr>
  </w:style>
  <w:style w:type="character" w:customStyle="1" w:styleId="394">
    <w:name w:val="Document Map Char"/>
    <w:autoRedefine/>
    <w:semiHidden/>
    <w:qFormat/>
    <w:locked/>
    <w:uiPriority w:val="0"/>
    <w:rPr>
      <w:rFonts w:eastAsia="宋体"/>
      <w:kern w:val="2"/>
      <w:sz w:val="21"/>
      <w:szCs w:val="24"/>
      <w:lang w:val="en-US" w:eastAsia="zh-CN" w:bidi="ar-SA"/>
    </w:rPr>
  </w:style>
  <w:style w:type="character" w:customStyle="1" w:styleId="395">
    <w:name w:val="Comment Text Char"/>
    <w:autoRedefine/>
    <w:semiHidden/>
    <w:qFormat/>
    <w:locked/>
    <w:uiPriority w:val="0"/>
    <w:rPr>
      <w:rFonts w:ascii="宋体" w:hAnsi="宋体" w:eastAsia="宋体"/>
      <w:kern w:val="2"/>
      <w:sz w:val="24"/>
      <w:lang w:val="en-US" w:eastAsia="zh-CN" w:bidi="ar-SA"/>
    </w:rPr>
  </w:style>
  <w:style w:type="character" w:customStyle="1" w:styleId="396">
    <w:name w:val="正文文本缩进 Char1"/>
    <w:autoRedefine/>
    <w:qFormat/>
    <w:uiPriority w:val="0"/>
    <w:rPr>
      <w:rFonts w:ascii="Times New Roman" w:hAnsi="Times New Roman" w:eastAsia="宋体" w:cs="Times New Roman"/>
      <w:szCs w:val="24"/>
    </w:rPr>
  </w:style>
  <w:style w:type="character" w:customStyle="1" w:styleId="397">
    <w:name w:val="big1"/>
    <w:autoRedefine/>
    <w:qFormat/>
    <w:uiPriority w:val="0"/>
    <w:rPr>
      <w:rFonts w:hint="eastAsia" w:ascii="宋体" w:hAnsi="宋体" w:eastAsia="宋体"/>
      <w:color w:val="333333"/>
      <w:sz w:val="22"/>
      <w:szCs w:val="22"/>
    </w:rPr>
  </w:style>
  <w:style w:type="character" w:customStyle="1" w:styleId="398">
    <w:name w:val="tw4winMark"/>
    <w:autoRedefine/>
    <w:qFormat/>
    <w:uiPriority w:val="0"/>
    <w:rPr>
      <w:rFonts w:ascii="Courier New" w:hAnsi="Courier New" w:cs="Courier New"/>
      <w:vanish/>
      <w:color w:val="800080"/>
      <w:sz w:val="24"/>
      <w:szCs w:val="24"/>
      <w:vertAlign w:val="subscript"/>
    </w:rPr>
  </w:style>
  <w:style w:type="character" w:customStyle="1" w:styleId="399">
    <w:name w:val="tw4winError"/>
    <w:autoRedefine/>
    <w:qFormat/>
    <w:uiPriority w:val="0"/>
    <w:rPr>
      <w:rFonts w:ascii="Courier New" w:hAnsi="Courier New" w:cs="Courier New"/>
      <w:color w:val="00FF00"/>
      <w:sz w:val="40"/>
      <w:szCs w:val="40"/>
    </w:rPr>
  </w:style>
  <w:style w:type="character" w:customStyle="1" w:styleId="400">
    <w:name w:val="tw4winTerm"/>
    <w:autoRedefine/>
    <w:qFormat/>
    <w:uiPriority w:val="0"/>
    <w:rPr>
      <w:color w:val="0000FF"/>
    </w:rPr>
  </w:style>
  <w:style w:type="character" w:customStyle="1" w:styleId="401">
    <w:name w:val="tw4winPopup"/>
    <w:autoRedefine/>
    <w:qFormat/>
    <w:uiPriority w:val="0"/>
    <w:rPr>
      <w:rFonts w:ascii="Courier New" w:hAnsi="Courier New" w:cs="Courier New"/>
      <w:color w:val="008000"/>
    </w:rPr>
  </w:style>
  <w:style w:type="character" w:customStyle="1" w:styleId="402">
    <w:name w:val="tw4winJump"/>
    <w:autoRedefine/>
    <w:qFormat/>
    <w:uiPriority w:val="0"/>
    <w:rPr>
      <w:rFonts w:ascii="Courier New" w:hAnsi="Courier New" w:cs="Courier New"/>
      <w:color w:val="008080"/>
    </w:rPr>
  </w:style>
  <w:style w:type="character" w:customStyle="1" w:styleId="403">
    <w:name w:val="tw4winExternal"/>
    <w:autoRedefine/>
    <w:qFormat/>
    <w:uiPriority w:val="0"/>
    <w:rPr>
      <w:rFonts w:ascii="Courier New" w:hAnsi="Courier New" w:cs="Courier New"/>
      <w:color w:val="808080"/>
    </w:rPr>
  </w:style>
  <w:style w:type="character" w:customStyle="1" w:styleId="404">
    <w:name w:val="tw4winInternal"/>
    <w:autoRedefine/>
    <w:qFormat/>
    <w:uiPriority w:val="0"/>
    <w:rPr>
      <w:rFonts w:ascii="Courier New" w:hAnsi="Courier New" w:cs="Courier New"/>
      <w:color w:val="FF0000"/>
    </w:rPr>
  </w:style>
  <w:style w:type="character" w:customStyle="1" w:styleId="405">
    <w:name w:val="DO_NOT_TRANSLATE"/>
    <w:autoRedefine/>
    <w:qFormat/>
    <w:uiPriority w:val="0"/>
    <w:rPr>
      <w:rFonts w:ascii="Courier New" w:hAnsi="Courier New" w:cs="Courier New"/>
      <w:color w:val="800000"/>
    </w:rPr>
  </w:style>
  <w:style w:type="character" w:customStyle="1" w:styleId="406">
    <w:name w:val="solutionfonts"/>
    <w:basedOn w:val="54"/>
    <w:autoRedefine/>
    <w:qFormat/>
    <w:uiPriority w:val="0"/>
  </w:style>
  <w:style w:type="character" w:customStyle="1" w:styleId="407">
    <w:name w:val="Normal Indent Char Char"/>
    <w:autoRedefine/>
    <w:qFormat/>
    <w:uiPriority w:val="0"/>
    <w:rPr>
      <w:rFonts w:eastAsia="宋体"/>
      <w:kern w:val="2"/>
      <w:sz w:val="21"/>
      <w:szCs w:val="24"/>
      <w:lang w:val="en-US" w:eastAsia="zh-CN" w:bidi="ar-SA"/>
    </w:rPr>
  </w:style>
  <w:style w:type="character" w:customStyle="1" w:styleId="408">
    <w:name w:val="message1"/>
    <w:autoRedefine/>
    <w:qFormat/>
    <w:uiPriority w:val="0"/>
    <w:rPr>
      <w:rFonts w:hint="default" w:ascii="Tahoma" w:hAnsi="Tahoma" w:cs="Tahoma"/>
      <w:sz w:val="18"/>
      <w:szCs w:val="18"/>
    </w:rPr>
  </w:style>
  <w:style w:type="character" w:customStyle="1" w:styleId="409">
    <w:name w:val="Item List Char Char"/>
    <w:link w:val="253"/>
    <w:autoRedefine/>
    <w:qFormat/>
    <w:uiPriority w:val="0"/>
    <w:rPr>
      <w:rFonts w:ascii="Arial"/>
      <w:bCs/>
      <w:szCs w:val="21"/>
      <w:lang w:bidi="ar-SA"/>
    </w:rPr>
  </w:style>
  <w:style w:type="character" w:customStyle="1" w:styleId="410">
    <w:name w:val="无间隔 Char"/>
    <w:link w:val="255"/>
    <w:autoRedefine/>
    <w:qFormat/>
    <w:uiPriority w:val="1"/>
    <w:rPr>
      <w:rFonts w:ascii="Calibri" w:hAnsi="Calibri"/>
      <w:sz w:val="22"/>
      <w:szCs w:val="22"/>
      <w:lang w:bidi="ar-SA"/>
    </w:rPr>
  </w:style>
  <w:style w:type="character" w:customStyle="1" w:styleId="411">
    <w:name w:val="正文1 Char Char"/>
    <w:link w:val="83"/>
    <w:autoRedefine/>
    <w:qFormat/>
    <w:uiPriority w:val="0"/>
    <w:rPr>
      <w:rFonts w:ascii="宋体"/>
      <w:sz w:val="34"/>
      <w:lang w:bidi="ar-SA"/>
    </w:rPr>
  </w:style>
  <w:style w:type="character" w:customStyle="1" w:styleId="412">
    <w:name w:val="param_td12"/>
    <w:basedOn w:val="54"/>
    <w:autoRedefine/>
    <w:qFormat/>
    <w:uiPriority w:val="0"/>
  </w:style>
  <w:style w:type="character" w:customStyle="1" w:styleId="413">
    <w:name w:val="哈哈正文 Char Char"/>
    <w:link w:val="265"/>
    <w:autoRedefine/>
    <w:qFormat/>
    <w:uiPriority w:val="0"/>
    <w:rPr>
      <w:rFonts w:ascii="宋体" w:hAnsi="宋体"/>
      <w:sz w:val="24"/>
    </w:rPr>
  </w:style>
  <w:style w:type="character" w:customStyle="1" w:styleId="414">
    <w:name w:val="Char Char10"/>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15">
    <w:name w:val="注释标题 Char"/>
    <w:basedOn w:val="54"/>
    <w:link w:val="13"/>
    <w:autoRedefine/>
    <w:qFormat/>
    <w:uiPriority w:val="0"/>
    <w:rPr>
      <w:szCs w:val="24"/>
    </w:rPr>
  </w:style>
  <w:style w:type="character" w:customStyle="1" w:styleId="416">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17">
    <w:name w:val="Char Char12"/>
    <w:autoRedefine/>
    <w:qFormat/>
    <w:locked/>
    <w:uiPriority w:val="0"/>
    <w:rPr>
      <w:rFonts w:ascii="微软雅黑" w:hAnsi="微软雅黑" w:eastAsia="微软雅黑"/>
      <w:kern w:val="2"/>
      <w:sz w:val="24"/>
      <w:szCs w:val="24"/>
      <w:lang w:val="en-US" w:eastAsia="zh-CN" w:bidi="ar-SA"/>
    </w:rPr>
  </w:style>
  <w:style w:type="character" w:customStyle="1" w:styleId="418">
    <w:name w:val="MM Title Char Char"/>
    <w:link w:val="277"/>
    <w:autoRedefine/>
    <w:qFormat/>
    <w:uiPriority w:val="0"/>
    <w:rPr>
      <w:rFonts w:ascii="Cambria" w:hAnsi="Cambria" w:eastAsia="微软雅黑"/>
      <w:sz w:val="32"/>
      <w:szCs w:val="32"/>
    </w:rPr>
  </w:style>
  <w:style w:type="character" w:customStyle="1" w:styleId="419">
    <w:name w:val="MM Topic 1 Char Char"/>
    <w:link w:val="278"/>
    <w:autoRedefine/>
    <w:qFormat/>
    <w:uiPriority w:val="0"/>
    <w:rPr>
      <w:rFonts w:ascii="Calibri" w:hAnsi="Calibri"/>
      <w:b/>
      <w:bCs/>
      <w:kern w:val="44"/>
      <w:sz w:val="44"/>
      <w:szCs w:val="44"/>
    </w:rPr>
  </w:style>
  <w:style w:type="character" w:customStyle="1" w:styleId="420">
    <w:name w:val="MM Topic 2 Char Char"/>
    <w:link w:val="279"/>
    <w:autoRedefine/>
    <w:qFormat/>
    <w:uiPriority w:val="0"/>
    <w:rPr>
      <w:rFonts w:ascii="Cambria" w:hAnsi="Cambria"/>
      <w:b/>
      <w:bCs/>
      <w:sz w:val="32"/>
      <w:szCs w:val="32"/>
    </w:rPr>
  </w:style>
  <w:style w:type="character" w:customStyle="1" w:styleId="421">
    <w:name w:val="MM Topic 3 Char Char"/>
    <w:link w:val="280"/>
    <w:autoRedefine/>
    <w:qFormat/>
    <w:uiPriority w:val="0"/>
    <w:rPr>
      <w:rFonts w:ascii="Calibri" w:hAnsi="Calibri"/>
      <w:b/>
      <w:bCs/>
      <w:sz w:val="32"/>
      <w:szCs w:val="32"/>
    </w:rPr>
  </w:style>
  <w:style w:type="character" w:customStyle="1" w:styleId="422">
    <w:name w:val="MM Topic 4 Char Char"/>
    <w:link w:val="281"/>
    <w:autoRedefine/>
    <w:qFormat/>
    <w:uiPriority w:val="0"/>
    <w:rPr>
      <w:rFonts w:ascii="Cambria" w:hAnsi="Cambria"/>
      <w:b/>
      <w:bCs/>
      <w:sz w:val="28"/>
      <w:szCs w:val="28"/>
    </w:rPr>
  </w:style>
  <w:style w:type="character" w:customStyle="1" w:styleId="423">
    <w:name w:val="MM Empty Char Char"/>
    <w:link w:val="282"/>
    <w:autoRedefine/>
    <w:qFormat/>
    <w:uiPriority w:val="0"/>
    <w:rPr>
      <w:rFonts w:ascii="Calibri" w:hAnsi="Calibri"/>
    </w:rPr>
  </w:style>
  <w:style w:type="character" w:customStyle="1" w:styleId="424">
    <w:name w:val="MM Topic 5 Char Char"/>
    <w:link w:val="283"/>
    <w:autoRedefine/>
    <w:qFormat/>
    <w:uiPriority w:val="0"/>
    <w:rPr>
      <w:rFonts w:ascii="Calibri" w:hAnsi="Calibri" w:eastAsia="微软雅黑"/>
      <w:bCs/>
      <w:sz w:val="28"/>
      <w:szCs w:val="24"/>
    </w:rPr>
  </w:style>
  <w:style w:type="character" w:customStyle="1" w:styleId="425">
    <w:name w:val="MM Topic 6 Char Char"/>
    <w:link w:val="284"/>
    <w:autoRedefine/>
    <w:qFormat/>
    <w:uiPriority w:val="0"/>
    <w:rPr>
      <w:rFonts w:ascii="Cambria" w:hAnsi="Cambria" w:eastAsia="微软雅黑"/>
      <w:b/>
      <w:bCs/>
      <w:szCs w:val="24"/>
    </w:rPr>
  </w:style>
  <w:style w:type="character" w:customStyle="1" w:styleId="426">
    <w:name w:val="Char Char101"/>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27">
    <w:name w:val="正文标题"/>
    <w:autoRedefine/>
    <w:qFormat/>
    <w:uiPriority w:val="0"/>
    <w:rPr>
      <w:rFonts w:ascii="黑体" w:eastAsia="黑体"/>
      <w:b/>
      <w:color w:val="auto"/>
      <w:sz w:val="21"/>
      <w:u w:val="none"/>
    </w:rPr>
  </w:style>
  <w:style w:type="character" w:customStyle="1" w:styleId="428">
    <w:name w:val="style1"/>
    <w:autoRedefine/>
    <w:qFormat/>
    <w:uiPriority w:val="0"/>
    <w:rPr>
      <w:sz w:val="22"/>
      <w:szCs w:val="22"/>
    </w:rPr>
  </w:style>
  <w:style w:type="character" w:customStyle="1" w:styleId="429">
    <w:name w:val="标题1"/>
    <w:autoRedefine/>
    <w:qFormat/>
    <w:uiPriority w:val="0"/>
  </w:style>
  <w:style w:type="character" w:customStyle="1" w:styleId="430">
    <w:name w:val="count"/>
    <w:autoRedefine/>
    <w:qFormat/>
    <w:uiPriority w:val="0"/>
  </w:style>
  <w:style w:type="character" w:customStyle="1" w:styleId="431">
    <w:name w:val="text_edit"/>
    <w:autoRedefine/>
    <w:qFormat/>
    <w:uiPriority w:val="0"/>
  </w:style>
  <w:style w:type="character" w:customStyle="1" w:styleId="432">
    <w:name w:val="headline-content"/>
    <w:autoRedefine/>
    <w:qFormat/>
    <w:uiPriority w:val="0"/>
  </w:style>
  <w:style w:type="character" w:customStyle="1" w:styleId="433">
    <w:name w:val="引用 Char"/>
    <w:basedOn w:val="54"/>
    <w:link w:val="310"/>
    <w:autoRedefine/>
    <w:qFormat/>
    <w:uiPriority w:val="29"/>
    <w:rPr>
      <w:rFonts w:eastAsia="微软雅黑"/>
      <w:i/>
      <w:iCs/>
      <w:color w:val="000000"/>
      <w:szCs w:val="24"/>
    </w:rPr>
  </w:style>
  <w:style w:type="character" w:customStyle="1" w:styleId="434">
    <w:name w:val="列出段落 Char"/>
    <w:link w:val="130"/>
    <w:autoRedefine/>
    <w:qFormat/>
    <w:uiPriority w:val="34"/>
    <w:rPr>
      <w:rFonts w:eastAsia="微软雅黑"/>
      <w:sz w:val="24"/>
      <w:szCs w:val="24"/>
    </w:rPr>
  </w:style>
  <w:style w:type="character" w:customStyle="1" w:styleId="435">
    <w:name w:val="ca-02"/>
    <w:basedOn w:val="54"/>
    <w:autoRedefine/>
    <w:qFormat/>
    <w:uiPriority w:val="0"/>
  </w:style>
  <w:style w:type="character" w:customStyle="1" w:styleId="436">
    <w:name w:val="font11"/>
    <w:basedOn w:val="54"/>
    <w:autoRedefine/>
    <w:qFormat/>
    <w:uiPriority w:val="0"/>
    <w:rPr>
      <w:rFonts w:hint="eastAsia" w:ascii="宋体" w:hAnsi="宋体" w:eastAsia="宋体" w:cs="宋体"/>
      <w:color w:val="000000"/>
      <w:sz w:val="21"/>
      <w:szCs w:val="21"/>
      <w:u w:val="none"/>
    </w:rPr>
  </w:style>
  <w:style w:type="character" w:customStyle="1" w:styleId="437">
    <w:name w:val="font01"/>
    <w:basedOn w:val="54"/>
    <w:autoRedefine/>
    <w:qFormat/>
    <w:uiPriority w:val="0"/>
    <w:rPr>
      <w:rFonts w:ascii="Calibri" w:hAnsi="Calibri" w:cs="Calibri"/>
      <w:color w:val="000000"/>
      <w:sz w:val="21"/>
      <w:szCs w:val="21"/>
      <w:u w:val="none"/>
    </w:rPr>
  </w:style>
  <w:style w:type="character" w:customStyle="1" w:styleId="438">
    <w:name w:val="trans"/>
    <w:autoRedefine/>
    <w:qFormat/>
    <w:uiPriority w:val="99"/>
  </w:style>
  <w:style w:type="character" w:customStyle="1" w:styleId="439">
    <w:name w:val="font21"/>
    <w:basedOn w:val="54"/>
    <w:autoRedefine/>
    <w:qFormat/>
    <w:uiPriority w:val="0"/>
    <w:rPr>
      <w:rFonts w:hint="eastAsia" w:ascii="宋体" w:hAnsi="宋体" w:eastAsia="宋体" w:cs="宋体"/>
      <w:b/>
      <w:bCs/>
      <w:color w:val="000000"/>
      <w:sz w:val="16"/>
      <w:szCs w:val="16"/>
      <w:u w:val="none"/>
    </w:rPr>
  </w:style>
  <w:style w:type="character" w:customStyle="1" w:styleId="440">
    <w:name w:val="font31"/>
    <w:basedOn w:val="54"/>
    <w:autoRedefine/>
    <w:qFormat/>
    <w:uiPriority w:val="0"/>
    <w:rPr>
      <w:rFonts w:hint="eastAsia" w:ascii="宋体" w:hAnsi="宋体" w:eastAsia="宋体" w:cs="宋体"/>
      <w:b/>
      <w:bCs/>
      <w:color w:val="FF0000"/>
      <w:sz w:val="16"/>
      <w:szCs w:val="16"/>
      <w:u w:val="none"/>
    </w:rPr>
  </w:style>
  <w:style w:type="character" w:customStyle="1" w:styleId="441">
    <w:name w:val="font41"/>
    <w:basedOn w:val="54"/>
    <w:autoRedefine/>
    <w:qFormat/>
    <w:uiPriority w:val="0"/>
    <w:rPr>
      <w:rFonts w:hint="eastAsia" w:ascii="宋体" w:hAnsi="宋体" w:eastAsia="宋体" w:cs="宋体"/>
      <w:b/>
      <w:bCs/>
      <w:color w:val="000000"/>
      <w:sz w:val="16"/>
      <w:szCs w:val="16"/>
      <w:u w:val="none"/>
    </w:rPr>
  </w:style>
  <w:style w:type="table" w:customStyle="1" w:styleId="442">
    <w:name w:val="网格型1"/>
    <w:basedOn w:val="52"/>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3">
    <w:name w:val="List Paragraph"/>
    <w:basedOn w:val="1"/>
    <w:autoRedefine/>
    <w:qFormat/>
    <w:uiPriority w:val="34"/>
    <w:pPr>
      <w:ind w:firstLine="420" w:firstLineChars="200"/>
    </w:pPr>
    <w:rPr>
      <w:rFonts w:eastAsia="黑体" w:asciiTheme="minorHAnsi" w:hAnsiTheme="minorHAnsi" w:cstheme="minorBidi"/>
      <w:sz w:val="24"/>
      <w:szCs w:val="22"/>
    </w:rPr>
  </w:style>
  <w:style w:type="paragraph" w:customStyle="1" w:styleId="44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WPSOffice手动目录 1"/>
    <w:autoRedefine/>
    <w:qFormat/>
    <w:uiPriority w:val="0"/>
    <w:pPr>
      <w:ind w:leftChars="0"/>
    </w:pPr>
    <w:rPr>
      <w:rFonts w:ascii="Times New Roman" w:hAnsi="Times New Roman" w:eastAsia="宋体" w:cs="Times New Roman"/>
      <w:sz w:val="20"/>
      <w:szCs w:val="20"/>
    </w:rPr>
  </w:style>
  <w:style w:type="table" w:customStyle="1" w:styleId="446">
    <w:name w:val="Table Normal"/>
    <w:autoRedefine/>
    <w:unhideWhenUsed/>
    <w:qFormat/>
    <w:uiPriority w:val="0"/>
    <w:tblPr>
      <w:tblCellMar>
        <w:top w:w="0" w:type="dxa"/>
        <w:left w:w="0" w:type="dxa"/>
        <w:bottom w:w="0" w:type="dxa"/>
        <w:right w:w="0" w:type="dxa"/>
      </w:tblCellMar>
    </w:tblPr>
  </w:style>
  <w:style w:type="character" w:customStyle="1" w:styleId="447">
    <w:name w:val="dy_biao_content1"/>
    <w:basedOn w:val="54"/>
    <w:autoRedefine/>
    <w:qFormat/>
    <w:uiPriority w:val="99"/>
    <w:rPr>
      <w:rFonts w:ascii="宋体" w:hAnsi="宋体" w:eastAsia="宋体" w:cs="Times New Roman"/>
      <w:sz w:val="24"/>
      <w:szCs w:val="24"/>
    </w:rPr>
  </w:style>
  <w:style w:type="paragraph" w:customStyle="1" w:styleId="448">
    <w:name w:val="Table Paragraph"/>
    <w:basedOn w:val="1"/>
    <w:autoRedefine/>
    <w:qFormat/>
    <w:uiPriority w:val="1"/>
    <w:rPr>
      <w:rFonts w:ascii="宋体" w:hAnsi="宋体" w:cs="宋体"/>
      <w:lang w:val="zh-CN" w:bidi="zh-CN"/>
    </w:rPr>
  </w:style>
  <w:style w:type="character" w:customStyle="1" w:styleId="449">
    <w:name w:val="标题 2 字符"/>
    <w:link w:val="3"/>
    <w:autoRedefine/>
    <w:qFormat/>
    <w:uiPriority w:val="0"/>
    <w:rPr>
      <w:rFonts w:ascii="Arial" w:hAnsi="Arial" w:eastAsia="黑体"/>
      <w:b/>
      <w:kern w:val="2"/>
      <w:sz w:val="32"/>
      <w:lang w:val="en-US" w:eastAsia="zh-CN"/>
    </w:rPr>
  </w:style>
  <w:style w:type="paragraph" w:customStyle="1" w:styleId="45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51">
    <w:name w:val="正文文本缩进1"/>
    <w:basedOn w:val="1"/>
    <w:next w:val="1"/>
    <w:autoRedefine/>
    <w:qFormat/>
    <w:uiPriority w:val="0"/>
    <w:pPr>
      <w:spacing w:line="700" w:lineRule="exact"/>
      <w:ind w:left="960"/>
    </w:pPr>
    <w:rPr>
      <w:sz w:val="44"/>
    </w:rPr>
  </w:style>
  <w:style w:type="paragraph" w:customStyle="1" w:styleId="452">
    <w:name w:val="No Spacing"/>
    <w:autoRedefine/>
    <w:qFormat/>
    <w:uiPriority w:val="1"/>
    <w:pPr>
      <w:widowControl w:val="0"/>
      <w:jc w:val="both"/>
    </w:pPr>
    <w:rPr>
      <w:rFonts w:ascii="楷体_GB2312" w:hAnsi="楷体_GB2312" w:eastAsia="宋体" w:cs="楷体_GB2312"/>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71</Pages>
  <Words>14104</Words>
  <Characters>15261</Characters>
  <Lines>298</Lines>
  <Paragraphs>84</Paragraphs>
  <TotalTime>8</TotalTime>
  <ScaleCrop>false</ScaleCrop>
  <LinksUpToDate>false</LinksUpToDate>
  <CharactersWithSpaces>15499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007</cp:lastModifiedBy>
  <cp:lastPrinted>2024-04-02T03:22:00Z</cp:lastPrinted>
  <dcterms:modified xsi:type="dcterms:W3CDTF">2025-01-20T05:59:19Z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31C1DC5C145E4CECA8DDCE09360CB021_13</vt:lpwstr>
  </property>
  <property fmtid="{D5CDD505-2E9C-101B-9397-08002B2CF9AE}" pid="4" name="KSOTemplateDocerSaveRecord">
    <vt:lpwstr>eyJoZGlkIjoiMTcyMWFiNjA5MWFhMmZiNWIxZTdiYmEzYWQwYjM3OGYiLCJ1c2VySWQiOiI1OTIxMDAifQ==</vt:lpwstr>
  </property>
</Properties>
</file>