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宋体" w:hAnsi="宋体"/>
          <w:color w:val="000000"/>
        </w:rPr>
      </w:pPr>
      <w:r>
        <w:rPr>
          <w:rFonts w:hint="eastAsia" w:ascii="宋体" w:hAnsi="宋体"/>
          <w:color w:val="000000"/>
        </w:rPr>
        <w:t>单一来源采购文件</w:t>
      </w:r>
    </w:p>
    <w:p>
      <w:pPr>
        <w:tabs>
          <w:tab w:val="left" w:pos="2020"/>
          <w:tab w:val="center" w:pos="4535"/>
        </w:tabs>
        <w:snapToGrid w:val="0"/>
        <w:spacing w:line="360" w:lineRule="auto"/>
        <w:ind w:firstLine="540" w:firstLineChars="225"/>
        <w:outlineLvl w:val="0"/>
        <w:rPr>
          <w:rFonts w:ascii="宋体" w:hAnsi="宋体"/>
          <w:bCs/>
          <w:color w:val="000000"/>
        </w:rPr>
      </w:pPr>
    </w:p>
    <w:p>
      <w:pPr>
        <w:tabs>
          <w:tab w:val="left" w:pos="2020"/>
          <w:tab w:val="center" w:pos="4535"/>
        </w:tabs>
        <w:snapToGrid w:val="0"/>
        <w:spacing w:line="360" w:lineRule="auto"/>
        <w:ind w:firstLine="480" w:firstLineChars="200"/>
        <w:outlineLvl w:val="0"/>
        <w:rPr>
          <w:rFonts w:ascii="宋体" w:hAnsi="宋体" w:cs="宋体"/>
          <w:bCs/>
          <w:color w:val="000000"/>
        </w:rPr>
      </w:pPr>
      <w:bookmarkStart w:id="0" w:name="OLE_LINK1"/>
      <w:r>
        <w:rPr>
          <w:rFonts w:hint="eastAsia" w:ascii="宋体" w:hAnsi="宋体" w:cs="宋体"/>
          <w:bCs/>
          <w:color w:val="000000"/>
        </w:rPr>
        <w:t>国家体育总局体育器材装备中心（以下简称采购单位）就</w:t>
      </w:r>
      <w:r>
        <w:rPr>
          <w:rFonts w:hint="eastAsia" w:ascii="宋体" w:hAnsi="宋体" w:cs="宋体"/>
          <w:bCs/>
          <w:color w:val="000000"/>
          <w:u w:val="single"/>
        </w:rPr>
        <w:t>国家体育总局射击射箭运动管理中心</w:t>
      </w:r>
      <w:r>
        <w:rPr>
          <w:rFonts w:hint="eastAsia" w:ascii="宋体" w:hAnsi="宋体" w:cs="宋体"/>
          <w:bCs/>
          <w:color w:val="000000"/>
        </w:rPr>
        <w:t>采购的相关产品和有关服务进行单一来源采购公告，现邀请合格的供应商参加谈判。</w:t>
      </w:r>
    </w:p>
    <w:p>
      <w:pPr>
        <w:numPr>
          <w:ilvl w:val="0"/>
          <w:numId w:val="2"/>
        </w:numPr>
        <w:tabs>
          <w:tab w:val="left" w:pos="2020"/>
          <w:tab w:val="center" w:pos="4535"/>
        </w:tabs>
        <w:snapToGrid w:val="0"/>
        <w:spacing w:line="360" w:lineRule="auto"/>
        <w:jc w:val="left"/>
        <w:outlineLvl w:val="0"/>
        <w:rPr>
          <w:rFonts w:ascii="宋体" w:hAnsi="宋体" w:cs="宋体"/>
        </w:rPr>
      </w:pPr>
      <w:r>
        <w:rPr>
          <w:rFonts w:hint="eastAsia" w:ascii="宋体" w:hAnsi="宋体" w:cs="宋体"/>
          <w:bCs/>
          <w:color w:val="000000"/>
        </w:rPr>
        <w:t>项目名称：国家体育总局射击射箭运动管理中心特定品牌射击射箭器材采购</w:t>
      </w:r>
    </w:p>
    <w:p>
      <w:pPr>
        <w:tabs>
          <w:tab w:val="left" w:pos="2020"/>
          <w:tab w:val="center" w:pos="4535"/>
        </w:tabs>
        <w:snapToGrid w:val="0"/>
        <w:spacing w:line="360" w:lineRule="auto"/>
        <w:ind w:firstLine="480" w:firstLineChars="200"/>
        <w:jc w:val="left"/>
        <w:outlineLvl w:val="0"/>
        <w:rPr>
          <w:rFonts w:ascii="宋体" w:hAnsi="宋体" w:cs="宋体"/>
          <w:bCs/>
          <w:color w:val="000000"/>
        </w:rPr>
      </w:pPr>
      <w:r>
        <w:rPr>
          <w:rFonts w:hint="eastAsia" w:ascii="宋体" w:hAnsi="宋体" w:cs="宋体"/>
          <w:bCs/>
          <w:color w:val="000000"/>
        </w:rPr>
        <w:t>采购方式：单一来源采购</w:t>
      </w:r>
    </w:p>
    <w:p>
      <w:pPr>
        <w:tabs>
          <w:tab w:val="left" w:pos="2020"/>
          <w:tab w:val="center" w:pos="4535"/>
        </w:tabs>
        <w:snapToGrid w:val="0"/>
        <w:spacing w:line="360" w:lineRule="auto"/>
        <w:ind w:firstLine="480" w:firstLineChars="200"/>
        <w:jc w:val="left"/>
        <w:rPr>
          <w:rFonts w:ascii="宋体" w:hAnsi="宋体" w:cs="宋体"/>
          <w:bCs/>
          <w:color w:val="000000"/>
        </w:rPr>
      </w:pPr>
      <w:r>
        <w:rPr>
          <w:rFonts w:hint="eastAsia" w:ascii="宋体" w:hAnsi="宋体" w:cs="宋体"/>
          <w:bCs/>
          <w:color w:val="000000"/>
        </w:rPr>
        <w:t>项目编号：DYZJ24-03</w:t>
      </w:r>
    </w:p>
    <w:p>
      <w:pPr>
        <w:spacing w:before="156" w:beforeLines="50" w:line="360" w:lineRule="auto"/>
        <w:rPr>
          <w:rFonts w:ascii="宋体" w:hAnsi="宋体" w:cs="宋体"/>
          <w:b/>
          <w:color w:val="000000"/>
        </w:rPr>
      </w:pPr>
      <w:r>
        <w:rPr>
          <w:rFonts w:hint="eastAsia" w:ascii="宋体" w:hAnsi="宋体" w:cs="宋体"/>
          <w:b/>
          <w:color w:val="000000"/>
        </w:rPr>
        <w:t>二、采购内容：</w:t>
      </w:r>
      <w:bookmarkStart w:id="1" w:name="_Toc228003986"/>
    </w:p>
    <w:p>
      <w:pPr>
        <w:spacing w:line="360" w:lineRule="auto"/>
        <w:ind w:firstLine="480" w:firstLineChars="200"/>
        <w:rPr>
          <w:rFonts w:ascii="宋体" w:hAnsi="宋体" w:cs="宋体"/>
          <w:color w:val="auto"/>
        </w:rPr>
      </w:pPr>
      <w:r>
        <w:rPr>
          <w:rFonts w:hint="eastAsia" w:ascii="宋体" w:hAnsi="宋体" w:cs="宋体"/>
          <w:color w:val="auto"/>
        </w:rPr>
        <w:t>本项目采购总预算153.6万元</w:t>
      </w:r>
    </w:p>
    <w:p>
      <w:pPr>
        <w:spacing w:line="360" w:lineRule="auto"/>
        <w:ind w:firstLine="480" w:firstLineChars="200"/>
        <w:rPr>
          <w:rFonts w:ascii="宋体" w:hAnsi="宋体" w:cs="宋体"/>
        </w:rPr>
      </w:pPr>
      <w:r>
        <w:rPr>
          <w:rFonts w:hint="eastAsia" w:ascii="宋体" w:hAnsi="宋体" w:cs="宋体"/>
        </w:rPr>
        <w:t>第1包：碟靶，预算121万元，已通过财政部进口产品审核。</w:t>
      </w:r>
    </w:p>
    <w:p>
      <w:pPr>
        <w:spacing w:line="360" w:lineRule="auto"/>
        <w:ind w:firstLine="480" w:firstLineChars="200"/>
        <w:rPr>
          <w:rFonts w:ascii="宋体" w:hAnsi="宋体" w:cs="宋体"/>
        </w:rPr>
      </w:pPr>
      <w:r>
        <w:rPr>
          <w:rFonts w:hint="eastAsia" w:ascii="宋体" w:hAnsi="宋体" w:cs="宋体"/>
        </w:rPr>
        <w:t>第2包：电子靶耗材，预算9.1万元，已通过财政部进口产品审核。</w:t>
      </w:r>
    </w:p>
    <w:p>
      <w:pPr>
        <w:spacing w:line="360" w:lineRule="auto"/>
        <w:ind w:firstLine="480" w:firstLineChars="200"/>
        <w:rPr>
          <w:rFonts w:ascii="宋体" w:hAnsi="宋体" w:cs="宋体"/>
        </w:rPr>
      </w:pPr>
      <w:r>
        <w:rPr>
          <w:rFonts w:hint="eastAsia" w:ascii="宋体" w:hAnsi="宋体" w:cs="宋体"/>
        </w:rPr>
        <w:t>第3包：校箭器，预算20万元，国产。</w:t>
      </w:r>
    </w:p>
    <w:p>
      <w:pPr>
        <w:spacing w:line="360" w:lineRule="auto"/>
        <w:ind w:firstLine="480" w:firstLineChars="200"/>
        <w:rPr>
          <w:rFonts w:ascii="宋体" w:hAnsi="宋体" w:cs="宋体"/>
        </w:rPr>
      </w:pPr>
      <w:r>
        <w:rPr>
          <w:rFonts w:hint="eastAsia" w:ascii="宋体" w:hAnsi="宋体" w:cs="宋体"/>
        </w:rPr>
        <w:t>第4包：测厚测硬一体仪，预算3.5万，已通过财政部进口产品审核。</w:t>
      </w:r>
    </w:p>
    <w:p>
      <w:pPr>
        <w:spacing w:line="360" w:lineRule="auto"/>
        <w:ind w:firstLine="480" w:firstLineChars="200"/>
        <w:rPr>
          <w:rFonts w:ascii="宋体" w:hAnsi="宋体" w:cs="宋体"/>
          <w:color w:val="000000"/>
        </w:rPr>
      </w:pPr>
      <w:r>
        <w:rPr>
          <w:rFonts w:hint="eastAsia" w:ascii="宋体" w:hAnsi="宋体" w:cs="宋体"/>
          <w:color w:val="000000"/>
        </w:rPr>
        <w:t>采购内容包括产品的供应、运输和相关服务。</w:t>
      </w:r>
    </w:p>
    <w:p>
      <w:pPr>
        <w:spacing w:line="360" w:lineRule="auto"/>
        <w:ind w:firstLine="480" w:firstLineChars="200"/>
        <w:rPr>
          <w:rFonts w:ascii="宋体" w:hAnsi="宋体" w:cs="宋体"/>
          <w:color w:val="000000"/>
        </w:rPr>
      </w:pPr>
    </w:p>
    <w:p>
      <w:pPr>
        <w:spacing w:line="360" w:lineRule="auto"/>
        <w:rPr>
          <w:rFonts w:ascii="宋体" w:hAnsi="宋体" w:cs="宋体"/>
          <w:bCs/>
        </w:rPr>
      </w:pPr>
      <w:r>
        <w:rPr>
          <w:rFonts w:hint="eastAsia" w:ascii="宋体" w:hAnsi="宋体" w:cs="宋体"/>
          <w:bCs/>
        </w:rPr>
        <w:t>采购标的如下：</w:t>
      </w:r>
    </w:p>
    <w:p>
      <w:pPr>
        <w:spacing w:line="360" w:lineRule="auto"/>
        <w:rPr>
          <w:rFonts w:ascii="宋体" w:hAnsi="宋体" w:cs="宋体"/>
          <w:bCs/>
        </w:rPr>
      </w:pPr>
      <w:r>
        <w:rPr>
          <w:rFonts w:hint="eastAsia" w:ascii="宋体" w:hAnsi="宋体" w:cs="宋体"/>
        </w:rPr>
        <w:t>第1包：碟靶，预算121万元，已通过财政部进口产品审核。</w:t>
      </w:r>
    </w:p>
    <w:p>
      <w:pPr>
        <w:spacing w:line="360" w:lineRule="auto"/>
        <w:rPr>
          <w:rFonts w:ascii="宋体" w:hAnsi="宋体" w:cs="宋体"/>
          <w:bCs/>
          <w:color w:val="auto"/>
        </w:rPr>
      </w:pPr>
      <w:r>
        <w:rPr>
          <w:rFonts w:hint="eastAsia" w:ascii="宋体" w:hAnsi="宋体" w:cs="宋体"/>
          <w:bCs/>
          <w:color w:val="auto"/>
        </w:rPr>
        <w:t>交付时间：签订合同后3个月内</w:t>
      </w:r>
    </w:p>
    <w:p>
      <w:pPr>
        <w:spacing w:line="360" w:lineRule="auto"/>
        <w:rPr>
          <w:rFonts w:ascii="宋体" w:hAnsi="宋体" w:cs="宋体"/>
          <w:bCs/>
          <w:color w:val="auto"/>
        </w:rPr>
      </w:pPr>
      <w:r>
        <w:rPr>
          <w:rFonts w:hint="eastAsia" w:ascii="宋体" w:hAnsi="宋体" w:cs="宋体"/>
          <w:bCs/>
          <w:color w:val="auto"/>
        </w:rPr>
        <w:t>交付地点：国家体育总局射击射箭运动管理中心</w:t>
      </w:r>
    </w:p>
    <w:p>
      <w:pPr>
        <w:spacing w:line="360" w:lineRule="auto"/>
        <w:rPr>
          <w:rFonts w:ascii="宋体" w:hAnsi="宋体" w:cs="宋体"/>
          <w:bCs/>
          <w:color w:val="auto"/>
        </w:rPr>
      </w:pPr>
      <w:r>
        <w:rPr>
          <w:rFonts w:hint="eastAsia" w:ascii="宋体" w:hAnsi="宋体" w:cs="宋体"/>
          <w:bCs/>
          <w:color w:val="auto"/>
        </w:rPr>
        <w:t>付款条件：签订合同后支付70%款项，验收合格后支付30%款项。</w:t>
      </w:r>
    </w:p>
    <w:tbl>
      <w:tblPr>
        <w:tblStyle w:val="22"/>
        <w:tblW w:w="0" w:type="auto"/>
        <w:tblInd w:w="96" w:type="dxa"/>
        <w:tblLayout w:type="autofit"/>
        <w:tblCellMar>
          <w:top w:w="0" w:type="dxa"/>
          <w:left w:w="108" w:type="dxa"/>
          <w:bottom w:w="0" w:type="dxa"/>
          <w:right w:w="108" w:type="dxa"/>
        </w:tblCellMar>
      </w:tblPr>
      <w:tblGrid>
        <w:gridCol w:w="616"/>
        <w:gridCol w:w="778"/>
        <w:gridCol w:w="1083"/>
        <w:gridCol w:w="4517"/>
        <w:gridCol w:w="816"/>
        <w:gridCol w:w="616"/>
      </w:tblGrid>
      <w:tr>
        <w:tblPrEx>
          <w:tblCellMar>
            <w:top w:w="0" w:type="dxa"/>
            <w:left w:w="108" w:type="dxa"/>
            <w:bottom w:w="0" w:type="dxa"/>
            <w:right w:w="108" w:type="dxa"/>
          </w:tblCellMar>
        </w:tblPrEx>
        <w:trPr>
          <w:trHeight w:val="1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单位</w:t>
            </w:r>
          </w:p>
        </w:tc>
      </w:tr>
      <w:bookmarkEnd w:id="1"/>
      <w:tr>
        <w:tblPrEx>
          <w:tblCellMar>
            <w:top w:w="0" w:type="dxa"/>
            <w:left w:w="108" w:type="dxa"/>
            <w:bottom w:w="0" w:type="dxa"/>
            <w:right w:w="108" w:type="dxa"/>
          </w:tblCellMar>
        </w:tblPrEx>
        <w:trPr>
          <w:trHeight w:val="1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决赛碟靶（烟靶）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LAPORTE拉普特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决赛碟靶FLASH；底座直径110 mm ±1 mm；总高度25mm - 26mm；重量110gms± 5gms ；成分石粉和石油沥青（脱硫）工艺；颜色橙色，内含粉色粉末；低于1%的破损率，碟靶被抛出后，能完整地飞行80米，且用国际射联双向、多向子弹，在规定的距离内易被击碎。符合国际比赛标准，供比赛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碟靶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LAPORTE拉普特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国际射联标准，资格赛使用，颜色：橙色，规格：直径110毫米，高度：25毫米，重量105克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碟靶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LAPORTE拉普特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国际射联标准，资格赛使用的环保靶，颜色：橙色，规格：直径110毫米，高度：25毫米，重量105克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bl>
    <w:p>
      <w:pPr>
        <w:pStyle w:val="15"/>
        <w:ind w:firstLine="0" w:firstLineChars="0"/>
        <w:jc w:val="left"/>
        <w:rPr>
          <w:rFonts w:ascii="宋体" w:cs="宋体"/>
          <w:b w:val="0"/>
          <w:kern w:val="0"/>
        </w:rPr>
      </w:pPr>
    </w:p>
    <w:p>
      <w:pPr>
        <w:spacing w:line="360" w:lineRule="auto"/>
        <w:rPr>
          <w:rFonts w:ascii="宋体" w:hAnsi="宋体" w:cs="宋体"/>
        </w:rPr>
      </w:pPr>
      <w:r>
        <w:rPr>
          <w:rFonts w:hint="eastAsia" w:ascii="宋体" w:hAnsi="宋体" w:cs="宋体"/>
        </w:rPr>
        <w:t>第2包：电子靶耗材，预算9.1万元，已通过财政部进口产品审核。</w:t>
      </w:r>
    </w:p>
    <w:p>
      <w:pPr>
        <w:spacing w:line="360" w:lineRule="auto"/>
        <w:rPr>
          <w:rFonts w:ascii="宋体" w:hAnsi="宋体" w:cs="宋体"/>
          <w:bCs/>
          <w:color w:val="auto"/>
        </w:rPr>
      </w:pPr>
      <w:r>
        <w:rPr>
          <w:rFonts w:hint="eastAsia" w:ascii="宋体" w:hAnsi="宋体" w:cs="宋体"/>
          <w:bCs/>
          <w:color w:val="auto"/>
        </w:rPr>
        <w:t>交付时间：签订合同后3个月内</w:t>
      </w:r>
    </w:p>
    <w:p>
      <w:pPr>
        <w:spacing w:line="360" w:lineRule="auto"/>
        <w:rPr>
          <w:rFonts w:ascii="宋体" w:hAnsi="宋体" w:cs="宋体"/>
          <w:bCs/>
          <w:color w:val="auto"/>
        </w:rPr>
      </w:pPr>
      <w:r>
        <w:rPr>
          <w:rFonts w:hint="eastAsia" w:ascii="宋体" w:hAnsi="宋体" w:cs="宋体"/>
          <w:bCs/>
          <w:color w:val="auto"/>
        </w:rPr>
        <w:t>交付地点：国家体育总局射击射箭运动管理中心</w:t>
      </w:r>
    </w:p>
    <w:p>
      <w:pPr>
        <w:spacing w:line="360" w:lineRule="auto"/>
        <w:rPr>
          <w:rFonts w:ascii="宋体" w:hAnsi="宋体" w:cs="宋体"/>
          <w:bCs/>
          <w:color w:val="auto"/>
        </w:rPr>
      </w:pPr>
      <w:r>
        <w:rPr>
          <w:rFonts w:hint="eastAsia" w:ascii="宋体" w:hAnsi="宋体" w:cs="宋体"/>
          <w:bCs/>
          <w:color w:val="auto"/>
        </w:rPr>
        <w:t>付款条件：签订合同后支付70%款项，验收合格后支付30%款项。</w:t>
      </w:r>
    </w:p>
    <w:tbl>
      <w:tblPr>
        <w:tblStyle w:val="22"/>
        <w:tblW w:w="0" w:type="auto"/>
        <w:tblInd w:w="96" w:type="dxa"/>
        <w:tblLayout w:type="autofit"/>
        <w:tblCellMar>
          <w:top w:w="0" w:type="dxa"/>
          <w:left w:w="108" w:type="dxa"/>
          <w:bottom w:w="0" w:type="dxa"/>
          <w:right w:w="108" w:type="dxa"/>
        </w:tblCellMar>
      </w:tblPr>
      <w:tblGrid>
        <w:gridCol w:w="616"/>
        <w:gridCol w:w="1756"/>
        <w:gridCol w:w="656"/>
        <w:gridCol w:w="3978"/>
        <w:gridCol w:w="804"/>
        <w:gridCol w:w="616"/>
      </w:tblGrid>
      <w:tr>
        <w:tblPrEx>
          <w:tblCellMar>
            <w:top w:w="0" w:type="dxa"/>
            <w:left w:w="108" w:type="dxa"/>
            <w:bottom w:w="0" w:type="dxa"/>
            <w:right w:w="108" w:type="dxa"/>
          </w:tblCellMar>
        </w:tblPrEx>
        <w:trPr>
          <w:trHeight w:val="1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kern w:val="0"/>
                <w:sz w:val="20"/>
                <w:szCs w:val="20"/>
                <w:lang w:bidi="ar"/>
              </w:rPr>
            </w:pPr>
            <w:r>
              <w:rPr>
                <w:rFonts w:hint="eastAsia" w:ascii="Arial" w:hAnsi="Arial" w:cs="Arial"/>
                <w:color w:val="000000"/>
                <w:kern w:val="0"/>
                <w:sz w:val="20"/>
                <w:szCs w:val="20"/>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品牌</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技术参数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单位</w:t>
            </w:r>
          </w:p>
        </w:tc>
      </w:tr>
      <w:tr>
        <w:tblPrEx>
          <w:tblCellMar>
            <w:top w:w="0" w:type="dxa"/>
            <w:left w:w="108" w:type="dxa"/>
            <w:bottom w:w="0" w:type="dxa"/>
            <w:right w:w="108" w:type="dxa"/>
          </w:tblCellMar>
        </w:tblPrEx>
        <w:trPr>
          <w:trHeight w:val="1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橡胶面板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SIUS</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2"/>
                <w:szCs w:val="22"/>
                <w:lang w:bidi="ar"/>
              </w:rPr>
              <w:t>50米步枪靶面 靶心直径112.4mm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张</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橡胶面板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SIUS</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2"/>
                <w:szCs w:val="22"/>
                <w:lang w:bidi="ar"/>
              </w:rPr>
              <w:t>25米慢射手枪靶面 靶心直径200mm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张</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橡胶面板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SIUS</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2"/>
                <w:szCs w:val="22"/>
                <w:lang w:bidi="ar"/>
              </w:rPr>
              <w:t>25米速射手枪靶面 靶心直径500mm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张</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jc w:val="center"/>
              <w:textAlignment w:val="cente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2"/>
                <w:szCs w:val="22"/>
                <w:lang w:bidi="ar"/>
              </w:rPr>
              <w:t>激光电子靶耗材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SIUS</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2"/>
                <w:szCs w:val="22"/>
                <w:lang w:bidi="ar"/>
              </w:rPr>
              <w:t>10米黑纸卷 直径90mm，宽89mm，长35000mm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2"/>
                <w:szCs w:val="22"/>
                <w:lang w:bidi="ar"/>
              </w:rPr>
              <w:t>卷</w:t>
            </w: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t>第3包：校箭器，预算20万元，国产</w:t>
      </w:r>
    </w:p>
    <w:p>
      <w:pPr>
        <w:spacing w:line="360" w:lineRule="auto"/>
        <w:rPr>
          <w:rFonts w:ascii="宋体" w:hAnsi="宋体" w:cs="宋体"/>
          <w:bCs/>
          <w:color w:val="auto"/>
        </w:rPr>
      </w:pPr>
      <w:r>
        <w:rPr>
          <w:rFonts w:hint="eastAsia" w:ascii="宋体" w:hAnsi="宋体" w:cs="宋体"/>
          <w:bCs/>
          <w:color w:val="auto"/>
        </w:rPr>
        <w:t>交付时间：签订合同后3个月内</w:t>
      </w:r>
    </w:p>
    <w:p>
      <w:pPr>
        <w:spacing w:line="360" w:lineRule="auto"/>
        <w:rPr>
          <w:rFonts w:ascii="宋体" w:hAnsi="宋体" w:cs="宋体"/>
          <w:bCs/>
          <w:color w:val="auto"/>
        </w:rPr>
      </w:pPr>
      <w:r>
        <w:rPr>
          <w:rFonts w:hint="eastAsia" w:ascii="宋体" w:hAnsi="宋体" w:cs="宋体"/>
          <w:bCs/>
          <w:color w:val="auto"/>
        </w:rPr>
        <w:t>交付地点：国家体育总局射击射箭运动管理中心</w:t>
      </w:r>
    </w:p>
    <w:p>
      <w:pPr>
        <w:spacing w:line="360" w:lineRule="auto"/>
        <w:rPr>
          <w:rFonts w:ascii="宋体" w:hAnsi="宋体" w:cs="宋体"/>
          <w:bCs/>
          <w:color w:val="auto"/>
        </w:rPr>
      </w:pPr>
      <w:r>
        <w:rPr>
          <w:rFonts w:hint="eastAsia" w:ascii="宋体" w:hAnsi="宋体" w:cs="宋体"/>
          <w:bCs/>
          <w:color w:val="auto"/>
        </w:rPr>
        <w:t>付款条件：签订合同后支付70%款项，验收合格后支付30%款项。</w:t>
      </w:r>
    </w:p>
    <w:tbl>
      <w:tblPr>
        <w:tblStyle w:val="22"/>
        <w:tblW w:w="0" w:type="auto"/>
        <w:tblInd w:w="96" w:type="dxa"/>
        <w:tblLayout w:type="fixed"/>
        <w:tblCellMar>
          <w:top w:w="0" w:type="dxa"/>
          <w:left w:w="108" w:type="dxa"/>
          <w:bottom w:w="0" w:type="dxa"/>
          <w:right w:w="108" w:type="dxa"/>
        </w:tblCellMar>
      </w:tblPr>
      <w:tblGrid>
        <w:gridCol w:w="698"/>
        <w:gridCol w:w="1180"/>
        <w:gridCol w:w="877"/>
        <w:gridCol w:w="3643"/>
        <w:gridCol w:w="788"/>
        <w:gridCol w:w="1240"/>
      </w:tblGrid>
      <w:tr>
        <w:tblPrEx>
          <w:tblCellMar>
            <w:top w:w="0" w:type="dxa"/>
            <w:left w:w="108" w:type="dxa"/>
            <w:bottom w:w="0" w:type="dxa"/>
            <w:right w:w="108" w:type="dxa"/>
          </w:tblCellMar>
        </w:tblPrEx>
        <w:trPr>
          <w:trHeight w:val="105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产品名称</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品牌</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技术参数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数量</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计量单位</w:t>
            </w:r>
          </w:p>
        </w:tc>
      </w:tr>
      <w:tr>
        <w:tblPrEx>
          <w:tblCellMar>
            <w:top w:w="0" w:type="dxa"/>
            <w:left w:w="108" w:type="dxa"/>
            <w:bottom w:w="0" w:type="dxa"/>
            <w:right w:w="108" w:type="dxa"/>
          </w:tblCellMar>
        </w:tblPrEx>
        <w:trPr>
          <w:trHeight w:val="65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校箭器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KIGIN凯歌</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kern w:val="0"/>
                <w:lang w:bidi="ar"/>
              </w:rPr>
              <w:t>1、由仿生机械传动部分和PLC控制，是PLC的精准定位和高度一致的可重复性，结合高密度的仿生机械运动，来实现一个完全地模仿运动员射箭动作的机器，且可以不断重复复制一个动作。</w:t>
            </w:r>
            <w:r>
              <w:rPr>
                <w:rFonts w:hint="eastAsia" w:ascii="宋体" w:hAnsi="宋体" w:cs="宋体"/>
                <w:color w:val="000000"/>
                <w:kern w:val="0"/>
                <w:lang w:bidi="ar"/>
              </w:rPr>
              <w:br w:type="textWrapping"/>
            </w:r>
            <w:r>
              <w:rPr>
                <w:rFonts w:hint="eastAsia" w:ascii="宋体" w:hAnsi="宋体" w:cs="宋体"/>
                <w:color w:val="000000"/>
                <w:kern w:val="0"/>
                <w:lang w:bidi="ar"/>
              </w:rPr>
              <w:t>2、材料：由铝合金和钢材通过CNC精密加工而成</w:t>
            </w:r>
            <w:r>
              <w:rPr>
                <w:rFonts w:hint="eastAsia" w:ascii="宋体" w:hAnsi="宋体" w:cs="宋体"/>
                <w:color w:val="000000"/>
                <w:kern w:val="0"/>
                <w:lang w:bidi="ar"/>
              </w:rPr>
              <w:br w:type="textWrapping"/>
            </w:r>
            <w:r>
              <w:rPr>
                <w:rFonts w:hint="eastAsia" w:ascii="宋体" w:hAnsi="宋体" w:cs="宋体"/>
                <w:color w:val="000000"/>
                <w:kern w:val="0"/>
                <w:lang w:bidi="ar"/>
              </w:rPr>
              <w:t>材料：由铝合金和钢材通过CNC精密加工而成</w:t>
            </w:r>
            <w:r>
              <w:rPr>
                <w:rFonts w:hint="eastAsia" w:ascii="宋体" w:hAnsi="宋体" w:cs="宋体"/>
                <w:color w:val="000000"/>
                <w:kern w:val="0"/>
                <w:lang w:bidi="ar"/>
              </w:rPr>
              <w:br w:type="textWrapping"/>
            </w:r>
            <w:r>
              <w:rPr>
                <w:rFonts w:hint="eastAsia" w:ascii="宋体" w:hAnsi="宋体" w:cs="宋体"/>
                <w:color w:val="000000"/>
                <w:kern w:val="0"/>
                <w:lang w:bidi="ar"/>
              </w:rPr>
              <w:t>3、最大俯仰角：-0º20′-6º10′</w:t>
            </w:r>
            <w:r>
              <w:rPr>
                <w:rFonts w:hint="eastAsia" w:ascii="宋体" w:hAnsi="宋体" w:cs="宋体"/>
                <w:color w:val="000000"/>
                <w:kern w:val="0"/>
                <w:lang w:bidi="ar"/>
              </w:rPr>
              <w:br w:type="textWrapping"/>
            </w:r>
            <w:r>
              <w:rPr>
                <w:rFonts w:hint="eastAsia" w:ascii="宋体" w:hAnsi="宋体" w:cs="宋体"/>
                <w:color w:val="000000"/>
                <w:kern w:val="0"/>
                <w:lang w:bidi="ar"/>
              </w:rPr>
              <w:t>4、拉弦速度：最快可达16mm/s</w:t>
            </w:r>
            <w:r>
              <w:rPr>
                <w:rFonts w:hint="eastAsia" w:ascii="宋体" w:hAnsi="宋体" w:cs="宋体"/>
                <w:color w:val="000000"/>
                <w:kern w:val="0"/>
                <w:lang w:bidi="ar"/>
              </w:rPr>
              <w:br w:type="textWrapping"/>
            </w:r>
            <w:r>
              <w:rPr>
                <w:rFonts w:hint="eastAsia" w:ascii="宋体" w:hAnsi="宋体" w:cs="宋体"/>
                <w:color w:val="000000"/>
                <w:kern w:val="0"/>
                <w:lang w:bidi="ar"/>
              </w:rPr>
              <w:t>5、人机界面尺寸：6寸</w:t>
            </w:r>
            <w:r>
              <w:rPr>
                <w:rFonts w:hint="eastAsia" w:ascii="宋体" w:hAnsi="宋体" w:cs="宋体"/>
                <w:color w:val="000000"/>
                <w:kern w:val="0"/>
                <w:lang w:bidi="ar"/>
              </w:rPr>
              <w:br w:type="textWrapping"/>
            </w:r>
            <w:r>
              <w:rPr>
                <w:rFonts w:hint="eastAsia" w:ascii="宋体" w:hAnsi="宋体" w:cs="宋体"/>
                <w:color w:val="000000"/>
                <w:kern w:val="0"/>
                <w:lang w:bidi="ar"/>
              </w:rPr>
              <w:t>6、运行方式：自动运行、手动运行。</w:t>
            </w:r>
            <w:r>
              <w:rPr>
                <w:rFonts w:hint="eastAsia" w:ascii="宋体" w:hAnsi="宋体" w:cs="宋体"/>
                <w:color w:val="000000"/>
                <w:kern w:val="0"/>
                <w:lang w:bidi="ar"/>
              </w:rPr>
              <w:br w:type="textWrapping"/>
            </w:r>
            <w:r>
              <w:rPr>
                <w:rFonts w:hint="eastAsia" w:ascii="宋体" w:hAnsi="宋体" w:cs="宋体"/>
                <w:color w:val="000000"/>
                <w:kern w:val="0"/>
                <w:lang w:bidi="ar"/>
              </w:rPr>
              <w:t>7、供电方式：220v交流供电</w:t>
            </w:r>
            <w:r>
              <w:rPr>
                <w:rFonts w:hint="eastAsia" w:ascii="宋体" w:hAnsi="宋体" w:cs="宋体"/>
                <w:color w:val="000000"/>
                <w:kern w:val="0"/>
                <w:lang w:bidi="ar"/>
              </w:rPr>
              <w:br w:type="textWrapping"/>
            </w:r>
            <w:r>
              <w:rPr>
                <w:rFonts w:hint="eastAsia" w:ascii="宋体" w:hAnsi="宋体" w:cs="宋体"/>
                <w:color w:val="000000"/>
                <w:kern w:val="0"/>
                <w:lang w:bidi="ar"/>
              </w:rPr>
              <w:t>8、射程：0―</w:t>
            </w:r>
            <w:r>
              <w:rPr>
                <w:rFonts w:hint="eastAsia" w:ascii="宋体" w:hAnsi="宋体" w:cs="宋体"/>
                <w:color w:val="000000"/>
                <w:kern w:val="0"/>
                <w:lang w:bidi="ar"/>
              </w:rPr>
              <w:t xml:space="preserve">90米                       </w:t>
            </w:r>
            <w:r>
              <w:rPr>
                <w:rFonts w:hint="eastAsia" w:ascii="宋体" w:hAnsi="宋体" w:cs="宋体"/>
                <w:color w:val="000000"/>
                <w:kern w:val="0"/>
                <w:lang w:bidi="ar"/>
              </w:rPr>
              <w:br w:type="textWrapping"/>
            </w:r>
            <w:r>
              <w:rPr>
                <w:rFonts w:hint="eastAsia" w:ascii="宋体" w:hAnsi="宋体" w:cs="宋体"/>
                <w:color w:val="000000"/>
                <w:kern w:val="0"/>
                <w:lang w:bidi="ar"/>
              </w:rPr>
              <w:t>9、撒放形式：采用仿生机械手撒放模拟人手撒放</w:t>
            </w:r>
            <w:r>
              <w:rPr>
                <w:rFonts w:hint="eastAsia" w:ascii="宋体" w:hAnsi="宋体" w:cs="宋体"/>
                <w:color w:val="000000"/>
                <w:kern w:val="0"/>
                <w:lang w:bidi="ar"/>
              </w:rPr>
              <w:br w:type="textWrapping"/>
            </w:r>
            <w:r>
              <w:rPr>
                <w:rFonts w:hint="eastAsia" w:ascii="宋体" w:hAnsi="宋体" w:cs="宋体"/>
                <w:color w:val="000000"/>
                <w:kern w:val="0"/>
                <w:lang w:bidi="ar"/>
              </w:rPr>
              <w:t>采用普通机械撒放</w:t>
            </w:r>
            <w:r>
              <w:rPr>
                <w:rFonts w:hint="eastAsia" w:ascii="宋体" w:hAnsi="宋体" w:cs="宋体"/>
                <w:color w:val="000000"/>
                <w:kern w:val="0"/>
                <w:lang w:bidi="ar"/>
              </w:rPr>
              <w:br w:type="textWrapping"/>
            </w:r>
            <w:r>
              <w:rPr>
                <w:rFonts w:hint="eastAsia" w:ascii="宋体" w:hAnsi="宋体" w:cs="宋体"/>
                <w:color w:val="000000"/>
                <w:kern w:val="0"/>
                <w:lang w:bidi="ar"/>
              </w:rPr>
              <w:t>10、可更换不同型号弓把夹具，夹具以弓把原型设计使其更完美贴合                                        11、射箭机器人底座采用国标45#高碳钢制成增加整体抗震性</w:t>
            </w:r>
            <w:r>
              <w:rPr>
                <w:rFonts w:hint="eastAsia" w:ascii="宋体" w:hAnsi="宋体" w:cs="宋体"/>
                <w:color w:val="000000"/>
                <w:kern w:val="0"/>
                <w:lang w:bidi="ar"/>
              </w:rPr>
              <w:br w:type="textWrapping"/>
            </w:r>
            <w:r>
              <w:rPr>
                <w:rFonts w:hint="eastAsia" w:ascii="宋体" w:hAnsi="宋体" w:cs="宋体"/>
                <w:color w:val="000000"/>
                <w:kern w:val="0"/>
                <w:lang w:bidi="ar"/>
              </w:rPr>
              <w:t>12、面板包括：急停、复位、启动、暂停按钮、运行指示、停止指示操作简单易学</w:t>
            </w:r>
            <w:r>
              <w:rPr>
                <w:rFonts w:hint="eastAsia" w:ascii="宋体" w:hAnsi="宋体" w:cs="宋体"/>
                <w:color w:val="000000"/>
                <w:kern w:val="0"/>
                <w:lang w:bidi="ar"/>
              </w:rPr>
              <w:br w:type="textWrapping"/>
            </w:r>
            <w:r>
              <w:rPr>
                <w:rFonts w:hint="eastAsia" w:ascii="宋体" w:hAnsi="宋体" w:cs="宋体"/>
                <w:color w:val="000000"/>
                <w:kern w:val="0"/>
                <w:lang w:bidi="ar"/>
              </w:rPr>
              <w:t>13、标准配件：夹具2套，后期可定做不同型号夹具</w:t>
            </w:r>
            <w:r>
              <w:rPr>
                <w:rFonts w:hint="eastAsia" w:ascii="宋体" w:hAnsi="宋体" w:cs="宋体"/>
                <w:color w:val="000000"/>
                <w:kern w:val="0"/>
                <w:lang w:bidi="ar"/>
              </w:rPr>
              <w:br w:type="textWrapping"/>
            </w:r>
            <w:r>
              <w:rPr>
                <w:rFonts w:hint="eastAsia" w:ascii="宋体" w:hAnsi="宋体" w:cs="宋体"/>
                <w:color w:val="000000"/>
                <w:kern w:val="0"/>
                <w:lang w:bidi="ar"/>
              </w:rPr>
              <w:t>14、硬件系统采取机械部件刚性配合</w:t>
            </w:r>
            <w:r>
              <w:rPr>
                <w:rFonts w:hint="eastAsia" w:ascii="宋体" w:hAnsi="宋体" w:cs="宋体"/>
                <w:color w:val="000000"/>
                <w:kern w:val="0"/>
                <w:lang w:bidi="ar"/>
              </w:rPr>
              <w:br w:type="textWrapping"/>
            </w:r>
            <w:r>
              <w:rPr>
                <w:rFonts w:hint="eastAsia" w:ascii="宋体" w:hAnsi="宋体" w:cs="宋体"/>
                <w:color w:val="000000"/>
                <w:kern w:val="0"/>
                <w:lang w:bidi="ar"/>
              </w:rPr>
              <w:t>15、传动系统：星型变速器配合精密滚珠丝杠</w:t>
            </w:r>
            <w:r>
              <w:rPr>
                <w:rFonts w:hint="eastAsia" w:ascii="宋体" w:hAnsi="宋体" w:cs="宋体"/>
                <w:color w:val="000000"/>
                <w:kern w:val="0"/>
                <w:lang w:bidi="ar"/>
              </w:rPr>
              <w:br w:type="textWrapping"/>
            </w:r>
            <w:r>
              <w:rPr>
                <w:rFonts w:hint="eastAsia" w:ascii="宋体" w:hAnsi="宋体" w:cs="宋体"/>
                <w:color w:val="000000"/>
                <w:kern w:val="0"/>
                <w:lang w:bidi="ar"/>
              </w:rPr>
              <w:t>16、减震系统：利用交叉滚子导轨被动运动的方式来吸收放箭时所产生的自身震动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bl>
    <w:p>
      <w:pPr>
        <w:pStyle w:val="15"/>
        <w:ind w:firstLine="0" w:firstLineChars="0"/>
        <w:jc w:val="left"/>
        <w:rPr>
          <w:rFonts w:ascii="宋体" w:cs="宋体"/>
          <w:b w:val="0"/>
          <w:kern w:val="0"/>
        </w:rPr>
      </w:pPr>
    </w:p>
    <w:p>
      <w:pPr>
        <w:spacing w:line="360" w:lineRule="auto"/>
        <w:rPr>
          <w:rFonts w:ascii="宋体" w:hAnsi="宋体" w:cs="宋体"/>
        </w:rPr>
      </w:pPr>
      <w:r>
        <w:rPr>
          <w:rFonts w:hint="eastAsia" w:ascii="宋体" w:hAnsi="宋体" w:cs="宋体"/>
        </w:rPr>
        <w:t>第4包：测厚测硬一体仪，预算3.5万，已通过财政部进口产品审核。</w:t>
      </w:r>
    </w:p>
    <w:p>
      <w:pPr>
        <w:spacing w:line="360" w:lineRule="auto"/>
        <w:rPr>
          <w:rFonts w:ascii="宋体" w:hAnsi="宋体" w:cs="宋体"/>
          <w:bCs/>
          <w:color w:val="auto"/>
        </w:rPr>
      </w:pPr>
      <w:r>
        <w:rPr>
          <w:rFonts w:hint="eastAsia" w:ascii="宋体" w:hAnsi="宋体" w:cs="宋体"/>
          <w:bCs/>
          <w:color w:val="auto"/>
        </w:rPr>
        <w:t>交付时间：签订合同后3个月内</w:t>
      </w:r>
    </w:p>
    <w:p>
      <w:pPr>
        <w:spacing w:line="360" w:lineRule="auto"/>
        <w:rPr>
          <w:rFonts w:ascii="宋体" w:hAnsi="宋体" w:cs="宋体"/>
          <w:bCs/>
          <w:color w:val="auto"/>
        </w:rPr>
      </w:pPr>
      <w:r>
        <w:rPr>
          <w:rFonts w:hint="eastAsia" w:ascii="宋体" w:hAnsi="宋体" w:cs="宋体"/>
          <w:bCs/>
          <w:color w:val="auto"/>
        </w:rPr>
        <w:t>交付地点：国家体育总局射击射箭运动管理中心</w:t>
      </w:r>
    </w:p>
    <w:p>
      <w:pPr>
        <w:spacing w:line="360" w:lineRule="auto"/>
        <w:rPr>
          <w:rFonts w:ascii="宋体" w:hAnsi="宋体" w:cs="宋体"/>
          <w:bCs/>
          <w:color w:val="auto"/>
        </w:rPr>
      </w:pPr>
      <w:r>
        <w:rPr>
          <w:rFonts w:hint="eastAsia" w:ascii="宋体" w:hAnsi="宋体" w:cs="宋体"/>
          <w:bCs/>
          <w:color w:val="auto"/>
        </w:rPr>
        <w:t>付款条件：签订合同后支付70%款项，验收合格后支付30%款项。</w:t>
      </w:r>
    </w:p>
    <w:p>
      <w:pPr>
        <w:spacing w:line="360" w:lineRule="auto"/>
        <w:rPr>
          <w:rFonts w:ascii="宋体" w:hAnsi="宋体" w:cs="宋体"/>
        </w:rPr>
      </w:pPr>
    </w:p>
    <w:tbl>
      <w:tblPr>
        <w:tblStyle w:val="22"/>
        <w:tblW w:w="8056" w:type="dxa"/>
        <w:tblInd w:w="96" w:type="dxa"/>
        <w:tblLayout w:type="fixed"/>
        <w:tblCellMar>
          <w:top w:w="0" w:type="dxa"/>
          <w:left w:w="108" w:type="dxa"/>
          <w:bottom w:w="0" w:type="dxa"/>
          <w:right w:w="108" w:type="dxa"/>
        </w:tblCellMar>
      </w:tblPr>
      <w:tblGrid>
        <w:gridCol w:w="551"/>
        <w:gridCol w:w="1345"/>
        <w:gridCol w:w="1284"/>
        <w:gridCol w:w="3242"/>
        <w:gridCol w:w="886"/>
        <w:gridCol w:w="748"/>
      </w:tblGrid>
      <w:tr>
        <w:tblPrEx>
          <w:tblCellMar>
            <w:top w:w="0" w:type="dxa"/>
            <w:left w:w="108" w:type="dxa"/>
            <w:bottom w:w="0" w:type="dxa"/>
            <w:right w:w="108" w:type="dxa"/>
          </w:tblCellMar>
        </w:tblPrEx>
        <w:trPr>
          <w:trHeight w:val="105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rPr>
            </w:pPr>
            <w:r>
              <w:rPr>
                <w:rFonts w:hint="eastAsia" w:ascii="宋体" w:hAnsi="宋体" w:cs="宋体"/>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rPr>
            </w:pPr>
            <w:r>
              <w:rPr>
                <w:rFonts w:hint="eastAsia" w:ascii="宋体" w:hAnsi="宋体" w:cs="宋体"/>
              </w:rPr>
              <w:t>产品名称</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rPr>
            </w:pPr>
            <w:r>
              <w:rPr>
                <w:rFonts w:hint="eastAsia" w:ascii="宋体" w:hAnsi="宋体" w:cs="宋体"/>
              </w:rPr>
              <w:t>品牌</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rPr>
            </w:pPr>
            <w:r>
              <w:rPr>
                <w:rFonts w:hint="eastAsia" w:ascii="宋体" w:hAnsi="宋体" w:cs="宋体"/>
              </w:rPr>
              <w:t>技术参数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rPr>
            </w:pPr>
            <w:r>
              <w:rPr>
                <w:rFonts w:hint="eastAsia" w:ascii="宋体" w:hAnsi="宋体" w:cs="宋体"/>
              </w:rPr>
              <w:t>数量</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rPr>
            </w:pPr>
            <w:r>
              <w:rPr>
                <w:rFonts w:hint="eastAsia" w:ascii="宋体" w:hAnsi="宋体" w:cs="宋体"/>
              </w:rPr>
              <w:t>计量单位</w:t>
            </w:r>
          </w:p>
        </w:tc>
      </w:tr>
      <w:tr>
        <w:tblPrEx>
          <w:tblCellMar>
            <w:top w:w="0" w:type="dxa"/>
            <w:left w:w="108" w:type="dxa"/>
            <w:bottom w:w="0" w:type="dxa"/>
            <w:right w:w="108" w:type="dxa"/>
          </w:tblCellMar>
        </w:tblPrEx>
        <w:trPr>
          <w:trHeight w:val="3912"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rPr>
            </w:pPr>
            <w:r>
              <w:rPr>
                <w:rFonts w:hint="eastAsia" w:ascii="宋体" w:hAnsi="宋体" w:cs="宋体"/>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rPr>
            </w:pPr>
            <w:r>
              <w:rPr>
                <w:rFonts w:hint="eastAsia" w:ascii="宋体" w:hAnsi="宋体" w:cs="宋体"/>
              </w:rPr>
              <w:t>测厚测硬一体仪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rPr>
            </w:pPr>
            <w:r>
              <w:rPr>
                <w:rFonts w:hint="eastAsia" w:ascii="宋体" w:hAnsi="宋体" w:cs="宋体"/>
              </w:rPr>
              <w:t>thermo tec gmbh</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rPr>
            </w:pPr>
            <w:r>
              <w:rPr>
                <w:rFonts w:hint="eastAsia" w:ascii="宋体" w:hAnsi="宋体" w:cs="宋体"/>
              </w:rPr>
              <w:t>钢制品，可测量比赛用服装厚度，符合国际射联标准。制造用于根据最新的I.S.S.F.规则进行射击服测试，可对材料的无缝区域施加压力，位于材料下方的电子传感器，显示材料是否不符合规则－测试结果显示在LCD显示器上每次读取后自动归零，一分钟后自动切断电源以节省电力，配有坚硬箱子</w:t>
            </w:r>
            <w:r>
              <w:rPr>
                <w:rFonts w:hint="eastAsia" w:ascii="宋体" w:hAnsi="宋体" w:cs="宋体"/>
                <w:lang w:val="en-US" w:eastAsia="zh-CN"/>
              </w:rPr>
              <w:t>用于</w:t>
            </w:r>
            <w:r>
              <w:rPr>
                <w:rFonts w:hint="eastAsia" w:ascii="宋体" w:hAnsi="宋体" w:cs="宋体"/>
              </w:rPr>
              <w:t>运输中保护设备。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rPr>
            </w:pPr>
            <w:r>
              <w:rPr>
                <w:rFonts w:hint="eastAsia" w:ascii="宋体" w:hAnsi="宋体" w:cs="宋体"/>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rPr>
            </w:pPr>
            <w:r>
              <w:rPr>
                <w:rFonts w:hint="eastAsia" w:ascii="宋体" w:hAnsi="宋体" w:cs="宋体"/>
              </w:rPr>
              <w:t>台</w:t>
            </w:r>
          </w:p>
        </w:tc>
      </w:tr>
    </w:tbl>
    <w:p>
      <w:pPr>
        <w:pStyle w:val="15"/>
        <w:ind w:firstLine="0" w:firstLineChars="0"/>
        <w:jc w:val="left"/>
        <w:rPr>
          <w:rFonts w:ascii="宋体" w:cs="宋体"/>
          <w:b w:val="0"/>
          <w:kern w:val="0"/>
        </w:rPr>
      </w:pPr>
    </w:p>
    <w:p>
      <w:pPr>
        <w:spacing w:before="156" w:beforeLines="50" w:line="360" w:lineRule="auto"/>
        <w:rPr>
          <w:rFonts w:ascii="宋体" w:hAnsi="宋体" w:cs="宋体"/>
          <w:b/>
          <w:color w:val="000000"/>
        </w:rPr>
      </w:pPr>
      <w:r>
        <w:rPr>
          <w:rFonts w:hint="eastAsia" w:ascii="宋体" w:hAnsi="宋体" w:cs="宋体"/>
          <w:b/>
          <w:color w:val="000000"/>
        </w:rPr>
        <w:t>三、合格的报价人</w:t>
      </w:r>
      <w:r>
        <w:rPr>
          <w:rFonts w:hint="eastAsia" w:ascii="宋体" w:hAnsi="宋体" w:cs="宋体"/>
          <w:b/>
          <w:color w:val="000000"/>
        </w:rPr>
        <w:tab/>
      </w:r>
      <w:r>
        <w:rPr>
          <w:rFonts w:hint="eastAsia" w:ascii="宋体" w:hAnsi="宋体" w:cs="宋体"/>
          <w:b/>
          <w:color w:val="000000"/>
        </w:rPr>
        <w:tab/>
      </w:r>
    </w:p>
    <w:p>
      <w:pPr>
        <w:pStyle w:val="13"/>
        <w:numPr>
          <w:ilvl w:val="0"/>
          <w:numId w:val="5"/>
        </w:numPr>
        <w:tabs>
          <w:tab w:val="clear" w:pos="1155"/>
        </w:tabs>
        <w:ind w:left="0" w:firstLine="480" w:firstLineChars="200"/>
        <w:rPr>
          <w:rFonts w:hAnsi="宋体" w:cs="宋体"/>
        </w:rPr>
      </w:pPr>
      <w:r>
        <w:rPr>
          <w:rFonts w:hint="eastAsia" w:hAnsi="宋体" w:cs="宋体"/>
        </w:rPr>
        <w:t>具有独立承担民事责任的能力；</w:t>
      </w:r>
    </w:p>
    <w:p>
      <w:pPr>
        <w:pStyle w:val="13"/>
        <w:numPr>
          <w:ilvl w:val="0"/>
          <w:numId w:val="5"/>
        </w:numPr>
        <w:tabs>
          <w:tab w:val="clear" w:pos="1155"/>
        </w:tabs>
        <w:ind w:left="0" w:firstLine="480" w:firstLineChars="200"/>
        <w:rPr>
          <w:rFonts w:hAnsi="宋体" w:cs="宋体"/>
        </w:rPr>
      </w:pPr>
      <w:r>
        <w:rPr>
          <w:rFonts w:hint="eastAsia" w:hAnsi="宋体" w:cs="宋体"/>
        </w:rPr>
        <w:t>具有良好的商业信誉和健全的财务会计制度；</w:t>
      </w:r>
    </w:p>
    <w:p>
      <w:pPr>
        <w:pStyle w:val="13"/>
        <w:numPr>
          <w:ilvl w:val="0"/>
          <w:numId w:val="5"/>
        </w:numPr>
        <w:tabs>
          <w:tab w:val="clear" w:pos="1155"/>
        </w:tabs>
        <w:ind w:left="0" w:firstLine="480" w:firstLineChars="200"/>
        <w:rPr>
          <w:rFonts w:hAnsi="宋体" w:cs="宋体"/>
        </w:rPr>
      </w:pPr>
      <w:r>
        <w:rPr>
          <w:rFonts w:hint="eastAsia" w:hAnsi="宋体" w:cs="宋体"/>
        </w:rPr>
        <w:t>具有履行合同所必需的设备和专业技术能力；</w:t>
      </w:r>
    </w:p>
    <w:p>
      <w:pPr>
        <w:pStyle w:val="13"/>
        <w:numPr>
          <w:ilvl w:val="0"/>
          <w:numId w:val="5"/>
        </w:numPr>
        <w:tabs>
          <w:tab w:val="clear" w:pos="1155"/>
        </w:tabs>
        <w:ind w:left="0" w:firstLine="480" w:firstLineChars="200"/>
        <w:rPr>
          <w:rFonts w:hAnsi="宋体" w:cs="宋体"/>
        </w:rPr>
      </w:pPr>
      <w:r>
        <w:rPr>
          <w:rFonts w:hint="eastAsia" w:hAnsi="宋体" w:cs="宋体"/>
        </w:rPr>
        <w:t>具有依法缴纳税收和社会保障资金的良好记录；</w:t>
      </w:r>
    </w:p>
    <w:p>
      <w:pPr>
        <w:pStyle w:val="13"/>
        <w:numPr>
          <w:ilvl w:val="0"/>
          <w:numId w:val="5"/>
        </w:numPr>
        <w:tabs>
          <w:tab w:val="clear" w:pos="1155"/>
        </w:tabs>
        <w:ind w:left="0" w:firstLine="480" w:firstLineChars="200"/>
        <w:rPr>
          <w:rFonts w:hAnsi="宋体" w:cs="宋体"/>
        </w:rPr>
      </w:pPr>
      <w:r>
        <w:rPr>
          <w:rFonts w:hint="eastAsia" w:hAnsi="宋体" w:cs="宋体"/>
        </w:rPr>
        <w:t>参加此项采购活动前三年内，在经营活动中没有重大违法记录；</w:t>
      </w:r>
    </w:p>
    <w:p>
      <w:pPr>
        <w:pStyle w:val="13"/>
        <w:numPr>
          <w:ilvl w:val="0"/>
          <w:numId w:val="5"/>
        </w:numPr>
        <w:tabs>
          <w:tab w:val="clear" w:pos="1155"/>
        </w:tabs>
        <w:ind w:left="0" w:firstLine="480" w:firstLineChars="200"/>
        <w:rPr>
          <w:rFonts w:hAnsi="宋体" w:cs="宋体"/>
          <w:u w:val="single"/>
        </w:rPr>
      </w:pPr>
      <w:r>
        <w:rPr>
          <w:rFonts w:hint="eastAsia" w:hAnsi="宋体" w:cs="宋体"/>
        </w:rPr>
        <w:t>本次采购不接受联合体报价；</w:t>
      </w:r>
    </w:p>
    <w:p>
      <w:pPr>
        <w:pStyle w:val="13"/>
        <w:numPr>
          <w:ilvl w:val="0"/>
          <w:numId w:val="5"/>
        </w:numPr>
        <w:tabs>
          <w:tab w:val="clear" w:pos="1155"/>
        </w:tabs>
        <w:ind w:left="0" w:firstLine="480" w:firstLineChars="200"/>
        <w:rPr>
          <w:rFonts w:hAnsi="宋体" w:cs="宋体"/>
        </w:rPr>
      </w:pPr>
      <w:r>
        <w:rPr>
          <w:rFonts w:hint="eastAsia" w:hAnsi="宋体" w:cs="宋体"/>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3"/>
        <w:numPr>
          <w:ilvl w:val="0"/>
          <w:numId w:val="5"/>
        </w:numPr>
        <w:tabs>
          <w:tab w:val="clear" w:pos="1155"/>
        </w:tabs>
        <w:ind w:left="0" w:firstLine="480" w:firstLineChars="200"/>
        <w:rPr>
          <w:rFonts w:hAnsi="宋体" w:cs="宋体"/>
        </w:rPr>
      </w:pPr>
      <w:r>
        <w:rPr>
          <w:rFonts w:hint="eastAsia" w:hAnsi="宋体" w:cs="宋体"/>
          <w:bCs/>
        </w:rPr>
        <w:t>单位负责人为同一人或者存在直接控股、管理关系的不同供应商，不得参加同一包的政府采购活动。</w:t>
      </w:r>
    </w:p>
    <w:p>
      <w:pPr>
        <w:rPr>
          <w:rFonts w:ascii="宋体" w:hAnsi="宋体" w:cs="宋体"/>
        </w:rPr>
      </w:pPr>
    </w:p>
    <w:p>
      <w:pPr>
        <w:spacing w:before="156" w:beforeLines="50" w:line="360" w:lineRule="auto"/>
        <w:rPr>
          <w:rFonts w:ascii="宋体" w:hAnsi="宋体" w:cs="宋体"/>
          <w:b/>
          <w:color w:val="000000"/>
        </w:rPr>
      </w:pPr>
      <w:r>
        <w:rPr>
          <w:rFonts w:hint="eastAsia" w:ascii="宋体" w:hAnsi="宋体" w:cs="宋体"/>
          <w:b/>
          <w:color w:val="000000"/>
        </w:rPr>
        <w:t>四、报价文件格式及相关要求</w:t>
      </w:r>
    </w:p>
    <w:p>
      <w:pPr>
        <w:snapToGrid w:val="0"/>
        <w:spacing w:before="156" w:beforeLines="50" w:line="460" w:lineRule="exact"/>
        <w:jc w:val="left"/>
        <w:rPr>
          <w:rFonts w:ascii="宋体" w:hAnsi="宋体" w:cs="宋体"/>
          <w:b/>
          <w:color w:val="000000"/>
        </w:rPr>
      </w:pPr>
      <w:r>
        <w:rPr>
          <w:rFonts w:hint="eastAsia" w:ascii="宋体" w:hAnsi="宋体" w:cs="宋体"/>
        </w:rPr>
        <w:t>资质文件（若有缺失或无效，将导致响应文件无效）</w:t>
      </w:r>
    </w:p>
    <w:p>
      <w:pPr>
        <w:numPr>
          <w:ilvl w:val="0"/>
          <w:numId w:val="6"/>
        </w:numPr>
        <w:spacing w:line="360" w:lineRule="auto"/>
        <w:ind w:left="0" w:firstLine="480" w:firstLineChars="200"/>
        <w:rPr>
          <w:rFonts w:ascii="宋体" w:hAnsi="宋体" w:cs="宋体"/>
        </w:rPr>
      </w:pPr>
      <w:r>
        <w:rPr>
          <w:rFonts w:hint="eastAsia" w:ascii="宋体" w:hAnsi="宋体" w:cs="宋体"/>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6"/>
        </w:numPr>
        <w:spacing w:line="360" w:lineRule="auto"/>
        <w:ind w:left="0" w:firstLine="480" w:firstLineChars="200"/>
        <w:rPr>
          <w:rFonts w:ascii="宋体" w:hAnsi="宋体" w:cs="宋体"/>
        </w:rPr>
      </w:pPr>
      <w:r>
        <w:rPr>
          <w:rFonts w:hint="eastAsia" w:ascii="宋体" w:hAnsi="宋体" w:cs="宋体"/>
        </w:rPr>
        <w:t>报价人参与本采购项目的2年内任意1年度经审计的财务报告复印件，财务报告复印件须包括“四表一注”：资产负债表、利润表、现金流量表、所有者权益变动表及其附注，或者其基本开户银行出具的资信证明；报价人为自然人或非法人组织的，如果没有经审计的财务报告，可提供银行出具的资信证明。</w:t>
      </w:r>
    </w:p>
    <w:p>
      <w:pPr>
        <w:numPr>
          <w:ilvl w:val="0"/>
          <w:numId w:val="6"/>
        </w:numPr>
        <w:spacing w:line="360" w:lineRule="auto"/>
        <w:ind w:left="0" w:firstLine="480" w:firstLineChars="200"/>
        <w:rPr>
          <w:rFonts w:ascii="宋体" w:hAnsi="宋体" w:cs="宋体"/>
        </w:rPr>
      </w:pPr>
      <w:r>
        <w:rPr>
          <w:rFonts w:hint="eastAsia" w:ascii="宋体" w:hAnsi="宋体" w:cs="宋体"/>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numPr>
          <w:ilvl w:val="0"/>
          <w:numId w:val="6"/>
        </w:numPr>
        <w:spacing w:line="360" w:lineRule="auto"/>
        <w:ind w:left="0" w:firstLine="480" w:firstLineChars="200"/>
        <w:rPr>
          <w:rFonts w:ascii="宋体" w:hAnsi="宋体" w:cs="宋体"/>
        </w:rPr>
      </w:pPr>
      <w:r>
        <w:rPr>
          <w:rFonts w:hint="eastAsia" w:ascii="宋体" w:hAnsi="宋体" w:cs="宋体"/>
        </w:rPr>
        <w:t>报价人简介，指具有履行合同所必需的设备和专业技术能力，生产销售能力等，不限于报价人资格声明（格式自拟）</w:t>
      </w:r>
    </w:p>
    <w:p>
      <w:pPr>
        <w:numPr>
          <w:ilvl w:val="0"/>
          <w:numId w:val="6"/>
        </w:numPr>
        <w:spacing w:line="360" w:lineRule="auto"/>
        <w:ind w:left="0" w:firstLine="480" w:firstLineChars="200"/>
        <w:rPr>
          <w:rFonts w:ascii="宋体" w:hAnsi="宋体" w:cs="宋体"/>
        </w:rPr>
      </w:pPr>
      <w:r>
        <w:rPr>
          <w:rFonts w:hint="eastAsia" w:ascii="宋体" w:hAnsi="宋体" w:cs="宋体"/>
        </w:rPr>
        <w:t>报价人参加此项政府采购活动前3年内在经营活动中没有重大违法记录的书面声明</w:t>
      </w:r>
      <w:r>
        <w:rPr>
          <w:rFonts w:hint="eastAsia" w:ascii="宋体" w:hAnsi="宋体" w:cs="宋体"/>
          <w:bCs/>
          <w:color w:val="000000"/>
        </w:rPr>
        <w:t>（格式</w:t>
      </w:r>
      <w:r>
        <w:rPr>
          <w:rFonts w:hint="eastAsia" w:ascii="宋体" w:hAnsi="宋体" w:cs="宋体"/>
        </w:rPr>
        <w:t>自拟</w:t>
      </w:r>
      <w:r>
        <w:rPr>
          <w:rFonts w:hint="eastAsia" w:ascii="宋体" w:hAnsi="宋体" w:cs="宋体"/>
          <w:bCs/>
          <w:color w:val="000000"/>
        </w:rPr>
        <w:t>）</w:t>
      </w:r>
    </w:p>
    <w:p>
      <w:pPr>
        <w:numPr>
          <w:ilvl w:val="0"/>
          <w:numId w:val="6"/>
        </w:numPr>
        <w:spacing w:line="360" w:lineRule="auto"/>
        <w:ind w:left="0" w:firstLine="480" w:firstLineChars="200"/>
        <w:rPr>
          <w:rFonts w:ascii="宋体" w:hAnsi="宋体" w:cs="宋体"/>
        </w:rPr>
      </w:pPr>
      <w:r>
        <w:rPr>
          <w:rFonts w:hint="eastAsia" w:ascii="宋体" w:hAnsi="宋体" w:cs="宋体"/>
        </w:rPr>
        <w:t>提供与报价人的单位负责人为同一人，或者与报价人存在直接控股、管理关系的不同单位（主体）的清单；如报价人无此类关联单位（主体），则需做出声明承诺（格式自拟）</w:t>
      </w:r>
    </w:p>
    <w:p>
      <w:pPr>
        <w:numPr>
          <w:ilvl w:val="0"/>
          <w:numId w:val="6"/>
        </w:numPr>
        <w:spacing w:line="360" w:lineRule="auto"/>
        <w:ind w:left="0" w:firstLine="480" w:firstLineChars="200"/>
        <w:rPr>
          <w:rFonts w:ascii="宋体" w:hAnsi="宋体" w:cs="宋体"/>
        </w:rPr>
      </w:pPr>
      <w:r>
        <w:rPr>
          <w:rFonts w:hint="eastAsia" w:ascii="宋体" w:hAnsi="宋体" w:cs="宋体"/>
        </w:rPr>
        <w:t>投标人信用记录：</w:t>
      </w:r>
      <w:r>
        <w:rPr>
          <w:rFonts w:hint="eastAsia" w:ascii="宋体" w:hAnsi="宋体" w:cs="宋体"/>
          <w:color w:val="000000"/>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经查询被列入失信被执行人、重大税收违法案件当事人名单、政府采购严重违法失信行为记录名单的投标人，其投标无效。</w:t>
      </w:r>
    </w:p>
    <w:p>
      <w:pPr>
        <w:pStyle w:val="45"/>
        <w:spacing w:line="360" w:lineRule="auto"/>
        <w:ind w:firstLine="0" w:firstLineChars="0"/>
        <w:jc w:val="left"/>
        <w:rPr>
          <w:rFonts w:ascii="宋体" w:hAnsi="宋体" w:cs="宋体"/>
          <w:bCs/>
          <w:color w:val="000000"/>
          <w:szCs w:val="24"/>
        </w:rPr>
      </w:pPr>
    </w:p>
    <w:p>
      <w:pPr>
        <w:snapToGrid w:val="0"/>
        <w:spacing w:line="360" w:lineRule="auto"/>
        <w:jc w:val="left"/>
        <w:rPr>
          <w:rFonts w:ascii="宋体" w:hAnsi="宋体" w:cs="宋体"/>
          <w:bCs/>
          <w:color w:val="000000"/>
        </w:rPr>
      </w:pPr>
      <w:r>
        <w:rPr>
          <w:rFonts w:hint="eastAsia" w:ascii="宋体" w:hAnsi="宋体" w:cs="宋体"/>
          <w:bCs/>
          <w:color w:val="000000"/>
        </w:rPr>
        <w:t>商务技术和报价文件部分（其中的实质性审查项若有缺失或无效，将导致响应文件无效）：</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报价人的法定代表人证明书；如果是非法人代表参与谈判，那么提供报价人的法人代表授权委托书（格式见附件）（实质性审查项）</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lang w:val="en-US" w:eastAsia="zh-CN"/>
        </w:rPr>
        <w:t>报价</w:t>
      </w:r>
      <w:r>
        <w:rPr>
          <w:rFonts w:hint="eastAsia" w:ascii="宋体" w:hAnsi="宋体" w:cs="宋体"/>
          <w:color w:val="000000"/>
        </w:rPr>
        <w:t>人报价产品如果为进口产品的，除产品制造商外，报价人如为代理商的，须提供所报价标项中的代理资格证明、产品制造商授权证书或具有授权权限的代理商对报价产品的授权文件（且需提供该代理商具有有效授权权限的相关证明文件，证明文件需能显示产品制造厂家对报价产品授权链条的完整性）；外文版授权书（包含但不限于英文版）还须提供对应完整无误的中文简体版翻译件，企业名称的外文翻译必须和中文能完全对应且无误。(实质性审查项）；</w:t>
      </w:r>
    </w:p>
    <w:p>
      <w:pPr>
        <w:numPr>
          <w:ilvl w:val="0"/>
          <w:numId w:val="7"/>
        </w:numPr>
        <w:spacing w:line="360" w:lineRule="auto"/>
        <w:ind w:left="0" w:firstLine="480" w:firstLineChars="200"/>
        <w:rPr>
          <w:rFonts w:hint="eastAsia" w:ascii="宋体" w:hAnsi="宋体" w:cs="宋体"/>
          <w:color w:val="000000"/>
        </w:rPr>
      </w:pPr>
      <w:r>
        <w:rPr>
          <w:rFonts w:hint="eastAsia" w:ascii="宋体" w:hAnsi="宋体" w:cs="宋体"/>
          <w:color w:val="000000"/>
          <w:lang w:val="en-US" w:eastAsia="zh-CN"/>
        </w:rPr>
        <w:t>报价</w:t>
      </w:r>
      <w:r>
        <w:rPr>
          <w:rFonts w:hint="eastAsia" w:ascii="宋体" w:hAnsi="宋体" w:cs="宋体"/>
          <w:color w:val="000000"/>
        </w:rPr>
        <w:t>人报价产品如果为</w:t>
      </w:r>
      <w:r>
        <w:rPr>
          <w:rFonts w:hint="eastAsia" w:ascii="宋体" w:hAnsi="宋体" w:cs="宋体"/>
          <w:color w:val="000000"/>
          <w:lang w:val="en-US" w:eastAsia="zh-CN"/>
        </w:rPr>
        <w:t>国产</w:t>
      </w:r>
      <w:r>
        <w:rPr>
          <w:rFonts w:hint="eastAsia" w:ascii="宋体" w:hAnsi="宋体" w:cs="宋体"/>
          <w:color w:val="000000"/>
        </w:rPr>
        <w:t>产品的，除产品制造商外，报价人如为代理商的，提供所报价标项中的代理资格证明、产品制造商授权证书或具有授权权限的代理商对报价产品的授权</w:t>
      </w:r>
      <w:r>
        <w:rPr>
          <w:rFonts w:hint="eastAsia" w:ascii="宋体" w:hAnsi="宋体" w:cs="宋体"/>
          <w:color w:val="000000"/>
          <w:lang w:val="en-US" w:eastAsia="zh-CN"/>
        </w:rPr>
        <w:t>文件</w:t>
      </w:r>
      <w:r>
        <w:rPr>
          <w:rFonts w:hint="eastAsia" w:ascii="宋体" w:hAnsi="宋体" w:cs="宋体"/>
          <w:color w:val="000000"/>
        </w:rPr>
        <w:t>（且需提供该代理商具有有效授权权限的相关证明文件，证明文件需能显示产品制造厂家对报价产品授权链条的完整性）</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报价明细表（实质性审查项）</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报价产品技术偏离表(报价人应该按照所报产品实际情况填写报价产品技术偏离表，如果不按实际情况而是照抄本文件参数要求，则被认为是企业诚信问题，将会按照政府采购相关法律法规处理) ；</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报价产品符合相关认证标准的证明文件复印件；</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报价产品技术情况详细介绍及产品彩图；</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报价人2021年1月至今同类型产品销售业绩（请提供合同关键页复印件及有效联系人方式）；</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交货时间承诺；</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售后服务承诺或产品制造商售后服务声明；</w:t>
      </w:r>
    </w:p>
    <w:p>
      <w:pPr>
        <w:numPr>
          <w:ilvl w:val="0"/>
          <w:numId w:val="7"/>
        </w:numPr>
        <w:spacing w:line="360" w:lineRule="auto"/>
        <w:ind w:left="0" w:firstLine="480" w:firstLineChars="200"/>
        <w:rPr>
          <w:rFonts w:ascii="宋体" w:hAnsi="宋体" w:cs="宋体"/>
          <w:color w:val="000000"/>
        </w:rPr>
      </w:pPr>
      <w:r>
        <w:rPr>
          <w:rFonts w:hint="eastAsia" w:ascii="宋体" w:hAnsi="宋体" w:cs="宋体"/>
          <w:color w:val="000000"/>
        </w:rPr>
        <w:t>报价人认为需要提供的其它说明和资料。</w:t>
      </w:r>
    </w:p>
    <w:p>
      <w:pPr>
        <w:spacing w:line="360" w:lineRule="auto"/>
        <w:rPr>
          <w:rFonts w:ascii="宋体" w:hAnsi="宋体" w:cs="宋体"/>
          <w:color w:val="000000"/>
        </w:rPr>
      </w:pPr>
      <w:r>
        <w:rPr>
          <w:rFonts w:hint="eastAsia" w:ascii="宋体" w:hAnsi="宋体" w:cs="宋体"/>
          <w:color w:val="000000"/>
        </w:rPr>
        <w:t>文件格式见第十三条。</w:t>
      </w:r>
    </w:p>
    <w:p>
      <w:pPr>
        <w:rPr>
          <w:rFonts w:ascii="宋体" w:hAnsi="宋体" w:cs="宋体"/>
        </w:rPr>
      </w:pPr>
    </w:p>
    <w:p>
      <w:pPr>
        <w:pStyle w:val="48"/>
        <w:spacing w:before="360"/>
        <w:rPr>
          <w:rFonts w:ascii="宋体" w:hAnsi="宋体" w:cs="宋体"/>
          <w:sz w:val="24"/>
        </w:rPr>
      </w:pPr>
      <w:bookmarkStart w:id="2" w:name="_Toc112685104"/>
      <w:bookmarkStart w:id="3" w:name="_Toc27212"/>
      <w:bookmarkStart w:id="4" w:name="_Toc148289432"/>
      <w:r>
        <w:rPr>
          <w:rFonts w:hint="eastAsia" w:ascii="宋体" w:hAnsi="宋体" w:cs="宋体"/>
          <w:sz w:val="24"/>
        </w:rPr>
        <w:t>四、报名</w:t>
      </w:r>
      <w:bookmarkEnd w:id="2"/>
      <w:bookmarkEnd w:id="3"/>
      <w:bookmarkEnd w:id="4"/>
    </w:p>
    <w:p>
      <w:pPr>
        <w:spacing w:line="360" w:lineRule="auto"/>
        <w:ind w:firstLine="480" w:firstLineChars="200"/>
        <w:rPr>
          <w:rFonts w:ascii="宋体" w:hAnsi="宋体" w:cs="宋体"/>
        </w:rPr>
      </w:pPr>
      <w:bookmarkStart w:id="5" w:name="_Toc21456"/>
      <w:bookmarkStart w:id="6" w:name="_Toc102983073"/>
      <w:bookmarkStart w:id="7" w:name="_Toc112685105"/>
      <w:r>
        <w:rPr>
          <w:rFonts w:hint="eastAsia" w:ascii="宋体" w:hAnsi="宋体" w:cs="宋体"/>
        </w:rPr>
        <w:t>1、报名时间（北京时间）：自采购公告发布日起至2024年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6</w:t>
      </w:r>
      <w:r>
        <w:rPr>
          <w:rFonts w:hint="eastAsia" w:ascii="宋体" w:hAnsi="宋体" w:cs="宋体"/>
        </w:rPr>
        <w:t>日16：00前。（北京时间，法定节假日除外）</w:t>
      </w:r>
      <w:bookmarkEnd w:id="5"/>
      <w:bookmarkEnd w:id="6"/>
      <w:bookmarkEnd w:id="7"/>
    </w:p>
    <w:p>
      <w:pPr>
        <w:spacing w:line="360" w:lineRule="auto"/>
        <w:ind w:firstLine="480" w:firstLineChars="200"/>
        <w:rPr>
          <w:rFonts w:ascii="宋体" w:hAnsi="宋体" w:cs="宋体"/>
        </w:rPr>
      </w:pPr>
      <w:bookmarkStart w:id="8" w:name="_Toc23135"/>
      <w:bookmarkStart w:id="9" w:name="_Toc102983074"/>
      <w:bookmarkStart w:id="10" w:name="_Toc112685106"/>
      <w:r>
        <w:rPr>
          <w:rFonts w:hint="eastAsia" w:ascii="宋体" w:hAnsi="宋体" w:cs="宋体"/>
        </w:rPr>
        <w:t>2、报名方式：本项目需通过政采云平台网上报名。</w:t>
      </w:r>
      <w:bookmarkEnd w:id="8"/>
      <w:bookmarkEnd w:id="9"/>
      <w:bookmarkEnd w:id="10"/>
    </w:p>
    <w:p>
      <w:pPr>
        <w:spacing w:line="360" w:lineRule="auto"/>
        <w:ind w:firstLine="480" w:firstLineChars="200"/>
        <w:jc w:val="left"/>
        <w:rPr>
          <w:rFonts w:ascii="宋体" w:hAnsi="宋体" w:cs="宋体"/>
        </w:rPr>
      </w:pPr>
      <w:bookmarkStart w:id="11" w:name="_Toc112685107"/>
      <w:bookmarkStart w:id="12" w:name="_Toc11279"/>
      <w:bookmarkStart w:id="13" w:name="_Toc102983075"/>
      <w:r>
        <w:rPr>
          <w:rFonts w:hint="eastAsia" w:ascii="宋体" w:hAnsi="宋体" w:cs="宋体"/>
        </w:rPr>
        <w:t>政采云平台供应商注册链接：https://middle.zcygov.cn/v-settle-front/enter/account?entranceType=1&amp;settleCategory=1&amp;isLoginAdd=true注册成功后，用账号密码登录后台界面；</w:t>
      </w:r>
      <w:bookmarkEnd w:id="11"/>
      <w:bookmarkEnd w:id="12"/>
      <w:bookmarkEnd w:id="13"/>
    </w:p>
    <w:p>
      <w:pPr>
        <w:spacing w:line="360" w:lineRule="auto"/>
        <w:ind w:firstLine="480" w:firstLineChars="200"/>
        <w:rPr>
          <w:rFonts w:ascii="宋体" w:hAnsi="宋体" w:cs="宋体"/>
        </w:rPr>
      </w:pPr>
      <w:bookmarkStart w:id="14" w:name="_Toc112685108"/>
      <w:bookmarkStart w:id="15" w:name="_Toc15067"/>
      <w:bookmarkStart w:id="16" w:name="_Toc102983076"/>
      <w:r>
        <w:rPr>
          <w:rFonts w:hint="eastAsia" w:ascii="宋体" w:hAnsi="宋体" w:cs="宋体"/>
        </w:rPr>
        <w:t>供应商报名路径：应用中心-项目采购-获取采购文件，找到本项目的项目名称申请获取采购文件，按照系统界面要求填写供应商相关信息，同时将以下文件扫描件作为附件上传。</w:t>
      </w:r>
      <w:bookmarkEnd w:id="14"/>
      <w:bookmarkEnd w:id="15"/>
      <w:bookmarkEnd w:id="16"/>
    </w:p>
    <w:p>
      <w:pPr>
        <w:spacing w:line="360" w:lineRule="auto"/>
        <w:ind w:firstLine="480" w:firstLineChars="200"/>
        <w:rPr>
          <w:rFonts w:ascii="宋体" w:hAnsi="宋体" w:cs="宋体"/>
        </w:rPr>
      </w:pPr>
      <w:bookmarkStart w:id="17" w:name="_Toc10005"/>
      <w:bookmarkStart w:id="18" w:name="_Toc112685109"/>
      <w:bookmarkStart w:id="19" w:name="_Toc102983077"/>
      <w:r>
        <w:rPr>
          <w:rFonts w:hint="eastAsia" w:ascii="宋体" w:hAnsi="宋体" w:cs="宋体"/>
        </w:rPr>
        <w:t>（1）法定代表人授权委托书扫描件（法定代表人手写签字或盖章，并加盖单位公章）；</w:t>
      </w:r>
      <w:bookmarkEnd w:id="17"/>
      <w:bookmarkEnd w:id="18"/>
      <w:bookmarkEnd w:id="19"/>
    </w:p>
    <w:p>
      <w:pPr>
        <w:spacing w:line="360" w:lineRule="auto"/>
        <w:ind w:firstLine="480" w:firstLineChars="200"/>
        <w:rPr>
          <w:rFonts w:ascii="宋体" w:hAnsi="宋体" w:cs="宋体"/>
        </w:rPr>
      </w:pPr>
      <w:bookmarkStart w:id="20" w:name="_Toc102983078"/>
      <w:bookmarkStart w:id="21" w:name="_Toc112685110"/>
      <w:bookmarkStart w:id="22" w:name="_Toc27644"/>
      <w:r>
        <w:rPr>
          <w:rFonts w:hint="eastAsia" w:ascii="宋体" w:hAnsi="宋体" w:cs="宋体"/>
        </w:rPr>
        <w:t>（2）授权代表身份证扫描件</w:t>
      </w:r>
      <w:bookmarkEnd w:id="20"/>
      <w:bookmarkEnd w:id="21"/>
      <w:bookmarkEnd w:id="22"/>
    </w:p>
    <w:p>
      <w:pPr>
        <w:spacing w:line="360" w:lineRule="auto"/>
        <w:ind w:firstLine="480" w:firstLineChars="200"/>
        <w:jc w:val="center"/>
        <w:rPr>
          <w:rFonts w:ascii="宋体" w:hAnsi="宋体" w:cs="宋体"/>
        </w:rPr>
      </w:pPr>
      <w:r>
        <w:rPr>
          <w:rFonts w:hint="eastAsia" w:ascii="宋体" w:hAnsi="宋体" w:cs="宋体"/>
        </w:rPr>
        <w:t>法定代表人的授权委托书</w:t>
      </w:r>
      <w:bookmarkStart w:id="50" w:name="_GoBack"/>
      <w:bookmarkEnd w:id="50"/>
    </w:p>
    <w:p>
      <w:pPr>
        <w:spacing w:line="360" w:lineRule="auto"/>
        <w:rPr>
          <w:rFonts w:ascii="宋体" w:hAnsi="宋体" w:cs="宋体"/>
        </w:rPr>
      </w:pPr>
      <w:r>
        <w:rPr>
          <w:rFonts w:hint="eastAsia" w:ascii="宋体" w:hAnsi="宋体" w:cs="宋体"/>
        </w:rPr>
        <w:t>国家体育总局体育器材装备中心：</w:t>
      </w:r>
    </w:p>
    <w:p>
      <w:pPr>
        <w:spacing w:line="360" w:lineRule="auto"/>
        <w:ind w:firstLine="480" w:firstLineChars="200"/>
        <w:rPr>
          <w:rFonts w:ascii="宋体" w:hAnsi="宋体" w:cs="宋体"/>
        </w:rPr>
      </w:pPr>
      <w:r>
        <w:rPr>
          <w:rFonts w:hint="eastAsia" w:ascii="宋体" w:hAnsi="宋体" w:cs="宋体"/>
        </w:rPr>
        <w:t>本授权委托书声明：注册于（公司住址）的（公司名称）法定代表人（法定代表人姓名、职务）代表本公司授权在下面签字的（法定代表人授权代表职务、姓名）为本公司的合法代理人，就贵方组织的（项目名称）项目，采购编号：   包号：    ：，以本公司名义办理报名登记。</w:t>
      </w:r>
    </w:p>
    <w:p>
      <w:pPr>
        <w:spacing w:line="360" w:lineRule="auto"/>
        <w:ind w:firstLine="480" w:firstLineChars="200"/>
        <w:rPr>
          <w:rFonts w:ascii="宋体" w:hAnsi="宋体" w:cs="宋体"/>
        </w:rPr>
      </w:pPr>
      <w:r>
        <w:rPr>
          <w:rFonts w:hint="eastAsia" w:ascii="宋体" w:hAnsi="宋体" w:cs="宋体"/>
        </w:rPr>
        <w:t>本授权书于年月日签字生效，特此声明。</w:t>
      </w:r>
    </w:p>
    <w:p>
      <w:pPr>
        <w:spacing w:line="360" w:lineRule="auto"/>
        <w:ind w:firstLine="480" w:firstLineChars="200"/>
        <w:rPr>
          <w:rFonts w:ascii="宋体" w:hAnsi="宋体" w:cs="宋体"/>
        </w:rPr>
      </w:pPr>
      <w:r>
        <w:rPr>
          <w:rFonts w:hint="eastAsia" w:ascii="宋体" w:hAnsi="宋体" w:cs="宋体"/>
        </w:rPr>
        <w:t>法定代表人印刷体姓名： 签字： 电话：</w:t>
      </w:r>
    </w:p>
    <w:p>
      <w:pPr>
        <w:spacing w:line="360" w:lineRule="auto"/>
        <w:ind w:firstLine="480" w:firstLineChars="200"/>
        <w:rPr>
          <w:rFonts w:ascii="宋体" w:hAnsi="宋体" w:cs="宋体"/>
        </w:rPr>
      </w:pPr>
      <w:r>
        <w:rPr>
          <w:rFonts w:hint="eastAsia" w:ascii="宋体" w:hAnsi="宋体" w:cs="宋体"/>
        </w:rPr>
        <w:t>授权代表印刷体姓名： 签字： 职务： 电话：</w:t>
      </w:r>
    </w:p>
    <w:p>
      <w:pPr>
        <w:spacing w:line="360" w:lineRule="auto"/>
        <w:ind w:firstLine="480" w:firstLineChars="200"/>
        <w:rPr>
          <w:rFonts w:ascii="宋体" w:hAnsi="宋体" w:cs="宋体"/>
        </w:rPr>
      </w:pPr>
      <w:r>
        <w:rPr>
          <w:rFonts w:hint="eastAsia" w:ascii="宋体" w:hAnsi="宋体" w:cs="宋体"/>
        </w:rPr>
        <w:t>授权代表身份证号： （身份证扫描件附后）</w:t>
      </w:r>
    </w:p>
    <w:p>
      <w:pPr>
        <w:spacing w:line="360" w:lineRule="auto"/>
        <w:ind w:firstLine="480" w:firstLineChars="200"/>
        <w:rPr>
          <w:rFonts w:ascii="宋体" w:hAnsi="宋体" w:cs="宋体"/>
        </w:rPr>
      </w:pPr>
      <w:r>
        <w:rPr>
          <w:rFonts w:hint="eastAsia" w:ascii="宋体" w:hAnsi="宋体" w:cs="宋体"/>
        </w:rPr>
        <w:t>公司全称（公章）：</w:t>
      </w:r>
    </w:p>
    <w:p>
      <w:pPr>
        <w:spacing w:line="360" w:lineRule="auto"/>
        <w:ind w:firstLine="480" w:firstLineChars="200"/>
        <w:rPr>
          <w:rFonts w:ascii="宋体" w:hAnsi="宋体" w:cs="宋体"/>
        </w:rPr>
      </w:pPr>
      <w:bookmarkStart w:id="23" w:name="_Toc112685111"/>
      <w:bookmarkStart w:id="24" w:name="_Toc17974"/>
      <w:bookmarkStart w:id="25" w:name="_Toc102983079"/>
      <w:r>
        <w:rPr>
          <w:rFonts w:hint="eastAsia" w:ascii="宋体" w:hAnsi="宋体" w:cs="宋体"/>
        </w:rPr>
        <w:t>未在规定时间内按要求提交以上文件进行报名登记，而直接编制报价文件参与报价的企业，其报价将被拒绝。</w:t>
      </w:r>
      <w:bookmarkEnd w:id="23"/>
      <w:bookmarkEnd w:id="24"/>
      <w:bookmarkEnd w:id="25"/>
    </w:p>
    <w:p>
      <w:pPr>
        <w:spacing w:line="360" w:lineRule="auto"/>
        <w:ind w:firstLine="480" w:firstLineChars="200"/>
        <w:rPr>
          <w:rFonts w:ascii="宋体" w:hAnsi="宋体" w:cs="宋体"/>
        </w:rPr>
      </w:pPr>
      <w:bookmarkStart w:id="26" w:name="_Toc112685112"/>
      <w:bookmarkStart w:id="27" w:name="_Toc11179"/>
      <w:bookmarkStart w:id="28" w:name="_Toc102983080"/>
      <w:r>
        <w:rPr>
          <w:rFonts w:hint="eastAsia" w:ascii="宋体" w:hAnsi="宋体" w:cs="宋体"/>
        </w:rPr>
        <w:t>3、采购文件售价：0元，采购文件请至公告附件处下载。</w:t>
      </w:r>
      <w:bookmarkEnd w:id="26"/>
      <w:bookmarkEnd w:id="27"/>
      <w:bookmarkEnd w:id="28"/>
    </w:p>
    <w:p>
      <w:pPr>
        <w:spacing w:line="360" w:lineRule="auto"/>
        <w:ind w:firstLine="480" w:firstLineChars="200"/>
        <w:rPr>
          <w:rFonts w:ascii="宋体" w:hAnsi="宋体" w:cs="宋体"/>
        </w:rPr>
      </w:pPr>
      <w:bookmarkStart w:id="29" w:name="_Toc4625"/>
      <w:bookmarkStart w:id="30" w:name="_Toc112685113"/>
      <w:bookmarkStart w:id="31" w:name="_Toc102983081"/>
      <w:r>
        <w:rPr>
          <w:rFonts w:hint="eastAsia" w:ascii="宋体" w:hAnsi="宋体" w:cs="宋体"/>
        </w:rPr>
        <w:t>4、联系方式</w:t>
      </w:r>
      <w:bookmarkEnd w:id="29"/>
      <w:bookmarkEnd w:id="30"/>
      <w:bookmarkEnd w:id="31"/>
    </w:p>
    <w:p>
      <w:pPr>
        <w:spacing w:line="360" w:lineRule="auto"/>
        <w:ind w:firstLine="480" w:firstLineChars="200"/>
        <w:rPr>
          <w:rFonts w:ascii="宋体" w:hAnsi="宋体" w:cs="宋体"/>
        </w:rPr>
      </w:pPr>
      <w:bookmarkStart w:id="32" w:name="_Toc102983082"/>
      <w:bookmarkStart w:id="33" w:name="_Toc112685114"/>
      <w:bookmarkStart w:id="34" w:name="_Toc253"/>
      <w:r>
        <w:rPr>
          <w:rFonts w:hint="eastAsia" w:ascii="宋体" w:hAnsi="宋体" w:cs="宋体"/>
        </w:rPr>
        <w:t>电子邮箱：t87182686@163.com</w:t>
      </w:r>
      <w:bookmarkEnd w:id="32"/>
      <w:bookmarkEnd w:id="33"/>
      <w:bookmarkEnd w:id="34"/>
    </w:p>
    <w:p>
      <w:pPr>
        <w:spacing w:line="360" w:lineRule="auto"/>
        <w:ind w:firstLine="480" w:firstLineChars="200"/>
        <w:rPr>
          <w:rFonts w:ascii="宋体" w:hAnsi="宋体" w:cs="宋体"/>
        </w:rPr>
      </w:pPr>
      <w:bookmarkStart w:id="35" w:name="_Toc102983083"/>
      <w:bookmarkStart w:id="36" w:name="_Toc112685115"/>
      <w:bookmarkStart w:id="37" w:name="_Toc23190"/>
      <w:r>
        <w:rPr>
          <w:rFonts w:hint="eastAsia" w:ascii="宋体" w:hAnsi="宋体" w:cs="宋体"/>
        </w:rPr>
        <w:t>联系人：张老师</w:t>
      </w:r>
      <w:bookmarkEnd w:id="35"/>
      <w:bookmarkEnd w:id="36"/>
      <w:bookmarkEnd w:id="37"/>
    </w:p>
    <w:p>
      <w:pPr>
        <w:spacing w:line="360" w:lineRule="auto"/>
        <w:ind w:firstLine="480" w:firstLineChars="200"/>
        <w:rPr>
          <w:rFonts w:ascii="宋体" w:hAnsi="宋体" w:cs="宋体"/>
        </w:rPr>
      </w:pPr>
      <w:bookmarkStart w:id="38" w:name="_Toc29857"/>
      <w:bookmarkStart w:id="39" w:name="_Toc112685116"/>
      <w:bookmarkStart w:id="40" w:name="_Toc102983084"/>
      <w:r>
        <w:rPr>
          <w:rFonts w:hint="eastAsia" w:ascii="宋体" w:hAnsi="宋体" w:cs="宋体"/>
        </w:rPr>
        <w:t>联系电话：010-87182686</w:t>
      </w:r>
      <w:bookmarkEnd w:id="38"/>
      <w:bookmarkEnd w:id="39"/>
      <w:bookmarkEnd w:id="40"/>
    </w:p>
    <w:p>
      <w:pPr>
        <w:pStyle w:val="48"/>
        <w:rPr>
          <w:rFonts w:ascii="宋体" w:hAnsi="宋体" w:cs="宋体"/>
          <w:sz w:val="24"/>
        </w:rPr>
      </w:pPr>
      <w:bookmarkStart w:id="41" w:name="_Toc112685117"/>
      <w:bookmarkStart w:id="42" w:name="_Toc9260"/>
      <w:r>
        <w:rPr>
          <w:rFonts w:hint="eastAsia" w:ascii="宋体" w:hAnsi="宋体" w:cs="宋体"/>
          <w:color w:val="auto"/>
          <w:sz w:val="24"/>
        </w:rPr>
        <w:t>五</w:t>
      </w:r>
      <w:r>
        <w:rPr>
          <w:rFonts w:hint="eastAsia" w:ascii="宋体" w:hAnsi="宋体" w:cs="宋体"/>
          <w:sz w:val="24"/>
        </w:rPr>
        <w:t>、报价文件的递交</w:t>
      </w:r>
      <w:bookmarkEnd w:id="41"/>
      <w:bookmarkEnd w:id="42"/>
    </w:p>
    <w:p>
      <w:pPr>
        <w:tabs>
          <w:tab w:val="left" w:pos="1155"/>
        </w:tabs>
        <w:spacing w:line="360" w:lineRule="auto"/>
        <w:ind w:firstLine="480" w:firstLineChars="200"/>
        <w:jc w:val="left"/>
        <w:rPr>
          <w:rFonts w:ascii="宋体" w:hAnsi="宋体" w:cs="宋体"/>
        </w:rPr>
      </w:pPr>
      <w:r>
        <w:rPr>
          <w:rFonts w:hint="eastAsia" w:ascii="宋体" w:hAnsi="宋体" w:cs="宋体"/>
        </w:rPr>
        <w:t xml:space="preserve">1、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tabs>
          <w:tab w:val="left" w:pos="1155"/>
        </w:tabs>
        <w:spacing w:line="360" w:lineRule="auto"/>
        <w:ind w:firstLine="480" w:firstLineChars="200"/>
        <w:jc w:val="left"/>
        <w:rPr>
          <w:rFonts w:ascii="宋体" w:hAnsi="宋体" w:cs="宋体"/>
        </w:rPr>
      </w:pPr>
      <w:r>
        <w:rPr>
          <w:rFonts w:hint="eastAsia" w:ascii="宋体" w:hAnsi="宋体" w:cs="宋体"/>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tabs>
          <w:tab w:val="left" w:pos="1155"/>
        </w:tabs>
        <w:spacing w:line="360" w:lineRule="auto"/>
        <w:ind w:firstLine="480" w:firstLineChars="200"/>
        <w:jc w:val="left"/>
        <w:rPr>
          <w:rFonts w:ascii="宋体" w:hAnsi="宋体" w:cs="宋体"/>
        </w:rPr>
      </w:pPr>
      <w:r>
        <w:rPr>
          <w:rFonts w:hint="eastAsia" w:ascii="宋体" w:hAnsi="宋体" w:cs="宋体"/>
        </w:rPr>
        <w:t>未进行网上注册并办理数字证书（CA认证）的供应商还可登录政采云平台，通过CA管理，申领CA，包括Ukey介质与云CA证书（二选一）。</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tabs>
          <w:tab w:val="left" w:pos="1155"/>
        </w:tabs>
        <w:spacing w:line="360" w:lineRule="auto"/>
        <w:ind w:firstLine="480" w:firstLineChars="200"/>
        <w:jc w:val="left"/>
        <w:rPr>
          <w:rFonts w:ascii="宋体" w:hAnsi="宋体" w:cs="宋体"/>
        </w:rPr>
      </w:pPr>
      <w:r>
        <w:rPr>
          <w:rFonts w:hint="eastAsia" w:ascii="宋体" w:hAnsi="宋体" w:cs="宋体"/>
        </w:rPr>
        <w:t>4、CA证书在线解密：</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首次响应文件开启时，须要供应商携带制作响应文件时用来加密的有效数字证书（CA认证）登录“政采云”平台电子开标大厅现场按规定时间对加密的响应文件进行解密，否则后果自负。 </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5、供应商需要在具备有摄像头及语音功能且互联网网络状况良好的电脑登录“政采云”平台远程开标大厅参与本次谈判，否则后果自负。 </w:t>
      </w:r>
    </w:p>
    <w:p>
      <w:pPr>
        <w:pStyle w:val="48"/>
        <w:rPr>
          <w:rFonts w:ascii="宋体" w:hAnsi="宋体" w:cs="宋体"/>
          <w:sz w:val="24"/>
        </w:rPr>
      </w:pPr>
      <w:bookmarkStart w:id="43" w:name="_Toc112685118"/>
      <w:bookmarkStart w:id="44" w:name="_Toc1528"/>
      <w:r>
        <w:rPr>
          <w:rFonts w:hint="eastAsia" w:ascii="宋体" w:hAnsi="宋体" w:cs="宋体"/>
          <w:sz w:val="24"/>
        </w:rPr>
        <w:t>六、谈判时间、地点</w:t>
      </w:r>
      <w:bookmarkEnd w:id="43"/>
      <w:bookmarkEnd w:id="44"/>
    </w:p>
    <w:p>
      <w:pPr>
        <w:tabs>
          <w:tab w:val="left" w:pos="1155"/>
        </w:tabs>
        <w:spacing w:line="360" w:lineRule="auto"/>
        <w:ind w:firstLine="480" w:firstLineChars="200"/>
        <w:jc w:val="left"/>
        <w:rPr>
          <w:rFonts w:ascii="宋体" w:hAnsi="宋体" w:cs="宋体"/>
        </w:rPr>
      </w:pPr>
      <w:r>
        <w:rPr>
          <w:rFonts w:hint="eastAsia" w:ascii="宋体" w:hAnsi="宋体" w:cs="宋体"/>
        </w:rPr>
        <w:t>1、响应文件递交截止及谈判开始时间：2024年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7</w:t>
      </w:r>
      <w:r>
        <w:rPr>
          <w:rFonts w:hint="eastAsia" w:ascii="宋体" w:hAnsi="宋体" w:cs="宋体"/>
        </w:rPr>
        <w:t>日9：30，逾期系统中将无法递交采购文件，且响应文件不符合采购规定，则被拒绝。</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2、谈判地点：政府采购云平台（http：//www.zcygov.cn）开标大厅供应商需要在具备有摄像头及语音功能且互联网网络状况良好的电脑登录“政采云”平台远程开标大厅参与本次谈判，否则后果自负。 </w:t>
      </w:r>
    </w:p>
    <w:p>
      <w:pPr>
        <w:spacing w:before="156" w:beforeLines="50" w:line="360" w:lineRule="auto"/>
        <w:rPr>
          <w:rFonts w:ascii="宋体" w:hAnsi="宋体" w:cs="宋体"/>
          <w:b/>
          <w:color w:val="000000"/>
        </w:rPr>
      </w:pPr>
      <w:r>
        <w:rPr>
          <w:rFonts w:hint="eastAsia" w:ascii="宋体" w:hAnsi="宋体" w:cs="宋体"/>
          <w:b/>
          <w:color w:val="000000"/>
        </w:rPr>
        <w:t>七、评审原则</w:t>
      </w:r>
    </w:p>
    <w:p>
      <w:pPr>
        <w:pStyle w:val="13"/>
        <w:spacing w:line="360" w:lineRule="auto"/>
        <w:ind w:firstLine="480" w:firstLineChars="200"/>
        <w:rPr>
          <w:rFonts w:hAnsi="宋体" w:cs="宋体"/>
        </w:rPr>
      </w:pPr>
      <w:r>
        <w:rPr>
          <w:rFonts w:hint="eastAsia" w:hAnsi="宋体" w:cs="宋体"/>
        </w:rPr>
        <w:t>根据符合采购需求、质量和服务相等且报价最低的原则确定成交供应商。</w:t>
      </w:r>
    </w:p>
    <w:p>
      <w:pPr>
        <w:pStyle w:val="13"/>
        <w:spacing w:line="360" w:lineRule="auto"/>
        <w:ind w:firstLine="480" w:firstLineChars="200"/>
        <w:rPr>
          <w:rFonts w:hAnsi="宋体" w:cs="宋体"/>
        </w:rPr>
      </w:pPr>
      <w:r>
        <w:rPr>
          <w:rFonts w:hint="eastAsia" w:hAnsi="宋体" w:cs="宋体"/>
        </w:rPr>
        <w:t>谈判小组审查供应商的响应文件后，可要求供应商解释或者澄清其响应文件，并在规定时间内作出二次报价。供应商的澄清、说明或者更正以及二次报价应当由法定代表人或其授权代表签字或者加盖公章。</w:t>
      </w:r>
    </w:p>
    <w:p>
      <w:pPr>
        <w:spacing w:line="360" w:lineRule="auto"/>
        <w:rPr>
          <w:rFonts w:ascii="宋体" w:hAnsi="宋体" w:cs="宋体"/>
          <w:b/>
          <w:bCs/>
        </w:rPr>
      </w:pPr>
      <w:r>
        <w:rPr>
          <w:rFonts w:hint="eastAsia" w:ascii="宋体" w:hAnsi="宋体" w:cs="宋体"/>
          <w:b/>
          <w:bCs/>
        </w:rPr>
        <w:t>八、关于信用信息查询和使用</w:t>
      </w:r>
    </w:p>
    <w:p>
      <w:pPr>
        <w:spacing w:line="360" w:lineRule="auto"/>
        <w:ind w:firstLine="480" w:firstLineChars="200"/>
        <w:rPr>
          <w:rFonts w:ascii="宋体" w:hAnsi="宋体" w:cs="宋体"/>
        </w:rPr>
      </w:pPr>
      <w:r>
        <w:rPr>
          <w:rFonts w:hint="eastAsia" w:ascii="宋体" w:hAnsi="宋体" w:cs="宋体"/>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spacing w:line="360" w:lineRule="auto"/>
        <w:rPr>
          <w:rFonts w:ascii="宋体" w:hAnsi="宋体" w:cs="宋体"/>
          <w:b/>
          <w:bCs/>
        </w:rPr>
      </w:pPr>
      <w:r>
        <w:rPr>
          <w:rFonts w:hint="eastAsia" w:ascii="宋体" w:hAnsi="宋体" w:cs="宋体"/>
          <w:b/>
          <w:bCs/>
        </w:rPr>
        <w:t>九、中小微型企业规定</w:t>
      </w:r>
    </w:p>
    <w:p>
      <w:pPr>
        <w:spacing w:line="360" w:lineRule="auto"/>
        <w:ind w:firstLine="480" w:firstLineChars="200"/>
        <w:jc w:val="left"/>
        <w:rPr>
          <w:rFonts w:ascii="宋体" w:hAnsi="宋体" w:cs="宋体"/>
          <w:bCs/>
        </w:rPr>
      </w:pPr>
      <w:r>
        <w:rPr>
          <w:rFonts w:hint="eastAsia" w:ascii="宋体" w:hAnsi="宋体" w:cs="宋体"/>
          <w:bCs/>
        </w:rPr>
        <w:t>1根据工信部等部委发布的《关于印发中小企业划型标准规定的通知》（工信部联企业〔2011〕300号），符合相关条件的为中、小、微型企业。本项目采购标的属于</w:t>
      </w:r>
      <w:r>
        <w:rPr>
          <w:rFonts w:hint="eastAsia" w:ascii="宋体" w:hAnsi="宋体" w:cs="宋体"/>
          <w:bCs/>
          <w:u w:val="single"/>
        </w:rPr>
        <w:t>工业</w:t>
      </w:r>
      <w:r>
        <w:rPr>
          <w:rFonts w:hint="eastAsia" w:ascii="宋体" w:hAnsi="宋体" w:cs="宋体"/>
          <w:bCs/>
        </w:rPr>
        <w:t>。符合条件的企业应根据采购文件</w:t>
      </w:r>
      <w:r>
        <w:rPr>
          <w:rFonts w:hint="eastAsia" w:ascii="宋体" w:hAnsi="宋体" w:cs="宋体"/>
          <w:bCs/>
          <w:color w:val="000000"/>
        </w:rPr>
        <w:t>附件的格式要求提供《中小企业声明函》，没有按要求提供上述材料的不被</w:t>
      </w:r>
      <w:r>
        <w:rPr>
          <w:rFonts w:hint="eastAsia" w:ascii="宋体" w:hAnsi="宋体" w:cs="宋体"/>
          <w:bCs/>
        </w:rPr>
        <w:t>认定为小微型企业。</w:t>
      </w:r>
    </w:p>
    <w:p>
      <w:pPr>
        <w:spacing w:line="360" w:lineRule="auto"/>
        <w:ind w:firstLine="480" w:firstLineChars="200"/>
        <w:jc w:val="left"/>
        <w:rPr>
          <w:rFonts w:ascii="宋体" w:hAnsi="宋体" w:cs="宋体"/>
          <w:bCs/>
        </w:rPr>
      </w:pPr>
      <w:r>
        <w:rPr>
          <w:rFonts w:hint="eastAsia" w:ascii="宋体" w:hAnsi="宋体" w:cs="宋体"/>
          <w:bCs/>
        </w:rPr>
        <w:t>2 根据财政部发布的《政府采购促进中小企业发展管理办法》财库〔2020〕46号规定，对于非专门面向此类企业的项目，对小型和微型企业产品的价格给予</w:t>
      </w:r>
      <w:r>
        <w:rPr>
          <w:rFonts w:hint="eastAsia" w:ascii="宋体" w:hAnsi="宋体" w:cs="宋体"/>
          <w:bCs/>
          <w:u w:val="single"/>
        </w:rPr>
        <w:t>20%</w:t>
      </w:r>
      <w:r>
        <w:rPr>
          <w:rFonts w:hint="eastAsia" w:ascii="宋体" w:hAnsi="宋体" w:cs="宋体"/>
          <w:bCs/>
        </w:rPr>
        <w:t>的扣除，用扣除后的价格参与评审。</w:t>
      </w:r>
    </w:p>
    <w:p>
      <w:pPr>
        <w:spacing w:line="360" w:lineRule="auto"/>
        <w:ind w:firstLine="480" w:firstLineChars="200"/>
        <w:jc w:val="left"/>
        <w:rPr>
          <w:rFonts w:ascii="宋体" w:hAnsi="宋体" w:cs="宋体"/>
          <w:bCs/>
        </w:rPr>
      </w:pPr>
      <w:r>
        <w:rPr>
          <w:rFonts w:hint="eastAsia" w:ascii="宋体" w:hAnsi="宋体" w:cs="宋体"/>
          <w:bCs/>
        </w:rPr>
        <w:t>3 根据财库〔2014〕68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rPr>
          <w:rFonts w:ascii="宋体" w:hAnsi="宋体" w:cs="宋体"/>
          <w:b/>
          <w:bCs/>
        </w:rPr>
      </w:pPr>
      <w:r>
        <w:rPr>
          <w:rFonts w:hint="eastAsia" w:ascii="宋体" w:hAnsi="宋体" w:cs="宋体"/>
          <w:b/>
          <w:bCs/>
        </w:rPr>
        <w:t>十、节能环保要求</w:t>
      </w:r>
    </w:p>
    <w:p>
      <w:pPr>
        <w:spacing w:line="360" w:lineRule="auto"/>
        <w:ind w:firstLine="495"/>
        <w:rPr>
          <w:rFonts w:ascii="宋体" w:hAnsi="宋体" w:cs="宋体"/>
          <w:bCs/>
        </w:rPr>
      </w:pPr>
      <w:r>
        <w:rPr>
          <w:rFonts w:hint="eastAsia" w:ascii="宋体" w:hAnsi="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cs="宋体"/>
          <w:b/>
          <w:bCs/>
        </w:rPr>
      </w:pPr>
      <w:r>
        <w:rPr>
          <w:rFonts w:hint="eastAsia" w:ascii="宋体" w:hAnsi="宋体" w:cs="宋体"/>
          <w:b/>
          <w:bCs/>
        </w:rPr>
        <w:t>十一、残疾人福利性单位规定</w:t>
      </w:r>
    </w:p>
    <w:p>
      <w:pPr>
        <w:spacing w:line="360" w:lineRule="auto"/>
        <w:ind w:firstLine="480" w:firstLineChars="200"/>
        <w:rPr>
          <w:rFonts w:ascii="宋体" w:hAnsi="宋体" w:cs="宋体"/>
          <w:bCs/>
        </w:rPr>
      </w:pPr>
      <w:r>
        <w:rPr>
          <w:rFonts w:hint="eastAsia" w:ascii="宋体" w:hAnsi="宋体" w:cs="宋体"/>
          <w:bCs/>
        </w:rPr>
        <w:t>1 根据《财政部 民政部 中国残疾人联合会关于促进残疾人就业政府采购政策的通知》（财库〔2017〕141号），符合相关条件的享受政府采购支持政策的残疾人福利性单位应根据招标文件附件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宋体" w:hAnsi="宋体" w:cs="宋体"/>
          <w:bCs/>
        </w:rPr>
      </w:pPr>
      <w:r>
        <w:rPr>
          <w:rFonts w:hint="eastAsia" w:ascii="宋体" w:hAnsi="宋体" w:cs="宋体"/>
          <w:bCs/>
        </w:rPr>
        <w:t>2 根据《财政部 民政部 中国残疾人联合会关于促进残疾人就业政府采购政策的通知》（财库〔2017〕141号），对于非专门面向此类企业的项目，对残疾人福利性单位产品的价格给予</w:t>
      </w:r>
      <w:r>
        <w:rPr>
          <w:rFonts w:hint="eastAsia" w:ascii="宋体" w:hAnsi="宋体" w:cs="宋体"/>
          <w:bCs/>
          <w:u w:val="single"/>
        </w:rPr>
        <w:t>20%</w:t>
      </w:r>
      <w:r>
        <w:rPr>
          <w:rFonts w:hint="eastAsia" w:ascii="宋体" w:hAnsi="宋体" w:cs="宋体"/>
          <w:bCs/>
        </w:rPr>
        <w:t>的扣除，用扣除后的价格参与评审。残疾人福利性单位属于小型、微型企业的，不重复享受政策。</w:t>
      </w:r>
    </w:p>
    <w:p>
      <w:pPr>
        <w:spacing w:line="360" w:lineRule="auto"/>
        <w:rPr>
          <w:rFonts w:ascii="宋体" w:hAnsi="宋体" w:cs="宋体"/>
          <w:b/>
          <w:bCs/>
        </w:rPr>
      </w:pPr>
      <w:r>
        <w:rPr>
          <w:rFonts w:hint="eastAsia" w:ascii="宋体" w:hAnsi="宋体" w:cs="宋体"/>
          <w:b/>
          <w:bCs/>
        </w:rPr>
        <w:t>十二、质疑和投诉</w:t>
      </w:r>
    </w:p>
    <w:p>
      <w:pPr>
        <w:spacing w:line="360" w:lineRule="auto"/>
        <w:ind w:firstLine="480" w:firstLineChars="200"/>
        <w:rPr>
          <w:rFonts w:ascii="宋体" w:hAnsi="宋体" w:cs="宋体"/>
          <w:bCs/>
        </w:rPr>
      </w:pPr>
      <w:r>
        <w:rPr>
          <w:rFonts w:hint="eastAsia" w:ascii="宋体" w:hAnsi="宋体" w:cs="宋体"/>
          <w:bCs/>
        </w:rPr>
        <w:t>1、报价人对采购事项有疑问的，可以向采购单位提出询问。采购单位将依法做出答复，但答复的内容不涉及商业秘密。</w:t>
      </w:r>
    </w:p>
    <w:p>
      <w:pPr>
        <w:spacing w:line="360" w:lineRule="auto"/>
        <w:ind w:firstLine="480" w:firstLineChars="200"/>
        <w:rPr>
          <w:rFonts w:ascii="宋体" w:hAnsi="宋体" w:cs="宋体"/>
          <w:bCs/>
        </w:rPr>
      </w:pPr>
      <w:r>
        <w:rPr>
          <w:rFonts w:hint="eastAsia" w:ascii="宋体" w:hAnsi="宋体" w:cs="宋体"/>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ind w:firstLine="480" w:firstLineChars="200"/>
        <w:rPr>
          <w:rFonts w:ascii="宋体" w:hAnsi="宋体" w:cs="宋体"/>
          <w:bCs/>
        </w:rPr>
      </w:pPr>
      <w:r>
        <w:rPr>
          <w:rFonts w:hint="eastAsia" w:ascii="宋体" w:hAnsi="宋体" w:cs="宋体"/>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ind w:firstLine="480" w:firstLineChars="200"/>
        <w:rPr>
          <w:rFonts w:ascii="宋体" w:hAnsi="宋体" w:cs="宋体"/>
          <w:bCs/>
        </w:rPr>
      </w:pPr>
      <w:r>
        <w:rPr>
          <w:rFonts w:hint="eastAsia" w:ascii="宋体" w:hAnsi="宋体" w:cs="宋体"/>
          <w:bCs/>
        </w:rPr>
        <w:t>4、采购单位将在收到书面质疑后7个工作日内审查质疑事项，做出答复或相关处理决定，并以书面形式通知质疑报价人和其他有关报价人，但答复的内容不涉及商业秘密。</w:t>
      </w:r>
    </w:p>
    <w:p>
      <w:pPr>
        <w:spacing w:line="360" w:lineRule="auto"/>
        <w:ind w:firstLine="480" w:firstLineChars="200"/>
        <w:rPr>
          <w:rFonts w:ascii="宋体" w:hAnsi="宋体" w:cs="宋体"/>
          <w:bCs/>
        </w:rPr>
      </w:pPr>
      <w:r>
        <w:rPr>
          <w:rFonts w:hint="eastAsia" w:ascii="宋体" w:hAnsi="宋体" w:cs="宋体"/>
          <w:bCs/>
        </w:rPr>
        <w:t>5、质疑报价人对采购单位的答复不满意以及采购单位未在规定的时间内做出答复的，可以在答复期满后15个工作日内向财政部投诉。</w:t>
      </w:r>
    </w:p>
    <w:p>
      <w:pPr>
        <w:rPr>
          <w:rFonts w:ascii="宋体" w:hAnsi="宋体" w:cs="仿宋"/>
          <w:bCs/>
        </w:rPr>
      </w:pPr>
      <w:r>
        <w:rPr>
          <w:rFonts w:hint="eastAsia" w:ascii="宋体" w:hAnsi="宋体" w:cs="仿宋"/>
          <w:bCs/>
        </w:rPr>
        <w:br w:type="page"/>
      </w:r>
    </w:p>
    <w:p>
      <w:pPr>
        <w:spacing w:before="156" w:beforeLines="50" w:line="360" w:lineRule="auto"/>
        <w:rPr>
          <w:b/>
          <w:color w:val="000000"/>
        </w:rPr>
      </w:pPr>
      <w:r>
        <w:rPr>
          <w:rFonts w:hint="eastAsia"/>
          <w:b/>
          <w:color w:val="000000"/>
        </w:rPr>
        <w:t>十三、报价文件格式</w:t>
      </w:r>
    </w:p>
    <w:p>
      <w:pPr>
        <w:pStyle w:val="7"/>
        <w:numPr>
          <w:ilvl w:val="5"/>
          <w:numId w:val="8"/>
        </w:numPr>
        <w:adjustRightInd w:val="0"/>
        <w:spacing w:line="320" w:lineRule="atLeast"/>
        <w:jc w:val="left"/>
        <w:textAlignment w:val="baseline"/>
        <w:rPr>
          <w:rFonts w:ascii="Times New Roman" w:hAnsi="Times New Roman"/>
          <w:color w:val="000000"/>
        </w:rPr>
      </w:pPr>
      <w:bookmarkStart w:id="45" w:name="_Toc290041562"/>
      <w:bookmarkStart w:id="46" w:name="_Toc132786437"/>
      <w:r>
        <w:rPr>
          <w:rFonts w:ascii="Times New Roman" w:hAnsi="Times New Roman"/>
          <w:color w:val="000000"/>
        </w:rPr>
        <w:t>法定代表人证明书</w:t>
      </w:r>
      <w:bookmarkEnd w:id="45"/>
      <w:bookmarkEnd w:id="46"/>
    </w:p>
    <w:p>
      <w:pPr>
        <w:spacing w:line="500" w:lineRule="exact"/>
        <w:rPr>
          <w:color w:val="000000"/>
        </w:rPr>
      </w:pPr>
      <w:r>
        <w:rPr>
          <w:rFonts w:hint="eastAsia"/>
          <w:color w:val="000000"/>
        </w:rPr>
        <w:t>国家体育总局体育器材装备中心</w:t>
      </w:r>
      <w:r>
        <w:rPr>
          <w:color w:val="000000"/>
        </w:rPr>
        <w:t>：</w:t>
      </w:r>
    </w:p>
    <w:p>
      <w:pPr>
        <w:spacing w:line="500" w:lineRule="exact"/>
        <w:ind w:firstLine="2652" w:firstLineChars="1105"/>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60288;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pPr>
        <w:spacing w:line="500" w:lineRule="exact"/>
        <w:ind w:firstLine="720" w:firstLineChars="300"/>
        <w:rPr>
          <w:color w:val="000000"/>
        </w:rPr>
      </w:pPr>
    </w:p>
    <w:p>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pPr>
        <w:spacing w:line="500" w:lineRule="exact"/>
        <w:rPr>
          <w:color w:val="000000"/>
        </w:rPr>
      </w:pPr>
      <w:r>
        <w:rPr>
          <w:color w:val="000000"/>
        </w:rPr>
        <w:t>日期： 年  月  日</w:t>
      </w:r>
    </w:p>
    <w:p>
      <w:pPr>
        <w:pStyle w:val="7"/>
        <w:numPr>
          <w:ilvl w:val="5"/>
          <w:numId w:val="8"/>
        </w:numPr>
        <w:adjustRightInd w:val="0"/>
        <w:spacing w:line="320" w:lineRule="atLeast"/>
        <w:jc w:val="center"/>
        <w:textAlignment w:val="baseline"/>
        <w:rPr>
          <w:rFonts w:ascii="Times New Roman" w:hAnsi="Times New Roman"/>
          <w:color w:val="000000"/>
        </w:rPr>
      </w:pPr>
      <w:bookmarkStart w:id="47" w:name="_Toc290041563"/>
      <w:bookmarkStart w:id="48" w:name="_Toc132786438"/>
      <w:r>
        <w:rPr>
          <w:rFonts w:ascii="Times New Roman" w:hAnsi="Times New Roman"/>
          <w:color w:val="000000"/>
        </w:rPr>
        <w:t>法定代表人的授权委托书</w:t>
      </w:r>
      <w:bookmarkEnd w:id="47"/>
      <w:bookmarkEnd w:id="48"/>
      <w:bookmarkStart w:id="49" w:name="_Toc290041564"/>
      <w:r>
        <w:rPr>
          <w:rFonts w:ascii="Times New Roman" w:hAnsi="Times New Roman"/>
          <w:color w:val="000000"/>
        </w:rPr>
        <w:t>（如非法人代表亲自参与谈判时提供，加盖</w:t>
      </w:r>
      <w:r>
        <w:rPr>
          <w:rFonts w:hint="eastAsia" w:ascii="Times New Roman" w:hAnsi="Times New Roman"/>
          <w:color w:val="000000"/>
        </w:rPr>
        <w:t>报价人</w:t>
      </w:r>
      <w:r>
        <w:rPr>
          <w:rFonts w:ascii="Times New Roman" w:hAnsi="Times New Roman"/>
          <w:color w:val="000000"/>
        </w:rPr>
        <w:t>公章）</w:t>
      </w:r>
      <w:bookmarkEnd w:id="49"/>
    </w:p>
    <w:p>
      <w:pPr>
        <w:spacing w:line="500" w:lineRule="exact"/>
        <w:rPr>
          <w:color w:val="000000"/>
        </w:rPr>
      </w:pPr>
      <w:r>
        <w:rPr>
          <w:rFonts w:hint="eastAsia"/>
          <w:color w:val="000000"/>
        </w:rPr>
        <w:t>国家体育总局体育器材装备中心</w:t>
      </w:r>
      <w:r>
        <w:rPr>
          <w:color w:val="000000"/>
        </w:rPr>
        <w:t>：</w:t>
      </w:r>
    </w:p>
    <w:p>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u w:val="single"/>
        </w:rPr>
        <w:t xml:space="preserve">包号      </w:t>
      </w:r>
      <w:r>
        <w:rPr>
          <w:color w:val="000000"/>
        </w:rPr>
        <w:t>，以本公司名义参加竞争性谈判。谈判代表在报价、谈判过程中签署的一切文件及成交后签定的采购合同，以及处理与之有关的一切事务，我公司均予以承认。授权代表无转委托权。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pPr>
        <w:spacing w:line="500" w:lineRule="exact"/>
        <w:rPr>
          <w:color w:val="000000"/>
        </w:rPr>
      </w:pPr>
    </w:p>
    <w:p>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pPr>
        <w:spacing w:line="500" w:lineRule="exact"/>
        <w:rPr>
          <w:color w:val="000000"/>
          <w:u w:val="single"/>
        </w:rPr>
      </w:pPr>
      <w:r>
        <w:rPr>
          <w:color w:val="000000"/>
        </w:rPr>
        <w:t>报价人全称（公章）：</w:t>
      </w:r>
      <w:r>
        <w:rPr>
          <w:color w:val="000000"/>
          <w:kern w:val="0"/>
          <w:u w:val="single"/>
        </w:rPr>
        <w:t xml:space="preserve">                                </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pPr>
        <w:widowControl/>
        <w:spacing w:line="360" w:lineRule="auto"/>
        <w:jc w:val="left"/>
        <w:rPr>
          <w:color w:val="000000"/>
          <w:kern w:val="0"/>
          <w:u w:val="single"/>
        </w:rPr>
      </w:pPr>
      <w:r>
        <w:rPr>
          <w:color w:val="000000"/>
          <w:kern w:val="0"/>
        </w:rPr>
        <w:t>项目名称：</w:t>
      </w:r>
      <w:r>
        <w:rPr>
          <w:color w:val="000000"/>
          <w:kern w:val="0"/>
          <w:u w:val="single"/>
        </w:rPr>
        <w:t xml:space="preserve">                       </w:t>
      </w:r>
    </w:p>
    <w:p>
      <w:pPr>
        <w:widowControl/>
        <w:spacing w:line="360" w:lineRule="auto"/>
        <w:jc w:val="left"/>
        <w:rPr>
          <w:color w:val="000000"/>
          <w:kern w:val="0"/>
        </w:rPr>
      </w:pPr>
      <w:r>
        <w:rPr>
          <w:color w:val="000000"/>
          <w:kern w:val="0"/>
        </w:rPr>
        <w:t>项目编号：</w:t>
      </w:r>
      <w:r>
        <w:rPr>
          <w:color w:val="000000"/>
          <w:kern w:val="0"/>
          <w:u w:val="single"/>
        </w:rPr>
        <w:t xml:space="preserve">                       </w:t>
      </w:r>
    </w:p>
    <w:p>
      <w:pPr>
        <w:widowControl/>
        <w:spacing w:line="360" w:lineRule="auto"/>
        <w:jc w:val="left"/>
        <w:rPr>
          <w:color w:val="000000"/>
          <w:kern w:val="0"/>
        </w:rPr>
      </w:pPr>
      <w:r>
        <w:rPr>
          <w:color w:val="000000"/>
          <w:kern w:val="0"/>
        </w:rPr>
        <w:t>报价包号：</w:t>
      </w:r>
      <w:r>
        <w:rPr>
          <w:color w:val="000000"/>
          <w:kern w:val="0"/>
          <w:u w:val="single"/>
        </w:rPr>
        <w:t xml:space="preserve">                       </w:t>
      </w:r>
    </w:p>
    <w:p>
      <w:pPr>
        <w:widowControl/>
        <w:spacing w:line="360" w:lineRule="auto"/>
        <w:jc w:val="right"/>
        <w:rPr>
          <w:color w:val="000000"/>
          <w:kern w:val="0"/>
        </w:rPr>
      </w:pPr>
      <w:r>
        <w:rPr>
          <w:color w:val="000000"/>
          <w:kern w:val="0"/>
        </w:rPr>
        <w:t>价格单位：人民币元</w:t>
      </w:r>
    </w:p>
    <w:tbl>
      <w:tblPr>
        <w:tblStyle w:val="22"/>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tblPrEx>
          <w:tblCellMar>
            <w:top w:w="0" w:type="dxa"/>
            <w:left w:w="30" w:type="dxa"/>
            <w:bottom w:w="0" w:type="dxa"/>
            <w:right w:w="30" w:type="dxa"/>
          </w:tblCellMar>
        </w:tblPrEx>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备注</w:t>
            </w: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bl>
    <w:p>
      <w:pPr>
        <w:widowControl/>
        <w:spacing w:line="276" w:lineRule="atLeast"/>
        <w:jc w:val="left"/>
        <w:rPr>
          <w:color w:val="000000"/>
          <w:kern w:val="0"/>
        </w:rPr>
      </w:pPr>
      <w:r>
        <w:rPr>
          <w:color w:val="000000"/>
          <w:kern w:val="0"/>
        </w:rPr>
        <w:t>总计金额：</w:t>
      </w:r>
      <w:r>
        <w:rPr>
          <w:color w:val="000000"/>
          <w:kern w:val="0"/>
          <w:u w:val="single"/>
        </w:rPr>
        <w:t xml:space="preserve">                         </w:t>
      </w:r>
    </w:p>
    <w:p>
      <w:pPr>
        <w:widowControl/>
        <w:spacing w:line="276" w:lineRule="atLeast"/>
        <w:jc w:val="left"/>
        <w:rPr>
          <w:color w:val="000000"/>
          <w:kern w:val="0"/>
        </w:rPr>
      </w:pPr>
      <w:r>
        <w:rPr>
          <w:color w:val="000000"/>
          <w:kern w:val="0"/>
        </w:rPr>
        <w:t>交货时间、地点：</w:t>
      </w:r>
      <w:r>
        <w:rPr>
          <w:color w:val="000000"/>
          <w:kern w:val="0"/>
          <w:u w:val="single"/>
        </w:rPr>
        <w:t xml:space="preserve">                   </w:t>
      </w:r>
    </w:p>
    <w:p>
      <w:pPr>
        <w:widowControl/>
        <w:spacing w:line="276" w:lineRule="atLeast"/>
        <w:jc w:val="left"/>
        <w:rPr>
          <w:color w:val="000000"/>
          <w:kern w:val="0"/>
        </w:rPr>
      </w:pPr>
      <w:r>
        <w:rPr>
          <w:color w:val="000000"/>
          <w:kern w:val="0"/>
        </w:rPr>
        <w:t>报价有效期：</w:t>
      </w:r>
      <w:r>
        <w:rPr>
          <w:color w:val="000000"/>
          <w:kern w:val="0"/>
          <w:u w:val="single"/>
        </w:rPr>
        <w:t xml:space="preserve">                        </w:t>
      </w:r>
    </w:p>
    <w:p>
      <w:pPr>
        <w:widowControl/>
        <w:spacing w:line="276" w:lineRule="atLeast"/>
        <w:jc w:val="left"/>
        <w:rPr>
          <w:color w:val="000000"/>
          <w:kern w:val="0"/>
        </w:rPr>
      </w:pPr>
      <w:r>
        <w:rPr>
          <w:color w:val="000000"/>
          <w:kern w:val="0"/>
        </w:rPr>
        <w:t> </w:t>
      </w:r>
    </w:p>
    <w:p>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pPr>
        <w:widowControl/>
        <w:spacing w:line="360" w:lineRule="auto"/>
        <w:jc w:val="left"/>
        <w:rPr>
          <w:color w:val="000000"/>
          <w:kern w:val="0"/>
        </w:rPr>
      </w:pPr>
      <w:r>
        <w:rPr>
          <w:color w:val="000000"/>
          <w:kern w:val="0"/>
        </w:rPr>
        <w:t>（由报价人自行填写）</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pPr>
        <w:widowControl/>
        <w:spacing w:line="360" w:lineRule="auto"/>
        <w:jc w:val="left"/>
      </w:pPr>
      <w:r>
        <w:rPr>
          <w:color w:val="000000"/>
          <w:kern w:val="0"/>
        </w:rPr>
        <w:t>（由报价人自行填写）</w:t>
      </w:r>
    </w:p>
    <w:p>
      <w:pPr>
        <w:pStyle w:val="7"/>
        <w:numPr>
          <w:ilvl w:val="5"/>
          <w:numId w:val="8"/>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pPr>
        <w:widowControl/>
        <w:spacing w:line="360" w:lineRule="auto"/>
        <w:jc w:val="left"/>
        <w:rPr>
          <w:color w:val="000000"/>
          <w:kern w:val="0"/>
        </w:rPr>
      </w:pPr>
      <w:r>
        <w:rPr>
          <w:color w:val="000000"/>
          <w:kern w:val="0"/>
        </w:rPr>
        <w:t>（由报价人自行填写）</w:t>
      </w:r>
    </w:p>
    <w:p>
      <w:pPr>
        <w:widowControl/>
        <w:numPr>
          <w:ilvl w:val="5"/>
          <w:numId w:val="8"/>
        </w:numPr>
        <w:spacing w:line="360" w:lineRule="auto"/>
        <w:jc w:val="left"/>
        <w:rPr>
          <w:b/>
          <w:color w:val="000000"/>
          <w:kern w:val="0"/>
        </w:rPr>
      </w:pPr>
      <w:r>
        <w:rPr>
          <w:rFonts w:hint="eastAsia"/>
          <w:b/>
          <w:color w:val="000000"/>
          <w:kern w:val="0"/>
        </w:rPr>
        <w:t xml:space="preserve">中小企业声明函（货物） </w:t>
      </w:r>
    </w:p>
    <w:p>
      <w:pPr>
        <w:widowControl/>
        <w:spacing w:line="360" w:lineRule="auto"/>
        <w:jc w:val="left"/>
        <w:rPr>
          <w:b/>
          <w:color w:val="000000"/>
          <w:kern w:val="0"/>
        </w:rPr>
      </w:pPr>
      <w:r>
        <w:rPr>
          <w:b/>
          <w:color w:val="000000"/>
          <w:kern w:val="0"/>
        </w:rPr>
        <w:drawing>
          <wp:inline distT="0" distB="0" distL="0" distR="0">
            <wp:extent cx="4962525" cy="642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62525" cy="6429375"/>
                    </a:xfrm>
                    <a:prstGeom prst="rect">
                      <a:avLst/>
                    </a:prstGeom>
                  </pic:spPr>
                </pic:pic>
              </a:graphicData>
            </a:graphic>
          </wp:inline>
        </w:drawing>
      </w:r>
    </w:p>
    <w:p>
      <w:pPr>
        <w:widowControl/>
        <w:spacing w:line="360" w:lineRule="auto"/>
        <w:jc w:val="left"/>
        <w:rPr>
          <w:b/>
          <w:color w:val="000000"/>
          <w:kern w:val="0"/>
        </w:rPr>
      </w:pPr>
      <w:r>
        <w:rPr>
          <w:rFonts w:hint="eastAsia"/>
          <w:color w:val="000000"/>
          <w:kern w:val="0"/>
        </w:rPr>
        <w:t>12、</w:t>
      </w:r>
      <w:r>
        <w:rPr>
          <w:rFonts w:hint="eastAsia"/>
          <w:b/>
          <w:color w:val="000000"/>
          <w:kern w:val="0"/>
        </w:rPr>
        <w:t>残疾人福利性单位声明函</w:t>
      </w:r>
    </w:p>
    <w:p>
      <w:pPr>
        <w:widowControl/>
        <w:spacing w:line="360" w:lineRule="auto"/>
        <w:ind w:firstLine="480" w:firstLineChars="200"/>
        <w:jc w:val="left"/>
        <w:rPr>
          <w:color w:val="000000"/>
          <w:kern w:val="0"/>
        </w:rPr>
      </w:pPr>
      <w:r>
        <w:rPr>
          <w:rFonts w:hint="eastAsia"/>
          <w:color w:val="00000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color w:val="000000"/>
          <w:kern w:val="0"/>
        </w:rPr>
      </w:pPr>
      <w:r>
        <w:rPr>
          <w:rFonts w:hint="eastAsia"/>
          <w:color w:val="000000"/>
          <w:kern w:val="0"/>
        </w:rPr>
        <w:t>本单位对上述声明的真实性负责。如有虚假，将依法承担相应责任。</w:t>
      </w:r>
    </w:p>
    <w:p>
      <w:pPr>
        <w:widowControl/>
        <w:spacing w:line="360" w:lineRule="auto"/>
        <w:jc w:val="left"/>
        <w:rPr>
          <w:color w:val="000000"/>
          <w:kern w:val="0"/>
        </w:rPr>
      </w:pPr>
      <w:r>
        <w:rPr>
          <w:rFonts w:hint="eastAsia"/>
          <w:color w:val="000000"/>
          <w:kern w:val="0"/>
        </w:rPr>
        <w:t xml:space="preserve">               单位名称（盖章）：</w:t>
      </w:r>
    </w:p>
    <w:p>
      <w:pPr>
        <w:widowControl/>
        <w:spacing w:line="360" w:lineRule="auto"/>
        <w:jc w:val="left"/>
        <w:rPr>
          <w:color w:val="000000"/>
          <w:kern w:val="0"/>
        </w:rPr>
      </w:pPr>
      <w:r>
        <w:rPr>
          <w:rFonts w:hint="eastAsia"/>
          <w:color w:val="000000"/>
          <w:kern w:val="0"/>
        </w:rPr>
        <w:t xml:space="preserve">               日  期：</w:t>
      </w:r>
    </w:p>
    <w:p>
      <w:pPr>
        <w:rPr>
          <w:color w:val="000000"/>
          <w:kern w:val="0"/>
        </w:rPr>
      </w:pPr>
      <w:r>
        <w:rPr>
          <w:color w:val="000000"/>
          <w:kern w:val="0"/>
        </w:rPr>
        <w:br w:type="page"/>
      </w:r>
    </w:p>
    <w:p>
      <w:pPr>
        <w:widowControl/>
        <w:spacing w:before="156" w:beforeLines="50" w:line="360" w:lineRule="auto"/>
        <w:jc w:val="left"/>
        <w:rPr>
          <w:color w:val="000000"/>
          <w:kern w:val="0"/>
        </w:rPr>
      </w:pPr>
      <w:r>
        <w:rPr>
          <w:b/>
          <w:color w:val="000000"/>
          <w:kern w:val="0"/>
        </w:rPr>
        <w:t>十四、合同（模板）</w:t>
      </w:r>
    </w:p>
    <w:p>
      <w:pPr>
        <w:jc w:val="right"/>
        <w:rPr>
          <w:b/>
          <w:bCs/>
          <w:color w:val="000000"/>
        </w:rPr>
      </w:pPr>
    </w:p>
    <w:bookmarkEnd w:id="0"/>
    <w:p>
      <w:pPr>
        <w:adjustRightInd w:val="0"/>
        <w:snapToGrid w:val="0"/>
        <w:spacing w:line="360" w:lineRule="auto"/>
        <w:rPr>
          <w:rFonts w:ascii="宋体" w:hAnsi="宋体"/>
          <w:b/>
          <w:bCs/>
          <w:color w:val="000000"/>
          <w:sz w:val="32"/>
          <w:szCs w:val="32"/>
        </w:rPr>
      </w:pPr>
    </w:p>
    <w:p>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ind w:firstLine="1427" w:firstLineChars="446"/>
        <w:rPr>
          <w:rFonts w:ascii="宋体" w:hAnsi="宋体"/>
          <w:color w:val="000000"/>
          <w:sz w:val="32"/>
          <w:szCs w:val="32"/>
        </w:rPr>
      </w:pPr>
      <w:r>
        <w:rPr>
          <w:rFonts w:hint="eastAsia" w:ascii="宋体" w:hAnsi="宋体"/>
          <w:color w:val="000000"/>
          <w:sz w:val="32"/>
          <w:szCs w:val="32"/>
        </w:rPr>
        <w:t>采购人（甲方）：</w:t>
      </w:r>
    </w:p>
    <w:p>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color w:val="000000"/>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334" w:rightChars="-139" w:firstLine="465"/>
        <w:rPr>
          <w:rFonts w:ascii="宋体" w:hAnsi="宋体"/>
          <w:color w:val="000000"/>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1312;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334"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334"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334"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334" w:rightChars="-139" w:firstLine="465"/>
        <w:rPr>
          <w:rFonts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甲方按以下第【2】种方式向乙方支付采购价款：</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（2）本合同签订之日起【15】日内，甲方支付项目产品总金额的【 80</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乙方完成产品交付或按双方约定签署结算证明后，甲方在1</w:t>
      </w:r>
      <w:r>
        <w:rPr>
          <w:rFonts w:ascii="宋体" w:hAnsi="宋体"/>
          <w:color w:val="000000"/>
        </w:rPr>
        <w:t>5</w:t>
      </w:r>
      <w:r>
        <w:rPr>
          <w:rFonts w:hint="eastAsia" w:ascii="宋体" w:hAnsi="宋体"/>
          <w:color w:val="000000"/>
        </w:rPr>
        <w:t>个工作日内，甲方向乙方支付产品总额剩余的【20】</w:t>
      </w:r>
      <w:r>
        <w:rPr>
          <w:rFonts w:ascii="宋体" w:hAnsi="宋体"/>
          <w:color w:val="000000"/>
        </w:rPr>
        <w:t>%</w:t>
      </w:r>
      <w:r>
        <w:rPr>
          <w:rFonts w:hint="eastAsia" w:ascii="宋体" w:hAnsi="宋体"/>
          <w:color w:val="000000"/>
        </w:rPr>
        <w:t>。</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8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ascii="宋体" w:hAnsi="宋体"/>
          <w:color w:val="000000"/>
        </w:rPr>
      </w:pPr>
      <w:r>
        <w:rPr>
          <w:rFonts w:hint="eastAsia" w:ascii="宋体" w:hAnsi="宋体"/>
          <w:color w:val="000000"/>
        </w:rPr>
        <w:t>银行账号：</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8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8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8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8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8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8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8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8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56" w:leftChars="65" w:firstLine="354"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乙方就提供产品提供为期【】个月的质量保证（满足按需供货时满足最新有效期要求），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pPr>
        <w:snapToGrid w:val="0"/>
        <w:spacing w:line="360" w:lineRule="auto"/>
        <w:ind w:left="38" w:firstLine="48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56" w:leftChars="65" w:firstLine="352"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56" w:leftChars="65" w:firstLine="352"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56" w:leftChars="65" w:firstLine="352" w:firstLineChars="147"/>
        <w:rPr>
          <w:rFonts w:ascii="宋体" w:hAnsi="宋体"/>
          <w:color w:val="000000"/>
        </w:rPr>
      </w:pPr>
      <w:r>
        <w:rPr>
          <w:rFonts w:hint="eastAsia" w:ascii="宋体" w:hAnsi="宋体"/>
          <w:color w:val="000000"/>
        </w:rPr>
        <w:t>3.保密期限为本合同签订之日起【5】年。</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8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pPr>
        <w:snapToGrid w:val="0"/>
        <w:spacing w:line="360" w:lineRule="auto"/>
        <w:ind w:left="38" w:firstLine="48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56" w:leftChars="65" w:firstLine="352"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38" w:firstLine="482" w:firstLineChars="200"/>
        <w:rPr>
          <w:rFonts w:ascii="宋体" w:hAnsi="宋体"/>
          <w:b/>
          <w:bCs/>
          <w:color w:val="000000"/>
        </w:rPr>
      </w:pPr>
      <w:r>
        <w:rPr>
          <w:rFonts w:ascii="宋体" w:hAnsi="宋体"/>
          <w:b/>
          <w:bCs/>
          <w:color w:val="000000"/>
        </w:rPr>
        <w:t>十、不可抗力</w:t>
      </w:r>
    </w:p>
    <w:p>
      <w:pPr>
        <w:snapToGrid w:val="0"/>
        <w:spacing w:line="360" w:lineRule="auto"/>
        <w:ind w:left="38" w:firstLine="48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8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80" w:firstLineChars="200"/>
        <w:rPr>
          <w:rFonts w:ascii="宋体" w:hAnsi="宋体"/>
          <w:color w:val="000000"/>
        </w:rPr>
      </w:pPr>
      <w:r>
        <w:rPr>
          <w:rFonts w:ascii="宋体" w:hAnsi="宋体"/>
          <w:color w:val="000000"/>
        </w:rPr>
        <w:t>（1）本合同正常履行完毕；</w:t>
      </w:r>
    </w:p>
    <w:p>
      <w:pPr>
        <w:snapToGrid w:val="0"/>
        <w:spacing w:line="360" w:lineRule="auto"/>
        <w:ind w:left="38" w:firstLine="48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8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8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8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一式肆</w:t>
      </w:r>
      <w:r>
        <w:rPr>
          <w:rFonts w:ascii="宋体" w:hAnsi="宋体"/>
          <w:color w:val="000000"/>
        </w:rPr>
        <w:t>份，甲乙双方各执</w:t>
      </w:r>
      <w:r>
        <w:rPr>
          <w:rFonts w:hint="eastAsia" w:ascii="宋体" w:hAnsi="宋体"/>
          <w:color w:val="000000"/>
        </w:rPr>
        <w:t>贰</w:t>
      </w:r>
      <w:r>
        <w:rPr>
          <w:rFonts w:ascii="宋体" w:hAnsi="宋体"/>
          <w:color w:val="000000"/>
        </w:rPr>
        <w:t>份，每份正本具有同等法律效力。</w:t>
      </w:r>
    </w:p>
    <w:p>
      <w:pPr>
        <w:snapToGrid w:val="0"/>
        <w:spacing w:line="360" w:lineRule="auto"/>
        <w:ind w:left="38" w:firstLine="48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 xml:space="preserve">甲方：北京兴奋剂检测实验室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pPr>
        <w:snapToGrid w:val="0"/>
        <w:spacing w:line="360" w:lineRule="auto"/>
        <w:ind w:left="4800" w:hanging="48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olor w:val="000000"/>
        </w:rPr>
        <w:t>日期：                           日期：</w:t>
      </w:r>
    </w:p>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序号</w:t>
            </w:r>
          </w:p>
        </w:tc>
        <w:tc>
          <w:tcPr>
            <w:tcW w:w="1125"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品名</w:t>
            </w:r>
          </w:p>
        </w:tc>
        <w:tc>
          <w:tcPr>
            <w:tcW w:w="676"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品牌及型号货号</w:t>
            </w:r>
          </w:p>
        </w:tc>
        <w:tc>
          <w:tcPr>
            <w:tcW w:w="408"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规格描述</w:t>
            </w:r>
          </w:p>
        </w:tc>
        <w:tc>
          <w:tcPr>
            <w:tcW w:w="711"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数量</w:t>
            </w:r>
          </w:p>
        </w:tc>
        <w:tc>
          <w:tcPr>
            <w:tcW w:w="997"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单价（元）</w:t>
            </w:r>
          </w:p>
        </w:tc>
        <w:tc>
          <w:tcPr>
            <w:tcW w:w="768"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bl>
    <w:p>
      <w:pPr>
        <w:rPr>
          <w:color w:val="000000"/>
        </w:rPr>
      </w:pPr>
    </w:p>
    <w:sectPr>
      <w:head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22</w:t>
                    </w:r>
                    <w:r>
                      <w:rPr>
                        <w:sz w:val="20"/>
                        <w:szCs w:val="20"/>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Pr>
      <w:id w:val="123209558"/>
    </w:sdtPr>
    <w:sdtEndPr>
      <w:rPr>
        <w:rStyle w:val="25"/>
      </w:rPr>
    </w:sdtEndPr>
    <w:sdtContent>
      <w:p>
        <w:pPr>
          <w:pStyle w:val="17"/>
          <w:framePr w:wrap="around" w:vAnchor="text" w:hAnchor="margin" w:xAlign="center" w:y="1"/>
          <w:rPr>
            <w:rStyle w:val="25"/>
          </w:rPr>
        </w:pPr>
        <w:r>
          <w:rPr>
            <w:rStyle w:val="25"/>
          </w:rPr>
          <w:fldChar w:fldCharType="begin"/>
        </w:r>
        <w:r>
          <w:rPr>
            <w:rStyle w:val="25"/>
          </w:rPr>
          <w:instrText xml:space="preserve"> PAGE </w:instrText>
        </w:r>
        <w:r>
          <w:rPr>
            <w:rStyle w:val="25"/>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5"/>
                            </w:rPr>
                          </w:pPr>
                          <w:r>
                            <w:rPr>
                              <w:rStyle w:val="25"/>
                            </w:rPr>
                            <w:fldChar w:fldCharType="begin"/>
                          </w:r>
                          <w:r>
                            <w:rPr>
                              <w:rStyle w:val="25"/>
                            </w:rPr>
                            <w:instrText xml:space="preserve"> PAGE  \* MERGEFORMAT </w:instrText>
                          </w:r>
                          <w:r>
                            <w:rPr>
                              <w:rStyle w:val="25"/>
                            </w:rPr>
                            <w:fldChar w:fldCharType="separate"/>
                          </w:r>
                          <w:r>
                            <w:rPr>
                              <w:rStyle w:val="25"/>
                            </w:rPr>
                            <w:t>22</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22</w:t>
                          </w:r>
                          <w:r>
                            <w:rPr>
                              <w:rStyle w:val="2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rPr>
                        <w:rStyle w:val="25"/>
                      </w:rPr>
                    </w:pPr>
                    <w:r>
                      <w:rPr>
                        <w:rStyle w:val="25"/>
                      </w:rPr>
                      <w:fldChar w:fldCharType="begin"/>
                    </w:r>
                    <w:r>
                      <w:rPr>
                        <w:rStyle w:val="25"/>
                      </w:rPr>
                      <w:instrText xml:space="preserve"> PAGE  \* MERGEFORMAT </w:instrText>
                    </w:r>
                    <w:r>
                      <w:rPr>
                        <w:rStyle w:val="25"/>
                      </w:rPr>
                      <w:fldChar w:fldCharType="separate"/>
                    </w:r>
                    <w:r>
                      <w:rPr>
                        <w:rStyle w:val="25"/>
                      </w:rPr>
                      <w:t>22</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22</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29654"/>
    <w:multiLevelType w:val="singleLevel"/>
    <w:tmpl w:val="8E029654"/>
    <w:lvl w:ilvl="0" w:tentative="0">
      <w:start w:val="1"/>
      <w:numFmt w:val="decimal"/>
      <w:lvlText w:val="%1."/>
      <w:lvlJc w:val="left"/>
      <w:pPr>
        <w:ind w:left="425" w:hanging="425"/>
      </w:pPr>
      <w:rPr>
        <w:rFonts w:hint="default"/>
      </w:rPr>
    </w:lvl>
  </w:abstractNum>
  <w:abstractNum w:abstractNumId="1">
    <w:nsid w:val="C8871464"/>
    <w:multiLevelType w:val="singleLevel"/>
    <w:tmpl w:val="C8871464"/>
    <w:lvl w:ilvl="0" w:tentative="0">
      <w:start w:val="1"/>
      <w:numFmt w:val="decimal"/>
      <w:lvlText w:val="(%1)"/>
      <w:lvlJc w:val="left"/>
      <w:pPr>
        <w:ind w:left="425" w:hanging="425"/>
      </w:pPr>
      <w:rPr>
        <w:rFonts w:hint="default"/>
        <w:b w:val="0"/>
        <w:bCs w:val="0"/>
      </w:rPr>
    </w:lvl>
  </w:abstractNum>
  <w:abstractNum w:abstractNumId="2">
    <w:nsid w:val="CB8509CC"/>
    <w:multiLevelType w:val="singleLevel"/>
    <w:tmpl w:val="CB8509CC"/>
    <w:lvl w:ilvl="0" w:tentative="0">
      <w:start w:val="1"/>
      <w:numFmt w:val="decimal"/>
      <w:lvlText w:val="%1."/>
      <w:lvlJc w:val="left"/>
      <w:pPr>
        <w:ind w:left="425" w:hanging="425"/>
      </w:pPr>
      <w:rPr>
        <w:rFonts w:hint="default"/>
      </w:rPr>
    </w:lvl>
  </w:abstractNum>
  <w:abstractNum w:abstractNumId="3">
    <w:nsid w:val="012DCB56"/>
    <w:multiLevelType w:val="singleLevel"/>
    <w:tmpl w:val="012DCB56"/>
    <w:lvl w:ilvl="0" w:tentative="0">
      <w:start w:val="1"/>
      <w:numFmt w:val="decimal"/>
      <w:lvlText w:val="(%1)"/>
      <w:lvlJc w:val="left"/>
      <w:pPr>
        <w:ind w:left="425" w:hanging="425"/>
      </w:pPr>
      <w:rPr>
        <w:rFonts w:hint="default"/>
        <w:b w:val="0"/>
        <w:bCs w:val="0"/>
      </w:rPr>
    </w:lvl>
  </w:abstractNum>
  <w:abstractNum w:abstractNumId="4">
    <w:nsid w:val="15065EE2"/>
    <w:multiLevelType w:val="singleLevel"/>
    <w:tmpl w:val="15065EE2"/>
    <w:lvl w:ilvl="0" w:tentative="0">
      <w:start w:val="1"/>
      <w:numFmt w:val="chineseCounting"/>
      <w:suff w:val="nothing"/>
      <w:lvlText w:val="%1、"/>
      <w:lvlJc w:val="left"/>
      <w:rPr>
        <w:rFonts w:hint="eastAsia"/>
      </w:rPr>
    </w:lvl>
  </w:abstractNum>
  <w:abstractNum w:abstractNumId="5">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0616019"/>
    <w:multiLevelType w:val="multilevel"/>
    <w:tmpl w:val="50616019"/>
    <w:lvl w:ilvl="0" w:tentative="0">
      <w:start w:val="1"/>
      <w:numFmt w:val="chineseCountingThousand"/>
      <w:pStyle w:val="27"/>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416CB"/>
    <w:rsid w:val="00053C92"/>
    <w:rsid w:val="00066ACF"/>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8504E"/>
    <w:rsid w:val="008B1C34"/>
    <w:rsid w:val="008C7B49"/>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4A38"/>
    <w:rsid w:val="00B87A1C"/>
    <w:rsid w:val="00B902B0"/>
    <w:rsid w:val="00B91C13"/>
    <w:rsid w:val="00B924A6"/>
    <w:rsid w:val="00BC290C"/>
    <w:rsid w:val="00BD3711"/>
    <w:rsid w:val="00C00BDB"/>
    <w:rsid w:val="00C03FAF"/>
    <w:rsid w:val="00C07E61"/>
    <w:rsid w:val="00C20470"/>
    <w:rsid w:val="00C2330C"/>
    <w:rsid w:val="00C26AED"/>
    <w:rsid w:val="00C278C8"/>
    <w:rsid w:val="00C46289"/>
    <w:rsid w:val="00C66EC8"/>
    <w:rsid w:val="00C6785F"/>
    <w:rsid w:val="00C82F08"/>
    <w:rsid w:val="00C83C8E"/>
    <w:rsid w:val="00C86791"/>
    <w:rsid w:val="00C929CE"/>
    <w:rsid w:val="00C94003"/>
    <w:rsid w:val="00C9606D"/>
    <w:rsid w:val="00CB35D9"/>
    <w:rsid w:val="00CC2724"/>
    <w:rsid w:val="00CC3DFA"/>
    <w:rsid w:val="00CC503A"/>
    <w:rsid w:val="00CD36AC"/>
    <w:rsid w:val="00CE4618"/>
    <w:rsid w:val="00CF31AD"/>
    <w:rsid w:val="00CF4E33"/>
    <w:rsid w:val="00D14FB0"/>
    <w:rsid w:val="00D2502F"/>
    <w:rsid w:val="00D27A1D"/>
    <w:rsid w:val="00D31FF7"/>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A1120"/>
    <w:rsid w:val="00EC1314"/>
    <w:rsid w:val="00EC23B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22A340E"/>
    <w:rsid w:val="02CA62A2"/>
    <w:rsid w:val="033518DC"/>
    <w:rsid w:val="034229B5"/>
    <w:rsid w:val="045A5944"/>
    <w:rsid w:val="05341834"/>
    <w:rsid w:val="06D849E3"/>
    <w:rsid w:val="0760244D"/>
    <w:rsid w:val="07D821A2"/>
    <w:rsid w:val="082E2F1D"/>
    <w:rsid w:val="099E3336"/>
    <w:rsid w:val="0BB1392D"/>
    <w:rsid w:val="0D762E4D"/>
    <w:rsid w:val="0E906868"/>
    <w:rsid w:val="12D76D41"/>
    <w:rsid w:val="139B0CE8"/>
    <w:rsid w:val="14CA4EEE"/>
    <w:rsid w:val="16F60BE0"/>
    <w:rsid w:val="178B7223"/>
    <w:rsid w:val="18421322"/>
    <w:rsid w:val="1A705206"/>
    <w:rsid w:val="1BCC2910"/>
    <w:rsid w:val="1C997B4B"/>
    <w:rsid w:val="1D6923E1"/>
    <w:rsid w:val="20F87800"/>
    <w:rsid w:val="279B415B"/>
    <w:rsid w:val="288F719F"/>
    <w:rsid w:val="29923D4E"/>
    <w:rsid w:val="2A483908"/>
    <w:rsid w:val="2B484342"/>
    <w:rsid w:val="2C501678"/>
    <w:rsid w:val="2E4834CF"/>
    <w:rsid w:val="302F3A1E"/>
    <w:rsid w:val="306C416A"/>
    <w:rsid w:val="31163885"/>
    <w:rsid w:val="311D5D13"/>
    <w:rsid w:val="314B4AA2"/>
    <w:rsid w:val="316019A0"/>
    <w:rsid w:val="31A37635"/>
    <w:rsid w:val="31D418D1"/>
    <w:rsid w:val="31EC794F"/>
    <w:rsid w:val="32503B79"/>
    <w:rsid w:val="34843550"/>
    <w:rsid w:val="398647D6"/>
    <w:rsid w:val="3A323E2F"/>
    <w:rsid w:val="3B19120E"/>
    <w:rsid w:val="3C7050E2"/>
    <w:rsid w:val="3C93297E"/>
    <w:rsid w:val="3D585653"/>
    <w:rsid w:val="3D8A3F82"/>
    <w:rsid w:val="3DD95BD9"/>
    <w:rsid w:val="3EC629AA"/>
    <w:rsid w:val="3EED47F1"/>
    <w:rsid w:val="3F233CB4"/>
    <w:rsid w:val="4101455B"/>
    <w:rsid w:val="42C65B00"/>
    <w:rsid w:val="43F65ECD"/>
    <w:rsid w:val="44054362"/>
    <w:rsid w:val="44EB79FC"/>
    <w:rsid w:val="488C6E00"/>
    <w:rsid w:val="493F02BB"/>
    <w:rsid w:val="495C005F"/>
    <w:rsid w:val="49CA4084"/>
    <w:rsid w:val="4A3E237C"/>
    <w:rsid w:val="4A89175C"/>
    <w:rsid w:val="4CC01258"/>
    <w:rsid w:val="4D384162"/>
    <w:rsid w:val="4D4E680E"/>
    <w:rsid w:val="4F111DF0"/>
    <w:rsid w:val="515F3303"/>
    <w:rsid w:val="51D82AE8"/>
    <w:rsid w:val="51EB6D32"/>
    <w:rsid w:val="52A511EA"/>
    <w:rsid w:val="52BE341B"/>
    <w:rsid w:val="53104095"/>
    <w:rsid w:val="53D5599D"/>
    <w:rsid w:val="541B4981"/>
    <w:rsid w:val="543642A3"/>
    <w:rsid w:val="54723C7D"/>
    <w:rsid w:val="54FF1A7A"/>
    <w:rsid w:val="55207A26"/>
    <w:rsid w:val="57C00874"/>
    <w:rsid w:val="585B589D"/>
    <w:rsid w:val="588E2BFD"/>
    <w:rsid w:val="58F339BF"/>
    <w:rsid w:val="5945339F"/>
    <w:rsid w:val="5A5B5C07"/>
    <w:rsid w:val="5B2F6B51"/>
    <w:rsid w:val="5D4F42C0"/>
    <w:rsid w:val="5E990201"/>
    <w:rsid w:val="61B72BAF"/>
    <w:rsid w:val="62741411"/>
    <w:rsid w:val="63CF2E26"/>
    <w:rsid w:val="64CB7B8C"/>
    <w:rsid w:val="685D6838"/>
    <w:rsid w:val="687D4A7E"/>
    <w:rsid w:val="69280027"/>
    <w:rsid w:val="6CDA069F"/>
    <w:rsid w:val="6DC72D22"/>
    <w:rsid w:val="6E5C3FBE"/>
    <w:rsid w:val="6F756E1C"/>
    <w:rsid w:val="6F8A1A3C"/>
    <w:rsid w:val="71962829"/>
    <w:rsid w:val="720F7FD6"/>
    <w:rsid w:val="744D70FD"/>
    <w:rsid w:val="76A74C81"/>
    <w:rsid w:val="76CE04F6"/>
    <w:rsid w:val="78F47F26"/>
    <w:rsid w:val="79BC7292"/>
    <w:rsid w:val="79C45B4A"/>
    <w:rsid w:val="7B9F3D95"/>
    <w:rsid w:val="7C2F7BF3"/>
    <w:rsid w:val="7EA8385D"/>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32"/>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4"/>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5"/>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9"/>
    <w:autoRedefine/>
    <w:unhideWhenUsed/>
    <w:qFormat/>
    <w:uiPriority w:val="0"/>
    <w:pPr>
      <w:keepNext/>
      <w:keepLines/>
      <w:spacing w:before="240" w:after="64" w:line="320" w:lineRule="auto"/>
      <w:outlineLvl w:val="5"/>
    </w:pPr>
    <w:rPr>
      <w:rFonts w:ascii="Cambria" w:hAnsi="Cambria"/>
      <w:b/>
      <w:bCs/>
    </w:rPr>
  </w:style>
  <w:style w:type="paragraph" w:styleId="8">
    <w:name w:val="heading 7"/>
    <w:basedOn w:val="1"/>
    <w:next w:val="1"/>
    <w:link w:val="36"/>
    <w:autoRedefine/>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37"/>
    <w:autoRedefine/>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38"/>
    <w:autoRedefine/>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
    <w:autoRedefine/>
    <w:qFormat/>
    <w:uiPriority w:val="0"/>
    <w:pPr>
      <w:tabs>
        <w:tab w:val="left" w:pos="1155"/>
      </w:tabs>
      <w:spacing w:line="420" w:lineRule="exact"/>
    </w:pPr>
    <w:rPr>
      <w:rFonts w:ascii="宋体"/>
    </w:rPr>
  </w:style>
  <w:style w:type="paragraph" w:styleId="14">
    <w:name w:val="Body Text Indent"/>
    <w:basedOn w:val="1"/>
    <w:autoRedefine/>
    <w:qFormat/>
    <w:uiPriority w:val="0"/>
    <w:pPr>
      <w:spacing w:after="120"/>
      <w:ind w:left="420" w:leftChars="200"/>
    </w:pPr>
  </w:style>
  <w:style w:type="paragraph" w:styleId="15">
    <w:name w:val="Body Text Indent 2"/>
    <w:basedOn w:val="1"/>
    <w:autoRedefine/>
    <w:qFormat/>
    <w:uiPriority w:val="0"/>
    <w:pPr>
      <w:snapToGrid w:val="0"/>
      <w:ind w:firstLine="542" w:firstLineChars="225"/>
    </w:pPr>
    <w:rPr>
      <w:rFonts w:ascii="仿宋_GB2312" w:hAnsi="宋体"/>
      <w:b/>
      <w:bCs/>
      <w:color w:val="000000"/>
    </w:rPr>
  </w:style>
  <w:style w:type="paragraph" w:styleId="16">
    <w:name w:val="Balloon Text"/>
    <w:basedOn w:val="1"/>
    <w:autoRedefine/>
    <w:semiHidden/>
    <w:qFormat/>
    <w:uiPriority w:val="0"/>
    <w:rPr>
      <w:sz w:val="18"/>
      <w:szCs w:val="18"/>
    </w:rPr>
  </w:style>
  <w:style w:type="paragraph" w:styleId="17">
    <w:name w:val="footer"/>
    <w:basedOn w:val="1"/>
    <w:link w:val="40"/>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autoRedefine/>
    <w:qFormat/>
    <w:uiPriority w:val="0"/>
    <w:pPr>
      <w:widowControl/>
      <w:spacing w:before="100" w:beforeAutospacing="1" w:after="100" w:afterAutospacing="1"/>
      <w:jc w:val="left"/>
    </w:pPr>
    <w:rPr>
      <w:rFonts w:ascii="宋体" w:hAnsi="宋体"/>
      <w:color w:val="000000"/>
      <w:kern w:val="0"/>
    </w:rPr>
  </w:style>
  <w:style w:type="paragraph" w:styleId="20">
    <w:name w:val="Title"/>
    <w:basedOn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3"/>
    <w:next w:val="1"/>
    <w:autoRedefine/>
    <w:qFormat/>
    <w:uiPriority w:val="0"/>
    <w:pPr>
      <w:tabs>
        <w:tab w:val="left" w:pos="567"/>
      </w:tabs>
      <w:ind w:firstLine="420" w:firstLineChars="100"/>
    </w:pPr>
    <w:rPr>
      <w:rFonts w:ascii="Calibri" w:hAnsi="Calibri"/>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unhideWhenUsed/>
    <w:qFormat/>
    <w:uiPriority w:val="99"/>
  </w:style>
  <w:style w:type="character" w:styleId="26">
    <w:name w:val="Hyperlink"/>
    <w:basedOn w:val="24"/>
    <w:autoRedefine/>
    <w:qFormat/>
    <w:uiPriority w:val="0"/>
    <w:rPr>
      <w:color w:val="0563C1" w:themeColor="hyperlink"/>
      <w:u w:val="single"/>
      <w14:textFill>
        <w14:solidFill>
          <w14:schemeClr w14:val="hlink"/>
        </w14:solidFill>
      </w14:textFill>
    </w:rPr>
  </w:style>
  <w:style w:type="paragraph" w:customStyle="1" w:styleId="27">
    <w:name w:val="要点标题"/>
    <w:basedOn w:val="1"/>
    <w:autoRedefine/>
    <w:qFormat/>
    <w:uiPriority w:val="0"/>
    <w:pPr>
      <w:numPr>
        <w:ilvl w:val="0"/>
        <w:numId w:val="1"/>
      </w:numPr>
      <w:jc w:val="left"/>
    </w:pPr>
    <w:rPr>
      <w:rFonts w:ascii="宋体" w:hAnsi="宋体"/>
      <w:b/>
    </w:rPr>
  </w:style>
  <w:style w:type="paragraph" w:customStyle="1" w:styleId="28">
    <w:name w:val="样式 标题 6 + 黑色"/>
    <w:basedOn w:val="7"/>
    <w:autoRedefine/>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9">
    <w:name w:val="标题 6 Char"/>
    <w:link w:val="7"/>
    <w:autoRedefine/>
    <w:semiHidden/>
    <w:qFormat/>
    <w:uiPriority w:val="0"/>
    <w:rPr>
      <w:rFonts w:ascii="Cambria" w:hAnsi="Cambria" w:eastAsia="宋体" w:cs="Times New Roman"/>
      <w:b/>
      <w:bCs/>
      <w:kern w:val="2"/>
      <w:sz w:val="24"/>
      <w:szCs w:val="24"/>
    </w:rPr>
  </w:style>
  <w:style w:type="paragraph" w:styleId="30">
    <w:name w:val="List Paragraph"/>
    <w:basedOn w:val="1"/>
    <w:autoRedefine/>
    <w:qFormat/>
    <w:uiPriority w:val="34"/>
    <w:pPr>
      <w:ind w:firstLine="420" w:firstLineChars="200"/>
    </w:pPr>
    <w:rPr>
      <w:rFonts w:ascii="Calibri" w:hAnsi="Calibri"/>
      <w:sz w:val="21"/>
      <w:szCs w:val="22"/>
    </w:rPr>
  </w:style>
  <w:style w:type="character" w:customStyle="1" w:styleId="31">
    <w:name w:val="标题 1 Char"/>
    <w:link w:val="2"/>
    <w:autoRedefine/>
    <w:qFormat/>
    <w:uiPriority w:val="0"/>
    <w:rPr>
      <w:b/>
      <w:bCs/>
      <w:kern w:val="44"/>
      <w:sz w:val="44"/>
      <w:szCs w:val="44"/>
    </w:rPr>
  </w:style>
  <w:style w:type="character" w:customStyle="1" w:styleId="32">
    <w:name w:val="标题 2 Char"/>
    <w:link w:val="3"/>
    <w:autoRedefine/>
    <w:qFormat/>
    <w:uiPriority w:val="0"/>
    <w:rPr>
      <w:rFonts w:ascii="Arial" w:hAnsi="Arial" w:eastAsia="黑体"/>
      <w:b/>
      <w:bCs/>
      <w:sz w:val="32"/>
      <w:szCs w:val="32"/>
    </w:rPr>
  </w:style>
  <w:style w:type="character" w:customStyle="1" w:styleId="33">
    <w:name w:val="标题 3 Char"/>
    <w:link w:val="4"/>
    <w:autoRedefine/>
    <w:qFormat/>
    <w:uiPriority w:val="0"/>
    <w:rPr>
      <w:b/>
      <w:bCs/>
      <w:sz w:val="32"/>
      <w:szCs w:val="32"/>
    </w:rPr>
  </w:style>
  <w:style w:type="character" w:customStyle="1" w:styleId="34">
    <w:name w:val="标题 4 Char"/>
    <w:link w:val="5"/>
    <w:autoRedefine/>
    <w:qFormat/>
    <w:uiPriority w:val="0"/>
    <w:rPr>
      <w:rFonts w:ascii="Arial" w:hAnsi="Arial" w:eastAsia="黑体"/>
      <w:b/>
      <w:bCs/>
      <w:sz w:val="28"/>
      <w:szCs w:val="28"/>
    </w:rPr>
  </w:style>
  <w:style w:type="character" w:customStyle="1" w:styleId="35">
    <w:name w:val="标题 5 Char"/>
    <w:link w:val="6"/>
    <w:autoRedefine/>
    <w:qFormat/>
    <w:uiPriority w:val="0"/>
    <w:rPr>
      <w:b/>
      <w:bCs/>
      <w:sz w:val="28"/>
      <w:szCs w:val="28"/>
    </w:rPr>
  </w:style>
  <w:style w:type="character" w:customStyle="1" w:styleId="36">
    <w:name w:val="标题 7 Char"/>
    <w:link w:val="8"/>
    <w:autoRedefine/>
    <w:qFormat/>
    <w:uiPriority w:val="0"/>
    <w:rPr>
      <w:b/>
      <w:bCs/>
      <w:sz w:val="24"/>
      <w:szCs w:val="24"/>
    </w:rPr>
  </w:style>
  <w:style w:type="character" w:customStyle="1" w:styleId="37">
    <w:name w:val="标题 8 Char"/>
    <w:link w:val="9"/>
    <w:autoRedefine/>
    <w:qFormat/>
    <w:uiPriority w:val="0"/>
    <w:rPr>
      <w:rFonts w:ascii="Arial" w:hAnsi="Arial" w:eastAsia="黑体"/>
      <w:sz w:val="24"/>
      <w:szCs w:val="24"/>
    </w:rPr>
  </w:style>
  <w:style w:type="character" w:customStyle="1" w:styleId="38">
    <w:name w:val="标题 9 Char"/>
    <w:link w:val="10"/>
    <w:autoRedefine/>
    <w:qFormat/>
    <w:uiPriority w:val="0"/>
    <w:rPr>
      <w:rFonts w:ascii="Arial" w:hAnsi="Arial" w:eastAsia="黑体"/>
      <w:sz w:val="21"/>
      <w:szCs w:val="21"/>
    </w:rPr>
  </w:style>
  <w:style w:type="paragraph" w:customStyle="1" w:styleId="3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页脚 Char"/>
    <w:basedOn w:val="24"/>
    <w:link w:val="17"/>
    <w:autoRedefine/>
    <w:qFormat/>
    <w:uiPriority w:val="99"/>
    <w:rPr>
      <w:kern w:val="2"/>
      <w:sz w:val="18"/>
      <w:szCs w:val="18"/>
    </w:rPr>
  </w:style>
  <w:style w:type="paragraph" w:customStyle="1" w:styleId="41">
    <w:name w:val="彩色列表 - 着色 11"/>
    <w:basedOn w:val="1"/>
    <w:autoRedefine/>
    <w:qFormat/>
    <w:uiPriority w:val="34"/>
    <w:pPr>
      <w:widowControl/>
      <w:ind w:firstLine="420" w:firstLineChars="200"/>
      <w:jc w:val="left"/>
    </w:pPr>
  </w:style>
  <w:style w:type="paragraph" w:customStyle="1" w:styleId="42">
    <w:name w:val="样式6"/>
    <w:basedOn w:val="1"/>
    <w:autoRedefine/>
    <w:qFormat/>
    <w:uiPriority w:val="0"/>
    <w:pPr>
      <w:spacing w:line="360" w:lineRule="auto"/>
      <w:ind w:firstLine="200" w:firstLineChars="200"/>
      <w:jc w:val="left"/>
    </w:pPr>
  </w:style>
  <w:style w:type="character" w:customStyle="1" w:styleId="43">
    <w:name w:val="font21"/>
    <w:basedOn w:val="24"/>
    <w:autoRedefine/>
    <w:qFormat/>
    <w:uiPriority w:val="0"/>
    <w:rPr>
      <w:rFonts w:hint="eastAsia" w:ascii="宋体" w:hAnsi="宋体" w:eastAsia="宋体" w:cs="宋体"/>
      <w:color w:val="000000"/>
      <w:sz w:val="18"/>
      <w:szCs w:val="18"/>
      <w:u w:val="none"/>
    </w:rPr>
  </w:style>
  <w:style w:type="character" w:customStyle="1" w:styleId="44">
    <w:name w:val="font31"/>
    <w:basedOn w:val="24"/>
    <w:autoRedefine/>
    <w:qFormat/>
    <w:uiPriority w:val="0"/>
    <w:rPr>
      <w:rFonts w:hint="eastAsia" w:ascii="宋体" w:hAnsi="宋体" w:eastAsia="宋体" w:cs="宋体"/>
      <w:color w:val="FF0000"/>
      <w:sz w:val="18"/>
      <w:szCs w:val="18"/>
      <w:u w:val="none"/>
    </w:rPr>
  </w:style>
  <w:style w:type="paragraph" w:customStyle="1" w:styleId="45">
    <w:name w:val="列出段落1"/>
    <w:basedOn w:val="1"/>
    <w:autoRedefine/>
    <w:qFormat/>
    <w:uiPriority w:val="34"/>
    <w:pPr>
      <w:ind w:firstLine="420" w:firstLineChars="200"/>
    </w:pPr>
    <w:rPr>
      <w:rFonts w:ascii="Calibri" w:hAnsi="Calibri"/>
      <w:szCs w:val="22"/>
    </w:rPr>
  </w:style>
  <w:style w:type="paragraph" w:customStyle="1" w:styleId="46">
    <w:name w:val="样式4"/>
    <w:basedOn w:val="1"/>
    <w:autoRedefine/>
    <w:qFormat/>
    <w:uiPriority w:val="0"/>
    <w:pPr>
      <w:spacing w:line="500" w:lineRule="exact"/>
      <w:jc w:val="left"/>
    </w:pPr>
    <w:rPr>
      <w:rFonts w:ascii="宋体" w:hAnsi="宋体"/>
      <w:b/>
      <w:bCs/>
      <w:color w:val="000000"/>
    </w:rPr>
  </w:style>
  <w:style w:type="paragraph" w:customStyle="1" w:styleId="47">
    <w:name w:val="样式5"/>
    <w:basedOn w:val="1"/>
    <w:autoRedefine/>
    <w:qFormat/>
    <w:uiPriority w:val="0"/>
    <w:pPr>
      <w:spacing w:line="360" w:lineRule="auto"/>
      <w:ind w:firstLine="200" w:firstLineChars="200"/>
      <w:jc w:val="left"/>
    </w:pPr>
  </w:style>
  <w:style w:type="paragraph" w:customStyle="1" w:styleId="48">
    <w:name w:val="样式2"/>
    <w:basedOn w:val="7"/>
    <w:autoRedefine/>
    <w:qFormat/>
    <w:uiPriority w:val="0"/>
    <w:pPr>
      <w:spacing w:before="120" w:after="60" w:line="240" w:lineRule="auto"/>
    </w:pPr>
    <w:rPr>
      <w:color w:val="000000"/>
      <w:sz w:val="28"/>
    </w:rPr>
  </w:style>
  <w:style w:type="character" w:customStyle="1" w:styleId="49">
    <w:name w:val="font11"/>
    <w:basedOn w:val="24"/>
    <w:autoRedefine/>
    <w:qFormat/>
    <w:uiPriority w:val="0"/>
    <w:rPr>
      <w:rFonts w:hint="eastAsia" w:ascii="宋体" w:hAnsi="宋体" w:eastAsia="宋体" w:cs="宋体"/>
      <w:color w:val="000000"/>
      <w:sz w:val="24"/>
      <w:szCs w:val="24"/>
      <w:u w:val="none"/>
    </w:rPr>
  </w:style>
  <w:style w:type="character" w:customStyle="1" w:styleId="50">
    <w:name w:val="font81"/>
    <w:basedOn w:val="24"/>
    <w:autoRedefine/>
    <w:qFormat/>
    <w:uiPriority w:val="0"/>
    <w:rPr>
      <w:rFonts w:hint="eastAsia" w:ascii="宋体" w:hAnsi="宋体" w:eastAsia="宋体" w:cs="宋体"/>
      <w:color w:val="000000"/>
      <w:sz w:val="24"/>
      <w:szCs w:val="24"/>
      <w:u w:val="none"/>
      <w:vertAlign w:val="superscript"/>
    </w:rPr>
  </w:style>
  <w:style w:type="character" w:customStyle="1" w:styleId="51">
    <w:name w:val="font61"/>
    <w:basedOn w:val="24"/>
    <w:autoRedefine/>
    <w:qFormat/>
    <w:uiPriority w:val="0"/>
    <w:rPr>
      <w:rFonts w:hint="eastAsia" w:ascii="宋体" w:hAnsi="宋体" w:eastAsia="宋体" w:cs="宋体"/>
      <w:color w:val="000000"/>
      <w:sz w:val="24"/>
      <w:szCs w:val="24"/>
      <w:u w:val="none"/>
      <w:vertAlign w:val="superscript"/>
    </w:rPr>
  </w:style>
  <w:style w:type="character" w:customStyle="1" w:styleId="52">
    <w:name w:val="font91"/>
    <w:basedOn w:val="24"/>
    <w:autoRedefine/>
    <w:qFormat/>
    <w:uiPriority w:val="0"/>
    <w:rPr>
      <w:rFonts w:hint="eastAsia" w:ascii="宋体" w:hAnsi="宋体" w:eastAsia="宋体" w:cs="宋体"/>
      <w:color w:val="000000"/>
      <w:sz w:val="24"/>
      <w:szCs w:val="24"/>
      <w:u w:val="none"/>
    </w:rPr>
  </w:style>
  <w:style w:type="character" w:customStyle="1" w:styleId="53">
    <w:name w:val="font41"/>
    <w:basedOn w:val="24"/>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45BFD-21D6-4822-805E-4F75B9491FA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1921</Words>
  <Characters>10950</Characters>
  <Lines>91</Lines>
  <Paragraphs>25</Paragraphs>
  <TotalTime>33</TotalTime>
  <ScaleCrop>false</ScaleCrop>
  <LinksUpToDate>false</LinksUpToDate>
  <CharactersWithSpaces>12846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2024-07-19T01:52:00Z</cp:lastPrinted>
  <dcterms:modified xsi:type="dcterms:W3CDTF">2024-08-01T02:29:14Z</dcterms:modified>
  <dc:title>单一品牌训练器材询价文件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BE33A404EF58442C892E85D3110A105F_13</vt:lpwstr>
  </property>
</Properties>
</file>