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color w:val="auto"/>
          <w:highlight w:val="none"/>
        </w:rPr>
      </w:pPr>
    </w:p>
    <w:p>
      <w:pPr>
        <w:spacing w:line="360" w:lineRule="auto"/>
        <w:rPr>
          <w:rFonts w:ascii="Arial" w:hAnsi="Arial" w:cs="Arial"/>
          <w:b/>
          <w:bCs/>
          <w:color w:val="auto"/>
          <w:sz w:val="44"/>
          <w:szCs w:val="44"/>
          <w:highlight w:val="none"/>
        </w:rPr>
      </w:pPr>
    </w:p>
    <w:p>
      <w:pPr>
        <w:bidi w:val="0"/>
        <w:jc w:val="center"/>
        <w:rPr>
          <w:rFonts w:hint="eastAsia"/>
          <w:b/>
          <w:bCs/>
          <w:color w:val="auto"/>
          <w:sz w:val="52"/>
          <w:szCs w:val="52"/>
          <w:highlight w:val="none"/>
          <w:lang w:eastAsia="zh-CN"/>
        </w:rPr>
      </w:pPr>
      <w:r>
        <w:rPr>
          <w:rFonts w:hint="eastAsia"/>
          <w:b/>
          <w:bCs/>
          <w:color w:val="auto"/>
          <w:sz w:val="52"/>
          <w:szCs w:val="52"/>
          <w:highlight w:val="none"/>
          <w:lang w:eastAsia="zh-CN"/>
        </w:rPr>
        <w:t>大连盐化集团有限公司进口融雪盐港杂服务采购项目</w:t>
      </w:r>
    </w:p>
    <w:p>
      <w:pPr>
        <w:bidi w:val="0"/>
        <w:jc w:val="center"/>
        <w:rPr>
          <w:b/>
          <w:bCs/>
          <w:color w:val="auto"/>
          <w:sz w:val="52"/>
          <w:szCs w:val="52"/>
          <w:highlight w:val="none"/>
        </w:rPr>
      </w:pPr>
    </w:p>
    <w:p>
      <w:pPr>
        <w:bidi w:val="0"/>
        <w:jc w:val="center"/>
        <w:rPr>
          <w:b/>
          <w:bCs/>
          <w:color w:val="auto"/>
          <w:sz w:val="52"/>
          <w:szCs w:val="52"/>
          <w:highlight w:val="none"/>
        </w:rPr>
      </w:pPr>
    </w:p>
    <w:p>
      <w:pPr>
        <w:bidi w:val="0"/>
        <w:jc w:val="center"/>
        <w:rPr>
          <w:b/>
          <w:bCs/>
          <w:color w:val="auto"/>
          <w:sz w:val="84"/>
          <w:szCs w:val="84"/>
          <w:highlight w:val="none"/>
        </w:rPr>
      </w:pPr>
      <w:r>
        <w:rPr>
          <w:rFonts w:hint="eastAsia"/>
          <w:b/>
          <w:bCs/>
          <w:color w:val="auto"/>
          <w:sz w:val="84"/>
          <w:szCs w:val="84"/>
          <w:highlight w:val="none"/>
        </w:rPr>
        <w:t>招标文件</w:t>
      </w:r>
    </w:p>
    <w:p>
      <w:pPr>
        <w:bidi w:val="0"/>
        <w:jc w:val="center"/>
        <w:outlineLvl w:val="0"/>
        <w:rPr>
          <w:b/>
          <w:bCs/>
          <w:color w:val="auto"/>
          <w:sz w:val="28"/>
          <w:szCs w:val="28"/>
          <w:highlight w:val="none"/>
        </w:rPr>
      </w:pPr>
      <w:bookmarkStart w:id="0" w:name="_Toc27788"/>
      <w:r>
        <w:rPr>
          <w:rFonts w:hint="eastAsia"/>
          <w:b/>
          <w:bCs/>
          <w:color w:val="auto"/>
          <w:sz w:val="32"/>
          <w:szCs w:val="32"/>
          <w:highlight w:val="none"/>
        </w:rPr>
        <w:t>（项目编号：</w:t>
      </w:r>
      <w:r>
        <w:rPr>
          <w:rFonts w:hint="eastAsia" w:ascii="宋体" w:hAnsi="宋体" w:cs="宋体"/>
          <w:b/>
          <w:bCs/>
          <w:color w:val="auto"/>
          <w:sz w:val="32"/>
          <w:szCs w:val="32"/>
          <w:highlight w:val="none"/>
          <w:lang w:eastAsia="zh-CN"/>
        </w:rPr>
        <w:t>DCZ202409085</w:t>
      </w:r>
      <w:r>
        <w:rPr>
          <w:rFonts w:hint="eastAsia"/>
          <w:b/>
          <w:bCs/>
          <w:color w:val="auto"/>
          <w:sz w:val="32"/>
          <w:szCs w:val="32"/>
          <w:highlight w:val="none"/>
        </w:rPr>
        <w:t>）</w:t>
      </w:r>
      <w:bookmarkEnd w:id="0"/>
    </w:p>
    <w:p>
      <w:pPr>
        <w:bidi w:val="0"/>
        <w:jc w:val="center"/>
        <w:rPr>
          <w:color w:val="auto"/>
          <w:sz w:val="52"/>
          <w:szCs w:val="52"/>
          <w:highlight w:val="none"/>
        </w:rPr>
      </w:pPr>
    </w:p>
    <w:p>
      <w:pPr>
        <w:bidi w:val="0"/>
        <w:jc w:val="center"/>
        <w:rPr>
          <w:color w:val="auto"/>
          <w:sz w:val="52"/>
          <w:szCs w:val="52"/>
          <w:highlight w:val="none"/>
        </w:rPr>
      </w:pPr>
    </w:p>
    <w:p>
      <w:pPr>
        <w:bidi w:val="0"/>
        <w:jc w:val="center"/>
        <w:rPr>
          <w:color w:val="auto"/>
          <w:sz w:val="52"/>
          <w:szCs w:val="52"/>
          <w:highlight w:val="none"/>
        </w:rPr>
      </w:pPr>
    </w:p>
    <w:p>
      <w:pPr>
        <w:bidi w:val="0"/>
        <w:jc w:val="center"/>
        <w:rPr>
          <w:color w:val="auto"/>
          <w:sz w:val="52"/>
          <w:szCs w:val="52"/>
          <w:highlight w:val="none"/>
        </w:rPr>
      </w:pPr>
    </w:p>
    <w:p>
      <w:pPr>
        <w:pStyle w:val="13"/>
        <w:rPr>
          <w:color w:val="auto"/>
          <w:highlight w:val="none"/>
        </w:rPr>
      </w:pPr>
    </w:p>
    <w:p>
      <w:pPr>
        <w:bidi w:val="0"/>
        <w:jc w:val="center"/>
        <w:rPr>
          <w:color w:val="auto"/>
          <w:sz w:val="52"/>
          <w:szCs w:val="52"/>
          <w:highlight w:val="none"/>
        </w:rPr>
      </w:pPr>
    </w:p>
    <w:p>
      <w:pPr>
        <w:bidi w:val="0"/>
        <w:jc w:val="center"/>
        <w:rPr>
          <w:color w:val="auto"/>
          <w:sz w:val="52"/>
          <w:szCs w:val="52"/>
          <w:highlight w:val="none"/>
        </w:rPr>
      </w:pPr>
    </w:p>
    <w:p>
      <w:pPr>
        <w:bidi w:val="0"/>
        <w:ind w:firstLine="1606" w:firstLineChars="500"/>
        <w:jc w:val="both"/>
        <w:rPr>
          <w:b/>
          <w:bCs/>
          <w:color w:val="auto"/>
          <w:sz w:val="32"/>
          <w:szCs w:val="32"/>
          <w:highlight w:val="none"/>
        </w:rPr>
      </w:pPr>
      <w:r>
        <w:rPr>
          <w:rFonts w:hint="eastAsia"/>
          <w:b/>
          <w:bCs/>
          <w:color w:val="auto"/>
          <w:sz w:val="32"/>
          <w:szCs w:val="32"/>
          <w:highlight w:val="none"/>
        </w:rPr>
        <w:t>招</w:t>
      </w:r>
      <w:r>
        <w:rPr>
          <w:rFonts w:hint="eastAsia"/>
          <w:b/>
          <w:bCs/>
          <w:color w:val="auto"/>
          <w:sz w:val="32"/>
          <w:szCs w:val="32"/>
          <w:highlight w:val="none"/>
          <w:lang w:val="en-US" w:eastAsia="zh-CN"/>
        </w:rPr>
        <w:t xml:space="preserve">  </w:t>
      </w:r>
      <w:r>
        <w:rPr>
          <w:rFonts w:hint="eastAsia"/>
          <w:b/>
          <w:bCs/>
          <w:color w:val="auto"/>
          <w:sz w:val="32"/>
          <w:szCs w:val="32"/>
          <w:highlight w:val="none"/>
        </w:rPr>
        <w:t>标</w:t>
      </w:r>
      <w:r>
        <w:rPr>
          <w:rFonts w:hint="eastAsia"/>
          <w:b/>
          <w:bCs/>
          <w:color w:val="auto"/>
          <w:sz w:val="32"/>
          <w:szCs w:val="32"/>
          <w:highlight w:val="none"/>
          <w:lang w:val="en-US" w:eastAsia="zh-CN"/>
        </w:rPr>
        <w:t xml:space="preserve">  </w:t>
      </w:r>
      <w:r>
        <w:rPr>
          <w:rFonts w:hint="eastAsia"/>
          <w:b/>
          <w:bCs/>
          <w:color w:val="auto"/>
          <w:sz w:val="32"/>
          <w:szCs w:val="32"/>
          <w:highlight w:val="none"/>
        </w:rPr>
        <w:t>人：大连盐化集团有限公司</w:t>
      </w:r>
    </w:p>
    <w:p>
      <w:pPr>
        <w:bidi w:val="0"/>
        <w:ind w:firstLine="1606" w:firstLineChars="500"/>
        <w:jc w:val="both"/>
        <w:outlineLvl w:val="0"/>
        <w:rPr>
          <w:rFonts w:hint="eastAsia" w:eastAsia="宋体"/>
          <w:b/>
          <w:bCs/>
          <w:color w:val="auto"/>
          <w:sz w:val="32"/>
          <w:szCs w:val="32"/>
          <w:highlight w:val="none"/>
          <w:lang w:eastAsia="zh-CN"/>
        </w:rPr>
      </w:pPr>
      <w:bookmarkStart w:id="1" w:name="_Toc7457"/>
      <w:r>
        <w:rPr>
          <w:rFonts w:hint="eastAsia"/>
          <w:b/>
          <w:bCs/>
          <w:color w:val="auto"/>
          <w:sz w:val="32"/>
          <w:szCs w:val="32"/>
          <w:highlight w:val="none"/>
        </w:rPr>
        <w:t>招标代理人：</w:t>
      </w:r>
      <w:bookmarkEnd w:id="1"/>
      <w:r>
        <w:rPr>
          <w:rFonts w:hint="eastAsia"/>
          <w:b/>
          <w:bCs/>
          <w:color w:val="auto"/>
          <w:sz w:val="32"/>
          <w:szCs w:val="32"/>
          <w:highlight w:val="none"/>
          <w:lang w:eastAsia="zh-CN"/>
        </w:rPr>
        <w:t>大连机械设备成套有限公司</w:t>
      </w:r>
    </w:p>
    <w:p>
      <w:pPr>
        <w:bidi w:val="0"/>
        <w:ind w:firstLine="1606" w:firstLineChars="500"/>
        <w:jc w:val="both"/>
        <w:outlineLvl w:val="0"/>
        <w:rPr>
          <w:b/>
          <w:bCs/>
          <w:color w:val="auto"/>
          <w:sz w:val="28"/>
          <w:szCs w:val="28"/>
          <w:highlight w:val="none"/>
        </w:rPr>
      </w:pPr>
      <w:bookmarkStart w:id="2" w:name="_Toc4007"/>
      <w:r>
        <w:rPr>
          <w:rFonts w:hint="eastAsia"/>
          <w:b/>
          <w:bCs/>
          <w:color w:val="auto"/>
          <w:sz w:val="32"/>
          <w:szCs w:val="32"/>
          <w:highlight w:val="none"/>
        </w:rPr>
        <w:t>日</w:t>
      </w:r>
      <w:r>
        <w:rPr>
          <w:rFonts w:hint="eastAsia"/>
          <w:b/>
          <w:bCs/>
          <w:color w:val="auto"/>
          <w:sz w:val="32"/>
          <w:szCs w:val="32"/>
          <w:highlight w:val="none"/>
          <w:lang w:val="en-US" w:eastAsia="zh-CN"/>
        </w:rPr>
        <w:t xml:space="preserve">      </w:t>
      </w:r>
      <w:r>
        <w:rPr>
          <w:rFonts w:hint="eastAsia"/>
          <w:b/>
          <w:bCs/>
          <w:color w:val="auto"/>
          <w:sz w:val="32"/>
          <w:szCs w:val="32"/>
          <w:highlight w:val="none"/>
        </w:rPr>
        <w:t>期：二〇二</w:t>
      </w:r>
      <w:r>
        <w:rPr>
          <w:rFonts w:hint="eastAsia"/>
          <w:b/>
          <w:bCs/>
          <w:color w:val="auto"/>
          <w:sz w:val="32"/>
          <w:szCs w:val="32"/>
          <w:highlight w:val="none"/>
          <w:lang w:val="en-US" w:eastAsia="zh-CN"/>
        </w:rPr>
        <w:t>四</w:t>
      </w:r>
      <w:r>
        <w:rPr>
          <w:rFonts w:hint="eastAsia"/>
          <w:b/>
          <w:bCs/>
          <w:color w:val="auto"/>
          <w:sz w:val="32"/>
          <w:szCs w:val="32"/>
          <w:highlight w:val="none"/>
        </w:rPr>
        <w:t>年</w:t>
      </w:r>
      <w:r>
        <w:rPr>
          <w:rFonts w:hint="eastAsia"/>
          <w:b/>
          <w:bCs/>
          <w:color w:val="auto"/>
          <w:sz w:val="32"/>
          <w:szCs w:val="32"/>
          <w:highlight w:val="none"/>
          <w:lang w:val="en-US" w:eastAsia="zh-CN"/>
        </w:rPr>
        <w:t>九</w:t>
      </w:r>
      <w:r>
        <w:rPr>
          <w:rFonts w:hint="eastAsia"/>
          <w:b/>
          <w:bCs/>
          <w:color w:val="auto"/>
          <w:sz w:val="32"/>
          <w:szCs w:val="32"/>
          <w:highlight w:val="none"/>
        </w:rPr>
        <w:t>月</w:t>
      </w:r>
      <w:bookmarkEnd w:id="2"/>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6"/>
          <w:szCs w:val="36"/>
          <w:highlight w:val="none"/>
        </w:rPr>
      </w:pPr>
    </w:p>
    <w:p>
      <w:pPr>
        <w:spacing w:line="360" w:lineRule="auto"/>
        <w:jc w:val="center"/>
        <w:rPr>
          <w:rFonts w:ascii="宋体" w:hAnsi="宋体"/>
          <w:b/>
          <w:color w:val="auto"/>
          <w:sz w:val="36"/>
          <w:szCs w:val="36"/>
          <w:highlight w:val="none"/>
        </w:rPr>
        <w:sectPr>
          <w:headerReference r:id="rId4" w:type="first"/>
          <w:headerReference r:id="rId3" w:type="default"/>
          <w:pgSz w:w="11906" w:h="16838"/>
          <w:pgMar w:top="1134" w:right="1701" w:bottom="1134" w:left="1701" w:header="851" w:footer="828" w:gutter="0"/>
          <w:pgNumType w:fmt="numberInDash"/>
          <w:cols w:space="720" w:num="1"/>
          <w:titlePg/>
          <w:docGrid w:type="lines" w:linePitch="312" w:charSpace="0"/>
        </w:sectPr>
      </w:pPr>
    </w:p>
    <w:p>
      <w:pPr>
        <w:spacing w:line="360" w:lineRule="auto"/>
        <w:jc w:val="center"/>
        <w:rPr>
          <w:rFonts w:ascii="宋体" w:hAnsi="宋体"/>
          <w:b/>
          <w:color w:val="auto"/>
          <w:sz w:val="36"/>
          <w:szCs w:val="36"/>
          <w:highlight w:val="none"/>
        </w:rPr>
      </w:pPr>
    </w:p>
    <w:p>
      <w:pPr>
        <w:spacing w:line="360" w:lineRule="auto"/>
        <w:jc w:val="center"/>
        <w:rPr>
          <w:rFonts w:ascii="宋体" w:hAnsi="宋体"/>
          <w:color w:val="auto"/>
          <w:sz w:val="28"/>
          <w:szCs w:val="28"/>
          <w:highlight w:val="none"/>
        </w:rPr>
      </w:pPr>
      <w:r>
        <w:rPr>
          <w:rFonts w:hint="eastAsia" w:ascii="宋体" w:hAnsi="宋体"/>
          <w:b/>
          <w:bCs/>
          <w:color w:val="auto"/>
          <w:sz w:val="48"/>
          <w:szCs w:val="48"/>
          <w:highlight w:val="none"/>
        </w:rPr>
        <w:t>目  录</w:t>
      </w:r>
    </w:p>
    <w:p>
      <w:pPr>
        <w:spacing w:line="360" w:lineRule="auto"/>
        <w:ind w:firstLine="24" w:firstLineChars="10"/>
        <w:jc w:val="distribute"/>
        <w:rPr>
          <w:rFonts w:ascii="宋体" w:hAnsi="宋体"/>
          <w:color w:val="auto"/>
          <w:sz w:val="24"/>
          <w:highlight w:val="none"/>
        </w:rPr>
      </w:pPr>
    </w:p>
    <w:sdt>
      <w:sdtPr>
        <w:rPr>
          <w:rFonts w:ascii="宋体" w:hAnsi="宋体" w:eastAsia="宋体" w:cs="Times New Roman"/>
          <w:color w:val="auto"/>
          <w:kern w:val="2"/>
          <w:sz w:val="21"/>
          <w:szCs w:val="24"/>
          <w:highlight w:val="none"/>
          <w:lang w:val="en-US" w:eastAsia="zh-CN" w:bidi="ar-SA"/>
        </w:rPr>
        <w:id w:val="147479188"/>
        <w15:color w:val="DBDBDB"/>
        <w:docPartObj>
          <w:docPartGallery w:val="Table of Contents"/>
          <w:docPartUnique/>
        </w:docPartObj>
      </w:sdtPr>
      <w:sdtEndPr>
        <w:rPr>
          <w:rFonts w:hint="eastAsia" w:asciiTheme="minorEastAsia" w:hAnsiTheme="minorEastAsia" w:eastAsiaTheme="minorEastAsia" w:cstheme="minorEastAsia"/>
          <w:color w:val="auto"/>
          <w:kern w:val="2"/>
          <w:sz w:val="30"/>
          <w:szCs w:val="30"/>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TOC \o "1-1" \h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_Toc30561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bCs/>
              <w:color w:val="auto"/>
              <w:sz w:val="30"/>
              <w:szCs w:val="30"/>
              <w:highlight w:val="none"/>
            </w:rPr>
            <w:t>招标公告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_Toc30561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_Toc11220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bCs/>
              <w:color w:val="auto"/>
              <w:sz w:val="30"/>
              <w:szCs w:val="30"/>
              <w:highlight w:val="none"/>
            </w:rPr>
            <w:t>第一章</w:t>
          </w:r>
          <w:r>
            <w:rPr>
              <w:rFonts w:hint="eastAsia" w:asciiTheme="minorEastAsia" w:hAnsiTheme="minorEastAsia" w:eastAsiaTheme="minorEastAsia" w:cstheme="minorEastAsia"/>
              <w:bCs/>
              <w:color w:val="auto"/>
              <w:sz w:val="30"/>
              <w:szCs w:val="30"/>
              <w:highlight w:val="none"/>
              <w:lang w:val="en-US" w:eastAsia="zh-CN"/>
            </w:rPr>
            <w:t xml:space="preserve">  </w:t>
          </w:r>
          <w:r>
            <w:rPr>
              <w:rFonts w:hint="eastAsia" w:asciiTheme="minorEastAsia" w:hAnsiTheme="minorEastAsia" w:eastAsiaTheme="minorEastAsia" w:cstheme="minorEastAsia"/>
              <w:bCs/>
              <w:color w:val="auto"/>
              <w:sz w:val="30"/>
              <w:szCs w:val="30"/>
              <w:highlight w:val="none"/>
            </w:rPr>
            <w:t>投标人须知及前附表</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_Toc11220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_Toc28009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bCs/>
              <w:color w:val="auto"/>
              <w:sz w:val="30"/>
              <w:szCs w:val="30"/>
              <w:highlight w:val="none"/>
            </w:rPr>
            <w:t>第二章</w:t>
          </w:r>
          <w:r>
            <w:rPr>
              <w:rFonts w:hint="eastAsia" w:asciiTheme="minorEastAsia" w:hAnsiTheme="minorEastAsia" w:eastAsiaTheme="minorEastAsia" w:cstheme="minorEastAsia"/>
              <w:bCs/>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合同条款及合同格式</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_Toc28009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_Toc29560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第三章</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项目需求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_Toc29560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_Toc15029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bCs/>
              <w:color w:val="auto"/>
              <w:sz w:val="30"/>
              <w:szCs w:val="30"/>
              <w:highlight w:val="none"/>
            </w:rPr>
            <w:t>第四章</w:t>
          </w:r>
          <w:r>
            <w:rPr>
              <w:rFonts w:hint="eastAsia" w:asciiTheme="minorEastAsia" w:hAnsiTheme="minorEastAsia" w:eastAsiaTheme="minorEastAsia" w:cstheme="minorEastAsia"/>
              <w:bCs/>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投标文件格式</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_Toc15029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34</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 xml:space="preserve">附件1  </w:t>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_Toc31436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评标方法</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_Toc31436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49</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 xml:space="preserve">附件2  </w:t>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_Toc13904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lang w:eastAsia="zh-CN"/>
            </w:rPr>
            <w:t>资格</w:t>
          </w:r>
          <w:r>
            <w:rPr>
              <w:rFonts w:hint="eastAsia" w:asciiTheme="minorEastAsia" w:hAnsiTheme="minorEastAsia" w:eastAsiaTheme="minorEastAsia" w:cstheme="minorEastAsia"/>
              <w:color w:val="auto"/>
              <w:sz w:val="30"/>
              <w:szCs w:val="30"/>
              <w:highlight w:val="none"/>
            </w:rPr>
            <w:t>审查表</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_Toc13904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51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 xml:space="preserve">附件3  </w:t>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_Toc6364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bCs w:val="0"/>
              <w:color w:val="auto"/>
              <w:sz w:val="30"/>
              <w:szCs w:val="30"/>
              <w:highlight w:val="none"/>
            </w:rPr>
            <w:t>符合性审查表</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_Toc6364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52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8"/>
            <w:tabs>
              <w:tab w:val="right" w:leader="dot" w:pos="9071"/>
            </w:tabs>
            <w:spacing w:line="360" w:lineRule="auto"/>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 xml:space="preserve">附件4  </w:t>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HYPERLINK \l _Toc22683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pacing w:val="6"/>
              <w:kern w:val="0"/>
              <w:sz w:val="30"/>
              <w:szCs w:val="30"/>
              <w:highlight w:val="none"/>
            </w:rPr>
            <w:t>递交备份投标（响应）文件授权函</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_Toc22683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53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end"/>
          </w:r>
        </w:p>
      </w:sdtContent>
    </w:sdt>
    <w:p>
      <w:pPr>
        <w:adjustRightInd w:val="0"/>
        <w:snapToGrid w:val="0"/>
        <w:spacing w:line="360" w:lineRule="auto"/>
        <w:jc w:val="center"/>
        <w:rPr>
          <w:rFonts w:hint="eastAsia" w:ascii="宋体" w:hAnsi="宋体" w:eastAsia="宋体"/>
          <w:b/>
          <w:bCs/>
          <w:color w:val="auto"/>
          <w:sz w:val="32"/>
          <w:szCs w:val="32"/>
          <w:highlight w:val="none"/>
          <w:lang w:eastAsia="zh-CN"/>
        </w:rPr>
      </w:pPr>
      <w:r>
        <w:rPr>
          <w:rFonts w:hint="eastAsia" w:ascii="宋体" w:hAnsi="宋体"/>
          <w:bCs/>
          <w:color w:val="auto"/>
          <w:sz w:val="44"/>
          <w:highlight w:val="none"/>
        </w:rPr>
        <w:br w:type="page"/>
      </w:r>
      <w:r>
        <w:rPr>
          <w:rFonts w:hint="eastAsia" w:ascii="宋体" w:hAnsi="宋体"/>
          <w:b/>
          <w:bCs/>
          <w:color w:val="auto"/>
          <w:sz w:val="32"/>
          <w:szCs w:val="32"/>
          <w:highlight w:val="none"/>
          <w:lang w:eastAsia="zh-CN"/>
        </w:rPr>
        <w:t>大连盐化集团有限公司进口融雪盐港杂服务采购项目</w:t>
      </w:r>
    </w:p>
    <w:p>
      <w:pPr>
        <w:adjustRightInd w:val="0"/>
        <w:snapToGrid w:val="0"/>
        <w:spacing w:line="360" w:lineRule="auto"/>
        <w:jc w:val="center"/>
        <w:outlineLvl w:val="0"/>
        <w:rPr>
          <w:rFonts w:ascii="宋体" w:hAnsi="宋体"/>
          <w:b/>
          <w:bCs/>
          <w:color w:val="auto"/>
          <w:sz w:val="32"/>
          <w:szCs w:val="32"/>
          <w:highlight w:val="none"/>
        </w:rPr>
      </w:pPr>
      <w:bookmarkStart w:id="3" w:name="_Toc30561"/>
      <w:r>
        <w:rPr>
          <w:rFonts w:hint="eastAsia" w:ascii="宋体" w:hAnsi="宋体"/>
          <w:b/>
          <w:bCs/>
          <w:color w:val="auto"/>
          <w:sz w:val="32"/>
          <w:szCs w:val="32"/>
          <w:highlight w:val="none"/>
        </w:rPr>
        <w:t>招标公告</w:t>
      </w:r>
      <w:bookmarkEnd w:id="3"/>
    </w:p>
    <w:p>
      <w:pPr>
        <w:adjustRightInd w:val="0"/>
        <w:spacing w:line="360" w:lineRule="auto"/>
        <w:ind w:firstLine="480" w:firstLineChars="200"/>
        <w:outlineLvl w:val="9"/>
        <w:rPr>
          <w:rFonts w:hint="eastAsia" w:ascii="宋体" w:hAnsi="宋体"/>
          <w:color w:val="auto"/>
          <w:sz w:val="24"/>
          <w:szCs w:val="24"/>
          <w:highlight w:val="none"/>
          <w:u w:val="none"/>
        </w:rPr>
      </w:pPr>
      <w:r>
        <w:rPr>
          <w:rFonts w:hint="eastAsia" w:ascii="宋体" w:hAnsi="宋体"/>
          <w:color w:val="auto"/>
          <w:sz w:val="24"/>
          <w:szCs w:val="24"/>
          <w:highlight w:val="none"/>
          <w:u w:val="none"/>
          <w:lang w:eastAsia="zh-CN"/>
        </w:rPr>
        <w:t>大连盐化集团有限公司进口融雪盐港杂服务采购项目</w:t>
      </w:r>
      <w:r>
        <w:rPr>
          <w:rFonts w:hint="eastAsia" w:ascii="宋体" w:hAnsi="宋体"/>
          <w:color w:val="auto"/>
          <w:sz w:val="24"/>
          <w:szCs w:val="24"/>
          <w:highlight w:val="none"/>
          <w:u w:val="none"/>
        </w:rPr>
        <w:t>的</w:t>
      </w:r>
      <w:r>
        <w:rPr>
          <w:rFonts w:hint="eastAsia" w:ascii="宋体" w:hAnsi="宋体" w:eastAsia="宋体" w:cs="宋体"/>
          <w:i w:val="0"/>
          <w:iCs w:val="0"/>
          <w:caps w:val="0"/>
          <w:color w:val="auto"/>
          <w:spacing w:val="0"/>
          <w:sz w:val="24"/>
          <w:szCs w:val="24"/>
          <w:highlight w:val="none"/>
          <w:u w:val="none"/>
        </w:rPr>
        <w:t>潜在投标人应在</w:t>
      </w:r>
      <w:r>
        <w:rPr>
          <w:rStyle w:val="33"/>
          <w:rFonts w:hint="eastAsia" w:ascii="宋体" w:hAnsi="宋体" w:eastAsia="宋体" w:cs="宋体"/>
          <w:i w:val="0"/>
          <w:iCs w:val="0"/>
          <w:caps w:val="0"/>
          <w:color w:val="auto"/>
          <w:spacing w:val="0"/>
          <w:sz w:val="24"/>
          <w:szCs w:val="24"/>
          <w:highlight w:val="none"/>
          <w:u w:val="none"/>
        </w:rPr>
        <w:t>大连国企阳光采购服务平台</w:t>
      </w:r>
      <w:r>
        <w:rPr>
          <w:rFonts w:hint="eastAsia" w:ascii="宋体" w:hAnsi="宋体" w:eastAsia="宋体" w:cs="宋体"/>
          <w:i w:val="0"/>
          <w:iCs w:val="0"/>
          <w:caps w:val="0"/>
          <w:color w:val="auto"/>
          <w:spacing w:val="0"/>
          <w:sz w:val="24"/>
          <w:szCs w:val="24"/>
          <w:highlight w:val="none"/>
          <w:u w:val="none"/>
        </w:rPr>
        <w:t>线上获取招标文件，</w:t>
      </w:r>
      <w:r>
        <w:rPr>
          <w:rFonts w:hint="eastAsia" w:ascii="宋体" w:hAnsi="宋体"/>
          <w:color w:val="auto"/>
          <w:sz w:val="24"/>
          <w:szCs w:val="24"/>
          <w:highlight w:val="none"/>
          <w:u w:val="none"/>
        </w:rPr>
        <w:t>并于</w:t>
      </w:r>
      <w:r>
        <w:rPr>
          <w:rFonts w:hint="eastAsia" w:ascii="宋体" w:hAnsi="宋体"/>
          <w:color w:val="auto"/>
          <w:sz w:val="24"/>
          <w:highlight w:val="none"/>
          <w:u w:val="none"/>
          <w:lang w:eastAsia="zh-CN"/>
        </w:rPr>
        <w:t>2024年10月18日</w:t>
      </w:r>
      <w:r>
        <w:rPr>
          <w:rFonts w:hint="eastAsia" w:ascii="宋体" w:hAnsi="宋体" w:cs="宋体"/>
          <w:i w:val="0"/>
          <w:iCs w:val="0"/>
          <w:caps w:val="0"/>
          <w:color w:val="auto"/>
          <w:spacing w:val="0"/>
          <w:sz w:val="24"/>
          <w:szCs w:val="24"/>
          <w:highlight w:val="none"/>
          <w:u w:val="none"/>
          <w:lang w:val="en-US" w:eastAsia="zh-CN"/>
        </w:rPr>
        <w:t>14</w:t>
      </w:r>
      <w:r>
        <w:rPr>
          <w:rFonts w:hint="eastAsia" w:ascii="宋体" w:hAnsi="宋体" w:eastAsia="宋体" w:cs="宋体"/>
          <w:i w:val="0"/>
          <w:iCs w:val="0"/>
          <w:caps w:val="0"/>
          <w:color w:val="auto"/>
          <w:spacing w:val="0"/>
          <w:sz w:val="24"/>
          <w:szCs w:val="24"/>
          <w:highlight w:val="none"/>
          <w:u w:val="none"/>
        </w:rPr>
        <w:t>:</w:t>
      </w:r>
      <w:r>
        <w:rPr>
          <w:rFonts w:hint="eastAsia" w:ascii="宋体" w:hAnsi="宋体" w:cs="宋体"/>
          <w:i w:val="0"/>
          <w:iCs w:val="0"/>
          <w:caps w:val="0"/>
          <w:color w:val="auto"/>
          <w:spacing w:val="0"/>
          <w:sz w:val="24"/>
          <w:szCs w:val="24"/>
          <w:highlight w:val="none"/>
          <w:u w:val="none"/>
          <w:lang w:val="en-US" w:eastAsia="zh-CN"/>
        </w:rPr>
        <w:t>0</w:t>
      </w:r>
      <w:r>
        <w:rPr>
          <w:rFonts w:hint="eastAsia" w:ascii="宋体" w:hAnsi="宋体" w:eastAsia="宋体" w:cs="宋体"/>
          <w:i w:val="0"/>
          <w:iCs w:val="0"/>
          <w:caps w:val="0"/>
          <w:color w:val="auto"/>
          <w:spacing w:val="0"/>
          <w:sz w:val="24"/>
          <w:szCs w:val="24"/>
          <w:highlight w:val="none"/>
          <w:u w:val="none"/>
          <w:lang w:val="en-US" w:eastAsia="zh-CN"/>
        </w:rPr>
        <w:t>0</w:t>
      </w:r>
      <w:r>
        <w:rPr>
          <w:rFonts w:hint="eastAsia" w:ascii="宋体" w:hAnsi="宋体"/>
          <w:bCs/>
          <w:color w:val="auto"/>
          <w:sz w:val="24"/>
          <w:szCs w:val="24"/>
          <w:highlight w:val="none"/>
          <w:u w:val="none"/>
        </w:rPr>
        <w:t>（北京时间）前</w:t>
      </w:r>
      <w:r>
        <w:rPr>
          <w:rFonts w:hint="eastAsia" w:ascii="宋体" w:hAnsi="宋体" w:eastAsia="宋体" w:cs="宋体"/>
          <w:i w:val="0"/>
          <w:iCs w:val="0"/>
          <w:caps w:val="0"/>
          <w:color w:val="auto"/>
          <w:spacing w:val="0"/>
          <w:sz w:val="24"/>
          <w:szCs w:val="24"/>
          <w:highlight w:val="none"/>
        </w:rPr>
        <w:t>线上</w:t>
      </w:r>
      <w:r>
        <w:rPr>
          <w:rFonts w:hint="eastAsia" w:ascii="宋体" w:hAnsi="宋体"/>
          <w:bCs/>
          <w:color w:val="auto"/>
          <w:sz w:val="24"/>
          <w:szCs w:val="24"/>
          <w:highlight w:val="none"/>
          <w:u w:val="none"/>
        </w:rPr>
        <w:t>递交投标</w:t>
      </w:r>
      <w:r>
        <w:rPr>
          <w:rFonts w:ascii="宋体" w:hAnsi="宋体"/>
          <w:bCs/>
          <w:color w:val="auto"/>
          <w:sz w:val="24"/>
          <w:szCs w:val="24"/>
          <w:highlight w:val="none"/>
          <w:u w:val="none"/>
        </w:rPr>
        <w:t>文件</w:t>
      </w:r>
      <w:r>
        <w:rPr>
          <w:rFonts w:hint="eastAsia" w:ascii="宋体" w:hAnsi="宋体"/>
          <w:color w:val="auto"/>
          <w:sz w:val="24"/>
          <w:szCs w:val="24"/>
          <w:highlight w:val="none"/>
          <w:u w:val="none"/>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一、项目编号：</w:t>
      </w:r>
      <w:r>
        <w:rPr>
          <w:rFonts w:hint="eastAsia" w:ascii="宋体" w:hAnsi="宋体" w:cs="宋体"/>
          <w:color w:val="auto"/>
          <w:kern w:val="0"/>
          <w:sz w:val="24"/>
          <w:highlight w:val="none"/>
          <w:lang w:eastAsia="zh-CN"/>
        </w:rPr>
        <w:t xml:space="preserve">DCZ202409085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二、招标内容：</w:t>
      </w:r>
    </w:p>
    <w:p>
      <w:pPr>
        <w:pStyle w:val="21"/>
        <w:spacing w:before="0" w:beforeAutospacing="0" w:after="0" w:afterAutospacing="0" w:line="360" w:lineRule="auto"/>
        <w:ind w:firstLine="480" w:firstLineChars="200"/>
        <w:jc w:val="both"/>
        <w:rPr>
          <w:rFonts w:hint="eastAsia" w:ascii="宋体" w:hAnsi="宋体" w:cs="宋体"/>
          <w:color w:val="auto"/>
          <w:kern w:val="0"/>
          <w:sz w:val="24"/>
          <w:highlight w:val="none"/>
        </w:rPr>
      </w:pPr>
      <w:r>
        <w:rPr>
          <w:rFonts w:hint="eastAsia"/>
          <w:color w:val="auto"/>
          <w:highlight w:val="none"/>
        </w:rPr>
        <w:t>港杂服务代理：船代、报关申报、卸船、SGS检测、港内捣载、归垛、二次过磅、苫盖、装汽车（负责装车一次），货物出港申报，开具服务费发票等。（详细内容见项目需求）</w:t>
      </w:r>
      <w:r>
        <w:rPr>
          <w:rFonts w:hint="eastAsia" w:ascii="宋体" w:hAnsi="宋体" w:cs="宋体"/>
          <w:color w:val="auto"/>
          <w:kern w:val="0"/>
          <w:sz w:val="24"/>
          <w:highlight w:val="none"/>
        </w:rPr>
        <w:t>。</w:t>
      </w:r>
    </w:p>
    <w:p>
      <w:pPr>
        <w:pStyle w:val="21"/>
        <w:spacing w:before="0" w:beforeAutospacing="0" w:after="0" w:afterAutospacing="0"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服务期限：自签订合同之日起至2025年2月2</w:t>
      </w:r>
      <w:r>
        <w:rPr>
          <w:rFonts w:hint="eastAsia"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日</w:t>
      </w:r>
      <w:r>
        <w:rPr>
          <w:rFonts w:hint="eastAsia" w:cs="宋体"/>
          <w:color w:val="auto"/>
          <w:kern w:val="0"/>
          <w:sz w:val="24"/>
          <w:highlight w:val="none"/>
          <w:lang w:val="en-US" w:eastAsia="zh-CN"/>
        </w:rPr>
        <w:t>。</w:t>
      </w:r>
    </w:p>
    <w:p>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三、</w:t>
      </w:r>
      <w:r>
        <w:rPr>
          <w:rFonts w:hint="eastAsia" w:ascii="宋体" w:hAnsi="宋体" w:cs="宋体"/>
          <w:color w:val="auto"/>
          <w:kern w:val="0"/>
          <w:sz w:val="24"/>
          <w:highlight w:val="none"/>
        </w:rPr>
        <w:t>投标人的资格：</w:t>
      </w:r>
    </w:p>
    <w:p>
      <w:pPr>
        <w:spacing w:line="360" w:lineRule="auto"/>
        <w:ind w:firstLine="480" w:firstLineChars="200"/>
        <w:rPr>
          <w:rFonts w:hint="eastAsia" w:ascii="宋体" w:hAnsi="宋体" w:cs="宋体"/>
          <w:color w:val="auto"/>
          <w:kern w:val="0"/>
          <w:sz w:val="24"/>
          <w:highlight w:val="none"/>
        </w:rPr>
      </w:pPr>
      <w:bookmarkStart w:id="4" w:name="OLE_LINK2"/>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具备《中华人民共和国政府采购法》第二十二条规定的条件</w:t>
      </w:r>
      <w:r>
        <w:rPr>
          <w:rFonts w:hint="eastAsia" w:ascii="宋体" w:hAnsi="宋体" w:cs="宋体"/>
          <w:color w:val="auto"/>
          <w:kern w:val="0"/>
          <w:sz w:val="24"/>
          <w:highlight w:val="none"/>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具有海上货运及陆路货运代理服务能力的独立企业法人或其他组织。</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（1）本项目不接受联合体投标；</w:t>
      </w:r>
    </w:p>
    <w:p>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（2）截至开标前，经“信用中国</w:t>
      </w:r>
      <w:r>
        <w:rPr>
          <w:rFonts w:hint="eastAsia" w:ascii="宋体" w:hAnsi="宋体"/>
          <w:color w:val="auto"/>
          <w:sz w:val="24"/>
          <w:highlight w:val="none"/>
        </w:rPr>
        <w:t>”网站(www.creditchina.gov.cn)、“信用辽宁”网站（www.lncredit.gov.cn）、“信用大连”网站（credit.dl.cn）大连市重大税收违法案件信息公示平台、“中国政府采购网”(www.ccgp.gov.cn)查询，被列入失信被执行人、重大税收违法案件当事人名单、政府采购严重违法失信行为记录名单的不得参加本采购项目。</w:t>
      </w:r>
      <w:bookmarkEnd w:id="4"/>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b w:val="0"/>
          <w:bCs w:val="0"/>
          <w:color w:val="auto"/>
          <w:sz w:val="24"/>
          <w:szCs w:val="24"/>
          <w:highlight w:val="none"/>
        </w:rPr>
        <w:t>获取招标文件</w:t>
      </w:r>
      <w:r>
        <w:rPr>
          <w:rFonts w:hint="eastAsia" w:ascii="宋体" w:hAnsi="宋体" w:cs="宋体"/>
          <w:color w:val="auto"/>
          <w:kern w:val="0"/>
          <w:sz w:val="24"/>
          <w:highlight w:val="none"/>
        </w:rPr>
        <w:t>：</w:t>
      </w:r>
    </w:p>
    <w:p>
      <w:pPr>
        <w:adjustRightInd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09</w:t>
      </w:r>
      <w:r>
        <w:rPr>
          <w:rFonts w:hint="eastAsia" w:ascii="宋体" w:hAnsi="宋体"/>
          <w:color w:val="auto"/>
          <w:sz w:val="24"/>
          <w:highlight w:val="none"/>
        </w:rPr>
        <w:t>日</w:t>
      </w:r>
      <w:r>
        <w:rPr>
          <w:rStyle w:val="33"/>
          <w:rFonts w:hint="eastAsia" w:ascii="宋体" w:hAnsi="宋体" w:eastAsia="宋体" w:cs="宋体"/>
          <w:i w:val="0"/>
          <w:iCs w:val="0"/>
          <w:caps w:val="0"/>
          <w:color w:val="auto"/>
          <w:spacing w:val="0"/>
          <w:sz w:val="24"/>
          <w:szCs w:val="24"/>
          <w:highlight w:val="none"/>
          <w:u w:val="none"/>
          <w:lang w:eastAsia="zh-CN"/>
        </w:rPr>
        <w:t>，</w:t>
      </w:r>
      <w:r>
        <w:rPr>
          <w:rStyle w:val="33"/>
          <w:rFonts w:hint="eastAsia" w:ascii="宋体" w:hAnsi="宋体" w:eastAsia="宋体" w:cs="宋体"/>
          <w:i w:val="0"/>
          <w:iCs w:val="0"/>
          <w:caps w:val="0"/>
          <w:color w:val="auto"/>
          <w:spacing w:val="0"/>
          <w:sz w:val="24"/>
          <w:szCs w:val="24"/>
          <w:highlight w:val="none"/>
          <w:u w:val="none"/>
        </w:rPr>
        <w:t>每天上午00:00至12:00，下午12:00至23:59</w:t>
      </w:r>
      <w:r>
        <w:rPr>
          <w:rStyle w:val="33"/>
          <w:rFonts w:hint="eastAsia" w:ascii="宋体" w:hAnsi="宋体" w:cs="宋体"/>
          <w:i w:val="0"/>
          <w:iCs w:val="0"/>
          <w:caps w:val="0"/>
          <w:color w:val="auto"/>
          <w:spacing w:val="0"/>
          <w:sz w:val="24"/>
          <w:szCs w:val="24"/>
          <w:highlight w:val="none"/>
          <w:u w:val="none"/>
          <w:lang w:eastAsia="zh-CN"/>
        </w:rPr>
        <w:t>（</w:t>
      </w:r>
      <w:r>
        <w:rPr>
          <w:rStyle w:val="33"/>
          <w:rFonts w:hint="eastAsia" w:ascii="宋体" w:hAnsi="宋体" w:eastAsia="宋体" w:cs="宋体"/>
          <w:i w:val="0"/>
          <w:iCs w:val="0"/>
          <w:caps w:val="0"/>
          <w:color w:val="auto"/>
          <w:spacing w:val="0"/>
          <w:sz w:val="24"/>
          <w:szCs w:val="24"/>
          <w:highlight w:val="none"/>
          <w:u w:val="none"/>
        </w:rPr>
        <w:t>北京时间</w:t>
      </w:r>
      <w:r>
        <w:rPr>
          <w:rStyle w:val="33"/>
          <w:rFonts w:hint="eastAsia" w:ascii="宋体" w:hAnsi="宋体" w:eastAsia="宋体" w:cs="宋体"/>
          <w:i w:val="0"/>
          <w:iCs w:val="0"/>
          <w:caps w:val="0"/>
          <w:color w:val="auto"/>
          <w:spacing w:val="0"/>
          <w:sz w:val="24"/>
          <w:szCs w:val="24"/>
          <w:highlight w:val="none"/>
          <w:u w:val="none"/>
          <w:lang w:eastAsia="zh-CN"/>
        </w:rPr>
        <w:t>）</w:t>
      </w:r>
      <w:r>
        <w:rPr>
          <w:rFonts w:hint="eastAsia" w:ascii="宋体" w:hAnsi="宋体"/>
          <w:color w:val="auto"/>
          <w:sz w:val="24"/>
          <w:szCs w:val="24"/>
          <w:highlight w:val="none"/>
        </w:rPr>
        <w:t xml:space="preserve">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Fonts w:hint="eastAsia" w:ascii="宋体" w:hAnsi="宋体"/>
          <w:color w:val="auto"/>
          <w:sz w:val="24"/>
          <w:szCs w:val="24"/>
          <w:highlight w:val="none"/>
          <w:lang w:eastAsia="zh-Hans"/>
        </w:rPr>
        <w:t>方式：</w:t>
      </w:r>
      <w:r>
        <w:rPr>
          <w:rStyle w:val="33"/>
          <w:rFonts w:hint="eastAsia" w:ascii="宋体" w:hAnsi="宋体" w:eastAsia="宋体" w:cs="宋体"/>
          <w:i w:val="0"/>
          <w:iCs w:val="0"/>
          <w:caps w:val="0"/>
          <w:color w:val="auto"/>
          <w:spacing w:val="0"/>
          <w:sz w:val="24"/>
          <w:szCs w:val="24"/>
          <w:highlight w:val="none"/>
          <w:u w:val="none"/>
        </w:rPr>
        <w:t>大连国企阳光采购服务平台(http://www.dlygcg.com/)线上获取；投标人应在公告中的获取采购文件截止时间前下载文件。投标人登录大连国企阳光采购服务平台在线申请获取采购文件（进入“项目采购”应用，在获取采购文件菜单中选择项目，申请获取采购文件）及更正文件(如有)。投标人须采用最新版更正（澄清）文件(如有)用于制作响应文件，否则产生的无法解密问题，视为投标人未递交响应文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rPr>
        <w:t>投标人须在获取采购文件截止时间前录入投标人信息（详情页面的“投标人信息”中选择“意向标项”并填写提交），未按规定录入的，将无法在线上传响应文件。（具体操作详见投标人操作手册）。</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rPr>
        <w:t>投标人在大连市政府采购网已办理的汇信、天谷及辽宁CA的均可通用，无需重复办理。未办理过上述CA的投标人，须申请CA。</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rPr>
        <w:t>平台服务费：人民币500</w:t>
      </w:r>
      <w:bookmarkStart w:id="5" w:name="OLE_LINK3"/>
      <w:r>
        <w:rPr>
          <w:rStyle w:val="33"/>
          <w:rFonts w:hint="eastAsia" w:ascii="宋体" w:hAnsi="宋体" w:eastAsia="宋体" w:cs="宋体"/>
          <w:i w:val="0"/>
          <w:iCs w:val="0"/>
          <w:caps w:val="0"/>
          <w:color w:val="auto"/>
          <w:spacing w:val="0"/>
          <w:sz w:val="24"/>
          <w:szCs w:val="24"/>
          <w:highlight w:val="none"/>
          <w:u w:val="none"/>
        </w:rPr>
        <w:t>元</w:t>
      </w:r>
      <w:bookmarkEnd w:id="5"/>
      <w:r>
        <w:rPr>
          <w:rStyle w:val="33"/>
          <w:rFonts w:hint="eastAsia" w:ascii="宋体" w:hAnsi="宋体" w:eastAsia="宋体" w:cs="宋体"/>
          <w:i w:val="0"/>
          <w:iCs w:val="0"/>
          <w:caps w:val="0"/>
          <w:color w:val="auto"/>
          <w:spacing w:val="0"/>
          <w:sz w:val="24"/>
          <w:szCs w:val="24"/>
          <w:highlight w:val="none"/>
          <w:u w:val="none"/>
        </w:rPr>
        <w:t>（该费用为平台费用，每个项目均收取该费用，一经支付平台即开始履行服务，与是否下载标书无关、与后续是否实际参与项目无关，平台服务费支付后不予退还），付款信息如下：</w:t>
      </w:r>
    </w:p>
    <w:p>
      <w:pPr>
        <w:adjustRightInd w:val="0"/>
        <w:spacing w:line="36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户名：大连阳光采购服务有限公司</w:t>
      </w:r>
    </w:p>
    <w:p>
      <w:pPr>
        <w:adjustRightInd w:val="0"/>
        <w:spacing w:line="36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账号：810024000001105</w:t>
      </w:r>
    </w:p>
    <w:p>
      <w:pPr>
        <w:adjustRightInd w:val="0"/>
        <w:spacing w:line="36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开户银行：大连银行股份有限公司营业部</w:t>
      </w:r>
    </w:p>
    <w:p>
      <w:pPr>
        <w:adjustRightInd w:val="0"/>
        <w:spacing w:line="36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开户行行号：313222081005</w:t>
      </w:r>
    </w:p>
    <w:p>
      <w:pPr>
        <w:adjustRightInd w:val="0"/>
        <w:spacing w:line="36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备注：须在下载文件前公对公付款并明确备注项目编号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lang w:val="en-US" w:eastAsia="zh-CN"/>
        </w:rPr>
        <w:t>五</w:t>
      </w:r>
      <w:r>
        <w:rPr>
          <w:rStyle w:val="33"/>
          <w:rFonts w:hint="eastAsia" w:ascii="宋体" w:hAnsi="宋体" w:eastAsia="宋体" w:cs="宋体"/>
          <w:i w:val="0"/>
          <w:iCs w:val="0"/>
          <w:caps w:val="0"/>
          <w:color w:val="auto"/>
          <w:spacing w:val="0"/>
          <w:sz w:val="24"/>
          <w:szCs w:val="24"/>
          <w:highlight w:val="none"/>
          <w:u w:val="none"/>
        </w:rPr>
        <w:t>、提交投标文件截间、开标时间和地点</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rPr>
        <w:t>提交投标文件截止时间及开标时间：</w:t>
      </w:r>
      <w:r>
        <w:rPr>
          <w:rStyle w:val="33"/>
          <w:rFonts w:hint="eastAsia" w:ascii="宋体" w:hAnsi="宋体" w:eastAsia="宋体" w:cs="宋体"/>
          <w:i w:val="0"/>
          <w:iCs w:val="0"/>
          <w:caps w:val="0"/>
          <w:color w:val="auto"/>
          <w:spacing w:val="0"/>
          <w:sz w:val="24"/>
          <w:szCs w:val="24"/>
          <w:highlight w:val="none"/>
          <w:u w:val="none"/>
          <w:lang w:eastAsia="zh-CN"/>
        </w:rPr>
        <w:t>2024年10月18日</w:t>
      </w:r>
      <w:r>
        <w:rPr>
          <w:rStyle w:val="33"/>
          <w:rFonts w:hint="eastAsia" w:ascii="宋体" w:hAnsi="宋体" w:eastAsia="宋体" w:cs="宋体"/>
          <w:i w:val="0"/>
          <w:iCs w:val="0"/>
          <w:caps w:val="0"/>
          <w:color w:val="auto"/>
          <w:spacing w:val="0"/>
          <w:sz w:val="24"/>
          <w:szCs w:val="24"/>
          <w:highlight w:val="none"/>
          <w:u w:val="none"/>
          <w:lang w:val="en-US" w:eastAsia="zh-CN"/>
        </w:rPr>
        <w:t>14:00</w:t>
      </w:r>
      <w:r>
        <w:rPr>
          <w:rStyle w:val="33"/>
          <w:rFonts w:hint="eastAsia" w:ascii="宋体" w:hAnsi="宋体" w:eastAsia="宋体" w:cs="宋体"/>
          <w:i w:val="0"/>
          <w:iCs w:val="0"/>
          <w:caps w:val="0"/>
          <w:color w:val="auto"/>
          <w:spacing w:val="0"/>
          <w:sz w:val="24"/>
          <w:szCs w:val="24"/>
          <w:highlight w:val="none"/>
          <w:u w:val="none"/>
        </w:rPr>
        <w:t>（北京时间）</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rPr>
        <w:t>开标地点：大连国企阳光采购服务平台线上开标</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lang w:val="en-US" w:eastAsia="zh-CN"/>
        </w:rPr>
      </w:pPr>
      <w:r>
        <w:rPr>
          <w:rStyle w:val="33"/>
          <w:rFonts w:hint="eastAsia" w:ascii="宋体" w:hAnsi="宋体" w:eastAsia="宋体" w:cs="宋体"/>
          <w:i w:val="0"/>
          <w:iCs w:val="0"/>
          <w:caps w:val="0"/>
          <w:color w:val="auto"/>
          <w:spacing w:val="0"/>
          <w:sz w:val="24"/>
          <w:szCs w:val="24"/>
          <w:highlight w:val="none"/>
          <w:u w:val="none"/>
        </w:rPr>
        <w:t>投标文件上传网址</w:t>
      </w:r>
      <w:r>
        <w:rPr>
          <w:rStyle w:val="33"/>
          <w:rFonts w:hint="eastAsia" w:ascii="宋体" w:hAnsi="宋体" w:eastAsia="宋体" w:cs="宋体"/>
          <w:i w:val="0"/>
          <w:iCs w:val="0"/>
          <w:caps w:val="0"/>
          <w:color w:val="auto"/>
          <w:spacing w:val="0"/>
          <w:sz w:val="24"/>
          <w:szCs w:val="24"/>
          <w:highlight w:val="none"/>
          <w:u w:val="none"/>
          <w:lang w:val="en-US" w:eastAsia="zh-CN"/>
        </w:rPr>
        <w:t>：</w:t>
      </w:r>
      <w:r>
        <w:rPr>
          <w:rStyle w:val="33"/>
          <w:rFonts w:hint="eastAsia" w:ascii="宋体" w:hAnsi="宋体" w:eastAsia="宋体" w:cs="宋体"/>
          <w:i w:val="0"/>
          <w:iCs w:val="0"/>
          <w:caps w:val="0"/>
          <w:color w:val="auto"/>
          <w:spacing w:val="0"/>
          <w:sz w:val="24"/>
          <w:szCs w:val="24"/>
          <w:highlight w:val="none"/>
          <w:u w:val="none"/>
          <w:lang w:val="en-US" w:eastAsia="zh-CN"/>
        </w:rPr>
        <w:fldChar w:fldCharType="begin"/>
      </w:r>
      <w:r>
        <w:rPr>
          <w:rStyle w:val="33"/>
          <w:rFonts w:hint="eastAsia" w:ascii="宋体" w:hAnsi="宋体" w:eastAsia="宋体" w:cs="宋体"/>
          <w:i w:val="0"/>
          <w:iCs w:val="0"/>
          <w:caps w:val="0"/>
          <w:color w:val="auto"/>
          <w:spacing w:val="0"/>
          <w:sz w:val="24"/>
          <w:szCs w:val="24"/>
          <w:highlight w:val="none"/>
          <w:u w:val="none"/>
          <w:lang w:val="en-US" w:eastAsia="zh-CN"/>
        </w:rPr>
        <w:instrText xml:space="preserve"> HYPERLINK "https://dlygcg.lecaiyun.com/luban/home" </w:instrText>
      </w:r>
      <w:r>
        <w:rPr>
          <w:rStyle w:val="33"/>
          <w:rFonts w:hint="eastAsia" w:ascii="宋体" w:hAnsi="宋体" w:eastAsia="宋体" w:cs="宋体"/>
          <w:i w:val="0"/>
          <w:iCs w:val="0"/>
          <w:caps w:val="0"/>
          <w:color w:val="auto"/>
          <w:spacing w:val="0"/>
          <w:sz w:val="24"/>
          <w:szCs w:val="24"/>
          <w:highlight w:val="none"/>
          <w:u w:val="none"/>
          <w:lang w:val="en-US" w:eastAsia="zh-CN"/>
        </w:rPr>
        <w:fldChar w:fldCharType="separate"/>
      </w:r>
      <w:r>
        <w:rPr>
          <w:rStyle w:val="33"/>
          <w:rFonts w:hint="eastAsia" w:ascii="宋体" w:hAnsi="宋体" w:eastAsia="宋体" w:cs="宋体"/>
          <w:i w:val="0"/>
          <w:iCs w:val="0"/>
          <w:caps w:val="0"/>
          <w:color w:val="auto"/>
          <w:spacing w:val="0"/>
          <w:sz w:val="24"/>
          <w:szCs w:val="24"/>
          <w:highlight w:val="none"/>
          <w:u w:val="none"/>
          <w:lang w:val="en-US" w:eastAsia="zh-CN"/>
        </w:rPr>
        <w:t>http://www.dlygcg.com/</w:t>
      </w:r>
      <w:r>
        <w:rPr>
          <w:rStyle w:val="33"/>
          <w:rFonts w:hint="eastAsia" w:ascii="宋体" w:hAnsi="宋体" w:eastAsia="宋体" w:cs="宋体"/>
          <w:i w:val="0"/>
          <w:iCs w:val="0"/>
          <w:caps w:val="0"/>
          <w:color w:val="auto"/>
          <w:spacing w:val="0"/>
          <w:sz w:val="24"/>
          <w:szCs w:val="24"/>
          <w:highlight w:val="none"/>
          <w:u w:val="none"/>
          <w:lang w:val="en-US" w:eastAsia="zh-CN"/>
        </w:rPr>
        <w:fldChar w:fldCharType="end"/>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default" w:ascii="宋体" w:hAnsi="宋体" w:eastAsia="宋体" w:cs="宋体"/>
          <w:i w:val="0"/>
          <w:iCs w:val="0"/>
          <w:caps w:val="0"/>
          <w:color w:val="auto"/>
          <w:spacing w:val="0"/>
          <w:sz w:val="24"/>
          <w:szCs w:val="24"/>
          <w:highlight w:val="none"/>
          <w:u w:val="none"/>
          <w:lang w:val="en-US" w:eastAsia="zh-CN"/>
        </w:rPr>
      </w:pPr>
      <w:r>
        <w:rPr>
          <w:rStyle w:val="33"/>
          <w:rFonts w:hint="eastAsia" w:ascii="宋体" w:hAnsi="宋体" w:eastAsia="宋体" w:cs="宋体"/>
          <w:i w:val="0"/>
          <w:iCs w:val="0"/>
          <w:caps w:val="0"/>
          <w:color w:val="auto"/>
          <w:spacing w:val="0"/>
          <w:sz w:val="24"/>
          <w:szCs w:val="24"/>
          <w:highlight w:val="none"/>
          <w:u w:val="none"/>
          <w:lang w:val="en-US" w:eastAsia="zh-CN"/>
        </w:rPr>
        <w:t>六、</w:t>
      </w:r>
      <w:r>
        <w:rPr>
          <w:rStyle w:val="33"/>
          <w:rFonts w:hint="eastAsia" w:ascii="宋体" w:hAnsi="宋体" w:eastAsia="宋体" w:cs="宋体"/>
          <w:i w:val="0"/>
          <w:iCs w:val="0"/>
          <w:caps w:val="0"/>
          <w:color w:val="auto"/>
          <w:spacing w:val="0"/>
          <w:sz w:val="24"/>
          <w:szCs w:val="24"/>
          <w:highlight w:val="none"/>
          <w:u w:val="none"/>
          <w:lang w:eastAsia="zh-CN"/>
        </w:rPr>
        <w:t>项目预算</w:t>
      </w:r>
      <w:r>
        <w:rPr>
          <w:rStyle w:val="33"/>
          <w:rFonts w:hint="eastAsia" w:ascii="宋体" w:hAnsi="宋体" w:eastAsia="宋体" w:cs="宋体"/>
          <w:i w:val="0"/>
          <w:iCs w:val="0"/>
          <w:caps w:val="0"/>
          <w:color w:val="auto"/>
          <w:spacing w:val="0"/>
          <w:sz w:val="24"/>
          <w:szCs w:val="24"/>
          <w:highlight w:val="none"/>
          <w:u w:val="none"/>
        </w:rPr>
        <w:t>：</w:t>
      </w:r>
      <w:r>
        <w:rPr>
          <w:rStyle w:val="33"/>
          <w:rFonts w:hint="eastAsia" w:ascii="宋体" w:hAnsi="宋体" w:eastAsia="宋体" w:cs="宋体"/>
          <w:i w:val="0"/>
          <w:iCs w:val="0"/>
          <w:caps w:val="0"/>
          <w:color w:val="auto"/>
          <w:spacing w:val="0"/>
          <w:sz w:val="24"/>
          <w:szCs w:val="24"/>
          <w:highlight w:val="none"/>
          <w:u w:val="none"/>
          <w:lang w:val="en-US" w:eastAsia="zh-CN"/>
        </w:rPr>
        <w:t>189.75万元</w:t>
      </w:r>
      <w:r>
        <w:rPr>
          <w:rStyle w:val="33"/>
          <w:rFonts w:hint="eastAsia" w:ascii="宋体" w:hAnsi="宋体" w:eastAsia="宋体" w:cs="宋体"/>
          <w:i w:val="0"/>
          <w:iCs w:val="0"/>
          <w:caps w:val="0"/>
          <w:color w:val="auto"/>
          <w:spacing w:val="0"/>
          <w:sz w:val="24"/>
          <w:szCs w:val="24"/>
          <w:highlight w:val="none"/>
          <w:u w:val="none"/>
          <w:lang w:val="en-US" w:eastAsia="zh-CN"/>
        </w:rPr>
        <w:t>（投标</w:t>
      </w:r>
      <w:r>
        <w:rPr>
          <w:rStyle w:val="33"/>
          <w:rFonts w:hint="eastAsia" w:ascii="宋体" w:hAnsi="宋体" w:eastAsia="宋体" w:cs="宋体"/>
          <w:i w:val="0"/>
          <w:iCs w:val="0"/>
          <w:caps w:val="0"/>
          <w:color w:val="auto"/>
          <w:spacing w:val="0"/>
          <w:sz w:val="24"/>
          <w:szCs w:val="24"/>
          <w:highlight w:val="none"/>
          <w:u w:val="none"/>
          <w:lang w:eastAsia="zh-CN"/>
        </w:rPr>
        <w:t>报价超出招标</w:t>
      </w:r>
      <w:r>
        <w:rPr>
          <w:rStyle w:val="33"/>
          <w:rFonts w:hint="eastAsia" w:ascii="宋体" w:hAnsi="宋体" w:eastAsia="宋体" w:cs="宋体"/>
          <w:i w:val="0"/>
          <w:iCs w:val="0"/>
          <w:caps w:val="0"/>
          <w:color w:val="auto"/>
          <w:spacing w:val="0"/>
          <w:sz w:val="24"/>
          <w:szCs w:val="24"/>
          <w:highlight w:val="none"/>
          <w:u w:val="none"/>
          <w:lang w:val="en-US" w:eastAsia="zh-CN"/>
        </w:rPr>
        <w:t>单价限</w:t>
      </w:r>
      <w:r>
        <w:rPr>
          <w:rStyle w:val="33"/>
          <w:rFonts w:hint="eastAsia" w:ascii="宋体" w:hAnsi="宋体" w:eastAsia="宋体" w:cs="宋体"/>
          <w:i w:val="0"/>
          <w:iCs w:val="0"/>
          <w:caps w:val="0"/>
          <w:color w:val="auto"/>
          <w:spacing w:val="0"/>
          <w:sz w:val="24"/>
          <w:szCs w:val="24"/>
          <w:highlight w:val="none"/>
          <w:u w:val="none"/>
          <w:lang w:eastAsia="zh-CN"/>
        </w:rPr>
        <w:t>价的，按无效报价处理。</w:t>
      </w:r>
      <w:r>
        <w:rPr>
          <w:rStyle w:val="33"/>
          <w:rFonts w:hint="eastAsia" w:ascii="宋体" w:hAnsi="宋体" w:eastAsia="宋体" w:cs="宋体"/>
          <w:i w:val="0"/>
          <w:iCs w:val="0"/>
          <w:caps w:val="0"/>
          <w:color w:val="auto"/>
          <w:spacing w:val="0"/>
          <w:sz w:val="24"/>
          <w:szCs w:val="24"/>
          <w:highlight w:val="none"/>
          <w:u w:val="none"/>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u w:val="none"/>
        </w:rPr>
      </w:pPr>
      <w:r>
        <w:rPr>
          <w:rStyle w:val="33"/>
          <w:rFonts w:hint="eastAsia" w:ascii="宋体" w:hAnsi="宋体" w:eastAsia="宋体" w:cs="宋体"/>
          <w:i w:val="0"/>
          <w:iCs w:val="0"/>
          <w:caps w:val="0"/>
          <w:color w:val="auto"/>
          <w:spacing w:val="0"/>
          <w:sz w:val="24"/>
          <w:szCs w:val="24"/>
          <w:highlight w:val="none"/>
          <w:u w:val="none"/>
          <w:lang w:val="en-US" w:eastAsia="zh-CN"/>
        </w:rPr>
        <w:t>港杂服务费</w:t>
      </w:r>
      <w:r>
        <w:rPr>
          <w:rStyle w:val="33"/>
          <w:rFonts w:hint="eastAsia" w:cs="宋体"/>
          <w:i w:val="0"/>
          <w:iCs w:val="0"/>
          <w:caps w:val="0"/>
          <w:color w:val="auto"/>
          <w:spacing w:val="0"/>
          <w:sz w:val="24"/>
          <w:szCs w:val="24"/>
          <w:highlight w:val="none"/>
          <w:u w:val="none"/>
          <w:lang w:val="en-US" w:eastAsia="zh-CN"/>
        </w:rPr>
        <w:t>招标</w:t>
      </w:r>
      <w:r>
        <w:rPr>
          <w:rStyle w:val="33"/>
          <w:rFonts w:hint="eastAsia" w:ascii="宋体" w:hAnsi="宋体" w:eastAsia="宋体" w:cs="宋体"/>
          <w:i w:val="0"/>
          <w:iCs w:val="0"/>
          <w:caps w:val="0"/>
          <w:color w:val="auto"/>
          <w:spacing w:val="0"/>
          <w:sz w:val="24"/>
          <w:szCs w:val="24"/>
          <w:highlight w:val="none"/>
          <w:u w:val="none"/>
          <w:lang w:val="en-US" w:eastAsia="zh-CN"/>
        </w:rPr>
        <w:t>单价限</w:t>
      </w:r>
      <w:r>
        <w:rPr>
          <w:rStyle w:val="33"/>
          <w:rFonts w:hint="eastAsia" w:ascii="宋体" w:hAnsi="宋体" w:eastAsia="宋体" w:cs="宋体"/>
          <w:i w:val="0"/>
          <w:iCs w:val="0"/>
          <w:caps w:val="0"/>
          <w:color w:val="auto"/>
          <w:spacing w:val="0"/>
          <w:sz w:val="24"/>
          <w:szCs w:val="24"/>
          <w:highlight w:val="none"/>
          <w:u w:val="none"/>
        </w:rPr>
        <w:t>价：34.5元/吨。</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color w:val="auto"/>
          <w:highlight w:val="none"/>
          <w:lang w:val="en-US" w:eastAsia="zh-CN"/>
        </w:rPr>
      </w:pPr>
      <w:r>
        <w:rPr>
          <w:rFonts w:hint="eastAsia"/>
          <w:color w:val="auto"/>
          <w:highlight w:val="none"/>
          <w:lang w:val="en-US" w:eastAsia="zh-CN"/>
        </w:rPr>
        <w:t>上述价格为当前市场价，当港杂费政策调整时，价格随行就市进行调整，经双方协商另签补充协议确定后执行。</w:t>
      </w:r>
    </w:p>
    <w:p>
      <w:pPr>
        <w:numPr>
          <w:ilvl w:val="0"/>
          <w:numId w:val="0"/>
        </w:numPr>
        <w:tabs>
          <w:tab w:val="left" w:pos="420"/>
        </w:tabs>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color w:val="auto"/>
          <w:kern w:val="0"/>
          <w:sz w:val="24"/>
          <w:highlight w:val="none"/>
          <w:lang w:val="en-US" w:eastAsia="zh-CN"/>
        </w:rPr>
        <w:t>七、</w:t>
      </w:r>
      <w:r>
        <w:rPr>
          <w:rFonts w:hint="eastAsia" w:ascii="宋体" w:hAnsi="宋体" w:cs="宋体"/>
          <w:b w:val="0"/>
          <w:bCs w:val="0"/>
          <w:color w:val="auto"/>
          <w:sz w:val="24"/>
          <w:szCs w:val="24"/>
          <w:highlight w:val="none"/>
        </w:rPr>
        <w:t>公告期限</w:t>
      </w:r>
    </w:p>
    <w:p>
      <w:pPr>
        <w:adjustRightInd w:val="0"/>
        <w:spacing w:line="360" w:lineRule="auto"/>
        <w:ind w:firstLine="480" w:firstLineChars="200"/>
        <w:rPr>
          <w:rFonts w:hint="eastAsia" w:ascii="宋体" w:hAnsi="宋体" w:eastAsia="宋体" w:cs="宋体"/>
          <w:i w:val="0"/>
          <w:iCs w:val="0"/>
          <w:caps w:val="0"/>
          <w:color w:val="auto"/>
          <w:spacing w:val="0"/>
          <w:sz w:val="24"/>
          <w:szCs w:val="24"/>
          <w:highlight w:val="none"/>
        </w:rPr>
      </w:pPr>
      <w:bookmarkStart w:id="6" w:name="_Toc136012724"/>
      <w:bookmarkStart w:id="7" w:name="_Toc49521281"/>
      <w:bookmarkStart w:id="8" w:name="_Toc67658612"/>
      <w:bookmarkStart w:id="9" w:name="_Toc67318989"/>
      <w:bookmarkStart w:id="10" w:name="_Toc72486623"/>
      <w:bookmarkStart w:id="11" w:name="_Toc72486669"/>
      <w:bookmarkStart w:id="12" w:name="_Toc101788148"/>
      <w:bookmarkStart w:id="13" w:name="_Toc59201306"/>
      <w:bookmarkStart w:id="14" w:name="_Toc71363825"/>
      <w:bookmarkStart w:id="15" w:name="_Toc35393626"/>
      <w:bookmarkStart w:id="16" w:name="_Toc67314293"/>
      <w:bookmarkStart w:id="17" w:name="_Toc49157445"/>
      <w:bookmarkStart w:id="18" w:name="_Toc59201353"/>
      <w:bookmarkStart w:id="19" w:name="_Toc35393795"/>
      <w:bookmarkStart w:id="20" w:name="_Toc98509166"/>
      <w:bookmarkStart w:id="21" w:name="_Toc59204799"/>
      <w:bookmarkStart w:id="22" w:name="_Toc124240621"/>
      <w:bookmarkStart w:id="23" w:name="_Toc98509221"/>
      <w:bookmarkStart w:id="24" w:name="_Toc126062096"/>
      <w:bookmarkStart w:id="25" w:name="_Toc135402783"/>
      <w:bookmarkStart w:id="26" w:name="_Toc49521391"/>
      <w:bookmarkStart w:id="27" w:name="_Toc59207819"/>
      <w:bookmarkStart w:id="28" w:name="_Toc127783513"/>
      <w:bookmarkStart w:id="29" w:name="_Toc101691071"/>
      <w:bookmarkStart w:id="30" w:name="_Toc59204837"/>
      <w:r>
        <w:rPr>
          <w:rFonts w:hint="eastAsia" w:ascii="宋体" w:hAnsi="宋体" w:eastAsia="宋体" w:cs="宋体"/>
          <w:i w:val="0"/>
          <w:iCs w:val="0"/>
          <w:caps w:val="0"/>
          <w:color w:val="auto"/>
          <w:spacing w:val="0"/>
          <w:sz w:val="24"/>
          <w:szCs w:val="24"/>
          <w:highlight w:val="none"/>
        </w:rPr>
        <w:t>自本公告发布之日起5日</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numPr>
          <w:ilvl w:val="0"/>
          <w:numId w:val="0"/>
        </w:numPr>
        <w:adjustRightInd w:val="0"/>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lang w:val="en-US" w:eastAsia="zh-CN" w:bidi="ar-SA"/>
        </w:rPr>
        <w:t>八、</w:t>
      </w:r>
      <w:r>
        <w:rPr>
          <w:rStyle w:val="27"/>
          <w:rFonts w:hint="eastAsia" w:ascii="宋体" w:hAnsi="宋体" w:eastAsia="宋体" w:cs="宋体"/>
          <w:b w:val="0"/>
          <w:bCs w:val="0"/>
          <w:i w:val="0"/>
          <w:iCs w:val="0"/>
          <w:caps w:val="0"/>
          <w:color w:val="auto"/>
          <w:spacing w:val="0"/>
          <w:sz w:val="24"/>
          <w:szCs w:val="24"/>
          <w:highlight w:val="none"/>
        </w:rPr>
        <w:t>其他补充事宜</w:t>
      </w:r>
      <w:r>
        <w:rPr>
          <w:rFonts w:hint="eastAsia" w:ascii="宋体" w:hAnsi="宋体" w:eastAsia="宋体" w:cs="宋体"/>
          <w:i w:val="0"/>
          <w:iCs w:val="0"/>
          <w:caps w:val="0"/>
          <w:color w:val="auto"/>
          <w:spacing w:val="0"/>
          <w:sz w:val="24"/>
          <w:szCs w:val="24"/>
          <w:highlight w:val="none"/>
        </w:rPr>
        <w:t> </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lang w:eastAsia="zh-CN"/>
        </w:rPr>
      </w:pPr>
      <w:r>
        <w:rPr>
          <w:rStyle w:val="33"/>
          <w:rFonts w:hint="eastAsia" w:ascii="宋体" w:hAnsi="宋体" w:eastAsia="宋体" w:cs="宋体"/>
          <w:i w:val="0"/>
          <w:iCs w:val="0"/>
          <w:caps w:val="0"/>
          <w:color w:val="auto"/>
          <w:spacing w:val="0"/>
          <w:sz w:val="24"/>
          <w:szCs w:val="24"/>
          <w:highlight w:val="none"/>
        </w:rPr>
        <w:t>在线递交投标文件。投标人应在规定的提交投标文件截止时间前登陆大连国企阳光采购服务平台（</w:t>
      </w:r>
      <w:r>
        <w:rPr>
          <w:rStyle w:val="33"/>
          <w:rFonts w:hint="eastAsia" w:cs="宋体"/>
          <w:i w:val="0"/>
          <w:iCs w:val="0"/>
          <w:caps w:val="0"/>
          <w:color w:val="auto"/>
          <w:spacing w:val="0"/>
          <w:sz w:val="24"/>
          <w:szCs w:val="24"/>
          <w:highlight w:val="none"/>
          <w:lang w:eastAsia="zh-CN"/>
        </w:rPr>
        <w:t>http://www.dlygcg.com/</w:t>
      </w:r>
      <w:r>
        <w:rPr>
          <w:rStyle w:val="33"/>
          <w:rFonts w:hint="eastAsia" w:ascii="宋体" w:hAnsi="宋体" w:eastAsia="宋体" w:cs="宋体"/>
          <w:i w:val="0"/>
          <w:iCs w:val="0"/>
          <w:caps w:val="0"/>
          <w:color w:val="auto"/>
          <w:spacing w:val="0"/>
          <w:sz w:val="24"/>
          <w:szCs w:val="24"/>
          <w:highlight w:val="none"/>
        </w:rPr>
        <w:t>），凭数字证书（CA）在线上传完成符合规定格式要求的投标文件。投标文件需要投标人凭数字证书（CA）进行在线解密。</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rPr>
      </w:pPr>
      <w:r>
        <w:rPr>
          <w:rStyle w:val="33"/>
          <w:rFonts w:hint="eastAsia" w:ascii="宋体" w:hAnsi="宋体" w:eastAsia="宋体" w:cs="宋体"/>
          <w:i w:val="0"/>
          <w:iCs w:val="0"/>
          <w:caps w:val="0"/>
          <w:color w:val="auto"/>
          <w:spacing w:val="0"/>
          <w:sz w:val="24"/>
          <w:szCs w:val="24"/>
          <w:highlight w:val="none"/>
        </w:rPr>
        <w:t>本项目开标为线上不见面开标，具体业务流程及操作手册请于“http://ccgp-dalian.gov.cn/luban/category?parentId=55844&amp;childrenCode=dlzfcgCategory111”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p>
    <w:p>
      <w:pPr>
        <w:numPr>
          <w:ilvl w:val="0"/>
          <w:numId w:val="0"/>
        </w:numPr>
        <w:adjustRightInd w:val="0"/>
        <w:spacing w:line="360" w:lineRule="auto"/>
        <w:ind w:firstLine="480" w:firstLineChars="200"/>
        <w:outlineLvl w:val="9"/>
        <w:rPr>
          <w:rStyle w:val="33"/>
          <w:rFonts w:hint="eastAsia" w:ascii="宋体" w:hAnsi="宋体" w:eastAsia="宋体" w:cs="宋体"/>
          <w:i w:val="0"/>
          <w:iCs w:val="0"/>
          <w:caps w:val="0"/>
          <w:color w:val="auto"/>
          <w:spacing w:val="0"/>
          <w:sz w:val="24"/>
          <w:szCs w:val="24"/>
          <w:highlight w:val="none"/>
          <w:lang w:eastAsia="zh-CN"/>
        </w:rPr>
      </w:pPr>
      <w:r>
        <w:rPr>
          <w:rStyle w:val="33"/>
          <w:rFonts w:hint="eastAsia" w:ascii="宋体" w:hAnsi="宋体" w:eastAsia="宋体" w:cs="宋体"/>
          <w:i w:val="0"/>
          <w:iCs w:val="0"/>
          <w:caps w:val="0"/>
          <w:color w:val="auto"/>
          <w:spacing w:val="0"/>
          <w:sz w:val="24"/>
          <w:szCs w:val="24"/>
          <w:highlight w:val="none"/>
        </w:rPr>
        <w:t>本项目为远程开标，各投标人须在投标文件的“投标人需说明的其它问题”中，写明本项目的联系人及联系电话（建议包含手机及座机号码），并注意接听来电，以便重要事宜的通知。若因联系电话错误、关机、无法接通等原因无法联系到投标人，投标人自行承担相应后果。</w:t>
      </w:r>
    </w:p>
    <w:p>
      <w:pPr>
        <w:numPr>
          <w:ilvl w:val="0"/>
          <w:numId w:val="0"/>
        </w:numPr>
        <w:adjustRightInd w:val="0"/>
        <w:spacing w:line="360" w:lineRule="auto"/>
        <w:ind w:firstLine="480" w:firstLineChars="200"/>
        <w:outlineLvl w:val="9"/>
        <w:rPr>
          <w:rFonts w:hint="default" w:ascii="宋体" w:hAnsi="宋体" w:eastAsia="宋体" w:cs="宋体"/>
          <w:i w:val="0"/>
          <w:iCs w:val="0"/>
          <w:caps w:val="0"/>
          <w:color w:val="auto"/>
          <w:spacing w:val="0"/>
          <w:sz w:val="24"/>
          <w:szCs w:val="24"/>
          <w:highlight w:val="none"/>
          <w:lang w:val="en-US" w:eastAsia="zh-CN"/>
        </w:rPr>
      </w:pPr>
      <w:r>
        <w:rPr>
          <w:rStyle w:val="33"/>
          <w:rFonts w:hint="eastAsia" w:ascii="宋体" w:hAnsi="宋体" w:eastAsia="宋体" w:cs="宋体"/>
          <w:i w:val="0"/>
          <w:iCs w:val="0"/>
          <w:caps w:val="0"/>
          <w:color w:val="auto"/>
          <w:spacing w:val="0"/>
          <w:sz w:val="24"/>
          <w:szCs w:val="24"/>
          <w:highlight w:val="none"/>
        </w:rPr>
        <w:t>请各投标人在本项目开标前完成大连国企阳光采购服务平台注册并须审核通过（咨询电话：95763）。</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rPr>
      </w:pPr>
      <w:r>
        <w:rPr>
          <w:rStyle w:val="33"/>
          <w:rFonts w:hint="eastAsia" w:ascii="宋体" w:hAnsi="宋体" w:eastAsia="宋体" w:cs="宋体"/>
          <w:i w:val="0"/>
          <w:iCs w:val="0"/>
          <w:caps w:val="0"/>
          <w:color w:val="auto"/>
          <w:spacing w:val="0"/>
          <w:sz w:val="24"/>
          <w:szCs w:val="24"/>
          <w:highlight w:val="none"/>
          <w:lang w:val="en-US" w:eastAsia="zh-CN"/>
        </w:rPr>
        <w:t>九、</w:t>
      </w:r>
      <w:r>
        <w:rPr>
          <w:rStyle w:val="33"/>
          <w:rFonts w:hint="eastAsia" w:ascii="宋体" w:hAnsi="宋体" w:eastAsia="宋体" w:cs="宋体"/>
          <w:i w:val="0"/>
          <w:iCs w:val="0"/>
          <w:caps w:val="0"/>
          <w:color w:val="auto"/>
          <w:spacing w:val="0"/>
          <w:sz w:val="24"/>
          <w:szCs w:val="24"/>
          <w:highlight w:val="none"/>
        </w:rPr>
        <w:t>招标人：大连盐化集团有限公司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textAlignment w:val="auto"/>
        <w:rPr>
          <w:rStyle w:val="33"/>
          <w:rFonts w:hint="eastAsia" w:ascii="宋体" w:hAnsi="宋体" w:eastAsia="宋体" w:cs="宋体"/>
          <w:i w:val="0"/>
          <w:iCs w:val="0"/>
          <w:caps w:val="0"/>
          <w:color w:val="auto"/>
          <w:spacing w:val="0"/>
          <w:sz w:val="24"/>
          <w:szCs w:val="24"/>
          <w:highlight w:val="none"/>
          <w:lang w:val="en-US" w:eastAsia="zh-CN"/>
        </w:rPr>
      </w:pPr>
      <w:r>
        <w:rPr>
          <w:rStyle w:val="33"/>
          <w:rFonts w:hint="eastAsia" w:ascii="宋体" w:hAnsi="宋体" w:eastAsia="宋体" w:cs="宋体"/>
          <w:i w:val="0"/>
          <w:iCs w:val="0"/>
          <w:caps w:val="0"/>
          <w:color w:val="auto"/>
          <w:spacing w:val="0"/>
          <w:sz w:val="24"/>
          <w:szCs w:val="24"/>
          <w:highlight w:val="none"/>
        </w:rPr>
        <w:t>联系人：</w:t>
      </w:r>
      <w:r>
        <w:rPr>
          <w:rStyle w:val="33"/>
          <w:rFonts w:hint="eastAsia" w:ascii="宋体" w:hAnsi="宋体" w:eastAsia="宋体" w:cs="宋体"/>
          <w:i w:val="0"/>
          <w:iCs w:val="0"/>
          <w:caps w:val="0"/>
          <w:color w:val="auto"/>
          <w:spacing w:val="0"/>
          <w:sz w:val="24"/>
          <w:szCs w:val="24"/>
          <w:highlight w:val="none"/>
          <w:lang w:val="en-US" w:eastAsia="zh-CN"/>
        </w:rPr>
        <w:t>孙工</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textAlignment w:val="auto"/>
        <w:rPr>
          <w:rStyle w:val="33"/>
          <w:rFonts w:hint="eastAsia" w:ascii="宋体" w:hAnsi="宋体" w:eastAsia="宋体" w:cs="宋体"/>
          <w:i w:val="0"/>
          <w:iCs w:val="0"/>
          <w:caps w:val="0"/>
          <w:color w:val="auto"/>
          <w:spacing w:val="0"/>
          <w:sz w:val="24"/>
          <w:szCs w:val="24"/>
          <w:highlight w:val="none"/>
        </w:rPr>
      </w:pPr>
      <w:r>
        <w:rPr>
          <w:rStyle w:val="33"/>
          <w:rFonts w:hint="eastAsia" w:ascii="宋体" w:hAnsi="宋体" w:eastAsia="宋体" w:cs="宋体"/>
          <w:i w:val="0"/>
          <w:iCs w:val="0"/>
          <w:caps w:val="0"/>
          <w:color w:val="auto"/>
          <w:spacing w:val="0"/>
          <w:sz w:val="24"/>
          <w:szCs w:val="24"/>
          <w:highlight w:val="none"/>
        </w:rPr>
        <w:t>电话：0411-85222221</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3"/>
          <w:rFonts w:hint="eastAsia" w:ascii="宋体" w:hAnsi="宋体" w:eastAsia="宋体" w:cs="宋体"/>
          <w:i w:val="0"/>
          <w:iCs w:val="0"/>
          <w:caps w:val="0"/>
          <w:color w:val="auto"/>
          <w:spacing w:val="0"/>
          <w:sz w:val="24"/>
          <w:szCs w:val="24"/>
          <w:highlight w:val="none"/>
          <w:lang w:eastAsia="zh-CN"/>
        </w:rPr>
      </w:pPr>
      <w:r>
        <w:rPr>
          <w:rStyle w:val="33"/>
          <w:rFonts w:hint="eastAsia" w:ascii="宋体" w:hAnsi="宋体" w:eastAsia="宋体" w:cs="宋体"/>
          <w:i w:val="0"/>
          <w:iCs w:val="0"/>
          <w:caps w:val="0"/>
          <w:color w:val="auto"/>
          <w:spacing w:val="0"/>
          <w:sz w:val="24"/>
          <w:szCs w:val="24"/>
          <w:highlight w:val="none"/>
        </w:rPr>
        <w:t>十、招标代理人：</w:t>
      </w:r>
      <w:r>
        <w:rPr>
          <w:rStyle w:val="33"/>
          <w:rFonts w:hint="eastAsia" w:ascii="宋体" w:hAnsi="宋体" w:eastAsia="宋体" w:cs="宋体"/>
          <w:i w:val="0"/>
          <w:iCs w:val="0"/>
          <w:caps w:val="0"/>
          <w:color w:val="auto"/>
          <w:spacing w:val="0"/>
          <w:sz w:val="24"/>
          <w:szCs w:val="24"/>
          <w:highlight w:val="none"/>
          <w:lang w:eastAsia="zh-CN"/>
        </w:rPr>
        <w:t>大连机械设备成套有限公司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textAlignment w:val="auto"/>
        <w:rPr>
          <w:rStyle w:val="33"/>
          <w:rFonts w:hint="eastAsia" w:ascii="宋体" w:hAnsi="宋体" w:eastAsia="宋体" w:cs="宋体"/>
          <w:i w:val="0"/>
          <w:iCs w:val="0"/>
          <w:caps w:val="0"/>
          <w:color w:val="auto"/>
          <w:spacing w:val="0"/>
          <w:sz w:val="24"/>
          <w:szCs w:val="24"/>
          <w:highlight w:val="none"/>
          <w:lang w:eastAsia="zh-CN"/>
        </w:rPr>
      </w:pPr>
      <w:r>
        <w:rPr>
          <w:rStyle w:val="33"/>
          <w:rFonts w:hint="eastAsia" w:ascii="宋体" w:hAnsi="宋体" w:eastAsia="宋体" w:cs="宋体"/>
          <w:i w:val="0"/>
          <w:iCs w:val="0"/>
          <w:caps w:val="0"/>
          <w:color w:val="auto"/>
          <w:spacing w:val="0"/>
          <w:sz w:val="24"/>
          <w:szCs w:val="24"/>
          <w:highlight w:val="none"/>
        </w:rPr>
        <w:t>联系人：</w:t>
      </w:r>
      <w:r>
        <w:rPr>
          <w:rStyle w:val="33"/>
          <w:rFonts w:hint="eastAsia" w:ascii="宋体" w:hAnsi="宋体" w:eastAsia="宋体" w:cs="宋体"/>
          <w:i w:val="0"/>
          <w:iCs w:val="0"/>
          <w:caps w:val="0"/>
          <w:color w:val="auto"/>
          <w:spacing w:val="0"/>
          <w:sz w:val="24"/>
          <w:szCs w:val="24"/>
          <w:highlight w:val="none"/>
          <w:lang w:eastAsia="zh-CN"/>
        </w:rPr>
        <w:t>周拾、唐瑭</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textAlignment w:val="auto"/>
        <w:rPr>
          <w:rStyle w:val="33"/>
          <w:rFonts w:hint="eastAsia" w:ascii="宋体" w:hAnsi="宋体" w:eastAsia="宋体" w:cs="宋体"/>
          <w:i w:val="0"/>
          <w:iCs w:val="0"/>
          <w:caps w:val="0"/>
          <w:color w:val="auto"/>
          <w:spacing w:val="0"/>
          <w:sz w:val="24"/>
          <w:szCs w:val="24"/>
          <w:highlight w:val="none"/>
          <w:lang w:eastAsia="zh-CN"/>
        </w:rPr>
      </w:pPr>
      <w:r>
        <w:rPr>
          <w:rStyle w:val="33"/>
          <w:rFonts w:hint="eastAsia" w:ascii="宋体" w:hAnsi="宋体" w:eastAsia="宋体" w:cs="宋体"/>
          <w:i w:val="0"/>
          <w:iCs w:val="0"/>
          <w:caps w:val="0"/>
          <w:color w:val="auto"/>
          <w:spacing w:val="0"/>
          <w:sz w:val="24"/>
          <w:szCs w:val="24"/>
          <w:highlight w:val="none"/>
        </w:rPr>
        <w:t>电话：</w:t>
      </w:r>
      <w:r>
        <w:rPr>
          <w:rStyle w:val="33"/>
          <w:rFonts w:hint="eastAsia" w:ascii="宋体" w:hAnsi="宋体" w:eastAsia="宋体" w:cs="宋体"/>
          <w:i w:val="0"/>
          <w:iCs w:val="0"/>
          <w:caps w:val="0"/>
          <w:color w:val="auto"/>
          <w:spacing w:val="0"/>
          <w:sz w:val="24"/>
          <w:szCs w:val="24"/>
          <w:highlight w:val="none"/>
          <w:lang w:eastAsia="zh-CN"/>
        </w:rPr>
        <w:t>0411-83608842-111、113</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textAlignment w:val="auto"/>
        <w:rPr>
          <w:rStyle w:val="33"/>
          <w:rFonts w:hint="eastAsia" w:ascii="宋体" w:hAnsi="宋体" w:eastAsia="宋体" w:cs="宋体"/>
          <w:i w:val="0"/>
          <w:iCs w:val="0"/>
          <w:caps w:val="0"/>
          <w:color w:val="auto"/>
          <w:spacing w:val="0"/>
          <w:sz w:val="24"/>
          <w:szCs w:val="24"/>
          <w:highlight w:val="none"/>
        </w:rPr>
      </w:pPr>
      <w:r>
        <w:rPr>
          <w:rStyle w:val="33"/>
          <w:rFonts w:hint="eastAsia" w:ascii="宋体" w:hAnsi="宋体" w:eastAsia="宋体" w:cs="宋体"/>
          <w:i w:val="0"/>
          <w:iCs w:val="0"/>
          <w:caps w:val="0"/>
          <w:color w:val="auto"/>
          <w:spacing w:val="0"/>
          <w:sz w:val="24"/>
          <w:szCs w:val="24"/>
          <w:highlight w:val="none"/>
        </w:rPr>
        <w:t>邮箱：</w:t>
      </w:r>
      <w:r>
        <w:rPr>
          <w:rStyle w:val="33"/>
          <w:rFonts w:hint="eastAsia" w:ascii="宋体" w:hAnsi="宋体" w:eastAsia="宋体" w:cs="宋体"/>
          <w:i w:val="0"/>
          <w:iCs w:val="0"/>
          <w:caps w:val="0"/>
          <w:color w:val="auto"/>
          <w:spacing w:val="0"/>
          <w:sz w:val="24"/>
          <w:szCs w:val="24"/>
          <w:highlight w:val="none"/>
        </w:rPr>
        <w:fldChar w:fldCharType="begin"/>
      </w:r>
      <w:r>
        <w:rPr>
          <w:rStyle w:val="33"/>
          <w:rFonts w:hint="eastAsia" w:ascii="宋体" w:hAnsi="宋体" w:eastAsia="宋体" w:cs="宋体"/>
          <w:i w:val="0"/>
          <w:iCs w:val="0"/>
          <w:caps w:val="0"/>
          <w:color w:val="auto"/>
          <w:spacing w:val="0"/>
          <w:sz w:val="24"/>
          <w:szCs w:val="24"/>
          <w:highlight w:val="none"/>
        </w:rPr>
        <w:instrText xml:space="preserve"> HYPERLINK "mailto:wxt1987cc@163.com" </w:instrText>
      </w:r>
      <w:r>
        <w:rPr>
          <w:rStyle w:val="33"/>
          <w:rFonts w:hint="eastAsia" w:ascii="宋体" w:hAnsi="宋体" w:eastAsia="宋体" w:cs="宋体"/>
          <w:i w:val="0"/>
          <w:iCs w:val="0"/>
          <w:caps w:val="0"/>
          <w:color w:val="auto"/>
          <w:spacing w:val="0"/>
          <w:sz w:val="24"/>
          <w:szCs w:val="24"/>
          <w:highlight w:val="none"/>
        </w:rPr>
        <w:fldChar w:fldCharType="separate"/>
      </w:r>
      <w:r>
        <w:rPr>
          <w:rStyle w:val="33"/>
          <w:rFonts w:hint="eastAsia" w:ascii="宋体" w:hAnsi="宋体" w:eastAsia="宋体" w:cs="宋体"/>
          <w:i w:val="0"/>
          <w:iCs w:val="0"/>
          <w:caps w:val="0"/>
          <w:color w:val="auto"/>
          <w:spacing w:val="0"/>
          <w:sz w:val="24"/>
          <w:szCs w:val="24"/>
          <w:highlight w:val="none"/>
          <w:lang w:eastAsia="zh-CN"/>
        </w:rPr>
        <w:t>dljxsbcttt@163.com</w:t>
      </w:r>
      <w:r>
        <w:rPr>
          <w:rStyle w:val="33"/>
          <w:rFonts w:hint="eastAsia" w:ascii="宋体" w:hAnsi="宋体" w:eastAsia="宋体" w:cs="宋体"/>
          <w:i w:val="0"/>
          <w:iCs w:val="0"/>
          <w:caps w:val="0"/>
          <w:color w:val="auto"/>
          <w:spacing w:val="0"/>
          <w:sz w:val="24"/>
          <w:szCs w:val="24"/>
          <w:highlight w:val="none"/>
        </w:rPr>
        <w:fldChar w:fldCharType="end"/>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textAlignment w:val="auto"/>
        <w:rPr>
          <w:rStyle w:val="33"/>
          <w:rFonts w:hint="eastAsia" w:ascii="宋体" w:hAnsi="宋体" w:eastAsia="宋体" w:cs="宋体"/>
          <w:i w:val="0"/>
          <w:iCs w:val="0"/>
          <w:caps w:val="0"/>
          <w:color w:val="auto"/>
          <w:spacing w:val="0"/>
          <w:sz w:val="24"/>
          <w:szCs w:val="24"/>
          <w:highlight w:val="none"/>
        </w:rPr>
      </w:pPr>
      <w:r>
        <w:rPr>
          <w:rStyle w:val="33"/>
          <w:rFonts w:hint="eastAsia" w:ascii="宋体" w:hAnsi="宋体" w:eastAsia="宋体" w:cs="宋体"/>
          <w:i w:val="0"/>
          <w:iCs w:val="0"/>
          <w:caps w:val="0"/>
          <w:color w:val="auto"/>
          <w:spacing w:val="0"/>
          <w:sz w:val="24"/>
          <w:szCs w:val="24"/>
          <w:highlight w:val="none"/>
        </w:rPr>
        <w:t>地址：</w:t>
      </w:r>
      <w:r>
        <w:rPr>
          <w:rStyle w:val="33"/>
          <w:rFonts w:hint="eastAsia" w:ascii="宋体" w:hAnsi="宋体" w:eastAsia="宋体" w:cs="宋体"/>
          <w:i w:val="0"/>
          <w:iCs w:val="0"/>
          <w:caps w:val="0"/>
          <w:color w:val="auto"/>
          <w:spacing w:val="0"/>
          <w:sz w:val="24"/>
          <w:szCs w:val="24"/>
          <w:highlight w:val="none"/>
          <w:lang w:eastAsia="zh-CN"/>
        </w:rPr>
        <w:t>大连市沙河口区西南路350-2号</w:t>
      </w:r>
    </w:p>
    <w:p>
      <w:pPr>
        <w:spacing w:line="360" w:lineRule="auto"/>
        <w:ind w:left="1" w:firstLine="1080" w:firstLineChars="450"/>
        <w:rPr>
          <w:rFonts w:ascii="宋体" w:hAnsi="宋体"/>
          <w:color w:val="auto"/>
          <w:sz w:val="24"/>
          <w:highlight w:val="none"/>
        </w:rPr>
      </w:pPr>
      <w:r>
        <w:rPr>
          <w:rFonts w:hint="eastAsia" w:ascii="宋体" w:hAnsi="宋体"/>
          <w:color w:val="auto"/>
          <w:sz w:val="24"/>
          <w:highlight w:val="none"/>
        </w:rPr>
        <w:br w:type="page"/>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center"/>
        <w:outlineLvl w:val="0"/>
        <w:rPr>
          <w:rFonts w:ascii="宋体" w:hAnsi="宋体"/>
          <w:b/>
          <w:bCs/>
          <w:color w:val="auto"/>
          <w:sz w:val="44"/>
          <w:highlight w:val="none"/>
        </w:rPr>
      </w:pPr>
      <w:bookmarkStart w:id="31" w:name="_Toc11220"/>
      <w:bookmarkStart w:id="32" w:name="_Toc597"/>
      <w:r>
        <w:rPr>
          <w:rFonts w:hint="eastAsia" w:ascii="宋体" w:hAnsi="宋体"/>
          <w:b/>
          <w:bCs/>
          <w:color w:val="auto"/>
          <w:sz w:val="44"/>
          <w:highlight w:val="none"/>
        </w:rPr>
        <w:t>第一章</w:t>
      </w:r>
      <w:r>
        <w:rPr>
          <w:rFonts w:hint="eastAsia" w:ascii="宋体" w:hAnsi="宋体"/>
          <w:b/>
          <w:bCs/>
          <w:color w:val="auto"/>
          <w:sz w:val="44"/>
          <w:highlight w:val="none"/>
          <w:lang w:val="en-US" w:eastAsia="zh-CN"/>
        </w:rPr>
        <w:t xml:space="preserve">  </w:t>
      </w:r>
      <w:r>
        <w:rPr>
          <w:rFonts w:hint="eastAsia" w:ascii="宋体" w:hAnsi="宋体"/>
          <w:b/>
          <w:bCs/>
          <w:color w:val="auto"/>
          <w:sz w:val="44"/>
          <w:highlight w:val="none"/>
        </w:rPr>
        <w:t>投标人须知及前附表</w:t>
      </w:r>
      <w:bookmarkEnd w:id="31"/>
      <w:bookmarkEnd w:id="32"/>
    </w:p>
    <w:p>
      <w:pPr>
        <w:spacing w:line="360" w:lineRule="auto"/>
        <w:jc w:val="center"/>
        <w:rPr>
          <w:rFonts w:ascii="宋体" w:hAnsi="宋体"/>
          <w:b/>
          <w:color w:val="auto"/>
          <w:sz w:val="36"/>
          <w:szCs w:val="36"/>
          <w:highlight w:val="none"/>
        </w:rPr>
      </w:pPr>
      <w:r>
        <w:rPr>
          <w:rFonts w:hint="eastAsia" w:ascii="宋体" w:hAnsi="宋体"/>
          <w:bCs/>
          <w:color w:val="auto"/>
          <w:sz w:val="44"/>
          <w:highlight w:val="none"/>
        </w:rPr>
        <w:br w:type="page"/>
      </w:r>
      <w:r>
        <w:rPr>
          <w:rFonts w:hint="eastAsia" w:ascii="宋体" w:hAnsi="宋体"/>
          <w:b/>
          <w:color w:val="auto"/>
          <w:sz w:val="36"/>
          <w:szCs w:val="36"/>
          <w:highlight w:val="none"/>
        </w:rPr>
        <w:t>投标人须知前附表</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序号</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widowControl w:val="0"/>
              <w:suppressLineNumbers w:val="0"/>
              <w:pBdr>
                <w:left w:val="none" w:color="auto" w:sz="0" w:space="0"/>
                <w:bottom w:val="none" w:color="auto" w:sz="0" w:space="0"/>
                <w:right w:val="none" w:color="auto" w:sz="0" w:space="0"/>
              </w:pBdr>
              <w:spacing w:before="0" w:beforeAutospacing="0" w:after="0" w:afterAutospacing="0" w:line="360" w:lineRule="auto"/>
              <w:ind w:left="0" w:right="0"/>
              <w:rPr>
                <w:rFonts w:ascii="宋体" w:eastAsia="宋体"/>
                <w:color w:val="auto"/>
                <w:kern w:val="2"/>
                <w:highlight w:val="none"/>
              </w:rPr>
            </w:pPr>
            <w:r>
              <w:rPr>
                <w:rFonts w:hint="eastAsia" w:ascii="宋体" w:eastAsia="宋体"/>
                <w:color w:val="auto"/>
                <w:kern w:val="2"/>
                <w:highlight w:val="none"/>
              </w:rPr>
              <w:t>1</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auto"/>
                <w:sz w:val="24"/>
                <w:highlight w:val="none"/>
                <w:lang w:eastAsia="zh-CN"/>
              </w:rPr>
            </w:pPr>
            <w:r>
              <w:rPr>
                <w:rFonts w:hint="eastAsia" w:ascii="宋体" w:hAnsi="宋体"/>
                <w:color w:val="auto"/>
                <w:sz w:val="24"/>
                <w:highlight w:val="none"/>
              </w:rPr>
              <w:t>项目名称：</w:t>
            </w:r>
            <w:bookmarkStart w:id="33" w:name="OLE_LINK1"/>
            <w:r>
              <w:rPr>
                <w:rFonts w:hint="eastAsia" w:ascii="宋体" w:hAnsi="宋体"/>
                <w:color w:val="auto"/>
                <w:sz w:val="24"/>
                <w:highlight w:val="none"/>
                <w:lang w:eastAsia="zh-CN"/>
              </w:rPr>
              <w:t>大连盐化集团有限公司进口融雪盐港杂服务采购项目</w:t>
            </w:r>
            <w:bookmarkEnd w:id="33"/>
          </w:p>
          <w:p>
            <w:pPr>
              <w:keepNext w:val="0"/>
              <w:keepLines w:val="0"/>
              <w:suppressLineNumbers w:val="0"/>
              <w:spacing w:before="0" w:beforeAutospacing="0" w:after="0" w:afterAutospacing="0" w:line="360" w:lineRule="auto"/>
              <w:ind w:left="0" w:right="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s="宋体"/>
                <w:color w:val="auto"/>
                <w:kern w:val="0"/>
                <w:sz w:val="24"/>
                <w:highlight w:val="none"/>
                <w:lang w:eastAsia="zh-CN"/>
              </w:rPr>
              <w:t xml:space="preserve">DCZ202409085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2</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lang w:eastAsia="zh-CN"/>
              </w:rPr>
              <w:t>：</w:t>
            </w:r>
            <w:r>
              <w:rPr>
                <w:rFonts w:hint="eastAsia" w:ascii="宋体" w:hAnsi="宋体"/>
                <w:color w:val="auto"/>
                <w:sz w:val="24"/>
                <w:highlight w:val="none"/>
              </w:rPr>
              <w:t>大连盐化集团有限公司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3</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项目预算：</w:t>
            </w:r>
            <w:r>
              <w:rPr>
                <w:rFonts w:hint="eastAsia" w:ascii="宋体" w:hAnsi="宋体"/>
                <w:color w:val="auto"/>
                <w:sz w:val="24"/>
                <w:highlight w:val="none"/>
                <w:lang w:val="en-US" w:eastAsia="zh-CN"/>
              </w:rPr>
              <w:t>189.75万元</w:t>
            </w:r>
            <w:r>
              <w:rPr>
                <w:rFonts w:hint="eastAsia" w:ascii="宋体" w:hAnsi="宋体"/>
                <w:color w:val="auto"/>
                <w:sz w:val="24"/>
                <w:highlight w:val="none"/>
                <w:lang w:val="en-US" w:eastAsia="zh-CN"/>
              </w:rPr>
              <w:t>（投标报价超出招标单价限价的，按无效报价处理。）</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港杂服务费招标单价限价：34.5元/吨。</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上述价格为当前市场价，当港杂费政策调整时，价格随行就市进行调整，经双方协商另签补充协议确定后执行。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4</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投标保证金额：</w:t>
            </w:r>
          </w:p>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投标保证金数额为</w:t>
            </w:r>
            <w:r>
              <w:rPr>
                <w:rFonts w:hint="eastAsia" w:ascii="宋体" w:hAnsi="宋体"/>
                <w:color w:val="auto"/>
                <w:sz w:val="24"/>
                <w:highlight w:val="none"/>
                <w:lang w:val="en-US" w:eastAsia="zh-CN"/>
              </w:rPr>
              <w:t>：15000</w:t>
            </w:r>
            <w:r>
              <w:rPr>
                <w:rFonts w:hint="eastAsia" w:ascii="宋体" w:hAnsi="宋体"/>
                <w:color w:val="auto"/>
                <w:sz w:val="24"/>
                <w:highlight w:val="none"/>
              </w:rPr>
              <w:t>元人民币</w:t>
            </w:r>
            <w:r>
              <w:rPr>
                <w:rFonts w:hint="eastAsia" w:ascii="宋体" w:hAnsi="宋体"/>
                <w:color w:val="auto"/>
                <w:sz w:val="24"/>
                <w:highlight w:val="none"/>
                <w:lang w:eastAsia="zh-CN"/>
              </w:rPr>
              <w:t>，</w:t>
            </w:r>
            <w:r>
              <w:rPr>
                <w:rFonts w:hint="eastAsia" w:ascii="宋体" w:hAnsi="宋体"/>
                <w:color w:val="auto"/>
                <w:sz w:val="24"/>
                <w:highlight w:val="none"/>
              </w:rPr>
              <w:t>必须以投标人本企业基本开户行开具的支票、汇票、银行保函、银行电汇、网银转账或银行转账方式递交。投标人须于开标截止日前确保投标保证金到账，逾期未到账的视为自动放弃本项目投标。</w:t>
            </w:r>
          </w:p>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用户名：</w:t>
            </w:r>
            <w:r>
              <w:rPr>
                <w:rFonts w:hint="eastAsia" w:ascii="宋体" w:hAnsi="宋体"/>
                <w:color w:val="auto"/>
                <w:sz w:val="24"/>
                <w:highlight w:val="none"/>
                <w:lang w:eastAsia="zh-CN"/>
              </w:rPr>
              <w:t>大连机械设备成套有限公司</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账号：</w:t>
            </w:r>
            <w:r>
              <w:rPr>
                <w:rFonts w:hint="eastAsia" w:ascii="宋体" w:hAnsi="宋体"/>
                <w:color w:val="auto"/>
                <w:sz w:val="24"/>
                <w:highlight w:val="none"/>
                <w:lang w:eastAsia="zh-CN"/>
              </w:rPr>
              <w:t>314256319366</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rPr>
                <w:rFonts w:hint="eastAsia" w:ascii="宋体" w:hAnsi="宋体" w:eastAsia="宋体"/>
                <w:color w:val="auto"/>
                <w:sz w:val="24"/>
                <w:highlight w:val="none"/>
                <w:lang w:eastAsia="zh-CN"/>
              </w:rPr>
            </w:pPr>
            <w:r>
              <w:rPr>
                <w:rFonts w:hint="eastAsia" w:ascii="宋体" w:hAnsi="宋体"/>
                <w:color w:val="auto"/>
                <w:sz w:val="24"/>
                <w:highlight w:val="none"/>
              </w:rPr>
              <w:t>开户</w:t>
            </w:r>
            <w:r>
              <w:rPr>
                <w:rFonts w:hint="eastAsia" w:ascii="宋体" w:hAnsi="宋体"/>
                <w:color w:val="auto"/>
                <w:sz w:val="24"/>
                <w:highlight w:val="none"/>
                <w:lang w:val="en-US" w:eastAsia="zh-CN"/>
              </w:rPr>
              <w:t>行</w:t>
            </w:r>
            <w:r>
              <w:rPr>
                <w:rFonts w:hint="eastAsia" w:ascii="宋体" w:hAnsi="宋体"/>
                <w:color w:val="auto"/>
                <w:sz w:val="24"/>
                <w:highlight w:val="none"/>
              </w:rPr>
              <w:t>：</w:t>
            </w:r>
            <w:r>
              <w:rPr>
                <w:rFonts w:hint="eastAsia" w:ascii="宋体" w:hAnsi="宋体"/>
                <w:color w:val="auto"/>
                <w:sz w:val="24"/>
                <w:highlight w:val="none"/>
                <w:lang w:eastAsia="zh-CN"/>
              </w:rPr>
              <w:t>中国银行大连沙河口支行</w:t>
            </w:r>
          </w:p>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备注：投标人应在汇款凭证上注明投标人单位全称（必须与投标单位的项目法人名称完全一致，不得采用简称或者其他单位名称）、本次招标的</w:t>
            </w:r>
            <w:r>
              <w:rPr>
                <w:rFonts w:hint="eastAsia" w:ascii="宋体" w:hAnsi="宋体"/>
                <w:color w:val="auto"/>
                <w:sz w:val="24"/>
                <w:highlight w:val="none"/>
                <w:lang w:val="en-US" w:eastAsia="zh-CN"/>
              </w:rPr>
              <w:t>服务</w:t>
            </w:r>
            <w:r>
              <w:rPr>
                <w:rFonts w:hint="eastAsia" w:ascii="宋体" w:hAnsi="宋体"/>
                <w:color w:val="auto"/>
                <w:sz w:val="24"/>
                <w:highlight w:val="none"/>
              </w:rPr>
              <w:t>项目名称（</w:t>
            </w:r>
            <w:r>
              <w:rPr>
                <w:rFonts w:hint="eastAsia" w:ascii="宋体" w:hAnsi="宋体"/>
                <w:color w:val="auto"/>
                <w:sz w:val="24"/>
                <w:highlight w:val="none"/>
                <w:lang w:eastAsia="zh-CN"/>
              </w:rPr>
              <w:t>大连盐化集团有限公司进口盐港杂服务采购项目</w:t>
            </w:r>
            <w:r>
              <w:rPr>
                <w:rFonts w:hint="eastAsia" w:ascii="宋体" w:hAnsi="宋体"/>
                <w:color w:val="auto"/>
                <w:sz w:val="24"/>
                <w:highlight w:val="none"/>
              </w:rPr>
              <w:t>），否则，招标人有权视为投标保证金无效予以拒绝。非中标候选人在公示期满（公示期为3天）后无异议可以返还，若有异议必须及时告知招标处。中标候选人在中标人签订合同后返还。（按本文件规定应没收的除外）。</w:t>
            </w:r>
          </w:p>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w:t>
            </w:r>
            <w:r>
              <w:rPr>
                <w:rFonts w:hint="eastAsia" w:ascii="宋体" w:hAnsi="宋体"/>
                <w:color w:val="auto"/>
                <w:sz w:val="24"/>
                <w:highlight w:val="none"/>
              </w:rPr>
              <w:t>1、若在开标截止日前没有收到任何形式的付款（以到帐时间为准），则视为自动放弃此次投标。</w:t>
            </w:r>
          </w:p>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2、开标现场不接受任何形式的投标保证金。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5</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2400" w:right="0" w:hanging="2400" w:hangingChars="1000"/>
              <w:rPr>
                <w:rFonts w:ascii="宋体" w:hAnsi="宋体"/>
                <w:bCs/>
                <w:color w:val="auto"/>
                <w:sz w:val="24"/>
                <w:highlight w:val="none"/>
              </w:rPr>
            </w:pPr>
            <w:r>
              <w:rPr>
                <w:rFonts w:hint="eastAsia" w:ascii="宋体" w:hAnsi="宋体"/>
                <w:bCs/>
                <w:color w:val="auto"/>
                <w:sz w:val="24"/>
                <w:highlight w:val="none"/>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widowControl w:val="0"/>
              <w:suppressLineNumbers w:val="0"/>
              <w:pBdr>
                <w:left w:val="none" w:color="auto" w:sz="0" w:space="0"/>
                <w:bottom w:val="none" w:color="auto" w:sz="0" w:space="0"/>
                <w:right w:val="none" w:color="auto" w:sz="0" w:space="0"/>
              </w:pBdr>
              <w:spacing w:before="0" w:beforeAutospacing="0" w:after="0" w:afterAutospacing="0" w:line="360" w:lineRule="auto"/>
              <w:ind w:left="0" w:right="0"/>
              <w:rPr>
                <w:rFonts w:ascii="宋体" w:eastAsia="宋体"/>
                <w:color w:val="auto"/>
                <w:kern w:val="2"/>
                <w:highlight w:val="none"/>
              </w:rPr>
            </w:pPr>
            <w:r>
              <w:rPr>
                <w:rFonts w:hint="eastAsia" w:ascii="宋体" w:eastAsia="宋体"/>
                <w:color w:val="auto"/>
                <w:kern w:val="2"/>
                <w:highlight w:val="none"/>
              </w:rPr>
              <w:t>6</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kern w:val="0"/>
                <w:sz w:val="24"/>
                <w:szCs w:val="24"/>
                <w:highlight w:val="none"/>
                <w:lang w:eastAsia="zh-Hans"/>
              </w:rPr>
            </w:pPr>
            <w:r>
              <w:rPr>
                <w:rFonts w:hint="eastAsia" w:ascii="宋体" w:hAnsi="宋体" w:eastAsia="宋体" w:cs="宋体"/>
                <w:b/>
                <w:bCs/>
                <w:color w:val="auto"/>
                <w:kern w:val="0"/>
                <w:sz w:val="24"/>
                <w:szCs w:val="24"/>
                <w:highlight w:val="none"/>
                <w:lang w:eastAsia="zh-Hans"/>
              </w:rPr>
              <w:t>获取招标文件：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09</w:t>
            </w:r>
            <w:r>
              <w:rPr>
                <w:rFonts w:hint="eastAsia" w:ascii="宋体" w:hAnsi="宋体"/>
                <w:color w:val="auto"/>
                <w:sz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方式：</w:t>
            </w:r>
            <w:r>
              <w:rPr>
                <w:rFonts w:hint="eastAsia" w:ascii="宋体" w:hAnsi="宋体" w:eastAsia="宋体" w:cs="宋体"/>
                <w:color w:val="auto"/>
                <w:sz w:val="24"/>
                <w:szCs w:val="24"/>
                <w:highlight w:val="none"/>
              </w:rPr>
              <w:t>大连国企阳光采购服务平台（</w:t>
            </w:r>
            <w:r>
              <w:rPr>
                <w:rFonts w:hint="eastAsia" w:ascii="宋体" w:hAnsi="宋体" w:cs="宋体"/>
                <w:color w:val="auto"/>
                <w:sz w:val="24"/>
                <w:szCs w:val="24"/>
                <w:highlight w:val="none"/>
                <w:lang w:eastAsia="zh-CN"/>
              </w:rPr>
              <w:t>http://www.dlygcg.com/</w:t>
            </w:r>
            <w:r>
              <w:rPr>
                <w:rFonts w:hint="eastAsia" w:ascii="宋体" w:hAnsi="宋体" w:eastAsia="宋体" w:cs="宋体"/>
                <w:color w:val="auto"/>
                <w:sz w:val="24"/>
                <w:szCs w:val="24"/>
                <w:highlight w:val="none"/>
              </w:rPr>
              <w:t>）线上获取；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应在公告中的获取采购文件截止时间前下载文件。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登录大连国企阳光采购服务平</w:t>
            </w:r>
            <w:r>
              <w:rPr>
                <w:rFonts w:hint="eastAsia" w:ascii="宋体" w:hAnsi="宋体" w:eastAsia="宋体" w:cs="宋体"/>
                <w:color w:val="auto"/>
                <w:sz w:val="24"/>
                <w:szCs w:val="24"/>
                <w:highlight w:val="none"/>
                <w:lang w:val="en-US" w:eastAsia="zh-CN"/>
              </w:rPr>
              <w:t>台</w:t>
            </w:r>
            <w:r>
              <w:rPr>
                <w:rFonts w:hint="eastAsia" w:ascii="宋体" w:hAnsi="宋体" w:eastAsia="宋体" w:cs="宋体"/>
                <w:color w:val="auto"/>
                <w:sz w:val="24"/>
                <w:szCs w:val="24"/>
                <w:highlight w:val="none"/>
              </w:rPr>
              <w:t>在线申请获取采购文件（进入“项目采购”应用，在获取采购文件菜单中选择项目，申请获取采购文件）及更正文件(如有)。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须采用最新版更正（澄清）文件(如有)用于制作响应文件，否则产生的无法解密问题，视为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未递交响应文件。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投标人须在获取采购文件截止时间前录入投标人信息（详情页面的“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信息”中选择“意向标项”并填写提交），未按规定录入的，将无法在线上传投标文件。（具体操作详见</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操作手册）。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投标人在大连市政府采购网已办理的汇信、天谷及辽宁CA均可通用，无需重复办理。未办理过上述CA的投标人，须申请CA。</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平台服务费：人民币500元（该费用为平台费用，每个项目均收取该费用，一经支付平台即开始履行服务，与是否下载标书无关、与后续是否实际参与项目无关，平台服务费支付后不予退还），付款信息如下：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户名：大连阳光采购服务有限公司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账号：810024000001105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开户银行：大连银行股份有限公司营业部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开户行行号：313222081005</w:t>
            </w:r>
          </w:p>
          <w:p>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eastAsia="宋体" w:cs="宋体"/>
                <w:color w:val="auto"/>
                <w:sz w:val="24"/>
                <w:szCs w:val="24"/>
                <w:highlight w:val="none"/>
              </w:rPr>
              <w:t>备注：须在下载文件前对公付款并明确备注项目编号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7</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投标文件递交形式及要求：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在线递交响应文件（必须上传，否则为无效投标）。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电子标书制作及递交要求：投标人登录投标客户端制作投标文件，投标人生成加密标书后，需在投标截止时间前将加密的投标文件上传至</w:t>
            </w:r>
            <w:r>
              <w:rPr>
                <w:rFonts w:hint="eastAsia" w:ascii="宋体" w:hAnsi="宋体" w:eastAsia="宋体" w:cs="宋体"/>
                <w:bCs/>
                <w:color w:val="auto"/>
                <w:sz w:val="24"/>
                <w:szCs w:val="24"/>
                <w:highlight w:val="none"/>
                <w:lang w:val="en-US" w:eastAsia="zh-CN"/>
              </w:rPr>
              <w:t>大连国企阳光采购服务平台</w:t>
            </w:r>
            <w:r>
              <w:rPr>
                <w:rFonts w:hint="eastAsia" w:ascii="宋体" w:hAnsi="宋体" w:eastAsia="宋体" w:cs="宋体"/>
                <w:color w:val="auto"/>
                <w:sz w:val="24"/>
                <w:szCs w:val="24"/>
                <w:highlight w:val="none"/>
              </w:rPr>
              <w:t>，登录系统找到我的工作台〉项目采购〉投标文件上传，在线递交的电子标投标文件格式必须为加密的投标文件，否则为无效投标文件。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开标时投标人须凭数字证书（CA）进行在线解密。投标人解密不成功的，视为投标文件无效。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采购文件中要求签章或加盖公章的须按要求使用数字证书（CA）加盖电子印签，否则为无效投标文件。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制作电子标书时如遇到需要签字而电子版无法签字时，请在纸质文件上签好后扫描至电子标书。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投标人通过投标客户端制作标书时，会生成两份电子标书，一份为加密标书，一份为备份标书，备份标书未加密。网上上传应为加密标书。投标人仅提交备份文件的，投标无效。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解密时间：30分钟内。投标人应在规定的投标文件解密时间内完成投标文件解密。当开标时遇到加密标书解密异常情况，开标人员应联系授权代表，在规定时间内（由开标人员现场确定解密30分钟是否需延长）将备份标书提交给开标工作人员。系统支持使用备份标书进行评审，因投标人自身原因导致未解密且未在规定时间内提供备份标书，视为未递交投标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备份响应文件（投标人根据自身情况自主决定是否递交）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备份投标（响应）文件：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备份文件要求：自愿递交。如递交，投标人需将投标（响应）文件制作为压缩加密文件发送至指定地址，邮箱中注明联系人和电话，如需开启备份文件，会联系邮箱中注明的联系人和电话，如因邮箱中注明的联系人和电话无法接通导致无法解密，按未递交备份文件处理。（投标人如不对文件进行加密，造成文件泄露，后果自行承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递交备份文件地址：</w:t>
            </w:r>
            <w:r>
              <w:rPr>
                <w:rFonts w:hint="eastAsia" w:ascii="宋体" w:hAnsi="宋体" w:cs="宋体"/>
                <w:color w:val="auto"/>
                <w:sz w:val="24"/>
                <w:szCs w:val="24"/>
                <w:highlight w:val="none"/>
                <w:lang w:eastAsia="zh-CN"/>
              </w:rPr>
              <w:t>dljxsbcttt@163.com</w:t>
            </w:r>
            <w:r>
              <w:rPr>
                <w:rFonts w:hint="eastAsia" w:ascii="宋体" w:hAnsi="宋体" w:eastAsia="宋体" w:cs="宋体"/>
                <w:color w:val="auto"/>
                <w:sz w:val="24"/>
                <w:szCs w:val="24"/>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备份文件递交截止时间：截止开标时间。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如需递交备份投标（响应）文件时，投标人代表应出具《递交备份投标（响应）文件授权函》（附件</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），未按要求提供的，采购单位、采购代理机构应拒收备份投标（响应）文件。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注：投标人提供的《递交备份投标（响应）文件授权函》随备份文件一同发送至指定地址。</w:t>
            </w:r>
          </w:p>
          <w:p>
            <w:pPr>
              <w:keepNext w:val="0"/>
              <w:keepLines w:val="0"/>
              <w:suppressLineNumbers w:val="0"/>
              <w:spacing w:before="0" w:beforeAutospacing="0" w:after="0" w:afterAutospacing="0" w:line="360" w:lineRule="auto"/>
              <w:ind w:left="0" w:right="0"/>
              <w:rPr>
                <w:rFonts w:ascii="宋体" w:hAnsi="宋体"/>
                <w:bCs/>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通过“大连国企阳光采购服务平台”上传递交的投标（响应）文件无法按时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投标（响应）无效；备份投标（响应）文件不是投标（响应）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8</w:t>
            </w:r>
          </w:p>
        </w:tc>
        <w:tc>
          <w:tcPr>
            <w:tcW w:w="792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提交投标文件截止时间及开标时间：</w:t>
            </w:r>
            <w:r>
              <w:rPr>
                <w:rFonts w:hint="eastAsia" w:ascii="宋体" w:hAnsi="宋体"/>
                <w:color w:val="auto"/>
                <w:sz w:val="24"/>
                <w:highlight w:val="none"/>
                <w:lang w:eastAsia="zh-CN"/>
              </w:rPr>
              <w:t>2024年10月18日</w:t>
            </w:r>
            <w:r>
              <w:rPr>
                <w:rFonts w:hint="eastAsia" w:ascii="宋体" w:hAnsi="宋体"/>
                <w:color w:val="auto"/>
                <w:sz w:val="24"/>
                <w:highlight w:val="none"/>
                <w:lang w:val="en-US" w:eastAsia="zh-CN"/>
              </w:rPr>
              <w:t>14:00</w:t>
            </w:r>
            <w:r>
              <w:rPr>
                <w:rFonts w:hint="eastAsia" w:ascii="宋体" w:hAnsi="宋体"/>
                <w:color w:val="auto"/>
                <w:sz w:val="24"/>
                <w:highlight w:val="none"/>
              </w:rPr>
              <w:t>（北京时间）</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开标地点：大连国企阳光采购服务平台线上开标</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lang w:eastAsia="zh-CN"/>
              </w:rPr>
            </w:pPr>
            <w:r>
              <w:rPr>
                <w:rFonts w:hint="eastAsia" w:ascii="宋体" w:hAnsi="宋体"/>
                <w:color w:val="auto"/>
                <w:sz w:val="24"/>
                <w:highlight w:val="none"/>
              </w:rPr>
              <w:t>投标文件上传网址：</w:t>
            </w:r>
            <w:r>
              <w:rPr>
                <w:rFonts w:hint="eastAsia" w:ascii="宋体" w:hAnsi="宋体"/>
                <w:color w:val="auto"/>
                <w:sz w:val="24"/>
                <w:highlight w:val="none"/>
                <w:lang w:eastAsia="zh-CN"/>
              </w:rPr>
              <w:t>http://www.dlygcg.com/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9</w:t>
            </w:r>
          </w:p>
        </w:tc>
        <w:tc>
          <w:tcPr>
            <w:tcW w:w="79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792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投标人的资格条件：</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1、具备《中华人民共和国政府采购法》第二十二条规定的条件；</w:t>
            </w:r>
          </w:p>
          <w:p>
            <w:pPr>
              <w:keepNext w:val="0"/>
              <w:keepLines w:val="0"/>
              <w:suppressLineNumbers w:val="0"/>
              <w:spacing w:before="0" w:beforeAutospacing="0" w:after="0" w:afterAutospacing="0" w:line="360" w:lineRule="auto"/>
              <w:ind w:left="0" w:right="0"/>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具有海上货运及陆路货运代理服务能力的独立企业法人或其他组织。</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注：</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（1）本项目不接受联合体投标；</w:t>
            </w:r>
          </w:p>
          <w:p>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2）截至开标前，经“信用中国”网站(www.creditchina.gov.cn)、“信用辽宁”网站（www.lncredit.gov.cn）、“信用大连”网站（credit.dl.cn）大连市重大税收违法案件信息公示平台、“中国政府采购网”(www.ccgp.gov.cn)查询，被列入失信被执行人、重大税收违法案件当事人名单、政府采购严重违法失信行为记录名单的不得参加本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1</w:t>
            </w:r>
          </w:p>
        </w:tc>
        <w:tc>
          <w:tcPr>
            <w:tcW w:w="792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color w:val="auto"/>
                <w:sz w:val="24"/>
                <w:highlight w:val="none"/>
              </w:rPr>
              <w:t>★付款方式：</w:t>
            </w:r>
          </w:p>
          <w:p>
            <w:pPr>
              <w:pStyle w:val="18"/>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1、价格：固定协议价，港杂服务包干计费标准如下：</w:t>
            </w:r>
          </w:p>
          <w:p>
            <w:pPr>
              <w:pStyle w:val="18"/>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港杂费：以港口交接单证中载明的货物重量为准。</w:t>
            </w:r>
          </w:p>
          <w:p>
            <w:pPr>
              <w:pStyle w:val="18"/>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代理费：以汽运装车出港过磅的货物重量为准。</w:t>
            </w:r>
          </w:p>
          <w:p>
            <w:pPr>
              <w:pStyle w:val="18"/>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2、完成船代、报关申报、卸船、SGS检测、港内捣载、归垛、苫盖，提供专用发票（税率6%），按服务费总额90%结算。</w:t>
            </w:r>
          </w:p>
          <w:p>
            <w:pPr>
              <w:pStyle w:val="18"/>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Times New Roman"/>
                <w:b/>
                <w:bCs w:val="0"/>
                <w:color w:val="auto"/>
                <w:kern w:val="2"/>
                <w:sz w:val="24"/>
                <w:szCs w:val="24"/>
                <w:highlight w:val="none"/>
                <w:lang w:val="en-US" w:eastAsia="zh-CN" w:bidi="ar-SA"/>
              </w:rPr>
            </w:pPr>
            <w:r>
              <w:rPr>
                <w:rFonts w:hint="eastAsia" w:ascii="宋体" w:eastAsia="宋体" w:cs="Times New Roman"/>
                <w:b w:val="0"/>
                <w:bCs/>
                <w:color w:val="auto"/>
                <w:kern w:val="2"/>
                <w:sz w:val="24"/>
                <w:szCs w:val="24"/>
                <w:highlight w:val="none"/>
                <w:lang w:val="en-US" w:eastAsia="zh-CN" w:bidi="ar-SA"/>
              </w:rPr>
              <w:t>3、</w:t>
            </w:r>
            <w:r>
              <w:rPr>
                <w:rFonts w:hint="eastAsia" w:ascii="宋体" w:hAnsi="宋体" w:eastAsia="宋体" w:cs="Times New Roman"/>
                <w:b w:val="0"/>
                <w:bCs/>
                <w:color w:val="auto"/>
                <w:kern w:val="2"/>
                <w:sz w:val="24"/>
                <w:szCs w:val="24"/>
                <w:highlight w:val="none"/>
                <w:lang w:val="en-US" w:eastAsia="zh-CN" w:bidi="ar-SA"/>
              </w:rPr>
              <w:t>代理服务费按照汽运出港装车时计量的数量结算。</w:t>
            </w:r>
          </w:p>
          <w:p>
            <w:pPr>
              <w:pStyle w:val="18"/>
              <w:keepNext w:val="0"/>
              <w:keepLines w:val="0"/>
              <w:suppressLineNumbers w:val="0"/>
              <w:spacing w:before="0" w:beforeAutospacing="0" w:after="0" w:afterAutospacing="0" w:line="360" w:lineRule="auto"/>
              <w:ind w:left="0" w:leftChars="0" w:right="0" w:firstLine="0" w:firstLineChars="0"/>
              <w:rPr>
                <w:color w:val="auto"/>
                <w:highlight w:val="none"/>
              </w:rPr>
            </w:pPr>
            <w:r>
              <w:rPr>
                <w:rFonts w:hint="eastAsia" w:ascii="宋体" w:hAnsi="宋体" w:eastAsia="宋体" w:cs="Times New Roman"/>
                <w:b/>
                <w:bCs w:val="0"/>
                <w:color w:val="auto"/>
                <w:kern w:val="2"/>
                <w:sz w:val="24"/>
                <w:szCs w:val="24"/>
                <w:highlight w:val="none"/>
                <w:lang w:val="en-US" w:eastAsia="zh-CN" w:bidi="ar-SA"/>
              </w:rPr>
              <w:t>注：付款形式为电汇、支票、承兑汇票或信用证等。招标人每次付款前，中标人需给招标人开具合法有效的等额增值税专用发票、提供支付申请书等请款材料，中标人逾期提供请款材料或者提供的发票等请款材料不符合招标人要求的，招标人有权延期付款且不承担任何逾期或赔偿责任，且中标人不得因此停止或怠于履行合同义务。中标人开具的发票若出现问题导致招标人进项税无法抵扣时，应重新开具合规发票，无法重开的，由中标人承担招标人相当于无法抵扣进项税额的赔偿金。如遇国家税务政策调整，不含税金额不变，税金按新政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2</w:t>
            </w:r>
          </w:p>
        </w:tc>
        <w:tc>
          <w:tcPr>
            <w:tcW w:w="792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eastAsia="宋体"/>
                <w:color w:val="auto"/>
                <w:sz w:val="24"/>
                <w:highlight w:val="none"/>
                <w:lang w:eastAsia="zh-CN"/>
              </w:rPr>
            </w:pPr>
            <w:r>
              <w:rPr>
                <w:rFonts w:hint="eastAsia" w:ascii="宋体" w:hAnsi="宋体"/>
                <w:color w:val="auto"/>
                <w:spacing w:val="-2"/>
                <w:kern w:val="21"/>
                <w:sz w:val="24"/>
                <w:szCs w:val="21"/>
                <w:highlight w:val="none"/>
              </w:rPr>
              <w:t>★</w:t>
            </w:r>
            <w:r>
              <w:rPr>
                <w:rFonts w:hint="eastAsia" w:ascii="宋体" w:hAnsi="宋体" w:cs="宋体"/>
                <w:color w:val="auto"/>
                <w:kern w:val="0"/>
                <w:sz w:val="24"/>
                <w:highlight w:val="none"/>
              </w:rPr>
              <w:t>服务期限：</w:t>
            </w:r>
            <w:r>
              <w:rPr>
                <w:rFonts w:hint="eastAsia" w:ascii="宋体" w:hAnsi="宋体"/>
                <w:color w:val="auto"/>
                <w:sz w:val="24"/>
                <w:highlight w:val="none"/>
                <w:lang w:eastAsia="zh-CN"/>
              </w:rPr>
              <w:t>自签订合同之日起至2025年2月</w:t>
            </w:r>
            <w:r>
              <w:rPr>
                <w:rFonts w:hint="eastAsia" w:ascii="宋体" w:hAnsi="宋体"/>
                <w:color w:val="auto"/>
                <w:sz w:val="24"/>
                <w:highlight w:val="none"/>
                <w:lang w:val="en-US" w:eastAsia="zh-CN"/>
              </w:rPr>
              <w:t>28</w:t>
            </w:r>
            <w:r>
              <w:rPr>
                <w:rFonts w:hint="eastAsia" w:ascii="宋体" w:hAnsi="宋体"/>
                <w:color w:val="auto"/>
                <w:sz w:val="24"/>
                <w:highlight w:val="none"/>
                <w:lang w:eastAsia="zh-CN"/>
              </w:rPr>
              <w:t>日</w:t>
            </w:r>
          </w:p>
          <w:p>
            <w:pPr>
              <w:keepNext w:val="0"/>
              <w:keepLines w:val="0"/>
              <w:suppressLineNumbers w:val="0"/>
              <w:spacing w:before="0" w:beforeAutospacing="0" w:after="0" w:afterAutospacing="0" w:line="360" w:lineRule="auto"/>
              <w:ind w:left="0" w:right="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项目地点：招标人指定地点。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792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20"/>
              </w:tabs>
              <w:spacing w:before="0" w:beforeAutospacing="0" w:after="0" w:afterAutospacing="0" w:line="360" w:lineRule="auto"/>
              <w:ind w:left="0" w:right="0"/>
              <w:rPr>
                <w:rFonts w:ascii="宋体" w:hAnsi="宋体" w:cs="宋体-18030"/>
                <w:bCs/>
                <w:color w:val="auto"/>
                <w:sz w:val="24"/>
                <w:highlight w:val="none"/>
              </w:rPr>
            </w:pPr>
            <w:r>
              <w:rPr>
                <w:rFonts w:hint="eastAsia" w:ascii="宋体" w:hAnsi="宋体" w:cs="宋体-18030"/>
                <w:bCs/>
                <w:color w:val="auto"/>
                <w:sz w:val="24"/>
                <w:highlight w:val="none"/>
              </w:rPr>
              <w:t>报价方式：</w:t>
            </w:r>
          </w:p>
          <w:p>
            <w:pPr>
              <w:keepNext w:val="0"/>
              <w:keepLines w:val="0"/>
              <w:widowControl/>
              <w:suppressLineNumbers w:val="0"/>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1、本项目采用固定</w:t>
            </w:r>
            <w:r>
              <w:rPr>
                <w:rFonts w:hint="eastAsia" w:ascii="宋体" w:hAnsi="宋体" w:cs="宋体"/>
                <w:bCs/>
                <w:color w:val="auto"/>
                <w:sz w:val="24"/>
                <w:highlight w:val="none"/>
                <w:lang w:val="en-US" w:eastAsia="zh-CN"/>
              </w:rPr>
              <w:t>单价</w:t>
            </w:r>
            <w:r>
              <w:rPr>
                <w:rFonts w:hint="eastAsia" w:ascii="宋体" w:hAnsi="宋体" w:cs="宋体"/>
                <w:bCs/>
                <w:color w:val="auto"/>
                <w:sz w:val="24"/>
                <w:highlight w:val="none"/>
              </w:rPr>
              <w:t>合同，</w:t>
            </w:r>
            <w:r>
              <w:rPr>
                <w:rFonts w:hint="eastAsia" w:ascii="宋体" w:hAnsi="宋体" w:cs="宋体"/>
                <w:bCs/>
                <w:color w:val="auto"/>
                <w:sz w:val="24"/>
                <w:highlight w:val="none"/>
                <w:lang w:val="en-US" w:eastAsia="zh-CN"/>
              </w:rPr>
              <w:t>投标</w:t>
            </w:r>
            <w:r>
              <w:rPr>
                <w:rFonts w:hint="eastAsia" w:ascii="宋体" w:hAnsi="宋体" w:cs="宋体"/>
                <w:bCs/>
                <w:color w:val="auto"/>
                <w:sz w:val="24"/>
                <w:highlight w:val="none"/>
              </w:rPr>
              <w:t>报价须包含项目需求中所有服务内容，包括但不限于</w:t>
            </w:r>
            <w:r>
              <w:rPr>
                <w:rFonts w:hint="eastAsia" w:ascii="宋体" w:hAnsi="宋体" w:cs="宋体"/>
                <w:bCs/>
                <w:color w:val="auto"/>
                <w:sz w:val="24"/>
                <w:highlight w:val="none"/>
              </w:rPr>
              <w:t>船代、报关申报、卸船、SGS检测、港内捣载、归垛、二次过磅、苫盖、装汽车（负责装车一次），货物出港申报，开具服务费发票等</w:t>
            </w:r>
            <w:r>
              <w:rPr>
                <w:rFonts w:hint="eastAsia" w:ascii="宋体" w:hAnsi="宋体" w:cs="宋体"/>
                <w:bCs/>
                <w:color w:val="auto"/>
                <w:sz w:val="24"/>
                <w:highlight w:val="none"/>
              </w:rPr>
              <w:t>全部项目内容服务费用、人员费用、后续服务及不可预见风险等所有费用，招标人不再支付除合同价款以外的任何费用，</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自行考虑报价风险。</w:t>
            </w:r>
          </w:p>
          <w:p>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bCs/>
                <w:color w:val="auto"/>
                <w:sz w:val="24"/>
                <w:highlight w:val="none"/>
              </w:rPr>
              <w:t>2、投标人的报价应含有服务、利润、税金、政策性文件规定及合同包含的所有风险、责任、义务等，即为完成招标文件要求的服务内容所包含的一切应有费用，招标人后期不再追加费用，投标人自行考虑投标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792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20"/>
              </w:tabs>
              <w:spacing w:before="0" w:beforeAutospacing="0" w:after="0" w:afterAutospacing="0" w:line="360" w:lineRule="auto"/>
              <w:ind w:left="0" w:right="0"/>
              <w:rPr>
                <w:rFonts w:hint="eastAsia" w:ascii="宋体" w:hAnsi="宋体" w:cs="宋体-18030"/>
                <w:bCs/>
                <w:color w:val="auto"/>
                <w:sz w:val="24"/>
                <w:highlight w:val="none"/>
              </w:rPr>
            </w:pPr>
            <w:r>
              <w:rPr>
                <w:rFonts w:hint="eastAsia" w:ascii="宋体" w:hAnsi="宋体" w:cs="宋体-18030"/>
                <w:bCs/>
                <w:color w:val="auto"/>
                <w:sz w:val="24"/>
                <w:highlight w:val="none"/>
              </w:rPr>
              <w:t>代理服务费：</w:t>
            </w:r>
          </w:p>
          <w:p>
            <w:pPr>
              <w:keepNext w:val="0"/>
              <w:keepLines w:val="0"/>
              <w:suppressLineNumbers w:val="0"/>
              <w:tabs>
                <w:tab w:val="left" w:pos="420"/>
              </w:tabs>
              <w:spacing w:before="0" w:beforeAutospacing="0" w:after="0" w:afterAutospacing="0" w:line="360" w:lineRule="auto"/>
              <w:ind w:left="0" w:right="0"/>
              <w:rPr>
                <w:rFonts w:hint="eastAsia" w:ascii="宋体" w:hAnsi="宋体" w:cs="宋体-18030"/>
                <w:bCs/>
                <w:color w:val="auto"/>
                <w:sz w:val="24"/>
                <w:highlight w:val="none"/>
                <w:lang w:val="en-US" w:eastAsia="zh-CN"/>
              </w:rPr>
            </w:pPr>
            <w:r>
              <w:rPr>
                <w:rFonts w:hint="eastAsia" w:ascii="宋体" w:hAnsi="宋体" w:cs="宋体-18030"/>
                <w:bCs/>
                <w:color w:val="auto"/>
                <w:sz w:val="24"/>
                <w:highlight w:val="none"/>
              </w:rPr>
              <w:t>招标代理人向中标单位按《招标代理服务费管理暂行办法》（计价格{2002}1980号）文件的规定按调整系数</w:t>
            </w:r>
            <w:r>
              <w:rPr>
                <w:rFonts w:hint="eastAsia" w:ascii="宋体" w:hAnsi="宋体" w:cs="宋体-18030"/>
                <w:bCs/>
                <w:color w:val="auto"/>
                <w:sz w:val="24"/>
                <w:highlight w:val="none"/>
                <w:lang w:val="en-US" w:eastAsia="zh-CN"/>
              </w:rPr>
              <w:t>35</w:t>
            </w:r>
            <w:r>
              <w:rPr>
                <w:rFonts w:hint="eastAsia" w:ascii="宋体" w:hAnsi="宋体" w:cs="宋体-18030"/>
                <w:bCs/>
                <w:color w:val="auto"/>
                <w:sz w:val="24"/>
                <w:highlight w:val="none"/>
              </w:rPr>
              <w:t>%标准收取代理服务费。单个代理项目招标代理服务费上限为10万元</w:t>
            </w:r>
            <w:r>
              <w:rPr>
                <w:rFonts w:hint="eastAsia" w:ascii="宋体" w:hAnsi="宋体" w:cs="宋体-18030"/>
                <w:bCs/>
                <w:color w:val="auto"/>
                <w:sz w:val="24"/>
                <w:highlight w:val="none"/>
                <w:lang w:val="en-US" w:eastAsia="zh-CN"/>
              </w:rPr>
              <w:t>。本项目代理费收取基数为：中标单价×5.5万吨。</w:t>
            </w:r>
          </w:p>
        </w:tc>
      </w:tr>
    </w:tbl>
    <w:p>
      <w:pPr>
        <w:adjustRightInd w:val="0"/>
        <w:snapToGrid w:val="0"/>
        <w:spacing w:line="360" w:lineRule="auto"/>
        <w:jc w:val="center"/>
        <w:rPr>
          <w:rFonts w:ascii="宋体" w:hAnsi="宋体"/>
          <w:b/>
          <w:bCs/>
          <w:color w:val="auto"/>
          <w:sz w:val="44"/>
          <w:szCs w:val="44"/>
          <w:highlight w:val="none"/>
        </w:rPr>
      </w:pPr>
      <w:r>
        <w:rPr>
          <w:rFonts w:ascii="宋体" w:hAnsi="宋体"/>
          <w:b/>
          <w:bCs/>
          <w:color w:val="auto"/>
          <w:sz w:val="44"/>
          <w:szCs w:val="44"/>
          <w:highlight w:val="none"/>
        </w:rPr>
        <w:br w:type="page"/>
      </w:r>
      <w:r>
        <w:rPr>
          <w:rFonts w:hint="eastAsia" w:ascii="宋体" w:hAnsi="宋体"/>
          <w:b/>
          <w:bCs/>
          <w:color w:val="auto"/>
          <w:sz w:val="44"/>
          <w:szCs w:val="44"/>
          <w:highlight w:val="none"/>
        </w:rPr>
        <w:t>投标人须知</w:t>
      </w:r>
    </w:p>
    <w:p>
      <w:pPr>
        <w:adjustRightInd w:val="0"/>
        <w:snapToGrid w:val="0"/>
        <w:spacing w:line="360" w:lineRule="auto"/>
        <w:ind w:firstLine="354" w:firstLineChars="98"/>
        <w:jc w:val="center"/>
        <w:outlineLvl w:val="0"/>
        <w:rPr>
          <w:rFonts w:ascii="宋体" w:hAnsi="宋体"/>
          <w:b/>
          <w:bCs/>
          <w:color w:val="auto"/>
          <w:sz w:val="36"/>
          <w:szCs w:val="36"/>
          <w:highlight w:val="none"/>
        </w:rPr>
      </w:pPr>
      <w:bookmarkStart w:id="34" w:name="_Toc9015"/>
      <w:bookmarkStart w:id="35" w:name="_Toc25464"/>
      <w:r>
        <w:rPr>
          <w:rFonts w:hint="eastAsia" w:ascii="宋体" w:hAnsi="宋体"/>
          <w:b/>
          <w:bCs/>
          <w:color w:val="auto"/>
          <w:sz w:val="36"/>
          <w:szCs w:val="36"/>
          <w:highlight w:val="none"/>
        </w:rPr>
        <w:t>一、总则</w:t>
      </w:r>
      <w:bookmarkEnd w:id="34"/>
      <w:bookmarkEnd w:id="35"/>
    </w:p>
    <w:p>
      <w:pPr>
        <w:adjustRightInd w:val="0"/>
        <w:snapToGrid w:val="0"/>
        <w:spacing w:line="360" w:lineRule="auto"/>
        <w:ind w:firstLine="236" w:firstLineChars="98"/>
        <w:outlineLvl w:val="0"/>
        <w:rPr>
          <w:rFonts w:ascii="宋体" w:hAnsi="宋体"/>
          <w:b/>
          <w:bCs/>
          <w:color w:val="auto"/>
          <w:sz w:val="28"/>
          <w:szCs w:val="28"/>
          <w:highlight w:val="none"/>
        </w:rPr>
      </w:pPr>
      <w:bookmarkStart w:id="36" w:name="_Toc13002"/>
      <w:bookmarkStart w:id="37" w:name="_Toc14668"/>
      <w:r>
        <w:rPr>
          <w:rFonts w:hint="eastAsia" w:ascii="宋体" w:hAnsi="宋体"/>
          <w:b/>
          <w:bCs/>
          <w:color w:val="auto"/>
          <w:sz w:val="24"/>
          <w:highlight w:val="none"/>
        </w:rPr>
        <w:t>（一）项目概述及资金来源</w:t>
      </w:r>
      <w:bookmarkEnd w:id="36"/>
      <w:bookmarkEnd w:id="37"/>
    </w:p>
    <w:p>
      <w:pPr>
        <w:tabs>
          <w:tab w:val="left" w:pos="420"/>
        </w:tabs>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1.本招标项目参考《政府采购货物和服务招标投标管理办法》的有关规定，</w:t>
      </w:r>
      <w:r>
        <w:rPr>
          <w:rFonts w:hint="eastAsia" w:ascii="宋体" w:hAnsi="宋体"/>
          <w:color w:val="auto"/>
          <w:spacing w:val="-2"/>
          <w:kern w:val="21"/>
          <w:sz w:val="24"/>
          <w:szCs w:val="21"/>
          <w:highlight w:val="none"/>
        </w:rPr>
        <w:t>实行国内公开招标</w:t>
      </w:r>
      <w:r>
        <w:rPr>
          <w:rFonts w:hint="eastAsia" w:ascii="宋体" w:hAnsi="宋体" w:cs="宋体"/>
          <w:color w:val="auto"/>
          <w:kern w:val="0"/>
          <w:sz w:val="24"/>
          <w:highlight w:val="none"/>
        </w:rPr>
        <w:t>。</w:t>
      </w:r>
    </w:p>
    <w:p>
      <w:pPr>
        <w:tabs>
          <w:tab w:val="left" w:pos="420"/>
        </w:tabs>
        <w:spacing w:line="360" w:lineRule="auto"/>
        <w:ind w:firstLine="480" w:firstLineChars="200"/>
        <w:rPr>
          <w:rFonts w:ascii="宋体" w:hAnsi="宋体"/>
          <w:color w:val="auto"/>
          <w:sz w:val="24"/>
          <w:szCs w:val="21"/>
          <w:highlight w:val="none"/>
        </w:rPr>
      </w:pPr>
      <w:r>
        <w:rPr>
          <w:rFonts w:hint="eastAsia" w:ascii="宋体" w:hAnsi="宋体"/>
          <w:color w:val="auto"/>
          <w:sz w:val="24"/>
          <w:szCs w:val="28"/>
          <w:highlight w:val="none"/>
        </w:rPr>
        <w:t>（1）</w:t>
      </w:r>
      <w:r>
        <w:rPr>
          <w:rFonts w:hint="eastAsia" w:ascii="宋体" w:hAnsi="宋体"/>
          <w:bCs/>
          <w:color w:val="auto"/>
          <w:sz w:val="24"/>
          <w:highlight w:val="none"/>
        </w:rPr>
        <w:t>招标人名称：大连盐化集团有限公司</w:t>
      </w:r>
    </w:p>
    <w:p>
      <w:pPr>
        <w:pStyle w:val="21"/>
        <w:spacing w:before="0" w:beforeAutospacing="0" w:after="0" w:afterAutospacing="0" w:line="360" w:lineRule="auto"/>
        <w:ind w:firstLine="480"/>
        <w:jc w:val="both"/>
        <w:rPr>
          <w:rFonts w:hint="eastAsia" w:ascii="宋体" w:hAnsi="宋体"/>
          <w:color w:val="auto"/>
          <w:sz w:val="24"/>
          <w:szCs w:val="21"/>
          <w:highlight w:val="none"/>
        </w:rPr>
      </w:pPr>
      <w:r>
        <w:rPr>
          <w:rFonts w:hint="eastAsia" w:ascii="宋体" w:hAnsi="宋体"/>
          <w:color w:val="auto"/>
          <w:sz w:val="24"/>
          <w:szCs w:val="21"/>
          <w:highlight w:val="none"/>
        </w:rPr>
        <w:t>（2）本次招标的内容为：</w:t>
      </w:r>
    </w:p>
    <w:p>
      <w:pPr>
        <w:tabs>
          <w:tab w:val="left" w:pos="84"/>
        </w:tabs>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港杂服务代理：船代、报关申报、卸船、SGS检测、港内捣载、归垛、二次过磅、苫盖、装汽车（负责装车一次），货物出港申报，开具服务费发票等。（详细内容见项目需求）。</w:t>
      </w:r>
    </w:p>
    <w:p>
      <w:pPr>
        <w:tabs>
          <w:tab w:val="left" w:pos="420"/>
        </w:tabs>
        <w:spacing w:line="360" w:lineRule="auto"/>
        <w:ind w:firstLine="472" w:firstLineChars="200"/>
        <w:rPr>
          <w:rFonts w:hint="eastAsia" w:ascii="宋体" w:hAnsi="宋体" w:eastAsia="宋体"/>
          <w:color w:val="auto"/>
          <w:spacing w:val="-2"/>
          <w:kern w:val="21"/>
          <w:sz w:val="24"/>
          <w:szCs w:val="21"/>
          <w:highlight w:val="none"/>
          <w:lang w:eastAsia="zh-CN"/>
        </w:rPr>
      </w:pPr>
      <w:r>
        <w:rPr>
          <w:rFonts w:hint="eastAsia" w:ascii="宋体" w:hAnsi="宋体"/>
          <w:color w:val="auto"/>
          <w:spacing w:val="-2"/>
          <w:kern w:val="21"/>
          <w:sz w:val="24"/>
          <w:szCs w:val="21"/>
          <w:highlight w:val="none"/>
        </w:rPr>
        <w:t>（3）★</w:t>
      </w:r>
      <w:r>
        <w:rPr>
          <w:rFonts w:hint="eastAsia" w:ascii="宋体" w:hAnsi="宋体" w:cs="宋体"/>
          <w:color w:val="auto"/>
          <w:kern w:val="0"/>
          <w:sz w:val="24"/>
          <w:highlight w:val="none"/>
        </w:rPr>
        <w:t>服务期限</w:t>
      </w:r>
      <w:r>
        <w:rPr>
          <w:rFonts w:hint="eastAsia" w:ascii="宋体" w:hAnsi="宋体"/>
          <w:color w:val="auto"/>
          <w:sz w:val="24"/>
          <w:highlight w:val="none"/>
        </w:rPr>
        <w:t>：</w:t>
      </w:r>
      <w:r>
        <w:rPr>
          <w:rFonts w:hint="eastAsia" w:ascii="宋体" w:hAnsi="宋体"/>
          <w:color w:val="auto"/>
          <w:sz w:val="24"/>
          <w:highlight w:val="none"/>
          <w:lang w:eastAsia="zh-CN"/>
        </w:rPr>
        <w:t>自签订合同之日起至2025年2月2</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日</w:t>
      </w:r>
    </w:p>
    <w:p>
      <w:pPr>
        <w:tabs>
          <w:tab w:val="left" w:pos="420"/>
        </w:tabs>
        <w:spacing w:line="360" w:lineRule="auto"/>
        <w:ind w:firstLine="472" w:firstLineChars="200"/>
        <w:rPr>
          <w:rFonts w:hint="eastAsia" w:ascii="宋体" w:hAnsi="宋体"/>
          <w:color w:val="auto"/>
          <w:sz w:val="24"/>
          <w:highlight w:val="none"/>
          <w:lang w:val="en-US" w:eastAsia="zh-CN"/>
        </w:rPr>
      </w:pPr>
      <w:r>
        <w:rPr>
          <w:rFonts w:hint="eastAsia" w:ascii="宋体" w:hAnsi="宋体"/>
          <w:color w:val="auto"/>
          <w:spacing w:val="-2"/>
          <w:kern w:val="21"/>
          <w:sz w:val="24"/>
          <w:szCs w:val="21"/>
          <w:highlight w:val="none"/>
        </w:rPr>
        <w:t>（4）项目地点：</w:t>
      </w:r>
      <w:r>
        <w:rPr>
          <w:rFonts w:hint="eastAsia" w:ascii="宋体" w:hAnsi="宋体"/>
          <w:color w:val="auto"/>
          <w:sz w:val="24"/>
          <w:highlight w:val="none"/>
          <w:lang w:val="en-US" w:eastAsia="zh-CN"/>
        </w:rPr>
        <w:t>招标人指定地点。</w:t>
      </w:r>
    </w:p>
    <w:p>
      <w:pPr>
        <w:tabs>
          <w:tab w:val="left" w:pos="420"/>
        </w:tabs>
        <w:spacing w:line="360" w:lineRule="auto"/>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（5）</w:t>
      </w:r>
      <w:r>
        <w:rPr>
          <w:rFonts w:hint="eastAsia" w:ascii="宋体" w:hAnsi="宋体"/>
          <w:color w:val="auto"/>
          <w:spacing w:val="-2"/>
          <w:kern w:val="21"/>
          <w:sz w:val="24"/>
          <w:szCs w:val="21"/>
          <w:highlight w:val="none"/>
        </w:rPr>
        <w:t>★</w:t>
      </w:r>
      <w:r>
        <w:rPr>
          <w:rFonts w:hint="eastAsia" w:ascii="宋体" w:hAnsi="宋体"/>
          <w:bCs/>
          <w:color w:val="auto"/>
          <w:sz w:val="24"/>
          <w:szCs w:val="21"/>
          <w:highlight w:val="none"/>
        </w:rPr>
        <w:t>付款方式：</w:t>
      </w:r>
    </w:p>
    <w:p>
      <w:pPr>
        <w:tabs>
          <w:tab w:val="left" w:pos="84"/>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1、价格：固定协议价，港杂服务包干计费标准如下：</w:t>
      </w:r>
    </w:p>
    <w:p>
      <w:pPr>
        <w:tabs>
          <w:tab w:val="left" w:pos="84"/>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港杂费：以港口交接单证中载明的货物重量为准。</w:t>
      </w:r>
    </w:p>
    <w:p>
      <w:pPr>
        <w:tabs>
          <w:tab w:val="left" w:pos="84"/>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代理费：以汽运装车出港过磅的货物重量为准。</w:t>
      </w:r>
    </w:p>
    <w:p>
      <w:pPr>
        <w:tabs>
          <w:tab w:val="left" w:pos="84"/>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2、完成船代、报关申报、卸船、SGS检测、港内捣载、归垛、苫盖，提供专用发票（税率6%），按服务费总额90%结算。</w:t>
      </w:r>
    </w:p>
    <w:p>
      <w:pPr>
        <w:tabs>
          <w:tab w:val="left" w:pos="84"/>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代理服务费按照汽运出港装车时计量的数量结算。</w:t>
      </w:r>
    </w:p>
    <w:p>
      <w:pPr>
        <w:pStyle w:val="18"/>
        <w:spacing w:line="360" w:lineRule="auto"/>
        <w:rPr>
          <w:color w:val="auto"/>
          <w:highlight w:val="none"/>
        </w:rPr>
      </w:pPr>
      <w:r>
        <w:rPr>
          <w:rFonts w:hint="eastAsia" w:ascii="宋体" w:hAnsi="宋体" w:eastAsia="宋体" w:cs="Times New Roman"/>
          <w:b/>
          <w:bCs w:val="0"/>
          <w:color w:val="auto"/>
          <w:kern w:val="2"/>
          <w:sz w:val="24"/>
          <w:szCs w:val="24"/>
          <w:highlight w:val="none"/>
          <w:lang w:val="en-US" w:eastAsia="zh-CN" w:bidi="ar-SA"/>
        </w:rPr>
        <w:t>注：付款形式为电汇、支票、承兑汇票或信用证等。招标人每次付款前，中标人需给招标人开具合法有效的等额增值税专用发票、提供支付申请书等请款材料，中标人逾期提供请款材料或者提供的发票等请款材料不符合招标人要求的，招标人有权延期付款且不承担任何逾期或赔偿责任，且中标人不得因此停止或怠于履行合同义务。中标人开具的发票若出现问题导致招标人进项税无法抵扣时，应重新开具合规发票，无法重开的，由中标人承担招标人相当于无法抵扣进项税额的赔偿金。如遇国家税务政策调整，不含税金额不变，税金按新政执行。</w:t>
      </w:r>
    </w:p>
    <w:p>
      <w:p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szCs w:val="21"/>
          <w:highlight w:val="none"/>
        </w:rPr>
        <w:t>2.资金来</w:t>
      </w:r>
      <w:r>
        <w:rPr>
          <w:rFonts w:hint="eastAsia" w:ascii="宋体" w:hAnsi="宋体"/>
          <w:bCs/>
          <w:color w:val="auto"/>
          <w:sz w:val="24"/>
          <w:highlight w:val="none"/>
        </w:rPr>
        <w:t>源：</w:t>
      </w:r>
      <w:r>
        <w:rPr>
          <w:rFonts w:hint="eastAsia" w:ascii="宋体" w:hAnsi="宋体"/>
          <w:color w:val="auto"/>
          <w:sz w:val="24"/>
          <w:szCs w:val="21"/>
          <w:highlight w:val="none"/>
        </w:rPr>
        <w:t>自筹资金。</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（二）投标人资格要求</w:t>
      </w:r>
    </w:p>
    <w:p>
      <w:pPr>
        <w:tabs>
          <w:tab w:val="left" w:pos="420"/>
        </w:tabs>
        <w:spacing w:line="360" w:lineRule="auto"/>
        <w:ind w:firstLine="480" w:firstLineChars="200"/>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1、具备《中华人民共和国政府采购法》第二十二条规定的条件；</w:t>
      </w:r>
    </w:p>
    <w:p>
      <w:pPr>
        <w:tabs>
          <w:tab w:val="left" w:pos="420"/>
        </w:tabs>
        <w:spacing w:line="360" w:lineRule="auto"/>
        <w:ind w:firstLine="480" w:firstLineChars="200"/>
        <w:rPr>
          <w:rFonts w:hint="eastAsia" w:ascii="宋体" w:hAnsi="宋体" w:eastAsia="宋体" w:cs="Times New Roman"/>
          <w:color w:val="auto"/>
          <w:sz w:val="24"/>
          <w:szCs w:val="21"/>
          <w:highlight w:val="none"/>
          <w:lang w:eastAsia="zh-CN"/>
        </w:rPr>
      </w:pPr>
      <w:r>
        <w:rPr>
          <w:rFonts w:hint="eastAsia" w:ascii="宋体" w:hAnsi="宋体" w:eastAsia="宋体" w:cs="Times New Roman"/>
          <w:color w:val="auto"/>
          <w:sz w:val="24"/>
          <w:szCs w:val="21"/>
          <w:highlight w:val="none"/>
        </w:rPr>
        <w:t>2、</w:t>
      </w:r>
      <w:r>
        <w:rPr>
          <w:rFonts w:hint="eastAsia" w:ascii="宋体" w:hAnsi="宋体" w:cs="Times New Roman"/>
          <w:color w:val="auto"/>
          <w:sz w:val="24"/>
          <w:szCs w:val="21"/>
          <w:highlight w:val="none"/>
          <w:lang w:eastAsia="zh-CN"/>
        </w:rPr>
        <w:t>具有海上货运及陆路货运代理服务能力的独立企业法人或其他组织。</w:t>
      </w:r>
    </w:p>
    <w:p>
      <w:pPr>
        <w:tabs>
          <w:tab w:val="left" w:pos="420"/>
        </w:tabs>
        <w:spacing w:line="360" w:lineRule="auto"/>
        <w:ind w:firstLine="480" w:firstLineChars="200"/>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注：</w:t>
      </w:r>
    </w:p>
    <w:p>
      <w:pPr>
        <w:tabs>
          <w:tab w:val="left" w:pos="420"/>
        </w:tabs>
        <w:spacing w:line="360" w:lineRule="auto"/>
        <w:ind w:firstLine="480" w:firstLineChars="200"/>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（1）本项目不接受联合体投标；</w:t>
      </w:r>
    </w:p>
    <w:p>
      <w:pPr>
        <w:tabs>
          <w:tab w:val="left" w:pos="420"/>
        </w:tabs>
        <w:spacing w:line="360" w:lineRule="auto"/>
        <w:ind w:firstLine="480" w:firstLineChars="200"/>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截至开标前，经“信用中国”网站(www.creditchina.gov.cn)、“信用辽宁”网站（www.lncredit.gov.cn）、“信用大连”网站（credit.dl.cn）大连市重大税收违法案件信息公示平台、“中国政府采购网”(www.ccgp.gov.cn)查询，被列入失信被执行人、重大税收违法案件当事人名单、政府采购严重违法失信行为记录名单的不得参加本采购项目。</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其他要求：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1.投标人只有在法律和财务上独立，并且与招标人没有隶属关系才可以参与本项目的投标。</w:t>
      </w:r>
    </w:p>
    <w:p>
      <w:pPr>
        <w:adjustRightInd w:val="0"/>
        <w:snapToGrid w:val="0"/>
        <w:spacing w:line="360" w:lineRule="auto"/>
        <w:ind w:firstLine="480" w:firstLineChars="200"/>
        <w:rPr>
          <w:color w:val="auto"/>
          <w:spacing w:val="8"/>
          <w:sz w:val="24"/>
          <w:highlight w:val="none"/>
        </w:rPr>
      </w:pPr>
      <w:r>
        <w:rPr>
          <w:rFonts w:hint="eastAsia" w:ascii="宋体" w:hAnsi="宋体"/>
          <w:color w:val="auto"/>
          <w:sz w:val="24"/>
          <w:highlight w:val="none"/>
        </w:rPr>
        <w:t>2.</w:t>
      </w:r>
      <w:r>
        <w:rPr>
          <w:color w:val="auto"/>
          <w:spacing w:val="8"/>
          <w:sz w:val="24"/>
          <w:highlight w:val="none"/>
        </w:rPr>
        <w:t>与招标人存在利害关系可能影响招标公正性的法人、其他组织或者个人，不得参加投标。</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3.单位负责人为同一人或者存在控股、管理关系的不同单位，不得参加同一标段投标或者未划分标段的同一招标项目投标。</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4.法定代表人为同一个人的两个及两个以上法人不得同时参与投标；投标人之间不应存在授权关系。如有此类情况，则只接受先报名的投标人。</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5.除单一来源采购项目外，为采购项目提供整体设计、规范编制或者项目管理、监理、检测等服务的</w:t>
      </w:r>
      <w:r>
        <w:rPr>
          <w:rFonts w:hint="eastAsia" w:ascii="宋体" w:hAnsi="宋体"/>
          <w:color w:val="auto"/>
          <w:sz w:val="24"/>
          <w:highlight w:val="none"/>
          <w:lang w:eastAsia="zh-CN"/>
        </w:rPr>
        <w:t>投标人</w:t>
      </w:r>
      <w:r>
        <w:rPr>
          <w:rFonts w:hint="eastAsia" w:ascii="宋体" w:hAnsi="宋体"/>
          <w:color w:val="auto"/>
          <w:sz w:val="24"/>
          <w:highlight w:val="none"/>
        </w:rPr>
        <w:t>，不得再参加该采购项目的其他采购活动。</w:t>
      </w:r>
    </w:p>
    <w:p>
      <w:pPr>
        <w:adjustRightInd w:val="0"/>
        <w:snapToGrid w:val="0"/>
        <w:spacing w:line="360" w:lineRule="auto"/>
        <w:ind w:firstLine="480" w:firstLineChars="200"/>
        <w:rPr>
          <w:color w:val="auto"/>
          <w:spacing w:val="8"/>
          <w:sz w:val="24"/>
          <w:highlight w:val="none"/>
        </w:rPr>
      </w:pPr>
      <w:r>
        <w:rPr>
          <w:rFonts w:hint="eastAsia" w:ascii="宋体" w:hAnsi="宋体"/>
          <w:color w:val="auto"/>
          <w:sz w:val="24"/>
          <w:highlight w:val="none"/>
        </w:rPr>
        <w:t>6.投标人应具备《中华人民共和国政府采购法》第二十二条规定的条件。</w:t>
      </w:r>
    </w:p>
    <w:p>
      <w:pPr>
        <w:spacing w:line="360" w:lineRule="auto"/>
        <w:ind w:firstLine="241" w:firstLineChars="100"/>
        <w:rPr>
          <w:rFonts w:ascii="宋体" w:hAnsi="宋体"/>
          <w:color w:val="auto"/>
          <w:sz w:val="24"/>
          <w:highlight w:val="none"/>
        </w:rPr>
      </w:pPr>
      <w:r>
        <w:rPr>
          <w:rFonts w:hint="eastAsia" w:ascii="宋体" w:hAnsi="宋体"/>
          <w:b/>
          <w:color w:val="auto"/>
          <w:sz w:val="24"/>
          <w:highlight w:val="none"/>
        </w:rPr>
        <w:t>（三）投标费用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投标人应承担所有与编写和提交投标文件有关的一切费用，不论投标的结果如何，招标人及招标代理人在任何情况下均无义务和责任承担这些费用。</w:t>
      </w:r>
    </w:p>
    <w:p>
      <w:pPr>
        <w:spacing w:line="360" w:lineRule="auto"/>
        <w:ind w:firstLine="241" w:firstLineChars="100"/>
        <w:rPr>
          <w:rFonts w:ascii="宋体" w:hAnsi="宋体"/>
          <w:b/>
          <w:color w:val="auto"/>
          <w:sz w:val="24"/>
          <w:highlight w:val="none"/>
        </w:rPr>
      </w:pPr>
    </w:p>
    <w:p>
      <w:pPr>
        <w:adjustRightInd w:val="0"/>
        <w:snapToGrid w:val="0"/>
        <w:spacing w:line="360" w:lineRule="auto"/>
        <w:ind w:firstLine="354" w:firstLineChars="98"/>
        <w:jc w:val="center"/>
        <w:outlineLvl w:val="0"/>
        <w:rPr>
          <w:rFonts w:ascii="宋体" w:hAnsi="宋体"/>
          <w:b/>
          <w:bCs/>
          <w:color w:val="auto"/>
          <w:sz w:val="36"/>
          <w:szCs w:val="36"/>
          <w:highlight w:val="none"/>
        </w:rPr>
      </w:pPr>
      <w:bookmarkStart w:id="38" w:name="_Toc26120"/>
      <w:bookmarkStart w:id="39" w:name="_Toc18191"/>
      <w:r>
        <w:rPr>
          <w:rFonts w:hint="eastAsia" w:ascii="宋体" w:hAnsi="宋体"/>
          <w:b/>
          <w:bCs/>
          <w:color w:val="auto"/>
          <w:sz w:val="36"/>
          <w:szCs w:val="36"/>
          <w:highlight w:val="none"/>
        </w:rPr>
        <w:t>二、招标文件</w:t>
      </w:r>
      <w:bookmarkEnd w:id="38"/>
      <w:bookmarkEnd w:id="39"/>
    </w:p>
    <w:p>
      <w:pPr>
        <w:adjustRightInd w:val="0"/>
        <w:snapToGrid w:val="0"/>
        <w:spacing w:line="360" w:lineRule="auto"/>
        <w:ind w:firstLine="236" w:firstLineChars="98"/>
        <w:outlineLvl w:val="0"/>
        <w:rPr>
          <w:rFonts w:ascii="宋体" w:hAnsi="宋体"/>
          <w:b/>
          <w:bCs/>
          <w:color w:val="auto"/>
          <w:sz w:val="28"/>
          <w:szCs w:val="28"/>
          <w:highlight w:val="none"/>
        </w:rPr>
      </w:pPr>
      <w:bookmarkStart w:id="40" w:name="_Toc18272"/>
      <w:bookmarkStart w:id="41" w:name="_Toc5302"/>
      <w:r>
        <w:rPr>
          <w:rFonts w:hint="eastAsia" w:ascii="宋体" w:hAnsi="宋体"/>
          <w:b/>
          <w:bCs/>
          <w:color w:val="auto"/>
          <w:sz w:val="24"/>
          <w:highlight w:val="none"/>
        </w:rPr>
        <w:t>（一）招标文件构成</w:t>
      </w:r>
      <w:bookmarkEnd w:id="40"/>
      <w:bookmarkEnd w:id="41"/>
    </w:p>
    <w:p>
      <w:pPr>
        <w:adjustRightInd w:val="0"/>
        <w:snapToGrid w:val="0"/>
        <w:spacing w:line="360" w:lineRule="auto"/>
        <w:ind w:firstLine="480" w:firstLineChars="200"/>
        <w:outlineLvl w:val="0"/>
        <w:rPr>
          <w:rFonts w:ascii="宋体" w:hAnsi="宋体"/>
          <w:bCs/>
          <w:color w:val="auto"/>
          <w:sz w:val="28"/>
          <w:szCs w:val="28"/>
          <w:highlight w:val="none"/>
        </w:rPr>
      </w:pPr>
      <w:bookmarkStart w:id="42" w:name="_Toc22053"/>
      <w:bookmarkStart w:id="43" w:name="_Toc21008"/>
      <w:r>
        <w:rPr>
          <w:rFonts w:hint="eastAsia" w:ascii="宋体" w:hAnsi="宋体"/>
          <w:color w:val="auto"/>
          <w:sz w:val="24"/>
          <w:highlight w:val="none"/>
        </w:rPr>
        <w:t>1.招标文件包括：</w:t>
      </w:r>
      <w:bookmarkEnd w:id="42"/>
      <w:bookmarkEnd w:id="43"/>
    </w:p>
    <w:p>
      <w:pPr>
        <w:adjustRightInd w:val="0"/>
        <w:snapToGrid w:val="0"/>
        <w:spacing w:line="360" w:lineRule="auto"/>
        <w:ind w:firstLine="480" w:firstLineChars="200"/>
        <w:outlineLvl w:val="0"/>
        <w:rPr>
          <w:rFonts w:ascii="宋体" w:hAnsi="宋体"/>
          <w:bCs/>
          <w:color w:val="auto"/>
          <w:sz w:val="28"/>
          <w:szCs w:val="28"/>
          <w:highlight w:val="none"/>
        </w:rPr>
      </w:pPr>
      <w:bookmarkStart w:id="44" w:name="_Toc5406"/>
      <w:bookmarkStart w:id="45" w:name="_Toc5636"/>
      <w:r>
        <w:rPr>
          <w:rFonts w:hint="eastAsia" w:ascii="宋体" w:hAnsi="宋体"/>
          <w:color w:val="auto"/>
          <w:sz w:val="24"/>
          <w:highlight w:val="none"/>
        </w:rPr>
        <w:t>投标邀请函</w:t>
      </w:r>
      <w:bookmarkEnd w:id="44"/>
      <w:bookmarkEnd w:id="45"/>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第一章投标人须知及前附表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第二章合同条款及合同格式</w:t>
      </w:r>
      <w:r>
        <w:rPr>
          <w:rFonts w:hint="eastAsia" w:ascii="宋体" w:hAnsi="宋体"/>
          <w:color w:val="auto"/>
          <w:sz w:val="24"/>
          <w:highlight w:val="none"/>
        </w:rPr>
        <w:tab/>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第三章项目需求及技术要求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第四章投标文件格式</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附件1开标一览表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附件2评标办法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附件3</w:t>
      </w:r>
      <w:r>
        <w:rPr>
          <w:rFonts w:hint="eastAsia" w:ascii="宋体" w:hAnsi="宋体"/>
          <w:color w:val="auto"/>
          <w:sz w:val="24"/>
          <w:highlight w:val="none"/>
          <w:lang w:eastAsia="zh-CN"/>
        </w:rPr>
        <w:t>资格</w:t>
      </w:r>
      <w:r>
        <w:rPr>
          <w:rFonts w:hint="eastAsia" w:ascii="宋体" w:hAnsi="宋体"/>
          <w:color w:val="auto"/>
          <w:sz w:val="24"/>
          <w:highlight w:val="none"/>
        </w:rPr>
        <w:t>审查表、符合性审查表</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2.投标人应认真阅读招标文件中所有的事项、格式、条款、项目任务等要求。如果投标人没有按照招标文件要求提交全部资料或者投标文件没有对招标文件在各方面都作出实质性响应，其投标将被拒绝。</w:t>
      </w:r>
    </w:p>
    <w:p>
      <w:pPr>
        <w:adjustRightInd w:val="0"/>
        <w:snapToGrid w:val="0"/>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（二）投标报价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1、固定单价报价，任何有选择的报价将不予接受。</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s="宋体"/>
          <w:bCs/>
          <w:color w:val="auto"/>
          <w:sz w:val="24"/>
          <w:highlight w:val="none"/>
          <w:lang w:val="en-US" w:eastAsia="zh-CN"/>
        </w:rPr>
        <w:t>投标</w:t>
      </w:r>
      <w:r>
        <w:rPr>
          <w:rFonts w:hint="eastAsia" w:ascii="宋体" w:hAnsi="宋体" w:cs="宋体"/>
          <w:bCs/>
          <w:color w:val="auto"/>
          <w:sz w:val="24"/>
          <w:highlight w:val="none"/>
        </w:rPr>
        <w:t>报价须包含项目需求中所有服务内容，包括但不限于</w:t>
      </w:r>
      <w:r>
        <w:rPr>
          <w:rFonts w:hint="eastAsia" w:ascii="宋体" w:hAnsi="宋体" w:cs="宋体"/>
          <w:bCs/>
          <w:color w:val="auto"/>
          <w:sz w:val="24"/>
          <w:highlight w:val="none"/>
        </w:rPr>
        <w:t>船代、报关申报、卸船、SGS检测、港内捣载、归垛、二次过磅、苫盖、装汽车（负责装车一次），货物出港申报，开具服务费发票等</w:t>
      </w:r>
      <w:r>
        <w:rPr>
          <w:rFonts w:hint="eastAsia" w:ascii="宋体" w:hAnsi="宋体" w:cs="宋体"/>
          <w:bCs/>
          <w:color w:val="auto"/>
          <w:sz w:val="24"/>
          <w:highlight w:val="none"/>
        </w:rPr>
        <w:t>全部项目内容服务费用、人员费用、后续服务及不可预见风险等所有费用，招标人不再支付除合同价款以外的任何费用，</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自行考虑报价风险。</w:t>
      </w:r>
    </w:p>
    <w:p>
      <w:pPr>
        <w:adjustRightInd w:val="0"/>
        <w:snapToGrid w:val="0"/>
        <w:spacing w:line="360" w:lineRule="auto"/>
        <w:ind w:firstLine="241" w:firstLineChars="100"/>
        <w:rPr>
          <w:rFonts w:ascii="宋体" w:hAnsi="宋体"/>
          <w:b/>
          <w:color w:val="auto"/>
          <w:sz w:val="24"/>
          <w:highlight w:val="none"/>
        </w:rPr>
      </w:pPr>
      <w:r>
        <w:rPr>
          <w:rFonts w:hint="eastAsia" w:ascii="宋体" w:hAnsi="宋体"/>
          <w:b/>
          <w:bCs/>
          <w:color w:val="auto"/>
          <w:sz w:val="24"/>
          <w:highlight w:val="none"/>
        </w:rPr>
        <w:t>（三）招标文件的澄清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任何要求对招标文件进行澄清的投标人，均应按招标文件中的通讯地址，以书面形式（如传真等）及时通知招标代理人，招标代理人将及时以书面形式予以答复，同时将书面答复告知所有购买招标文件的投标人，答复中包括所问问题，但不包括问题的来源。</w:t>
      </w:r>
    </w:p>
    <w:p>
      <w:pPr>
        <w:adjustRightInd w:val="0"/>
        <w:snapToGrid w:val="0"/>
        <w:spacing w:line="360" w:lineRule="auto"/>
        <w:ind w:firstLine="241" w:firstLineChars="100"/>
        <w:rPr>
          <w:rFonts w:ascii="宋体" w:hAnsi="宋体"/>
          <w:b/>
          <w:color w:val="auto"/>
          <w:sz w:val="24"/>
          <w:highlight w:val="none"/>
        </w:rPr>
      </w:pPr>
      <w:r>
        <w:rPr>
          <w:rFonts w:hint="eastAsia" w:ascii="宋体" w:hAnsi="宋体"/>
          <w:b/>
          <w:bCs/>
          <w:color w:val="auto"/>
          <w:sz w:val="24"/>
          <w:highlight w:val="none"/>
        </w:rPr>
        <w:t>（四）招标文件的修改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1.在投标截止时间前，招标代理人依法可主动的或在解答投标人提出的澄清问题时对招标文件进行修改。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2.招标文件的修改将以网上澄清公告的形式通知所有报名的投标人，并对其具有约束力。</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3.为使投标人编写投标文件时，有充分时间对招标文件的修改部分进行研究，招标代理人将依法延长投标截止时间</w:t>
      </w:r>
      <w:r>
        <w:rPr>
          <w:rFonts w:hint="eastAsia" w:ascii="宋体" w:hAnsi="宋体"/>
          <w:bCs/>
          <w:color w:val="auto"/>
          <w:sz w:val="24"/>
          <w:highlight w:val="none"/>
        </w:rPr>
        <w:t>。</w:t>
      </w:r>
    </w:p>
    <w:p>
      <w:pPr>
        <w:adjustRightInd w:val="0"/>
        <w:snapToGrid w:val="0"/>
        <w:spacing w:line="360" w:lineRule="auto"/>
        <w:ind w:firstLine="354" w:firstLineChars="98"/>
        <w:jc w:val="center"/>
        <w:rPr>
          <w:rFonts w:ascii="宋体" w:hAnsi="宋体"/>
          <w:b/>
          <w:bCs/>
          <w:color w:val="auto"/>
          <w:sz w:val="36"/>
          <w:szCs w:val="36"/>
          <w:highlight w:val="none"/>
        </w:rPr>
      </w:pPr>
      <w:r>
        <w:rPr>
          <w:rFonts w:hint="eastAsia" w:ascii="宋体" w:hAnsi="宋体"/>
          <w:b/>
          <w:bCs/>
          <w:color w:val="auto"/>
          <w:sz w:val="36"/>
          <w:szCs w:val="36"/>
          <w:highlight w:val="none"/>
        </w:rPr>
        <w:t>三、投标文件的编制</w:t>
      </w:r>
    </w:p>
    <w:p>
      <w:pPr>
        <w:adjustRightInd w:val="0"/>
        <w:snapToGrid w:val="0"/>
        <w:spacing w:line="360" w:lineRule="auto"/>
        <w:ind w:firstLine="241" w:firstLineChars="100"/>
        <w:rPr>
          <w:rFonts w:ascii="宋体" w:hAnsi="宋体"/>
          <w:b/>
          <w:bCs/>
          <w:color w:val="auto"/>
          <w:sz w:val="28"/>
          <w:szCs w:val="28"/>
          <w:highlight w:val="none"/>
        </w:rPr>
      </w:pPr>
      <w:r>
        <w:rPr>
          <w:rFonts w:hint="eastAsia" w:ascii="宋体" w:hAnsi="宋体"/>
          <w:b/>
          <w:bCs/>
          <w:color w:val="auto"/>
          <w:sz w:val="24"/>
          <w:highlight w:val="none"/>
        </w:rPr>
        <w:t>（一）投标的语言</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投标人提交的投标文件以及投标人与招标代理人就有关投标的所有往来函均应使用中文。</w:t>
      </w:r>
    </w:p>
    <w:p>
      <w:pPr>
        <w:adjustRightInd w:val="0"/>
        <w:snapToGrid w:val="0"/>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（二）投标文件构成</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投标人编写的投标文件应包括下列部分：</w:t>
      </w:r>
    </w:p>
    <w:p>
      <w:pPr>
        <w:adjustRightInd w:val="0"/>
        <w:snapToGrid w:val="0"/>
        <w:spacing w:line="360" w:lineRule="auto"/>
        <w:ind w:firstLine="480" w:firstLineChars="200"/>
        <w:outlineLvl w:val="0"/>
        <w:rPr>
          <w:rFonts w:ascii="宋体" w:hAnsi="宋体"/>
          <w:color w:val="auto"/>
          <w:sz w:val="24"/>
          <w:highlight w:val="none"/>
        </w:rPr>
      </w:pPr>
      <w:bookmarkStart w:id="46" w:name="_Toc18766"/>
      <w:bookmarkStart w:id="47" w:name="_Toc19271"/>
      <w:r>
        <w:rPr>
          <w:rFonts w:hint="eastAsia" w:ascii="宋体" w:hAnsi="宋体"/>
          <w:color w:val="auto"/>
          <w:sz w:val="24"/>
          <w:highlight w:val="none"/>
        </w:rPr>
        <w:t>1.投标函；</w:t>
      </w:r>
      <w:bookmarkEnd w:id="46"/>
      <w:bookmarkEnd w:id="47"/>
    </w:p>
    <w:p>
      <w:pPr>
        <w:adjustRightInd w:val="0"/>
        <w:snapToGrid w:val="0"/>
        <w:spacing w:line="360" w:lineRule="auto"/>
        <w:ind w:firstLine="480" w:firstLineChars="200"/>
        <w:outlineLvl w:val="0"/>
        <w:rPr>
          <w:rFonts w:ascii="宋体" w:hAnsi="宋体"/>
          <w:color w:val="auto"/>
          <w:sz w:val="24"/>
          <w:highlight w:val="none"/>
        </w:rPr>
      </w:pPr>
      <w:bookmarkStart w:id="48" w:name="_Toc28857"/>
      <w:bookmarkStart w:id="49" w:name="_Toc6253"/>
      <w:r>
        <w:rPr>
          <w:rFonts w:hint="eastAsia" w:ascii="宋体" w:hAnsi="宋体"/>
          <w:color w:val="auto"/>
          <w:sz w:val="24"/>
          <w:highlight w:val="none"/>
        </w:rPr>
        <w:t>2.</w:t>
      </w:r>
      <w:r>
        <w:rPr>
          <w:rFonts w:hint="eastAsia" w:ascii="宋体" w:hAnsi="宋体"/>
          <w:color w:val="auto"/>
          <w:sz w:val="24"/>
          <w:highlight w:val="none"/>
          <w:lang w:val="en-US" w:eastAsia="zh-CN"/>
        </w:rPr>
        <w:t>报价汇总</w:t>
      </w:r>
      <w:r>
        <w:rPr>
          <w:rFonts w:hint="eastAsia" w:ascii="宋体" w:hAnsi="宋体"/>
          <w:color w:val="auto"/>
          <w:sz w:val="24"/>
          <w:highlight w:val="none"/>
        </w:rPr>
        <w:t>表；</w:t>
      </w:r>
      <w:bookmarkEnd w:id="48"/>
      <w:bookmarkEnd w:id="49"/>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3.商务条款偏离表；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4.资格证明文件；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5.项目实施方案：</w:t>
      </w:r>
    </w:p>
    <w:p>
      <w:pPr>
        <w:adjustRightInd w:val="0"/>
        <w:snapToGrid w:val="0"/>
        <w:spacing w:line="360" w:lineRule="auto"/>
        <w:ind w:firstLine="480" w:firstLineChars="200"/>
        <w:outlineLvl w:val="0"/>
        <w:rPr>
          <w:rFonts w:ascii="宋体" w:hAnsi="宋体"/>
          <w:color w:val="auto"/>
          <w:sz w:val="24"/>
          <w:highlight w:val="none"/>
        </w:rPr>
      </w:pPr>
      <w:bookmarkStart w:id="50" w:name="_Toc31948"/>
      <w:bookmarkStart w:id="51" w:name="_Toc1295"/>
      <w:r>
        <w:rPr>
          <w:rFonts w:hint="eastAsia" w:ascii="宋体" w:hAnsi="宋体"/>
          <w:color w:val="auto"/>
          <w:sz w:val="24"/>
          <w:highlight w:val="none"/>
        </w:rPr>
        <w:t>6.人员的综合素质和人员配置；</w:t>
      </w:r>
      <w:bookmarkEnd w:id="50"/>
      <w:bookmarkEnd w:id="51"/>
    </w:p>
    <w:p>
      <w:pPr>
        <w:adjustRightInd w:val="0"/>
        <w:snapToGrid w:val="0"/>
        <w:spacing w:line="360" w:lineRule="auto"/>
        <w:ind w:firstLine="480" w:firstLineChars="200"/>
        <w:outlineLvl w:val="0"/>
        <w:rPr>
          <w:rFonts w:ascii="宋体" w:hAnsi="宋体"/>
          <w:color w:val="auto"/>
          <w:sz w:val="24"/>
          <w:highlight w:val="none"/>
        </w:rPr>
      </w:pPr>
      <w:bookmarkStart w:id="52" w:name="_Toc25787"/>
      <w:bookmarkStart w:id="53" w:name="_Toc29797"/>
      <w:r>
        <w:rPr>
          <w:rFonts w:hint="eastAsia" w:ascii="宋体" w:hAnsi="宋体"/>
          <w:color w:val="auto"/>
          <w:sz w:val="24"/>
          <w:highlight w:val="none"/>
        </w:rPr>
        <w:t>7.</w:t>
      </w:r>
      <w:r>
        <w:rPr>
          <w:rFonts w:hint="eastAsia" w:ascii="宋体" w:hAnsi="宋体"/>
          <w:color w:val="auto"/>
          <w:sz w:val="24"/>
          <w:highlight w:val="none"/>
          <w:lang w:val="en-US" w:eastAsia="zh-CN"/>
        </w:rPr>
        <w:t>车辆配备方案</w:t>
      </w:r>
      <w:r>
        <w:rPr>
          <w:rFonts w:hint="eastAsia" w:ascii="宋体" w:hAnsi="宋体"/>
          <w:color w:val="auto"/>
          <w:sz w:val="24"/>
          <w:highlight w:val="none"/>
        </w:rPr>
        <w:t>；</w:t>
      </w:r>
      <w:bookmarkEnd w:id="52"/>
      <w:bookmarkEnd w:id="53"/>
    </w:p>
    <w:p>
      <w:pPr>
        <w:adjustRightInd w:val="0"/>
        <w:snapToGrid w:val="0"/>
        <w:spacing w:line="360" w:lineRule="auto"/>
        <w:ind w:firstLine="480" w:firstLineChars="200"/>
        <w:outlineLvl w:val="0"/>
        <w:rPr>
          <w:rFonts w:hint="eastAsia" w:ascii="宋体" w:hAnsi="宋体" w:eastAsia="宋体"/>
          <w:color w:val="auto"/>
          <w:sz w:val="24"/>
          <w:highlight w:val="none"/>
          <w:lang w:eastAsia="zh-CN"/>
        </w:rPr>
      </w:pPr>
      <w:bookmarkStart w:id="54" w:name="_Toc12186"/>
      <w:bookmarkStart w:id="55" w:name="_Toc4518"/>
      <w:r>
        <w:rPr>
          <w:rFonts w:hint="eastAsia" w:ascii="宋体" w:hAnsi="宋体"/>
          <w:color w:val="auto"/>
          <w:sz w:val="24"/>
          <w:highlight w:val="none"/>
        </w:rPr>
        <w:t>8.服务保障方案</w:t>
      </w:r>
      <w:r>
        <w:rPr>
          <w:rFonts w:hint="eastAsia" w:ascii="宋体" w:hAnsi="宋体"/>
          <w:color w:val="auto"/>
          <w:sz w:val="24"/>
          <w:highlight w:val="none"/>
          <w:lang w:eastAsia="zh-CN"/>
        </w:rPr>
        <w:t>；</w:t>
      </w:r>
      <w:bookmarkEnd w:id="54"/>
      <w:bookmarkEnd w:id="55"/>
    </w:p>
    <w:p>
      <w:pPr>
        <w:adjustRightInd w:val="0"/>
        <w:snapToGrid w:val="0"/>
        <w:spacing w:line="360" w:lineRule="auto"/>
        <w:ind w:firstLine="480" w:firstLineChars="200"/>
        <w:outlineLvl w:val="0"/>
        <w:rPr>
          <w:rFonts w:hint="default" w:ascii="宋体" w:hAnsi="宋体" w:eastAsia="宋体"/>
          <w:color w:val="auto"/>
          <w:sz w:val="24"/>
          <w:highlight w:val="none"/>
          <w:lang w:val="en-US" w:eastAsia="zh-CN"/>
        </w:rPr>
      </w:pPr>
      <w:bookmarkStart w:id="56" w:name="_Toc29273"/>
      <w:bookmarkStart w:id="57" w:name="_Toc25498"/>
      <w:r>
        <w:rPr>
          <w:rFonts w:hint="eastAsia" w:ascii="宋体" w:hAnsi="宋体"/>
          <w:color w:val="auto"/>
          <w:sz w:val="24"/>
          <w:highlight w:val="none"/>
          <w:lang w:val="en-US" w:eastAsia="zh-CN"/>
        </w:rPr>
        <w:t>9.应急预案</w:t>
      </w:r>
      <w:bookmarkEnd w:id="56"/>
      <w:r>
        <w:rPr>
          <w:rFonts w:hint="eastAsia" w:ascii="宋体" w:hAnsi="宋体"/>
          <w:color w:val="auto"/>
          <w:sz w:val="24"/>
          <w:highlight w:val="none"/>
          <w:lang w:val="en-US" w:eastAsia="zh-CN"/>
        </w:rPr>
        <w:t>；</w:t>
      </w:r>
    </w:p>
    <w:p>
      <w:pPr>
        <w:adjustRightInd w:val="0"/>
        <w:snapToGrid w:val="0"/>
        <w:spacing w:line="360" w:lineRule="auto"/>
        <w:ind w:firstLine="480" w:firstLineChars="200"/>
        <w:outlineLvl w:val="0"/>
        <w:rPr>
          <w:rFonts w:hint="eastAsia" w:ascii="宋体" w:hAnsi="宋体" w:eastAsia="宋体"/>
          <w:color w:val="auto"/>
          <w:sz w:val="24"/>
          <w:highlight w:val="none"/>
          <w:lang w:eastAsia="zh-CN"/>
        </w:rPr>
      </w:pPr>
      <w:bookmarkStart w:id="58" w:name="_Toc21113"/>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.近三年（202</w:t>
      </w:r>
      <w:r>
        <w:rPr>
          <w:rFonts w:hint="eastAsia" w:ascii="宋体" w:hAnsi="宋体"/>
          <w:color w:val="auto"/>
          <w:sz w:val="24"/>
          <w:highlight w:val="none"/>
          <w:lang w:val="en-US" w:eastAsia="zh-CN"/>
        </w:rPr>
        <w:t>1</w:t>
      </w:r>
      <w:r>
        <w:rPr>
          <w:rFonts w:hint="eastAsia" w:ascii="宋体" w:hAnsi="宋体"/>
          <w:color w:val="auto"/>
          <w:sz w:val="24"/>
          <w:highlight w:val="none"/>
        </w:rPr>
        <w:t>年1月1日至今）投标人完成的同类项目业绩一览表</w:t>
      </w:r>
      <w:bookmarkEnd w:id="57"/>
      <w:bookmarkEnd w:id="58"/>
      <w:r>
        <w:rPr>
          <w:rFonts w:hint="eastAsia" w:ascii="宋体" w:hAnsi="宋体"/>
          <w:color w:val="auto"/>
          <w:sz w:val="24"/>
          <w:highlight w:val="none"/>
          <w:lang w:eastAsia="zh-CN"/>
        </w:rPr>
        <w:t>；</w:t>
      </w:r>
    </w:p>
    <w:p>
      <w:pPr>
        <w:adjustRightInd w:val="0"/>
        <w:snapToGrid w:val="0"/>
        <w:spacing w:line="360" w:lineRule="auto"/>
        <w:ind w:firstLine="480" w:firstLineChars="200"/>
        <w:outlineLvl w:val="0"/>
        <w:rPr>
          <w:rFonts w:ascii="宋体" w:hAnsi="宋体"/>
          <w:color w:val="auto"/>
          <w:sz w:val="24"/>
          <w:highlight w:val="none"/>
        </w:rPr>
      </w:pPr>
      <w:bookmarkStart w:id="59" w:name="_Toc1934"/>
      <w:bookmarkStart w:id="60" w:name="_Toc32389"/>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.其他；</w:t>
      </w:r>
      <w:bookmarkEnd w:id="59"/>
      <w:bookmarkEnd w:id="60"/>
    </w:p>
    <w:p>
      <w:pPr>
        <w:adjustRightInd w:val="0"/>
        <w:snapToGrid w:val="0"/>
        <w:spacing w:line="360" w:lineRule="auto"/>
        <w:ind w:firstLine="480" w:firstLineChars="200"/>
        <w:outlineLvl w:val="0"/>
        <w:rPr>
          <w:rFonts w:ascii="宋体" w:hAnsi="宋体"/>
          <w:color w:val="auto"/>
          <w:sz w:val="24"/>
          <w:highlight w:val="none"/>
        </w:rPr>
      </w:pPr>
      <w:bookmarkStart w:id="61" w:name="_Toc2059"/>
      <w:bookmarkStart w:id="62" w:name="_Toc29068"/>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.标人需说明的其它问题；</w:t>
      </w:r>
      <w:bookmarkEnd w:id="61"/>
      <w:bookmarkEnd w:id="62"/>
    </w:p>
    <w:p>
      <w:pPr>
        <w:adjustRightInd w:val="0"/>
        <w:snapToGrid w:val="0"/>
        <w:spacing w:line="360" w:lineRule="auto"/>
        <w:ind w:firstLine="480" w:firstLineChars="200"/>
        <w:outlineLvl w:val="0"/>
        <w:rPr>
          <w:rFonts w:ascii="宋体" w:hAnsi="宋体"/>
          <w:color w:val="auto"/>
          <w:sz w:val="24"/>
          <w:highlight w:val="none"/>
        </w:rPr>
      </w:pPr>
      <w:bookmarkStart w:id="63" w:name="_Toc20662"/>
      <w:bookmarkStart w:id="64" w:name="_Toc23975"/>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.附件1：开标一览表（单独密封）</w:t>
      </w:r>
      <w:bookmarkEnd w:id="63"/>
      <w:bookmarkEnd w:id="64"/>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注：以上1-4、14为投标人编写投标文件的必要组成部分，资格证明文件为必须提供的证明资料，缺少任意一项材料投标文件无效。</w:t>
      </w:r>
    </w:p>
    <w:p>
      <w:pPr>
        <w:adjustRightInd w:val="0"/>
        <w:snapToGrid w:val="0"/>
        <w:spacing w:line="360" w:lineRule="auto"/>
        <w:ind w:firstLine="236" w:firstLineChars="98"/>
        <w:outlineLvl w:val="0"/>
        <w:rPr>
          <w:rFonts w:ascii="宋体" w:hAnsi="宋体"/>
          <w:b/>
          <w:color w:val="auto"/>
          <w:sz w:val="24"/>
          <w:highlight w:val="none"/>
        </w:rPr>
      </w:pPr>
      <w:bookmarkStart w:id="65" w:name="_Toc2487"/>
      <w:bookmarkStart w:id="66" w:name="_Toc10944"/>
      <w:r>
        <w:rPr>
          <w:rFonts w:hint="eastAsia" w:ascii="宋体" w:hAnsi="宋体"/>
          <w:b/>
          <w:bCs/>
          <w:color w:val="auto"/>
          <w:sz w:val="24"/>
          <w:highlight w:val="none"/>
        </w:rPr>
        <w:t>（三）投标函</w:t>
      </w:r>
      <w:bookmarkEnd w:id="65"/>
      <w:bookmarkEnd w:id="66"/>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投标人应完整地填写招标文件中的投标函格式和投标报价表及其附件。</w:t>
      </w:r>
    </w:p>
    <w:p>
      <w:pPr>
        <w:adjustRightInd w:val="0"/>
        <w:snapToGrid w:val="0"/>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（四）投标报价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1.投标人的投标文件中只允许有一个总报价，任何有选择的报价将不予接受。</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当港杂费政策调整时</w:t>
      </w:r>
      <w:r>
        <w:rPr>
          <w:rFonts w:hint="eastAsia" w:ascii="宋体" w:hAnsi="宋体"/>
          <w:color w:val="auto"/>
          <w:sz w:val="24"/>
          <w:highlight w:val="none"/>
        </w:rPr>
        <w:t>，价格随行就市进行调整，经双方协商另签补充协议确定后执行。</w:t>
      </w:r>
    </w:p>
    <w:p>
      <w:pPr>
        <w:adjustRightInd w:val="0"/>
        <w:snapToGrid w:val="0"/>
        <w:spacing w:line="360" w:lineRule="auto"/>
        <w:ind w:firstLine="241" w:firstLineChars="100"/>
        <w:outlineLvl w:val="0"/>
        <w:rPr>
          <w:rFonts w:ascii="宋体" w:hAnsi="宋体"/>
          <w:b/>
          <w:bCs/>
          <w:color w:val="auto"/>
          <w:sz w:val="24"/>
          <w:highlight w:val="none"/>
        </w:rPr>
      </w:pPr>
      <w:bookmarkStart w:id="67" w:name="_Toc13455"/>
      <w:bookmarkStart w:id="68" w:name="_Toc2354"/>
      <w:r>
        <w:rPr>
          <w:rFonts w:hint="eastAsia" w:ascii="宋体" w:hAnsi="宋体"/>
          <w:b/>
          <w:bCs/>
          <w:color w:val="auto"/>
          <w:sz w:val="24"/>
          <w:highlight w:val="none"/>
        </w:rPr>
        <w:t>（五）投标货币</w:t>
      </w:r>
      <w:bookmarkEnd w:id="67"/>
      <w:bookmarkEnd w:id="68"/>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投标报价采用人民币报价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单价报价</w:t>
      </w:r>
      <w:r>
        <w:rPr>
          <w:rFonts w:hint="eastAsia" w:ascii="宋体" w:hAnsi="宋体"/>
          <w:color w:val="auto"/>
          <w:sz w:val="24"/>
          <w:highlight w:val="none"/>
          <w:lang w:eastAsia="zh-CN"/>
        </w:rPr>
        <w:t>）</w:t>
      </w:r>
      <w:r>
        <w:rPr>
          <w:rFonts w:hint="eastAsia" w:ascii="宋体" w:hAnsi="宋体"/>
          <w:color w:val="auto"/>
          <w:sz w:val="24"/>
          <w:highlight w:val="none"/>
        </w:rPr>
        <w:t>。</w:t>
      </w:r>
    </w:p>
    <w:p>
      <w:pPr>
        <w:adjustRightInd w:val="0"/>
        <w:snapToGrid w:val="0"/>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（六）证明投标人资格合格的文件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1.投标人应提交证明其有资格参加投标和中标后有能力履行合同的文件，并作为其投标文件的一部分。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2.投标人提交的中标后有能力履行合同的资格证明文件应使招标人满意。</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（1）投标人必须具备履行合同所需的财务能力、技术能力；</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（2）投标人应有能力履行合同条款中对所提供的货物所承担的维修、保养和备件储存的义务。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（3）营业执照副本复印件；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）招标文件要求的其他证明投标人资格的文件。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3.投标人应按招标文件格式要求填写并提交“资格证明文件”。</w:t>
      </w:r>
    </w:p>
    <w:p>
      <w:pPr>
        <w:adjustRightInd w:val="0"/>
        <w:snapToGrid w:val="0"/>
        <w:spacing w:line="360" w:lineRule="auto"/>
        <w:ind w:firstLine="482" w:firstLineChars="200"/>
        <w:outlineLvl w:val="9"/>
        <w:rPr>
          <w:rFonts w:ascii="宋体" w:hAnsi="宋体"/>
          <w:b/>
          <w:bCs/>
          <w:color w:val="auto"/>
          <w:sz w:val="24"/>
          <w:highlight w:val="none"/>
        </w:rPr>
      </w:pPr>
      <w:r>
        <w:rPr>
          <w:rFonts w:hint="eastAsia" w:ascii="宋体" w:hAnsi="宋体"/>
          <w:b/>
          <w:bCs/>
          <w:color w:val="auto"/>
          <w:sz w:val="24"/>
          <w:highlight w:val="none"/>
        </w:rPr>
        <w:t>（七）</w:t>
      </w:r>
      <w:r>
        <w:rPr>
          <w:rFonts w:ascii="宋体" w:hAnsi="宋体"/>
          <w:b/>
          <w:bCs/>
          <w:color w:val="auto"/>
          <w:sz w:val="24"/>
          <w:highlight w:val="none"/>
        </w:rPr>
        <w:t>证</w:t>
      </w:r>
      <w:r>
        <w:rPr>
          <w:rFonts w:hint="eastAsia" w:ascii="宋体" w:hAnsi="宋体"/>
          <w:b/>
          <w:bCs/>
          <w:color w:val="auto"/>
          <w:sz w:val="24"/>
          <w:highlight w:val="none"/>
        </w:rPr>
        <w:t>明投</w:t>
      </w:r>
      <w:r>
        <w:rPr>
          <w:rFonts w:ascii="宋体" w:hAnsi="宋体"/>
          <w:b/>
          <w:bCs/>
          <w:color w:val="auto"/>
          <w:sz w:val="24"/>
          <w:highlight w:val="none"/>
        </w:rPr>
        <w:t>标</w:t>
      </w:r>
      <w:r>
        <w:rPr>
          <w:rFonts w:hint="eastAsia" w:ascii="宋体" w:hAnsi="宋体"/>
          <w:b/>
          <w:bCs/>
          <w:color w:val="auto"/>
          <w:sz w:val="24"/>
          <w:highlight w:val="none"/>
        </w:rPr>
        <w:t>人</w:t>
      </w:r>
      <w:r>
        <w:rPr>
          <w:rFonts w:ascii="宋体" w:hAnsi="宋体"/>
          <w:b/>
          <w:bCs/>
          <w:color w:val="auto"/>
          <w:sz w:val="24"/>
          <w:highlight w:val="none"/>
        </w:rPr>
        <w:t>资</w:t>
      </w:r>
      <w:r>
        <w:rPr>
          <w:rFonts w:hint="eastAsia" w:ascii="宋体" w:hAnsi="宋体"/>
          <w:b/>
          <w:bCs/>
          <w:color w:val="auto"/>
          <w:sz w:val="24"/>
          <w:highlight w:val="none"/>
        </w:rPr>
        <w:t>格合格的文件</w:t>
      </w:r>
    </w:p>
    <w:p>
      <w:pPr>
        <w:adjustRightInd w:val="0"/>
        <w:snapToGrid w:val="0"/>
        <w:spacing w:line="360" w:lineRule="auto"/>
        <w:ind w:firstLine="480" w:firstLineChars="200"/>
        <w:outlineLvl w:val="9"/>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应</w:t>
      </w:r>
      <w:r>
        <w:rPr>
          <w:rFonts w:hint="eastAsia" w:ascii="宋体" w:hAnsi="宋体"/>
          <w:color w:val="auto"/>
          <w:sz w:val="24"/>
          <w:highlight w:val="none"/>
        </w:rPr>
        <w:t>提交</w:t>
      </w:r>
      <w:r>
        <w:rPr>
          <w:rFonts w:ascii="宋体" w:hAnsi="宋体"/>
          <w:color w:val="auto"/>
          <w:sz w:val="24"/>
          <w:highlight w:val="none"/>
        </w:rPr>
        <w:t>证</w:t>
      </w:r>
      <w:r>
        <w:rPr>
          <w:rFonts w:hint="eastAsia" w:ascii="宋体" w:hAnsi="宋体"/>
          <w:color w:val="auto"/>
          <w:sz w:val="24"/>
          <w:highlight w:val="none"/>
        </w:rPr>
        <w:t>明其有</w:t>
      </w:r>
      <w:r>
        <w:rPr>
          <w:rFonts w:ascii="宋体" w:hAnsi="宋体"/>
          <w:color w:val="auto"/>
          <w:sz w:val="24"/>
          <w:highlight w:val="none"/>
        </w:rPr>
        <w:t>资</w:t>
      </w:r>
      <w:r>
        <w:rPr>
          <w:rFonts w:hint="eastAsia" w:ascii="宋体" w:hAnsi="宋体"/>
          <w:color w:val="auto"/>
          <w:sz w:val="24"/>
          <w:highlight w:val="none"/>
        </w:rPr>
        <w:t>格</w:t>
      </w:r>
      <w:r>
        <w:rPr>
          <w:rFonts w:ascii="宋体" w:hAnsi="宋体"/>
          <w:color w:val="auto"/>
          <w:sz w:val="24"/>
          <w:highlight w:val="none"/>
        </w:rPr>
        <w:t>参</w:t>
      </w:r>
      <w:r>
        <w:rPr>
          <w:rFonts w:hint="eastAsia" w:ascii="宋体" w:hAnsi="宋体"/>
          <w:color w:val="auto"/>
          <w:sz w:val="24"/>
          <w:highlight w:val="none"/>
        </w:rPr>
        <w:t>加投</w:t>
      </w:r>
      <w:r>
        <w:rPr>
          <w:rFonts w:ascii="宋体" w:hAnsi="宋体"/>
          <w:color w:val="auto"/>
          <w:sz w:val="24"/>
          <w:highlight w:val="none"/>
        </w:rPr>
        <w:t>标</w:t>
      </w:r>
      <w:r>
        <w:rPr>
          <w:rFonts w:hint="eastAsia" w:ascii="宋体" w:hAnsi="宋体"/>
          <w:color w:val="auto"/>
          <w:sz w:val="24"/>
          <w:highlight w:val="none"/>
        </w:rPr>
        <w:t>和中</w:t>
      </w:r>
      <w:r>
        <w:rPr>
          <w:rFonts w:ascii="宋体" w:hAnsi="宋体"/>
          <w:color w:val="auto"/>
          <w:sz w:val="24"/>
          <w:highlight w:val="none"/>
        </w:rPr>
        <w:t>标</w:t>
      </w:r>
      <w:r>
        <w:rPr>
          <w:rFonts w:hint="eastAsia" w:ascii="宋体" w:hAnsi="宋体"/>
          <w:color w:val="auto"/>
          <w:sz w:val="24"/>
          <w:highlight w:val="none"/>
        </w:rPr>
        <w:t>后有能力履行合同的文件，并作</w:t>
      </w:r>
      <w:r>
        <w:rPr>
          <w:rFonts w:ascii="宋体" w:hAnsi="宋体"/>
          <w:color w:val="auto"/>
          <w:sz w:val="24"/>
          <w:highlight w:val="none"/>
        </w:rPr>
        <w:t>为</w:t>
      </w:r>
      <w:r>
        <w:rPr>
          <w:rFonts w:hint="eastAsia" w:ascii="宋体" w:hAnsi="宋体"/>
          <w:color w:val="auto"/>
          <w:sz w:val="24"/>
          <w:highlight w:val="none"/>
        </w:rPr>
        <w:t>其投</w:t>
      </w:r>
      <w:r>
        <w:rPr>
          <w:rFonts w:ascii="宋体" w:hAnsi="宋体"/>
          <w:color w:val="auto"/>
          <w:sz w:val="24"/>
          <w:highlight w:val="none"/>
        </w:rPr>
        <w:t>标</w:t>
      </w:r>
      <w:r>
        <w:rPr>
          <w:rFonts w:hint="eastAsia" w:ascii="宋体" w:hAnsi="宋体"/>
          <w:color w:val="auto"/>
          <w:sz w:val="24"/>
          <w:highlight w:val="none"/>
        </w:rPr>
        <w:t>文件的一部分。</w:t>
      </w:r>
    </w:p>
    <w:p>
      <w:pPr>
        <w:adjustRightInd w:val="0"/>
        <w:snapToGrid w:val="0"/>
        <w:spacing w:line="360" w:lineRule="auto"/>
        <w:ind w:firstLine="480" w:firstLineChars="200"/>
        <w:outlineLvl w:val="9"/>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人提交的中</w:t>
      </w:r>
      <w:r>
        <w:rPr>
          <w:rFonts w:ascii="宋体" w:hAnsi="宋体"/>
          <w:color w:val="auto"/>
          <w:sz w:val="24"/>
          <w:highlight w:val="none"/>
        </w:rPr>
        <w:t>标</w:t>
      </w:r>
      <w:r>
        <w:rPr>
          <w:rFonts w:hint="eastAsia" w:ascii="宋体" w:hAnsi="宋体"/>
          <w:color w:val="auto"/>
          <w:sz w:val="24"/>
          <w:highlight w:val="none"/>
        </w:rPr>
        <w:t>后有能力履行合同的</w:t>
      </w:r>
      <w:r>
        <w:rPr>
          <w:rFonts w:ascii="宋体" w:hAnsi="宋体"/>
          <w:color w:val="auto"/>
          <w:sz w:val="24"/>
          <w:highlight w:val="none"/>
        </w:rPr>
        <w:t>资</w:t>
      </w:r>
      <w:r>
        <w:rPr>
          <w:rFonts w:hint="eastAsia" w:ascii="宋体" w:hAnsi="宋体"/>
          <w:color w:val="auto"/>
          <w:sz w:val="24"/>
          <w:highlight w:val="none"/>
        </w:rPr>
        <w:t>格</w:t>
      </w:r>
      <w:r>
        <w:rPr>
          <w:rFonts w:ascii="宋体" w:hAnsi="宋体"/>
          <w:color w:val="auto"/>
          <w:sz w:val="24"/>
          <w:highlight w:val="none"/>
        </w:rPr>
        <w:t>证</w:t>
      </w:r>
      <w:r>
        <w:rPr>
          <w:rFonts w:hint="eastAsia" w:ascii="宋体" w:hAnsi="宋体"/>
          <w:color w:val="auto"/>
          <w:sz w:val="24"/>
          <w:highlight w:val="none"/>
        </w:rPr>
        <w:t>明文件</w:t>
      </w:r>
      <w:r>
        <w:rPr>
          <w:rFonts w:ascii="宋体" w:hAnsi="宋体"/>
          <w:color w:val="auto"/>
          <w:sz w:val="24"/>
          <w:highlight w:val="none"/>
        </w:rPr>
        <w:t>应</w:t>
      </w:r>
      <w:r>
        <w:rPr>
          <w:rFonts w:hint="eastAsia" w:ascii="宋体" w:hAnsi="宋体"/>
          <w:color w:val="auto"/>
          <w:sz w:val="24"/>
          <w:highlight w:val="none"/>
        </w:rPr>
        <w:t>使招</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满意</w:t>
      </w:r>
      <w:r>
        <w:rPr>
          <w:rFonts w:hint="eastAsia" w:ascii="宋体" w:hAnsi="宋体"/>
          <w:color w:val="auto"/>
          <w:sz w:val="24"/>
          <w:highlight w:val="none"/>
        </w:rPr>
        <w:t>。</w:t>
      </w:r>
    </w:p>
    <w:p>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人必</w:t>
      </w:r>
      <w:r>
        <w:rPr>
          <w:rFonts w:ascii="宋体" w:hAnsi="宋体"/>
          <w:color w:val="auto"/>
          <w:sz w:val="24"/>
          <w:highlight w:val="none"/>
        </w:rPr>
        <w:t>须</w:t>
      </w:r>
      <w:r>
        <w:rPr>
          <w:rFonts w:hint="eastAsia" w:ascii="宋体" w:hAnsi="宋体"/>
          <w:color w:val="auto"/>
          <w:sz w:val="24"/>
          <w:highlight w:val="none"/>
        </w:rPr>
        <w:t>具</w:t>
      </w:r>
      <w:r>
        <w:rPr>
          <w:rFonts w:ascii="宋体" w:hAnsi="宋体"/>
          <w:color w:val="auto"/>
          <w:sz w:val="24"/>
          <w:highlight w:val="none"/>
        </w:rPr>
        <w:t>备</w:t>
      </w:r>
      <w:r>
        <w:rPr>
          <w:rFonts w:hint="eastAsia" w:ascii="宋体" w:hAnsi="宋体"/>
          <w:color w:val="auto"/>
          <w:sz w:val="24"/>
          <w:highlight w:val="none"/>
        </w:rPr>
        <w:t>履行合同所需的</w:t>
      </w:r>
      <w:r>
        <w:rPr>
          <w:rFonts w:ascii="宋体" w:hAnsi="宋体"/>
          <w:color w:val="auto"/>
          <w:sz w:val="24"/>
          <w:highlight w:val="none"/>
        </w:rPr>
        <w:t>财务</w:t>
      </w:r>
      <w:r>
        <w:rPr>
          <w:rFonts w:hint="eastAsia" w:ascii="宋体" w:hAnsi="宋体"/>
          <w:color w:val="auto"/>
          <w:sz w:val="24"/>
          <w:highlight w:val="none"/>
        </w:rPr>
        <w:t>能力、技</w:t>
      </w:r>
      <w:r>
        <w:rPr>
          <w:rFonts w:ascii="宋体" w:hAnsi="宋体"/>
          <w:color w:val="auto"/>
          <w:sz w:val="24"/>
          <w:highlight w:val="none"/>
        </w:rPr>
        <w:t>术</w:t>
      </w:r>
      <w:r>
        <w:rPr>
          <w:rFonts w:hint="eastAsia" w:ascii="宋体" w:hAnsi="宋体"/>
          <w:color w:val="auto"/>
          <w:sz w:val="24"/>
          <w:highlight w:val="none"/>
        </w:rPr>
        <w:t>能力；</w:t>
      </w:r>
    </w:p>
    <w:p>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应有</w:t>
      </w:r>
      <w:r>
        <w:rPr>
          <w:rFonts w:hint="eastAsia" w:ascii="宋体" w:hAnsi="宋体"/>
          <w:color w:val="auto"/>
          <w:sz w:val="24"/>
          <w:highlight w:val="none"/>
        </w:rPr>
        <w:t>能力履行合同</w:t>
      </w:r>
      <w:r>
        <w:rPr>
          <w:rFonts w:ascii="宋体" w:hAnsi="宋体"/>
          <w:color w:val="auto"/>
          <w:sz w:val="24"/>
          <w:highlight w:val="none"/>
        </w:rPr>
        <w:t>条</w:t>
      </w:r>
      <w:r>
        <w:rPr>
          <w:rFonts w:hint="eastAsia" w:ascii="宋体" w:hAnsi="宋体"/>
          <w:color w:val="auto"/>
          <w:sz w:val="24"/>
          <w:highlight w:val="none"/>
        </w:rPr>
        <w:t>款</w:t>
      </w:r>
      <w:r>
        <w:rPr>
          <w:rFonts w:ascii="宋体" w:hAnsi="宋体"/>
          <w:color w:val="auto"/>
          <w:sz w:val="24"/>
          <w:highlight w:val="none"/>
        </w:rPr>
        <w:t>中对</w:t>
      </w:r>
      <w:r>
        <w:rPr>
          <w:rFonts w:hint="eastAsia" w:ascii="宋体" w:hAnsi="宋体"/>
          <w:color w:val="auto"/>
          <w:sz w:val="24"/>
          <w:highlight w:val="none"/>
        </w:rPr>
        <w:t>所提供的工程</w:t>
      </w:r>
      <w:r>
        <w:rPr>
          <w:rFonts w:ascii="宋体" w:hAnsi="宋体"/>
          <w:color w:val="auto"/>
          <w:sz w:val="24"/>
          <w:highlight w:val="none"/>
        </w:rPr>
        <w:t>项</w:t>
      </w:r>
      <w:r>
        <w:rPr>
          <w:rFonts w:hint="eastAsia" w:ascii="宋体" w:hAnsi="宋体"/>
          <w:color w:val="auto"/>
          <w:sz w:val="24"/>
          <w:highlight w:val="none"/>
        </w:rPr>
        <w:t>目所承</w:t>
      </w:r>
      <w:r>
        <w:rPr>
          <w:rFonts w:ascii="宋体" w:hAnsi="宋体"/>
          <w:color w:val="auto"/>
          <w:sz w:val="24"/>
          <w:highlight w:val="none"/>
        </w:rPr>
        <w:t>担的维</w:t>
      </w:r>
      <w:r>
        <w:rPr>
          <w:rFonts w:hint="eastAsia" w:ascii="宋体" w:hAnsi="宋体"/>
          <w:color w:val="auto"/>
          <w:sz w:val="24"/>
          <w:highlight w:val="none"/>
        </w:rPr>
        <w:t>修、保</w:t>
      </w:r>
      <w:r>
        <w:rPr>
          <w:rFonts w:ascii="宋体" w:hAnsi="宋体"/>
          <w:color w:val="auto"/>
          <w:sz w:val="24"/>
          <w:highlight w:val="none"/>
        </w:rPr>
        <w:t>养</w:t>
      </w:r>
      <w:r>
        <w:rPr>
          <w:rFonts w:hint="eastAsia" w:ascii="宋体" w:hAnsi="宋体"/>
          <w:color w:val="auto"/>
          <w:sz w:val="24"/>
          <w:highlight w:val="none"/>
        </w:rPr>
        <w:t>等</w:t>
      </w:r>
      <w:r>
        <w:rPr>
          <w:rFonts w:ascii="宋体" w:hAnsi="宋体"/>
          <w:color w:val="auto"/>
          <w:sz w:val="24"/>
          <w:highlight w:val="none"/>
        </w:rPr>
        <w:t>义务</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 w:val="24"/>
          <w:highlight w:val="none"/>
        </w:rPr>
      </w:pPr>
      <w:r>
        <w:rPr>
          <w:rFonts w:ascii="宋体" w:hAnsi="宋体"/>
          <w:color w:val="auto"/>
          <w:sz w:val="24"/>
          <w:highlight w:val="none"/>
        </w:rPr>
        <w:t>3.</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应按</w:t>
      </w:r>
      <w:r>
        <w:rPr>
          <w:rFonts w:hint="eastAsia" w:ascii="宋体" w:hAnsi="宋体"/>
          <w:color w:val="auto"/>
          <w:sz w:val="24"/>
          <w:highlight w:val="none"/>
        </w:rPr>
        <w:t>招</w:t>
      </w:r>
      <w:r>
        <w:rPr>
          <w:rFonts w:ascii="宋体" w:hAnsi="宋体"/>
          <w:color w:val="auto"/>
          <w:sz w:val="24"/>
          <w:highlight w:val="none"/>
        </w:rPr>
        <w:t>标</w:t>
      </w:r>
      <w:r>
        <w:rPr>
          <w:rFonts w:hint="eastAsia" w:ascii="宋体" w:hAnsi="宋体"/>
          <w:color w:val="auto"/>
          <w:sz w:val="24"/>
          <w:highlight w:val="none"/>
        </w:rPr>
        <w:t>文件格式要求</w:t>
      </w:r>
      <w:r>
        <w:rPr>
          <w:rFonts w:ascii="宋体" w:hAnsi="宋体"/>
          <w:color w:val="auto"/>
          <w:sz w:val="24"/>
          <w:highlight w:val="none"/>
        </w:rPr>
        <w:t>填写</w:t>
      </w:r>
      <w:r>
        <w:rPr>
          <w:rFonts w:hint="eastAsia" w:ascii="宋体" w:hAnsi="宋体"/>
          <w:color w:val="auto"/>
          <w:sz w:val="24"/>
          <w:highlight w:val="none"/>
        </w:rPr>
        <w:t>并提交</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资</w:t>
      </w:r>
      <w:r>
        <w:rPr>
          <w:rFonts w:hint="eastAsia" w:ascii="宋体" w:hAnsi="宋体"/>
          <w:color w:val="auto"/>
          <w:sz w:val="24"/>
          <w:highlight w:val="none"/>
        </w:rPr>
        <w:t>格</w:t>
      </w:r>
      <w:r>
        <w:rPr>
          <w:rFonts w:ascii="宋体" w:hAnsi="宋体"/>
          <w:color w:val="auto"/>
          <w:sz w:val="24"/>
          <w:highlight w:val="none"/>
        </w:rPr>
        <w:t>证</w:t>
      </w:r>
      <w:r>
        <w:rPr>
          <w:rFonts w:hint="eastAsia" w:ascii="宋体" w:hAnsi="宋体"/>
          <w:color w:val="auto"/>
          <w:sz w:val="24"/>
          <w:highlight w:val="none"/>
        </w:rPr>
        <w:t>明文件”。</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（八）投标保证金（见前附表）</w:t>
      </w:r>
    </w:p>
    <w:p>
      <w:pPr>
        <w:adjustRightInd w:val="0"/>
        <w:snapToGrid w:val="0"/>
        <w:spacing w:line="360" w:lineRule="auto"/>
        <w:ind w:firstLine="482" w:firstLineChars="200"/>
        <w:outlineLvl w:val="0"/>
        <w:rPr>
          <w:rFonts w:ascii="宋体" w:hAnsi="宋体"/>
          <w:color w:val="auto"/>
          <w:sz w:val="24"/>
          <w:highlight w:val="none"/>
        </w:rPr>
      </w:pPr>
      <w:bookmarkStart w:id="69" w:name="_Toc26205"/>
      <w:bookmarkStart w:id="70" w:name="_Toc23966"/>
      <w:r>
        <w:rPr>
          <w:rFonts w:hint="eastAsia" w:ascii="宋体" w:hAnsi="宋体"/>
          <w:b/>
          <w:bCs/>
          <w:color w:val="auto"/>
          <w:sz w:val="24"/>
          <w:highlight w:val="none"/>
        </w:rPr>
        <w:t>（九）投标有效期</w:t>
      </w:r>
      <w:bookmarkEnd w:id="69"/>
      <w:bookmarkEnd w:id="70"/>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1.所有投标应从开标之日起，90个日历日计算的投标有效期内有效。</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在特殊情况下，在原投标有效期期满之前，招标代理人可征得投标人同意延长投标有效期。这种要求和答复均应为书面形式（如传真等）。投标人可以拒绝招标代理人的这种要求而不被没收投标保证金。同意延长的投标人不允许修改其投标文件，但要相应延长其投标保证金的有效期。</w:t>
      </w:r>
    </w:p>
    <w:p>
      <w:pPr>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十</w:t>
      </w:r>
      <w:r>
        <w:rPr>
          <w:rFonts w:hint="eastAsia" w:ascii="宋体" w:hAnsi="宋体"/>
          <w:b/>
          <w:bCs/>
          <w:color w:val="auto"/>
          <w:sz w:val="24"/>
          <w:highlight w:val="none"/>
          <w:lang w:eastAsia="zh-CN"/>
        </w:rPr>
        <w:t>）</w:t>
      </w:r>
      <w:r>
        <w:rPr>
          <w:rFonts w:hint="eastAsia" w:ascii="宋体" w:hAnsi="宋体" w:cs="宋体"/>
          <w:b/>
          <w:bCs/>
          <w:color w:val="auto"/>
          <w:sz w:val="24"/>
          <w:szCs w:val="24"/>
          <w:highlight w:val="none"/>
          <w:lang w:eastAsia="zh-Hans"/>
        </w:rPr>
        <w:t>投标</w:t>
      </w:r>
      <w:r>
        <w:rPr>
          <w:rFonts w:hint="eastAsia" w:ascii="宋体" w:hAnsi="宋体" w:cs="宋体"/>
          <w:b/>
          <w:bCs/>
          <w:color w:val="auto"/>
          <w:sz w:val="24"/>
          <w:szCs w:val="24"/>
          <w:highlight w:val="none"/>
        </w:rPr>
        <w:t>文件编制要求</w:t>
      </w:r>
    </w:p>
    <w:p>
      <w:pPr>
        <w:pStyle w:val="56"/>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1.投标人应使用投标客户端编制投标文件，下载地址：https://zcy-cdn.oss-cn-shanghai.aliyuncs.com/zcy-client/bidding-client-new/official/lcy/LeCaiYunSetup.latest.exe。凭数字证书（CA）在线递交符合规定格式要求的投标文件，投标文件需要投标人凭数字证书（CA）进行在线解密。</w:t>
      </w:r>
    </w:p>
    <w:p>
      <w:pPr>
        <w:pStyle w:val="56"/>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2.投标人开标时CA在线解密形式的电子投标文件一定是加密文件格式，否则投标文件按无效投标文件处理。</w:t>
      </w:r>
    </w:p>
    <w:p>
      <w:pPr>
        <w:pStyle w:val="56"/>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3.开标现场如投标人生成的电子版投标文件用CA锁进行现场解密时提示未提交投标文件，投标人的投标文件按无效投标文件处理。</w:t>
      </w:r>
    </w:p>
    <w:p>
      <w:pPr>
        <w:adjustRightInd w:val="0"/>
        <w:snapToGrid w:val="0"/>
        <w:spacing w:line="360" w:lineRule="auto"/>
        <w:ind w:firstLine="480" w:firstLineChars="200"/>
        <w:outlineLvl w:val="9"/>
        <w:rPr>
          <w:rFonts w:ascii="宋体" w:hAnsi="宋体"/>
          <w:color w:val="auto"/>
          <w:sz w:val="24"/>
          <w:highlight w:val="none"/>
        </w:rPr>
      </w:pPr>
      <w:r>
        <w:rPr>
          <w:rFonts w:hint="default" w:ascii="宋体" w:hAnsi="宋体" w:eastAsia="宋体" w:cs="宋体"/>
          <w:color w:val="auto"/>
          <w:sz w:val="24"/>
          <w:highlight w:val="none"/>
          <w:lang w:eastAsia="zh-CN"/>
        </w:rPr>
        <w:t>4.投标人上传的投标文件必须有投标人CA锁签章，无投标人CA锁签章的投标文件按无效投标文件处理。</w:t>
      </w:r>
    </w:p>
    <w:p>
      <w:pPr>
        <w:adjustRightInd w:val="0"/>
        <w:snapToGrid w:val="0"/>
        <w:spacing w:line="360" w:lineRule="auto"/>
        <w:ind w:firstLine="361" w:firstLineChars="100"/>
        <w:jc w:val="center"/>
        <w:outlineLvl w:val="0"/>
        <w:rPr>
          <w:rFonts w:ascii="宋体" w:hAnsi="宋体"/>
          <w:b/>
          <w:color w:val="auto"/>
          <w:sz w:val="36"/>
          <w:szCs w:val="36"/>
          <w:highlight w:val="none"/>
        </w:rPr>
      </w:pPr>
      <w:bookmarkStart w:id="71" w:name="_Toc15267"/>
      <w:bookmarkStart w:id="72" w:name="_Toc9189"/>
      <w:r>
        <w:rPr>
          <w:rFonts w:hint="eastAsia" w:ascii="宋体" w:hAnsi="宋体"/>
          <w:b/>
          <w:bCs/>
          <w:color w:val="auto"/>
          <w:sz w:val="36"/>
          <w:szCs w:val="36"/>
          <w:highlight w:val="none"/>
        </w:rPr>
        <w:t>四、投标文件的递交</w:t>
      </w:r>
      <w:bookmarkEnd w:id="71"/>
      <w:bookmarkEnd w:id="72"/>
    </w:p>
    <w:p>
      <w:pPr>
        <w:adjustRightInd w:val="0"/>
        <w:snapToGrid w:val="0"/>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rPr>
        <w:t>（一）投标文件的</w:t>
      </w:r>
      <w:r>
        <w:rPr>
          <w:rFonts w:hint="eastAsia" w:ascii="宋体" w:hAnsi="宋体"/>
          <w:b/>
          <w:bCs/>
          <w:color w:val="auto"/>
          <w:sz w:val="24"/>
          <w:highlight w:val="none"/>
          <w:lang w:val="en-US" w:eastAsia="zh-CN"/>
        </w:rPr>
        <w:t>递交</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在线递交投标文件。详见投标人须知前附表。</w:t>
      </w:r>
    </w:p>
    <w:p>
      <w:pPr>
        <w:adjustRightInd w:val="0"/>
        <w:snapToGrid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（二）投标截止时间</w:t>
      </w:r>
    </w:p>
    <w:p>
      <w:pPr>
        <w:pStyle w:val="56"/>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1.投标单位网络提交投标文件的时间不得迟于“投标邀请函”中规定的开标时间。</w:t>
      </w:r>
    </w:p>
    <w:p>
      <w:pPr>
        <w:pStyle w:val="56"/>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2.招标代理机构可以通过修改招标文件依法延长投标截止时间。在此情况下，招标人和投标人受投标截止时间制约的所有权利和义务均应延长至新的截止时间。</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3.投标人应当在招标文件要求提交投标文件的截止时间前，登陆</w:t>
      </w:r>
      <w:r>
        <w:rPr>
          <w:rFonts w:hint="eastAsia" w:ascii="宋体" w:hAnsi="宋体" w:cs="宋体"/>
          <w:color w:val="auto"/>
          <w:sz w:val="24"/>
          <w:highlight w:val="none"/>
          <w:lang w:eastAsia="zh-CN"/>
        </w:rPr>
        <w:t>大连国企阳光采购服务平台</w:t>
      </w:r>
      <w:r>
        <w:rPr>
          <w:rFonts w:hint="eastAsia" w:ascii="宋体" w:hAnsi="宋体" w:eastAsia="宋体" w:cs="宋体"/>
          <w:color w:val="auto"/>
          <w:sz w:val="24"/>
          <w:highlight w:val="none"/>
          <w:lang w:eastAsia="zh-CN"/>
        </w:rPr>
        <w:t>，凭数字证书(CA)在线上传完成符合规定格式要求的投标文件。</w:t>
      </w:r>
    </w:p>
    <w:p>
      <w:pPr>
        <w:adjustRightInd w:val="0"/>
        <w:snapToGrid w:val="0"/>
        <w:spacing w:line="360" w:lineRule="auto"/>
        <w:ind w:firstLine="477" w:firstLineChars="198"/>
        <w:rPr>
          <w:rFonts w:ascii="宋体" w:hAnsi="宋体"/>
          <w:b/>
          <w:bCs/>
          <w:color w:val="auto"/>
          <w:sz w:val="24"/>
          <w:highlight w:val="none"/>
        </w:rPr>
      </w:pPr>
      <w:r>
        <w:rPr>
          <w:rFonts w:hint="eastAsia" w:ascii="宋体" w:hAnsi="宋体"/>
          <w:b/>
          <w:bCs/>
          <w:color w:val="auto"/>
          <w:sz w:val="24"/>
          <w:highlight w:val="none"/>
        </w:rPr>
        <w:t>（三）</w:t>
      </w:r>
      <w:r>
        <w:rPr>
          <w:rFonts w:hint="eastAsia" w:ascii="宋体" w:hAnsi="宋体" w:cs="宋体"/>
          <w:b/>
          <w:color w:val="auto"/>
          <w:sz w:val="24"/>
          <w:highlight w:val="none"/>
        </w:rPr>
        <w:t>迟交的投标文件</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投标人在投标截止时间后提交的任何投标文件均无效。</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（四）投标文件的修改和撤回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1.投标人在递交投标文件后，投标截止时间前</w:t>
      </w:r>
      <w:r>
        <w:rPr>
          <w:rFonts w:hint="eastAsia" w:ascii="宋体" w:hAnsi="宋体" w:cs="宋体"/>
          <w:color w:val="auto"/>
          <w:sz w:val="24"/>
          <w:highlight w:val="none"/>
          <w:lang w:eastAsia="zh-Hans"/>
        </w:rPr>
        <w:t>可以</w:t>
      </w:r>
      <w:r>
        <w:rPr>
          <w:rFonts w:hint="eastAsia" w:ascii="宋体" w:hAnsi="宋体" w:cs="宋体"/>
          <w:color w:val="auto"/>
          <w:sz w:val="24"/>
          <w:highlight w:val="none"/>
        </w:rPr>
        <w:t>修改或撤回其投标文件。</w:t>
      </w:r>
    </w:p>
    <w:p>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s="宋体"/>
          <w:color w:val="auto"/>
          <w:sz w:val="24"/>
          <w:highlight w:val="none"/>
        </w:rPr>
        <w:t>2.在投标截止时间之后，投标人不得对其投标文件做任何修改。</w:t>
      </w:r>
    </w:p>
    <w:p>
      <w:pPr>
        <w:adjustRightInd w:val="0"/>
        <w:snapToGrid w:val="0"/>
        <w:spacing w:line="360" w:lineRule="auto"/>
        <w:ind w:firstLine="361" w:firstLineChars="100"/>
        <w:jc w:val="center"/>
        <w:outlineLvl w:val="0"/>
        <w:rPr>
          <w:rFonts w:ascii="宋体" w:hAnsi="宋体"/>
          <w:b/>
          <w:color w:val="auto"/>
          <w:sz w:val="36"/>
          <w:szCs w:val="36"/>
          <w:highlight w:val="none"/>
        </w:rPr>
      </w:pPr>
      <w:bookmarkStart w:id="73" w:name="_Toc18524"/>
      <w:bookmarkStart w:id="74" w:name="_Toc13995"/>
      <w:r>
        <w:rPr>
          <w:rFonts w:hint="eastAsia" w:ascii="宋体" w:hAnsi="宋体"/>
          <w:b/>
          <w:bCs/>
          <w:color w:val="auto"/>
          <w:sz w:val="36"/>
          <w:szCs w:val="36"/>
          <w:highlight w:val="none"/>
        </w:rPr>
        <w:t>五、开标与评标</w:t>
      </w:r>
      <w:bookmarkEnd w:id="73"/>
      <w:bookmarkEnd w:id="74"/>
    </w:p>
    <w:p>
      <w:pPr>
        <w:adjustRightInd w:val="0"/>
        <w:snapToGrid w:val="0"/>
        <w:spacing w:line="360" w:lineRule="auto"/>
        <w:ind w:firstLine="236" w:firstLineChars="98"/>
        <w:rPr>
          <w:rFonts w:ascii="宋体" w:hAnsi="宋体"/>
          <w:b/>
          <w:bCs/>
          <w:color w:val="auto"/>
          <w:sz w:val="24"/>
          <w:highlight w:val="none"/>
        </w:rPr>
      </w:pPr>
      <w:r>
        <w:rPr>
          <w:rFonts w:hint="eastAsia" w:ascii="宋体" w:hAnsi="宋体"/>
          <w:b/>
          <w:bCs/>
          <w:color w:val="auto"/>
          <w:sz w:val="24"/>
          <w:highlight w:val="none"/>
        </w:rPr>
        <w:t>（一）开标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1.招标代理人将在远程线上不见面开标。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2.电子开标时，各投标人需要凭数字证书（CA）在线解密。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3.电子开标时，投标人不足3家的，不得开标。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4.投标文件解密时间：30分钟内。投标人应在规定的投标文件解密时间内完成投标文件解密操作。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5.投标人须在开标系统中生成的开标记录表上签章确认。投标人未在5分钟内确认开标结果的，视同认可开标结果。</w:t>
      </w:r>
    </w:p>
    <w:p>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6.投标人代表对开标过程和开标记录有异议的，应在线提交异议。</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、采购代理机构对投标人代表提出异议应当及时处理。</w:t>
      </w:r>
    </w:p>
    <w:p>
      <w:pPr>
        <w:adjustRightInd w:val="0"/>
        <w:snapToGrid w:val="0"/>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（二）评标委员会的组成</w:t>
      </w:r>
    </w:p>
    <w:p>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1.本项目招标依法组建评标委员会。</w:t>
      </w:r>
    </w:p>
    <w:p>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2.评标委员会由招标人代表和随机抽取的有关方面的专家组成，其中具有专业经济、技术资格的专家不少于成员总数的2/3。</w:t>
      </w:r>
    </w:p>
    <w:p>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3.与投标人有利害关系的人不得进入评标委员会。</w:t>
      </w:r>
    </w:p>
    <w:p>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人、招标代理机构应当采取必要措施，保证评标在严格保密的情况下进行。除招标人代表、评标现场组织人员外，招标人的其他工作人员以及与评标工作无关的人员不得进入评标现场。有关人员对评标情况及在评标过程中获悉的国家秘密、商业秘密负有保密责任。</w:t>
      </w:r>
    </w:p>
    <w:p>
      <w:pPr>
        <w:adjustRightInd w:val="0"/>
        <w:snapToGrid w:val="0"/>
        <w:spacing w:line="360" w:lineRule="auto"/>
        <w:ind w:firstLine="236" w:firstLineChars="98"/>
        <w:rPr>
          <w:rFonts w:ascii="宋体" w:hAnsi="宋体"/>
          <w:b/>
          <w:bCs/>
          <w:color w:val="auto"/>
          <w:sz w:val="24"/>
          <w:highlight w:val="none"/>
        </w:rPr>
      </w:pPr>
      <w:r>
        <w:rPr>
          <w:rFonts w:hint="eastAsia" w:ascii="宋体" w:hAnsi="宋体"/>
          <w:b/>
          <w:bCs/>
          <w:color w:val="auto"/>
          <w:sz w:val="24"/>
          <w:highlight w:val="none"/>
        </w:rPr>
        <w:t>（三）评标过程的保密性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1.公开开标后，直至向中标候选人授予合同时止，凡与审查、澄清、评价和比较投标有关的资料以及授标意见等，均不得向投标人及与评标无关的其他人员透露。</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2.在评标过程中，投标人试图影响招标人在投标文件审查、澄清、比较及授予合同方面的任何尝试，可能导致该投标人的投标被废除。</w:t>
      </w:r>
    </w:p>
    <w:p>
      <w:pPr>
        <w:adjustRightInd w:val="0"/>
        <w:snapToGrid w:val="0"/>
        <w:spacing w:line="360" w:lineRule="auto"/>
        <w:ind w:firstLine="236" w:firstLineChars="98"/>
        <w:rPr>
          <w:rFonts w:ascii="宋体" w:hAnsi="宋体"/>
          <w:b/>
          <w:bCs/>
          <w:color w:val="auto"/>
          <w:sz w:val="24"/>
          <w:highlight w:val="none"/>
        </w:rPr>
      </w:pPr>
      <w:r>
        <w:rPr>
          <w:rFonts w:hint="eastAsia" w:ascii="宋体" w:hAnsi="宋体"/>
          <w:b/>
          <w:bCs/>
          <w:color w:val="auto"/>
          <w:sz w:val="24"/>
          <w:highlight w:val="none"/>
        </w:rPr>
        <w:t>（四）投标文件的澄清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为有助于对投标文件的审查、评价和比较，评标委员会可分别要求投标人对其投标文件进行澄清，有关澄清的要求和答复应以书面形式提交，但不得寻求或允许对投标价格或实质性内容做任何更改。</w:t>
      </w:r>
    </w:p>
    <w:p>
      <w:pPr>
        <w:adjustRightInd w:val="0"/>
        <w:snapToGrid w:val="0"/>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（五）投标文件的审查</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1.开标后，评标委员会将审查投标文件是否完整，有无计算错误，是否提交了投标保证金，文件签署是否合格，投标文件是否大体编排有序。</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2.投标文件有下列情况之一的，投标文件无效：</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（1）投标有效期不满足招标文件要求；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（2）投标文件完整性不符合招标文件实质性要求；</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（3）投标文件签署情况不符合招标文件实质性要求；</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（4）未按照招标文件规定报价，有漏项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报价超出单价限价</w:t>
      </w:r>
      <w:r>
        <w:rPr>
          <w:rFonts w:hint="eastAsia" w:ascii="宋体" w:hAnsi="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（5）对“★”条款未做出实质性响应，未发生重大偏离。</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（6）投标人涂改证明材料或者提供虚假材料；</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（7）投标文件含有招标人不能接受的附加条件；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（8）其他不符合法律法规规定的实质性要求。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服务范围、质量、性能或者实质上与招标文件不一致，而且限制了招标人的权利或投标人的义务。纠正这些偏离或保留将会对其他实质上响应招标文件要求的投标人的竞争地位产生不公正的影响。评标委员会决定投标的响应性只根据投标文件本身的内容，而不寻求外部的证据。</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4.如果投标文件实质上没有响应招标文件的要求，评标委员会将予以拒绝，投标人不得通过修正或撤销不合要求的偏离或保留从而使其投标成为实质上响应的投标。</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5.评标委员会将对确定为实质上响应的投标进行审核，看其是否有计算上和累加上的算术错误，修正错误的原则如下：</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（1）投标文件中开标一览表（报价表）内容与投标文件中相应内容不一致的，以开标一览表（报价表）为准；</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（2）大写金额和小写金额不一致的，以大写金额为准；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（3）单价金额小数点或者百分比有明显错位的，以开标一览表的</w:t>
      </w:r>
      <w:r>
        <w:rPr>
          <w:rFonts w:hint="eastAsia" w:ascii="宋体" w:hAnsi="宋体"/>
          <w:color w:val="auto"/>
          <w:sz w:val="24"/>
          <w:highlight w:val="none"/>
          <w:lang w:val="en-US" w:eastAsia="zh-CN"/>
        </w:rPr>
        <w:t>单</w:t>
      </w:r>
      <w:r>
        <w:rPr>
          <w:rFonts w:hint="eastAsia" w:ascii="宋体" w:hAnsi="宋体"/>
          <w:color w:val="auto"/>
          <w:sz w:val="24"/>
          <w:highlight w:val="none"/>
        </w:rPr>
        <w:t>价为准；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6.同时出现两种以上不一致的，按照顺序修正。修正后的报价经投标人确认后产生约束力，投标人不确认的，其投标无效。</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7.评标委员会将允许修正投标文件中不构成重大偏差的、微小的、非正规的、不一致的或不规则的地方，但这些修正不能影响任何投标人相应的名次排序。</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评标委员会认为投标人的报价明显低于其他通过符合性审查投标人的报价，有可能影响产品质量或者不能诚信履约的，可在评标现场要求合理的时间内提供书面说明，必要时提交相关证明材料；投标人不能证明其报价合理性的，评标委员会应当将其作为无效投标处理。</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（六）串标</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在评审过程中，评标委员会发现投标单位有串通投标行为的，相关投标单位的投标文件作无效投标文件处理，并报送政府采购管理机构依法进行处理。</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有下列情形之一的，视为投标人串通投标，其投标无效：</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（2）不同投标人委托同一单位或者个人办理投标事宜；</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（3）不同投标人的投标文件载明的项目管理成员或者联系人员为同一人；</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（4）不同投标人的投标文件异常一致或者投标报价呈规律性差异；</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（5）不同投标人的投标文件相互混装；</w:t>
      </w:r>
    </w:p>
    <w:p>
      <w:pPr>
        <w:adjustRightInd w:val="0"/>
        <w:snapToGrid w:val="0"/>
        <w:spacing w:line="360" w:lineRule="auto"/>
        <w:ind w:firstLine="472" w:firstLineChars="197"/>
        <w:rPr>
          <w:rFonts w:ascii="宋体" w:hAnsi="宋体"/>
          <w:bCs/>
          <w:color w:val="auto"/>
          <w:sz w:val="24"/>
          <w:highlight w:val="none"/>
        </w:rPr>
      </w:pPr>
      <w:r>
        <w:rPr>
          <w:rFonts w:hint="eastAsia" w:ascii="宋体" w:hAnsi="宋体"/>
          <w:bCs/>
          <w:color w:val="auto"/>
          <w:sz w:val="24"/>
          <w:highlight w:val="none"/>
        </w:rPr>
        <w:t>（6）不同投标人的投标保证金从同一单位或者个人的账户转出。</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w:t>
      </w:r>
      <w:r>
        <w:rPr>
          <w:rFonts w:hint="eastAsia" w:ascii="宋体" w:hAnsi="宋体"/>
          <w:b/>
          <w:color w:val="auto"/>
          <w:sz w:val="24"/>
          <w:highlight w:val="none"/>
        </w:rPr>
        <w:t>评标原则及方法：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1.招标文件是评标工作的重要依据。投标人的投标文件必须满足招标文件的各项要求：包括投标文件的有效性、完整性和与招标文件的一致性。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2.评标参考《中华人民共和国招标投标法》等法律法规规定的评标要求，以及招标文件的要求进行。</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3.对所有投标人的评价、评估，都采用相同的程序和标准，遵循公开、公平、公正的原则。</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4.本项目的评标办法采用综合评分法，具体评分方法详见附件2。</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5.评标委员会将只对确定为实质上响应招标文件的投标文件进行评价和比较。</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6.评标委员会将按照综合评分法，对</w:t>
      </w:r>
      <w:r>
        <w:rPr>
          <w:rFonts w:hint="eastAsia" w:ascii="宋体" w:hAnsi="宋体"/>
          <w:color w:val="auto"/>
          <w:sz w:val="24"/>
          <w:highlight w:val="none"/>
          <w:lang w:eastAsia="zh-CN"/>
        </w:rPr>
        <w:t>资格</w:t>
      </w:r>
      <w:r>
        <w:rPr>
          <w:rFonts w:hint="eastAsia" w:ascii="宋体" w:hAnsi="宋体"/>
          <w:color w:val="auto"/>
          <w:sz w:val="24"/>
          <w:highlight w:val="none"/>
        </w:rPr>
        <w:t>检查和符合性检查合格的投标文件进行比较与评价。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7.综合评分法是指在满足招标文件实质性要求前提下，按照招标文件中规定的各项因素进行综合评审后，以评标总分得分最高的投标人作为中标候选人或者中标人的评标方法。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8.评标委员会对经过初步评审为合格有效的各投标人的投标文件进行评审后，由各评委独立打分，打分时保留2位小数。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根据投标人的综合得分，计算出投标人的评标总得分，由高到低排出顺序，评标总得分最高的投标人推荐为中标候选人。如果投标人评标总得分相同，报价低的投标人排序在前。得分且投标报价相同的，按技术指标优劣顺序排列。</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（八）中标候选人的推荐</w:t>
      </w:r>
    </w:p>
    <w:p>
      <w:pPr>
        <w:spacing w:line="360" w:lineRule="auto"/>
        <w:ind w:firstLine="480"/>
        <w:rPr>
          <w:rFonts w:ascii="宋体" w:hAnsi="宋体"/>
          <w:color w:val="auto"/>
          <w:sz w:val="24"/>
          <w:highlight w:val="none"/>
        </w:rPr>
      </w:pPr>
      <w:r>
        <w:rPr>
          <w:rFonts w:hint="eastAsia" w:ascii="宋体" w:hAnsi="宋体"/>
          <w:color w:val="auto"/>
          <w:sz w:val="24"/>
          <w:highlight w:val="none"/>
        </w:rPr>
        <w:t>1.评标委员会根据评标结果，推荐合格的中标候选人。</w:t>
      </w:r>
    </w:p>
    <w:p>
      <w:pPr>
        <w:spacing w:line="360" w:lineRule="auto"/>
        <w:ind w:firstLine="480"/>
        <w:rPr>
          <w:rFonts w:ascii="宋体" w:hAnsi="宋体"/>
          <w:color w:val="auto"/>
          <w:sz w:val="24"/>
          <w:highlight w:val="none"/>
        </w:rPr>
      </w:pPr>
      <w:r>
        <w:rPr>
          <w:rFonts w:hint="eastAsia" w:ascii="宋体" w:hAnsi="宋体"/>
          <w:color w:val="auto"/>
          <w:sz w:val="24"/>
          <w:highlight w:val="none"/>
        </w:rPr>
        <w:t>2.招标人有权对中标候选人履行合同的能力进行审查确认（包括资质、业绩等），如发现舞弊行为，即依法取消其中标候选人资格。</w:t>
      </w:r>
    </w:p>
    <w:p>
      <w:pPr>
        <w:spacing w:line="360" w:lineRule="auto"/>
        <w:ind w:firstLine="480"/>
        <w:rPr>
          <w:rFonts w:ascii="宋体" w:hAnsi="宋体"/>
          <w:color w:val="auto"/>
          <w:sz w:val="24"/>
          <w:highlight w:val="none"/>
        </w:rPr>
      </w:pPr>
      <w:r>
        <w:rPr>
          <w:rFonts w:hint="eastAsia" w:ascii="宋体" w:hAnsi="宋体"/>
          <w:color w:val="auto"/>
          <w:sz w:val="24"/>
          <w:highlight w:val="none"/>
        </w:rPr>
        <w:t>3.招标代理人将评标情况形成书面评标报告，送至招标人审查。</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（九）定标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中标的标准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1.评标委员会将推荐得分最高</w:t>
      </w:r>
      <w:r>
        <w:rPr>
          <w:rFonts w:hint="eastAsia" w:ascii="宋体" w:hAnsi="宋体"/>
          <w:color w:val="auto"/>
          <w:sz w:val="24"/>
          <w:highlight w:val="none"/>
          <w:lang w:val="en-US" w:eastAsia="zh-CN"/>
        </w:rPr>
        <w:t>的</w:t>
      </w:r>
      <w:r>
        <w:rPr>
          <w:rFonts w:hint="eastAsia" w:ascii="宋体" w:hAnsi="宋体"/>
          <w:color w:val="auto"/>
          <w:sz w:val="24"/>
          <w:highlight w:val="none"/>
        </w:rPr>
        <w:t>投标人为中标候选人，招标人将依据评标委员会评审意见确定中标人；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2.具有良好的履行合同的能力和条件；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3.保证质量、保证项目</w:t>
      </w:r>
      <w:r>
        <w:rPr>
          <w:rFonts w:hint="eastAsia" w:ascii="宋体" w:hAnsi="宋体"/>
          <w:color w:val="auto"/>
          <w:sz w:val="24"/>
          <w:highlight w:val="none"/>
          <w:lang w:val="en-US" w:eastAsia="zh-CN"/>
        </w:rPr>
        <w:t>服务</w:t>
      </w:r>
      <w:r>
        <w:rPr>
          <w:rFonts w:hint="eastAsia" w:ascii="宋体" w:hAnsi="宋体"/>
          <w:color w:val="auto"/>
          <w:sz w:val="24"/>
          <w:highlight w:val="none"/>
        </w:rPr>
        <w:t>时间，按照招标文件要求提供质量保证措施。</w:t>
      </w:r>
    </w:p>
    <w:p>
      <w:pPr>
        <w:adjustRightInd w:val="0"/>
        <w:snapToGrid w:val="0"/>
        <w:spacing w:line="360" w:lineRule="auto"/>
        <w:ind w:firstLine="361" w:firstLineChars="100"/>
        <w:jc w:val="center"/>
        <w:rPr>
          <w:rFonts w:ascii="宋体" w:hAnsi="宋体"/>
          <w:b/>
          <w:color w:val="auto"/>
          <w:sz w:val="36"/>
          <w:szCs w:val="36"/>
          <w:highlight w:val="none"/>
        </w:rPr>
      </w:pPr>
      <w:r>
        <w:rPr>
          <w:rFonts w:hint="eastAsia" w:ascii="宋体" w:hAnsi="宋体"/>
          <w:b/>
          <w:bCs/>
          <w:color w:val="auto"/>
          <w:sz w:val="36"/>
          <w:szCs w:val="36"/>
          <w:highlight w:val="none"/>
        </w:rPr>
        <w:t>六、授予合同</w:t>
      </w:r>
    </w:p>
    <w:p>
      <w:pPr>
        <w:adjustRightInd w:val="0"/>
        <w:snapToGrid w:val="0"/>
        <w:spacing w:line="360" w:lineRule="auto"/>
        <w:ind w:firstLine="482" w:firstLineChars="200"/>
        <w:rPr>
          <w:rFonts w:ascii="宋体" w:hAnsi="宋体"/>
          <w:b/>
          <w:color w:val="auto"/>
          <w:sz w:val="28"/>
          <w:szCs w:val="28"/>
          <w:highlight w:val="none"/>
        </w:rPr>
      </w:pPr>
      <w:r>
        <w:rPr>
          <w:rFonts w:hint="eastAsia" w:ascii="宋体" w:hAnsi="宋体"/>
          <w:b/>
          <w:bCs/>
          <w:color w:val="auto"/>
          <w:sz w:val="24"/>
          <w:highlight w:val="none"/>
        </w:rPr>
        <w:t>（一）合同授予标准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招标人应将合同授予被确定为实质上响应招标文件要求的，能够圆满地履行合同义务的中标候选人。</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bCs/>
          <w:color w:val="auto"/>
          <w:sz w:val="24"/>
          <w:highlight w:val="none"/>
        </w:rPr>
        <w:t>（二）资格后审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如果招标人认为有必要对中标候选人履行合同能力进行确认，可以进行资格后审，包括实地考察或要求其提供相关证明资料。如果招标人对中标候选人资格后审后认为其无履行合同能力，可以提请评标委员会进行复会审议。</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2.上述审查将考虑中标候选人的财务、技术能力并基于中标候选人按规定提供的资格审查的证明文件以及招标人认为必要的和合适的其他资料。</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3.如果有必要，招标人可对中标候选人进行技术询问，或对其所选货物、竣工的项目进行实地考察。</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4．招标人还可以对中标候选人同类项目有关价格进行考察。如果在质量和服务要求相同的不同项目中，相同的货物价格偏差很大，招标人有权利质疑和询问，并提请评标委员会进行复会审议。</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5.如果中标候选人被确认为无能力履行合同，将被取消其中标候选人资格。</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6.在中标候选人被确认为无能力履行合同，并被取消其中标人资格的情况下，评标委员会将重新推荐中标候选人或由招标人重新组织采购。</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（三）中标通知书</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1.招标代理人应当在规定时间内向招标人提交招标、开标、评标、定标过程有关文件资料、评标报告、中标人的投标文件等备案资料，经招标人审查通过后，方可发放“中标通知书”。</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中标通知书经备案后，招标代理人应当在3个工作日内向中标人发出中标通知书。中标通知书对招标人和中标人具有法律效力。中标通知书发出后，招标人改变中标结果的，或者中标人放弃中标的，应当依法承担法律责任。</w:t>
      </w:r>
    </w:p>
    <w:p>
      <w:pPr>
        <w:adjustRightInd w:val="0"/>
        <w:snapToGrid w:val="0"/>
        <w:spacing w:line="360" w:lineRule="auto"/>
        <w:ind w:firstLine="236" w:firstLineChars="98"/>
        <w:rPr>
          <w:rFonts w:ascii="宋体" w:hAnsi="宋体"/>
          <w:b/>
          <w:bCs/>
          <w:color w:val="auto"/>
          <w:sz w:val="24"/>
          <w:highlight w:val="none"/>
        </w:rPr>
      </w:pPr>
      <w:r>
        <w:rPr>
          <w:rFonts w:hint="eastAsia" w:ascii="宋体" w:hAnsi="宋体"/>
          <w:b/>
          <w:bCs/>
          <w:color w:val="auto"/>
          <w:sz w:val="24"/>
          <w:highlight w:val="none"/>
        </w:rPr>
        <w:t>（四）签订合同</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1.中标人在收到中标通知书后应当按有关规定与招标人签订书面合同。招标文件、中标人的投标文件及评标过程中有关澄清、承诺等文件均为该书面合同的有效组成部分。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2.如果中标人无正当理由未在规定期间内签订合同，将没收其投标保证金，并承担相关法律责任。</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eastAsia="zh-CN"/>
        </w:rPr>
        <w:t>五</w:t>
      </w:r>
      <w:r>
        <w:rPr>
          <w:rFonts w:hint="eastAsia" w:ascii="宋体" w:hAnsi="宋体"/>
          <w:b/>
          <w:bCs/>
          <w:color w:val="auto"/>
          <w:sz w:val="24"/>
          <w:highlight w:val="none"/>
        </w:rPr>
        <w:t>）</w:t>
      </w:r>
      <w:r>
        <w:rPr>
          <w:rFonts w:hint="eastAsia" w:ascii="宋体" w:hAnsi="宋体"/>
          <w:b/>
          <w:color w:val="auto"/>
          <w:sz w:val="24"/>
          <w:highlight w:val="none"/>
        </w:rPr>
        <w:t>履约保证金</w:t>
      </w:r>
    </w:p>
    <w:p>
      <w:pPr>
        <w:adjustRightInd w:val="0"/>
        <w:snapToGrid w:val="0"/>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1.中标人在领取中标通知书后与招标人签订合同，并在合同签订之前或同时向招标人提供</w:t>
      </w:r>
      <w:r>
        <w:rPr>
          <w:rFonts w:hint="eastAsia" w:ascii="宋体" w:hAnsi="宋体"/>
          <w:color w:val="auto"/>
          <w:sz w:val="24"/>
          <w:highlight w:val="none"/>
          <w:lang w:val="en-US" w:eastAsia="zh-CN"/>
        </w:rPr>
        <w:t>3</w:t>
      </w:r>
      <w:r>
        <w:rPr>
          <w:rFonts w:hint="eastAsia" w:ascii="宋体" w:hAnsi="宋体"/>
          <w:color w:val="auto"/>
          <w:sz w:val="24"/>
          <w:highlight w:val="none"/>
        </w:rPr>
        <w:t>万元</w:t>
      </w:r>
      <w:r>
        <w:rPr>
          <w:rFonts w:hint="eastAsia" w:ascii="宋体" w:hAnsi="宋体"/>
          <w:color w:val="auto"/>
          <w:sz w:val="24"/>
          <w:highlight w:val="none"/>
        </w:rPr>
        <w:t>履约保证金。</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2.履约保证金可以是支票或银行汇票或银行出具的不可撤销的履约保函或大连市企业信用担保有限公司出具的履约担保函。</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由大连市企业信用担保有限公司出具的政府采购投标</w:t>
      </w:r>
      <w:r>
        <w:rPr>
          <w:rFonts w:hint="eastAsia" w:ascii="宋体" w:hAnsi="宋体"/>
          <w:color w:val="auto"/>
          <w:sz w:val="24"/>
          <w:highlight w:val="none"/>
          <w:lang w:val="en-US" w:eastAsia="zh-CN"/>
        </w:rPr>
        <w:t>担保</w:t>
      </w:r>
      <w:r>
        <w:rPr>
          <w:rFonts w:hint="eastAsia" w:ascii="宋体" w:hAnsi="宋体"/>
          <w:color w:val="auto"/>
          <w:sz w:val="24"/>
          <w:highlight w:val="none"/>
        </w:rPr>
        <w:t>，其有效期应超过投标有效期三十（30）天。</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3.如果中标人未能履行合同并给招标人造成损失，履约保证金将作为对这一损失的补偿而付给招标人。</w:t>
      </w:r>
    </w:p>
    <w:p>
      <w:pPr>
        <w:adjustRightInd w:val="0"/>
        <w:snapToGrid w:val="0"/>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4.履约保证金将在验收合格之日起十个工作日内予以退还，不计利息。</w:t>
      </w:r>
    </w:p>
    <w:p>
      <w:pPr>
        <w:adjustRightInd w:val="0"/>
        <w:snapToGrid w:val="0"/>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（六）招标代理人服务费</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1.</w:t>
      </w:r>
      <w:r>
        <w:rPr>
          <w:rFonts w:hint="eastAsia" w:ascii="宋体" w:hAnsi="宋体" w:cs="宋体-18030"/>
          <w:bCs/>
          <w:color w:val="auto"/>
          <w:sz w:val="24"/>
          <w:highlight w:val="none"/>
        </w:rPr>
        <w:t>招标代理人向中标单位按《招标代理服务费管理暂行办法》（计价格{2002}1980号）文件的规定按调整系数</w:t>
      </w:r>
      <w:r>
        <w:rPr>
          <w:rFonts w:hint="eastAsia" w:ascii="宋体" w:hAnsi="宋体" w:cs="宋体-18030"/>
          <w:bCs/>
          <w:color w:val="auto"/>
          <w:sz w:val="24"/>
          <w:highlight w:val="none"/>
          <w:lang w:val="en-US" w:eastAsia="zh-CN"/>
        </w:rPr>
        <w:t>35</w:t>
      </w:r>
      <w:r>
        <w:rPr>
          <w:rFonts w:hint="eastAsia" w:ascii="宋体" w:hAnsi="宋体" w:cs="宋体-18030"/>
          <w:bCs/>
          <w:color w:val="auto"/>
          <w:sz w:val="24"/>
          <w:highlight w:val="none"/>
        </w:rPr>
        <w:t>%标准收取代理服务费。单个代理项目招标代理服务费上限为10万元</w:t>
      </w:r>
      <w:r>
        <w:rPr>
          <w:rFonts w:hint="eastAsia" w:ascii="宋体" w:hAnsi="宋体" w:cs="宋体-18030"/>
          <w:bCs/>
          <w:color w:val="auto"/>
          <w:sz w:val="24"/>
          <w:highlight w:val="none"/>
          <w:lang w:val="en-US" w:eastAsia="zh-CN"/>
        </w:rPr>
        <w:t>。本项目代理费收取基数为：中标单价×5.5万吨。</w:t>
      </w:r>
    </w:p>
    <w:p>
      <w:pPr>
        <w:adjustRightInd w:val="0"/>
        <w:snapToGrid w:val="0"/>
        <w:spacing w:line="360" w:lineRule="auto"/>
        <w:ind w:firstLine="480" w:firstLineChars="200"/>
        <w:outlineLvl w:val="0"/>
        <w:rPr>
          <w:rFonts w:hint="eastAsia" w:ascii="宋体" w:hAnsi="宋体" w:eastAsia="宋体"/>
          <w:bCs/>
          <w:color w:val="auto"/>
          <w:sz w:val="18"/>
          <w:szCs w:val="18"/>
          <w:highlight w:val="none"/>
          <w:lang w:eastAsia="zh-CN"/>
        </w:rPr>
      </w:pPr>
      <w:bookmarkStart w:id="75" w:name="_Toc12862"/>
      <w:bookmarkStart w:id="76" w:name="_Toc25653"/>
      <w:r>
        <w:rPr>
          <w:rFonts w:hint="eastAsia" w:ascii="宋体" w:hAnsi="宋体"/>
          <w:bCs/>
          <w:color w:val="auto"/>
          <w:sz w:val="24"/>
          <w:highlight w:val="none"/>
        </w:rPr>
        <w:t>2.招标代理服务收费标准</w:t>
      </w:r>
      <w:bookmarkEnd w:id="75"/>
      <w:bookmarkEnd w:id="76"/>
      <w:r>
        <w:rPr>
          <w:rFonts w:hint="eastAsia" w:ascii="宋体" w:hAnsi="宋体"/>
          <w:bCs/>
          <w:color w:val="auto"/>
          <w:sz w:val="24"/>
          <w:highlight w:val="none"/>
          <w:lang w:eastAsia="zh-CN"/>
        </w:rPr>
        <w:t>：</w:t>
      </w:r>
    </w:p>
    <w:tbl>
      <w:tblPr>
        <w:tblStyle w:val="2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622"/>
        <w:gridCol w:w="1826"/>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ascii="宋体" w:hAnsi="宋体"/>
                <w:color w:val="auto"/>
                <w:sz w:val="24"/>
                <w:highlight w:val="none"/>
              </w:rPr>
            </w:pPr>
            <w:r>
              <w:rPr>
                <w:color w:val="auto"/>
                <w:highlight w:val="none"/>
              </w:rPr>
              <w:pict>
                <v:group id="__TH_G32五号150" o:spid="_x0000_s1027" o:spt="203" style="position:absolute;left:0pt;margin-left:-5.15pt;margin-top:0pt;height:58.45pt;width:126.7pt;z-index:251660288;mso-width-relative:page;mso-height-relative:page;" coordsize="2534,1169203203" o:gfxdata="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Nv8lSdgAAAAIAQAADwAAAAAAAAABACAAAAAi&#10;AAAAZHJzL2Rvd25yZXYueG1sUEsBAhQAFAAAAAgAh07iQF5hTNlEBAAAqx0AAA4AAAAAAAAAAQAg&#10;AAAAJwEAAGRycy9lMm9Eb2MueG1sUEsFBgAAAAAGAAYAWQEAAN0HAAAAAA==&#10;">
                  <o:lock v:ext="edit"/>
                  <v:line id="__TH_L134" o:spid="_x0000_s1026" o:spt="20" style="position:absolute;left:0;top:0;height:585;width:2534;"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path arrowok="t"/>
                    <v:fill focussize="0,0"/>
                    <v:stroke weight="0.5pt"/>
                    <v:imagedata o:title=""/>
                    <o:lock v:ext="edit"/>
                  </v:line>
                  <v:line id="__TH_L135" o:spid="_x0000_s1042" o:spt="20" style="position:absolute;left:0;top:0;height:1169;width:2534;"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path arrowok="t"/>
                    <v:fill focussize="0,0"/>
                    <v:stroke weight="0.5pt"/>
                    <v:imagedata o:title=""/>
                    <o:lock v:ext="edit"/>
                  </v:line>
                  <v:shape id="__TH_B11136" o:spid="_x0000_s1041" o:spt="202" type="#_x0000_t202" style="position:absolute;left:1081;top:0;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招</w:t>
                          </w:r>
                        </w:p>
                      </w:txbxContent>
                    </v:textbox>
                  </v:shape>
                  <v:shape id="__TH_B12137" o:spid="_x0000_s1040" o:spt="202" type="#_x0000_t202" style="position:absolute;left:1424;top:33;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标</w:t>
                          </w:r>
                        </w:p>
                      </w:txbxContent>
                    </v:textbox>
                  </v:shape>
                  <v:shape id="__TH_B13138" o:spid="_x0000_s1039" o:spt="202" type="#_x0000_t202" style="position:absolute;left:1767;top:73;height:262;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类</w:t>
                          </w:r>
                        </w:p>
                      </w:txbxContent>
                    </v:textbox>
                  </v:shape>
                  <v:shape id="__TH_B14139" o:spid="_x0000_s1038" o:spt="202" type="#_x0000_t202" style="position:absolute;left:2110;top:112;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别</w:t>
                          </w:r>
                        </w:p>
                      </w:txbxContent>
                    </v:textbox>
                  </v:shape>
                  <v:shape id="__TH_B21140" o:spid="_x0000_s1037" o:spt="202" type="#_x0000_t202" style="position:absolute;left:1323;top:355;height:262;width:214;"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path/>
                    <v:fill on="f" focussize="0,0"/>
                    <v:stroke on="f" joinstyle="miter"/>
                    <v:imagedata o:title=""/>
                    <o:lock v:ext="edit"/>
                    <v:textbox inset="0mm,0mm,0mm,0mm">
                      <w:txbxContent>
                        <w:p>
                          <w:pPr>
                            <w:snapToGrid w:val="0"/>
                          </w:pPr>
                          <w:r>
                            <w:rPr>
                              <w:rFonts w:hint="eastAsia"/>
                            </w:rPr>
                            <w:t>费</w:t>
                          </w:r>
                        </w:p>
                      </w:txbxContent>
                    </v:textbox>
                  </v:shape>
                  <v:shape id="__TH_B22141" o:spid="_x0000_s1036" o:spt="202" type="#_x0000_t202" style="position:absolute;left:1987;top:591;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率</w:t>
                          </w:r>
                        </w:p>
                      </w:txbxContent>
                    </v:textbox>
                  </v:shape>
                  <v:shape id="__TH_B31142" o:spid="_x0000_s1035" o:spt="202" type="#_x0000_t202" style="position:absolute;left:128;top:506;height:263;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中</w:t>
                          </w:r>
                        </w:p>
                      </w:txbxContent>
                    </v:textbox>
                  </v:shape>
                  <v:shape id="__TH_B32143" o:spid="_x0000_s1034" o:spt="202" type="#_x0000_t202" style="position:absolute;left:375;top:563;height:263;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path/>
                    <v:fill on="f" focussize="0,0"/>
                    <v:stroke on="f" joinstyle="miter"/>
                    <v:imagedata o:title=""/>
                    <o:lock v:ext="edit"/>
                    <v:textbox inset="0mm,0mm,0mm,0mm">
                      <w:txbxContent>
                        <w:p>
                          <w:pPr>
                            <w:snapToGrid w:val="0"/>
                          </w:pPr>
                          <w:r>
                            <w:rPr>
                              <w:rFonts w:hint="eastAsia"/>
                            </w:rPr>
                            <w:t>标</w:t>
                          </w:r>
                        </w:p>
                      </w:txbxContent>
                    </v:textbox>
                  </v:shape>
                  <v:shape id="__TH_B33144" o:spid="_x0000_s1033" o:spt="202" type="#_x0000_t202" style="position:absolute;left:622;top:620;height:263;width:25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金</w:t>
                          </w:r>
                        </w:p>
                      </w:txbxContent>
                    </v:textbox>
                  </v:shape>
                  <v:shape id="__TH_B34145" o:spid="_x0000_s1032" o:spt="202" type="#_x0000_t202" style="position:absolute;left:869;top:677;height:263;width:25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额</w:t>
                          </w:r>
                        </w:p>
                      </w:txbxContent>
                    </v:textbox>
                  </v:shape>
                  <v:shape id="__TH_B35146" o:spid="_x0000_s1031" o:spt="202" type="#_x0000_t202" style="position:absolute;left:1115;top:734;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w:t>
                          </w:r>
                        </w:p>
                      </w:txbxContent>
                    </v:textbox>
                  </v:shape>
                  <v:shape id="__TH_B36147" o:spid="_x0000_s1030" o:spt="202" type="#_x0000_t202" style="position:absolute;left:1362;top:791;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万</w:t>
                          </w:r>
                        </w:p>
                      </w:txbxContent>
                    </v:textbox>
                  </v:shape>
                  <v:shape id="__TH_B37148" o:spid="_x0000_s1029" o:spt="202" type="#_x0000_t202" style="position:absolute;left:1633;top:848;height:262;width:204;"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元</w:t>
                          </w:r>
                        </w:p>
                      </w:txbxContent>
                    </v:textbox>
                  </v:shape>
                  <v:shape id="__TH_B38149" o:spid="_x0000_s1028" o:spt="202" type="#_x0000_t202" style="position:absolute;left:1951;top:905;height:262;width:6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w:t>
                          </w:r>
                        </w:p>
                      </w:txbxContent>
                    </v:textbox>
                  </v:shape>
                </v:group>
              </w:pict>
            </w:r>
          </w:p>
        </w:tc>
        <w:tc>
          <w:tcPr>
            <w:tcW w:w="1622"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widowControl w:val="0"/>
              <w:suppressLineNumbers w:val="0"/>
              <w:pBdr>
                <w:left w:val="none" w:color="auto" w:sz="0" w:space="0"/>
                <w:bottom w:val="none" w:color="auto" w:sz="0" w:space="0"/>
                <w:right w:val="none" w:color="auto" w:sz="0" w:space="0"/>
              </w:pBdr>
              <w:adjustRightInd w:val="0"/>
              <w:snapToGrid w:val="0"/>
              <w:spacing w:before="0" w:beforeAutospacing="0" w:after="0" w:afterAutospacing="0" w:line="360" w:lineRule="auto"/>
              <w:ind w:left="0" w:right="0"/>
              <w:rPr>
                <w:rFonts w:ascii="宋体" w:eastAsia="宋体"/>
                <w:color w:val="auto"/>
                <w:kern w:val="2"/>
                <w:highlight w:val="none"/>
              </w:rPr>
            </w:pPr>
            <w:r>
              <w:rPr>
                <w:rFonts w:hint="eastAsia" w:ascii="宋体" w:eastAsia="宋体"/>
                <w:color w:val="auto"/>
                <w:kern w:val="2"/>
                <w:highlight w:val="none"/>
              </w:rPr>
              <w:t>货物招标</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服务招标</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100以下</w:t>
            </w:r>
          </w:p>
        </w:tc>
        <w:tc>
          <w:tcPr>
            <w:tcW w:w="162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suppressLineNumbers w:val="0"/>
              <w:pBdr>
                <w:bottom w:val="none" w:color="auto" w:sz="0" w:space="0"/>
              </w:pBdr>
              <w:tabs>
                <w:tab w:val="left" w:pos="420"/>
              </w:tabs>
              <w:adjustRightInd w:val="0"/>
              <w:spacing w:before="0" w:beforeAutospacing="0" w:after="0" w:afterAutospacing="0" w:line="360" w:lineRule="auto"/>
              <w:ind w:left="0" w:right="0"/>
              <w:rPr>
                <w:rFonts w:ascii="宋体" w:hAnsi="宋体"/>
                <w:color w:val="auto"/>
                <w:sz w:val="24"/>
                <w:szCs w:val="24"/>
                <w:highlight w:val="none"/>
              </w:rPr>
            </w:pPr>
            <w:r>
              <w:rPr>
                <w:rFonts w:hint="eastAsia" w:ascii="宋体" w:hAnsi="宋体"/>
                <w:color w:val="auto"/>
                <w:sz w:val="24"/>
                <w:szCs w:val="24"/>
                <w:highlight w:val="none"/>
              </w:rPr>
              <w:t>1.5%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100--500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1.1%</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0.8%</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500--1000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0.8%</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0.45%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1000--5000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0.25%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5000--10000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0.25%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0.1%</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10000--100000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0.05%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0.05%</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auto"/>
                <w:sz w:val="24"/>
                <w:highlight w:val="none"/>
              </w:rPr>
            </w:pPr>
            <w:r>
              <w:rPr>
                <w:rFonts w:hint="eastAsia" w:ascii="宋体" w:hAnsi="宋体"/>
                <w:color w:val="auto"/>
                <w:sz w:val="24"/>
                <w:highlight w:val="none"/>
              </w:rPr>
              <w:t>0.05%</w:t>
            </w:r>
          </w:p>
        </w:tc>
      </w:tr>
    </w:tbl>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注：招标代理服务收费按差额定率累进法计算。例如：某货物招标代理业务中标金额为100000万元，计算招标代理服务收费额如下：</w:t>
      </w:r>
    </w:p>
    <w:p>
      <w:pPr>
        <w:adjustRightInd w:val="0"/>
        <w:snapToGrid w:val="0"/>
        <w:spacing w:line="360" w:lineRule="auto"/>
        <w:ind w:firstLine="1080" w:firstLineChars="450"/>
        <w:outlineLvl w:val="0"/>
        <w:rPr>
          <w:rFonts w:ascii="宋体" w:hAnsi="宋体"/>
          <w:color w:val="auto"/>
          <w:sz w:val="24"/>
          <w:highlight w:val="none"/>
        </w:rPr>
      </w:pPr>
      <w:bookmarkStart w:id="77" w:name="_Toc30514"/>
      <w:bookmarkStart w:id="78" w:name="_Toc4643"/>
      <w:r>
        <w:rPr>
          <w:rFonts w:hint="eastAsia" w:ascii="宋体" w:hAnsi="宋体"/>
          <w:color w:val="auto"/>
          <w:sz w:val="24"/>
          <w:highlight w:val="none"/>
        </w:rPr>
        <w:t>100万元×1.5％＝1.5万元</w:t>
      </w:r>
      <w:bookmarkEnd w:id="77"/>
      <w:bookmarkEnd w:id="78"/>
    </w:p>
    <w:p>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（500-100）万元×1.1％＝4.4万元</w:t>
      </w:r>
    </w:p>
    <w:p>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（1000-500）万元×0.8％＝4万元</w:t>
      </w:r>
    </w:p>
    <w:p>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（5000-1000）万元×0.5％＝20万元</w:t>
      </w:r>
    </w:p>
    <w:p>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（10000-5000）万元×0.25％=12.5万元</w:t>
      </w:r>
    </w:p>
    <w:p>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（100000-10000）万元×0.05％=45万元</w:t>
      </w:r>
    </w:p>
    <w:p>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合计收费=1.5十4.4＋4＋20+12.5+45＝87.4（万元）</w:t>
      </w:r>
    </w:p>
    <w:p>
      <w:pPr>
        <w:adjustRightInd w:val="0"/>
        <w:snapToGrid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（七）其他注意事项：</w:t>
      </w:r>
    </w:p>
    <w:p>
      <w:pPr>
        <w:tabs>
          <w:tab w:val="left" w:pos="720"/>
        </w:tabs>
        <w:snapToGrid w:val="0"/>
        <w:spacing w:line="360" w:lineRule="auto"/>
        <w:ind w:left="2" w:leftChars="1" w:firstLine="720" w:firstLineChars="300"/>
        <w:rPr>
          <w:rFonts w:ascii="宋体" w:hAnsi="宋体"/>
          <w:color w:val="auto"/>
          <w:sz w:val="24"/>
          <w:highlight w:val="none"/>
        </w:rPr>
      </w:pPr>
      <w:r>
        <w:rPr>
          <w:rFonts w:hint="eastAsia" w:ascii="宋体" w:hAnsi="宋体"/>
          <w:color w:val="auto"/>
          <w:sz w:val="24"/>
          <w:highlight w:val="none"/>
        </w:rPr>
        <w:t>1.投标人被视为充分熟悉本招标项目的技术要求及与履行合同有关的一切情况；</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2.投标人应遵守我国与政府采购相关的法律、法规及规章条例，不得违反；</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3.投标人应详细阅读招标文件的全部内容。不按招标文件的要求提供的报价和资料，可能导致投标文件被拒绝。</w:t>
      </w:r>
    </w:p>
    <w:p>
      <w:pPr>
        <w:adjustRightInd w:val="0"/>
        <w:snapToGrid w:val="0"/>
        <w:spacing w:line="360" w:lineRule="auto"/>
        <w:ind w:firstLine="600" w:firstLineChars="249"/>
        <w:rPr>
          <w:rFonts w:ascii="宋体" w:hAnsi="宋体"/>
          <w:b/>
          <w:bCs/>
          <w:color w:val="auto"/>
          <w:sz w:val="24"/>
          <w:highlight w:val="none"/>
        </w:rPr>
      </w:pP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br w:type="page"/>
      </w:r>
    </w:p>
    <w:p>
      <w:pPr>
        <w:snapToGrid w:val="0"/>
        <w:spacing w:beforeLines="100" w:afterLines="50" w:line="360" w:lineRule="auto"/>
        <w:jc w:val="center"/>
        <w:rPr>
          <w:rFonts w:ascii="宋体" w:hAnsi="宋体"/>
          <w:b/>
          <w:bCs/>
          <w:color w:val="auto"/>
          <w:sz w:val="44"/>
          <w:highlight w:val="none"/>
        </w:rPr>
      </w:pPr>
    </w:p>
    <w:p>
      <w:pPr>
        <w:snapToGrid w:val="0"/>
        <w:spacing w:beforeLines="100" w:afterLines="50" w:line="360" w:lineRule="auto"/>
        <w:jc w:val="center"/>
        <w:rPr>
          <w:rFonts w:ascii="宋体" w:hAnsi="宋体"/>
          <w:b/>
          <w:bCs/>
          <w:color w:val="auto"/>
          <w:sz w:val="44"/>
          <w:highlight w:val="none"/>
        </w:rPr>
      </w:pPr>
    </w:p>
    <w:p>
      <w:pPr>
        <w:snapToGrid w:val="0"/>
        <w:spacing w:beforeLines="100" w:afterLines="50" w:line="360" w:lineRule="auto"/>
        <w:jc w:val="both"/>
        <w:outlineLvl w:val="0"/>
        <w:rPr>
          <w:rFonts w:hint="eastAsia" w:ascii="宋体" w:hAnsi="宋体"/>
          <w:b/>
          <w:bCs/>
          <w:color w:val="auto"/>
          <w:sz w:val="44"/>
          <w:szCs w:val="44"/>
          <w:highlight w:val="none"/>
        </w:rPr>
      </w:pPr>
      <w:bookmarkStart w:id="79" w:name="_Toc18234"/>
      <w:bookmarkStart w:id="80" w:name="_Toc28009"/>
    </w:p>
    <w:p>
      <w:pPr>
        <w:snapToGrid w:val="0"/>
        <w:spacing w:beforeLines="100" w:afterLines="50" w:line="360" w:lineRule="auto"/>
        <w:jc w:val="both"/>
        <w:outlineLvl w:val="0"/>
        <w:rPr>
          <w:rFonts w:hint="eastAsia" w:ascii="宋体" w:hAnsi="宋体"/>
          <w:b/>
          <w:bCs/>
          <w:color w:val="auto"/>
          <w:sz w:val="44"/>
          <w:szCs w:val="44"/>
          <w:highlight w:val="none"/>
        </w:rPr>
      </w:pPr>
    </w:p>
    <w:p>
      <w:pPr>
        <w:snapToGrid w:val="0"/>
        <w:spacing w:beforeLines="100" w:afterLines="50" w:line="360" w:lineRule="auto"/>
        <w:jc w:val="both"/>
        <w:outlineLvl w:val="0"/>
        <w:rPr>
          <w:rFonts w:hint="eastAsia" w:ascii="宋体" w:hAnsi="宋体"/>
          <w:b/>
          <w:bCs/>
          <w:color w:val="auto"/>
          <w:sz w:val="44"/>
          <w:szCs w:val="44"/>
          <w:highlight w:val="none"/>
        </w:rPr>
      </w:pPr>
    </w:p>
    <w:p>
      <w:pPr>
        <w:snapToGrid w:val="0"/>
        <w:spacing w:beforeLines="100" w:afterLines="50" w:line="360" w:lineRule="auto"/>
        <w:jc w:val="center"/>
        <w:outlineLvl w:val="0"/>
        <w:rPr>
          <w:rFonts w:hint="eastAsia" w:ascii="宋体" w:hAnsi="宋体"/>
          <w:b/>
          <w:bCs/>
          <w:color w:val="auto"/>
          <w:sz w:val="44"/>
          <w:szCs w:val="44"/>
          <w:highlight w:val="none"/>
        </w:rPr>
      </w:pPr>
    </w:p>
    <w:p>
      <w:pPr>
        <w:snapToGrid w:val="0"/>
        <w:spacing w:beforeLines="100" w:afterLines="50" w:line="360" w:lineRule="auto"/>
        <w:jc w:val="center"/>
        <w:outlineLvl w:val="0"/>
        <w:rPr>
          <w:rFonts w:ascii="宋体" w:hAnsi="宋体"/>
          <w:b/>
          <w:bCs/>
          <w:color w:val="auto"/>
          <w:sz w:val="44"/>
          <w:szCs w:val="44"/>
          <w:highlight w:val="none"/>
        </w:rPr>
      </w:pPr>
      <w:r>
        <w:rPr>
          <w:rFonts w:hint="eastAsia" w:ascii="宋体" w:hAnsi="宋体"/>
          <w:b/>
          <w:bCs/>
          <w:color w:val="auto"/>
          <w:sz w:val="44"/>
          <w:szCs w:val="44"/>
          <w:highlight w:val="none"/>
        </w:rPr>
        <w:t>第二章</w:t>
      </w:r>
      <w:r>
        <w:rPr>
          <w:rFonts w:hint="eastAsia"/>
          <w:b/>
          <w:color w:val="auto"/>
          <w:sz w:val="44"/>
          <w:szCs w:val="44"/>
          <w:highlight w:val="none"/>
        </w:rPr>
        <w:t>合同条款及合同格式</w:t>
      </w:r>
      <w:bookmarkEnd w:id="79"/>
      <w:bookmarkEnd w:id="80"/>
    </w:p>
    <w:p>
      <w:pPr>
        <w:spacing w:line="360" w:lineRule="auto"/>
        <w:rPr>
          <w:rFonts w:ascii="楷体_GB2312" w:hAnsi="华文中宋" w:eastAsia="楷体_GB2312"/>
          <w:color w:val="auto"/>
          <w:highlight w:val="none"/>
        </w:rPr>
      </w:pPr>
      <w:r>
        <w:rPr>
          <w:rFonts w:ascii="宋体" w:hAnsi="宋体"/>
          <w:b/>
          <w:bCs/>
          <w:color w:val="auto"/>
          <w:sz w:val="44"/>
          <w:highlight w:val="none"/>
        </w:rPr>
        <w:br w:type="page"/>
      </w:r>
    </w:p>
    <w:p>
      <w:pPr>
        <w:spacing w:line="360" w:lineRule="auto"/>
        <w:rPr>
          <w:rFonts w:asciiTheme="minorEastAsia" w:hAnsiTheme="minorEastAsia" w:eastAsiaTheme="minorEastAsia"/>
          <w:color w:val="auto"/>
          <w:sz w:val="24"/>
          <w:highlight w:val="none"/>
        </w:rPr>
      </w:pPr>
    </w:p>
    <w:p>
      <w:pPr>
        <w:spacing w:line="360" w:lineRule="auto"/>
        <w:jc w:val="center"/>
        <w:rPr>
          <w:b/>
          <w:color w:val="auto"/>
          <w:sz w:val="36"/>
          <w:szCs w:val="36"/>
          <w:highlight w:val="none"/>
        </w:rPr>
      </w:pPr>
      <w:r>
        <w:rPr>
          <w:rFonts w:hint="eastAsia"/>
          <w:b/>
          <w:color w:val="auto"/>
          <w:sz w:val="36"/>
          <w:szCs w:val="36"/>
          <w:highlight w:val="none"/>
        </w:rPr>
        <w:t>合同条款及合同格式</w:t>
      </w:r>
    </w:p>
    <w:p>
      <w:pPr>
        <w:rPr>
          <w:rFonts w:hint="eastAsia" w:asciiTheme="minorEastAsia" w:hAnsiTheme="minorEastAsia" w:eastAsiaTheme="minorEastAsia" w:cstheme="minorEastAsia"/>
          <w:b w:val="0"/>
          <w:bCs/>
          <w:color w:val="auto"/>
          <w:sz w:val="28"/>
          <w:szCs w:val="28"/>
          <w:highlight w:val="none"/>
          <w:u w:val="none"/>
          <w:lang w:val="en-US" w:eastAsia="zh-CN"/>
        </w:rPr>
      </w:pP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港杂服务费承包协议</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委托方(以下简称甲方)：大连盐化集团有限公司</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受托方(以下简称乙方)：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根据《中华人民共和国合同法》及相关法律法规的规定，经甲乙双方友好协商，达成以下协议。</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一、服务事项</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甲方委托乙方为甲方海运集港的外贸货物提供港杂、港到站运输组织及相关物流服务，乙方同意甲方委托，按甲方提报的作业委托，完成以下委托事宜：</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1.服务事项一：完成</w:t>
      </w:r>
      <w:r>
        <w:rPr>
          <w:rFonts w:hint="eastAsia" w:asciiTheme="minorEastAsia" w:hAnsiTheme="minorEastAsia" w:eastAsiaTheme="minorEastAsia" w:cstheme="minorEastAsia"/>
          <w:b w:val="0"/>
          <w:bCs/>
          <w:color w:val="auto"/>
          <w:sz w:val="28"/>
          <w:szCs w:val="28"/>
          <w:highlight w:val="none"/>
          <w:lang w:val="en-US" w:eastAsia="zh-CN"/>
        </w:rPr>
        <w:t>船代、</w:t>
      </w:r>
      <w:r>
        <w:rPr>
          <w:rFonts w:hint="eastAsia" w:asciiTheme="minorEastAsia" w:hAnsiTheme="minorEastAsia" w:eastAsiaTheme="minorEastAsia" w:cstheme="minorEastAsia"/>
          <w:b w:val="0"/>
          <w:bCs/>
          <w:color w:val="auto"/>
          <w:sz w:val="28"/>
          <w:szCs w:val="28"/>
          <w:highlight w:val="none"/>
          <w:u w:val="none"/>
          <w:lang w:val="en-US" w:eastAsia="zh-CN"/>
        </w:rPr>
        <w:t>报关申报、卸船、SGS检测盘锦港码头货物卸船作业。</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2.服务事项二：货物自盘锦港码头汽车短驳至盘锦港库场。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3.服务事项三：盘锦港库场货物苫盖篷布作业及堆存。</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4.服务事项四：出盘锦港装汽车过磅计量。</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5.货物品名：融雪盐（散装）。</w:t>
      </w:r>
    </w:p>
    <w:p>
      <w:pPr>
        <w:rPr>
          <w:rFonts w:hint="default"/>
          <w:color w:val="auto"/>
          <w:highlight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6.运量：预计5.5万吨左右，以实际发生数量为准。</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二、甲方的权利义务</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1．甲方应于海运计划到达日期 3 个工作日前向乙方提供有关作业委托，包括：货物名称、性质、批次、数量、重量、发运日期、发运数量等。</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甲方保证向乙方提供的资料真实、完整。甲方所提供的资料作为本合同的组成部分与本合同具有同等法律效力。</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2．向乙方提供的资料或货物需变更时，至少提前2日通知乙方。</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3.甲方有权对乙方提供的服务质量提出问题和改进的要求。</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4.甲方须保证其货物的真实性、合法性、符合本合同所述各作业环节条件，严禁发生匿报、谎报品名、性质、重量，货物包装等方面存在缺陷，夹带禁运品、在普通货物中夹带危险品及其他危及作业安全的行为。甲方须对货物自身的品质、数量等情况对收货人及关联部门负责。</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5.甲方应保证货物品名、标志、包数或件数、重量或体积的正确性。因甲方未明示，导致货损或造成乙方及第三方人员、机械、设施及其他人身伤害或财产损失的，甲方承担赔偿责任。</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6.甲方在盘锦港区域内作业时，应遵守盘锦港的职业健康安全、环保、消防、港口治安管理的相关管理规定。因甲方未遵守此等相关管理规定而造成污染或者损害的，甲方承担赔偿责任。</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7.甲方向乙方交付货物前或从乙方接收货物前，应办妥通关、港口作业等各种手续，保证货物、单证、手续等满足本合同的港口作业条件。因甲方货物、单证、手续等的不合法等原因，造成乙方及第三方损害、损失的，甲方承担赔偿责任。</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三、乙方的权利义务</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1.根据甲方委托的服务事项和提供的资料，按照本合同约定，及时完成服务事项。</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2.乙方保证为甲方提供全天候服务，全程跟踪货物在途情况。</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3.乙方及时向甲方报告港杂服务业务的进展情况，并交付有关单据。</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4.对甲方提供的各种文件、资料及有关的商业信息予以保密。</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5.乙方对甲方提出的服务质量等问题及要求，应及时改进达到甲方要求或向甲方提供书面说明协商处理。</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6.乙方应于合同终止后3个工作日内向甲方指定银行账户退还预付款结余金额。</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7.在运输途中产生的货损、货差，与乙方无关。甲方有义务按时、足额与乙方结算各项费用。</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8.如因港口或不可抗力等因素，使服务事项不能顺利完成，乙方须及时通知甲方，协商提出处理意见，以便甲方采取补救措施。</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9.乙方有权对货物进行抽检，若发现货名、规格、数量、重量、体积等与甲方申报不符的，有权按抽检的实际结果向甲方计收作业费用。</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四、服务费标准及支付方式</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1．服务费标准（人民币含税价）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（1）港杂服务包干费：汽车运输港内自</w:t>
      </w:r>
      <w:r>
        <w:rPr>
          <w:rFonts w:hint="eastAsia" w:asciiTheme="minorEastAsia" w:hAnsiTheme="minorEastAsia" w:eastAsiaTheme="minorEastAsia" w:cstheme="minorEastAsia"/>
          <w:b w:val="0"/>
          <w:bCs/>
          <w:color w:val="auto"/>
          <w:sz w:val="28"/>
          <w:szCs w:val="28"/>
          <w:highlight w:val="none"/>
          <w:u w:val="none"/>
          <w:lang w:val="en-US" w:eastAsia="zh-CN"/>
        </w:rPr>
        <w:t>提</w:t>
      </w:r>
      <w:r>
        <w:rPr>
          <w:rFonts w:hint="eastAsia" w:asciiTheme="minorEastAsia" w:hAnsiTheme="minorEastAsia" w:eastAsiaTheme="minorEastAsia" w:cstheme="minorEastAsia"/>
          <w:b w:val="0"/>
          <w:bCs/>
          <w:color w:val="auto"/>
          <w:sz w:val="28"/>
          <w:szCs w:val="28"/>
          <w:highlight w:val="none"/>
          <w:u w:val="single"/>
          <w:lang w:val="en-US" w:eastAsia="zh-CN"/>
        </w:rPr>
        <w:t xml:space="preserve">    </w:t>
      </w:r>
      <w:r>
        <w:rPr>
          <w:rFonts w:hint="eastAsia" w:asciiTheme="minorEastAsia" w:hAnsiTheme="minorEastAsia" w:eastAsiaTheme="minorEastAsia" w:cstheme="minorEastAsia"/>
          <w:b w:val="0"/>
          <w:bCs/>
          <w:color w:val="auto"/>
          <w:sz w:val="28"/>
          <w:szCs w:val="28"/>
          <w:highlight w:val="none"/>
          <w:u w:val="none"/>
          <w:lang w:val="en-US" w:eastAsia="zh-CN"/>
        </w:rPr>
        <w:t>元</w:t>
      </w:r>
      <w:r>
        <w:rPr>
          <w:rFonts w:hint="eastAsia" w:asciiTheme="minorEastAsia" w:hAnsiTheme="minorEastAsia" w:eastAsiaTheme="minorEastAsia" w:cstheme="minorEastAsia"/>
          <w:b w:val="0"/>
          <w:bCs/>
          <w:color w:val="auto"/>
          <w:sz w:val="28"/>
          <w:szCs w:val="28"/>
          <w:highlight w:val="none"/>
          <w:u w:val="none"/>
          <w:lang w:val="en-US" w:eastAsia="zh-CN"/>
        </w:rPr>
        <w:t>/吨，港杂费计费吨数以港口交接单证中载明的货物重量为准；代理费以货物出港过磅计量数为准。</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散装货物按重量交接，经技术监督部门检验合格的计量器具计量的，以该器具计量的数字为准；未经技术监督部门检验合格的计量器具计量的，除对计量手段另有约定外，乙方对甲方的货物仅负责原转、原交，有关单证中载明的货物重量只作为甲乙双方计付作业费用的依据，对乙方不构成其</w:t>
      </w:r>
      <w:r>
        <w:rPr>
          <w:rFonts w:hint="eastAsia" w:asciiTheme="minorEastAsia" w:hAnsiTheme="minorEastAsia" w:eastAsiaTheme="minorEastAsia" w:cstheme="minorEastAsia"/>
          <w:b w:val="0"/>
          <w:bCs/>
          <w:color w:val="auto"/>
          <w:sz w:val="28"/>
          <w:szCs w:val="28"/>
          <w:highlight w:val="none"/>
          <w:u w:val="none"/>
          <w:lang w:val="en-US" w:eastAsia="zh-CN"/>
        </w:rPr>
        <w:t>交接货物重量的证据。</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上述费用包含港口货物卸船费、卸船码头-盘锦港库场、90天库场使用费（免存期三个月）、及乙方港杂服务费等。</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库场使用费：自货物入港之日起，免费使用期为90天，第91天开始按0.1元/吨/天计收。</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（2）如遇港口或其他相关部门政策或价格调整，双方可协商解决，以双方书面确认为准。</w:t>
      </w:r>
    </w:p>
    <w:p>
      <w:pPr>
        <w:rPr>
          <w:rFonts w:hint="default"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（3）双方友好协商, 乙方向甲方缴纳履约保证金人民币叁万元整(¥30000 元） , 乙方履约保证金缴纳后, 双方开始履约。乙方完成甲方委托全部港杂服务事项，合同期满后，乙方凭甲方开具的履约保证金收据到甲方处办理履约保证金返还手续。</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（4）其他合同中未列费用如果产生，以双方书面确认为准。</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2.结算方式及期限：</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乙方按甲方的出货进度向甲方开具“港杂服务费”等发票结算（增值税专用发票，税率：6%），甲方收到发票后及时给乙方付款。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3.甲方指定的银行账户：</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名称：大连盐化集团有限公司</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开户银行：中国工商银行股份有限公司大连瓦房店支行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银行账户：3400202109004309346</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4.乙方指定的银行账户：</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名称：______</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开户银行：______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银行账户：________</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五、违约责任</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1.甲方未按本合同约定按期、足额向乙方预付物流总包服务费，乙方拒绝物流服务，由此产生的损失由甲方负责。</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2.由于甲方原因变更或终止委托服务给乙方造成的损失，由甲方负责承担。</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3.下列原因乙方不承担责任。</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1)不可抗力；</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2) 因货物自然属性或货物识别、指示标志不清不详等潜在缺陷；</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3) 货物的自然减量或合理损耗（国家及行业公布确认的或甲乙双方约定的）；</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4) 甲方未对货物的特殊作业提出书面要求或申报的重量等信息不准、货物装载不符合要求、普通货物中夹杂危险、流质、易腐等货物等甲方的过错；</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5）港口或其他政策性调整。</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6）法律、行政法规规定或双方约定的其他乙方可不承担赔偿责任的情形。</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六、合同生效时间和服务期限</w:t>
      </w:r>
    </w:p>
    <w:p>
      <w:pPr>
        <w:rPr>
          <w:rFonts w:hint="default"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本合同自签字盖章之日起生效，期限为 </w:t>
      </w:r>
      <w:r>
        <w:rPr>
          <w:rFonts w:hint="eastAsia" w:asciiTheme="minorEastAsia" w:hAnsiTheme="minorEastAsia" w:eastAsiaTheme="minorEastAsia" w:cstheme="minorEastAsia"/>
          <w:b w:val="0"/>
          <w:bCs/>
          <w:color w:val="auto"/>
          <w:sz w:val="28"/>
          <w:szCs w:val="28"/>
          <w:highlight w:val="none"/>
          <w:u w:val="none"/>
          <w:lang w:val="en-US" w:eastAsia="zh-CN"/>
        </w:rPr>
        <w:t>2024 年   月   日至 2025  年 2 月 28 日</w:t>
      </w:r>
      <w:r>
        <w:rPr>
          <w:rFonts w:hint="eastAsia" w:asciiTheme="minorEastAsia" w:hAnsiTheme="minorEastAsia" w:eastAsiaTheme="minorEastAsia" w:cstheme="minorEastAsia"/>
          <w:b w:val="0"/>
          <w:bCs/>
          <w:color w:val="auto"/>
          <w:sz w:val="28"/>
          <w:szCs w:val="28"/>
          <w:highlight w:val="none"/>
          <w:u w:val="none"/>
          <w:lang w:val="en-US" w:eastAsia="zh-CN"/>
        </w:rPr>
        <w:t>止。合同期满，在本项目服务货物内容及服务要求不变，经双方协商后需继续履行时，双方可重新续签合同或签订补充协议，一年一签，最多可签两年。</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七、争议的解决</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本协议未尽事宜友好协商解决，协商不成，各方均可到有管辖权的法院提起诉讼。</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八、反商业贿赂条款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与______有限公司签署本合同的交易方应严格遵守有关反腐败、反商业贿赂的法律、法规和政策规定；不得直接或间接向签署、执行本合同或对本交易的达成或执行具有影响力的________有限公司有关人员给予或承诺给予任何现金、实物或其他不正当利益。</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2.交易方陈述并保证：本方的股东、合伙人、董事、经理均不存在与履行本合同相冲突的经济利益或其他利益。</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3.交易方承诺：违反本条款约定，将承担由此产生的一切法律后果和责任。</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九、其他事项</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1．本合同正式文本一式两份，双方各执一份，具有同等法律效力。</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2.本合同所述的书面形式包括但不限于：电子邮件。</w:t>
      </w:r>
    </w:p>
    <w:p>
      <w:pPr>
        <w:rPr>
          <w:rFonts w:hint="default"/>
          <w:color w:val="auto"/>
          <w:highlight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3.本合同未尽事宜，双方协商后可签订补充合同，补充合同作为本合同的附件与本合同具有同等法律效力。</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甲方确认以下任何方式均可送达：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（1）、手机短信送达</w:t>
      </w:r>
    </w:p>
    <w:p>
      <w:pPr>
        <w:rPr>
          <w:rFonts w:hint="default"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送达手机号码：                 手机号持有人：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（2）、电子邮件送达   </w:t>
      </w:r>
    </w:p>
    <w:p>
      <w:pPr>
        <w:rPr>
          <w:rFonts w:hint="default"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电子邮箱为：                   邮箱持有人：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（3）、邮寄送达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邮寄地址为：   </w:t>
      </w:r>
    </w:p>
    <w:p>
      <w:pPr>
        <w:rPr>
          <w:rFonts w:hint="default"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收件人：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乙方确认以下任何方式均可送达：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（1）、手机短信送达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送达手机号码：               手机号持有人：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(2）、电子邮件送达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电子邮箱为：                 邮箱持有人：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（3）、邮寄送达：</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邮寄地址为：              收件人：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双方共同确认：上述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(以下无正文)</w:t>
      </w:r>
    </w:p>
    <w:p>
      <w:pPr>
        <w:rPr>
          <w:rFonts w:hint="eastAsia" w:asciiTheme="minorEastAsia" w:hAnsiTheme="minorEastAsia" w:eastAsiaTheme="minorEastAsia" w:cstheme="minorEastAsia"/>
          <w:b w:val="0"/>
          <w:bCs/>
          <w:color w:val="auto"/>
          <w:sz w:val="28"/>
          <w:szCs w:val="28"/>
          <w:highlight w:val="none"/>
          <w:u w:val="none"/>
          <w:lang w:val="en-US" w:eastAsia="zh-CN"/>
        </w:rPr>
      </w:pP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委托方（甲方）             受委托（乙方）</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法定代表人：               法定代表人：</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业务经办人（签字）         业务经办人（签字）</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地址：                     地址： </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电话：                     电话： </w:t>
      </w:r>
    </w:p>
    <w:p>
      <w:pPr>
        <w:rPr>
          <w:rFonts w:hint="eastAsia" w:asciiTheme="minorEastAsia" w:hAnsiTheme="minorEastAsia" w:eastAsiaTheme="minorEastAsia" w:cstheme="minorEastAsia"/>
          <w:b w:val="0"/>
          <w:bCs/>
          <w:color w:val="auto"/>
          <w:sz w:val="28"/>
          <w:szCs w:val="28"/>
          <w:highlight w:val="none"/>
          <w:u w:val="none"/>
          <w:lang w:val="en-US" w:eastAsia="zh-CN"/>
        </w:rPr>
      </w:pP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签订时间：2024 年   月   日</w:t>
      </w:r>
    </w:p>
    <w:p>
      <w:pPr>
        <w:rPr>
          <w:rFonts w:hint="eastAsia" w:asciiTheme="minorEastAsia" w:hAnsiTheme="minorEastAsia" w:eastAsiaTheme="minorEastAsia" w:cstheme="minorEastAsia"/>
          <w:b w:val="0"/>
          <w:bCs/>
          <w:color w:val="auto"/>
          <w:sz w:val="28"/>
          <w:szCs w:val="28"/>
          <w:highlight w:val="none"/>
          <w:u w:val="none"/>
          <w:lang w:val="en-US" w:eastAsia="zh-CN"/>
        </w:rPr>
      </w:pPr>
      <w:r>
        <w:rPr>
          <w:rFonts w:hint="eastAsia" w:asciiTheme="minorEastAsia" w:hAnsiTheme="minorEastAsia" w:eastAsiaTheme="minorEastAsia" w:cstheme="minorEastAsia"/>
          <w:b w:val="0"/>
          <w:bCs/>
          <w:color w:val="auto"/>
          <w:sz w:val="28"/>
          <w:szCs w:val="28"/>
          <w:highlight w:val="none"/>
          <w:u w:val="none"/>
          <w:lang w:val="en-US" w:eastAsia="zh-CN"/>
        </w:rPr>
        <w:t xml:space="preserve">签订地点： </w:t>
      </w:r>
    </w:p>
    <w:p>
      <w:pPr>
        <w:spacing w:line="360" w:lineRule="auto"/>
        <w:rPr>
          <w:rFonts w:hint="eastAsia" w:asciiTheme="minorEastAsia" w:hAnsiTheme="minorEastAsia" w:eastAsiaTheme="minorEastAsia" w:cstheme="minorEastAsia"/>
          <w:b w:val="0"/>
          <w:bCs/>
          <w:color w:val="auto"/>
          <w:sz w:val="24"/>
          <w:szCs w:val="24"/>
          <w:highlight w:val="none"/>
          <w:u w:val="none"/>
          <w:lang w:val="en-US" w:eastAsia="zh-CN"/>
        </w:rPr>
      </w:pPr>
      <w:r>
        <w:rPr>
          <w:rFonts w:ascii="宋体" w:hAnsi="宋体" w:cs="宋体"/>
          <w:b/>
          <w:bCs/>
          <w:color w:val="auto"/>
          <w:sz w:val="28"/>
          <w:szCs w:val="28"/>
          <w:highlight w:val="none"/>
        </w:rPr>
        <w:t>注：本合同范本仅作为参考文本。合同签订时，招标人与中标人可按实际情况 进行调整，但合同不得有与招标文件实质性背离的条款。</w:t>
      </w:r>
    </w:p>
    <w:p>
      <w:pPr>
        <w:snapToGrid w:val="0"/>
        <w:spacing w:line="360" w:lineRule="auto"/>
        <w:jc w:val="center"/>
        <w:rPr>
          <w:rFonts w:ascii="宋体" w:hAnsi="宋体"/>
          <w:color w:val="auto"/>
          <w:sz w:val="24"/>
          <w:highlight w:val="none"/>
        </w:rPr>
      </w:pPr>
      <w:r>
        <w:rPr>
          <w:rFonts w:hint="eastAsia" w:ascii="宋体" w:hAnsi="宋体" w:eastAsia="宋体" w:cs="宋体"/>
          <w:bCs/>
          <w:color w:val="auto"/>
          <w:kern w:val="2"/>
          <w:sz w:val="24"/>
          <w:szCs w:val="24"/>
          <w:highlight w:val="none"/>
          <w:lang w:val="en-US" w:eastAsia="zh-CN" w:bidi="ar"/>
        </w:rPr>
        <w:br w:type="page"/>
      </w: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24"/>
          <w:highlight w:val="none"/>
        </w:rPr>
      </w:pPr>
    </w:p>
    <w:p>
      <w:pPr>
        <w:snapToGrid w:val="0"/>
        <w:spacing w:line="360" w:lineRule="auto"/>
        <w:jc w:val="center"/>
        <w:outlineLvl w:val="0"/>
        <w:rPr>
          <w:rFonts w:ascii="宋体" w:hAnsi="宋体"/>
          <w:b/>
          <w:color w:val="auto"/>
          <w:sz w:val="44"/>
          <w:szCs w:val="44"/>
          <w:highlight w:val="none"/>
        </w:rPr>
      </w:pPr>
      <w:bookmarkStart w:id="81" w:name="_Toc29560"/>
      <w:bookmarkStart w:id="82" w:name="_Toc22314"/>
      <w:r>
        <w:rPr>
          <w:rFonts w:hint="eastAsia" w:ascii="宋体" w:hAnsi="宋体"/>
          <w:b/>
          <w:color w:val="auto"/>
          <w:sz w:val="44"/>
          <w:szCs w:val="44"/>
          <w:highlight w:val="none"/>
        </w:rPr>
        <w:t>第三章</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项目需求</w:t>
      </w:r>
      <w:bookmarkEnd w:id="81"/>
      <w:bookmarkEnd w:id="82"/>
    </w:p>
    <w:p>
      <w:pPr>
        <w:pStyle w:val="44"/>
        <w:adjustRightInd w:val="0"/>
        <w:snapToGrid w:val="0"/>
        <w:spacing w:line="360" w:lineRule="auto"/>
        <w:ind w:firstLine="0" w:firstLineChars="0"/>
        <w:jc w:val="center"/>
        <w:rPr>
          <w:color w:val="auto"/>
          <w:highlight w:val="none"/>
        </w:rPr>
      </w:pPr>
      <w:r>
        <w:rPr>
          <w:rFonts w:hAnsi="宋体"/>
          <w:b/>
          <w:color w:val="auto"/>
          <w:sz w:val="44"/>
          <w:szCs w:val="44"/>
          <w:highlight w:val="none"/>
        </w:rPr>
        <w:br w:type="page"/>
      </w:r>
      <w:r>
        <w:rPr>
          <w:rFonts w:hint="eastAsia" w:ascii="宋体" w:hAnsi="宋体" w:cs="宋体"/>
          <w:b/>
          <w:color w:val="auto"/>
          <w:sz w:val="44"/>
          <w:szCs w:val="44"/>
          <w:highlight w:val="none"/>
        </w:rPr>
        <w:t>服务内容及需求</w:t>
      </w:r>
    </w:p>
    <w:p>
      <w:pPr>
        <w:spacing w:before="120" w:beforeLines="50" w:line="360" w:lineRule="auto"/>
        <w:ind w:firstLine="482" w:firstLineChars="200"/>
        <w:rPr>
          <w:rFonts w:hint="eastAsia" w:ascii="宋体" w:hAnsi="宋体" w:cs="宋体"/>
          <w:bCs/>
          <w:color w:val="auto"/>
          <w:sz w:val="24"/>
          <w:highlight w:val="none"/>
          <w:lang w:bidi="ar"/>
        </w:rPr>
      </w:pPr>
      <w:r>
        <w:rPr>
          <w:rFonts w:hint="eastAsia" w:ascii="宋体" w:hAnsi="宋体" w:cs="宋体"/>
          <w:b/>
          <w:color w:val="auto"/>
          <w:sz w:val="24"/>
          <w:highlight w:val="none"/>
          <w:lang w:bidi="ar"/>
        </w:rPr>
        <w:t>一、项目概况：</w:t>
      </w:r>
      <w:r>
        <w:rPr>
          <w:rFonts w:hint="eastAsia" w:ascii="宋体" w:hAnsi="宋体" w:cs="宋体"/>
          <w:b w:val="0"/>
          <w:bCs/>
          <w:color w:val="auto"/>
          <w:sz w:val="24"/>
          <w:highlight w:val="none"/>
          <w:lang w:bidi="ar"/>
        </w:rPr>
        <w:t>大连盐化集团有限公司拟做印度进口融雪盐贸易</w:t>
      </w:r>
      <w:r>
        <w:rPr>
          <w:rFonts w:hint="eastAsia" w:ascii="宋体" w:hAnsi="宋体" w:cs="宋体"/>
          <w:bCs/>
          <w:color w:val="auto"/>
          <w:sz w:val="24"/>
          <w:highlight w:val="none"/>
          <w:lang w:bidi="ar"/>
        </w:rPr>
        <w:t>。</w:t>
      </w:r>
    </w:p>
    <w:p>
      <w:pPr>
        <w:pStyle w:val="21"/>
        <w:tabs>
          <w:tab w:val="center" w:pos="4393"/>
        </w:tabs>
        <w:spacing w:before="0" w:beforeAutospacing="0" w:after="0" w:afterAutospacing="0" w:line="360" w:lineRule="auto"/>
        <w:ind w:firstLine="480" w:firstLineChars="200"/>
        <w:textAlignment w:val="baseline"/>
        <w:rPr>
          <w:rFonts w:hint="eastAsia" w:cs="宋体"/>
          <w:bCs/>
          <w:color w:val="auto"/>
          <w:highlight w:val="none"/>
          <w:lang w:val="en-US"/>
        </w:rPr>
      </w:pPr>
      <w:r>
        <w:rPr>
          <w:rFonts w:hint="eastAsia" w:cs="宋体"/>
          <w:bCs/>
          <w:color w:val="auto"/>
          <w:highlight w:val="none"/>
          <w:lang w:val="en-US"/>
        </w:rPr>
        <w:t>1.数量为5.5万吨左右，目的港-盘锦港，以港杂服务费等大包干的方式由港口代理公司代理港杂服务事务。</w:t>
      </w:r>
    </w:p>
    <w:p>
      <w:pPr>
        <w:pStyle w:val="21"/>
        <w:tabs>
          <w:tab w:val="center" w:pos="4393"/>
        </w:tabs>
        <w:spacing w:before="0" w:beforeAutospacing="0" w:after="0" w:afterAutospacing="0" w:line="360" w:lineRule="auto"/>
        <w:ind w:firstLine="480" w:firstLineChars="200"/>
        <w:textAlignment w:val="baseline"/>
        <w:rPr>
          <w:rFonts w:hint="eastAsia" w:cs="宋体"/>
          <w:bCs/>
          <w:color w:val="auto"/>
          <w:highlight w:val="none"/>
          <w:lang w:val="en-US"/>
        </w:rPr>
      </w:pPr>
      <w:r>
        <w:rPr>
          <w:rFonts w:hint="eastAsia" w:cs="宋体"/>
          <w:bCs/>
          <w:color w:val="auto"/>
          <w:highlight w:val="none"/>
          <w:lang w:val="en-US"/>
        </w:rPr>
        <w:t>2.公路运输5.5万吨左右（汽运港内自提）。</w:t>
      </w:r>
    </w:p>
    <w:p>
      <w:pPr>
        <w:pStyle w:val="21"/>
        <w:tabs>
          <w:tab w:val="center" w:pos="4393"/>
        </w:tabs>
        <w:spacing w:before="0" w:beforeAutospacing="0" w:after="0" w:afterAutospacing="0" w:line="360" w:lineRule="auto"/>
        <w:ind w:firstLine="482" w:firstLineChars="200"/>
        <w:textAlignment w:val="baseline"/>
        <w:rPr>
          <w:rFonts w:hint="eastAsia" w:ascii="宋体" w:hAnsi="宋体" w:eastAsia="宋体" w:cs="宋体"/>
          <w:bCs/>
          <w:color w:val="auto"/>
          <w:sz w:val="24"/>
          <w:highlight w:val="none"/>
          <w:lang w:eastAsia="zh-CN"/>
        </w:rPr>
      </w:pPr>
      <w:r>
        <w:rPr>
          <w:rFonts w:hint="eastAsia" w:ascii="宋体" w:hAnsi="宋体" w:cs="宋体"/>
          <w:b/>
          <w:color w:val="auto"/>
          <w:sz w:val="24"/>
          <w:highlight w:val="none"/>
          <w:lang w:bidi="ar"/>
        </w:rPr>
        <w:t>二、服务范围：</w:t>
      </w:r>
      <w:r>
        <w:rPr>
          <w:rFonts w:hint="eastAsia" w:ascii="宋体" w:hAnsi="宋体" w:cs="宋体"/>
          <w:b w:val="0"/>
          <w:bCs/>
          <w:color w:val="auto"/>
          <w:sz w:val="24"/>
          <w:highlight w:val="none"/>
          <w:lang w:bidi="ar"/>
        </w:rPr>
        <w:t>港杂服务代理：船代、报关申报、卸船、SGS检测、港内捣载、归垛、二次过磅、苫盖、装汽车（负责装车一次），货物出港申报，开具服务费发票等。</w:t>
      </w:r>
    </w:p>
    <w:p>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bidi="ar"/>
        </w:rPr>
        <w:t>三、服务（质量）要求：</w:t>
      </w:r>
    </w:p>
    <w:p>
      <w:pPr>
        <w:pStyle w:val="21"/>
        <w:tabs>
          <w:tab w:val="center" w:pos="4393"/>
        </w:tabs>
        <w:spacing w:before="0" w:beforeAutospacing="0" w:after="0" w:afterAutospacing="0" w:line="360" w:lineRule="auto"/>
        <w:ind w:firstLine="480" w:firstLineChars="200"/>
        <w:textAlignment w:val="baseline"/>
        <w:rPr>
          <w:rFonts w:hint="eastAsia" w:cs="宋体"/>
          <w:bCs/>
          <w:color w:val="auto"/>
          <w:highlight w:val="none"/>
          <w:lang w:val="en-US"/>
        </w:rPr>
      </w:pPr>
      <w:r>
        <w:rPr>
          <w:rFonts w:hint="eastAsia" w:cs="宋体"/>
          <w:bCs/>
          <w:color w:val="auto"/>
          <w:highlight w:val="none"/>
          <w:lang w:val="en-US"/>
        </w:rPr>
        <w:t>港杂服务代理：</w:t>
      </w:r>
    </w:p>
    <w:p>
      <w:pPr>
        <w:pStyle w:val="21"/>
        <w:tabs>
          <w:tab w:val="center" w:pos="4393"/>
        </w:tabs>
        <w:spacing w:before="0" w:beforeAutospacing="0" w:after="0" w:afterAutospacing="0" w:line="360" w:lineRule="auto"/>
        <w:ind w:firstLine="480" w:firstLineChars="200"/>
        <w:textAlignment w:val="baseline"/>
        <w:rPr>
          <w:rFonts w:hint="eastAsia" w:cs="宋体"/>
          <w:bCs/>
          <w:color w:val="auto"/>
          <w:highlight w:val="none"/>
          <w:lang w:val="en-US"/>
        </w:rPr>
      </w:pPr>
      <w:r>
        <w:rPr>
          <w:rFonts w:hint="eastAsia" w:cs="宋体"/>
          <w:bCs/>
          <w:color w:val="auto"/>
          <w:highlight w:val="none"/>
          <w:lang w:val="en-US"/>
        </w:rPr>
        <w:t>1、归垛、港内捣载：前沿、归垛场地、港内捣载车辆必须清洗干净，不许有杂物。为了防止污染、下雨化损归垛后需要苫盖好。</w:t>
      </w:r>
    </w:p>
    <w:p>
      <w:pPr>
        <w:pStyle w:val="21"/>
        <w:tabs>
          <w:tab w:val="center" w:pos="4393"/>
        </w:tabs>
        <w:spacing w:before="0" w:beforeAutospacing="0" w:after="0" w:afterAutospacing="0" w:line="360" w:lineRule="auto"/>
        <w:ind w:firstLine="480" w:firstLineChars="200"/>
        <w:textAlignment w:val="baseline"/>
        <w:rPr>
          <w:rFonts w:cs="宋体"/>
          <w:bCs/>
          <w:color w:val="auto"/>
          <w:highlight w:val="none"/>
          <w:lang w:val="en-US"/>
        </w:rPr>
      </w:pPr>
      <w:r>
        <w:rPr>
          <w:rFonts w:hint="eastAsia" w:cs="宋体"/>
          <w:bCs/>
          <w:color w:val="auto"/>
          <w:highlight w:val="none"/>
          <w:lang w:val="en-US"/>
        </w:rPr>
        <w:t>2、按采购人的发货计划（包括包装规格）协调好港内一切服务项目。</w:t>
      </w:r>
    </w:p>
    <w:p>
      <w:pPr>
        <w:pStyle w:val="21"/>
        <w:tabs>
          <w:tab w:val="center" w:pos="4393"/>
        </w:tabs>
        <w:spacing w:before="0" w:beforeAutospacing="0" w:after="0" w:afterAutospacing="0" w:line="360" w:lineRule="auto"/>
        <w:ind w:firstLine="482" w:firstLineChars="200"/>
        <w:textAlignment w:val="baseline"/>
        <w:rPr>
          <w:rFonts w:cs="宋体"/>
          <w:b/>
          <w:color w:val="auto"/>
          <w:highlight w:val="none"/>
          <w:lang w:val="en-US"/>
        </w:rPr>
      </w:pPr>
      <w:r>
        <w:rPr>
          <w:rFonts w:cs="宋体"/>
          <w:b/>
          <w:color w:val="auto"/>
          <w:highlight w:val="none"/>
          <w:lang w:eastAsia="zh-CN"/>
        </w:rPr>
        <w:t>四、验收方式及标准：</w:t>
      </w:r>
    </w:p>
    <w:p>
      <w:pPr>
        <w:pStyle w:val="21"/>
        <w:tabs>
          <w:tab w:val="center" w:pos="4393"/>
        </w:tabs>
        <w:spacing w:before="0" w:beforeAutospacing="0" w:after="0" w:afterAutospacing="0" w:line="360" w:lineRule="auto"/>
        <w:ind w:firstLine="480" w:firstLineChars="200"/>
        <w:textAlignment w:val="baseline"/>
        <w:rPr>
          <w:rFonts w:hint="eastAsia" w:cs="宋体"/>
          <w:bCs/>
          <w:color w:val="auto"/>
          <w:highlight w:val="none"/>
          <w:lang w:val="en-US"/>
        </w:rPr>
      </w:pPr>
      <w:r>
        <w:rPr>
          <w:rFonts w:hint="eastAsia" w:cs="宋体"/>
          <w:bCs/>
          <w:color w:val="auto"/>
          <w:highlight w:val="none"/>
          <w:lang w:val="en-US"/>
        </w:rPr>
        <w:t>1、归垛、港内捣载如有二次污染，按损失额予以补偿。</w:t>
      </w:r>
    </w:p>
    <w:p>
      <w:pPr>
        <w:pStyle w:val="21"/>
        <w:tabs>
          <w:tab w:val="center" w:pos="4393"/>
        </w:tabs>
        <w:spacing w:before="0" w:beforeAutospacing="0" w:after="0" w:afterAutospacing="0" w:line="360" w:lineRule="auto"/>
        <w:ind w:firstLine="480" w:firstLineChars="200"/>
        <w:textAlignment w:val="baseline"/>
        <w:rPr>
          <w:rFonts w:cs="宋体"/>
          <w:bCs/>
          <w:color w:val="auto"/>
          <w:highlight w:val="none"/>
          <w:lang w:val="en-US"/>
        </w:rPr>
      </w:pPr>
      <w:r>
        <w:rPr>
          <w:rFonts w:hint="eastAsia" w:cs="宋体"/>
          <w:bCs/>
          <w:color w:val="auto"/>
          <w:highlight w:val="none"/>
          <w:lang w:val="en-US"/>
        </w:rPr>
        <w:t>2、成交单位与我公司签合同的同时，需一次性交纳履约保证金，以保证合同履行过程中因成交方原因给我公司造成的损失能及时补偿。履约保证金金额为3万元。（具体事宜双方合同中进行详细约定）</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lang w:bidi="ar"/>
        </w:rPr>
        <w:t>五、时间要求：</w:t>
      </w:r>
    </w:p>
    <w:p>
      <w:pPr>
        <w:pStyle w:val="18"/>
        <w:spacing w:line="360" w:lineRule="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1、卸船时间：船到锚地开始计时80小时内卸完。</w:t>
      </w:r>
    </w:p>
    <w:p>
      <w:pPr>
        <w:pStyle w:val="18"/>
        <w:spacing w:line="360" w:lineRule="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2、免费堆存期为90天（超期堆存费0.1元/吨/天）。</w:t>
      </w:r>
    </w:p>
    <w:p>
      <w:pPr>
        <w:spacing w:line="360" w:lineRule="auto"/>
        <w:ind w:firstLine="482" w:firstLineChars="200"/>
        <w:jc w:val="left"/>
        <w:rPr>
          <w:rFonts w:hint="eastAsia" w:ascii="宋体" w:hAnsi="宋体" w:eastAsia="宋体" w:cs="宋体"/>
          <w:bCs/>
          <w:color w:val="auto"/>
          <w:sz w:val="24"/>
          <w:highlight w:val="none"/>
          <w:lang w:eastAsia="zh-CN"/>
        </w:rPr>
      </w:pPr>
      <w:r>
        <w:rPr>
          <w:rFonts w:hint="eastAsia" w:ascii="宋体" w:hAnsi="宋体" w:cs="宋体"/>
          <w:b/>
          <w:color w:val="auto"/>
          <w:sz w:val="24"/>
          <w:highlight w:val="none"/>
          <w:lang w:bidi="ar"/>
        </w:rPr>
        <w:t>六、服务期限：</w:t>
      </w:r>
      <w:r>
        <w:rPr>
          <w:rFonts w:hint="eastAsia" w:ascii="宋体" w:hAnsi="宋体" w:cs="宋体"/>
          <w:b w:val="0"/>
          <w:bCs/>
          <w:color w:val="auto"/>
          <w:sz w:val="24"/>
          <w:highlight w:val="none"/>
          <w:lang w:bidi="ar"/>
        </w:rPr>
        <w:t>自签订合同之日起至2025年2月2</w:t>
      </w:r>
      <w:r>
        <w:rPr>
          <w:rFonts w:hint="eastAsia" w:ascii="宋体" w:hAnsi="宋体" w:cs="宋体"/>
          <w:b w:val="0"/>
          <w:bCs/>
          <w:color w:val="auto"/>
          <w:sz w:val="24"/>
          <w:highlight w:val="none"/>
          <w:lang w:val="en-US" w:eastAsia="zh-CN" w:bidi="ar"/>
        </w:rPr>
        <w:t>8</w:t>
      </w:r>
      <w:r>
        <w:rPr>
          <w:rFonts w:hint="eastAsia" w:ascii="宋体" w:hAnsi="宋体" w:cs="宋体"/>
          <w:b w:val="0"/>
          <w:bCs/>
          <w:color w:val="auto"/>
          <w:sz w:val="24"/>
          <w:highlight w:val="none"/>
          <w:lang w:bidi="ar"/>
        </w:rPr>
        <w:t>日</w:t>
      </w:r>
      <w:r>
        <w:rPr>
          <w:rFonts w:hint="eastAsia" w:ascii="宋体" w:hAnsi="宋体" w:cs="宋体"/>
          <w:b/>
          <w:color w:val="auto"/>
          <w:sz w:val="24"/>
          <w:highlight w:val="none"/>
          <w:lang w:eastAsia="zh-CN" w:bidi="ar"/>
        </w:rPr>
        <w:t>。</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bidi="ar"/>
        </w:rPr>
        <w:t>七、付款方式：</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highlight w:val="none"/>
          <w:lang w:bidi="ar"/>
        </w:rPr>
      </w:pPr>
      <w:r>
        <w:rPr>
          <w:rFonts w:hint="eastAsia" w:ascii="宋体" w:hAnsi="宋体" w:eastAsia="宋体" w:cs="宋体"/>
          <w:b w:val="0"/>
          <w:bCs/>
          <w:color w:val="auto"/>
          <w:sz w:val="24"/>
          <w:highlight w:val="none"/>
          <w:lang w:bidi="ar"/>
        </w:rPr>
        <w:t>1、价格：固定协议价，港杂服务包干计费标准如下：</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highlight w:val="none"/>
          <w:lang w:bidi="ar"/>
        </w:rPr>
      </w:pPr>
      <w:r>
        <w:rPr>
          <w:rFonts w:hint="eastAsia" w:ascii="宋体" w:hAnsi="宋体" w:eastAsia="宋体" w:cs="宋体"/>
          <w:b w:val="0"/>
          <w:bCs/>
          <w:color w:val="auto"/>
          <w:sz w:val="24"/>
          <w:highlight w:val="none"/>
          <w:lang w:bidi="ar"/>
        </w:rPr>
        <w:t>港杂费：以港口交接单证中载明的货物重量为准。</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highlight w:val="none"/>
          <w:lang w:bidi="ar"/>
        </w:rPr>
      </w:pPr>
      <w:r>
        <w:rPr>
          <w:rFonts w:hint="eastAsia" w:ascii="宋体" w:hAnsi="宋体" w:eastAsia="宋体" w:cs="宋体"/>
          <w:b w:val="0"/>
          <w:bCs/>
          <w:color w:val="auto"/>
          <w:sz w:val="24"/>
          <w:highlight w:val="none"/>
          <w:lang w:bidi="ar"/>
        </w:rPr>
        <w:t>代理费：以汽运装车出港过磅的货物重量为准。</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highlight w:val="none"/>
          <w:lang w:bidi="ar"/>
        </w:rPr>
      </w:pPr>
      <w:r>
        <w:rPr>
          <w:rFonts w:hint="eastAsia" w:ascii="宋体" w:hAnsi="宋体" w:eastAsia="宋体" w:cs="宋体"/>
          <w:b w:val="0"/>
          <w:bCs/>
          <w:color w:val="auto"/>
          <w:sz w:val="24"/>
          <w:highlight w:val="none"/>
          <w:lang w:bidi="ar"/>
        </w:rPr>
        <w:t>2、完成船代、报关申报、卸船、SGS检测、港内捣载、归垛、苫盖，提供专用发票（税率6%），按服务费总额90%结算。</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highlight w:val="none"/>
          <w:lang w:bidi="ar"/>
        </w:rPr>
      </w:pPr>
      <w:r>
        <w:rPr>
          <w:rFonts w:hint="eastAsia" w:ascii="宋体" w:hAnsi="宋体" w:cs="宋体"/>
          <w:b w:val="0"/>
          <w:bCs/>
          <w:color w:val="auto"/>
          <w:sz w:val="24"/>
          <w:highlight w:val="none"/>
          <w:lang w:val="en-US" w:eastAsia="zh-CN" w:bidi="ar"/>
        </w:rPr>
        <w:t>3、</w:t>
      </w:r>
      <w:r>
        <w:rPr>
          <w:rFonts w:hint="eastAsia" w:ascii="宋体" w:hAnsi="宋体" w:eastAsia="宋体" w:cs="宋体"/>
          <w:b w:val="0"/>
          <w:bCs/>
          <w:color w:val="auto"/>
          <w:sz w:val="24"/>
          <w:highlight w:val="none"/>
          <w:lang w:bidi="ar"/>
        </w:rPr>
        <w:t>代理服务费按照汽运出港装车时计量的数量结算。</w:t>
      </w:r>
    </w:p>
    <w:p>
      <w:pPr>
        <w:spacing w:line="360" w:lineRule="auto"/>
        <w:ind w:firstLine="482" w:firstLineChars="200"/>
        <w:jc w:val="left"/>
        <w:rPr>
          <w:rFonts w:hint="eastAsia" w:ascii="宋体" w:hAnsi="宋体" w:cs="宋体"/>
          <w:bCs/>
          <w:color w:val="auto"/>
          <w:sz w:val="24"/>
          <w:highlight w:val="none"/>
          <w:lang w:bidi="ar"/>
        </w:rPr>
      </w:pPr>
      <w:r>
        <w:rPr>
          <w:rFonts w:hint="eastAsia" w:ascii="宋体" w:hAnsi="宋体" w:eastAsia="宋体" w:cs="Times New Roman"/>
          <w:b/>
          <w:bCs w:val="0"/>
          <w:color w:val="auto"/>
          <w:kern w:val="2"/>
          <w:sz w:val="24"/>
          <w:szCs w:val="24"/>
          <w:highlight w:val="none"/>
          <w:lang w:val="en-US" w:eastAsia="zh-CN" w:bidi="ar-SA"/>
        </w:rPr>
        <w:t>注：付款形式为电汇、支票、承兑汇票或信用证等。招标人每次付款前，中标人需给招标人开具合法有效的等额增值税专用发票、提供支付申请书等请款材料，中标人逾期提供请款材料或者提供的发票等请款材料不符合招标人要求的，招标人有权延期付款且不承担任何逾期或赔偿责任，且中标人不得因此停止或怠于履行合同义务。中标人开具的发票若出现问题导致招标人进项税无法抵扣时，应重新开具合规发票，无法重开的，由中标人承担招标人相当于无法抵扣进项税额的赔偿金。如遇国家税务政策调整，不含税金额不变，税金按新政执行。</w:t>
      </w:r>
    </w:p>
    <w:p>
      <w:pPr>
        <w:rPr>
          <w:rFonts w:ascii="宋体" w:hAnsi="宋体"/>
          <w:b/>
          <w:bCs/>
          <w:color w:val="auto"/>
          <w:sz w:val="44"/>
          <w:szCs w:val="44"/>
          <w:highlight w:val="none"/>
        </w:rPr>
      </w:pPr>
      <w:r>
        <w:rPr>
          <w:rFonts w:ascii="宋体" w:hAnsi="宋体"/>
          <w:b/>
          <w:bCs/>
          <w:color w:val="auto"/>
          <w:sz w:val="44"/>
          <w:szCs w:val="44"/>
          <w:highlight w:val="none"/>
        </w:rPr>
        <w:br w:type="page"/>
      </w:r>
    </w:p>
    <w:p>
      <w:pPr>
        <w:pStyle w:val="18"/>
        <w:rPr>
          <w:color w:val="auto"/>
          <w:highlight w:val="none"/>
        </w:rPr>
      </w:pPr>
    </w:p>
    <w:p>
      <w:pPr>
        <w:snapToGrid w:val="0"/>
        <w:spacing w:line="360" w:lineRule="auto"/>
        <w:jc w:val="center"/>
        <w:rPr>
          <w:rFonts w:ascii="宋体" w:hAnsi="宋体"/>
          <w:b/>
          <w:bCs/>
          <w:color w:val="auto"/>
          <w:sz w:val="44"/>
          <w:szCs w:val="44"/>
          <w:highlight w:val="none"/>
        </w:rPr>
      </w:pPr>
    </w:p>
    <w:p>
      <w:pPr>
        <w:snapToGrid w:val="0"/>
        <w:spacing w:line="360" w:lineRule="auto"/>
        <w:jc w:val="center"/>
        <w:rPr>
          <w:rFonts w:ascii="宋体" w:hAnsi="宋体"/>
          <w:b/>
          <w:bCs/>
          <w:color w:val="auto"/>
          <w:sz w:val="44"/>
          <w:szCs w:val="44"/>
          <w:highlight w:val="none"/>
        </w:rPr>
      </w:pPr>
    </w:p>
    <w:p>
      <w:pPr>
        <w:snapToGrid w:val="0"/>
        <w:spacing w:line="360" w:lineRule="auto"/>
        <w:jc w:val="center"/>
        <w:rPr>
          <w:rFonts w:ascii="宋体" w:hAnsi="宋体"/>
          <w:b/>
          <w:bCs/>
          <w:color w:val="auto"/>
          <w:sz w:val="44"/>
          <w:szCs w:val="44"/>
          <w:highlight w:val="none"/>
        </w:rPr>
      </w:pPr>
    </w:p>
    <w:p>
      <w:pPr>
        <w:snapToGrid w:val="0"/>
        <w:spacing w:line="360" w:lineRule="auto"/>
        <w:jc w:val="center"/>
        <w:rPr>
          <w:rFonts w:ascii="宋体" w:hAnsi="宋体"/>
          <w:b/>
          <w:bCs/>
          <w:color w:val="auto"/>
          <w:sz w:val="44"/>
          <w:szCs w:val="44"/>
          <w:highlight w:val="none"/>
        </w:rPr>
      </w:pPr>
    </w:p>
    <w:p>
      <w:pPr>
        <w:rPr>
          <w:rFonts w:ascii="宋体" w:hAnsi="宋体"/>
          <w:b/>
          <w:bCs/>
          <w:color w:val="auto"/>
          <w:sz w:val="44"/>
          <w:szCs w:val="44"/>
          <w:highlight w:val="none"/>
        </w:rPr>
      </w:pPr>
    </w:p>
    <w:p>
      <w:pPr>
        <w:pStyle w:val="20"/>
        <w:rPr>
          <w:rFonts w:ascii="宋体" w:hAnsi="宋体"/>
          <w:b/>
          <w:bCs/>
          <w:color w:val="auto"/>
          <w:sz w:val="44"/>
          <w:szCs w:val="44"/>
          <w:highlight w:val="none"/>
        </w:rPr>
      </w:pPr>
    </w:p>
    <w:p>
      <w:pPr>
        <w:rPr>
          <w:rFonts w:ascii="宋体" w:hAnsi="宋体"/>
          <w:b/>
          <w:bCs/>
          <w:color w:val="auto"/>
          <w:sz w:val="44"/>
          <w:szCs w:val="44"/>
          <w:highlight w:val="none"/>
        </w:rPr>
      </w:pPr>
    </w:p>
    <w:p>
      <w:pPr>
        <w:pStyle w:val="20"/>
        <w:rPr>
          <w:color w:val="auto"/>
          <w:highlight w:val="none"/>
        </w:rPr>
      </w:pPr>
    </w:p>
    <w:p>
      <w:pPr>
        <w:snapToGrid w:val="0"/>
        <w:spacing w:line="360" w:lineRule="auto"/>
        <w:jc w:val="center"/>
        <w:outlineLvl w:val="0"/>
        <w:rPr>
          <w:rFonts w:ascii="宋体" w:hAnsi="宋体"/>
          <w:b/>
          <w:color w:val="auto"/>
          <w:sz w:val="44"/>
          <w:highlight w:val="none"/>
        </w:rPr>
      </w:pPr>
      <w:bookmarkStart w:id="83" w:name="_Toc15029"/>
      <w:bookmarkStart w:id="84" w:name="_Toc9571"/>
      <w:r>
        <w:rPr>
          <w:rFonts w:hint="eastAsia" w:ascii="宋体" w:hAnsi="宋体"/>
          <w:b/>
          <w:bCs/>
          <w:color w:val="auto"/>
          <w:sz w:val="44"/>
          <w:szCs w:val="44"/>
          <w:highlight w:val="none"/>
        </w:rPr>
        <w:t>第四章</w:t>
      </w:r>
      <w:r>
        <w:rPr>
          <w:rFonts w:hint="eastAsia" w:ascii="宋体" w:hAnsi="宋体"/>
          <w:b/>
          <w:bCs/>
          <w:color w:val="auto"/>
          <w:sz w:val="44"/>
          <w:szCs w:val="44"/>
          <w:highlight w:val="none"/>
          <w:lang w:val="en-US" w:eastAsia="zh-CN"/>
        </w:rPr>
        <w:t xml:space="preserve">   </w:t>
      </w:r>
      <w:r>
        <w:rPr>
          <w:rFonts w:hint="eastAsia" w:ascii="宋体" w:hAnsi="宋体"/>
          <w:b/>
          <w:color w:val="auto"/>
          <w:sz w:val="44"/>
          <w:highlight w:val="none"/>
        </w:rPr>
        <w:t>投标文件格式</w:t>
      </w:r>
      <w:bookmarkEnd w:id="83"/>
      <w:bookmarkEnd w:id="84"/>
    </w:p>
    <w:p>
      <w:pPr>
        <w:spacing w:line="360" w:lineRule="auto"/>
        <w:ind w:firstLine="442" w:firstLineChars="100"/>
        <w:jc w:val="center"/>
        <w:rPr>
          <w:rFonts w:hint="eastAsia" w:ascii="宋体" w:hAnsi="宋体" w:eastAsia="宋体"/>
          <w:b/>
          <w:color w:val="auto"/>
          <w:sz w:val="36"/>
          <w:szCs w:val="36"/>
          <w:highlight w:val="none"/>
          <w:lang w:eastAsia="zh-CN"/>
        </w:rPr>
      </w:pPr>
      <w:r>
        <w:rPr>
          <w:rFonts w:ascii="宋体" w:hAnsi="宋体"/>
          <w:b/>
          <w:color w:val="auto"/>
          <w:sz w:val="44"/>
          <w:highlight w:val="none"/>
        </w:rPr>
        <w:br w:type="page"/>
      </w:r>
      <w:r>
        <w:rPr>
          <w:rFonts w:hint="eastAsia" w:ascii="宋体" w:hAnsi="宋体"/>
          <w:color w:val="auto"/>
          <w:sz w:val="36"/>
          <w:szCs w:val="36"/>
          <w:highlight w:val="none"/>
        </w:rPr>
        <w:t>一、投标函格式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招标人</w:t>
      </w:r>
      <w:r>
        <w:rPr>
          <w:rFonts w:hint="eastAsia" w:ascii="宋体" w:hAnsi="宋体"/>
          <w:color w:val="auto"/>
          <w:sz w:val="24"/>
          <w:highlight w:val="none"/>
          <w:u w:val="single"/>
        </w:rPr>
        <w:t>、采购代理机构）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eastAsia="宋体" w:cs="宋体"/>
          <w:color w:val="auto"/>
          <w:kern w:val="2"/>
          <w:sz w:val="24"/>
          <w:szCs w:val="22"/>
          <w:highlight w:val="none"/>
          <w:lang w:val="en-US" w:eastAsia="zh-CN" w:bidi="ar"/>
        </w:rPr>
        <w:t>根据贵方</w:t>
      </w:r>
      <w:r>
        <w:rPr>
          <w:rFonts w:hint="eastAsia" w:ascii="宋体" w:hAnsi="宋体" w:eastAsia="宋体" w:cs="宋体"/>
          <w:color w:val="auto"/>
          <w:kern w:val="2"/>
          <w:sz w:val="24"/>
          <w:szCs w:val="22"/>
          <w:highlight w:val="none"/>
          <w:u w:val="single"/>
          <w:lang w:val="en-US" w:eastAsia="zh-CN" w:bidi="ar"/>
        </w:rPr>
        <w:t>（招标项目名称）（招标编号）</w:t>
      </w:r>
      <w:r>
        <w:rPr>
          <w:rFonts w:hint="eastAsia" w:ascii="宋体" w:hAnsi="宋体" w:eastAsia="宋体" w:cs="宋体"/>
          <w:color w:val="auto"/>
          <w:kern w:val="2"/>
          <w:sz w:val="24"/>
          <w:szCs w:val="22"/>
          <w:highlight w:val="none"/>
          <w:lang w:val="en-US" w:eastAsia="zh-CN" w:bidi="ar"/>
        </w:rPr>
        <w:t>，投标人代表</w:t>
      </w:r>
      <w:r>
        <w:rPr>
          <w:rFonts w:hint="eastAsia" w:ascii="宋体" w:hAnsi="宋体" w:eastAsia="宋体" w:cs="宋体"/>
          <w:color w:val="auto"/>
          <w:kern w:val="2"/>
          <w:sz w:val="24"/>
          <w:szCs w:val="22"/>
          <w:highlight w:val="none"/>
          <w:u w:val="single"/>
          <w:lang w:val="en-US" w:eastAsia="zh-CN" w:bidi="ar"/>
        </w:rPr>
        <w:t>（姓名、职务）</w:t>
      </w:r>
      <w:r>
        <w:rPr>
          <w:rFonts w:hint="eastAsia" w:ascii="宋体" w:hAnsi="宋体" w:eastAsia="宋体" w:cs="宋体"/>
          <w:color w:val="auto"/>
          <w:kern w:val="2"/>
          <w:sz w:val="24"/>
          <w:szCs w:val="22"/>
          <w:highlight w:val="none"/>
          <w:lang w:val="en-US" w:eastAsia="zh-CN" w:bidi="ar"/>
        </w:rPr>
        <w:t>经正式授权并代表投标人</w:t>
      </w:r>
      <w:r>
        <w:rPr>
          <w:rFonts w:hint="eastAsia" w:ascii="宋体" w:hAnsi="宋体" w:eastAsia="宋体" w:cs="宋体"/>
          <w:color w:val="auto"/>
          <w:kern w:val="2"/>
          <w:sz w:val="24"/>
          <w:szCs w:val="22"/>
          <w:highlight w:val="none"/>
          <w:u w:val="single"/>
          <w:lang w:val="en-US" w:eastAsia="zh-CN" w:bidi="ar"/>
        </w:rPr>
        <w:t>（投标人名称、地址）</w:t>
      </w:r>
      <w:r>
        <w:rPr>
          <w:rFonts w:hint="eastAsia" w:ascii="宋体" w:hAnsi="宋体" w:eastAsia="宋体" w:cs="宋体"/>
          <w:color w:val="auto"/>
          <w:kern w:val="2"/>
          <w:sz w:val="24"/>
          <w:szCs w:val="22"/>
          <w:highlight w:val="none"/>
          <w:lang w:val="en-US" w:eastAsia="zh-CN" w:bidi="ar"/>
        </w:rPr>
        <w:t>提交下述文件。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完</w:t>
      </w:r>
      <w:r>
        <w:rPr>
          <w:rFonts w:ascii="宋体" w:hAnsi="宋体"/>
          <w:color w:val="auto"/>
          <w:sz w:val="24"/>
          <w:highlight w:val="none"/>
        </w:rPr>
        <w:t>全理解招标文件的内容，决定投</w:t>
      </w:r>
      <w:r>
        <w:rPr>
          <w:rFonts w:hint="eastAsia" w:ascii="宋体" w:hAnsi="宋体"/>
          <w:color w:val="auto"/>
          <w:sz w:val="24"/>
          <w:highlight w:val="none"/>
        </w:rPr>
        <w:t>标</w:t>
      </w:r>
      <w:r>
        <w:rPr>
          <w:rFonts w:ascii="宋体" w:hAnsi="宋体"/>
          <w:color w:val="auto"/>
          <w:sz w:val="24"/>
          <w:highlight w:val="none"/>
        </w:rPr>
        <w:t>本项目，据此</w:t>
      </w:r>
      <w:r>
        <w:rPr>
          <w:rFonts w:hint="eastAsia" w:ascii="宋体" w:hAnsi="宋体"/>
          <w:color w:val="auto"/>
          <w:sz w:val="24"/>
          <w:highlight w:val="none"/>
        </w:rPr>
        <w:t>我</w:t>
      </w:r>
      <w:r>
        <w:rPr>
          <w:rFonts w:ascii="宋体" w:hAnsi="宋体"/>
          <w:color w:val="auto"/>
          <w:sz w:val="24"/>
          <w:highlight w:val="none"/>
        </w:rPr>
        <w:t>方</w:t>
      </w:r>
      <w:r>
        <w:rPr>
          <w:rFonts w:hint="eastAsia" w:ascii="宋体" w:hAnsi="宋体"/>
          <w:color w:val="auto"/>
          <w:sz w:val="24"/>
          <w:highlight w:val="none"/>
        </w:rPr>
        <w:t>承诺如</w:t>
      </w:r>
      <w:r>
        <w:rPr>
          <w:rFonts w:ascii="宋体" w:hAnsi="宋体"/>
          <w:color w:val="auto"/>
          <w:sz w:val="24"/>
          <w:highlight w:val="none"/>
        </w:rPr>
        <w:t>下：</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ind w:left="240" w:hanging="240" w:hangingChars="100"/>
        <w:textAlignment w:val="auto"/>
        <w:rPr>
          <w:rFonts w:ascii="宋体" w:hAnsi="宋体"/>
          <w:color w:val="auto"/>
          <w:sz w:val="24"/>
          <w:highlight w:val="none"/>
        </w:rPr>
      </w:pPr>
      <w:r>
        <w:rPr>
          <w:rFonts w:hint="eastAsia" w:ascii="宋体" w:hAnsi="宋体"/>
          <w:color w:val="auto"/>
          <w:sz w:val="24"/>
          <w:highlight w:val="none"/>
        </w:rPr>
        <w:t>1.我方承诺，我方完全具备本项目招标文件规定的投标人须满足的特定条件。</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ind w:left="240" w:hanging="240" w:hangingChars="1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宋体"/>
          <w:color w:val="auto"/>
          <w:kern w:val="2"/>
          <w:sz w:val="24"/>
          <w:szCs w:val="22"/>
          <w:highlight w:val="none"/>
          <w:lang w:val="en-US" w:eastAsia="zh-CN" w:bidi="ar"/>
        </w:rPr>
        <w:t>所附投标价格表中规定的应提交和交付的服务投标</w:t>
      </w:r>
      <w:r>
        <w:rPr>
          <w:rFonts w:hint="eastAsia" w:ascii="宋体" w:hAnsi="宋体"/>
          <w:color w:val="auto"/>
          <w:sz w:val="24"/>
          <w:highlight w:val="none"/>
          <w:lang w:eastAsia="zh-CN"/>
        </w:rPr>
        <w:t>单价</w:t>
      </w:r>
      <w:r>
        <w:rPr>
          <w:rFonts w:hint="eastAsia" w:ascii="宋体" w:hAnsi="宋体"/>
          <w:color w:val="auto"/>
          <w:sz w:val="24"/>
          <w:highlight w:val="none"/>
          <w:lang w:val="en-US" w:eastAsia="zh-CN"/>
        </w:rPr>
        <w:t>港杂费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元</w:t>
      </w:r>
      <w:r>
        <w:rPr>
          <w:rFonts w:hint="eastAsia" w:ascii="宋体" w:hAnsi="宋体"/>
          <w:color w:val="auto"/>
          <w:sz w:val="24"/>
          <w:highlight w:val="none"/>
        </w:rPr>
        <w:t>/吨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含税</w:t>
      </w:r>
      <w:r>
        <w:rPr>
          <w:rFonts w:hint="eastAsia" w:ascii="宋体" w:hAnsi="宋体"/>
          <w:color w:val="auto"/>
          <w:sz w:val="24"/>
          <w:highlight w:val="none"/>
          <w:lang w:eastAsia="zh-CN"/>
        </w:rPr>
        <w:t>）</w:t>
      </w:r>
      <w:r>
        <w:rPr>
          <w:rFonts w:hint="eastAsia" w:ascii="宋体" w:hAnsi="宋体"/>
          <w:color w:val="auto"/>
          <w:sz w:val="24"/>
          <w:highlight w:val="none"/>
        </w:rPr>
        <w:t>为招标人提供本项目服务。</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ind w:left="240" w:hanging="240" w:hangingChars="100"/>
        <w:textAlignment w:val="auto"/>
        <w:rPr>
          <w:rFonts w:ascii="宋体" w:hAnsi="宋体"/>
          <w:color w:val="auto"/>
          <w:sz w:val="24"/>
          <w:highlight w:val="none"/>
        </w:rPr>
      </w:pPr>
      <w:r>
        <w:rPr>
          <w:rFonts w:hint="eastAsia" w:ascii="宋体" w:hAnsi="宋体"/>
          <w:color w:val="auto"/>
          <w:sz w:val="24"/>
          <w:highlight w:val="none"/>
        </w:rPr>
        <w:t>3.我</w:t>
      </w:r>
      <w:r>
        <w:rPr>
          <w:rFonts w:ascii="宋体" w:hAnsi="宋体"/>
          <w:color w:val="auto"/>
          <w:sz w:val="24"/>
          <w:highlight w:val="none"/>
        </w:rPr>
        <w:t>方</w:t>
      </w:r>
      <w:r>
        <w:rPr>
          <w:rFonts w:hint="eastAsia" w:ascii="宋体" w:hAnsi="宋体"/>
          <w:color w:val="auto"/>
          <w:sz w:val="24"/>
          <w:highlight w:val="none"/>
        </w:rPr>
        <w:t>已仔细</w:t>
      </w:r>
      <w:r>
        <w:rPr>
          <w:rFonts w:ascii="宋体" w:hAnsi="宋体"/>
          <w:color w:val="auto"/>
          <w:sz w:val="24"/>
          <w:highlight w:val="none"/>
        </w:rPr>
        <w:t>研究</w:t>
      </w:r>
      <w:r>
        <w:rPr>
          <w:rFonts w:hint="eastAsia" w:ascii="宋体" w:hAnsi="宋体"/>
          <w:color w:val="auto"/>
          <w:sz w:val="24"/>
          <w:highlight w:val="none"/>
        </w:rPr>
        <w:t>并完</w:t>
      </w:r>
      <w:r>
        <w:rPr>
          <w:rFonts w:ascii="宋体" w:hAnsi="宋体"/>
          <w:color w:val="auto"/>
          <w:sz w:val="24"/>
          <w:highlight w:val="none"/>
        </w:rPr>
        <w:t>全理解了</w:t>
      </w:r>
      <w:r>
        <w:rPr>
          <w:rFonts w:hint="eastAsia" w:ascii="宋体" w:hAnsi="宋体"/>
          <w:color w:val="auto"/>
          <w:sz w:val="24"/>
          <w:highlight w:val="none"/>
        </w:rPr>
        <w:t>全部招标文件（</w:t>
      </w:r>
      <w:r>
        <w:rPr>
          <w:rFonts w:ascii="宋体" w:hAnsi="宋体"/>
          <w:color w:val="auto"/>
          <w:sz w:val="24"/>
          <w:highlight w:val="none"/>
        </w:rPr>
        <w:t>包括</w:t>
      </w:r>
      <w:r>
        <w:rPr>
          <w:rFonts w:hint="eastAsia" w:ascii="宋体" w:hAnsi="宋体"/>
          <w:color w:val="auto"/>
          <w:sz w:val="24"/>
          <w:highlight w:val="none"/>
        </w:rPr>
        <w:t>修改</w:t>
      </w:r>
      <w:r>
        <w:rPr>
          <w:rFonts w:ascii="宋体" w:hAnsi="宋体"/>
          <w:color w:val="auto"/>
          <w:sz w:val="24"/>
          <w:highlight w:val="none"/>
        </w:rPr>
        <w:t>文</w:t>
      </w:r>
      <w:r>
        <w:rPr>
          <w:rFonts w:hint="eastAsia" w:ascii="宋体" w:hAnsi="宋体"/>
          <w:color w:val="auto"/>
          <w:sz w:val="24"/>
          <w:highlight w:val="none"/>
        </w:rPr>
        <w:t>件、</w:t>
      </w:r>
      <w:r>
        <w:rPr>
          <w:rFonts w:ascii="宋体" w:hAnsi="宋体"/>
          <w:color w:val="auto"/>
          <w:sz w:val="24"/>
          <w:highlight w:val="none"/>
        </w:rPr>
        <w:t>附件等相关资料）</w:t>
      </w:r>
      <w:r>
        <w:rPr>
          <w:rFonts w:hint="eastAsia" w:ascii="宋体" w:hAnsi="宋体"/>
          <w:color w:val="auto"/>
          <w:sz w:val="24"/>
          <w:highlight w:val="none"/>
        </w:rPr>
        <w:t>规定的</w:t>
      </w:r>
      <w:r>
        <w:rPr>
          <w:rFonts w:ascii="宋体" w:hAnsi="宋体"/>
          <w:color w:val="auto"/>
          <w:sz w:val="24"/>
          <w:highlight w:val="none"/>
        </w:rPr>
        <w:t>内容</w:t>
      </w:r>
      <w:r>
        <w:rPr>
          <w:rFonts w:hint="eastAsia" w:ascii="宋体" w:hAnsi="宋体"/>
          <w:color w:val="auto"/>
          <w:sz w:val="24"/>
          <w:highlight w:val="none"/>
        </w:rPr>
        <w:t>，并</w:t>
      </w:r>
      <w:r>
        <w:rPr>
          <w:rFonts w:ascii="宋体" w:hAnsi="宋体"/>
          <w:color w:val="auto"/>
          <w:sz w:val="24"/>
          <w:highlight w:val="none"/>
        </w:rPr>
        <w:t>承诺在发生争议时，不会以对招标文件存在误解、不明为由，向</w:t>
      </w:r>
      <w:r>
        <w:rPr>
          <w:rFonts w:hint="eastAsia" w:ascii="宋体" w:hAnsi="宋体"/>
          <w:color w:val="auto"/>
          <w:sz w:val="24"/>
          <w:highlight w:val="none"/>
          <w:lang w:eastAsia="zh-CN"/>
        </w:rPr>
        <w:t>招标人</w:t>
      </w:r>
      <w:r>
        <w:rPr>
          <w:rFonts w:ascii="宋体" w:hAnsi="宋体"/>
          <w:color w:val="auto"/>
          <w:sz w:val="24"/>
          <w:highlight w:val="none"/>
        </w:rPr>
        <w:t>及采购代理机构</w:t>
      </w:r>
      <w:r>
        <w:rPr>
          <w:rFonts w:hint="eastAsia" w:ascii="宋体" w:hAnsi="宋体"/>
          <w:color w:val="auto"/>
          <w:sz w:val="24"/>
          <w:highlight w:val="none"/>
        </w:rPr>
        <w:t>行使</w:t>
      </w:r>
      <w:r>
        <w:rPr>
          <w:rFonts w:ascii="宋体" w:hAnsi="宋体"/>
          <w:color w:val="auto"/>
          <w:sz w:val="24"/>
          <w:highlight w:val="none"/>
        </w:rPr>
        <w:t>任何法</w:t>
      </w:r>
      <w:bookmarkStart w:id="91" w:name="_GoBack"/>
      <w:bookmarkEnd w:id="91"/>
      <w:r>
        <w:rPr>
          <w:rFonts w:ascii="宋体" w:hAnsi="宋体"/>
          <w:color w:val="auto"/>
          <w:sz w:val="24"/>
          <w:highlight w:val="none"/>
        </w:rPr>
        <w:t>律上的抗辩权。</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4.本投标有效期为自开标日起</w:t>
      </w:r>
      <w:r>
        <w:rPr>
          <w:rFonts w:hint="eastAsia" w:ascii="宋体" w:hAnsi="宋体"/>
          <w:color w:val="auto"/>
          <w:sz w:val="24"/>
          <w:highlight w:val="none"/>
          <w:u w:val="single"/>
        </w:rPr>
        <w:t xml:space="preserve">  90  </w:t>
      </w:r>
      <w:r>
        <w:rPr>
          <w:rFonts w:hint="eastAsia" w:ascii="宋体" w:hAnsi="宋体"/>
          <w:color w:val="auto"/>
          <w:sz w:val="24"/>
          <w:highlight w:val="none"/>
        </w:rPr>
        <w:t>个日历日。</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服务期限</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textAlignment w:val="auto"/>
        <w:rPr>
          <w:rFonts w:ascii="宋体" w:hAnsi="宋体"/>
          <w:color w:val="auto"/>
          <w:sz w:val="24"/>
          <w:highlight w:val="none"/>
        </w:rPr>
      </w:pPr>
      <w:r>
        <w:rPr>
          <w:rFonts w:hint="eastAsia" w:ascii="宋体" w:hAnsi="宋体"/>
          <w:color w:val="auto"/>
          <w:sz w:val="24"/>
          <w:highlight w:val="none"/>
        </w:rPr>
        <w:t>6.我</w:t>
      </w:r>
      <w:r>
        <w:rPr>
          <w:rFonts w:ascii="宋体" w:hAnsi="宋体"/>
          <w:color w:val="auto"/>
          <w:sz w:val="24"/>
          <w:highlight w:val="none"/>
        </w:rPr>
        <w:t>方已按</w:t>
      </w:r>
      <w:r>
        <w:rPr>
          <w:rFonts w:hint="eastAsia" w:ascii="宋体" w:hAnsi="宋体"/>
          <w:color w:val="auto"/>
          <w:sz w:val="24"/>
          <w:highlight w:val="none"/>
        </w:rPr>
        <w:t>招标</w:t>
      </w:r>
      <w:r>
        <w:rPr>
          <w:rFonts w:ascii="宋体" w:hAnsi="宋体"/>
          <w:color w:val="auto"/>
          <w:sz w:val="24"/>
          <w:highlight w:val="none"/>
        </w:rPr>
        <w:t>文件规定交纳了投标保证金</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完全理解、同意并接受当发生招标文件及法律</w:t>
      </w:r>
      <w:r>
        <w:rPr>
          <w:rFonts w:ascii="宋体" w:hAnsi="宋体"/>
          <w:color w:val="auto"/>
          <w:sz w:val="24"/>
          <w:highlight w:val="none"/>
        </w:rPr>
        <w:t>、法规</w:t>
      </w:r>
      <w:r>
        <w:rPr>
          <w:rFonts w:hint="eastAsia" w:ascii="宋体" w:hAnsi="宋体"/>
          <w:color w:val="auto"/>
          <w:sz w:val="24"/>
          <w:highlight w:val="none"/>
        </w:rPr>
        <w:t>等</w:t>
      </w:r>
      <w:r>
        <w:rPr>
          <w:rFonts w:ascii="宋体" w:hAnsi="宋体"/>
          <w:color w:val="auto"/>
          <w:sz w:val="24"/>
          <w:highlight w:val="none"/>
        </w:rPr>
        <w:t>法律</w:t>
      </w:r>
      <w:r>
        <w:rPr>
          <w:rFonts w:hint="eastAsia" w:ascii="宋体" w:hAnsi="宋体"/>
          <w:color w:val="auto"/>
          <w:sz w:val="24"/>
          <w:highlight w:val="none"/>
        </w:rPr>
        <w:t>规范</w:t>
      </w:r>
      <w:r>
        <w:rPr>
          <w:rFonts w:ascii="宋体" w:hAnsi="宋体"/>
          <w:color w:val="auto"/>
          <w:sz w:val="24"/>
          <w:highlight w:val="none"/>
        </w:rPr>
        <w:t>性文件</w:t>
      </w:r>
      <w:r>
        <w:rPr>
          <w:rFonts w:hint="eastAsia" w:ascii="宋体" w:hAnsi="宋体"/>
          <w:color w:val="auto"/>
          <w:sz w:val="24"/>
          <w:highlight w:val="none"/>
        </w:rPr>
        <w:t>规定的可以不退还投标保证金情形时，我</w:t>
      </w:r>
      <w:r>
        <w:rPr>
          <w:rFonts w:ascii="宋体" w:hAnsi="宋体"/>
          <w:color w:val="auto"/>
          <w:sz w:val="24"/>
          <w:highlight w:val="none"/>
        </w:rPr>
        <w:t>方</w:t>
      </w:r>
      <w:r>
        <w:rPr>
          <w:rFonts w:hint="eastAsia" w:ascii="宋体" w:hAnsi="宋体"/>
          <w:color w:val="auto"/>
          <w:sz w:val="24"/>
          <w:highlight w:val="none"/>
        </w:rPr>
        <w:t>所交纳的投标保证金将不被退还。</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ind w:left="240" w:hanging="240" w:hanging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7.我方承诺</w:t>
      </w:r>
      <w:r>
        <w:rPr>
          <w:rFonts w:ascii="宋体" w:hAnsi="宋体"/>
          <w:color w:val="auto"/>
          <w:sz w:val="24"/>
          <w:highlight w:val="none"/>
        </w:rPr>
        <w:t>投</w:t>
      </w:r>
      <w:r>
        <w:rPr>
          <w:rFonts w:hint="eastAsia" w:ascii="宋体" w:hAnsi="宋体"/>
          <w:color w:val="auto"/>
          <w:sz w:val="24"/>
          <w:highlight w:val="none"/>
        </w:rPr>
        <w:t>标</w:t>
      </w:r>
      <w:r>
        <w:rPr>
          <w:rFonts w:ascii="宋体" w:hAnsi="宋体"/>
          <w:color w:val="auto"/>
          <w:sz w:val="24"/>
          <w:highlight w:val="none"/>
        </w:rPr>
        <w:t>文件</w:t>
      </w:r>
      <w:r>
        <w:rPr>
          <w:rFonts w:hint="eastAsia" w:ascii="宋体" w:hAnsi="宋体"/>
          <w:color w:val="auto"/>
          <w:sz w:val="24"/>
          <w:highlight w:val="none"/>
        </w:rPr>
        <w:t>及所</w:t>
      </w:r>
      <w:r>
        <w:rPr>
          <w:rFonts w:ascii="宋体" w:hAnsi="宋体"/>
          <w:color w:val="auto"/>
          <w:sz w:val="24"/>
          <w:highlight w:val="none"/>
        </w:rPr>
        <w:t>有提供的一切数据或资料均</w:t>
      </w:r>
      <w:r>
        <w:rPr>
          <w:rFonts w:hint="eastAsia" w:ascii="宋体" w:hAnsi="宋体"/>
          <w:color w:val="auto"/>
          <w:sz w:val="24"/>
          <w:highlight w:val="none"/>
        </w:rPr>
        <w:t>真实</w:t>
      </w:r>
      <w:r>
        <w:rPr>
          <w:rFonts w:ascii="宋体" w:hAnsi="宋体"/>
          <w:color w:val="auto"/>
          <w:sz w:val="24"/>
          <w:highlight w:val="none"/>
        </w:rPr>
        <w:t>、</w:t>
      </w:r>
      <w:r>
        <w:rPr>
          <w:rFonts w:hint="eastAsia" w:ascii="宋体" w:hAnsi="宋体"/>
          <w:color w:val="auto"/>
          <w:sz w:val="24"/>
          <w:highlight w:val="none"/>
        </w:rPr>
        <w:t>准确</w:t>
      </w:r>
      <w:r>
        <w:rPr>
          <w:rFonts w:ascii="宋体" w:hAnsi="宋体"/>
          <w:color w:val="auto"/>
          <w:sz w:val="24"/>
          <w:highlight w:val="none"/>
        </w:rPr>
        <w:t>、合法、有效</w:t>
      </w:r>
      <w:r>
        <w:rPr>
          <w:rFonts w:hint="eastAsia" w:ascii="宋体" w:hAnsi="宋体"/>
          <w:color w:val="auto"/>
          <w:sz w:val="24"/>
          <w:highlight w:val="none"/>
        </w:rPr>
        <w:t>。由于</w:t>
      </w:r>
      <w:r>
        <w:rPr>
          <w:rFonts w:ascii="宋体" w:hAnsi="宋体"/>
          <w:color w:val="auto"/>
          <w:sz w:val="24"/>
          <w:highlight w:val="none"/>
        </w:rPr>
        <w:t>我方提供的资料不实而</w:t>
      </w:r>
      <w:r>
        <w:rPr>
          <w:rFonts w:hint="eastAsia" w:ascii="宋体" w:hAnsi="宋体"/>
          <w:color w:val="auto"/>
          <w:sz w:val="24"/>
          <w:highlight w:val="none"/>
        </w:rPr>
        <w:t>导致</w:t>
      </w:r>
      <w:r>
        <w:rPr>
          <w:rFonts w:ascii="宋体" w:hAnsi="宋体"/>
          <w:color w:val="auto"/>
          <w:sz w:val="24"/>
          <w:highlight w:val="none"/>
        </w:rPr>
        <w:t>中标结果无</w:t>
      </w:r>
      <w:r>
        <w:rPr>
          <w:rFonts w:hint="eastAsia" w:ascii="宋体" w:hAnsi="宋体"/>
          <w:color w:val="auto"/>
          <w:sz w:val="24"/>
          <w:highlight w:val="none"/>
        </w:rPr>
        <w:t>效，</w:t>
      </w:r>
      <w:r>
        <w:rPr>
          <w:rFonts w:ascii="宋体" w:hAnsi="宋体"/>
          <w:color w:val="auto"/>
          <w:sz w:val="24"/>
          <w:highlight w:val="none"/>
        </w:rPr>
        <w:t>给其他</w:t>
      </w:r>
      <w:r>
        <w:rPr>
          <w:rFonts w:hint="eastAsia" w:ascii="宋体" w:hAnsi="宋体"/>
          <w:color w:val="auto"/>
          <w:sz w:val="24"/>
          <w:highlight w:val="none"/>
          <w:lang w:eastAsia="zh-CN"/>
        </w:rPr>
        <w:t>投标人</w:t>
      </w:r>
      <w:r>
        <w:rPr>
          <w:rFonts w:ascii="宋体" w:hAnsi="宋体"/>
          <w:color w:val="auto"/>
          <w:sz w:val="24"/>
          <w:highlight w:val="none"/>
        </w:rPr>
        <w:t>及</w:t>
      </w:r>
      <w:r>
        <w:rPr>
          <w:rFonts w:hint="eastAsia" w:ascii="宋体" w:hAnsi="宋体"/>
          <w:color w:val="auto"/>
          <w:sz w:val="24"/>
          <w:highlight w:val="none"/>
          <w:lang w:eastAsia="zh-CN"/>
        </w:rPr>
        <w:t>招标人</w:t>
      </w:r>
      <w:r>
        <w:rPr>
          <w:rFonts w:ascii="宋体" w:hAnsi="宋体"/>
          <w:color w:val="auto"/>
          <w:sz w:val="24"/>
          <w:highlight w:val="none"/>
        </w:rPr>
        <w:t>造成的全部损失，我方同意无条件予以赔偿。</w:t>
      </w:r>
      <w:r>
        <w:rPr>
          <w:rFonts w:hint="eastAsia" w:ascii="宋体" w:hAnsi="宋体"/>
          <w:color w:val="auto"/>
          <w:sz w:val="24"/>
          <w:highlight w:val="none"/>
          <w:lang w:val="en-US" w:eastAsia="zh-CN"/>
        </w:rPr>
        <w:t xml:space="preserve">   </w:t>
      </w:r>
    </w:p>
    <w:p>
      <w:pPr>
        <w:keepNext w:val="0"/>
        <w:keepLines w:val="0"/>
        <w:pageBreakBefore w:val="0"/>
        <w:widowControl w:val="0"/>
        <w:tabs>
          <w:tab w:val="left" w:pos="0"/>
          <w:tab w:val="left" w:pos="560"/>
        </w:tabs>
        <w:kinsoku/>
        <w:wordWrap/>
        <w:overflowPunct/>
        <w:topLinePunct w:val="0"/>
        <w:autoSpaceDE/>
        <w:autoSpaceDN/>
        <w:bidi w:val="0"/>
        <w:adjustRightInd/>
        <w:snapToGrid/>
        <w:spacing w:line="400" w:lineRule="exact"/>
        <w:ind w:left="240" w:hanging="240" w:hangingChars="100"/>
        <w:textAlignment w:val="auto"/>
        <w:rPr>
          <w:rFonts w:ascii="宋体" w:hAnsi="宋体"/>
          <w:color w:val="auto"/>
          <w:sz w:val="24"/>
          <w:highlight w:val="none"/>
        </w:rPr>
      </w:pPr>
      <w:r>
        <w:rPr>
          <w:rFonts w:hint="eastAsia" w:ascii="宋体" w:hAnsi="宋体"/>
          <w:color w:val="auto"/>
          <w:sz w:val="24"/>
          <w:highlight w:val="none"/>
        </w:rPr>
        <w:t>8.我方投</w:t>
      </w:r>
      <w:r>
        <w:rPr>
          <w:rFonts w:ascii="宋体" w:hAnsi="宋体"/>
          <w:color w:val="auto"/>
          <w:sz w:val="24"/>
          <w:highlight w:val="none"/>
        </w:rPr>
        <w:t>标文件</w:t>
      </w:r>
      <w:r>
        <w:rPr>
          <w:rFonts w:hint="eastAsia" w:ascii="宋体" w:hAnsi="宋体"/>
          <w:color w:val="auto"/>
          <w:sz w:val="24"/>
          <w:highlight w:val="none"/>
        </w:rPr>
        <w:t>、你</w:t>
      </w:r>
      <w:r>
        <w:rPr>
          <w:rFonts w:ascii="宋体" w:hAnsi="宋体"/>
          <w:color w:val="auto"/>
          <w:sz w:val="24"/>
          <w:highlight w:val="none"/>
        </w:rPr>
        <w:t>方的中标通知书、</w:t>
      </w:r>
      <w:r>
        <w:rPr>
          <w:rFonts w:hint="eastAsia" w:ascii="宋体" w:hAnsi="宋体"/>
          <w:color w:val="auto"/>
          <w:sz w:val="24"/>
          <w:highlight w:val="none"/>
        </w:rPr>
        <w:t>招标</w:t>
      </w:r>
      <w:r>
        <w:rPr>
          <w:rFonts w:ascii="宋体" w:hAnsi="宋体"/>
          <w:color w:val="auto"/>
          <w:sz w:val="24"/>
          <w:highlight w:val="none"/>
        </w:rPr>
        <w:t>文件将成为约束双方的合同文件组成部分，若招标文件存在要求，而</w:t>
      </w:r>
      <w:r>
        <w:rPr>
          <w:rFonts w:hint="eastAsia" w:ascii="宋体" w:hAnsi="宋体"/>
          <w:color w:val="auto"/>
          <w:sz w:val="24"/>
          <w:highlight w:val="none"/>
        </w:rPr>
        <w:t>投标</w:t>
      </w:r>
      <w:r>
        <w:rPr>
          <w:rFonts w:ascii="宋体" w:hAnsi="宋体"/>
          <w:color w:val="auto"/>
          <w:sz w:val="24"/>
          <w:highlight w:val="none"/>
        </w:rPr>
        <w:t>文件没有拒绝亦没有涉及的情形下，我方接受招标文件的</w:t>
      </w:r>
      <w:r>
        <w:rPr>
          <w:rFonts w:hint="eastAsia" w:ascii="宋体" w:hAnsi="宋体"/>
          <w:color w:val="auto"/>
          <w:sz w:val="24"/>
          <w:highlight w:val="none"/>
        </w:rPr>
        <w:t>有</w:t>
      </w:r>
      <w:r>
        <w:rPr>
          <w:rFonts w:ascii="宋体" w:hAnsi="宋体"/>
          <w:color w:val="auto"/>
          <w:sz w:val="24"/>
          <w:highlight w:val="none"/>
        </w:rPr>
        <w:t>关约束，并同意将招标文件对</w:t>
      </w:r>
      <w:r>
        <w:rPr>
          <w:rFonts w:hint="eastAsia" w:ascii="宋体" w:hAnsi="宋体"/>
          <w:color w:val="auto"/>
          <w:sz w:val="24"/>
          <w:highlight w:val="none"/>
          <w:lang w:eastAsia="zh-CN"/>
        </w:rPr>
        <w:t>投标人</w:t>
      </w:r>
      <w:r>
        <w:rPr>
          <w:rFonts w:ascii="宋体" w:hAnsi="宋体"/>
          <w:color w:val="auto"/>
          <w:sz w:val="24"/>
          <w:highlight w:val="none"/>
        </w:rPr>
        <w:t>的要求作为</w:t>
      </w:r>
      <w:r>
        <w:rPr>
          <w:rFonts w:hint="eastAsia" w:ascii="宋体" w:hAnsi="宋体"/>
          <w:color w:val="auto"/>
          <w:sz w:val="24"/>
          <w:highlight w:val="none"/>
          <w:lang w:eastAsia="zh-CN"/>
        </w:rPr>
        <w:t>投标人</w:t>
      </w:r>
      <w:r>
        <w:rPr>
          <w:rFonts w:ascii="宋体" w:hAnsi="宋体"/>
          <w:color w:val="auto"/>
          <w:sz w:val="24"/>
          <w:highlight w:val="none"/>
        </w:rPr>
        <w:t>合同义务的组成部分。</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textAlignment w:val="auto"/>
        <w:rPr>
          <w:rFonts w:ascii="宋体" w:hAnsi="宋体"/>
          <w:color w:val="auto"/>
          <w:sz w:val="24"/>
          <w:highlight w:val="none"/>
        </w:rPr>
      </w:pPr>
      <w:r>
        <w:rPr>
          <w:rFonts w:hint="eastAsia" w:ascii="宋体" w:hAnsi="宋体"/>
          <w:color w:val="auto"/>
          <w:sz w:val="24"/>
          <w:highlight w:val="none"/>
        </w:rPr>
        <w:t>9.我</w:t>
      </w:r>
      <w:r>
        <w:rPr>
          <w:rFonts w:ascii="宋体" w:hAnsi="宋体"/>
          <w:color w:val="auto"/>
          <w:sz w:val="24"/>
          <w:highlight w:val="none"/>
        </w:rPr>
        <w:t>方将严格遵</w:t>
      </w:r>
      <w:r>
        <w:rPr>
          <w:rFonts w:hint="eastAsia" w:ascii="宋体" w:hAnsi="宋体"/>
          <w:color w:val="auto"/>
          <w:sz w:val="24"/>
          <w:highlight w:val="none"/>
        </w:rPr>
        <w:t>守</w:t>
      </w:r>
      <w:r>
        <w:rPr>
          <w:rFonts w:ascii="宋体" w:hAnsi="宋体"/>
          <w:color w:val="auto"/>
          <w:sz w:val="24"/>
          <w:highlight w:val="none"/>
        </w:rPr>
        <w:t>政府采购</w:t>
      </w:r>
      <w:r>
        <w:rPr>
          <w:rFonts w:hint="eastAsia" w:ascii="宋体" w:hAnsi="宋体"/>
          <w:color w:val="auto"/>
          <w:sz w:val="24"/>
          <w:highlight w:val="none"/>
        </w:rPr>
        <w:t>法律</w:t>
      </w:r>
      <w:r>
        <w:rPr>
          <w:rFonts w:ascii="宋体" w:hAnsi="宋体"/>
          <w:color w:val="auto"/>
          <w:sz w:val="24"/>
          <w:highlight w:val="none"/>
        </w:rPr>
        <w:t>、法规等法律规范性文件的规定，若存在违法违规</w:t>
      </w:r>
      <w:r>
        <w:rPr>
          <w:rFonts w:hint="eastAsia" w:ascii="宋体" w:hAnsi="宋体"/>
          <w:color w:val="auto"/>
          <w:sz w:val="24"/>
          <w:highlight w:val="none"/>
        </w:rPr>
        <w:t>等</w:t>
      </w:r>
      <w:r>
        <w:rPr>
          <w:rFonts w:ascii="宋体" w:hAnsi="宋体"/>
          <w:color w:val="auto"/>
          <w:sz w:val="24"/>
          <w:highlight w:val="none"/>
        </w:rPr>
        <w:t>行为，将承担相应的法律</w:t>
      </w:r>
      <w:r>
        <w:rPr>
          <w:rFonts w:hint="eastAsia" w:ascii="宋体" w:hAnsi="宋体"/>
          <w:color w:val="auto"/>
          <w:sz w:val="24"/>
          <w:highlight w:val="none"/>
        </w:rPr>
        <w:t>责任</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ascii="宋体" w:hAnsi="宋体"/>
          <w:color w:val="auto"/>
          <w:sz w:val="24"/>
          <w:highlight w:val="none"/>
          <w:u w:val="single"/>
        </w:rPr>
      </w:pPr>
      <w:r>
        <w:rPr>
          <w:rFonts w:hint="eastAsia" w:ascii="宋体" w:hAnsi="宋体"/>
          <w:color w:val="auto"/>
          <w:sz w:val="24"/>
          <w:highlight w:val="none"/>
          <w:lang w:eastAsia="zh-CN"/>
        </w:rPr>
        <w:t>投标人</w:t>
      </w:r>
      <w:r>
        <w:rPr>
          <w:rFonts w:hint="eastAsia" w:ascii="宋体" w:hAnsi="宋体"/>
          <w:color w:val="auto"/>
          <w:sz w:val="24"/>
          <w:highlight w:val="none"/>
        </w:rPr>
        <w:t>名称（公章）：</w:t>
      </w:r>
    </w:p>
    <w:p>
      <w:pPr>
        <w:keepNext w:val="0"/>
        <w:keepLines w:val="0"/>
        <w:pageBreakBefore w:val="0"/>
        <w:widowControl w:val="0"/>
        <w:kinsoku/>
        <w:wordWrap/>
        <w:overflowPunct/>
        <w:topLinePunct w:val="0"/>
        <w:autoSpaceDE/>
        <w:autoSpaceDN/>
        <w:bidi w:val="0"/>
        <w:adjustRightInd/>
        <w:snapToGrid/>
        <w:spacing w:line="400" w:lineRule="exact"/>
        <w:ind w:left="900"/>
        <w:textAlignment w:val="auto"/>
        <w:rPr>
          <w:rFonts w:ascii="宋体" w:hAnsi="宋体"/>
          <w:color w:val="auto"/>
          <w:sz w:val="24"/>
          <w:highlight w:val="none"/>
        </w:rPr>
      </w:pPr>
      <w:r>
        <w:rPr>
          <w:rFonts w:hint="eastAsia" w:ascii="宋体" w:hAnsi="宋体"/>
          <w:color w:val="auto"/>
          <w:sz w:val="24"/>
          <w:highlight w:val="none"/>
        </w:rPr>
        <w:t>日期：年月日</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ascii="宋体" w:hAnsi="宋体"/>
          <w:color w:val="auto"/>
          <w:sz w:val="24"/>
          <w:highlight w:val="none"/>
        </w:rPr>
      </w:pPr>
      <w:r>
        <w:rPr>
          <w:rFonts w:hint="eastAsia" w:ascii="宋体" w:hAnsi="宋体"/>
          <w:color w:val="auto"/>
          <w:sz w:val="24"/>
          <w:highlight w:val="none"/>
          <w:lang w:eastAsia="zh-CN"/>
        </w:rPr>
        <w:t>投标人</w:t>
      </w:r>
      <w:r>
        <w:rPr>
          <w:rFonts w:hint="eastAsia" w:ascii="宋体" w:hAnsi="宋体"/>
          <w:color w:val="auto"/>
          <w:sz w:val="24"/>
          <w:highlight w:val="none"/>
        </w:rPr>
        <w:t>法定代表人或被授权人签字：</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ascii="宋体" w:hAnsi="宋体"/>
          <w:color w:val="auto"/>
          <w:sz w:val="24"/>
          <w:highlight w:val="none"/>
          <w:u w:val="single"/>
        </w:rPr>
      </w:pPr>
    </w:p>
    <w:p>
      <w:pPr>
        <w:spacing w:line="340" w:lineRule="exact"/>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1、</w:t>
      </w:r>
      <w:r>
        <w:rPr>
          <w:rFonts w:ascii="宋体" w:hAnsi="宋体"/>
          <w:b/>
          <w:color w:val="auto"/>
          <w:sz w:val="24"/>
          <w:highlight w:val="none"/>
        </w:rPr>
        <w:t>本格式文件内容不得擅自删改。</w:t>
      </w:r>
    </w:p>
    <w:p>
      <w:pPr>
        <w:spacing w:line="340" w:lineRule="exact"/>
        <w:ind w:firstLine="482" w:firstLineChars="200"/>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eastAsia="zh-CN"/>
        </w:rPr>
        <w:t>投标人</w:t>
      </w:r>
      <w:r>
        <w:rPr>
          <w:rFonts w:ascii="宋体" w:hAnsi="宋体"/>
          <w:b/>
          <w:color w:val="auto"/>
          <w:sz w:val="24"/>
          <w:highlight w:val="none"/>
        </w:rPr>
        <w:t>代表签字</w:t>
      </w:r>
      <w:r>
        <w:rPr>
          <w:rFonts w:hint="eastAsia" w:ascii="宋体" w:hAnsi="宋体"/>
          <w:b/>
          <w:color w:val="auto"/>
          <w:sz w:val="24"/>
          <w:highlight w:val="none"/>
        </w:rPr>
        <w:t>，</w:t>
      </w:r>
      <w:r>
        <w:rPr>
          <w:rFonts w:ascii="宋体" w:hAnsi="宋体"/>
          <w:b/>
          <w:color w:val="auto"/>
          <w:sz w:val="24"/>
          <w:highlight w:val="none"/>
        </w:rPr>
        <w:t>必须是亲笔签名。</w:t>
      </w:r>
    </w:p>
    <w:p>
      <w:pPr>
        <w:spacing w:line="340" w:lineRule="exact"/>
        <w:ind w:firstLine="482" w:firstLineChars="200"/>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b/>
          <w:color w:val="auto"/>
          <w:sz w:val="24"/>
          <w:highlight w:val="none"/>
          <w:lang w:eastAsia="zh-CN"/>
        </w:rPr>
        <w:t>投标人</w:t>
      </w:r>
      <w:r>
        <w:rPr>
          <w:rFonts w:ascii="宋体" w:hAnsi="宋体"/>
          <w:b/>
          <w:color w:val="auto"/>
          <w:sz w:val="24"/>
          <w:highlight w:val="none"/>
        </w:rPr>
        <w:t>公章必须是经公安部门备案的印章</w:t>
      </w:r>
      <w:r>
        <w:rPr>
          <w:rFonts w:hint="eastAsia" w:ascii="宋体" w:hAnsi="宋体"/>
          <w:b/>
          <w:color w:val="auto"/>
          <w:sz w:val="24"/>
          <w:highlight w:val="none"/>
        </w:rPr>
        <w:t>。</w:t>
      </w:r>
    </w:p>
    <w:p>
      <w:pPr>
        <w:spacing w:line="340" w:lineRule="exact"/>
        <w:ind w:firstLine="482" w:firstLineChars="200"/>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w:t>
      </w:r>
      <w:r>
        <w:rPr>
          <w:rFonts w:ascii="宋体" w:hAnsi="宋体"/>
          <w:b/>
          <w:color w:val="auto"/>
          <w:sz w:val="24"/>
          <w:highlight w:val="none"/>
        </w:rPr>
        <w:t>不得使用其他印章或电子制版签名。</w:t>
      </w:r>
    </w:p>
    <w:p>
      <w:pPr>
        <w:spacing w:line="3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5、本文件应按规定签署，否则投标文件无效。</w:t>
      </w:r>
    </w:p>
    <w:p>
      <w:pPr>
        <w:jc w:val="center"/>
        <w:rPr>
          <w:rFonts w:hint="eastAsia" w:ascii="宋体" w:hAnsi="宋体"/>
          <w:color w:val="auto"/>
          <w:sz w:val="36"/>
          <w:szCs w:val="36"/>
          <w:highlight w:val="none"/>
        </w:rPr>
      </w:pPr>
    </w:p>
    <w:p>
      <w:pPr>
        <w:jc w:val="center"/>
        <w:rPr>
          <w:rFonts w:hint="eastAsia" w:ascii="宋体" w:hAnsi="宋体"/>
          <w:color w:val="auto"/>
          <w:sz w:val="36"/>
          <w:szCs w:val="36"/>
          <w:highlight w:val="none"/>
        </w:rPr>
        <w:sectPr>
          <w:headerReference r:id="rId5" w:type="default"/>
          <w:footerReference r:id="rId6" w:type="default"/>
          <w:pgSz w:w="11906" w:h="16838"/>
          <w:pgMar w:top="1134" w:right="1701" w:bottom="1134" w:left="1701" w:header="851" w:footer="828" w:gutter="0"/>
          <w:pgNumType w:fmt="decimal" w:start="1"/>
          <w:cols w:space="720" w:num="1"/>
          <w:docGrid w:type="lines" w:linePitch="312" w:charSpace="0"/>
        </w:sectPr>
      </w:pP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二、报价汇总表</w:t>
      </w:r>
    </w:p>
    <w:tbl>
      <w:tblPr>
        <w:tblStyle w:val="25"/>
        <w:tblpPr w:leftFromText="180" w:rightFromText="180" w:vertAnchor="text" w:horzAnchor="page" w:tblpX="1808" w:tblpY="216"/>
        <w:tblOverlap w:val="neve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1"/>
        <w:gridCol w:w="3164"/>
        <w:gridCol w:w="1438"/>
        <w:gridCol w:w="1217"/>
        <w:gridCol w:w="1218"/>
        <w:gridCol w:w="9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r>
              <w:rPr>
                <w:rFonts w:ascii="Times New Roman" w:hAnsi="Times New Roman"/>
                <w:color w:val="auto"/>
                <w:szCs w:val="24"/>
                <w:highlight w:val="none"/>
                <w:lang w:val="en-US"/>
              </w:rPr>
              <w:t>序号</w:t>
            </w: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Cs w:val="24"/>
                <w:highlight w:val="none"/>
                <w:lang w:val="en-US"/>
              </w:rPr>
            </w:pPr>
            <w:r>
              <w:rPr>
                <w:rFonts w:hint="eastAsia" w:ascii="宋体" w:hAnsi="宋体" w:eastAsia="宋体" w:cs="宋体"/>
                <w:color w:val="auto"/>
                <w:kern w:val="2"/>
                <w:sz w:val="24"/>
                <w:szCs w:val="22"/>
                <w:highlight w:val="none"/>
                <w:lang w:val="en-US" w:eastAsia="zh-CN" w:bidi="ar"/>
              </w:rPr>
              <w:t>服务项目</w:t>
            </w: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Cs w:val="24"/>
                <w:highlight w:val="none"/>
                <w:lang w:val="en-US" w:eastAsia="zh-CN"/>
              </w:rPr>
            </w:pPr>
            <w:r>
              <w:rPr>
                <w:rFonts w:ascii="Times New Roman" w:hAnsi="Times New Roman"/>
                <w:color w:val="auto"/>
                <w:szCs w:val="24"/>
                <w:highlight w:val="none"/>
                <w:lang w:val="en-US"/>
              </w:rPr>
              <w:t>单价（</w:t>
            </w:r>
            <w:r>
              <w:rPr>
                <w:rFonts w:hint="eastAsia" w:ascii="Times New Roman" w:hAnsi="Times New Roman"/>
                <w:color w:val="auto"/>
                <w:szCs w:val="24"/>
                <w:highlight w:val="none"/>
                <w:lang w:val="en-US"/>
              </w:rPr>
              <w:t>元</w:t>
            </w:r>
            <w:r>
              <w:rPr>
                <w:rFonts w:hint="eastAsia" w:ascii="Times New Roman" w:hAnsi="Times New Roman"/>
                <w:color w:val="auto"/>
                <w:szCs w:val="24"/>
                <w:highlight w:val="none"/>
                <w:lang w:val="en-US" w:eastAsia="zh-CN"/>
              </w:rPr>
              <w:t>/吨</w:t>
            </w:r>
            <w:r>
              <w:rPr>
                <w:rFonts w:ascii="Times New Roman" w:hAnsi="Times New Roman"/>
                <w:color w:val="auto"/>
                <w:szCs w:val="24"/>
                <w:highlight w:val="none"/>
                <w:lang w:val="en-US"/>
              </w:rPr>
              <w:t>）</w:t>
            </w: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olor w:val="auto"/>
                <w:szCs w:val="24"/>
                <w:highlight w:val="none"/>
                <w:lang w:val="en-US" w:eastAsia="zh-CN"/>
              </w:rPr>
            </w:pPr>
            <w:r>
              <w:rPr>
                <w:rFonts w:hint="eastAsia" w:ascii="Times New Roman" w:hAnsi="Times New Roman"/>
                <w:color w:val="auto"/>
                <w:szCs w:val="24"/>
                <w:highlight w:val="none"/>
                <w:lang w:val="en-US" w:eastAsia="zh-CN"/>
              </w:rPr>
              <w:t>发票类型</w:t>
            </w:r>
          </w:p>
        </w:tc>
        <w:tc>
          <w:tcPr>
            <w:tcW w:w="1266" w:type="dxa"/>
            <w:tcBorders>
              <w:left w:val="single" w:color="auto" w:sz="4" w:space="0"/>
            </w:tcBorders>
            <w:vAlign w:val="center"/>
          </w:tcPr>
          <w:p>
            <w:pPr>
              <w:pStyle w:val="56"/>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olor w:val="auto"/>
                <w:szCs w:val="24"/>
                <w:highlight w:val="none"/>
                <w:lang w:val="en-US" w:eastAsia="zh-CN"/>
              </w:rPr>
            </w:pPr>
            <w:r>
              <w:rPr>
                <w:rFonts w:hint="eastAsia" w:ascii="Times New Roman" w:hAnsi="Times New Roman"/>
                <w:color w:val="auto"/>
                <w:szCs w:val="24"/>
                <w:highlight w:val="none"/>
                <w:lang w:val="en-US" w:eastAsia="zh-CN"/>
              </w:rPr>
              <w:t>税率</w:t>
            </w: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hint="eastAsia" w:ascii="Times New Roman" w:hAnsi="Times New Roman" w:eastAsia="宋体"/>
                <w:color w:val="auto"/>
                <w:szCs w:val="24"/>
                <w:highlight w:val="none"/>
                <w:lang w:val="en-US" w:eastAsia="zh-CN"/>
              </w:rPr>
            </w:pPr>
            <w:r>
              <w:rPr>
                <w:rFonts w:hint="eastAsia" w:ascii="Times New Roman" w:hAnsi="Times New Roman"/>
                <w:color w:val="auto"/>
                <w:szCs w:val="24"/>
                <w:highlight w:val="none"/>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0" w:type="dxa"/>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333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484" w:type="dxa"/>
            <w:tcBorders>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5"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1266" w:type="dxa"/>
            <w:tcBorders>
              <w:left w:val="single" w:color="auto" w:sz="4" w:space="0"/>
              <w:righ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c>
          <w:tcPr>
            <w:tcW w:w="951" w:type="dxa"/>
            <w:tcBorders>
              <w:left w:val="single" w:color="auto" w:sz="4" w:space="0"/>
            </w:tcBorders>
            <w:vAlign w:val="center"/>
          </w:tcPr>
          <w:p>
            <w:pPr>
              <w:pStyle w:val="56"/>
              <w:keepNext w:val="0"/>
              <w:keepLines w:val="0"/>
              <w:suppressLineNumbers w:val="0"/>
              <w:spacing w:before="0" w:beforeAutospacing="0" w:after="0" w:afterAutospacing="0" w:line="600" w:lineRule="auto"/>
              <w:ind w:left="0" w:right="0" w:firstLine="0" w:firstLineChars="0"/>
              <w:jc w:val="center"/>
              <w:rPr>
                <w:rFonts w:ascii="Times New Roman" w:hAnsi="Times New Roman"/>
                <w:color w:val="auto"/>
                <w:szCs w:val="24"/>
                <w:highlight w:val="none"/>
                <w:lang w:val="en-US"/>
              </w:rPr>
            </w:pPr>
          </w:p>
        </w:tc>
      </w:tr>
    </w:tbl>
    <w:p>
      <w:pPr>
        <w:pStyle w:val="18"/>
        <w:ind w:left="0" w:leftChars="0" w:firstLine="0" w:firstLineChars="0"/>
        <w:rPr>
          <w:rFonts w:ascii="宋体" w:hAnsi="宋体"/>
          <w:color w:val="auto"/>
          <w:sz w:val="36"/>
          <w:szCs w:val="36"/>
          <w:highlight w:val="none"/>
        </w:rPr>
      </w:pPr>
    </w:p>
    <w:p>
      <w:pPr>
        <w:rPr>
          <w:color w:val="auto"/>
          <w:highlight w:val="none"/>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2"/>
          <w:highlight w:val="none"/>
          <w:u w:val="single"/>
          <w:lang w:val="en-US"/>
        </w:rPr>
      </w:pPr>
      <w:r>
        <w:rPr>
          <w:rFonts w:hint="eastAsia" w:ascii="宋体" w:hAnsi="宋体" w:eastAsia="宋体" w:cs="宋体"/>
          <w:b/>
          <w:bCs w:val="0"/>
          <w:color w:val="auto"/>
          <w:kern w:val="2"/>
          <w:sz w:val="24"/>
          <w:szCs w:val="22"/>
          <w:highlight w:val="none"/>
          <w:lang w:val="en-US" w:eastAsia="zh-CN" w:bidi="ar"/>
        </w:rPr>
        <w:t>注：本文件应按规定签署，否则响应文件无效。</w:t>
      </w:r>
    </w:p>
    <w:p>
      <w:pPr>
        <w:keepNext w:val="0"/>
        <w:keepLines w:val="0"/>
        <w:widowControl w:val="0"/>
        <w:numPr>
          <w:ilvl w:val="0"/>
          <w:numId w:val="0"/>
        </w:numPr>
        <w:suppressLineNumbers w:val="0"/>
        <w:snapToGrid w:val="0"/>
        <w:spacing w:before="0" w:beforeAutospacing="0" w:after="0" w:afterAutospacing="0" w:line="360" w:lineRule="auto"/>
        <w:ind w:left="0" w:leftChars="0" w:right="0" w:rightChars="0"/>
        <w:jc w:val="both"/>
        <w:rPr>
          <w:rFonts w:hint="eastAsia" w:ascii="宋体" w:hAnsi="宋体" w:eastAsia="宋体" w:cs="宋体"/>
          <w:b w:val="0"/>
          <w:bCs w:val="0"/>
          <w:color w:val="auto"/>
          <w:kern w:val="2"/>
          <w:sz w:val="24"/>
          <w:szCs w:val="22"/>
          <w:highlight w:val="none"/>
          <w:lang w:val="en-US" w:eastAsia="zh-CN" w:bidi="ar"/>
        </w:rPr>
      </w:pPr>
      <w:r>
        <w:rPr>
          <w:rFonts w:hint="eastAsia" w:ascii="宋体" w:hAnsi="宋体" w:eastAsia="宋体" w:cs="宋体"/>
          <w:b w:val="0"/>
          <w:bCs w:val="0"/>
          <w:color w:val="auto"/>
          <w:kern w:val="2"/>
          <w:sz w:val="24"/>
          <w:szCs w:val="22"/>
          <w:highlight w:val="none"/>
          <w:lang w:val="en-US" w:eastAsia="zh-CN" w:bidi="ar"/>
        </w:rPr>
        <w:t>项目预算：</w:t>
      </w:r>
      <w:r>
        <w:rPr>
          <w:rFonts w:hint="eastAsia" w:ascii="宋体" w:hAnsi="宋体" w:eastAsia="宋体" w:cs="宋体"/>
          <w:b w:val="0"/>
          <w:bCs w:val="0"/>
          <w:color w:val="auto"/>
          <w:kern w:val="2"/>
          <w:sz w:val="24"/>
          <w:szCs w:val="22"/>
          <w:highlight w:val="none"/>
          <w:lang w:val="en-US" w:eastAsia="zh-CN" w:bidi="ar"/>
        </w:rPr>
        <w:t>189.75万元</w:t>
      </w:r>
    </w:p>
    <w:p>
      <w:pPr>
        <w:keepNext w:val="0"/>
        <w:keepLines w:val="0"/>
        <w:widowControl w:val="0"/>
        <w:numPr>
          <w:ilvl w:val="0"/>
          <w:numId w:val="0"/>
        </w:numPr>
        <w:suppressLineNumbers w:val="0"/>
        <w:snapToGrid w:val="0"/>
        <w:spacing w:before="0" w:beforeAutospacing="0" w:after="0" w:afterAutospacing="0" w:line="360" w:lineRule="auto"/>
        <w:ind w:left="0" w:leftChars="0" w:right="0" w:rightChars="0"/>
        <w:jc w:val="both"/>
        <w:rPr>
          <w:rFonts w:hint="eastAsia" w:ascii="宋体" w:hAnsi="宋体" w:eastAsia="宋体" w:cs="宋体"/>
          <w:b w:val="0"/>
          <w:bCs w:val="0"/>
          <w:color w:val="auto"/>
          <w:kern w:val="2"/>
          <w:sz w:val="24"/>
          <w:szCs w:val="22"/>
          <w:highlight w:val="none"/>
          <w:lang w:val="en-US" w:eastAsia="zh-CN" w:bidi="ar"/>
        </w:rPr>
      </w:pPr>
      <w:r>
        <w:rPr>
          <w:rFonts w:hint="eastAsia" w:ascii="宋体" w:hAnsi="宋体" w:eastAsia="宋体" w:cs="宋体"/>
          <w:b w:val="0"/>
          <w:bCs w:val="0"/>
          <w:color w:val="auto"/>
          <w:kern w:val="2"/>
          <w:sz w:val="24"/>
          <w:szCs w:val="22"/>
          <w:highlight w:val="none"/>
          <w:lang w:val="en-US" w:eastAsia="zh-CN" w:bidi="ar"/>
        </w:rPr>
        <w:t>港杂服务费</w:t>
      </w:r>
      <w:r>
        <w:rPr>
          <w:rFonts w:hint="eastAsia" w:ascii="宋体" w:hAnsi="宋体"/>
          <w:color w:val="auto"/>
          <w:sz w:val="24"/>
          <w:highlight w:val="none"/>
          <w:lang w:val="en-US" w:eastAsia="zh-CN"/>
        </w:rPr>
        <w:t>招标</w:t>
      </w:r>
      <w:r>
        <w:rPr>
          <w:rFonts w:hint="eastAsia" w:ascii="宋体" w:hAnsi="宋体" w:eastAsia="宋体" w:cs="宋体"/>
          <w:b w:val="0"/>
          <w:bCs w:val="0"/>
          <w:color w:val="auto"/>
          <w:kern w:val="2"/>
          <w:sz w:val="24"/>
          <w:szCs w:val="22"/>
          <w:highlight w:val="none"/>
          <w:lang w:val="en-US" w:eastAsia="zh-CN" w:bidi="ar"/>
        </w:rPr>
        <w:t>单价限价：34.5元/吨。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val="0"/>
          <w:bCs w:val="0"/>
          <w:color w:val="auto"/>
          <w:sz w:val="24"/>
          <w:szCs w:val="22"/>
          <w:highlight w:val="none"/>
          <w:lang w:val="en-US"/>
        </w:rPr>
      </w:pPr>
      <w:r>
        <w:rPr>
          <w:rFonts w:hint="eastAsia" w:ascii="宋体" w:hAnsi="宋体" w:eastAsia="宋体" w:cs="宋体"/>
          <w:b w:val="0"/>
          <w:bCs w:val="0"/>
          <w:color w:val="auto"/>
          <w:kern w:val="2"/>
          <w:sz w:val="24"/>
          <w:szCs w:val="22"/>
          <w:highlight w:val="none"/>
          <w:lang w:val="en-US" w:eastAsia="zh-CN" w:bidi="ar"/>
        </w:rPr>
        <w:t>上述价格为当前市场价，</w:t>
      </w:r>
      <w:r>
        <w:rPr>
          <w:rFonts w:hint="eastAsia" w:ascii="宋体" w:hAnsi="宋体" w:cs="宋体"/>
          <w:b w:val="0"/>
          <w:bCs w:val="0"/>
          <w:color w:val="auto"/>
          <w:kern w:val="2"/>
          <w:sz w:val="24"/>
          <w:szCs w:val="22"/>
          <w:highlight w:val="none"/>
          <w:lang w:val="en-US" w:eastAsia="zh-CN" w:bidi="ar"/>
        </w:rPr>
        <w:t>当港杂费政策调整时</w:t>
      </w:r>
      <w:r>
        <w:rPr>
          <w:rFonts w:hint="eastAsia" w:ascii="宋体" w:hAnsi="宋体" w:eastAsia="宋体" w:cs="宋体"/>
          <w:b w:val="0"/>
          <w:bCs w:val="0"/>
          <w:color w:val="auto"/>
          <w:kern w:val="2"/>
          <w:sz w:val="24"/>
          <w:szCs w:val="22"/>
          <w:highlight w:val="none"/>
          <w:lang w:val="en-US" w:eastAsia="zh-CN" w:bidi="ar"/>
        </w:rPr>
        <w:t>，价格随行就市进行调整，经双方协商另签补充协议确定后执行。（投标报价超出招标单价限价的，按无效报价处理。）</w:t>
      </w:r>
    </w:p>
    <w:p>
      <w:pPr>
        <w:pStyle w:val="9"/>
        <w:widowControl/>
        <w:rPr>
          <w:rFonts w:hAnsi="宋体" w:cs="宋体"/>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投标人法定代表人/负责人或其委托代理人签字：</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投标人名称（公章）：</w:t>
      </w:r>
    </w:p>
    <w:p>
      <w:pPr>
        <w:keepNext w:val="0"/>
        <w:keepLines w:val="0"/>
        <w:widowControl/>
        <w:suppressLineNumbers w:val="0"/>
        <w:jc w:val="left"/>
        <w:rPr>
          <w:color w:val="auto"/>
          <w:highlight w:val="none"/>
        </w:rPr>
      </w:pPr>
      <w:r>
        <w:rPr>
          <w:rFonts w:hint="eastAsia" w:ascii="宋体" w:hAnsi="宋体" w:eastAsia="宋体" w:cs="宋体"/>
          <w:color w:val="auto"/>
          <w:kern w:val="2"/>
          <w:sz w:val="24"/>
          <w:szCs w:val="24"/>
          <w:highlight w:val="none"/>
          <w:lang w:val="en-US" w:eastAsia="zh-CN" w:bidi="ar"/>
        </w:rPr>
        <w:t>日期：   年   月   日</w:t>
      </w:r>
    </w:p>
    <w:p>
      <w:pPr>
        <w:rPr>
          <w:rFonts w:ascii="宋体" w:hAnsi="宋体" w:cs="宋体"/>
          <w:color w:val="auto"/>
          <w:kern w:val="0"/>
          <w:sz w:val="24"/>
          <w:highlight w:val="none"/>
        </w:rPr>
      </w:pPr>
      <w:bookmarkStart w:id="85" w:name="_Toc326757144"/>
    </w:p>
    <w:bookmarkEnd w:id="85"/>
    <w:p>
      <w:pPr>
        <w:rPr>
          <w:rFonts w:hint="eastAsia" w:ascii="宋体" w:hAnsi="宋体" w:eastAsia="宋体" w:cs="Times New Roman"/>
          <w:color w:val="auto"/>
          <w:sz w:val="36"/>
          <w:szCs w:val="36"/>
          <w:highlight w:val="none"/>
        </w:rPr>
      </w:pPr>
      <w:bookmarkStart w:id="86" w:name="_Toc30478"/>
      <w:r>
        <w:rPr>
          <w:rFonts w:hint="eastAsia" w:ascii="宋体" w:hAnsi="宋体" w:eastAsia="宋体" w:cs="Times New Roman"/>
          <w:color w:val="auto"/>
          <w:sz w:val="36"/>
          <w:szCs w:val="36"/>
          <w:highlight w:val="none"/>
        </w:rPr>
        <w:br w:type="page"/>
      </w:r>
    </w:p>
    <w:p>
      <w:pPr>
        <w:jc w:val="center"/>
        <w:rPr>
          <w:rFonts w:hint="eastAsia" w:ascii="宋体" w:hAnsi="宋体" w:eastAsia="宋体" w:cs="Times New Roman"/>
          <w:color w:val="auto"/>
          <w:sz w:val="36"/>
          <w:szCs w:val="36"/>
          <w:highlight w:val="none"/>
          <w:lang w:eastAsia="zh-CN"/>
        </w:rPr>
      </w:pPr>
      <w:r>
        <w:rPr>
          <w:rFonts w:hint="eastAsia" w:ascii="宋体" w:hAnsi="宋体" w:eastAsia="宋体" w:cs="Times New Roman"/>
          <w:color w:val="auto"/>
          <w:sz w:val="36"/>
          <w:szCs w:val="36"/>
          <w:highlight w:val="none"/>
        </w:rPr>
        <w:t>三、</w:t>
      </w:r>
      <w:r>
        <w:rPr>
          <w:rFonts w:hint="eastAsia" w:ascii="宋体" w:hAnsi="宋体" w:cs="Times New Roman"/>
          <w:color w:val="auto"/>
          <w:sz w:val="36"/>
          <w:szCs w:val="36"/>
          <w:highlight w:val="none"/>
          <w:lang w:val="en-US" w:eastAsia="zh-CN"/>
        </w:rPr>
        <w:t>服务需求响应</w:t>
      </w:r>
      <w:r>
        <w:rPr>
          <w:rFonts w:hint="eastAsia" w:ascii="宋体" w:hAnsi="宋体" w:eastAsia="宋体" w:cs="Times New Roman"/>
          <w:color w:val="auto"/>
          <w:sz w:val="36"/>
          <w:szCs w:val="36"/>
          <w:highlight w:val="none"/>
        </w:rPr>
        <w:t>表</w:t>
      </w:r>
      <w:bookmarkEnd w:id="86"/>
    </w:p>
    <w:tbl>
      <w:tblPr>
        <w:tblStyle w:val="24"/>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38"/>
        <w:gridCol w:w="3117"/>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7" w:hRule="atLeast"/>
        </w:trPr>
        <w:tc>
          <w:tcPr>
            <w:tcW w:w="710" w:type="dxa"/>
            <w:vAlign w:val="center"/>
          </w:tcPr>
          <w:p>
            <w:pPr>
              <w:pStyle w:val="56"/>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Cs w:val="24"/>
                <w:highlight w:val="none"/>
                <w:lang w:val="en-US"/>
              </w:rPr>
            </w:pPr>
            <w:r>
              <w:rPr>
                <w:rFonts w:hint="eastAsia" w:ascii="Times New Roman" w:hAnsi="Times New Roman"/>
                <w:color w:val="auto"/>
                <w:szCs w:val="24"/>
                <w:highlight w:val="none"/>
                <w:lang w:val="en-US"/>
              </w:rPr>
              <w:t>序号</w:t>
            </w:r>
          </w:p>
        </w:tc>
        <w:tc>
          <w:tcPr>
            <w:tcW w:w="3838" w:type="dxa"/>
            <w:vAlign w:val="center"/>
          </w:tcPr>
          <w:p>
            <w:pPr>
              <w:pStyle w:val="56"/>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Cs w:val="24"/>
                <w:highlight w:val="none"/>
                <w:lang w:val="en-US"/>
              </w:rPr>
            </w:pPr>
            <w:r>
              <w:rPr>
                <w:rFonts w:hint="eastAsia" w:ascii="Times New Roman" w:hAnsi="Times New Roman"/>
                <w:color w:val="auto"/>
                <w:szCs w:val="24"/>
                <w:highlight w:val="none"/>
                <w:lang w:val="en-US"/>
              </w:rPr>
              <w:t>招标文件的</w:t>
            </w:r>
            <w:r>
              <w:rPr>
                <w:rFonts w:hint="eastAsia" w:ascii="Times New Roman" w:hAnsi="Times New Roman"/>
                <w:color w:val="auto"/>
                <w:szCs w:val="24"/>
                <w:highlight w:val="none"/>
                <w:lang w:val="en-US" w:eastAsia="zh-CN"/>
              </w:rPr>
              <w:t>服务</w:t>
            </w:r>
            <w:r>
              <w:rPr>
                <w:rFonts w:hint="eastAsia" w:ascii="Times New Roman" w:hAnsi="Times New Roman"/>
                <w:color w:val="auto"/>
                <w:szCs w:val="24"/>
                <w:highlight w:val="none"/>
                <w:lang w:val="en-US"/>
              </w:rPr>
              <w:t>内容</w:t>
            </w:r>
            <w:r>
              <w:rPr>
                <w:rFonts w:hint="eastAsia" w:ascii="Times New Roman" w:hAnsi="Times New Roman"/>
                <w:color w:val="auto"/>
                <w:szCs w:val="24"/>
                <w:highlight w:val="none"/>
                <w:lang w:val="en-US" w:eastAsia="zh-CN"/>
              </w:rPr>
              <w:t>及需求</w:t>
            </w:r>
            <w:r>
              <w:rPr>
                <w:rFonts w:hint="eastAsia" w:ascii="Times New Roman" w:hAnsi="Times New Roman"/>
                <w:color w:val="auto"/>
                <w:szCs w:val="24"/>
                <w:highlight w:val="none"/>
                <w:lang w:val="en-US"/>
              </w:rPr>
              <w:t>条款</w:t>
            </w:r>
          </w:p>
        </w:tc>
        <w:tc>
          <w:tcPr>
            <w:tcW w:w="3117" w:type="dxa"/>
            <w:vAlign w:val="center"/>
          </w:tcPr>
          <w:p>
            <w:pPr>
              <w:pStyle w:val="56"/>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Cs w:val="24"/>
                <w:highlight w:val="none"/>
                <w:lang w:val="en-US"/>
              </w:rPr>
            </w:pPr>
            <w:r>
              <w:rPr>
                <w:rFonts w:hint="eastAsia" w:ascii="Times New Roman" w:hAnsi="Times New Roman"/>
                <w:color w:val="auto"/>
                <w:szCs w:val="24"/>
                <w:highlight w:val="none"/>
                <w:lang w:val="en-US"/>
              </w:rPr>
              <w:t>投标文件的</w:t>
            </w:r>
            <w:r>
              <w:rPr>
                <w:rFonts w:hint="eastAsia" w:ascii="Times New Roman" w:hAnsi="Times New Roman"/>
                <w:color w:val="auto"/>
                <w:szCs w:val="24"/>
                <w:highlight w:val="none"/>
                <w:lang w:val="en-US" w:eastAsia="zh-CN"/>
              </w:rPr>
              <w:t>响应</w:t>
            </w:r>
            <w:r>
              <w:rPr>
                <w:rFonts w:hint="eastAsia" w:ascii="Times New Roman" w:hAnsi="Times New Roman"/>
                <w:color w:val="auto"/>
                <w:szCs w:val="24"/>
                <w:highlight w:val="none"/>
                <w:lang w:val="en-US"/>
              </w:rPr>
              <w:t>条款（须对招标文件的</w:t>
            </w:r>
            <w:r>
              <w:rPr>
                <w:rFonts w:hint="eastAsia" w:ascii="Times New Roman" w:hAnsi="Times New Roman"/>
                <w:color w:val="auto"/>
                <w:szCs w:val="24"/>
                <w:highlight w:val="none"/>
                <w:lang w:val="en-US" w:eastAsia="zh-CN"/>
              </w:rPr>
              <w:t>服务</w:t>
            </w:r>
            <w:r>
              <w:rPr>
                <w:rFonts w:hint="eastAsia" w:ascii="Times New Roman" w:hAnsi="Times New Roman"/>
                <w:color w:val="auto"/>
                <w:szCs w:val="24"/>
                <w:highlight w:val="none"/>
                <w:lang w:val="en-US"/>
              </w:rPr>
              <w:t>内容</w:t>
            </w:r>
            <w:r>
              <w:rPr>
                <w:rFonts w:hint="eastAsia" w:ascii="Times New Roman" w:hAnsi="Times New Roman"/>
                <w:color w:val="auto"/>
                <w:szCs w:val="24"/>
                <w:highlight w:val="none"/>
                <w:lang w:val="en-US" w:eastAsia="zh-CN"/>
              </w:rPr>
              <w:t>及需求</w:t>
            </w:r>
            <w:r>
              <w:rPr>
                <w:rFonts w:hint="eastAsia" w:ascii="Times New Roman" w:hAnsi="Times New Roman"/>
                <w:color w:val="auto"/>
                <w:szCs w:val="24"/>
                <w:highlight w:val="none"/>
                <w:lang w:val="en-US"/>
              </w:rPr>
              <w:t>逐条响应）</w:t>
            </w:r>
          </w:p>
        </w:tc>
        <w:tc>
          <w:tcPr>
            <w:tcW w:w="2542" w:type="dxa"/>
            <w:vAlign w:val="center"/>
          </w:tcPr>
          <w:p>
            <w:pPr>
              <w:pStyle w:val="56"/>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Cs w:val="24"/>
                <w:highlight w:val="none"/>
                <w:lang w:val="en-US"/>
              </w:rPr>
            </w:pPr>
            <w:r>
              <w:rPr>
                <w:rFonts w:hint="eastAsia" w:ascii="Times New Roman" w:hAnsi="Times New Roman"/>
                <w:color w:val="auto"/>
                <w:szCs w:val="24"/>
                <w:highlight w:val="none"/>
                <w:lang w:val="en-US"/>
              </w:rPr>
              <w:t>填写说明：</w:t>
            </w:r>
          </w:p>
          <w:p>
            <w:pPr>
              <w:pStyle w:val="56"/>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Cs w:val="24"/>
                <w:highlight w:val="none"/>
                <w:lang w:val="en-US"/>
              </w:rPr>
            </w:pPr>
            <w:r>
              <w:rPr>
                <w:rFonts w:hint="eastAsia" w:ascii="Times New Roman" w:hAnsi="Times New Roman"/>
                <w:color w:val="auto"/>
                <w:szCs w:val="24"/>
                <w:highlight w:val="none"/>
                <w:lang w:val="en-US"/>
              </w:rPr>
              <w:t>（满足：填无偏离；如不满足填负偏离，★号负偏离按无效投标处理）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0" w:type="dxa"/>
            <w:vAlign w:val="center"/>
          </w:tcPr>
          <w:p>
            <w:pPr>
              <w:keepNext w:val="0"/>
              <w:keepLines w:val="0"/>
              <w:suppressLineNumbers w:val="0"/>
              <w:spacing w:before="0" w:beforeAutospacing="0" w:after="0" w:afterAutospacing="0"/>
              <w:ind w:left="0" w:right="0"/>
              <w:jc w:val="center"/>
              <w:rPr>
                <w:rFonts w:ascii="宋体" w:hAnsi="宋体"/>
                <w:color w:val="auto"/>
                <w:sz w:val="24"/>
                <w:highlight w:val="none"/>
              </w:rPr>
            </w:pPr>
            <w:r>
              <w:rPr>
                <w:rFonts w:hint="eastAsia" w:ascii="宋体" w:hAnsi="宋体"/>
                <w:color w:val="auto"/>
                <w:sz w:val="24"/>
                <w:highlight w:val="none"/>
              </w:rPr>
              <w:t>1</w:t>
            </w:r>
          </w:p>
        </w:tc>
        <w:tc>
          <w:tcPr>
            <w:tcW w:w="3838" w:type="dxa"/>
            <w:vAlign w:val="center"/>
          </w:tcPr>
          <w:p>
            <w:pPr>
              <w:keepNext w:val="0"/>
              <w:keepLines w:val="0"/>
              <w:suppressLineNumbers w:val="0"/>
              <w:spacing w:before="0" w:beforeAutospacing="0" w:after="0" w:afterAutospacing="0"/>
              <w:ind w:left="0" w:right="0"/>
              <w:jc w:val="left"/>
              <w:rPr>
                <w:rFonts w:ascii="宋体" w:hAnsi="宋体"/>
                <w:color w:val="auto"/>
                <w:sz w:val="24"/>
                <w:highlight w:val="none"/>
              </w:rPr>
            </w:pPr>
          </w:p>
        </w:tc>
        <w:tc>
          <w:tcPr>
            <w:tcW w:w="3117" w:type="dxa"/>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2542" w:type="dxa"/>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Align w:val="center"/>
          </w:tcPr>
          <w:p>
            <w:pPr>
              <w:keepNext w:val="0"/>
              <w:keepLines w:val="0"/>
              <w:suppressLineNumbers w:val="0"/>
              <w:spacing w:before="0" w:beforeAutospacing="0" w:after="0" w:afterAutospacing="0"/>
              <w:ind w:left="0" w:right="0"/>
              <w:jc w:val="center"/>
              <w:rPr>
                <w:rFonts w:ascii="宋体" w:hAnsi="宋体"/>
                <w:color w:val="auto"/>
                <w:sz w:val="24"/>
                <w:highlight w:val="none"/>
              </w:rPr>
            </w:pPr>
            <w:r>
              <w:rPr>
                <w:rFonts w:hint="eastAsia" w:ascii="宋体" w:hAnsi="宋体"/>
                <w:color w:val="auto"/>
                <w:sz w:val="24"/>
                <w:highlight w:val="none"/>
              </w:rPr>
              <w:t>2</w:t>
            </w:r>
          </w:p>
        </w:tc>
        <w:tc>
          <w:tcPr>
            <w:tcW w:w="3838" w:type="dxa"/>
            <w:vAlign w:val="center"/>
          </w:tcPr>
          <w:p>
            <w:pPr>
              <w:keepNext w:val="0"/>
              <w:keepLines w:val="0"/>
              <w:suppressLineNumbers w:val="0"/>
              <w:spacing w:before="0" w:beforeAutospacing="0" w:after="0" w:afterAutospacing="0"/>
              <w:ind w:left="0" w:right="0"/>
              <w:jc w:val="left"/>
              <w:rPr>
                <w:rFonts w:ascii="宋体" w:hAnsi="宋体"/>
                <w:color w:val="auto"/>
                <w:sz w:val="24"/>
                <w:highlight w:val="none"/>
              </w:rPr>
            </w:pPr>
          </w:p>
        </w:tc>
        <w:tc>
          <w:tcPr>
            <w:tcW w:w="3117" w:type="dxa"/>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2542" w:type="dxa"/>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0" w:type="dxa"/>
            <w:vAlign w:val="center"/>
          </w:tcPr>
          <w:p>
            <w:pPr>
              <w:keepNext w:val="0"/>
              <w:keepLines w:val="0"/>
              <w:suppressLineNumbers w:val="0"/>
              <w:spacing w:before="0" w:beforeAutospacing="0" w:after="0" w:afterAutospacing="0"/>
              <w:ind w:left="0" w:right="0"/>
              <w:jc w:val="center"/>
              <w:rPr>
                <w:rFonts w:ascii="宋体" w:hAnsi="宋体"/>
                <w:color w:val="auto"/>
                <w:sz w:val="24"/>
                <w:highlight w:val="none"/>
              </w:rPr>
            </w:pPr>
            <w:r>
              <w:rPr>
                <w:rFonts w:hint="eastAsia" w:ascii="宋体" w:hAnsi="宋体"/>
                <w:color w:val="auto"/>
                <w:sz w:val="24"/>
                <w:highlight w:val="none"/>
              </w:rPr>
              <w:t>3</w:t>
            </w:r>
          </w:p>
        </w:tc>
        <w:tc>
          <w:tcPr>
            <w:tcW w:w="3838" w:type="dxa"/>
            <w:vAlign w:val="center"/>
          </w:tcPr>
          <w:p>
            <w:pPr>
              <w:keepNext w:val="0"/>
              <w:keepLines w:val="0"/>
              <w:suppressLineNumbers w:val="0"/>
              <w:spacing w:before="0" w:beforeAutospacing="0" w:after="0" w:afterAutospacing="0"/>
              <w:ind w:left="0" w:right="0"/>
              <w:jc w:val="left"/>
              <w:rPr>
                <w:rFonts w:ascii="宋体" w:hAnsi="宋体" w:cs="Segoe UI"/>
                <w:color w:val="auto"/>
                <w:sz w:val="24"/>
                <w:highlight w:val="none"/>
              </w:rPr>
            </w:pPr>
          </w:p>
        </w:tc>
        <w:tc>
          <w:tcPr>
            <w:tcW w:w="3117" w:type="dxa"/>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2542" w:type="dxa"/>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0" w:type="dxa"/>
            <w:vAlign w:val="center"/>
          </w:tcPr>
          <w:p>
            <w:pPr>
              <w:keepNext w:val="0"/>
              <w:keepLines w:val="0"/>
              <w:suppressLineNumbers w:val="0"/>
              <w:spacing w:before="0" w:beforeAutospacing="0" w:after="0" w:afterAutospacing="0"/>
              <w:ind w:left="0" w:right="0"/>
              <w:jc w:val="center"/>
              <w:rPr>
                <w:rFonts w:ascii="宋体" w:hAnsi="宋体"/>
                <w:color w:val="auto"/>
                <w:sz w:val="24"/>
                <w:highlight w:val="none"/>
              </w:rPr>
            </w:pPr>
            <w:r>
              <w:rPr>
                <w:rFonts w:hint="eastAsia" w:ascii="宋体" w:hAnsi="宋体"/>
                <w:color w:val="auto"/>
                <w:sz w:val="24"/>
                <w:highlight w:val="none"/>
              </w:rPr>
              <w:t>4</w:t>
            </w:r>
          </w:p>
        </w:tc>
        <w:tc>
          <w:tcPr>
            <w:tcW w:w="3838" w:type="dxa"/>
            <w:vAlign w:val="center"/>
          </w:tcPr>
          <w:p>
            <w:pPr>
              <w:keepNext w:val="0"/>
              <w:keepLines w:val="0"/>
              <w:suppressLineNumbers w:val="0"/>
              <w:spacing w:before="0" w:beforeAutospacing="0" w:after="0" w:afterAutospacing="0"/>
              <w:ind w:left="0" w:right="0"/>
              <w:jc w:val="left"/>
              <w:rPr>
                <w:rFonts w:ascii="宋体" w:hAnsi="宋体"/>
                <w:color w:val="auto"/>
                <w:sz w:val="28"/>
                <w:szCs w:val="28"/>
                <w:highlight w:val="none"/>
              </w:rPr>
            </w:pPr>
          </w:p>
        </w:tc>
        <w:tc>
          <w:tcPr>
            <w:tcW w:w="3117" w:type="dxa"/>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2542" w:type="dxa"/>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0" w:type="dxa"/>
            <w:vAlign w:val="center"/>
          </w:tcPr>
          <w:p>
            <w:pPr>
              <w:keepNext w:val="0"/>
              <w:keepLines w:val="0"/>
              <w:suppressLineNumbers w:val="0"/>
              <w:spacing w:before="0" w:beforeAutospacing="0" w:after="0" w:afterAutospacing="0"/>
              <w:ind w:left="0" w:right="0"/>
              <w:jc w:val="center"/>
              <w:rPr>
                <w:rFonts w:ascii="宋体" w:hAnsi="宋体"/>
                <w:color w:val="auto"/>
                <w:sz w:val="24"/>
                <w:highlight w:val="none"/>
              </w:rPr>
            </w:pPr>
            <w:r>
              <w:rPr>
                <w:rFonts w:hint="eastAsia" w:ascii="宋体" w:hAnsi="宋体"/>
                <w:color w:val="auto"/>
                <w:sz w:val="24"/>
                <w:highlight w:val="none"/>
              </w:rPr>
              <w:t>5</w:t>
            </w:r>
          </w:p>
        </w:tc>
        <w:tc>
          <w:tcPr>
            <w:tcW w:w="3838" w:type="dxa"/>
            <w:vAlign w:val="center"/>
          </w:tcPr>
          <w:p>
            <w:pPr>
              <w:keepNext w:val="0"/>
              <w:keepLines w:val="0"/>
              <w:suppressLineNumbers w:val="0"/>
              <w:spacing w:before="0" w:beforeAutospacing="0" w:after="0" w:afterAutospacing="0"/>
              <w:ind w:left="0" w:right="0"/>
              <w:jc w:val="left"/>
              <w:rPr>
                <w:rFonts w:cs="Segoe UI"/>
                <w:color w:val="auto"/>
                <w:highlight w:val="none"/>
              </w:rPr>
            </w:pPr>
          </w:p>
        </w:tc>
        <w:tc>
          <w:tcPr>
            <w:tcW w:w="3117" w:type="dxa"/>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2542" w:type="dxa"/>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0" w:type="dxa"/>
            <w:vAlign w:val="center"/>
          </w:tcPr>
          <w:p>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838" w:type="dxa"/>
            <w:vAlign w:val="center"/>
          </w:tcPr>
          <w:p>
            <w:pPr>
              <w:keepNext w:val="0"/>
              <w:keepLines w:val="0"/>
              <w:suppressLineNumbers w:val="0"/>
              <w:spacing w:before="0" w:beforeAutospacing="0" w:after="0" w:afterAutospacing="0"/>
              <w:ind w:left="0" w:right="0"/>
              <w:jc w:val="center"/>
              <w:rPr>
                <w:rFonts w:ascii="宋体" w:hAnsi="宋体"/>
                <w:color w:val="auto"/>
                <w:sz w:val="28"/>
                <w:szCs w:val="28"/>
                <w:highlight w:val="none"/>
              </w:rPr>
            </w:pPr>
            <w:r>
              <w:rPr>
                <w:rFonts w:ascii="宋体" w:hAnsi="宋体"/>
                <w:color w:val="auto"/>
                <w:sz w:val="28"/>
                <w:szCs w:val="28"/>
                <w:highlight w:val="none"/>
              </w:rPr>
              <w:t>…</w:t>
            </w:r>
          </w:p>
        </w:tc>
        <w:tc>
          <w:tcPr>
            <w:tcW w:w="3117" w:type="dxa"/>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2542" w:type="dxa"/>
          </w:tcPr>
          <w:p>
            <w:pPr>
              <w:keepNext w:val="0"/>
              <w:keepLines w:val="0"/>
              <w:suppressLineNumbers w:val="0"/>
              <w:spacing w:before="0" w:beforeAutospacing="0" w:after="0" w:afterAutospacing="0"/>
              <w:ind w:left="0" w:right="0"/>
              <w:rPr>
                <w:rFonts w:ascii="宋体" w:hAnsi="宋体"/>
                <w:color w:val="auto"/>
                <w:szCs w:val="21"/>
                <w:highlight w:val="none"/>
              </w:rPr>
            </w:pPr>
          </w:p>
        </w:tc>
      </w:tr>
    </w:tbl>
    <w:p>
      <w:pPr>
        <w:rPr>
          <w:color w:val="auto"/>
          <w:highlight w:val="none"/>
        </w:rPr>
      </w:pPr>
    </w:p>
    <w:p>
      <w:pPr>
        <w:rPr>
          <w:color w:val="auto"/>
          <w:highlight w:val="none"/>
        </w:rPr>
      </w:pPr>
    </w:p>
    <w:p>
      <w:pPr>
        <w:rPr>
          <w:color w:val="auto"/>
          <w:highlight w:val="none"/>
        </w:rPr>
      </w:pPr>
    </w:p>
    <w:p>
      <w:pPr>
        <w:pStyle w:val="18"/>
        <w:rPr>
          <w:color w:val="auto"/>
          <w:highlight w:val="none"/>
        </w:rPr>
      </w:pPr>
    </w:p>
    <w:p>
      <w:pPr>
        <w:pStyle w:val="18"/>
        <w:ind w:left="0" w:leftChars="0" w:firstLine="0" w:firstLineChars="0"/>
        <w:rPr>
          <w:color w:val="auto"/>
          <w:highlight w:val="none"/>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投标人法定代表人/负责人或其委托代理人签字：</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投标人名称（公章）：</w:t>
      </w:r>
    </w:p>
    <w:p>
      <w:pPr>
        <w:keepNext w:val="0"/>
        <w:keepLines w:val="0"/>
        <w:widowControl/>
        <w:suppressLineNumbers w:val="0"/>
        <w:jc w:val="left"/>
        <w:rPr>
          <w:color w:val="auto"/>
          <w:highlight w:val="none"/>
        </w:rPr>
      </w:pPr>
      <w:r>
        <w:rPr>
          <w:rFonts w:hint="eastAsia" w:ascii="宋体" w:hAnsi="宋体" w:eastAsia="宋体" w:cs="宋体"/>
          <w:color w:val="auto"/>
          <w:kern w:val="2"/>
          <w:sz w:val="24"/>
          <w:szCs w:val="24"/>
          <w:highlight w:val="none"/>
          <w:lang w:val="en-US" w:eastAsia="zh-CN" w:bidi="ar"/>
        </w:rPr>
        <w:t>日期：   年   月   日</w:t>
      </w:r>
    </w:p>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ascii="宋体" w:hAnsi="宋体"/>
          <w:color w:val="auto"/>
          <w:sz w:val="36"/>
          <w:szCs w:val="36"/>
          <w:highlight w:val="none"/>
        </w:rPr>
      </w:pPr>
    </w:p>
    <w:p>
      <w:pPr>
        <w:snapToGrid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四、资格证明文件</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（以下文件复印件均须加盖公章）</w:t>
      </w:r>
    </w:p>
    <w:p>
      <w:pPr>
        <w:spacing w:line="360" w:lineRule="auto"/>
        <w:rPr>
          <w:rFonts w:ascii="宋体" w:hAnsi="宋体"/>
          <w:b/>
          <w:color w:val="auto"/>
          <w:sz w:val="24"/>
          <w:highlight w:val="none"/>
        </w:rPr>
      </w:pPr>
      <w:r>
        <w:rPr>
          <w:rFonts w:hint="eastAsia" w:ascii="宋体" w:hAnsi="宋体"/>
          <w:b/>
          <w:color w:val="auto"/>
          <w:sz w:val="24"/>
          <w:highlight w:val="none"/>
        </w:rPr>
        <w:t>（一）、资格证明文件顺序：</w:t>
      </w:r>
    </w:p>
    <w:p>
      <w:pPr>
        <w:spacing w:line="360" w:lineRule="auto"/>
        <w:ind w:firstLine="360" w:firstLineChars="150"/>
        <w:rPr>
          <w:rFonts w:ascii="宋体" w:hAnsi="宋体" w:cs="宋体-18030"/>
          <w:color w:val="auto"/>
          <w:sz w:val="24"/>
          <w:highlight w:val="none"/>
        </w:rPr>
      </w:pPr>
      <w:r>
        <w:rPr>
          <w:rFonts w:hint="eastAsia" w:ascii="宋体" w:hAnsi="宋体"/>
          <w:color w:val="auto"/>
          <w:sz w:val="24"/>
          <w:highlight w:val="none"/>
        </w:rPr>
        <w:t>1、</w:t>
      </w:r>
      <w:r>
        <w:rPr>
          <w:rFonts w:hint="eastAsia" w:ascii="宋体" w:hAnsi="宋体" w:cs="宋体-18030"/>
          <w:color w:val="auto"/>
          <w:sz w:val="24"/>
          <w:highlight w:val="none"/>
        </w:rPr>
        <w:t>营业执照副本复印件</w:t>
      </w:r>
    </w:p>
    <w:p>
      <w:pPr>
        <w:spacing w:line="360" w:lineRule="auto"/>
        <w:ind w:firstLine="360" w:firstLineChars="150"/>
        <w:rPr>
          <w:rFonts w:ascii="宋体" w:hAnsi="宋体" w:cs="宋体-18030"/>
          <w:color w:val="auto"/>
          <w:sz w:val="24"/>
          <w:highlight w:val="none"/>
        </w:rPr>
      </w:pPr>
      <w:r>
        <w:rPr>
          <w:rFonts w:hint="eastAsia" w:ascii="宋体" w:hAnsi="宋体" w:cs="宋体-18030"/>
          <w:color w:val="auto"/>
          <w:sz w:val="24"/>
          <w:highlight w:val="none"/>
        </w:rPr>
        <w:t>2、税务登记证副本复印件</w:t>
      </w:r>
      <w:r>
        <w:rPr>
          <w:rFonts w:hint="eastAsia" w:ascii="宋体" w:hAnsi="宋体" w:cs="宋体"/>
          <w:color w:val="auto"/>
          <w:kern w:val="0"/>
          <w:sz w:val="24"/>
          <w:highlight w:val="none"/>
        </w:rPr>
        <w:t>（三证合一企业提供营业执照副本即可）</w:t>
      </w:r>
    </w:p>
    <w:p>
      <w:pPr>
        <w:spacing w:line="360" w:lineRule="auto"/>
        <w:ind w:firstLine="360" w:firstLineChars="150"/>
        <w:rPr>
          <w:rFonts w:ascii="宋体" w:hAnsi="宋体" w:cs="宋体"/>
          <w:color w:val="auto"/>
          <w:kern w:val="0"/>
          <w:sz w:val="24"/>
          <w:highlight w:val="none"/>
        </w:rPr>
      </w:pPr>
      <w:r>
        <w:rPr>
          <w:rFonts w:hint="eastAsia" w:ascii="宋体" w:hAnsi="宋体" w:cs="宋体-18030"/>
          <w:color w:val="auto"/>
          <w:sz w:val="24"/>
          <w:highlight w:val="none"/>
        </w:rPr>
        <w:t>3、</w:t>
      </w:r>
      <w:r>
        <w:rPr>
          <w:rFonts w:hint="eastAsia" w:ascii="宋体" w:hAnsi="宋体" w:cs="宋体"/>
          <w:color w:val="auto"/>
          <w:kern w:val="0"/>
          <w:sz w:val="24"/>
          <w:highlight w:val="none"/>
        </w:rPr>
        <w:t>组织机构代码证副本复印件（三证合一企业提供营业执照副本即可）</w:t>
      </w:r>
    </w:p>
    <w:p>
      <w:pPr>
        <w:spacing w:line="360" w:lineRule="auto"/>
        <w:ind w:firstLine="360" w:firstLineChars="150"/>
        <w:rPr>
          <w:rFonts w:ascii="宋体" w:hAnsi="宋体" w:cs="宋体-18030"/>
          <w:color w:val="auto"/>
          <w:sz w:val="24"/>
          <w:highlight w:val="none"/>
        </w:rPr>
      </w:pPr>
      <w:r>
        <w:rPr>
          <w:rFonts w:hint="eastAsia" w:ascii="宋体" w:hAnsi="宋体" w:cs="宋体-18030"/>
          <w:color w:val="auto"/>
          <w:sz w:val="24"/>
          <w:highlight w:val="none"/>
        </w:rPr>
        <w:t>4、法定代表人、被授权人身份证复印件</w:t>
      </w:r>
    </w:p>
    <w:p>
      <w:pPr>
        <w:spacing w:line="360" w:lineRule="auto"/>
        <w:ind w:firstLine="360" w:firstLineChars="150"/>
        <w:rPr>
          <w:rFonts w:hint="eastAsia" w:ascii="宋体" w:hAnsi="宋体"/>
          <w:color w:val="auto"/>
          <w:sz w:val="24"/>
          <w:highlight w:val="none"/>
        </w:rPr>
      </w:pPr>
      <w:r>
        <w:rPr>
          <w:rFonts w:hint="eastAsia" w:ascii="宋体" w:hAnsi="宋体" w:cs="宋体-18030"/>
          <w:color w:val="auto"/>
          <w:sz w:val="24"/>
          <w:highlight w:val="none"/>
        </w:rPr>
        <w:t>5、</w:t>
      </w:r>
      <w:r>
        <w:rPr>
          <w:rFonts w:hint="eastAsia" w:ascii="宋体" w:hAnsi="宋体"/>
          <w:color w:val="auto"/>
          <w:sz w:val="24"/>
          <w:highlight w:val="none"/>
        </w:rPr>
        <w:t>法定代表人授权书（见附表1）</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、信用承诺书（见附表2）</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、一般纳税人证明</w:t>
      </w:r>
    </w:p>
    <w:p>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、招标文件要求的其他证明材料（如有）</w:t>
      </w:r>
    </w:p>
    <w:p>
      <w:pPr>
        <w:spacing w:line="360" w:lineRule="auto"/>
        <w:ind w:firstLine="360" w:firstLineChars="150"/>
        <w:rPr>
          <w:rFonts w:hint="eastAsia" w:ascii="宋体" w:hAnsi="宋体"/>
          <w:color w:val="auto"/>
          <w:sz w:val="24"/>
          <w:highlight w:val="none"/>
        </w:rPr>
      </w:pPr>
    </w:p>
    <w:p>
      <w:pPr>
        <w:spacing w:line="360" w:lineRule="auto"/>
        <w:ind w:firstLine="360" w:firstLineChars="150"/>
        <w:rPr>
          <w:rFonts w:hint="eastAsia" w:ascii="宋体" w:hAnsi="宋体"/>
          <w:color w:val="auto"/>
          <w:sz w:val="24"/>
          <w:highlight w:val="none"/>
        </w:rPr>
      </w:pPr>
    </w:p>
    <w:p>
      <w:pPr>
        <w:spacing w:line="360" w:lineRule="auto"/>
        <w:jc w:val="left"/>
        <w:rPr>
          <w:rFonts w:ascii="宋体" w:hAnsi="宋体"/>
          <w:color w:val="auto"/>
          <w:sz w:val="24"/>
          <w:highlight w:val="none"/>
        </w:rPr>
      </w:pPr>
      <w:r>
        <w:rPr>
          <w:rFonts w:ascii="宋体" w:hAnsi="宋体" w:cs="宋体-18030"/>
          <w:color w:val="auto"/>
          <w:sz w:val="24"/>
          <w:highlight w:val="none"/>
        </w:rPr>
        <w:br w:type="page"/>
      </w:r>
      <w:r>
        <w:rPr>
          <w:rFonts w:hint="eastAsia" w:ascii="宋体" w:hAnsi="宋体"/>
          <w:color w:val="auto"/>
          <w:sz w:val="24"/>
          <w:highlight w:val="none"/>
        </w:rPr>
        <w:t>附表1</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法定代表人授权书</w:t>
      </w:r>
    </w:p>
    <w:p>
      <w:pPr>
        <w:spacing w:line="360" w:lineRule="auto"/>
        <w:rPr>
          <w:rFonts w:ascii="宋体" w:hAnsi="宋体"/>
          <w:b/>
          <w:color w:val="auto"/>
          <w:highlight w:val="none"/>
        </w:rPr>
      </w:pPr>
    </w:p>
    <w:p>
      <w:pPr>
        <w:snapToGrid w:val="0"/>
        <w:spacing w:line="360" w:lineRule="auto"/>
        <w:rPr>
          <w:rFonts w:ascii="宋体" w:hAnsi="宋体"/>
          <w:b/>
          <w:color w:val="auto"/>
          <w:highlight w:val="none"/>
        </w:rPr>
      </w:pPr>
    </w:p>
    <w:p>
      <w:pPr>
        <w:snapToGrid w:val="0"/>
        <w:spacing w:line="360" w:lineRule="auto"/>
        <w:ind w:left="418" w:leftChars="-4" w:hanging="426" w:hangingChars="203"/>
        <w:rPr>
          <w:rFonts w:ascii="宋体" w:hAnsi="宋体"/>
          <w:color w:val="auto"/>
          <w:sz w:val="24"/>
          <w:highlight w:val="none"/>
        </w:rPr>
      </w:pPr>
      <w:r>
        <w:rPr>
          <w:rFonts w:hint="eastAsia" w:ascii="宋体" w:hAnsi="宋体"/>
          <w:color w:val="auto"/>
          <w:highlight w:val="none"/>
        </w:rPr>
        <w:tab/>
      </w:r>
      <w:r>
        <w:rPr>
          <w:rFonts w:hint="eastAsia" w:ascii="宋体" w:hAnsi="宋体"/>
          <w:color w:val="auto"/>
          <w:highlight w:val="none"/>
          <w:lang w:val="en-US" w:eastAsia="zh-CN"/>
        </w:rPr>
        <w:t xml:space="preserve">   </w:t>
      </w:r>
      <w:r>
        <w:rPr>
          <w:rFonts w:hint="eastAsia" w:ascii="宋体" w:hAnsi="宋体"/>
          <w:bCs/>
          <w:color w:val="auto"/>
          <w:sz w:val="24"/>
          <w:highlight w:val="none"/>
        </w:rPr>
        <w:t>兹授权(委托代理人姓名)(身份</w:t>
      </w:r>
      <w:r>
        <w:rPr>
          <w:rFonts w:ascii="宋体" w:hAnsi="宋体"/>
          <w:bCs/>
          <w:color w:val="auto"/>
          <w:sz w:val="24"/>
          <w:highlight w:val="none"/>
        </w:rPr>
        <w:t>证号</w:t>
      </w:r>
      <w:r>
        <w:rPr>
          <w:rFonts w:hint="eastAsia" w:ascii="宋体" w:hAnsi="宋体"/>
          <w:bCs/>
          <w:color w:val="auto"/>
          <w:sz w:val="24"/>
          <w:highlight w:val="none"/>
        </w:rPr>
        <w:t>）为我方委托代理人，参加</w:t>
      </w:r>
      <w:r>
        <w:rPr>
          <w:rFonts w:hint="eastAsia" w:ascii="宋体" w:hAnsi="宋体"/>
          <w:bCs/>
          <w:color w:val="auto"/>
          <w:sz w:val="24"/>
          <w:highlight w:val="none"/>
          <w:u w:val="single"/>
          <w:lang w:val="en-US" w:eastAsia="zh-CN"/>
        </w:rPr>
        <w:t xml:space="preserve">      </w:t>
      </w: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r>
        <w:rPr>
          <w:rFonts w:hint="eastAsia" w:ascii="宋体" w:hAnsi="宋体"/>
          <w:color w:val="auto"/>
          <w:sz w:val="24"/>
          <w:highlight w:val="none"/>
        </w:rPr>
        <w:t>项目编号)的投标活动，并以本公司名义处理一切与此次投标有关的事宜。</w:t>
      </w:r>
      <w:r>
        <w:rPr>
          <w:rFonts w:ascii="宋体" w:hAnsi="宋体"/>
          <w:color w:val="auto"/>
          <w:sz w:val="24"/>
          <w:highlight w:val="none"/>
        </w:rPr>
        <w:t>在</w:t>
      </w:r>
      <w:r>
        <w:rPr>
          <w:rFonts w:hint="eastAsia" w:ascii="宋体" w:hAnsi="宋体"/>
          <w:color w:val="auto"/>
          <w:sz w:val="24"/>
          <w:highlight w:val="none"/>
        </w:rPr>
        <w:t>此</w:t>
      </w:r>
      <w:r>
        <w:rPr>
          <w:rFonts w:ascii="宋体" w:hAnsi="宋体"/>
          <w:color w:val="auto"/>
          <w:sz w:val="24"/>
          <w:highlight w:val="none"/>
        </w:rPr>
        <w:t>次</w:t>
      </w:r>
      <w:r>
        <w:rPr>
          <w:rFonts w:hint="eastAsia" w:ascii="宋体" w:hAnsi="宋体"/>
          <w:color w:val="auto"/>
          <w:sz w:val="24"/>
          <w:highlight w:val="none"/>
        </w:rPr>
        <w:t>投标</w:t>
      </w:r>
      <w:r>
        <w:rPr>
          <w:rFonts w:ascii="宋体" w:hAnsi="宋体"/>
          <w:color w:val="auto"/>
          <w:sz w:val="24"/>
          <w:highlight w:val="none"/>
        </w:rPr>
        <w:t>过程</w:t>
      </w:r>
      <w:r>
        <w:rPr>
          <w:rFonts w:hint="eastAsia" w:ascii="宋体" w:hAnsi="宋体"/>
          <w:color w:val="auto"/>
          <w:sz w:val="24"/>
          <w:highlight w:val="none"/>
        </w:rPr>
        <w:t>中，</w:t>
      </w:r>
      <w:r>
        <w:rPr>
          <w:rFonts w:ascii="宋体" w:hAnsi="宋体"/>
          <w:color w:val="auto"/>
          <w:sz w:val="24"/>
          <w:highlight w:val="none"/>
        </w:rPr>
        <w:t>本</w:t>
      </w:r>
      <w:r>
        <w:rPr>
          <w:rFonts w:hint="eastAsia" w:ascii="宋体" w:hAnsi="宋体"/>
          <w:color w:val="auto"/>
          <w:sz w:val="24"/>
          <w:highlight w:val="none"/>
        </w:rPr>
        <w:t>公</w:t>
      </w:r>
      <w:r>
        <w:rPr>
          <w:rFonts w:ascii="宋体" w:hAnsi="宋体"/>
          <w:color w:val="auto"/>
          <w:sz w:val="24"/>
          <w:highlight w:val="none"/>
        </w:rPr>
        <w:t>司将承担该</w:t>
      </w:r>
      <w:r>
        <w:rPr>
          <w:rFonts w:hint="eastAsia" w:ascii="宋体" w:hAnsi="宋体"/>
          <w:color w:val="auto"/>
          <w:sz w:val="24"/>
          <w:highlight w:val="none"/>
        </w:rPr>
        <w:t>代理</w:t>
      </w:r>
      <w:r>
        <w:rPr>
          <w:rFonts w:ascii="宋体" w:hAnsi="宋体"/>
          <w:color w:val="auto"/>
          <w:sz w:val="24"/>
          <w:highlight w:val="none"/>
        </w:rPr>
        <w:t>人</w:t>
      </w:r>
      <w:r>
        <w:rPr>
          <w:rFonts w:hint="eastAsia" w:ascii="宋体" w:hAnsi="宋体"/>
          <w:color w:val="auto"/>
          <w:sz w:val="24"/>
          <w:highlight w:val="none"/>
        </w:rPr>
        <w:t>行</w:t>
      </w:r>
      <w:r>
        <w:rPr>
          <w:rFonts w:ascii="宋体" w:hAnsi="宋体"/>
          <w:color w:val="auto"/>
          <w:sz w:val="24"/>
          <w:highlight w:val="none"/>
        </w:rPr>
        <w:t>为的全部法律</w:t>
      </w:r>
      <w:r>
        <w:rPr>
          <w:rFonts w:hint="eastAsia" w:ascii="宋体" w:hAnsi="宋体"/>
          <w:color w:val="auto"/>
          <w:sz w:val="24"/>
          <w:highlight w:val="none"/>
        </w:rPr>
        <w:t>后</w:t>
      </w:r>
      <w:r>
        <w:rPr>
          <w:rFonts w:ascii="宋体" w:hAnsi="宋体"/>
          <w:color w:val="auto"/>
          <w:sz w:val="24"/>
          <w:highlight w:val="none"/>
        </w:rPr>
        <w:t>果和法律责任。</w:t>
      </w:r>
    </w:p>
    <w:p>
      <w:pPr>
        <w:snapToGrid w:val="0"/>
        <w:spacing w:line="360" w:lineRule="auto"/>
        <w:rPr>
          <w:rFonts w:ascii="宋体" w:hAnsi="宋体"/>
          <w:bCs/>
          <w:color w:val="auto"/>
          <w:sz w:val="24"/>
          <w:highlight w:val="none"/>
        </w:rPr>
      </w:pPr>
      <w:r>
        <w:rPr>
          <w:rFonts w:hint="eastAsia" w:ascii="宋体" w:hAnsi="宋体"/>
          <w:color w:val="auto"/>
          <w:sz w:val="24"/>
          <w:highlight w:val="none"/>
          <w:lang w:val="en-GB"/>
        </w:rPr>
        <w:t>本</w:t>
      </w:r>
      <w:r>
        <w:rPr>
          <w:rFonts w:hint="eastAsia" w:ascii="宋体" w:hAnsi="宋体"/>
          <w:color w:val="auto"/>
          <w:sz w:val="24"/>
          <w:highlight w:val="none"/>
        </w:rPr>
        <w:t>授权书</w:t>
      </w:r>
      <w:r>
        <w:rPr>
          <w:rFonts w:hint="eastAsia" w:ascii="宋体" w:hAnsi="宋体"/>
          <w:color w:val="auto"/>
          <w:sz w:val="24"/>
          <w:highlight w:val="none"/>
          <w:lang w:val="en-GB"/>
        </w:rPr>
        <w:t>有效期与本公司投标文件中标注的投标有效期相同，自签章之日起生效。</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法定代表人签字或盖章</w:t>
      </w: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被授权人签字</w:t>
      </w: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投标人公章</w:t>
      </w:r>
    </w:p>
    <w:p>
      <w:pPr>
        <w:snapToGrid w:val="0"/>
        <w:spacing w:line="360" w:lineRule="auto"/>
        <w:rPr>
          <w:rFonts w:ascii="宋体" w:hAnsi="宋体"/>
          <w:color w:val="auto"/>
          <w:sz w:val="24"/>
          <w:highlight w:val="none"/>
          <w:u w:val="single"/>
        </w:rPr>
      </w:pPr>
    </w:p>
    <w:p>
      <w:pPr>
        <w:snapToGrid w:val="0"/>
        <w:spacing w:line="360" w:lineRule="auto"/>
        <w:rPr>
          <w:rFonts w:ascii="宋体" w:hAnsi="宋体"/>
          <w:color w:val="auto"/>
          <w:sz w:val="24"/>
          <w:highlight w:val="none"/>
          <w:u w:val="single"/>
        </w:rPr>
      </w:pPr>
    </w:p>
    <w:p>
      <w:pPr>
        <w:snapToGrid w:val="0"/>
        <w:spacing w:line="360" w:lineRule="auto"/>
        <w:rPr>
          <w:rFonts w:ascii="宋体" w:hAnsi="宋体"/>
          <w:color w:val="auto"/>
          <w:sz w:val="24"/>
          <w:highlight w:val="none"/>
          <w:u w:val="single"/>
        </w:rPr>
      </w:pPr>
    </w:p>
    <w:p>
      <w:pPr>
        <w:snapToGrid w:val="0"/>
        <w:spacing w:line="360" w:lineRule="auto"/>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1、法定代表人和</w:t>
      </w:r>
      <w:r>
        <w:rPr>
          <w:rFonts w:ascii="宋体" w:hAnsi="宋体"/>
          <w:b/>
          <w:color w:val="auto"/>
          <w:sz w:val="24"/>
          <w:highlight w:val="none"/>
        </w:rPr>
        <w:t>被授权人</w:t>
      </w:r>
      <w:r>
        <w:rPr>
          <w:rFonts w:hint="eastAsia" w:ascii="宋体" w:hAnsi="宋体"/>
          <w:b/>
          <w:color w:val="auto"/>
          <w:sz w:val="24"/>
          <w:highlight w:val="none"/>
        </w:rPr>
        <w:t>签字</w:t>
      </w:r>
      <w:r>
        <w:rPr>
          <w:rFonts w:ascii="宋体" w:hAnsi="宋体"/>
          <w:b/>
          <w:color w:val="auto"/>
          <w:sz w:val="24"/>
          <w:highlight w:val="none"/>
        </w:rPr>
        <w:t>，</w:t>
      </w:r>
      <w:r>
        <w:rPr>
          <w:rFonts w:hint="eastAsia" w:ascii="宋体" w:hAnsi="宋体"/>
          <w:b/>
          <w:color w:val="auto"/>
          <w:sz w:val="24"/>
          <w:highlight w:val="none"/>
        </w:rPr>
        <w:t>必须是亲笔签名。</w:t>
      </w:r>
    </w:p>
    <w:p>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ascii="宋体" w:hAnsi="宋体"/>
          <w:b/>
          <w:color w:val="auto"/>
          <w:sz w:val="24"/>
          <w:highlight w:val="none"/>
        </w:rPr>
        <w:t>法定代</w:t>
      </w:r>
      <w:r>
        <w:rPr>
          <w:rFonts w:hint="eastAsia" w:ascii="宋体" w:hAnsi="宋体"/>
          <w:b/>
          <w:color w:val="auto"/>
          <w:sz w:val="24"/>
          <w:highlight w:val="none"/>
        </w:rPr>
        <w:t>表</w:t>
      </w:r>
      <w:r>
        <w:rPr>
          <w:rFonts w:ascii="宋体" w:hAnsi="宋体"/>
          <w:b/>
          <w:color w:val="auto"/>
          <w:sz w:val="24"/>
          <w:highlight w:val="none"/>
        </w:rPr>
        <w:t>人盖章</w:t>
      </w:r>
      <w:r>
        <w:rPr>
          <w:rFonts w:hint="eastAsia" w:ascii="宋体" w:hAnsi="宋体"/>
          <w:b/>
          <w:color w:val="auto"/>
          <w:sz w:val="24"/>
          <w:highlight w:val="none"/>
        </w:rPr>
        <w:t>和</w:t>
      </w:r>
      <w:r>
        <w:rPr>
          <w:rFonts w:ascii="宋体" w:hAnsi="宋体"/>
          <w:b/>
          <w:color w:val="auto"/>
          <w:sz w:val="24"/>
          <w:highlight w:val="none"/>
        </w:rPr>
        <w:t>投标人公章</w:t>
      </w:r>
      <w:r>
        <w:rPr>
          <w:rFonts w:hint="eastAsia" w:ascii="宋体" w:hAnsi="宋体"/>
          <w:b/>
          <w:color w:val="auto"/>
          <w:sz w:val="24"/>
          <w:highlight w:val="none"/>
        </w:rPr>
        <w:t>，</w:t>
      </w:r>
      <w:r>
        <w:rPr>
          <w:rFonts w:ascii="宋体" w:hAnsi="宋体"/>
          <w:b/>
          <w:color w:val="auto"/>
          <w:sz w:val="24"/>
          <w:highlight w:val="none"/>
        </w:rPr>
        <w:t>必须</w:t>
      </w:r>
      <w:r>
        <w:rPr>
          <w:rFonts w:hint="eastAsia" w:ascii="宋体" w:hAnsi="宋体"/>
          <w:b/>
          <w:color w:val="auto"/>
          <w:sz w:val="24"/>
          <w:highlight w:val="none"/>
        </w:rPr>
        <w:t>是经公安部门备案的印章。</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不得使用其他印章或电子制版签名。</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4、本文件应按规定签署，否则投标文件无效。</w:t>
      </w:r>
    </w:p>
    <w:p>
      <w:pPr>
        <w:snapToGrid w:val="0"/>
        <w:spacing w:line="360" w:lineRule="auto"/>
        <w:rPr>
          <w:rFonts w:ascii="宋体" w:hAnsi="宋体"/>
          <w:b/>
          <w:color w:val="auto"/>
          <w:sz w:val="24"/>
          <w:highlight w:val="none"/>
        </w:rPr>
      </w:pPr>
    </w:p>
    <w:p>
      <w:pPr>
        <w:spacing w:line="360" w:lineRule="auto"/>
        <w:rPr>
          <w:rFonts w:ascii="宋体" w:hAnsi="宋体" w:cs="宋体"/>
          <w:color w:val="auto"/>
          <w:kern w:val="0"/>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left"/>
        <w:rPr>
          <w:rFonts w:ascii="宋体" w:hAnsi="宋体"/>
          <w:color w:val="auto"/>
          <w:sz w:val="28"/>
          <w:szCs w:val="28"/>
          <w:highlight w:val="none"/>
        </w:rPr>
      </w:pPr>
      <w:r>
        <w:rPr>
          <w:rFonts w:ascii="宋体" w:hAnsi="宋体"/>
          <w:color w:val="auto"/>
          <w:sz w:val="36"/>
          <w:szCs w:val="36"/>
          <w:highlight w:val="none"/>
        </w:rPr>
        <w:br w:type="page"/>
      </w:r>
      <w:r>
        <w:rPr>
          <w:rFonts w:hint="eastAsia" w:ascii="宋体" w:hAnsi="宋体"/>
          <w:color w:val="auto"/>
          <w:sz w:val="24"/>
          <w:highlight w:val="none"/>
        </w:rPr>
        <w:t>附表2</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信用承诺书</w:t>
      </w:r>
    </w:p>
    <w:p>
      <w:pPr>
        <w:pStyle w:val="8"/>
        <w:spacing w:line="360" w:lineRule="auto"/>
        <w:ind w:firstLine="0" w:firstLineChars="0"/>
        <w:rPr>
          <w:rFonts w:ascii="宋体" w:hAnsi="宋体"/>
          <w:color w:val="auto"/>
          <w:sz w:val="24"/>
          <w:highlight w:val="none"/>
        </w:rPr>
      </w:pPr>
      <w:r>
        <w:rPr>
          <w:rFonts w:hint="eastAsia" w:ascii="宋体" w:hAnsi="宋体"/>
          <w:color w:val="auto"/>
          <w:sz w:val="24"/>
          <w:highlight w:val="none"/>
        </w:rPr>
        <w:t>致：（采购单位、采购代理机构）</w:t>
      </w:r>
    </w:p>
    <w:p>
      <w:pPr>
        <w:pStyle w:val="8"/>
        <w:spacing w:line="360" w:lineRule="auto"/>
        <w:ind w:firstLine="480"/>
        <w:rPr>
          <w:rFonts w:ascii="宋体" w:hAnsi="宋体"/>
          <w:color w:val="auto"/>
          <w:sz w:val="24"/>
          <w:highlight w:val="none"/>
        </w:rPr>
      </w:pPr>
      <w:r>
        <w:rPr>
          <w:rFonts w:hint="eastAsia" w:ascii="宋体" w:hAnsi="宋体"/>
          <w:color w:val="auto"/>
          <w:sz w:val="24"/>
          <w:highlight w:val="none"/>
        </w:rPr>
        <w:t>我单位在参与（项目名称：</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）的采购活动中，</w:t>
      </w:r>
      <w:r>
        <w:rPr>
          <w:rFonts w:hint="eastAsia" w:ascii="宋体" w:hAnsi="宋体"/>
          <w:color w:val="auto"/>
          <w:sz w:val="24"/>
          <w:highlight w:val="none"/>
          <w:lang w:val="en-US" w:eastAsia="zh-CN"/>
        </w:rPr>
        <w:t>自愿</w:t>
      </w:r>
      <w:r>
        <w:rPr>
          <w:rFonts w:hint="eastAsia" w:ascii="宋体" w:hAnsi="宋体"/>
          <w:color w:val="auto"/>
          <w:sz w:val="24"/>
          <w:highlight w:val="none"/>
        </w:rPr>
        <w:t>做出承诺：根据《中华人民共和国政府采购法》《中华人民共和国政府采购法实施条例》等规定及采购文件资格要求，我单位符合以下条件：</w:t>
      </w:r>
    </w:p>
    <w:p>
      <w:pPr>
        <w:pStyle w:val="8"/>
        <w:numPr>
          <w:ilvl w:val="0"/>
          <w:numId w:val="1"/>
        </w:numPr>
        <w:spacing w:line="360" w:lineRule="auto"/>
        <w:ind w:firstLineChars="0"/>
        <w:rPr>
          <w:rFonts w:ascii="宋体" w:hAnsi="宋体"/>
          <w:color w:val="auto"/>
          <w:sz w:val="24"/>
          <w:highlight w:val="none"/>
        </w:rPr>
      </w:pPr>
      <w:r>
        <w:rPr>
          <w:rFonts w:hint="eastAsia" w:ascii="宋体" w:hAnsi="宋体"/>
          <w:color w:val="auto"/>
          <w:sz w:val="24"/>
          <w:highlight w:val="none"/>
        </w:rPr>
        <w:t>具有良好的商业信用和健全的财务会计制度；</w:t>
      </w:r>
    </w:p>
    <w:p>
      <w:pPr>
        <w:pStyle w:val="8"/>
        <w:numPr>
          <w:ilvl w:val="0"/>
          <w:numId w:val="1"/>
        </w:numPr>
        <w:spacing w:line="360" w:lineRule="auto"/>
        <w:ind w:firstLineChars="0"/>
        <w:rPr>
          <w:rFonts w:ascii="宋体" w:hAnsi="宋体"/>
          <w:color w:val="auto"/>
          <w:sz w:val="24"/>
          <w:highlight w:val="none"/>
        </w:rPr>
      </w:pPr>
      <w:r>
        <w:rPr>
          <w:rFonts w:hint="eastAsia" w:ascii="宋体" w:hAnsi="宋体"/>
          <w:color w:val="auto"/>
          <w:sz w:val="24"/>
          <w:highlight w:val="none"/>
        </w:rPr>
        <w:t>依法缴纳税收和社会保障资金的良好记录；</w:t>
      </w:r>
    </w:p>
    <w:p>
      <w:pPr>
        <w:pStyle w:val="8"/>
        <w:numPr>
          <w:ilvl w:val="0"/>
          <w:numId w:val="1"/>
        </w:numPr>
        <w:spacing w:line="360" w:lineRule="auto"/>
        <w:ind w:firstLineChars="0"/>
        <w:rPr>
          <w:rFonts w:ascii="宋体" w:hAnsi="宋体"/>
          <w:color w:val="auto"/>
          <w:sz w:val="24"/>
          <w:highlight w:val="none"/>
        </w:rPr>
      </w:pPr>
      <w:r>
        <w:rPr>
          <w:rFonts w:hint="eastAsia" w:ascii="宋体" w:hAnsi="宋体"/>
          <w:color w:val="auto"/>
          <w:sz w:val="24"/>
          <w:highlight w:val="none"/>
        </w:rPr>
        <w:t>参加政府采购活动前三年内，在经营活动中无重大违法记录。</w:t>
      </w:r>
    </w:p>
    <w:p>
      <w:pPr>
        <w:pStyle w:val="8"/>
        <w:spacing w:line="360" w:lineRule="auto"/>
        <w:ind w:left="420" w:firstLine="0" w:firstLineChars="0"/>
        <w:rPr>
          <w:rFonts w:ascii="宋体" w:hAnsi="宋体"/>
          <w:color w:val="auto"/>
          <w:sz w:val="24"/>
          <w:highlight w:val="none"/>
        </w:rPr>
      </w:pPr>
      <w:r>
        <w:rPr>
          <w:rFonts w:hint="eastAsia" w:ascii="宋体" w:hAnsi="宋体"/>
          <w:color w:val="auto"/>
          <w:sz w:val="24"/>
          <w:highlight w:val="none"/>
        </w:rPr>
        <w:t>若我单位以上承诺不实，自愿承担提供虚假材料的法律责任。</w:t>
      </w:r>
    </w:p>
    <w:p>
      <w:pPr>
        <w:pStyle w:val="8"/>
        <w:spacing w:line="360" w:lineRule="auto"/>
        <w:ind w:left="420" w:firstLine="0" w:firstLineChars="0"/>
        <w:rPr>
          <w:rFonts w:ascii="宋体" w:hAnsi="宋体"/>
          <w:color w:val="auto"/>
          <w:sz w:val="24"/>
          <w:highlight w:val="none"/>
        </w:rPr>
      </w:pPr>
    </w:p>
    <w:p>
      <w:pPr>
        <w:pStyle w:val="8"/>
        <w:spacing w:line="360" w:lineRule="auto"/>
        <w:ind w:left="420" w:firstLine="0" w:firstLineChars="0"/>
        <w:rPr>
          <w:color w:val="auto"/>
          <w:highlight w:val="none"/>
        </w:rPr>
      </w:pPr>
    </w:p>
    <w:p>
      <w:pPr>
        <w:pStyle w:val="8"/>
        <w:spacing w:line="360" w:lineRule="auto"/>
        <w:ind w:left="420" w:firstLine="0" w:firstLineChars="0"/>
        <w:rPr>
          <w:color w:val="auto"/>
          <w:highlight w:val="none"/>
        </w:rPr>
      </w:pPr>
    </w:p>
    <w:p>
      <w:pPr>
        <w:pStyle w:val="8"/>
        <w:spacing w:line="360" w:lineRule="auto"/>
        <w:ind w:left="420" w:firstLine="0" w:firstLineChars="0"/>
        <w:rPr>
          <w:color w:val="auto"/>
          <w:sz w:val="28"/>
          <w:szCs w:val="28"/>
          <w:highlight w:val="none"/>
        </w:rPr>
      </w:pPr>
    </w:p>
    <w:p>
      <w:pPr>
        <w:pStyle w:val="8"/>
        <w:spacing w:line="360" w:lineRule="auto"/>
        <w:ind w:left="420" w:firstLine="2280" w:firstLineChars="950"/>
        <w:rPr>
          <w:rFonts w:ascii="宋体" w:hAnsi="宋体"/>
          <w:color w:val="auto"/>
          <w:sz w:val="24"/>
          <w:highlight w:val="none"/>
        </w:rPr>
      </w:pPr>
      <w:r>
        <w:rPr>
          <w:rFonts w:hint="eastAsia" w:ascii="宋体" w:hAnsi="宋体"/>
          <w:color w:val="auto"/>
          <w:sz w:val="24"/>
          <w:highlight w:val="none"/>
        </w:rPr>
        <w:t>承诺</w:t>
      </w:r>
      <w:r>
        <w:rPr>
          <w:rFonts w:hint="eastAsia" w:ascii="宋体" w:hAnsi="宋体"/>
          <w:color w:val="auto"/>
          <w:sz w:val="24"/>
          <w:highlight w:val="none"/>
          <w:lang w:eastAsia="zh-CN"/>
        </w:rPr>
        <w:t>投标人</w:t>
      </w:r>
      <w:r>
        <w:rPr>
          <w:rFonts w:hint="eastAsia" w:ascii="宋体" w:hAnsi="宋体"/>
          <w:color w:val="auto"/>
          <w:sz w:val="24"/>
          <w:highlight w:val="none"/>
        </w:rPr>
        <w:t>（公章）：</w:t>
      </w:r>
    </w:p>
    <w:p>
      <w:pPr>
        <w:pStyle w:val="8"/>
        <w:spacing w:line="360" w:lineRule="auto"/>
        <w:ind w:left="420" w:firstLine="2280" w:firstLineChars="950"/>
        <w:rPr>
          <w:rFonts w:ascii="宋体" w:hAnsi="宋体"/>
          <w:color w:val="auto"/>
          <w:sz w:val="24"/>
          <w:highlight w:val="none"/>
        </w:rPr>
      </w:pPr>
      <w:r>
        <w:rPr>
          <w:rFonts w:hint="eastAsia" w:ascii="宋体" w:hAnsi="宋体"/>
          <w:color w:val="auto"/>
          <w:sz w:val="24"/>
          <w:highlight w:val="none"/>
        </w:rPr>
        <w:t>单位负责人或授权代表（签字）：</w:t>
      </w:r>
    </w:p>
    <w:p>
      <w:pPr>
        <w:pStyle w:val="8"/>
        <w:spacing w:line="360" w:lineRule="auto"/>
        <w:ind w:left="420" w:firstLine="2280" w:firstLineChars="950"/>
        <w:rPr>
          <w:rFonts w:ascii="宋体" w:hAnsi="宋体"/>
          <w:color w:val="auto"/>
          <w:sz w:val="24"/>
          <w:highlight w:val="none"/>
        </w:rPr>
      </w:pPr>
      <w:r>
        <w:rPr>
          <w:rFonts w:hint="eastAsia" w:ascii="宋体" w:hAnsi="宋体"/>
          <w:color w:val="auto"/>
          <w:sz w:val="24"/>
          <w:highlight w:val="none"/>
        </w:rPr>
        <w:t>日期：</w:t>
      </w:r>
    </w:p>
    <w:p>
      <w:pPr>
        <w:pStyle w:val="8"/>
        <w:spacing w:line="360" w:lineRule="auto"/>
        <w:ind w:left="420" w:firstLine="0" w:firstLineChars="0"/>
        <w:rPr>
          <w:rFonts w:ascii="宋体" w:hAnsi="宋体"/>
          <w:color w:val="auto"/>
          <w:sz w:val="24"/>
          <w:highlight w:val="none"/>
        </w:rPr>
      </w:pPr>
    </w:p>
    <w:p>
      <w:pPr>
        <w:pStyle w:val="8"/>
        <w:spacing w:line="360" w:lineRule="auto"/>
        <w:ind w:left="420" w:firstLine="0" w:firstLineChars="0"/>
        <w:rPr>
          <w:color w:val="auto"/>
          <w:highlight w:val="none"/>
        </w:rPr>
      </w:pPr>
    </w:p>
    <w:p>
      <w:pPr>
        <w:pStyle w:val="8"/>
        <w:spacing w:line="360" w:lineRule="auto"/>
        <w:ind w:left="420" w:firstLine="0" w:firstLineChars="0"/>
        <w:rPr>
          <w:color w:val="auto"/>
          <w:highlight w:val="none"/>
        </w:rPr>
      </w:pPr>
    </w:p>
    <w:p>
      <w:pPr>
        <w:pStyle w:val="8"/>
        <w:spacing w:line="360" w:lineRule="auto"/>
        <w:ind w:left="0" w:leftChars="0" w:firstLine="480" w:firstLineChars="200"/>
        <w:rPr>
          <w:color w:val="auto"/>
          <w:sz w:val="24"/>
          <w:highlight w:val="none"/>
        </w:rPr>
      </w:pPr>
      <w:r>
        <w:rPr>
          <w:rFonts w:hint="eastAsia"/>
          <w:color w:val="auto"/>
          <w:sz w:val="24"/>
          <w:highlight w:val="none"/>
        </w:rPr>
        <w:t>说明：</w:t>
      </w:r>
      <w:r>
        <w:rPr>
          <w:rFonts w:hint="eastAsia"/>
          <w:color w:val="auto"/>
          <w:sz w:val="24"/>
          <w:highlight w:val="none"/>
          <w:lang w:eastAsia="zh-CN"/>
        </w:rPr>
        <w:t>投标人</w:t>
      </w:r>
      <w:r>
        <w:rPr>
          <w:rFonts w:hint="eastAsia"/>
          <w:color w:val="auto"/>
          <w:sz w:val="24"/>
          <w:highlight w:val="none"/>
        </w:rPr>
        <w:t>可自行选择是否提供本承诺书，若不提供，应按《中华人民共和国政府采购法》《中华人民共和国政府采购法实施条例》等规定及采购文件资格要求提供相应的证明材料。</w:t>
      </w:r>
    </w:p>
    <w:p>
      <w:pPr>
        <w:spacing w:line="360" w:lineRule="auto"/>
        <w:jc w:val="center"/>
        <w:rPr>
          <w:rFonts w:ascii="宋体" w:hAnsi="宋体" w:cs="宋体-18030"/>
          <w:color w:val="auto"/>
          <w:sz w:val="36"/>
          <w:szCs w:val="36"/>
          <w:highlight w:val="none"/>
        </w:rPr>
      </w:pPr>
      <w:r>
        <w:rPr>
          <w:rFonts w:ascii="宋体" w:hAnsi="宋体"/>
          <w:color w:val="auto"/>
          <w:sz w:val="24"/>
          <w:highlight w:val="none"/>
        </w:rPr>
        <w:br w:type="page"/>
      </w:r>
      <w:r>
        <w:rPr>
          <w:rFonts w:hint="eastAsia" w:ascii="宋体" w:hAnsi="宋体"/>
          <w:color w:val="auto"/>
          <w:sz w:val="36"/>
          <w:szCs w:val="36"/>
          <w:highlight w:val="none"/>
        </w:rPr>
        <w:t>五、</w:t>
      </w:r>
      <w:r>
        <w:rPr>
          <w:rFonts w:hint="eastAsia" w:ascii="宋体" w:hAnsi="宋体" w:cs="宋体-18030"/>
          <w:color w:val="auto"/>
          <w:sz w:val="36"/>
          <w:szCs w:val="36"/>
          <w:highlight w:val="none"/>
        </w:rPr>
        <w:t>项目实施方案</w:t>
      </w:r>
    </w:p>
    <w:p>
      <w:pPr>
        <w:spacing w:line="360" w:lineRule="auto"/>
        <w:jc w:val="center"/>
        <w:rPr>
          <w:rFonts w:ascii="宋体" w:hAnsi="宋体"/>
          <w:color w:val="auto"/>
          <w:sz w:val="24"/>
          <w:highlight w:val="none"/>
        </w:rPr>
      </w:pPr>
      <w:r>
        <w:rPr>
          <w:rFonts w:hint="eastAsia" w:ascii="宋体" w:hAnsi="宋体"/>
          <w:color w:val="auto"/>
          <w:sz w:val="32"/>
          <w:szCs w:val="32"/>
          <w:highlight w:val="none"/>
          <w:lang w:val="en-US" w:eastAsia="zh-CN"/>
        </w:rPr>
        <w:t>（格式自拟）</w:t>
      </w:r>
    </w:p>
    <w:p>
      <w:pPr>
        <w:spacing w:line="360" w:lineRule="auto"/>
        <w:jc w:val="center"/>
        <w:rPr>
          <w:rFonts w:ascii="宋体" w:hAnsi="宋体" w:cs="宋体-18030"/>
          <w:color w:val="auto"/>
          <w:sz w:val="24"/>
          <w:highlight w:val="none"/>
        </w:rPr>
      </w:pPr>
    </w:p>
    <w:p>
      <w:pPr>
        <w:spacing w:line="360" w:lineRule="auto"/>
        <w:rPr>
          <w:rFonts w:ascii="宋体" w:hAnsi="宋体" w:cs="宋体"/>
          <w:color w:val="auto"/>
          <w:kern w:val="0"/>
          <w:sz w:val="24"/>
          <w:highlight w:val="none"/>
        </w:rPr>
      </w:pPr>
    </w:p>
    <w:p>
      <w:pPr>
        <w:rPr>
          <w:rFonts w:ascii="宋体" w:hAnsi="宋体"/>
          <w:color w:val="auto"/>
          <w:sz w:val="32"/>
          <w:szCs w:val="32"/>
          <w:highlight w:val="none"/>
        </w:rPr>
      </w:pPr>
      <w:r>
        <w:rPr>
          <w:rFonts w:ascii="宋体" w:hAnsi="宋体"/>
          <w:color w:val="auto"/>
          <w:sz w:val="32"/>
          <w:szCs w:val="32"/>
          <w:highlight w:val="none"/>
        </w:rPr>
        <w:br w:type="page"/>
      </w:r>
    </w:p>
    <w:p>
      <w:pPr>
        <w:jc w:val="center"/>
        <w:rPr>
          <w:rFonts w:ascii="宋体" w:hAnsi="宋体" w:cs="宋体-18030"/>
          <w:color w:val="auto"/>
          <w:sz w:val="36"/>
          <w:szCs w:val="36"/>
          <w:highlight w:val="none"/>
        </w:rPr>
      </w:pPr>
      <w:r>
        <w:rPr>
          <w:rFonts w:hint="eastAsia" w:ascii="宋体" w:hAnsi="宋体"/>
          <w:color w:val="auto"/>
          <w:sz w:val="36"/>
          <w:szCs w:val="36"/>
          <w:highlight w:val="none"/>
        </w:rPr>
        <w:t>六、</w:t>
      </w:r>
      <w:r>
        <w:rPr>
          <w:rFonts w:hint="eastAsia" w:ascii="宋体" w:hAnsi="宋体" w:cs="宋体-18030"/>
          <w:color w:val="auto"/>
          <w:sz w:val="36"/>
          <w:szCs w:val="36"/>
          <w:highlight w:val="none"/>
        </w:rPr>
        <w:t>人员的综合素质和人员配置</w:t>
      </w:r>
    </w:p>
    <w:p>
      <w:pPr>
        <w:spacing w:line="360" w:lineRule="auto"/>
        <w:jc w:val="center"/>
        <w:rPr>
          <w:rFonts w:ascii="宋体" w:hAnsi="宋体"/>
          <w:color w:val="auto"/>
          <w:sz w:val="32"/>
          <w:szCs w:val="32"/>
          <w:highlight w:val="none"/>
        </w:rPr>
      </w:pPr>
      <w:r>
        <w:rPr>
          <w:rFonts w:hint="eastAsia" w:ascii="宋体" w:hAnsi="宋体" w:cs="宋体-18030"/>
          <w:color w:val="auto"/>
          <w:sz w:val="32"/>
          <w:szCs w:val="32"/>
          <w:highlight w:val="none"/>
        </w:rPr>
        <w:t>（附相关证明，格式自拟）</w:t>
      </w:r>
    </w:p>
    <w:p>
      <w:pPr>
        <w:rPr>
          <w:rFonts w:ascii="宋体" w:hAnsi="宋体"/>
          <w:color w:val="auto"/>
          <w:sz w:val="36"/>
          <w:szCs w:val="36"/>
          <w:highlight w:val="none"/>
        </w:rPr>
      </w:pPr>
      <w:r>
        <w:rPr>
          <w:rFonts w:ascii="宋体" w:hAnsi="宋体"/>
          <w:color w:val="auto"/>
          <w:sz w:val="36"/>
          <w:szCs w:val="36"/>
          <w:highlight w:val="none"/>
        </w:rPr>
        <w:br w:type="page"/>
      </w:r>
    </w:p>
    <w:p>
      <w:pPr>
        <w:jc w:val="center"/>
        <w:rPr>
          <w:rFonts w:hint="default" w:ascii="宋体" w:hAnsi="宋体" w:eastAsia="宋体" w:cs="宋体-18030"/>
          <w:color w:val="auto"/>
          <w:sz w:val="36"/>
          <w:szCs w:val="36"/>
          <w:highlight w:val="none"/>
          <w:lang w:val="en-US" w:eastAsia="zh-CN"/>
        </w:rPr>
      </w:pPr>
      <w:r>
        <w:rPr>
          <w:rFonts w:hint="eastAsia" w:ascii="宋体" w:hAnsi="宋体"/>
          <w:color w:val="auto"/>
          <w:sz w:val="36"/>
          <w:szCs w:val="36"/>
          <w:highlight w:val="none"/>
          <w:lang w:val="en-US" w:eastAsia="zh-CN"/>
        </w:rPr>
        <w:t>七</w:t>
      </w:r>
      <w:r>
        <w:rPr>
          <w:rFonts w:hint="eastAsia" w:ascii="宋体" w:hAnsi="宋体"/>
          <w:color w:val="auto"/>
          <w:sz w:val="36"/>
          <w:szCs w:val="36"/>
          <w:highlight w:val="none"/>
        </w:rPr>
        <w:t>、</w:t>
      </w:r>
      <w:r>
        <w:rPr>
          <w:rFonts w:hint="eastAsia" w:ascii="宋体" w:hAnsi="宋体" w:cs="宋体-18030"/>
          <w:color w:val="auto"/>
          <w:sz w:val="36"/>
          <w:szCs w:val="36"/>
          <w:highlight w:val="none"/>
          <w:lang w:val="en-US" w:eastAsia="zh-CN"/>
        </w:rPr>
        <w:t>车辆配备方案</w:t>
      </w:r>
    </w:p>
    <w:p>
      <w:pPr>
        <w:spacing w:line="360" w:lineRule="auto"/>
        <w:jc w:val="center"/>
        <w:rPr>
          <w:rFonts w:ascii="宋体" w:hAnsi="宋体"/>
          <w:color w:val="auto"/>
          <w:sz w:val="32"/>
          <w:szCs w:val="32"/>
          <w:highlight w:val="none"/>
        </w:rPr>
      </w:pPr>
      <w:r>
        <w:rPr>
          <w:rFonts w:hint="eastAsia" w:ascii="宋体" w:hAnsi="宋体" w:cs="宋体-18030"/>
          <w:color w:val="auto"/>
          <w:sz w:val="32"/>
          <w:szCs w:val="32"/>
          <w:highlight w:val="none"/>
        </w:rPr>
        <w:t>（附相关证明，格式自拟）</w:t>
      </w:r>
    </w:p>
    <w:p>
      <w:pPr>
        <w:rPr>
          <w:rFonts w:ascii="宋体" w:hAnsi="宋体"/>
          <w:color w:val="auto"/>
          <w:sz w:val="36"/>
          <w:szCs w:val="36"/>
          <w:highlight w:val="none"/>
        </w:rPr>
      </w:pPr>
      <w:r>
        <w:rPr>
          <w:rFonts w:ascii="宋体" w:hAnsi="宋体"/>
          <w:color w:val="auto"/>
          <w:sz w:val="36"/>
          <w:szCs w:val="36"/>
          <w:highlight w:val="none"/>
        </w:rPr>
        <w:br w:type="page"/>
      </w:r>
    </w:p>
    <w:p>
      <w:pPr>
        <w:spacing w:before="120" w:line="360" w:lineRule="auto"/>
        <w:jc w:val="center"/>
        <w:rPr>
          <w:rFonts w:ascii="宋体" w:hAnsi="宋体" w:cs="宋体-18030"/>
          <w:color w:val="auto"/>
          <w:sz w:val="36"/>
          <w:szCs w:val="36"/>
          <w:highlight w:val="none"/>
        </w:rPr>
      </w:pPr>
      <w:r>
        <w:rPr>
          <w:rFonts w:hint="eastAsia" w:ascii="宋体" w:hAnsi="宋体" w:cs="宋体-18030"/>
          <w:color w:val="auto"/>
          <w:sz w:val="36"/>
          <w:szCs w:val="36"/>
          <w:highlight w:val="none"/>
          <w:lang w:val="en-US" w:eastAsia="zh-CN"/>
        </w:rPr>
        <w:t>八</w:t>
      </w:r>
      <w:r>
        <w:rPr>
          <w:rFonts w:hint="eastAsia" w:ascii="宋体" w:hAnsi="宋体" w:cs="宋体-18030"/>
          <w:color w:val="auto"/>
          <w:sz w:val="36"/>
          <w:szCs w:val="36"/>
          <w:highlight w:val="none"/>
        </w:rPr>
        <w:t>、服务保障方案</w:t>
      </w:r>
    </w:p>
    <w:p>
      <w:pPr>
        <w:spacing w:line="360" w:lineRule="auto"/>
        <w:jc w:val="center"/>
        <w:rPr>
          <w:rFonts w:ascii="宋体" w:hAnsi="宋体"/>
          <w:color w:val="auto"/>
          <w:sz w:val="24"/>
          <w:highlight w:val="none"/>
        </w:rPr>
      </w:pPr>
      <w:r>
        <w:rPr>
          <w:rFonts w:hint="eastAsia" w:ascii="宋体" w:hAnsi="宋体"/>
          <w:color w:val="auto"/>
          <w:sz w:val="32"/>
          <w:szCs w:val="32"/>
          <w:highlight w:val="none"/>
          <w:lang w:val="en-US" w:eastAsia="zh-CN"/>
        </w:rPr>
        <w:t>（格式自拟）</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before="120" w:line="360" w:lineRule="auto"/>
        <w:jc w:val="center"/>
        <w:rPr>
          <w:rFonts w:ascii="宋体" w:hAnsi="宋体"/>
          <w:b/>
          <w:color w:val="auto"/>
          <w:sz w:val="24"/>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spacing w:before="120" w:line="360" w:lineRule="auto"/>
        <w:jc w:val="center"/>
        <w:rPr>
          <w:rFonts w:hint="eastAsia" w:ascii="宋体" w:hAnsi="宋体" w:cs="宋体-18030"/>
          <w:color w:val="auto"/>
          <w:sz w:val="36"/>
          <w:szCs w:val="36"/>
          <w:highlight w:val="none"/>
          <w:lang w:eastAsia="zh-CN"/>
        </w:rPr>
      </w:pPr>
      <w:r>
        <w:rPr>
          <w:rFonts w:hint="eastAsia" w:ascii="宋体" w:hAnsi="宋体" w:cs="宋体-18030"/>
          <w:color w:val="auto"/>
          <w:sz w:val="36"/>
          <w:szCs w:val="36"/>
          <w:highlight w:val="none"/>
          <w:lang w:val="en-US" w:eastAsia="zh-CN"/>
        </w:rPr>
        <w:t>九</w:t>
      </w:r>
      <w:r>
        <w:rPr>
          <w:rFonts w:hint="eastAsia" w:ascii="宋体" w:hAnsi="宋体" w:cs="宋体-18030"/>
          <w:color w:val="auto"/>
          <w:sz w:val="36"/>
          <w:szCs w:val="36"/>
          <w:highlight w:val="none"/>
        </w:rPr>
        <w:t>、</w:t>
      </w:r>
      <w:r>
        <w:rPr>
          <w:rFonts w:hint="eastAsia" w:ascii="宋体" w:hAnsi="宋体" w:cs="宋体-18030"/>
          <w:color w:val="auto"/>
          <w:sz w:val="36"/>
          <w:szCs w:val="36"/>
          <w:highlight w:val="none"/>
          <w:lang w:val="en-US" w:eastAsia="zh-CN"/>
        </w:rPr>
        <w:t>应急预案</w:t>
      </w:r>
    </w:p>
    <w:p>
      <w:pPr>
        <w:spacing w:line="360" w:lineRule="auto"/>
        <w:jc w:val="center"/>
        <w:rPr>
          <w:rFonts w:ascii="宋体" w:hAnsi="宋体"/>
          <w:color w:val="auto"/>
          <w:sz w:val="24"/>
          <w:highlight w:val="none"/>
        </w:rPr>
      </w:pPr>
      <w:r>
        <w:rPr>
          <w:rFonts w:hint="eastAsia" w:ascii="宋体" w:hAnsi="宋体"/>
          <w:color w:val="auto"/>
          <w:sz w:val="32"/>
          <w:szCs w:val="32"/>
          <w:highlight w:val="none"/>
          <w:lang w:val="en-US" w:eastAsia="zh-CN"/>
        </w:rPr>
        <w:t>（格式自拟）</w:t>
      </w:r>
    </w:p>
    <w:p>
      <w:pPr>
        <w:pStyle w:val="13"/>
        <w:rPr>
          <w:rFonts w:hint="eastAsia" w:ascii="宋体" w:hAnsi="宋体" w:eastAsia="仿宋_GB2312"/>
          <w:color w:val="auto"/>
          <w:sz w:val="32"/>
          <w:szCs w:val="32"/>
          <w:highlight w:val="none"/>
          <w:lang w:val="en-US" w:eastAsia="zh-CN"/>
        </w:rPr>
      </w:pPr>
    </w:p>
    <w:p>
      <w:pPr>
        <w:rPr>
          <w:rFonts w:hint="eastAsia" w:ascii="宋体" w:hAnsi="宋体" w:eastAsia="仿宋_GB2312"/>
          <w:color w:val="auto"/>
          <w:sz w:val="32"/>
          <w:szCs w:val="32"/>
          <w:highlight w:val="none"/>
          <w:lang w:val="en-US" w:eastAsia="zh-CN"/>
        </w:rPr>
      </w:pPr>
      <w:r>
        <w:rPr>
          <w:rFonts w:hint="eastAsia" w:ascii="宋体" w:hAnsi="宋体" w:eastAsia="仿宋_GB2312"/>
          <w:color w:val="auto"/>
          <w:sz w:val="32"/>
          <w:szCs w:val="32"/>
          <w:highlight w:val="none"/>
          <w:lang w:val="en-US" w:eastAsia="zh-CN"/>
        </w:rPr>
        <w:br w:type="page"/>
      </w:r>
    </w:p>
    <w:p>
      <w:pPr>
        <w:spacing w:line="360" w:lineRule="auto"/>
        <w:jc w:val="center"/>
        <w:rPr>
          <w:rFonts w:ascii="宋体" w:hAnsi="宋体"/>
          <w:b/>
          <w:color w:val="auto"/>
          <w:sz w:val="24"/>
          <w:highlight w:val="none"/>
        </w:rPr>
      </w:pPr>
      <w:r>
        <w:rPr>
          <w:rFonts w:hint="eastAsia" w:ascii="宋体" w:hAnsi="宋体" w:cs="宋体-18030"/>
          <w:color w:val="auto"/>
          <w:sz w:val="36"/>
          <w:szCs w:val="36"/>
          <w:highlight w:val="none"/>
        </w:rPr>
        <w:t>十、近三年（202</w:t>
      </w:r>
      <w:r>
        <w:rPr>
          <w:rFonts w:hint="eastAsia" w:ascii="宋体" w:hAnsi="宋体" w:cs="宋体-18030"/>
          <w:color w:val="auto"/>
          <w:sz w:val="36"/>
          <w:szCs w:val="36"/>
          <w:highlight w:val="none"/>
          <w:lang w:val="en-US" w:eastAsia="zh-CN"/>
        </w:rPr>
        <w:t>1</w:t>
      </w:r>
      <w:r>
        <w:rPr>
          <w:rFonts w:hint="eastAsia" w:ascii="宋体" w:hAnsi="宋体" w:cs="宋体-18030"/>
          <w:color w:val="auto"/>
          <w:sz w:val="36"/>
          <w:szCs w:val="36"/>
          <w:highlight w:val="none"/>
        </w:rPr>
        <w:t>年1月1日至今）投标人完成的同类项目业绩一览表</w:t>
      </w:r>
      <w:r>
        <w:rPr>
          <w:rFonts w:hint="eastAsia" w:ascii="宋体" w:hAnsi="宋体"/>
          <w:b/>
          <w:color w:val="auto"/>
          <w:sz w:val="24"/>
          <w:highlight w:val="none"/>
        </w:rPr>
        <w:t>(以合同或中标通知书为准)</w:t>
      </w:r>
    </w:p>
    <w:p>
      <w:pPr>
        <w:spacing w:line="360" w:lineRule="auto"/>
        <w:ind w:left="120" w:leftChars="57"/>
        <w:jc w:val="center"/>
        <w:rPr>
          <w:rFonts w:ascii="宋体" w:hAnsi="宋体"/>
          <w:b/>
          <w:color w:val="auto"/>
          <w:highlight w:val="none"/>
        </w:rPr>
      </w:pPr>
    </w:p>
    <w:p>
      <w:pPr>
        <w:spacing w:line="360" w:lineRule="auto"/>
        <w:rPr>
          <w:rFonts w:hint="eastAsia" w:ascii="宋体" w:hAnsi="宋体" w:eastAsia="宋体" w:cs="Arial"/>
          <w:color w:val="auto"/>
          <w:sz w:val="24"/>
          <w:highlight w:val="none"/>
          <w:lang w:eastAsia="zh-CN"/>
        </w:rPr>
      </w:pPr>
      <w:r>
        <w:rPr>
          <w:rFonts w:ascii="宋体" w:hAnsi="宋体" w:cs="Arial"/>
          <w:color w:val="auto"/>
          <w:sz w:val="24"/>
          <w:highlight w:val="none"/>
        </w:rPr>
        <w:t>投标人</w:t>
      </w:r>
      <w:r>
        <w:rPr>
          <w:rFonts w:hint="eastAsia" w:ascii="宋体" w:hAnsi="宋体" w:cs="Arial"/>
          <w:color w:val="auto"/>
          <w:sz w:val="24"/>
          <w:highlight w:val="none"/>
          <w:lang w:eastAsia="zh-CN"/>
        </w:rPr>
        <w:t>：</w:t>
      </w:r>
    </w:p>
    <w:tbl>
      <w:tblPr>
        <w:tblStyle w:val="24"/>
        <w:tblW w:w="9489" w:type="dxa"/>
        <w:tblInd w:w="-5" w:type="dxa"/>
        <w:tblLayout w:type="fixed"/>
        <w:tblCellMar>
          <w:top w:w="0" w:type="dxa"/>
          <w:left w:w="108" w:type="dxa"/>
          <w:bottom w:w="0" w:type="dxa"/>
          <w:right w:w="108" w:type="dxa"/>
        </w:tblCellMar>
      </w:tblPr>
      <w:tblGrid>
        <w:gridCol w:w="748"/>
        <w:gridCol w:w="1267"/>
        <w:gridCol w:w="1338"/>
        <w:gridCol w:w="1267"/>
        <w:gridCol w:w="1425"/>
        <w:gridCol w:w="875"/>
        <w:gridCol w:w="2569"/>
      </w:tblGrid>
      <w:tr>
        <w:tblPrEx>
          <w:tblCellMar>
            <w:top w:w="0" w:type="dxa"/>
            <w:left w:w="108" w:type="dxa"/>
            <w:bottom w:w="0" w:type="dxa"/>
            <w:right w:w="108" w:type="dxa"/>
          </w:tblCellMar>
        </w:tblPrEx>
        <w:trPr>
          <w:trHeight w:val="328" w:hRule="atLeast"/>
        </w:trPr>
        <w:tc>
          <w:tcPr>
            <w:tcW w:w="748"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7"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338"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1267"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采购时间</w:t>
            </w:r>
          </w:p>
        </w:tc>
        <w:tc>
          <w:tcPr>
            <w:tcW w:w="142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75" w:type="dxa"/>
            <w:tcBorders>
              <w:top w:val="single" w:color="000000" w:sz="4" w:space="0"/>
              <w:left w:val="single" w:color="auto" w:sz="4" w:space="0"/>
              <w:bottom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256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单位联系人电话</w:t>
            </w: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tabs>
                <w:tab w:val="left" w:pos="300"/>
              </w:tabs>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rPr>
          <w:trHeight w:val="328"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top w:val="single" w:color="auto" w:sz="4" w:space="0"/>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r>
        <w:trPr>
          <w:trHeight w:val="328" w:hRule="atLeast"/>
        </w:trPr>
        <w:tc>
          <w:tcPr>
            <w:tcW w:w="74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338"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267" w:type="dxa"/>
            <w:tcBorders>
              <w:left w:val="single" w:color="000000"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1425" w:type="dxa"/>
            <w:tcBorders>
              <w:left w:val="single" w:color="000000" w:sz="4" w:space="0"/>
              <w:bottom w:val="single" w:color="000000"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875" w:type="dxa"/>
            <w:tcBorders>
              <w:left w:val="single" w:color="auto" w:sz="4" w:space="0"/>
              <w:bottom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c>
          <w:tcPr>
            <w:tcW w:w="2569" w:type="dxa"/>
            <w:tcBorders>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s="Arial"/>
                <w:color w:val="auto"/>
                <w:sz w:val="24"/>
                <w:highlight w:val="none"/>
              </w:rPr>
            </w:pPr>
          </w:p>
        </w:tc>
      </w:tr>
    </w:tbl>
    <w:p>
      <w:pPr>
        <w:spacing w:line="360" w:lineRule="auto"/>
        <w:ind w:firstLine="482" w:firstLineChars="200"/>
        <w:rPr>
          <w:rFonts w:ascii="宋体" w:hAnsi="宋体"/>
          <w:b/>
          <w:color w:val="auto"/>
          <w:highlight w:val="none"/>
        </w:rPr>
      </w:pPr>
      <w:r>
        <w:rPr>
          <w:rFonts w:hint="eastAsia" w:ascii="宋体" w:hAnsi="宋体"/>
          <w:b/>
          <w:color w:val="auto"/>
          <w:sz w:val="24"/>
          <w:highlight w:val="none"/>
        </w:rPr>
        <w:t>注：1、将合同或中标通知书复印件附在投标文件中；</w:t>
      </w:r>
    </w:p>
    <w:p>
      <w:pPr>
        <w:spacing w:line="360" w:lineRule="auto"/>
        <w:ind w:firstLine="964" w:firstLineChars="400"/>
        <w:rPr>
          <w:rFonts w:ascii="宋体" w:hAnsi="宋体" w:cs="Arial"/>
          <w:color w:val="auto"/>
          <w:sz w:val="24"/>
          <w:highlight w:val="none"/>
        </w:rPr>
      </w:pPr>
      <w:r>
        <w:rPr>
          <w:rFonts w:hint="eastAsia" w:ascii="宋体" w:hAnsi="宋体"/>
          <w:b/>
          <w:color w:val="auto"/>
          <w:sz w:val="24"/>
          <w:highlight w:val="none"/>
        </w:rPr>
        <w:t>2、上述材料必须真实可信，如有弄虚作假，一旦被发现将按废标处理，并报请政府采购管理部门严肃处理，追究有关单位和人员的责任。</w:t>
      </w:r>
    </w:p>
    <w:p>
      <w:pPr>
        <w:spacing w:line="360" w:lineRule="auto"/>
        <w:rPr>
          <w:rFonts w:ascii="宋体" w:hAnsi="宋体"/>
          <w:color w:val="auto"/>
          <w:sz w:val="32"/>
          <w:szCs w:val="32"/>
          <w:highlight w:val="none"/>
        </w:rPr>
      </w:pPr>
    </w:p>
    <w:p>
      <w:pPr>
        <w:rPr>
          <w:rFonts w:ascii="宋体" w:hAnsi="宋体"/>
          <w:color w:val="auto"/>
          <w:sz w:val="36"/>
          <w:szCs w:val="36"/>
          <w:highlight w:val="none"/>
        </w:rPr>
      </w:pPr>
      <w:r>
        <w:rPr>
          <w:rFonts w:ascii="宋体" w:hAnsi="宋体"/>
          <w:color w:val="auto"/>
          <w:sz w:val="36"/>
          <w:szCs w:val="36"/>
          <w:highlight w:val="none"/>
        </w:rPr>
        <w:br w:type="page"/>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十</w:t>
      </w:r>
      <w:r>
        <w:rPr>
          <w:rFonts w:hint="eastAsia" w:ascii="宋体" w:hAnsi="宋体"/>
          <w:color w:val="auto"/>
          <w:sz w:val="36"/>
          <w:szCs w:val="36"/>
          <w:highlight w:val="none"/>
          <w:lang w:val="en-US" w:eastAsia="zh-CN"/>
        </w:rPr>
        <w:t>一</w:t>
      </w:r>
      <w:r>
        <w:rPr>
          <w:rFonts w:hint="eastAsia" w:ascii="宋体" w:hAnsi="宋体"/>
          <w:color w:val="auto"/>
          <w:sz w:val="36"/>
          <w:szCs w:val="36"/>
          <w:highlight w:val="none"/>
        </w:rPr>
        <w:t>、其他</w:t>
      </w:r>
    </w:p>
    <w:p>
      <w:pPr>
        <w:spacing w:line="360" w:lineRule="auto"/>
        <w:jc w:val="center"/>
        <w:rPr>
          <w:rFonts w:ascii="宋体" w:hAnsi="宋体"/>
          <w:color w:val="auto"/>
          <w:sz w:val="32"/>
          <w:szCs w:val="32"/>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（一）投标人基本情况表</w:t>
      </w:r>
    </w:p>
    <w:p>
      <w:pPr>
        <w:spacing w:line="360" w:lineRule="auto"/>
        <w:ind w:firstLine="240"/>
        <w:rPr>
          <w:rFonts w:ascii="宋体" w:hAnsi="宋体"/>
          <w:b/>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w:t>
      </w:r>
      <w:r>
        <w:rPr>
          <w:rFonts w:ascii="宋体" w:hAnsi="宋体" w:cs="Arial"/>
          <w:color w:val="auto"/>
          <w:sz w:val="24"/>
          <w:highlight w:val="none"/>
        </w:rPr>
        <w:t>公司名称：电话号码：</w:t>
      </w:r>
    </w:p>
    <w:p>
      <w:pPr>
        <w:spacing w:line="360" w:lineRule="auto"/>
        <w:ind w:firstLine="24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地址：传真：</w:t>
      </w:r>
    </w:p>
    <w:p>
      <w:pPr>
        <w:spacing w:line="360" w:lineRule="auto"/>
        <w:ind w:firstLine="240"/>
        <w:rPr>
          <w:rFonts w:ascii="宋体" w:hAnsi="宋体" w:cs="Arial"/>
          <w:color w:val="auto"/>
          <w:sz w:val="24"/>
          <w:highlight w:val="none"/>
          <w:u w:val="singl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注册资金：经济性质:</w:t>
      </w:r>
    </w:p>
    <w:p>
      <w:pPr>
        <w:spacing w:line="360" w:lineRule="auto"/>
        <w:ind w:firstLine="24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w:t>
      </w:r>
      <w:r>
        <w:rPr>
          <w:rFonts w:ascii="宋体" w:hAnsi="宋体" w:cs="Arial"/>
          <w:color w:val="auto"/>
          <w:sz w:val="24"/>
          <w:highlight w:val="none"/>
        </w:rPr>
        <w:t>公司经营及资金状况:</w:t>
      </w: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ind w:firstLine="240"/>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5</w:t>
      </w:r>
      <w:r>
        <w:rPr>
          <w:rFonts w:hint="eastAsia" w:ascii="宋体" w:hAnsi="宋体" w:cs="Arial"/>
          <w:color w:val="auto"/>
          <w:sz w:val="24"/>
          <w:highlight w:val="none"/>
        </w:rPr>
        <w:t>）</w:t>
      </w:r>
      <w:r>
        <w:rPr>
          <w:rFonts w:ascii="宋体" w:hAnsi="宋体" w:cs="Arial"/>
          <w:color w:val="auto"/>
          <w:sz w:val="24"/>
          <w:highlight w:val="none"/>
        </w:rPr>
        <w:t>公司开户银行名称及帐号：地址：</w:t>
      </w:r>
    </w:p>
    <w:p>
      <w:pPr>
        <w:spacing w:line="360" w:lineRule="auto"/>
        <w:ind w:left="360"/>
        <w:rPr>
          <w:rFonts w:ascii="宋体" w:hAnsi="宋体" w:cs="Arial"/>
          <w:color w:val="auto"/>
          <w:sz w:val="24"/>
          <w:highlight w:val="none"/>
          <w:u w:val="single"/>
        </w:rPr>
      </w:pPr>
    </w:p>
    <w:p>
      <w:pPr>
        <w:spacing w:line="360" w:lineRule="auto"/>
        <w:ind w:left="360"/>
        <w:rPr>
          <w:rFonts w:ascii="宋体" w:hAnsi="宋体" w:cs="Arial"/>
          <w:color w:val="auto"/>
          <w:sz w:val="24"/>
          <w:highlight w:val="none"/>
          <w:u w:val="single"/>
        </w:rPr>
      </w:pPr>
    </w:p>
    <w:p>
      <w:pPr>
        <w:spacing w:line="360" w:lineRule="auto"/>
        <w:ind w:firstLine="240"/>
        <w:rPr>
          <w:rFonts w:ascii="宋体" w:hAnsi="宋体" w:cs="Arial"/>
          <w:color w:val="auto"/>
          <w:sz w:val="24"/>
          <w:highlight w:val="none"/>
        </w:rPr>
      </w:pPr>
      <w:r>
        <w:rPr>
          <w:rFonts w:hint="eastAsia" w:ascii="宋体" w:hAnsi="宋体" w:cs="Arial"/>
          <w:color w:val="auto"/>
          <w:sz w:val="24"/>
          <w:highlight w:val="none"/>
        </w:rPr>
        <w:t>（6）</w:t>
      </w:r>
      <w:r>
        <w:rPr>
          <w:rFonts w:ascii="宋体" w:hAnsi="宋体" w:cs="Arial"/>
          <w:color w:val="auto"/>
          <w:sz w:val="24"/>
          <w:highlight w:val="none"/>
        </w:rPr>
        <w:t>营业注册执照号：</w:t>
      </w: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r>
        <w:rPr>
          <w:rFonts w:hint="eastAsia" w:ascii="宋体" w:hAnsi="宋体" w:cs="Arial"/>
          <w:color w:val="auto"/>
          <w:sz w:val="24"/>
          <w:highlight w:val="none"/>
        </w:rPr>
        <w:t>（7）其他说明：</w:t>
      </w:r>
    </w:p>
    <w:p>
      <w:pPr>
        <w:spacing w:line="360" w:lineRule="auto"/>
        <w:rPr>
          <w:rFonts w:ascii="宋体" w:hAnsi="宋体" w:cs="Arial"/>
          <w:color w:val="auto"/>
          <w:sz w:val="24"/>
          <w:highlight w:val="none"/>
        </w:rPr>
      </w:pPr>
    </w:p>
    <w:p>
      <w:pPr>
        <w:spacing w:line="360" w:lineRule="auto"/>
        <w:ind w:firstLine="570"/>
        <w:rPr>
          <w:rFonts w:ascii="宋体" w:hAnsi="宋体" w:cs="Arial"/>
          <w:color w:val="auto"/>
          <w:sz w:val="24"/>
          <w:highlight w:val="none"/>
        </w:rPr>
      </w:pPr>
      <w:r>
        <w:rPr>
          <w:rFonts w:ascii="宋体" w:hAnsi="宋体" w:cs="Arial"/>
          <w:color w:val="auto"/>
          <w:sz w:val="24"/>
          <w:highlight w:val="none"/>
        </w:rPr>
        <w:t>我/我们声明以上所述是正确无误的，您有权进行您认为必要的所有调查。</w:t>
      </w: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r>
        <w:rPr>
          <w:rFonts w:ascii="宋体" w:hAnsi="宋体" w:cs="Arial"/>
          <w:color w:val="auto"/>
          <w:sz w:val="24"/>
          <w:highlight w:val="none"/>
        </w:rPr>
        <w:t>日期：</w:t>
      </w:r>
    </w:p>
    <w:p>
      <w:pPr>
        <w:spacing w:line="360" w:lineRule="auto"/>
        <w:rPr>
          <w:rFonts w:ascii="宋体" w:hAnsi="宋体" w:cs="Arial"/>
          <w:color w:val="auto"/>
          <w:sz w:val="24"/>
          <w:highlight w:val="none"/>
        </w:rPr>
      </w:pPr>
      <w:r>
        <w:rPr>
          <w:rFonts w:hint="eastAsia" w:ascii="宋体" w:hAnsi="宋体" w:cs="Arial"/>
          <w:color w:val="auto"/>
          <w:sz w:val="24"/>
          <w:highlight w:val="none"/>
        </w:rPr>
        <w:t>投标人名称</w:t>
      </w:r>
      <w:r>
        <w:rPr>
          <w:rFonts w:ascii="宋体" w:hAnsi="宋体" w:cs="Arial"/>
          <w:color w:val="auto"/>
          <w:sz w:val="24"/>
          <w:highlight w:val="none"/>
        </w:rPr>
        <w:t>：(</w:t>
      </w:r>
      <w:r>
        <w:rPr>
          <w:rFonts w:hint="eastAsia" w:ascii="宋体" w:hAnsi="宋体" w:cs="Arial"/>
          <w:color w:val="auto"/>
          <w:sz w:val="24"/>
          <w:highlight w:val="none"/>
        </w:rPr>
        <w:t>公</w:t>
      </w:r>
      <w:r>
        <w:rPr>
          <w:rFonts w:ascii="宋体" w:hAnsi="宋体" w:cs="Arial"/>
          <w:color w:val="auto"/>
          <w:sz w:val="24"/>
          <w:highlight w:val="none"/>
        </w:rPr>
        <w:t>章)</w:t>
      </w: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p>
    <w:p>
      <w:pPr>
        <w:spacing w:before="120" w:line="360" w:lineRule="auto"/>
        <w:jc w:val="center"/>
        <w:rPr>
          <w:rFonts w:ascii="宋体" w:hAnsi="宋体"/>
          <w:color w:val="auto"/>
          <w:sz w:val="36"/>
          <w:szCs w:val="36"/>
          <w:highlight w:val="none"/>
        </w:rPr>
      </w:pPr>
      <w:r>
        <w:rPr>
          <w:rFonts w:hint="eastAsia" w:ascii="宋体" w:hAnsi="宋体"/>
          <w:color w:val="auto"/>
          <w:sz w:val="36"/>
          <w:szCs w:val="36"/>
          <w:highlight w:val="none"/>
        </w:rPr>
        <w:t>十</w:t>
      </w:r>
      <w:r>
        <w:rPr>
          <w:rFonts w:hint="eastAsia" w:ascii="宋体" w:hAnsi="宋体"/>
          <w:color w:val="auto"/>
          <w:sz w:val="36"/>
          <w:szCs w:val="36"/>
          <w:highlight w:val="none"/>
          <w:lang w:val="en-US" w:eastAsia="zh-CN"/>
        </w:rPr>
        <w:t>二</w:t>
      </w:r>
      <w:r>
        <w:rPr>
          <w:rFonts w:hint="eastAsia" w:ascii="宋体" w:hAnsi="宋体"/>
          <w:color w:val="auto"/>
          <w:sz w:val="36"/>
          <w:szCs w:val="36"/>
          <w:highlight w:val="none"/>
        </w:rPr>
        <w:t>、投标人需说明的其它问题</w:t>
      </w:r>
    </w:p>
    <w:p>
      <w:pPr>
        <w:spacing w:line="360" w:lineRule="auto"/>
        <w:jc w:val="center"/>
        <w:rPr>
          <w:rFonts w:ascii="宋体" w:hAnsi="宋体"/>
          <w:b/>
          <w:color w:val="auto"/>
          <w:sz w:val="28"/>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投标人</w:t>
      </w:r>
      <w:r>
        <w:rPr>
          <w:rFonts w:ascii="宋体" w:hAnsi="宋体"/>
          <w:bCs/>
          <w:color w:val="auto"/>
          <w:sz w:val="24"/>
          <w:highlight w:val="none"/>
        </w:rPr>
        <w:t>可提出补充建议或说明，提出比</w:t>
      </w:r>
      <w:r>
        <w:rPr>
          <w:rFonts w:hint="eastAsia" w:ascii="宋体" w:hAnsi="宋体"/>
          <w:bCs/>
          <w:color w:val="auto"/>
          <w:sz w:val="24"/>
          <w:highlight w:val="none"/>
        </w:rPr>
        <w:t>招标</w:t>
      </w:r>
      <w:r>
        <w:rPr>
          <w:rFonts w:ascii="宋体" w:hAnsi="宋体"/>
          <w:bCs/>
          <w:color w:val="auto"/>
          <w:sz w:val="24"/>
          <w:highlight w:val="none"/>
        </w:rPr>
        <w:t>文件的</w:t>
      </w:r>
      <w:r>
        <w:rPr>
          <w:rFonts w:hint="eastAsia" w:ascii="宋体" w:hAnsi="宋体"/>
          <w:bCs/>
          <w:color w:val="auto"/>
          <w:sz w:val="24"/>
          <w:highlight w:val="none"/>
        </w:rPr>
        <w:t>技术</w:t>
      </w:r>
      <w:r>
        <w:rPr>
          <w:rFonts w:ascii="宋体" w:hAnsi="宋体"/>
          <w:bCs/>
          <w:color w:val="auto"/>
          <w:sz w:val="24"/>
          <w:highlight w:val="none"/>
        </w:rPr>
        <w:t>要求更合理的建议方案</w:t>
      </w:r>
      <w:r>
        <w:rPr>
          <w:rFonts w:hint="eastAsia" w:ascii="宋体" w:hAnsi="宋体"/>
          <w:bCs/>
          <w:color w:val="auto"/>
          <w:sz w:val="24"/>
          <w:highlight w:val="none"/>
        </w:rPr>
        <w:t>或其技术偏离可以满足招标人使用要求的理由</w:t>
      </w:r>
      <w:r>
        <w:rPr>
          <w:rFonts w:ascii="宋体" w:hAnsi="宋体"/>
          <w:bCs/>
          <w:color w:val="auto"/>
          <w:sz w:val="24"/>
          <w:highlight w:val="none"/>
        </w:rPr>
        <w:t>，同时应说明对技术条件、价格、等方面的影响。</w:t>
      </w:r>
    </w:p>
    <w:p>
      <w:pPr>
        <w:spacing w:before="120" w:line="360" w:lineRule="auto"/>
        <w:ind w:firstLine="435"/>
        <w:jc w:val="center"/>
        <w:rPr>
          <w:rFonts w:ascii="宋体" w:hAnsi="宋体"/>
          <w:color w:val="auto"/>
          <w:sz w:val="24"/>
          <w:highlight w:val="none"/>
        </w:rPr>
      </w:pPr>
    </w:p>
    <w:p>
      <w:pPr>
        <w:snapToGrid w:val="0"/>
        <w:spacing w:line="360" w:lineRule="auto"/>
        <w:rPr>
          <w:rFonts w:ascii="宋体" w:hAnsi="宋体"/>
          <w:color w:val="auto"/>
          <w:sz w:val="44"/>
          <w:highlight w:val="none"/>
        </w:rPr>
      </w:pPr>
      <w:r>
        <w:rPr>
          <w:rFonts w:ascii="宋体" w:hAnsi="宋体"/>
          <w:color w:val="auto"/>
          <w:sz w:val="44"/>
          <w:highlight w:val="none"/>
        </w:rPr>
        <w:br w:type="page"/>
      </w:r>
      <w:r>
        <w:rPr>
          <w:rFonts w:hint="eastAsia" w:ascii="宋体" w:hAnsi="宋体"/>
          <w:bCs/>
          <w:color w:val="auto"/>
          <w:sz w:val="28"/>
          <w:szCs w:val="28"/>
          <w:highlight w:val="none"/>
        </w:rPr>
        <w:t>附件</w:t>
      </w: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w:t>
      </w:r>
    </w:p>
    <w:p>
      <w:pPr>
        <w:snapToGrid w:val="0"/>
        <w:spacing w:line="360" w:lineRule="auto"/>
        <w:jc w:val="center"/>
        <w:outlineLvl w:val="0"/>
        <w:rPr>
          <w:rFonts w:ascii="宋体" w:hAnsi="宋体"/>
          <w:b/>
          <w:color w:val="auto"/>
          <w:sz w:val="36"/>
          <w:szCs w:val="36"/>
          <w:highlight w:val="none"/>
        </w:rPr>
      </w:pPr>
      <w:bookmarkStart w:id="87" w:name="_Toc31436"/>
      <w:r>
        <w:rPr>
          <w:rFonts w:hint="eastAsia" w:ascii="宋体" w:hAnsi="宋体"/>
          <w:b/>
          <w:color w:val="auto"/>
          <w:sz w:val="36"/>
          <w:szCs w:val="36"/>
          <w:highlight w:val="none"/>
        </w:rPr>
        <w:t>评标方法</w:t>
      </w:r>
      <w:bookmarkEnd w:id="8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评标方法：本项目采用综合评分法进行评标：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投标人的综合得分，计算出投标人的评标总得分，由高到低排出顺序，评标总得分最高的投标人推荐为中标候选人。如果投标人评标总得分相同，报价低的投标人排序在前。得分且投标报价相同的，按技术指标优劣顺序排列。</w:t>
      </w:r>
    </w:p>
    <w:p>
      <w:pPr>
        <w:spacing w:line="360" w:lineRule="auto"/>
        <w:rPr>
          <w:color w:val="auto"/>
          <w:sz w:val="24"/>
          <w:highlight w:val="none"/>
        </w:rPr>
      </w:pPr>
      <w:r>
        <w:rPr>
          <w:rFonts w:hint="eastAsia"/>
          <w:color w:val="auto"/>
          <w:sz w:val="24"/>
          <w:highlight w:val="none"/>
        </w:rPr>
        <w:t>（一）基本评分标准</w:t>
      </w:r>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19"/>
        <w:gridCol w:w="85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33" w:type="dxa"/>
            <w:vAlign w:val="center"/>
          </w:tcPr>
          <w:p>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分项</w:t>
            </w:r>
          </w:p>
        </w:tc>
        <w:tc>
          <w:tcPr>
            <w:tcW w:w="1419" w:type="dxa"/>
            <w:vAlign w:val="center"/>
          </w:tcPr>
          <w:p>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评分因素</w:t>
            </w:r>
          </w:p>
        </w:tc>
        <w:tc>
          <w:tcPr>
            <w:tcW w:w="851" w:type="dxa"/>
            <w:vAlign w:val="center"/>
          </w:tcPr>
          <w:p>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满分分值</w:t>
            </w:r>
          </w:p>
        </w:tc>
        <w:tc>
          <w:tcPr>
            <w:tcW w:w="5528" w:type="dxa"/>
            <w:vAlign w:val="center"/>
          </w:tcPr>
          <w:p>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133" w:type="dxa"/>
            <w:vAlign w:val="center"/>
          </w:tcPr>
          <w:p>
            <w:pPr>
              <w:keepNext w:val="0"/>
              <w:keepLines w:val="0"/>
              <w:suppressLineNumbers w:val="0"/>
              <w:spacing w:before="0" w:beforeAutospacing="0" w:after="0" w:afterAutospacing="0" w:line="360" w:lineRule="auto"/>
              <w:ind w:left="0" w:right="0"/>
              <w:jc w:val="center"/>
              <w:rPr>
                <w:rFonts w:hint="eastAsia"/>
                <w:color w:val="auto"/>
                <w:sz w:val="24"/>
                <w:highlight w:val="none"/>
                <w:lang w:val="en-US" w:eastAsia="zh-CN"/>
              </w:rPr>
            </w:pPr>
            <w:r>
              <w:rPr>
                <w:rFonts w:hint="eastAsia"/>
                <w:color w:val="auto"/>
                <w:sz w:val="24"/>
                <w:highlight w:val="none"/>
                <w:lang w:val="en-US" w:eastAsia="zh-CN"/>
              </w:rPr>
              <w:t>价格</w:t>
            </w:r>
          </w:p>
          <w:p>
            <w:pPr>
              <w:keepNext w:val="0"/>
              <w:keepLines w:val="0"/>
              <w:suppressLineNumbers w:val="0"/>
              <w:spacing w:before="0" w:beforeAutospacing="0" w:after="0" w:afterAutospacing="0" w:line="360" w:lineRule="auto"/>
              <w:ind w:left="0" w:right="0"/>
              <w:jc w:val="center"/>
              <w:rPr>
                <w:rFonts w:hint="eastAsia"/>
                <w:color w:val="auto"/>
                <w:sz w:val="24"/>
                <w:highlight w:val="none"/>
                <w:lang w:val="en-US" w:eastAsia="zh-CN"/>
              </w:rPr>
            </w:pPr>
            <w:r>
              <w:rPr>
                <w:rFonts w:hint="eastAsia"/>
                <w:color w:val="auto"/>
                <w:sz w:val="24"/>
                <w:highlight w:val="none"/>
                <w:lang w:val="en-US" w:eastAsia="zh-CN"/>
              </w:rPr>
              <w:t>部分</w:t>
            </w:r>
          </w:p>
          <w:p>
            <w:pPr>
              <w:pStyle w:val="13"/>
              <w:keepNext w:val="0"/>
              <w:keepLines w:val="0"/>
              <w:suppressLineNumbers w:val="0"/>
              <w:spacing w:before="0" w:beforeAutospacing="0" w:after="0" w:afterAutospacing="0"/>
              <w:ind w:left="0" w:leftChars="0" w:firstLine="0" w:firstLineChars="0"/>
              <w:jc w:val="center"/>
              <w:rPr>
                <w:rFonts w:hint="default"/>
                <w:color w:val="auto"/>
                <w:highlight w:val="none"/>
                <w:lang w:val="en-US" w:eastAsia="zh-CN"/>
              </w:rPr>
            </w:pPr>
            <w:r>
              <w:rPr>
                <w:rFonts w:hint="eastAsia" w:ascii="宋体" w:hAnsi="宋体" w:eastAsia="宋体" w:cs="宋体"/>
                <w:bCs/>
                <w:snapToGrid w:val="0"/>
                <w:color w:val="auto"/>
                <w:kern w:val="0"/>
                <w:sz w:val="24"/>
                <w:szCs w:val="24"/>
                <w:highlight w:val="none"/>
                <w:lang w:val="en-US" w:eastAsia="zh-CN" w:bidi="ar-SA"/>
              </w:rPr>
              <w:t>（40分）</w:t>
            </w:r>
          </w:p>
        </w:tc>
        <w:tc>
          <w:tcPr>
            <w:tcW w:w="1419" w:type="dxa"/>
            <w:vAlign w:val="center"/>
          </w:tcPr>
          <w:p>
            <w:pPr>
              <w:keepNext w:val="0"/>
              <w:keepLines w:val="0"/>
              <w:suppressLineNumbers w:val="0"/>
              <w:adjustRightInd w:val="0"/>
              <w:spacing w:before="0" w:beforeAutospacing="0" w:after="0" w:afterAutospacing="0" w:line="216" w:lineRule="auto"/>
              <w:ind w:left="0" w:right="0"/>
              <w:jc w:val="center"/>
              <w:rPr>
                <w:rFonts w:ascii="宋体" w:hAnsi="宋体" w:cs="宋体"/>
                <w:bCs/>
                <w:color w:val="auto"/>
                <w:kern w:val="0"/>
                <w:sz w:val="24"/>
                <w:highlight w:val="none"/>
              </w:rPr>
            </w:pPr>
            <w:r>
              <w:rPr>
                <w:rFonts w:hint="eastAsia" w:ascii="宋体" w:hAnsi="宋体"/>
                <w:color w:val="auto"/>
                <w:kern w:val="0"/>
                <w:sz w:val="24"/>
                <w:highlight w:val="none"/>
              </w:rPr>
              <w:t>投标报价</w:t>
            </w:r>
          </w:p>
        </w:tc>
        <w:tc>
          <w:tcPr>
            <w:tcW w:w="851" w:type="dxa"/>
            <w:vAlign w:val="center"/>
          </w:tcPr>
          <w:p>
            <w:pPr>
              <w:keepNext w:val="0"/>
              <w:keepLines w:val="0"/>
              <w:suppressLineNumbers w:val="0"/>
              <w:adjustRightInd w:val="0"/>
              <w:spacing w:before="0" w:beforeAutospacing="0" w:after="0" w:afterAutospacing="0" w:line="216" w:lineRule="auto"/>
              <w:ind w:left="0" w:right="0"/>
              <w:jc w:val="center"/>
              <w:rPr>
                <w:rFonts w:hint="default" w:ascii="宋体" w:hAnsi="宋体" w:eastAsia="宋体"/>
                <w:b/>
                <w:bCs/>
                <w:color w:val="auto"/>
                <w:highlight w:val="none"/>
                <w:lang w:val="en-US" w:eastAsia="zh-CN"/>
              </w:rPr>
            </w:pPr>
            <w:r>
              <w:rPr>
                <w:rFonts w:hint="eastAsia" w:ascii="宋体" w:hAnsi="宋体"/>
                <w:color w:val="auto"/>
                <w:kern w:val="0"/>
                <w:sz w:val="24"/>
                <w:highlight w:val="none"/>
                <w:lang w:val="en-US" w:eastAsia="zh-CN"/>
              </w:rPr>
              <w:t>40</w:t>
            </w:r>
          </w:p>
        </w:tc>
        <w:tc>
          <w:tcPr>
            <w:tcW w:w="5528" w:type="dxa"/>
            <w:vAlign w:val="center"/>
          </w:tcPr>
          <w:p>
            <w:pPr>
              <w:keepNext w:val="0"/>
              <w:keepLines w:val="0"/>
              <w:suppressLineNumbers w:val="0"/>
              <w:spacing w:before="0" w:beforeAutospacing="0" w:after="0" w:afterAutospacing="0" w:line="360" w:lineRule="auto"/>
              <w:ind w:left="0" w:right="0"/>
              <w:jc w:val="left"/>
              <w:rPr>
                <w:rFonts w:hint="default" w:ascii="宋体" w:hAnsi="宋体"/>
                <w:color w:val="auto"/>
                <w:sz w:val="24"/>
                <w:highlight w:val="none"/>
                <w:lang w:val="en-US" w:eastAsia="zh-CN"/>
              </w:rPr>
            </w:pPr>
            <w:r>
              <w:rPr>
                <w:rFonts w:hint="eastAsia" w:ascii="宋体" w:hAnsi="宋体"/>
                <w:color w:val="auto"/>
                <w:sz w:val="24"/>
                <w:highlight w:val="none"/>
                <w:lang w:eastAsia="zh-CN"/>
              </w:rPr>
              <w:t>投标人</w:t>
            </w:r>
            <w:r>
              <w:rPr>
                <w:rFonts w:hint="eastAsia" w:ascii="宋体" w:hAnsi="宋体"/>
                <w:color w:val="auto"/>
                <w:sz w:val="24"/>
                <w:highlight w:val="none"/>
              </w:rPr>
              <w:t>报价得分＝（评标基准价/投标报价）×</w:t>
            </w:r>
            <w:r>
              <w:rPr>
                <w:rFonts w:hint="eastAsia" w:ascii="宋体" w:hAnsi="宋体"/>
                <w:color w:val="auto"/>
                <w:sz w:val="24"/>
                <w:highlight w:val="none"/>
                <w:lang w:val="en-US" w:eastAsia="zh-CN"/>
              </w:rPr>
              <w:t>40</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注解：</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1、评标基准价为满足招标文件要求且投标价格最低的投标报价；</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投标人</w:t>
            </w:r>
            <w:r>
              <w:rPr>
                <w:rFonts w:hint="eastAsia" w:ascii="宋体" w:hAnsi="宋体"/>
                <w:color w:val="auto"/>
                <w:sz w:val="24"/>
                <w:highlight w:val="none"/>
                <w:lang w:val="en-US" w:eastAsia="zh-CN"/>
              </w:rPr>
              <w:t>投标</w:t>
            </w:r>
            <w:r>
              <w:rPr>
                <w:rFonts w:hint="eastAsia" w:ascii="宋体" w:hAnsi="宋体"/>
                <w:color w:val="auto"/>
                <w:sz w:val="24"/>
                <w:highlight w:val="none"/>
              </w:rPr>
              <w:t>报价为投标函中</w:t>
            </w:r>
            <w:r>
              <w:rPr>
                <w:rFonts w:hint="eastAsia" w:ascii="宋体" w:hAnsi="宋体"/>
                <w:color w:val="auto"/>
                <w:sz w:val="24"/>
                <w:highlight w:val="none"/>
                <w:lang w:val="en-US" w:eastAsia="zh-CN"/>
              </w:rPr>
              <w:t>单价</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33" w:type="dxa"/>
            <w:vMerge w:val="restart"/>
            <w:vAlign w:val="center"/>
          </w:tcPr>
          <w:p>
            <w:pPr>
              <w:keepNext w:val="0"/>
              <w:keepLines w:val="0"/>
              <w:suppressLineNumbers w:val="0"/>
              <w:spacing w:before="0" w:beforeAutospacing="0" w:after="0" w:afterAutospacing="0" w:line="360" w:lineRule="auto"/>
              <w:ind w:left="0" w:right="0"/>
              <w:jc w:val="center"/>
              <w:rPr>
                <w:rFonts w:ascii="宋体" w:hAnsi="宋体"/>
                <w:b/>
                <w:bCs/>
                <w:snapToGrid w:val="0"/>
                <w:color w:val="auto"/>
                <w:kern w:val="0"/>
                <w:highlight w:val="none"/>
              </w:rPr>
            </w:pPr>
            <w:r>
              <w:rPr>
                <w:rFonts w:hint="eastAsia" w:ascii="宋体" w:hAnsi="宋体" w:cs="宋体"/>
                <w:bCs/>
                <w:snapToGrid w:val="0"/>
                <w:color w:val="auto"/>
                <w:kern w:val="0"/>
                <w:sz w:val="24"/>
                <w:highlight w:val="none"/>
              </w:rPr>
              <w:t>技术</w:t>
            </w:r>
          </w:p>
          <w:p>
            <w:pPr>
              <w:keepNext w:val="0"/>
              <w:keepLines w:val="0"/>
              <w:suppressLineNumbers w:val="0"/>
              <w:spacing w:before="0" w:beforeAutospacing="0" w:after="0" w:afterAutospacing="0" w:line="360" w:lineRule="auto"/>
              <w:ind w:left="0" w:right="0"/>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部分</w:t>
            </w:r>
          </w:p>
          <w:p>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ascii="宋体" w:hAnsi="宋体" w:cs="宋体"/>
                <w:bCs/>
                <w:snapToGrid w:val="0"/>
                <w:color w:val="auto"/>
                <w:kern w:val="0"/>
                <w:sz w:val="24"/>
                <w:highlight w:val="none"/>
                <w:lang w:val="en-US" w:eastAsia="zh-CN"/>
              </w:rPr>
              <w:t>44</w:t>
            </w:r>
            <w:r>
              <w:rPr>
                <w:rFonts w:hint="eastAsia" w:ascii="宋体" w:hAnsi="宋体" w:cs="宋体"/>
                <w:bCs/>
                <w:snapToGrid w:val="0"/>
                <w:color w:val="auto"/>
                <w:kern w:val="0"/>
                <w:sz w:val="24"/>
                <w:highlight w:val="none"/>
              </w:rPr>
              <w:t>分</w:t>
            </w:r>
          </w:p>
        </w:tc>
        <w:tc>
          <w:tcPr>
            <w:tcW w:w="1419" w:type="dxa"/>
            <w:vAlign w:val="center"/>
          </w:tcPr>
          <w:p>
            <w:pPr>
              <w:keepNext w:val="0"/>
              <w:keepLines w:val="0"/>
              <w:widowControl/>
              <w:suppressLineNumbers w:val="0"/>
              <w:spacing w:before="0" w:beforeAutospacing="0" w:after="0" w:afterAutospacing="0"/>
              <w:ind w:left="0" w:right="0"/>
              <w:jc w:val="center"/>
              <w:rPr>
                <w:rFonts w:hint="eastAsia" w:ascii="宋体" w:hAnsi="宋体" w:cs="宋体-18030"/>
                <w:color w:val="auto"/>
                <w:sz w:val="24"/>
                <w:highlight w:val="none"/>
              </w:rPr>
            </w:pPr>
            <w:r>
              <w:rPr>
                <w:rFonts w:hint="eastAsia" w:ascii="宋体" w:hAnsi="宋体" w:cs="宋体-18030"/>
                <w:color w:val="auto"/>
                <w:sz w:val="24"/>
                <w:highlight w:val="none"/>
              </w:rPr>
              <w:t>项目实施</w:t>
            </w:r>
          </w:p>
          <w:p>
            <w:pPr>
              <w:keepNext w:val="0"/>
              <w:keepLines w:val="0"/>
              <w:widowControl/>
              <w:suppressLineNumbers w:val="0"/>
              <w:spacing w:before="0" w:beforeAutospacing="0" w:after="0" w:afterAutospacing="0"/>
              <w:ind w:left="0" w:right="0"/>
              <w:jc w:val="center"/>
              <w:rPr>
                <w:rFonts w:ascii="宋体" w:hAnsi="宋体"/>
                <w:color w:val="auto"/>
                <w:kern w:val="0"/>
                <w:sz w:val="24"/>
                <w:highlight w:val="none"/>
              </w:rPr>
            </w:pPr>
            <w:r>
              <w:rPr>
                <w:rFonts w:hint="eastAsia" w:ascii="宋体" w:hAnsi="宋体" w:cs="宋体-18030"/>
                <w:color w:val="auto"/>
                <w:sz w:val="24"/>
                <w:highlight w:val="none"/>
              </w:rPr>
              <w:t>方案</w:t>
            </w:r>
          </w:p>
        </w:tc>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18</w:t>
            </w:r>
          </w:p>
        </w:tc>
        <w:tc>
          <w:tcPr>
            <w:tcW w:w="5528" w:type="dxa"/>
            <w:vAlign w:val="center"/>
          </w:tcPr>
          <w:p>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ascii="宋体" w:hAnsi="宋体"/>
                <w:color w:val="auto"/>
                <w:sz w:val="24"/>
                <w:highlight w:val="none"/>
              </w:rPr>
              <w:t>1.优秀标准：投标人</w:t>
            </w:r>
            <w:r>
              <w:rPr>
                <w:rFonts w:hint="eastAsia" w:ascii="宋体" w:hAnsi="宋体"/>
                <w:color w:val="auto"/>
                <w:sz w:val="24"/>
                <w:highlight w:val="none"/>
                <w:lang w:val="en-US" w:eastAsia="zh-CN"/>
              </w:rPr>
              <w:t>运输代理服务</w:t>
            </w:r>
            <w:r>
              <w:rPr>
                <w:rFonts w:hint="eastAsia" w:ascii="宋体" w:hAnsi="宋体"/>
                <w:color w:val="auto"/>
                <w:sz w:val="24"/>
                <w:highlight w:val="none"/>
              </w:rPr>
              <w:t>项目实施在科学性、先进性、合理性、规范性、服务模式的成熟性方面十分优秀</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18</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ascii="宋体" w:hAnsi="宋体"/>
                <w:color w:val="auto"/>
                <w:sz w:val="24"/>
                <w:highlight w:val="none"/>
              </w:rPr>
              <w:t>2.良好标准：投标人</w:t>
            </w:r>
            <w:r>
              <w:rPr>
                <w:rFonts w:hint="eastAsia" w:ascii="宋体" w:hAnsi="宋体"/>
                <w:color w:val="auto"/>
                <w:sz w:val="24"/>
                <w:highlight w:val="none"/>
                <w:lang w:val="en-US" w:eastAsia="zh-CN"/>
              </w:rPr>
              <w:t>运输代理服务</w:t>
            </w:r>
            <w:r>
              <w:rPr>
                <w:rFonts w:hint="eastAsia" w:ascii="宋体" w:hAnsi="宋体"/>
                <w:color w:val="auto"/>
                <w:sz w:val="24"/>
                <w:highlight w:val="none"/>
              </w:rPr>
              <w:t>项目实施方案科学性、先进性、合理性良好（得</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分）；</w:t>
            </w:r>
          </w:p>
          <w:p>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ascii="宋体" w:hAnsi="宋体"/>
                <w:color w:val="auto"/>
                <w:sz w:val="24"/>
                <w:highlight w:val="none"/>
              </w:rPr>
              <w:t>3.一般标准：投标人</w:t>
            </w:r>
            <w:r>
              <w:rPr>
                <w:rFonts w:hint="eastAsia" w:ascii="宋体" w:hAnsi="宋体"/>
                <w:color w:val="auto"/>
                <w:sz w:val="24"/>
                <w:highlight w:val="none"/>
                <w:lang w:val="en-US" w:eastAsia="zh-CN"/>
              </w:rPr>
              <w:t>运输代理服务</w:t>
            </w:r>
            <w:r>
              <w:rPr>
                <w:rFonts w:hint="eastAsia" w:ascii="宋体" w:hAnsi="宋体"/>
                <w:color w:val="auto"/>
                <w:sz w:val="24"/>
                <w:highlight w:val="none"/>
              </w:rPr>
              <w:t>项目实施方案一般（得</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cs="宋体"/>
                <w:bCs/>
                <w:snapToGrid w:val="0"/>
                <w:color w:val="auto"/>
                <w:kern w:val="0"/>
                <w:sz w:val="24"/>
                <w:highlight w:val="none"/>
              </w:rPr>
            </w:pPr>
          </w:p>
        </w:tc>
        <w:tc>
          <w:tcPr>
            <w:tcW w:w="1419" w:type="dxa"/>
            <w:vAlign w:val="center"/>
          </w:tcPr>
          <w:p>
            <w:pPr>
              <w:keepNext w:val="0"/>
              <w:keepLines w:val="0"/>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服务保障</w:t>
            </w:r>
          </w:p>
          <w:p>
            <w:pPr>
              <w:keepNext w:val="0"/>
              <w:keepLines w:val="0"/>
              <w:suppressLineNumbers w:val="0"/>
              <w:spacing w:before="0" w:beforeAutospacing="0" w:after="0" w:afterAutospacing="0"/>
              <w:ind w:left="0" w:right="0"/>
              <w:jc w:val="center"/>
              <w:rPr>
                <w:rFonts w:ascii="宋体" w:hAnsi="宋体"/>
                <w:color w:val="auto"/>
                <w:sz w:val="24"/>
                <w:highlight w:val="none"/>
              </w:rPr>
            </w:pPr>
            <w:r>
              <w:rPr>
                <w:rFonts w:hint="eastAsia" w:ascii="宋体" w:hAnsi="宋体"/>
                <w:color w:val="auto"/>
                <w:sz w:val="24"/>
                <w:highlight w:val="none"/>
              </w:rPr>
              <w:t>方案</w:t>
            </w:r>
          </w:p>
        </w:tc>
        <w:tc>
          <w:tcPr>
            <w:tcW w:w="851"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8</w:t>
            </w:r>
          </w:p>
        </w:tc>
        <w:tc>
          <w:tcPr>
            <w:tcW w:w="5528" w:type="dxa"/>
            <w:vAlign w:val="center"/>
          </w:tcPr>
          <w:p>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ascii="宋体" w:hAnsi="宋体"/>
                <w:color w:val="auto"/>
                <w:sz w:val="24"/>
                <w:highlight w:val="none"/>
              </w:rPr>
              <w:t>1、优秀标准：服务保障方案科学性、先进性、合理性十分优秀</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ascii="宋体" w:hAnsi="宋体"/>
                <w:color w:val="auto"/>
                <w:sz w:val="24"/>
                <w:highlight w:val="none"/>
              </w:rPr>
              <w:t>2.良好标准：投标人服务保障方案科学性、先进性、合理性良好（得</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分）；</w:t>
            </w:r>
          </w:p>
          <w:p>
            <w:pPr>
              <w:keepNext w:val="0"/>
              <w:keepLines w:val="0"/>
              <w:suppressLineNumbers w:val="0"/>
              <w:adjustRightInd w:val="0"/>
              <w:snapToGrid w:val="0"/>
              <w:spacing w:before="0" w:beforeAutospacing="0" w:after="0" w:afterAutospacing="0" w:line="360" w:lineRule="auto"/>
              <w:ind w:left="0" w:right="0"/>
              <w:jc w:val="left"/>
              <w:rPr>
                <w:rFonts w:ascii="宋体" w:hAnsi="宋体"/>
                <w:color w:val="auto"/>
                <w:sz w:val="24"/>
                <w:highlight w:val="none"/>
              </w:rPr>
            </w:pPr>
            <w:r>
              <w:rPr>
                <w:rFonts w:hint="eastAsia" w:ascii="宋体" w:hAnsi="宋体"/>
                <w:color w:val="auto"/>
                <w:sz w:val="24"/>
                <w:highlight w:val="none"/>
              </w:rPr>
              <w:t>3.一般标准：投标人服务保障方案一般（得</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cs="宋体"/>
                <w:bCs/>
                <w:snapToGrid w:val="0"/>
                <w:color w:val="auto"/>
                <w:kern w:val="0"/>
                <w:sz w:val="24"/>
                <w:highlight w:val="none"/>
              </w:rPr>
            </w:pPr>
          </w:p>
        </w:tc>
        <w:tc>
          <w:tcPr>
            <w:tcW w:w="1419"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color w:val="auto"/>
                <w:sz w:val="24"/>
                <w:szCs w:val="24"/>
                <w:highlight w:val="none"/>
              </w:rPr>
            </w:pPr>
            <w:r>
              <w:rPr>
                <w:rFonts w:hint="eastAsia" w:ascii="宋体" w:hAnsi="宋体"/>
                <w:color w:val="auto"/>
                <w:sz w:val="24"/>
                <w:szCs w:val="24"/>
                <w:highlight w:val="none"/>
              </w:rPr>
              <w:t>应急</w:t>
            </w:r>
          </w:p>
          <w:p>
            <w:pPr>
              <w:keepNext w:val="0"/>
              <w:keepLines w:val="0"/>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szCs w:val="24"/>
                <w:highlight w:val="none"/>
              </w:rPr>
              <w:t>预案</w:t>
            </w:r>
          </w:p>
        </w:tc>
        <w:tc>
          <w:tcPr>
            <w:tcW w:w="85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10</w:t>
            </w:r>
          </w:p>
        </w:tc>
        <w:tc>
          <w:tcPr>
            <w:tcW w:w="5528" w:type="dxa"/>
            <w:vAlign w:val="center"/>
          </w:tcPr>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1、优秀</w:t>
            </w:r>
            <w:r>
              <w:rPr>
                <w:rFonts w:hint="eastAsia" w:ascii="宋体" w:hAnsi="宋体"/>
                <w:color w:val="auto"/>
                <w:sz w:val="24"/>
                <w:highlight w:val="none"/>
                <w:lang w:val="en-US" w:eastAsia="zh-CN"/>
              </w:rPr>
              <w:t>标准</w:t>
            </w:r>
            <w:r>
              <w:rPr>
                <w:rFonts w:hint="eastAsia" w:ascii="宋体" w:hAnsi="宋体"/>
                <w:color w:val="auto"/>
                <w:sz w:val="24"/>
                <w:highlight w:val="none"/>
              </w:rPr>
              <w:t>：投标人应急预案针对本项目特点在全面性、科学性、合理性、规范性、模式的成熟性方面十分优秀</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7-10</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2、良好标准：投标人应急预案科学性、先进性、合理性良好（得</w:t>
            </w:r>
            <w:r>
              <w:rPr>
                <w:rFonts w:hint="eastAsia" w:ascii="宋体" w:hAnsi="宋体"/>
                <w:color w:val="auto"/>
                <w:sz w:val="24"/>
                <w:highlight w:val="none"/>
                <w:lang w:val="en-US" w:eastAsia="zh-CN"/>
              </w:rPr>
              <w:t>3-6</w:t>
            </w:r>
            <w:r>
              <w:rPr>
                <w:rFonts w:hint="eastAsia" w:ascii="宋体" w:hAnsi="宋体"/>
                <w:color w:val="auto"/>
                <w:sz w:val="24"/>
                <w:highlight w:val="none"/>
              </w:rPr>
              <w:t xml:space="preserve">分）；                            </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、一般标准：投标人没有应急预案或者应急预案很差（得</w:t>
            </w:r>
            <w:r>
              <w:rPr>
                <w:rFonts w:hint="eastAsia" w:ascii="宋体" w:hAnsi="宋体"/>
                <w:color w:val="auto"/>
                <w:sz w:val="24"/>
                <w:highlight w:val="none"/>
                <w:lang w:val="en-US" w:eastAsia="zh-CN"/>
              </w:rPr>
              <w:t>0-2</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cs="宋体"/>
                <w:bCs/>
                <w:snapToGrid w:val="0"/>
                <w:color w:val="auto"/>
                <w:kern w:val="0"/>
                <w:sz w:val="24"/>
                <w:highlight w:val="none"/>
              </w:rPr>
            </w:pPr>
          </w:p>
        </w:tc>
        <w:tc>
          <w:tcPr>
            <w:tcW w:w="1419"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车辆配备</w:t>
            </w:r>
          </w:p>
          <w:p>
            <w:pPr>
              <w:keepNext w:val="0"/>
              <w:keepLines w:val="0"/>
              <w:suppressLineNumbers w:val="0"/>
              <w:spacing w:before="0" w:beforeAutospacing="0" w:after="0" w:afterAutospacing="0"/>
              <w:ind w:left="0" w:right="0"/>
              <w:jc w:val="center"/>
              <w:rPr>
                <w:rFonts w:ascii="宋体" w:hAnsi="宋体" w:cs="宋体-18030"/>
                <w:color w:val="auto"/>
                <w:sz w:val="24"/>
                <w:highlight w:val="none"/>
              </w:rPr>
            </w:pPr>
            <w:r>
              <w:rPr>
                <w:rFonts w:hint="eastAsia" w:ascii="宋体" w:hAnsi="宋体" w:cs="宋体"/>
                <w:color w:val="auto"/>
                <w:kern w:val="0"/>
                <w:sz w:val="24"/>
                <w:highlight w:val="none"/>
              </w:rPr>
              <w:t>方案</w:t>
            </w:r>
          </w:p>
        </w:tc>
        <w:tc>
          <w:tcPr>
            <w:tcW w:w="85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8</w:t>
            </w:r>
          </w:p>
        </w:tc>
        <w:tc>
          <w:tcPr>
            <w:tcW w:w="5528" w:type="dxa"/>
            <w:vAlign w:val="center"/>
          </w:tcPr>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1、优秀标准：投标人投入的车辆配备齐全先进可靠，能很好的完成本项目服务</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2、良好标准：投标人投入的车辆配备齐全可靠，能够完成本项目服务</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3、一般标准：投标人投入的车辆配备尚可，可完成本项目服务</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33" w:type="dxa"/>
            <w:vMerge w:val="restart"/>
            <w:vAlign w:val="center"/>
          </w:tcPr>
          <w:p>
            <w:pPr>
              <w:keepNext w:val="0"/>
              <w:keepLines w:val="0"/>
              <w:suppressLineNumbers w:val="0"/>
              <w:spacing w:before="0" w:beforeAutospacing="0" w:after="0" w:afterAutospacing="0" w:line="360" w:lineRule="auto"/>
              <w:ind w:left="0" w:right="0"/>
              <w:jc w:val="center"/>
              <w:rPr>
                <w:rFonts w:ascii="宋体" w:hAnsi="宋体"/>
                <w:b/>
                <w:bCs/>
                <w:color w:val="auto"/>
                <w:highlight w:val="none"/>
              </w:rPr>
            </w:pPr>
            <w:r>
              <w:rPr>
                <w:rFonts w:hint="eastAsia" w:ascii="宋体" w:hAnsi="宋体" w:cs="宋体"/>
                <w:bCs/>
                <w:color w:val="auto"/>
                <w:sz w:val="24"/>
                <w:highlight w:val="none"/>
              </w:rPr>
              <w:t>商务</w:t>
            </w:r>
          </w:p>
          <w:p>
            <w:pPr>
              <w:keepNext w:val="0"/>
              <w:keepLines w:val="0"/>
              <w:suppressLineNumbers w:val="0"/>
              <w:spacing w:before="0" w:beforeAutospacing="0" w:after="0" w:afterAutospacing="0" w:line="360" w:lineRule="auto"/>
              <w:ind w:left="0" w:right="0"/>
              <w:jc w:val="center"/>
              <w:rPr>
                <w:rFonts w:ascii="宋体" w:hAnsi="宋体" w:cs="宋体"/>
                <w:bCs/>
                <w:color w:val="auto"/>
                <w:sz w:val="24"/>
                <w:highlight w:val="none"/>
              </w:rPr>
            </w:pPr>
            <w:r>
              <w:rPr>
                <w:rFonts w:hint="eastAsia" w:ascii="宋体" w:hAnsi="宋体" w:cs="宋体"/>
                <w:bCs/>
                <w:color w:val="auto"/>
                <w:sz w:val="24"/>
                <w:highlight w:val="none"/>
              </w:rPr>
              <w:t>部分</w:t>
            </w:r>
          </w:p>
          <w:p>
            <w:pPr>
              <w:keepNext w:val="0"/>
              <w:keepLines w:val="0"/>
              <w:suppressLineNumbers w:val="0"/>
              <w:spacing w:before="0" w:beforeAutospacing="0" w:after="0" w:afterAutospacing="0" w:line="360" w:lineRule="auto"/>
              <w:ind w:left="0" w:right="0"/>
              <w:jc w:val="center"/>
              <w:rPr>
                <w:rFonts w:ascii="宋体" w:hAnsi="宋体"/>
                <w:b/>
                <w:bCs/>
                <w:color w:val="auto"/>
                <w:highlight w:val="none"/>
              </w:rPr>
            </w:pP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分</w:t>
            </w:r>
          </w:p>
        </w:tc>
        <w:tc>
          <w:tcPr>
            <w:tcW w:w="1419" w:type="dxa"/>
            <w:vAlign w:val="center"/>
          </w:tcPr>
          <w:p>
            <w:pPr>
              <w:keepNext w:val="0"/>
              <w:keepLines w:val="0"/>
              <w:widowControl/>
              <w:suppressLineNumbers w:val="0"/>
              <w:spacing w:before="0" w:beforeAutospacing="0" w:after="0" w:afterAutospacing="0"/>
              <w:ind w:left="0" w:right="0"/>
              <w:jc w:val="center"/>
              <w:rPr>
                <w:rFonts w:ascii="宋体" w:hAnsi="宋体"/>
                <w:color w:val="auto"/>
                <w:kern w:val="0"/>
                <w:sz w:val="24"/>
                <w:highlight w:val="none"/>
              </w:rPr>
            </w:pPr>
            <w:r>
              <w:rPr>
                <w:rFonts w:hint="eastAsia" w:ascii="宋体" w:hAnsi="宋体" w:cs="宋体-18030"/>
                <w:color w:val="auto"/>
                <w:sz w:val="24"/>
                <w:highlight w:val="none"/>
              </w:rPr>
              <w:t>人员的综合素质和人员配置</w:t>
            </w:r>
          </w:p>
        </w:tc>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8</w:t>
            </w:r>
          </w:p>
        </w:tc>
        <w:tc>
          <w:tcPr>
            <w:tcW w:w="5528" w:type="dxa"/>
            <w:vAlign w:val="center"/>
          </w:tcPr>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1、优秀标准：投标人在人员的综合素质和人员配置合理性好，完整性及其相互协作关系方面十分优秀，人员配备方案十分合理</w:t>
            </w:r>
            <w:r>
              <w:rPr>
                <w:rFonts w:hint="eastAsia" w:ascii="宋体" w:hAnsi="宋体"/>
                <w:color w:val="auto"/>
                <w:sz w:val="24"/>
                <w:highlight w:val="none"/>
                <w:lang w:eastAsia="zh-CN"/>
              </w:rPr>
              <w:t>（</w:t>
            </w:r>
            <w:r>
              <w:rPr>
                <w:rFonts w:hint="eastAsia" w:ascii="宋体" w:hAnsi="宋体"/>
                <w:color w:val="auto"/>
                <w:sz w:val="24"/>
                <w:highlight w:val="none"/>
              </w:rPr>
              <w:t>得</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2、良好标准：投标人在人员的综合素质和人员配置合理性较好，完整性及其相互协作关系方面较好，人员配备方案较合理（得</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olor w:val="auto"/>
                <w:sz w:val="24"/>
                <w:highlight w:val="none"/>
              </w:rPr>
            </w:pPr>
            <w:r>
              <w:rPr>
                <w:rFonts w:hint="eastAsia" w:ascii="宋体" w:hAnsi="宋体"/>
                <w:color w:val="auto"/>
                <w:sz w:val="24"/>
                <w:highlight w:val="none"/>
              </w:rPr>
              <w:t>3、一般标准：投标人在人员的综合素质和人员配置合理性一般，人员配备方案一般（得</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cs="宋体"/>
                <w:bCs/>
                <w:color w:val="auto"/>
                <w:sz w:val="24"/>
                <w:highlight w:val="none"/>
              </w:rPr>
            </w:pPr>
          </w:p>
        </w:tc>
        <w:tc>
          <w:tcPr>
            <w:tcW w:w="1419" w:type="dxa"/>
            <w:vAlign w:val="center"/>
          </w:tcPr>
          <w:p>
            <w:pPr>
              <w:keepNext w:val="0"/>
              <w:keepLines w:val="0"/>
              <w:suppressLineNumbers w:val="0"/>
              <w:adjustRightInd w:val="0"/>
              <w:spacing w:before="0" w:beforeAutospacing="0" w:after="0" w:afterAutospacing="0" w:line="360" w:lineRule="auto"/>
              <w:ind w:left="0" w:right="0"/>
              <w:jc w:val="center"/>
              <w:rPr>
                <w:rFonts w:ascii="宋体" w:hAnsi="宋体"/>
                <w:b/>
                <w:bCs/>
                <w:color w:val="auto"/>
                <w:highlight w:val="none"/>
              </w:rPr>
            </w:pPr>
            <w:r>
              <w:rPr>
                <w:rFonts w:hint="eastAsia" w:ascii="宋体" w:hAnsi="宋体" w:cs="宋体"/>
                <w:bCs/>
                <w:color w:val="auto"/>
                <w:sz w:val="24"/>
                <w:highlight w:val="none"/>
              </w:rPr>
              <w:t>业绩</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highlight w:val="none"/>
                <w:lang w:val="en-US" w:eastAsia="zh-CN"/>
              </w:rPr>
            </w:pPr>
            <w:r>
              <w:rPr>
                <w:rFonts w:hint="eastAsia" w:ascii="宋体" w:hAnsi="宋体" w:cs="宋体"/>
                <w:bCs/>
                <w:color w:val="auto"/>
                <w:sz w:val="24"/>
                <w:highlight w:val="none"/>
                <w:lang w:val="en-US" w:eastAsia="zh-CN"/>
              </w:rPr>
              <w:t>8</w:t>
            </w:r>
          </w:p>
        </w:tc>
        <w:tc>
          <w:tcPr>
            <w:tcW w:w="5528" w:type="dxa"/>
            <w:vAlign w:val="center"/>
          </w:tcPr>
          <w:p>
            <w:pPr>
              <w:keepNext w:val="0"/>
              <w:keepLines w:val="0"/>
              <w:suppressLineNumbers w:val="0"/>
              <w:spacing w:before="0" w:beforeAutospacing="0" w:after="0" w:afterAutospacing="0" w:line="360" w:lineRule="auto"/>
              <w:ind w:left="0" w:right="0"/>
              <w:rPr>
                <w:rFonts w:ascii="宋体" w:hAnsi="宋体"/>
                <w:b/>
                <w:bCs/>
                <w:color w:val="auto"/>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能够提供近三年（202</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年1月1日至今）类似业绩，一项</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分，满分</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w:t>
            </w:r>
          </w:p>
          <w:p>
            <w:pPr>
              <w:keepNext w:val="0"/>
              <w:keepLines w:val="0"/>
              <w:suppressLineNumbers w:val="0"/>
              <w:spacing w:before="0" w:beforeAutospacing="0" w:after="0" w:afterAutospacing="0" w:line="360" w:lineRule="auto"/>
              <w:ind w:left="0" w:right="0"/>
              <w:rPr>
                <w:rFonts w:ascii="宋体" w:hAnsi="宋体"/>
                <w:b/>
                <w:bCs/>
                <w:color w:val="auto"/>
                <w:highlight w:val="none"/>
              </w:rPr>
            </w:pPr>
            <w:r>
              <w:rPr>
                <w:rFonts w:hint="eastAsia" w:ascii="宋体" w:hAnsi="宋体" w:cs="宋体"/>
                <w:bCs/>
                <w:color w:val="auto"/>
                <w:sz w:val="24"/>
                <w:highlight w:val="none"/>
              </w:rPr>
              <w:t>注：（以中标通知书或合同为准）。</w:t>
            </w:r>
          </w:p>
        </w:tc>
      </w:tr>
    </w:tbl>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snapToGrid w:val="0"/>
        <w:spacing w:line="360" w:lineRule="auto"/>
        <w:rPr>
          <w:rFonts w:ascii="宋体" w:hAnsi="宋体"/>
          <w:bCs/>
          <w:color w:val="auto"/>
          <w:sz w:val="28"/>
          <w:szCs w:val="28"/>
          <w:highlight w:val="none"/>
        </w:rPr>
      </w:pPr>
      <w:r>
        <w:rPr>
          <w:rFonts w:hint="eastAsia" w:ascii="宋体" w:hAnsi="宋体"/>
          <w:bCs/>
          <w:color w:val="auto"/>
          <w:sz w:val="28"/>
          <w:szCs w:val="28"/>
          <w:highlight w:val="none"/>
        </w:rPr>
        <w:t>附件</w:t>
      </w:r>
      <w:r>
        <w:rPr>
          <w:rFonts w:hint="eastAsia" w:ascii="宋体" w:hAnsi="宋体"/>
          <w:bCs/>
          <w:color w:val="auto"/>
          <w:sz w:val="28"/>
          <w:szCs w:val="28"/>
          <w:highlight w:val="none"/>
          <w:lang w:val="en-US" w:eastAsia="zh-CN"/>
        </w:rPr>
        <w:t>2</w:t>
      </w:r>
      <w:r>
        <w:rPr>
          <w:rFonts w:hint="eastAsia" w:ascii="宋体" w:hAnsi="宋体"/>
          <w:bCs/>
          <w:color w:val="auto"/>
          <w:sz w:val="28"/>
          <w:szCs w:val="28"/>
          <w:highlight w:val="none"/>
        </w:rPr>
        <w:t>：</w:t>
      </w:r>
    </w:p>
    <w:p>
      <w:pPr>
        <w:spacing w:line="360" w:lineRule="auto"/>
        <w:jc w:val="center"/>
        <w:outlineLvl w:val="0"/>
        <w:rPr>
          <w:rFonts w:hint="eastAsia" w:ascii="宋体" w:hAnsi="宋体" w:eastAsia="宋体"/>
          <w:b/>
          <w:color w:val="auto"/>
          <w:sz w:val="36"/>
          <w:szCs w:val="36"/>
          <w:highlight w:val="none"/>
          <w:lang w:eastAsia="zh-CN"/>
        </w:rPr>
      </w:pPr>
      <w:bookmarkStart w:id="88" w:name="_Toc13904"/>
      <w:r>
        <w:rPr>
          <w:rFonts w:hint="eastAsia" w:ascii="宋体" w:hAnsi="宋体"/>
          <w:b/>
          <w:color w:val="auto"/>
          <w:sz w:val="36"/>
          <w:szCs w:val="36"/>
          <w:highlight w:val="none"/>
          <w:lang w:eastAsia="zh-CN"/>
        </w:rPr>
        <w:t>资格</w:t>
      </w:r>
      <w:r>
        <w:rPr>
          <w:rFonts w:hint="eastAsia" w:ascii="宋体" w:hAnsi="宋体"/>
          <w:b/>
          <w:color w:val="auto"/>
          <w:sz w:val="36"/>
          <w:szCs w:val="36"/>
          <w:highlight w:val="none"/>
        </w:rPr>
        <w:t>审查表</w:t>
      </w:r>
      <w:bookmarkEnd w:id="88"/>
    </w:p>
    <w:tbl>
      <w:tblPr>
        <w:tblStyle w:val="2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146"/>
        <w:gridCol w:w="915"/>
        <w:gridCol w:w="990"/>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6" w:type="dxa"/>
            <w:vMerge w:val="restart"/>
            <w:vAlign w:val="center"/>
          </w:tcPr>
          <w:p>
            <w:pPr>
              <w:keepNext w:val="0"/>
              <w:keepLines w:val="0"/>
              <w:suppressLineNumbers w:val="0"/>
              <w:spacing w:before="0" w:beforeAutospacing="0" w:after="0" w:afterAutospacing="0" w:line="360" w:lineRule="auto"/>
              <w:ind w:left="0" w:right="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146" w:type="dxa"/>
            <w:vMerge w:val="restart"/>
            <w:vAlign w:val="center"/>
          </w:tcPr>
          <w:p>
            <w:pPr>
              <w:keepNext w:val="0"/>
              <w:keepLines w:val="0"/>
              <w:suppressLineNumbers w:val="0"/>
              <w:spacing w:before="0" w:beforeAutospacing="0" w:after="0" w:afterAutospacing="0" w:line="360" w:lineRule="auto"/>
              <w:ind w:left="0" w:right="0"/>
              <w:jc w:val="center"/>
              <w:rPr>
                <w:rFonts w:ascii="宋体" w:hAnsi="宋体" w:cs="宋体"/>
                <w:b/>
                <w:bCs/>
                <w:color w:val="auto"/>
                <w:sz w:val="24"/>
                <w:highlight w:val="none"/>
              </w:rPr>
            </w:pPr>
            <w:r>
              <w:rPr>
                <w:rFonts w:hint="eastAsia" w:ascii="宋体" w:hAnsi="宋体" w:cs="宋体"/>
                <w:b/>
                <w:bCs/>
                <w:color w:val="auto"/>
                <w:sz w:val="24"/>
                <w:highlight w:val="none"/>
              </w:rPr>
              <w:t>审查内容</w:t>
            </w:r>
          </w:p>
        </w:tc>
        <w:tc>
          <w:tcPr>
            <w:tcW w:w="3883" w:type="dxa"/>
            <w:gridSpan w:val="4"/>
            <w:vAlign w:val="center"/>
          </w:tcPr>
          <w:p>
            <w:pPr>
              <w:keepNext w:val="0"/>
              <w:keepLines w:val="0"/>
              <w:suppressLineNumbers w:val="0"/>
              <w:spacing w:before="0" w:beforeAutospacing="0" w:after="0" w:afterAutospacing="0" w:line="360" w:lineRule="auto"/>
              <w:ind w:left="0" w:right="0"/>
              <w:jc w:val="center"/>
              <w:rPr>
                <w:rFonts w:ascii="宋体" w:hAnsi="宋体"/>
                <w:b/>
                <w:bCs/>
                <w:color w:val="auto"/>
                <w:sz w:val="24"/>
                <w:highlight w:val="none"/>
              </w:rPr>
            </w:pPr>
            <w:r>
              <w:rPr>
                <w:rFonts w:hint="eastAsia" w:ascii="宋体" w:hAnsi="宋体" w:cs="宋体"/>
                <w:b/>
                <w:bCs/>
                <w:color w:val="auto"/>
                <w:sz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6" w:type="dxa"/>
            <w:vMerge w:val="continue"/>
            <w:vAlign w:val="center"/>
          </w:tcPr>
          <w:p>
            <w:pPr>
              <w:keepNext w:val="0"/>
              <w:keepLines w:val="0"/>
              <w:suppressLineNumbers w:val="0"/>
              <w:spacing w:before="0" w:beforeAutospacing="0" w:after="0" w:afterAutospacing="0" w:line="360" w:lineRule="auto"/>
              <w:ind w:left="0" w:right="0" w:firstLine="482"/>
              <w:rPr>
                <w:rFonts w:ascii="宋体" w:hAnsi="宋体"/>
                <w:b/>
                <w:bCs/>
                <w:color w:val="auto"/>
                <w:sz w:val="24"/>
                <w:highlight w:val="none"/>
              </w:rPr>
            </w:pPr>
          </w:p>
        </w:tc>
        <w:tc>
          <w:tcPr>
            <w:tcW w:w="4146" w:type="dxa"/>
            <w:vMerge w:val="continue"/>
            <w:vAlign w:val="center"/>
          </w:tcPr>
          <w:p>
            <w:pPr>
              <w:keepNext w:val="0"/>
              <w:keepLines w:val="0"/>
              <w:suppressLineNumbers w:val="0"/>
              <w:spacing w:before="0" w:beforeAutospacing="0" w:after="0" w:afterAutospacing="0" w:line="360" w:lineRule="auto"/>
              <w:ind w:left="0" w:right="0" w:firstLine="482"/>
              <w:rPr>
                <w:rFonts w:ascii="宋体" w:hAnsi="宋体"/>
                <w:b/>
                <w:bCs/>
                <w:color w:val="auto"/>
                <w:sz w:val="24"/>
                <w:highlight w:val="none"/>
              </w:rPr>
            </w:pPr>
          </w:p>
        </w:tc>
        <w:tc>
          <w:tcPr>
            <w:tcW w:w="915" w:type="dxa"/>
            <w:vAlign w:val="center"/>
          </w:tcPr>
          <w:p>
            <w:pPr>
              <w:keepNext w:val="0"/>
              <w:keepLines w:val="0"/>
              <w:suppressLineNumbers w:val="0"/>
              <w:spacing w:before="0" w:beforeAutospacing="0" w:after="0" w:afterAutospacing="0" w:line="360" w:lineRule="auto"/>
              <w:ind w:left="0" w:right="0" w:firstLine="482"/>
              <w:rPr>
                <w:rFonts w:ascii="宋体" w:hAnsi="宋体"/>
                <w:b/>
                <w:bCs/>
                <w:color w:val="auto"/>
                <w:sz w:val="24"/>
                <w:highlight w:val="none"/>
              </w:rPr>
            </w:pPr>
          </w:p>
        </w:tc>
        <w:tc>
          <w:tcPr>
            <w:tcW w:w="990" w:type="dxa"/>
            <w:vAlign w:val="center"/>
          </w:tcPr>
          <w:p>
            <w:pPr>
              <w:keepNext w:val="0"/>
              <w:keepLines w:val="0"/>
              <w:suppressLineNumbers w:val="0"/>
              <w:spacing w:before="0" w:beforeAutospacing="0" w:after="0" w:afterAutospacing="0" w:line="360" w:lineRule="auto"/>
              <w:ind w:left="0" w:right="0" w:firstLine="482"/>
              <w:rPr>
                <w:rFonts w:ascii="宋体" w:hAnsi="宋体"/>
                <w:b/>
                <w:bCs/>
                <w:color w:val="auto"/>
                <w:sz w:val="24"/>
                <w:highlight w:val="none"/>
              </w:rPr>
            </w:pPr>
          </w:p>
        </w:tc>
        <w:tc>
          <w:tcPr>
            <w:tcW w:w="989" w:type="dxa"/>
            <w:vAlign w:val="center"/>
          </w:tcPr>
          <w:p>
            <w:pPr>
              <w:keepNext w:val="0"/>
              <w:keepLines w:val="0"/>
              <w:suppressLineNumbers w:val="0"/>
              <w:spacing w:before="0" w:beforeAutospacing="0" w:after="0" w:afterAutospacing="0" w:line="360" w:lineRule="auto"/>
              <w:ind w:left="0" w:right="0" w:firstLine="482"/>
              <w:rPr>
                <w:rFonts w:ascii="宋体" w:hAnsi="宋体"/>
                <w:b/>
                <w:bCs/>
                <w:color w:val="auto"/>
                <w:sz w:val="24"/>
                <w:highlight w:val="none"/>
              </w:rPr>
            </w:pPr>
          </w:p>
        </w:tc>
        <w:tc>
          <w:tcPr>
            <w:tcW w:w="989" w:type="dxa"/>
            <w:vAlign w:val="center"/>
          </w:tcPr>
          <w:p>
            <w:pPr>
              <w:keepNext w:val="0"/>
              <w:keepLines w:val="0"/>
              <w:suppressLineNumbers w:val="0"/>
              <w:spacing w:before="0" w:beforeAutospacing="0" w:after="0" w:afterAutospacing="0" w:line="360" w:lineRule="auto"/>
              <w:ind w:left="0" w:right="0" w:firstLine="482"/>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46"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营业执照、税务登记证、组织机构代码证</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营业范围</w:t>
            </w:r>
            <w:r>
              <w:rPr>
                <w:rFonts w:hint="eastAsia" w:ascii="宋体" w:hAnsi="宋体" w:eastAsia="宋体" w:cs="宋体"/>
                <w:color w:val="auto"/>
                <w:sz w:val="24"/>
                <w:szCs w:val="24"/>
                <w:highlight w:val="none"/>
              </w:rPr>
              <w:t>符合要求情况</w:t>
            </w:r>
            <w:r>
              <w:rPr>
                <w:rFonts w:hint="eastAsia" w:ascii="宋体" w:hAnsi="宋体" w:eastAsia="宋体" w:cs="宋体"/>
                <w:color w:val="auto"/>
                <w:sz w:val="24"/>
                <w:szCs w:val="24"/>
                <w:highlight w:val="none"/>
                <w:lang w:eastAsia="zh-CN"/>
              </w:rPr>
              <w:t>。</w:t>
            </w:r>
          </w:p>
        </w:tc>
        <w:tc>
          <w:tcPr>
            <w:tcW w:w="915"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90" w:type="dxa"/>
            <w:vAlign w:val="center"/>
          </w:tcPr>
          <w:p>
            <w:pPr>
              <w:keepNext w:val="0"/>
              <w:keepLines w:val="0"/>
              <w:suppressLineNumbers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spacing w:before="0" w:beforeAutospacing="0" w:after="0" w:afterAutospacing="0" w:line="360" w:lineRule="auto"/>
              <w:ind w:left="0" w:right="0"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46"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信用记录符合要求情况</w:t>
            </w:r>
            <w:r>
              <w:rPr>
                <w:rFonts w:hint="eastAsia" w:ascii="宋体" w:hAnsi="宋体" w:eastAsia="宋体" w:cs="宋体"/>
                <w:color w:val="auto"/>
                <w:sz w:val="24"/>
                <w:szCs w:val="24"/>
                <w:highlight w:val="none"/>
                <w:lang w:eastAsia="zh-CN"/>
              </w:rPr>
              <w:t>。</w:t>
            </w:r>
          </w:p>
        </w:tc>
        <w:tc>
          <w:tcPr>
            <w:tcW w:w="915"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90"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46"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信用承诺书符合要求情况</w:t>
            </w:r>
            <w:r>
              <w:rPr>
                <w:rFonts w:hint="eastAsia" w:ascii="宋体" w:hAnsi="宋体" w:eastAsia="宋体" w:cs="宋体"/>
                <w:color w:val="auto"/>
                <w:sz w:val="24"/>
                <w:szCs w:val="24"/>
                <w:highlight w:val="none"/>
                <w:lang w:eastAsia="zh-CN"/>
              </w:rPr>
              <w:t>。</w:t>
            </w:r>
          </w:p>
        </w:tc>
        <w:tc>
          <w:tcPr>
            <w:tcW w:w="915"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90"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872"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审查结论</w:t>
            </w:r>
          </w:p>
        </w:tc>
        <w:tc>
          <w:tcPr>
            <w:tcW w:w="915"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90"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c>
          <w:tcPr>
            <w:tcW w:w="989" w:type="dxa"/>
            <w:vAlign w:val="center"/>
          </w:tcPr>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755" w:type="dxa"/>
            <w:gridSpan w:val="6"/>
            <w:vAlign w:val="center"/>
          </w:tcPr>
          <w:p>
            <w:pPr>
              <w:keepNext w:val="0"/>
              <w:keepLines w:val="0"/>
              <w:suppressLineNumbers w:val="0"/>
              <w:adjustRightInd w:val="0"/>
              <w:snapToGrid w:val="0"/>
              <w:spacing w:before="0" w:beforeAutospacing="0" w:after="0" w:afterAutospacing="0" w:line="360" w:lineRule="auto"/>
              <w:ind w:left="0" w:right="0"/>
              <w:rPr>
                <w:rFonts w:ascii="宋体" w:hAnsi="宋体"/>
                <w:color w:val="auto"/>
                <w:sz w:val="24"/>
                <w:highlight w:val="none"/>
              </w:rPr>
            </w:pPr>
            <w:r>
              <w:rPr>
                <w:rFonts w:hint="eastAsia" w:ascii="宋体" w:hAnsi="宋体" w:cs="宋体"/>
                <w:color w:val="auto"/>
                <w:sz w:val="24"/>
                <w:highlight w:val="none"/>
              </w:rPr>
              <w:t>备注：（有不符合项的，需在此处详细写明理由）</w:t>
            </w:r>
          </w:p>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ascii="宋体"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560" w:firstLineChars="1900"/>
              <w:rPr>
                <w:rFonts w:ascii="宋体" w:hAnsi="宋体"/>
                <w:color w:val="auto"/>
                <w:sz w:val="24"/>
                <w:highlight w:val="none"/>
              </w:rPr>
            </w:pPr>
            <w:r>
              <w:rPr>
                <w:rFonts w:hint="eastAsia" w:ascii="宋体" w:hAnsi="宋体"/>
                <w:color w:val="auto"/>
                <w:sz w:val="24"/>
                <w:highlight w:val="none"/>
              </w:rPr>
              <w:t>审查人签字：</w:t>
            </w: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注：合格项打√，不合格项打×，一项打×即为</w:t>
      </w:r>
      <w:r>
        <w:rPr>
          <w:rFonts w:hint="eastAsia" w:ascii="宋体" w:hAnsi="宋体"/>
          <w:color w:val="auto"/>
          <w:szCs w:val="21"/>
          <w:highlight w:val="none"/>
          <w:lang w:val="en-US" w:eastAsia="zh-CN"/>
        </w:rPr>
        <w:t>资格</w:t>
      </w:r>
      <w:r>
        <w:rPr>
          <w:rFonts w:hint="eastAsia" w:ascii="宋体" w:hAnsi="宋体"/>
          <w:color w:val="auto"/>
          <w:szCs w:val="21"/>
          <w:highlight w:val="none"/>
        </w:rPr>
        <w:t>审查不合格，不合格原因请在备注栏内注明。</w:t>
      </w:r>
    </w:p>
    <w:p>
      <w:pPr>
        <w:spacing w:line="360" w:lineRule="auto"/>
        <w:ind w:firstLine="720" w:firstLineChars="200"/>
        <w:rPr>
          <w:rFonts w:ascii="宋体" w:hAnsi="宋体"/>
          <w:bCs/>
          <w:color w:val="auto"/>
          <w:sz w:val="36"/>
          <w:szCs w:val="36"/>
          <w:highlight w:val="none"/>
        </w:rPr>
      </w:pPr>
      <w:r>
        <w:rPr>
          <w:rFonts w:ascii="宋体" w:hAnsi="宋体"/>
          <w:bCs/>
          <w:color w:val="auto"/>
          <w:sz w:val="36"/>
          <w:szCs w:val="36"/>
          <w:highlight w:val="none"/>
        </w:rPr>
        <w:br w:type="page"/>
      </w:r>
    </w:p>
    <w:p>
      <w:pPr>
        <w:spacing w:line="360" w:lineRule="auto"/>
        <w:ind w:firstLine="2891" w:firstLineChars="800"/>
        <w:rPr>
          <w:rFonts w:hint="eastAsia" w:ascii="宋体" w:hAnsi="宋体"/>
          <w:b/>
          <w:bCs w:val="0"/>
          <w:color w:val="auto"/>
          <w:sz w:val="36"/>
          <w:szCs w:val="36"/>
          <w:highlight w:val="none"/>
        </w:rPr>
        <w:sectPr>
          <w:pgSz w:w="11906" w:h="16838"/>
          <w:pgMar w:top="1134" w:right="1701" w:bottom="1134" w:left="1701" w:header="851" w:footer="828" w:gutter="0"/>
          <w:pgNumType w:fmt="decimal"/>
          <w:cols w:space="720" w:num="1"/>
          <w:docGrid w:type="lines" w:linePitch="312" w:charSpace="0"/>
        </w:sectPr>
      </w:pPr>
    </w:p>
    <w:p>
      <w:pPr>
        <w:snapToGrid w:val="0"/>
        <w:spacing w:line="360" w:lineRule="auto"/>
        <w:rPr>
          <w:rFonts w:ascii="宋体" w:hAnsi="宋体"/>
          <w:bCs/>
          <w:color w:val="auto"/>
          <w:sz w:val="28"/>
          <w:szCs w:val="28"/>
          <w:highlight w:val="none"/>
        </w:rPr>
      </w:pPr>
      <w:bookmarkStart w:id="89" w:name="_Toc6364"/>
      <w:r>
        <w:rPr>
          <w:rFonts w:hint="eastAsia" w:ascii="宋体" w:hAnsi="宋体"/>
          <w:bCs/>
          <w:color w:val="auto"/>
          <w:sz w:val="28"/>
          <w:szCs w:val="28"/>
          <w:highlight w:val="none"/>
        </w:rPr>
        <w:t>附件</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w:t>
      </w:r>
    </w:p>
    <w:p>
      <w:pPr>
        <w:spacing w:line="360" w:lineRule="auto"/>
        <w:ind w:firstLine="3614" w:firstLineChars="1000"/>
        <w:jc w:val="left"/>
        <w:outlineLvl w:val="0"/>
        <w:rPr>
          <w:rFonts w:hint="eastAsia" w:ascii="宋体" w:hAnsi="宋体" w:eastAsia="宋体"/>
          <w:b/>
          <w:bCs w:val="0"/>
          <w:color w:val="auto"/>
          <w:sz w:val="18"/>
          <w:szCs w:val="18"/>
          <w:highlight w:val="none"/>
          <w:lang w:eastAsia="zh-CN"/>
        </w:rPr>
      </w:pPr>
      <w:r>
        <w:rPr>
          <w:rFonts w:hint="eastAsia" w:ascii="宋体" w:hAnsi="宋体"/>
          <w:b/>
          <w:bCs w:val="0"/>
          <w:color w:val="auto"/>
          <w:sz w:val="36"/>
          <w:szCs w:val="36"/>
          <w:highlight w:val="none"/>
        </w:rPr>
        <w:t>符合性审查表</w:t>
      </w:r>
      <w:bookmarkEnd w:id="89"/>
    </w:p>
    <w:tbl>
      <w:tblPr>
        <w:tblStyle w:val="2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567"/>
        <w:gridCol w:w="811"/>
        <w:gridCol w:w="812"/>
        <w:gridCol w:w="81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2" w:type="dxa"/>
            <w:vMerge w:val="restart"/>
            <w:vAlign w:val="center"/>
          </w:tcPr>
          <w:p>
            <w:pPr>
              <w:keepNext w:val="0"/>
              <w:keepLines w:val="0"/>
              <w:suppressLineNumbers w:val="0"/>
              <w:spacing w:before="0" w:beforeAutospacing="0" w:after="0" w:afterAutospacing="0"/>
              <w:ind w:left="0" w:right="0"/>
              <w:jc w:val="center"/>
              <w:rPr>
                <w:color w:val="auto"/>
                <w:sz w:val="24"/>
                <w:szCs w:val="24"/>
                <w:highlight w:val="none"/>
              </w:rPr>
            </w:pPr>
            <w:r>
              <w:rPr>
                <w:rFonts w:hint="eastAsia"/>
                <w:color w:val="auto"/>
                <w:sz w:val="24"/>
                <w:szCs w:val="24"/>
                <w:highlight w:val="none"/>
              </w:rPr>
              <w:t>序号</w:t>
            </w:r>
          </w:p>
        </w:tc>
        <w:tc>
          <w:tcPr>
            <w:tcW w:w="5567" w:type="dxa"/>
            <w:vMerge w:val="restart"/>
            <w:vAlign w:val="center"/>
          </w:tcPr>
          <w:p>
            <w:pPr>
              <w:keepNext w:val="0"/>
              <w:keepLines w:val="0"/>
              <w:suppressLineNumbers w:val="0"/>
              <w:spacing w:before="0" w:beforeAutospacing="0" w:after="0" w:afterAutospacing="0"/>
              <w:ind w:left="0" w:right="0"/>
              <w:jc w:val="center"/>
              <w:rPr>
                <w:color w:val="auto"/>
                <w:sz w:val="24"/>
                <w:szCs w:val="24"/>
                <w:highlight w:val="none"/>
              </w:rPr>
            </w:pPr>
            <w:r>
              <w:rPr>
                <w:rFonts w:hint="eastAsia"/>
                <w:color w:val="auto"/>
                <w:sz w:val="24"/>
                <w:szCs w:val="24"/>
                <w:highlight w:val="none"/>
              </w:rPr>
              <w:t>审查内容</w:t>
            </w:r>
          </w:p>
        </w:tc>
        <w:tc>
          <w:tcPr>
            <w:tcW w:w="3249" w:type="dxa"/>
            <w:gridSpan w:val="4"/>
            <w:vAlign w:val="center"/>
          </w:tcPr>
          <w:p>
            <w:pPr>
              <w:keepNext w:val="0"/>
              <w:keepLines w:val="0"/>
              <w:suppressLineNumbers w:val="0"/>
              <w:spacing w:before="0" w:beforeAutospacing="0" w:after="0" w:afterAutospacing="0"/>
              <w:ind w:left="0" w:right="0"/>
              <w:jc w:val="center"/>
              <w:rPr>
                <w:color w:val="auto"/>
                <w:sz w:val="24"/>
                <w:szCs w:val="24"/>
                <w:highlight w:val="none"/>
              </w:rPr>
            </w:pPr>
            <w:r>
              <w:rPr>
                <w:rFonts w:hint="eastAsia"/>
                <w:color w:val="auto"/>
                <w:sz w:val="24"/>
                <w:szCs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82"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5567"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投标有效期满足招标文件要求</w:t>
            </w:r>
            <w:r>
              <w:rPr>
                <w:rFonts w:hint="eastAsia" w:ascii="宋体" w:hAnsi="宋体" w:eastAsia="宋体" w:cs="宋体"/>
                <w:color w:val="auto"/>
                <w:sz w:val="24"/>
                <w:szCs w:val="24"/>
                <w:highlight w:val="none"/>
                <w:lang w:eastAsia="zh-CN"/>
              </w:rPr>
              <w:t>。</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投标文件完整性符合招标文件实质性要求</w:t>
            </w:r>
            <w:r>
              <w:rPr>
                <w:rFonts w:hint="eastAsia" w:ascii="宋体" w:hAnsi="宋体" w:eastAsia="宋体" w:cs="宋体"/>
                <w:color w:val="auto"/>
                <w:sz w:val="24"/>
                <w:szCs w:val="24"/>
                <w:highlight w:val="none"/>
                <w:lang w:eastAsia="zh-CN"/>
              </w:rPr>
              <w:t>。</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投标文件签署情况符合招标文件实质性要求</w:t>
            </w:r>
            <w:r>
              <w:rPr>
                <w:rFonts w:hint="eastAsia" w:ascii="宋体" w:hAnsi="宋体" w:eastAsia="宋体" w:cs="宋体"/>
                <w:color w:val="auto"/>
                <w:sz w:val="24"/>
                <w:szCs w:val="24"/>
                <w:highlight w:val="none"/>
                <w:lang w:eastAsia="zh-CN"/>
              </w:rPr>
              <w:t>。</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567"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按照招标文件规定报价，</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漏项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报价未超出单价限价。</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对“★”条款做出实质性响应，未发生重大偏离</w:t>
            </w:r>
            <w:r>
              <w:rPr>
                <w:rFonts w:hint="eastAsia" w:ascii="宋体" w:hAnsi="宋体" w:cs="宋体"/>
                <w:color w:val="auto"/>
                <w:sz w:val="24"/>
                <w:szCs w:val="24"/>
                <w:highlight w:val="none"/>
                <w:lang w:eastAsia="zh-CN"/>
              </w:rPr>
              <w:t>。</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投标人未涂改证明材料或者提供虚假材料。</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投标文件未含有招标人不能接受的附加条件</w:t>
            </w:r>
            <w:r>
              <w:rPr>
                <w:rFonts w:hint="eastAsia" w:ascii="宋体" w:hAnsi="宋体" w:cs="宋体"/>
                <w:color w:val="auto"/>
                <w:sz w:val="24"/>
                <w:szCs w:val="24"/>
                <w:highlight w:val="none"/>
                <w:lang w:eastAsia="zh-CN"/>
              </w:rPr>
              <w:t>。</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5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其他符合法律法规规定的实质性要求</w:t>
            </w:r>
            <w:r>
              <w:rPr>
                <w:rFonts w:hint="eastAsia" w:ascii="宋体" w:hAnsi="宋体" w:cs="宋体"/>
                <w:color w:val="auto"/>
                <w:sz w:val="24"/>
                <w:szCs w:val="24"/>
                <w:highlight w:val="none"/>
                <w:lang w:eastAsia="zh-CN"/>
              </w:rPr>
              <w:t>。</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49" w:type="dxa"/>
            <w:gridSpan w:val="2"/>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审查结论</w:t>
            </w: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c>
          <w:tcPr>
            <w:tcW w:w="81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598" w:type="dxa"/>
            <w:gridSpan w:val="6"/>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备注：（有不符合项的，需在此处详细写明理由）</w:t>
            </w:r>
          </w:p>
          <w:p>
            <w:pPr>
              <w:pStyle w:val="18"/>
              <w:keepNext w:val="0"/>
              <w:keepLines w:val="0"/>
              <w:suppressLineNumbers w:val="0"/>
              <w:spacing w:before="0" w:beforeAutospacing="0" w:after="0" w:afterAutospacing="0"/>
              <w:ind w:left="0" w:right="0"/>
              <w:rPr>
                <w:color w:val="auto"/>
                <w:highlight w:val="none"/>
              </w:rPr>
            </w:pPr>
          </w:p>
          <w:p>
            <w:pPr>
              <w:keepNext w:val="0"/>
              <w:keepLines w:val="0"/>
              <w:suppressLineNumbers w:val="0"/>
              <w:spacing w:before="0" w:beforeAutospacing="0" w:after="0" w:afterAutospacing="0"/>
              <w:ind w:left="0" w:right="0"/>
              <w:rPr>
                <w:color w:val="auto"/>
                <w:highlight w:val="none"/>
              </w:rPr>
            </w:pPr>
          </w:p>
          <w:p>
            <w:pPr>
              <w:keepNext w:val="0"/>
              <w:keepLines w:val="0"/>
              <w:suppressLineNumbers w:val="0"/>
              <w:adjustRightInd w:val="0"/>
              <w:snapToGrid w:val="0"/>
              <w:spacing w:before="0" w:beforeAutospacing="0" w:after="0" w:afterAutospacing="0" w:line="360" w:lineRule="auto"/>
              <w:ind w:left="0" w:right="0"/>
              <w:jc w:val="left"/>
              <w:rPr>
                <w:rFonts w:ascii="宋体" w:hAnsi="宋体" w:cs="宋体"/>
                <w:color w:val="auto"/>
                <w:sz w:val="24"/>
                <w:highlight w:val="none"/>
              </w:rPr>
            </w:pPr>
            <w:r>
              <w:rPr>
                <w:rFonts w:hint="eastAsia" w:ascii="宋体" w:hAnsi="宋体" w:cs="宋体"/>
                <w:color w:val="auto"/>
                <w:sz w:val="24"/>
                <w:highlight w:val="none"/>
              </w:rPr>
              <w:t>评委签字：</w:t>
            </w:r>
          </w:p>
        </w:tc>
      </w:tr>
    </w:tbl>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注：1、合格项打√，不合格项打×，不合格原因请在备注栏内注明。</w:t>
      </w:r>
    </w:p>
    <w:p>
      <w:pPr>
        <w:numPr>
          <w:ilvl w:val="0"/>
          <w:numId w:val="0"/>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《符合性审查表》是符合性评审的依据，《符合性审查表》未列明的，不得作为符合性评审中认定投标（报价）文件无效的依据（属于法律法规规定的投标文件无效的情形除外）。</w:t>
      </w:r>
    </w:p>
    <w:p>
      <w:pPr>
        <w:numPr>
          <w:ilvl w:val="0"/>
          <w:numId w:val="0"/>
        </w:numPr>
        <w:adjustRightInd w:val="0"/>
        <w:snapToGrid w:val="0"/>
        <w:spacing w:line="360" w:lineRule="auto"/>
        <w:rPr>
          <w:rFonts w:hint="eastAsia" w:ascii="宋体" w:hAnsi="宋体" w:cs="宋体"/>
          <w:color w:val="auto"/>
          <w:sz w:val="24"/>
          <w:highlight w:val="none"/>
        </w:rPr>
        <w:sectPr>
          <w:pgSz w:w="11906" w:h="16838"/>
          <w:pgMar w:top="1134" w:right="1701" w:bottom="1134" w:left="1701" w:header="851" w:footer="828" w:gutter="0"/>
          <w:pgNumType w:fmt="decimal"/>
          <w:cols w:space="720" w:num="1"/>
          <w:docGrid w:type="lines" w:linePitch="312" w:charSpace="0"/>
        </w:sectPr>
      </w:pPr>
    </w:p>
    <w:p>
      <w:pPr>
        <w:snapToGrid w:val="0"/>
        <w:spacing w:line="360" w:lineRule="auto"/>
        <w:rPr>
          <w:rFonts w:hint="eastAsia" w:ascii="宋体" w:hAnsi="宋体" w:cs="宋体"/>
          <w:b/>
          <w:color w:val="auto"/>
          <w:spacing w:val="6"/>
          <w:kern w:val="0"/>
          <w:sz w:val="24"/>
          <w:highlight w:val="none"/>
        </w:rPr>
      </w:pPr>
      <w:r>
        <w:rPr>
          <w:rFonts w:hint="eastAsia" w:ascii="宋体" w:hAnsi="宋体"/>
          <w:bCs/>
          <w:color w:val="auto"/>
          <w:sz w:val="28"/>
          <w:szCs w:val="28"/>
          <w:highlight w:val="none"/>
        </w:rPr>
        <w:t>附件</w:t>
      </w:r>
      <w:r>
        <w:rPr>
          <w:rFonts w:hint="eastAsia" w:ascii="宋体" w:hAnsi="宋体"/>
          <w:bCs/>
          <w:color w:val="auto"/>
          <w:sz w:val="28"/>
          <w:szCs w:val="28"/>
          <w:highlight w:val="none"/>
          <w:lang w:val="en-US" w:eastAsia="zh-CN"/>
        </w:rPr>
        <w:t>4</w:t>
      </w:r>
      <w:r>
        <w:rPr>
          <w:rFonts w:hint="eastAsia" w:ascii="宋体" w:hAnsi="宋体"/>
          <w:bCs/>
          <w:color w:val="auto"/>
          <w:sz w:val="28"/>
          <w:szCs w:val="28"/>
          <w:highlight w:val="none"/>
        </w:rPr>
        <w:t>：</w:t>
      </w:r>
    </w:p>
    <w:p>
      <w:pPr>
        <w:widowControl/>
        <w:spacing w:line="588" w:lineRule="exact"/>
        <w:jc w:val="center"/>
        <w:outlineLvl w:val="0"/>
        <w:rPr>
          <w:rFonts w:hint="eastAsia" w:ascii="宋体" w:hAnsi="宋体" w:cs="宋体"/>
          <w:b/>
          <w:color w:val="auto"/>
          <w:spacing w:val="6"/>
          <w:kern w:val="0"/>
          <w:sz w:val="36"/>
          <w:szCs w:val="36"/>
          <w:highlight w:val="none"/>
        </w:rPr>
      </w:pPr>
      <w:bookmarkStart w:id="90" w:name="_Toc22683"/>
      <w:r>
        <w:rPr>
          <w:rFonts w:hint="eastAsia" w:ascii="宋体" w:hAnsi="宋体" w:cs="宋体"/>
          <w:b/>
          <w:color w:val="auto"/>
          <w:spacing w:val="6"/>
          <w:kern w:val="0"/>
          <w:sz w:val="36"/>
          <w:szCs w:val="36"/>
          <w:highlight w:val="none"/>
        </w:rPr>
        <w:t>递交备份投标（响应）文件授权函</w:t>
      </w:r>
      <w:bookmarkEnd w:id="90"/>
    </w:p>
    <w:p>
      <w:pPr>
        <w:pStyle w:val="12"/>
        <w:rPr>
          <w:color w:val="auto"/>
          <w:highlight w:val="none"/>
        </w:rPr>
      </w:pPr>
    </w:p>
    <w:p>
      <w:pPr>
        <w:keepNext w:val="0"/>
        <w:keepLines w:val="0"/>
        <w:pageBreakBefore w:val="0"/>
        <w:widowControl w:val="0"/>
        <w:kinsoku/>
        <w:overflowPunct/>
        <w:topLinePunct w:val="0"/>
        <w:autoSpaceDE/>
        <w:autoSpaceDN/>
        <w:bidi w:val="0"/>
        <w:adjustRightInd/>
        <w:snapToGrid/>
        <w:spacing w:line="360" w:lineRule="exact"/>
        <w:textAlignment w:val="auto"/>
        <w:rPr>
          <w:rFonts w:ascii="宋体" w:hAnsi="宋体"/>
          <w:color w:val="auto"/>
          <w:sz w:val="24"/>
          <w:highlight w:val="none"/>
        </w:rPr>
      </w:pPr>
      <w:r>
        <w:rPr>
          <w:rFonts w:ascii="宋体" w:hAnsi="宋体"/>
          <w:color w:val="auto"/>
          <w:sz w:val="24"/>
          <w:highlight w:val="none"/>
        </w:rPr>
        <w:t>（采购单位</w:t>
      </w:r>
      <w:r>
        <w:rPr>
          <w:rFonts w:hint="eastAsia" w:ascii="宋体" w:hAnsi="宋体"/>
          <w:color w:val="auto"/>
          <w:sz w:val="24"/>
          <w:highlight w:val="none"/>
          <w:lang w:eastAsia="zh-CN"/>
        </w:rPr>
        <w:t>，招标代理机构</w:t>
      </w:r>
      <w:r>
        <w:rPr>
          <w:rFonts w:ascii="宋体" w:hAnsi="宋体"/>
          <w:color w:val="auto"/>
          <w:sz w:val="24"/>
          <w:highlight w:val="none"/>
        </w:rPr>
        <w:t>名称）：</w:t>
      </w:r>
    </w:p>
    <w:p>
      <w:pPr>
        <w:keepNext w:val="0"/>
        <w:keepLines w:val="0"/>
        <w:pageBreakBefore w:val="0"/>
        <w:widowControl w:val="0"/>
        <w:kinsoku/>
        <w:overflowPunct/>
        <w:topLinePunct w:val="0"/>
        <w:autoSpaceDE/>
        <w:autoSpaceDN/>
        <w:bidi w:val="0"/>
        <w:adjustRightInd/>
        <w:snapToGrid/>
        <w:spacing w:line="360" w:lineRule="exact"/>
        <w:ind w:firstLine="480" w:firstLineChars="200"/>
        <w:textAlignment w:val="auto"/>
        <w:rPr>
          <w:rFonts w:ascii="宋体" w:hAnsi="宋体"/>
          <w:color w:val="auto"/>
          <w:sz w:val="24"/>
          <w:highlight w:val="none"/>
        </w:rPr>
      </w:pPr>
      <w:r>
        <w:rPr>
          <w:rFonts w:ascii="宋体" w:hAnsi="宋体"/>
          <w:color w:val="auto"/>
          <w:sz w:val="24"/>
          <w:highlight w:val="none"/>
        </w:rPr>
        <w:t>我单位现授权姓名：（身份证号：</w:t>
      </w:r>
      <w:r>
        <w:rPr>
          <w:rFonts w:hint="eastAsia" w:ascii="宋体" w:hAnsi="宋体"/>
          <w:color w:val="auto"/>
          <w:sz w:val="24"/>
          <w:highlight w:val="none"/>
        </w:rPr>
        <w:t>)</w:t>
      </w:r>
      <w:r>
        <w:rPr>
          <w:rFonts w:ascii="宋体" w:hAnsi="宋体"/>
          <w:color w:val="auto"/>
          <w:sz w:val="24"/>
          <w:highlight w:val="none"/>
        </w:rPr>
        <w:t xml:space="preserve"> 性别：职务：向贵单位提交（采购项目名称及项 目编号）的备份投标（响应）文件。</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我单位知悉 ：</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1. 投标人应在投标（响应）截止时间前将加密的投标 （响应）文件上传至“</w:t>
      </w:r>
      <w:r>
        <w:rPr>
          <w:rFonts w:hint="eastAsia" w:ascii="宋体" w:hAnsi="宋体"/>
          <w:color w:val="auto"/>
          <w:sz w:val="24"/>
          <w:highlight w:val="none"/>
          <w:lang w:eastAsia="zh-CN"/>
        </w:rPr>
        <w:t>大连国企阳光采购服务平台</w:t>
      </w:r>
      <w:r>
        <w:rPr>
          <w:rFonts w:ascii="宋体" w:hAnsi="宋体"/>
          <w:color w:val="auto"/>
          <w:sz w:val="24"/>
          <w:highlight w:val="none"/>
        </w:rPr>
        <w:t>”，递交备份投标（响应）文件的，应在投标（响应）截止 时间前按采购文件规定的地点递交。</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2. 备份投标（响应）文件必须与通过系统上传加密的投标（响应）文件为同一时间使用投标文件制作工具生成的一套文件。</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3. 备份投标（响应）文件的存储、密封、递交等应按照采购文件要求执行。</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4. 递交备份投标（响应）文件时，投标人代表应出具 《递交备份投标（响应）文件 授权函》，未按要求提供的，采购单位、</w:t>
      </w:r>
      <w:r>
        <w:rPr>
          <w:rFonts w:hint="eastAsia" w:ascii="宋体" w:hAnsi="宋体"/>
          <w:color w:val="auto"/>
          <w:sz w:val="24"/>
          <w:highlight w:val="none"/>
          <w:lang w:eastAsia="zh-CN"/>
        </w:rPr>
        <w:t>招标代理机构</w:t>
      </w:r>
      <w:r>
        <w:rPr>
          <w:rFonts w:ascii="宋体" w:hAnsi="宋体"/>
          <w:color w:val="auto"/>
          <w:sz w:val="24"/>
          <w:highlight w:val="none"/>
        </w:rPr>
        <w:t>应拒收备份投标（响应）文件。</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5. 通过“</w:t>
      </w:r>
      <w:r>
        <w:rPr>
          <w:rFonts w:hint="eastAsia" w:ascii="宋体" w:hAnsi="宋体"/>
          <w:color w:val="auto"/>
          <w:sz w:val="24"/>
          <w:highlight w:val="none"/>
          <w:lang w:eastAsia="zh-CN"/>
        </w:rPr>
        <w:t>大连国企阳光采购服务平台</w:t>
      </w:r>
      <w:r>
        <w:rPr>
          <w:rFonts w:ascii="宋体" w:hAnsi="宋体"/>
          <w:color w:val="auto"/>
          <w:sz w:val="24"/>
          <w:highlight w:val="none"/>
        </w:rPr>
        <w:t>”上传递交的投标（响应）文件无法按时 解密，投标</w:t>
      </w:r>
      <w:r>
        <w:rPr>
          <w:rFonts w:hint="eastAsia" w:ascii="宋体" w:hAnsi="宋体"/>
          <w:color w:val="auto"/>
          <w:sz w:val="24"/>
          <w:highlight w:val="none"/>
          <w:lang w:eastAsia="zh-CN"/>
        </w:rPr>
        <w:t>投标人</w:t>
      </w:r>
      <w:r>
        <w:rPr>
          <w:rFonts w:ascii="宋体" w:hAnsi="宋体"/>
          <w:color w:val="auto"/>
          <w:sz w:val="24"/>
          <w:highlight w:val="none"/>
        </w:rPr>
        <w:t>递交了备份投标（响应）文件的，以备份投标（响应）文件为依据，否则视为投标（响应）文件撤回。通过“</w:t>
      </w:r>
      <w:r>
        <w:rPr>
          <w:rFonts w:hint="eastAsia" w:ascii="宋体" w:hAnsi="宋体"/>
          <w:color w:val="auto"/>
          <w:sz w:val="24"/>
          <w:highlight w:val="none"/>
          <w:lang w:eastAsia="zh-CN"/>
        </w:rPr>
        <w:t>大连国企阳光采购服务平台</w:t>
      </w:r>
      <w:r>
        <w:rPr>
          <w:rFonts w:ascii="宋体" w:hAnsi="宋体"/>
          <w:color w:val="auto"/>
          <w:sz w:val="24"/>
          <w:highlight w:val="none"/>
        </w:rPr>
        <w:t>”上传递交的投标（响应）文件已按时解密的，备份投标（响应）文件自动失效。投标人仅提交备份投标（响应）文件，没有通过“</w:t>
      </w:r>
      <w:r>
        <w:rPr>
          <w:rFonts w:hint="eastAsia" w:ascii="宋体" w:hAnsi="宋体"/>
          <w:color w:val="auto"/>
          <w:sz w:val="24"/>
          <w:highlight w:val="none"/>
          <w:lang w:eastAsia="zh-CN"/>
        </w:rPr>
        <w:t>大连国企阳光采购服务平台</w:t>
      </w:r>
      <w:r>
        <w:rPr>
          <w:rFonts w:ascii="宋体" w:hAnsi="宋体"/>
          <w:color w:val="auto"/>
          <w:sz w:val="24"/>
          <w:highlight w:val="none"/>
        </w:rPr>
        <w:t>”上传递交投标（响应）文件的 ，投标（响应）无效。</w:t>
      </w:r>
    </w:p>
    <w:p>
      <w:pPr>
        <w:keepNext w:val="0"/>
        <w:keepLines w:val="0"/>
        <w:pageBreakBefore w:val="0"/>
        <w:widowControl w:val="0"/>
        <w:kinsoku/>
        <w:overflowPunct/>
        <w:topLinePunct w:val="0"/>
        <w:autoSpaceDE/>
        <w:autoSpaceDN/>
        <w:bidi w:val="0"/>
        <w:adjustRightInd/>
        <w:snapToGrid/>
        <w:spacing w:line="360" w:lineRule="exact"/>
        <w:ind w:firstLine="424" w:firstLineChars="177"/>
        <w:textAlignment w:val="auto"/>
        <w:rPr>
          <w:rFonts w:ascii="宋体" w:hAnsi="宋体"/>
          <w:color w:val="auto"/>
          <w:sz w:val="24"/>
          <w:highlight w:val="none"/>
        </w:rPr>
      </w:pPr>
      <w:r>
        <w:rPr>
          <w:rFonts w:ascii="宋体" w:hAnsi="宋体"/>
          <w:color w:val="auto"/>
          <w:sz w:val="24"/>
          <w:highlight w:val="none"/>
        </w:rPr>
        <w:t>6. 备份投标（响应）文件不是投标（响应）备选方案 。</w:t>
      </w:r>
    </w:p>
    <w:p>
      <w:pPr>
        <w:pStyle w:val="18"/>
        <w:rPr>
          <w:color w:val="auto"/>
          <w:highlight w:val="none"/>
        </w:rPr>
      </w:pPr>
    </w:p>
    <w:p>
      <w:pPr>
        <w:keepNext w:val="0"/>
        <w:keepLines w:val="0"/>
        <w:pageBreakBefore w:val="0"/>
        <w:widowControl w:val="0"/>
        <w:kinsoku/>
        <w:overflowPunct/>
        <w:topLinePunct w:val="0"/>
        <w:autoSpaceDE/>
        <w:autoSpaceDN/>
        <w:bidi w:val="0"/>
        <w:adjustRightInd/>
        <w:snapToGrid/>
        <w:spacing w:line="360" w:lineRule="exact"/>
        <w:ind w:firstLine="424" w:firstLineChars="177"/>
        <w:jc w:val="right"/>
        <w:textAlignment w:val="auto"/>
        <w:rPr>
          <w:rFonts w:ascii="宋体" w:hAnsi="宋体"/>
          <w:color w:val="auto"/>
          <w:sz w:val="24"/>
          <w:highlight w:val="none"/>
        </w:rPr>
      </w:pPr>
      <w:r>
        <w:rPr>
          <w:rFonts w:ascii="宋体" w:hAnsi="宋体"/>
          <w:color w:val="auto"/>
          <w:sz w:val="24"/>
          <w:highlight w:val="none"/>
        </w:rPr>
        <w:t>投标人名称（盖章）：</w:t>
      </w:r>
    </w:p>
    <w:p>
      <w:pPr>
        <w:pStyle w:val="18"/>
        <w:rPr>
          <w:color w:val="auto"/>
          <w:highlight w:val="none"/>
        </w:rPr>
      </w:pPr>
    </w:p>
    <w:p>
      <w:pPr>
        <w:keepNext w:val="0"/>
        <w:keepLines w:val="0"/>
        <w:pageBreakBefore w:val="0"/>
        <w:widowControl w:val="0"/>
        <w:kinsoku/>
        <w:overflowPunct/>
        <w:topLinePunct w:val="0"/>
        <w:autoSpaceDE/>
        <w:autoSpaceDN/>
        <w:bidi w:val="0"/>
        <w:adjustRightInd/>
        <w:snapToGrid/>
        <w:spacing w:line="360" w:lineRule="exact"/>
        <w:ind w:firstLine="424" w:firstLineChars="177"/>
        <w:jc w:val="right"/>
        <w:textAlignment w:val="auto"/>
        <w:rPr>
          <w:rFonts w:ascii="宋体" w:hAnsi="宋体"/>
          <w:color w:val="auto"/>
          <w:sz w:val="24"/>
          <w:highlight w:val="none"/>
        </w:rPr>
      </w:pPr>
      <w:r>
        <w:rPr>
          <w:rFonts w:ascii="宋体" w:hAnsi="宋体"/>
          <w:color w:val="auto"/>
          <w:sz w:val="24"/>
          <w:highlight w:val="none"/>
        </w:rPr>
        <w:t>日期：</w:t>
      </w:r>
      <w:r>
        <w:rPr>
          <w:rFonts w:hint="eastAsia" w:ascii="宋体" w:hAnsi="宋体"/>
          <w:color w:val="auto"/>
          <w:sz w:val="24"/>
          <w:highlight w:val="none"/>
        </w:rPr>
        <w:t xml:space="preserve">  </w:t>
      </w:r>
      <w:r>
        <w:rPr>
          <w:rFonts w:ascii="宋体" w:hAnsi="宋体"/>
          <w:color w:val="auto"/>
          <w:sz w:val="24"/>
          <w:highlight w:val="none"/>
        </w:rPr>
        <w:t>年</w:t>
      </w:r>
      <w:r>
        <w:rPr>
          <w:rFonts w:hint="eastAsia" w:ascii="宋体" w:hAnsi="宋体"/>
          <w:color w:val="auto"/>
          <w:sz w:val="24"/>
          <w:highlight w:val="none"/>
        </w:rPr>
        <w:t xml:space="preserve">  </w:t>
      </w:r>
      <w:r>
        <w:rPr>
          <w:rFonts w:ascii="宋体" w:hAnsi="宋体"/>
          <w:color w:val="auto"/>
          <w:sz w:val="24"/>
          <w:highlight w:val="none"/>
        </w:rPr>
        <w:t>月</w:t>
      </w:r>
      <w:r>
        <w:rPr>
          <w:rFonts w:hint="eastAsia" w:ascii="宋体" w:hAnsi="宋体"/>
          <w:color w:val="auto"/>
          <w:sz w:val="24"/>
          <w:highlight w:val="none"/>
        </w:rPr>
        <w:t xml:space="preserve">  </w:t>
      </w:r>
      <w:r>
        <w:rPr>
          <w:rFonts w:ascii="宋体" w:hAnsi="宋体"/>
          <w:color w:val="auto"/>
          <w:sz w:val="24"/>
          <w:highlight w:val="none"/>
        </w:rPr>
        <w:t>日</w:t>
      </w:r>
    </w:p>
    <w:p>
      <w:pPr>
        <w:pStyle w:val="11"/>
        <w:spacing w:line="276"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附：授权代表身份证（正反面）</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4502" w:type="dxa"/>
            <w:noWrap w:val="0"/>
            <w:vAlign w:val="center"/>
          </w:tcPr>
          <w:p>
            <w:pPr>
              <w:pStyle w:val="11"/>
              <w:keepNext w:val="0"/>
              <w:keepLines w:val="0"/>
              <w:suppressLineNumbers w:val="0"/>
              <w:spacing w:beforeAutospacing="0" w:after="0" w:afterAutospacing="0" w:line="276" w:lineRule="auto"/>
              <w:ind w:right="0"/>
              <w:jc w:val="center"/>
              <w:rPr>
                <w:rFonts w:ascii="宋体" w:hAnsi="宋体"/>
                <w:color w:val="auto"/>
                <w:sz w:val="24"/>
                <w:szCs w:val="24"/>
                <w:highlight w:val="none"/>
              </w:rPr>
            </w:pPr>
            <w:r>
              <w:rPr>
                <w:rFonts w:ascii="宋体" w:hAnsi="宋体"/>
                <w:color w:val="auto"/>
                <w:sz w:val="24"/>
                <w:szCs w:val="24"/>
                <w:highlight w:val="none"/>
              </w:rPr>
              <w:t>授权代表身份证复印件（或扫描件）正面</w:t>
            </w:r>
          </w:p>
        </w:tc>
        <w:tc>
          <w:tcPr>
            <w:tcW w:w="4503" w:type="dxa"/>
            <w:noWrap w:val="0"/>
            <w:vAlign w:val="center"/>
          </w:tcPr>
          <w:p>
            <w:pPr>
              <w:pStyle w:val="11"/>
              <w:keepNext w:val="0"/>
              <w:keepLines w:val="0"/>
              <w:suppressLineNumbers w:val="0"/>
              <w:spacing w:beforeAutospacing="0" w:after="0" w:afterAutospacing="0" w:line="276" w:lineRule="auto"/>
              <w:ind w:right="0"/>
              <w:jc w:val="center"/>
              <w:rPr>
                <w:rFonts w:ascii="宋体" w:hAnsi="宋体"/>
                <w:color w:val="auto"/>
                <w:sz w:val="24"/>
                <w:szCs w:val="24"/>
                <w:highlight w:val="none"/>
              </w:rPr>
            </w:pPr>
            <w:r>
              <w:rPr>
                <w:rFonts w:ascii="宋体" w:hAnsi="宋体"/>
                <w:color w:val="auto"/>
                <w:sz w:val="24"/>
                <w:szCs w:val="24"/>
                <w:highlight w:val="none"/>
              </w:rPr>
              <w:t>授权代表身份证复印件（或扫描件）反面</w:t>
            </w:r>
          </w:p>
        </w:tc>
      </w:tr>
    </w:tbl>
    <w:p>
      <w:pPr>
        <w:rPr>
          <w:rFonts w:hint="eastAsia" w:ascii="宋体" w:hAnsi="宋体" w:cs="宋体"/>
          <w:color w:val="auto"/>
          <w:sz w:val="24"/>
          <w:highlight w:val="none"/>
        </w:rPr>
      </w:pPr>
    </w:p>
    <w:sectPr>
      <w:pgSz w:w="11906" w:h="16838"/>
      <w:pgMar w:top="1134" w:right="1701" w:bottom="1134" w:left="1701" w:header="851" w:footer="82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sz w:val="21"/>
        <w:szCs w:val="21"/>
      </w:rPr>
    </w:pPr>
    <w:r>
      <w:rPr>
        <w:sz w:val="21"/>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0E65"/>
    <w:multiLevelType w:val="multilevel"/>
    <w:tmpl w:val="57C90E6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Y2MmM5MWQ3NmUwMWJlN2FmOWRlMjQ2ZGMzYWYzZjkifQ=="/>
  </w:docVars>
  <w:rsids>
    <w:rsidRoot w:val="00172A27"/>
    <w:rsid w:val="00014184"/>
    <w:rsid w:val="0003597E"/>
    <w:rsid w:val="0005385D"/>
    <w:rsid w:val="000547F6"/>
    <w:rsid w:val="00055A68"/>
    <w:rsid w:val="00060029"/>
    <w:rsid w:val="00063963"/>
    <w:rsid w:val="000849FB"/>
    <w:rsid w:val="00093ABB"/>
    <w:rsid w:val="00094ED1"/>
    <w:rsid w:val="00097847"/>
    <w:rsid w:val="000A45B7"/>
    <w:rsid w:val="000B16C1"/>
    <w:rsid w:val="000F3CBB"/>
    <w:rsid w:val="000F6954"/>
    <w:rsid w:val="00101778"/>
    <w:rsid w:val="001226FD"/>
    <w:rsid w:val="00124BCC"/>
    <w:rsid w:val="00126617"/>
    <w:rsid w:val="00131CCB"/>
    <w:rsid w:val="00131DA7"/>
    <w:rsid w:val="00155462"/>
    <w:rsid w:val="001675A1"/>
    <w:rsid w:val="00172A27"/>
    <w:rsid w:val="001857C8"/>
    <w:rsid w:val="00190BDC"/>
    <w:rsid w:val="001B7E9B"/>
    <w:rsid w:val="001C17D8"/>
    <w:rsid w:val="001D15CB"/>
    <w:rsid w:val="001D58BF"/>
    <w:rsid w:val="001E509C"/>
    <w:rsid w:val="001F6091"/>
    <w:rsid w:val="001F7633"/>
    <w:rsid w:val="00200CF5"/>
    <w:rsid w:val="00205A59"/>
    <w:rsid w:val="00227DBC"/>
    <w:rsid w:val="00241328"/>
    <w:rsid w:val="00243723"/>
    <w:rsid w:val="00255550"/>
    <w:rsid w:val="002634AD"/>
    <w:rsid w:val="00271219"/>
    <w:rsid w:val="002719F7"/>
    <w:rsid w:val="00295D43"/>
    <w:rsid w:val="002A67FE"/>
    <w:rsid w:val="002B0860"/>
    <w:rsid w:val="002C161C"/>
    <w:rsid w:val="002C5EF0"/>
    <w:rsid w:val="002C6671"/>
    <w:rsid w:val="002F78A8"/>
    <w:rsid w:val="00324EDF"/>
    <w:rsid w:val="00330950"/>
    <w:rsid w:val="00331F41"/>
    <w:rsid w:val="00332DE3"/>
    <w:rsid w:val="00343674"/>
    <w:rsid w:val="00372A9F"/>
    <w:rsid w:val="003954BA"/>
    <w:rsid w:val="003B7907"/>
    <w:rsid w:val="003B7C11"/>
    <w:rsid w:val="003C4047"/>
    <w:rsid w:val="003D4577"/>
    <w:rsid w:val="003E2746"/>
    <w:rsid w:val="003F3851"/>
    <w:rsid w:val="00401C0A"/>
    <w:rsid w:val="0040458C"/>
    <w:rsid w:val="004047CE"/>
    <w:rsid w:val="004352FB"/>
    <w:rsid w:val="00447DF0"/>
    <w:rsid w:val="00457143"/>
    <w:rsid w:val="004603EF"/>
    <w:rsid w:val="0046447F"/>
    <w:rsid w:val="00473AA4"/>
    <w:rsid w:val="004809CC"/>
    <w:rsid w:val="0048276A"/>
    <w:rsid w:val="00483B97"/>
    <w:rsid w:val="0049277F"/>
    <w:rsid w:val="004A44AA"/>
    <w:rsid w:val="004B5C03"/>
    <w:rsid w:val="004B666D"/>
    <w:rsid w:val="004B7DA9"/>
    <w:rsid w:val="004C42AB"/>
    <w:rsid w:val="004D1934"/>
    <w:rsid w:val="004F4066"/>
    <w:rsid w:val="004F4607"/>
    <w:rsid w:val="004F54EA"/>
    <w:rsid w:val="004F6E34"/>
    <w:rsid w:val="004F76C8"/>
    <w:rsid w:val="0050282E"/>
    <w:rsid w:val="00515D9C"/>
    <w:rsid w:val="005274BF"/>
    <w:rsid w:val="005327EF"/>
    <w:rsid w:val="005439D4"/>
    <w:rsid w:val="00544874"/>
    <w:rsid w:val="00546A2A"/>
    <w:rsid w:val="00550041"/>
    <w:rsid w:val="0055302D"/>
    <w:rsid w:val="00556159"/>
    <w:rsid w:val="005568A0"/>
    <w:rsid w:val="00586902"/>
    <w:rsid w:val="005A60C7"/>
    <w:rsid w:val="005D5E21"/>
    <w:rsid w:val="005F158D"/>
    <w:rsid w:val="005F5196"/>
    <w:rsid w:val="00602D4C"/>
    <w:rsid w:val="006158D7"/>
    <w:rsid w:val="00621A7A"/>
    <w:rsid w:val="00626B5B"/>
    <w:rsid w:val="00647BB3"/>
    <w:rsid w:val="006548B2"/>
    <w:rsid w:val="006625AD"/>
    <w:rsid w:val="00662772"/>
    <w:rsid w:val="00665CCF"/>
    <w:rsid w:val="00671E7A"/>
    <w:rsid w:val="00677F7E"/>
    <w:rsid w:val="006A0EB2"/>
    <w:rsid w:val="006A48EA"/>
    <w:rsid w:val="006A5C49"/>
    <w:rsid w:val="006B0C87"/>
    <w:rsid w:val="006B2E84"/>
    <w:rsid w:val="006C2A4B"/>
    <w:rsid w:val="006C3F67"/>
    <w:rsid w:val="006C7098"/>
    <w:rsid w:val="006D03EA"/>
    <w:rsid w:val="00725615"/>
    <w:rsid w:val="007302E2"/>
    <w:rsid w:val="00735DD0"/>
    <w:rsid w:val="007503E6"/>
    <w:rsid w:val="0075419D"/>
    <w:rsid w:val="00756140"/>
    <w:rsid w:val="00770645"/>
    <w:rsid w:val="0077285D"/>
    <w:rsid w:val="007802B4"/>
    <w:rsid w:val="00781723"/>
    <w:rsid w:val="007A6094"/>
    <w:rsid w:val="007A6CA2"/>
    <w:rsid w:val="007D59E9"/>
    <w:rsid w:val="00803E55"/>
    <w:rsid w:val="008064FF"/>
    <w:rsid w:val="00816F92"/>
    <w:rsid w:val="00835E6F"/>
    <w:rsid w:val="008621D2"/>
    <w:rsid w:val="00870107"/>
    <w:rsid w:val="0088117D"/>
    <w:rsid w:val="00893226"/>
    <w:rsid w:val="00893E47"/>
    <w:rsid w:val="00895FE0"/>
    <w:rsid w:val="00897A1B"/>
    <w:rsid w:val="008A23BD"/>
    <w:rsid w:val="008A2505"/>
    <w:rsid w:val="008A4509"/>
    <w:rsid w:val="008A4CC9"/>
    <w:rsid w:val="008C1843"/>
    <w:rsid w:val="008C4A49"/>
    <w:rsid w:val="008D0107"/>
    <w:rsid w:val="008D32B7"/>
    <w:rsid w:val="008F73FD"/>
    <w:rsid w:val="00904E0F"/>
    <w:rsid w:val="009338E2"/>
    <w:rsid w:val="00940CA7"/>
    <w:rsid w:val="00950E2F"/>
    <w:rsid w:val="009605EA"/>
    <w:rsid w:val="00971F4E"/>
    <w:rsid w:val="009745BC"/>
    <w:rsid w:val="009809F6"/>
    <w:rsid w:val="0099699E"/>
    <w:rsid w:val="00997DC9"/>
    <w:rsid w:val="009D5CF8"/>
    <w:rsid w:val="009E482B"/>
    <w:rsid w:val="009F7064"/>
    <w:rsid w:val="00A12B25"/>
    <w:rsid w:val="00A12F0F"/>
    <w:rsid w:val="00A23347"/>
    <w:rsid w:val="00A27460"/>
    <w:rsid w:val="00A32228"/>
    <w:rsid w:val="00A72A39"/>
    <w:rsid w:val="00A734B4"/>
    <w:rsid w:val="00A778C9"/>
    <w:rsid w:val="00A93E08"/>
    <w:rsid w:val="00AA52C9"/>
    <w:rsid w:val="00AA5E1A"/>
    <w:rsid w:val="00AA7E76"/>
    <w:rsid w:val="00AB2787"/>
    <w:rsid w:val="00AB5643"/>
    <w:rsid w:val="00AC678D"/>
    <w:rsid w:val="00AD7782"/>
    <w:rsid w:val="00B01F58"/>
    <w:rsid w:val="00B15663"/>
    <w:rsid w:val="00B15B3F"/>
    <w:rsid w:val="00B22AFD"/>
    <w:rsid w:val="00B23C10"/>
    <w:rsid w:val="00B47F23"/>
    <w:rsid w:val="00B97667"/>
    <w:rsid w:val="00BA1169"/>
    <w:rsid w:val="00BA4F4B"/>
    <w:rsid w:val="00BA6050"/>
    <w:rsid w:val="00BB100E"/>
    <w:rsid w:val="00BD480D"/>
    <w:rsid w:val="00BD6BC2"/>
    <w:rsid w:val="00BE24BD"/>
    <w:rsid w:val="00BE30D5"/>
    <w:rsid w:val="00C05D2F"/>
    <w:rsid w:val="00C13045"/>
    <w:rsid w:val="00C23BD5"/>
    <w:rsid w:val="00C25133"/>
    <w:rsid w:val="00C31F7A"/>
    <w:rsid w:val="00C402AD"/>
    <w:rsid w:val="00C43396"/>
    <w:rsid w:val="00C5087F"/>
    <w:rsid w:val="00C609F4"/>
    <w:rsid w:val="00C678C0"/>
    <w:rsid w:val="00C834AE"/>
    <w:rsid w:val="00C859E8"/>
    <w:rsid w:val="00C949D3"/>
    <w:rsid w:val="00CC4647"/>
    <w:rsid w:val="00CE06E4"/>
    <w:rsid w:val="00CE5C0E"/>
    <w:rsid w:val="00CF73A4"/>
    <w:rsid w:val="00D024CF"/>
    <w:rsid w:val="00D02F47"/>
    <w:rsid w:val="00D11FE4"/>
    <w:rsid w:val="00D151AA"/>
    <w:rsid w:val="00D172B5"/>
    <w:rsid w:val="00D337CD"/>
    <w:rsid w:val="00D3695F"/>
    <w:rsid w:val="00D4389A"/>
    <w:rsid w:val="00D46C26"/>
    <w:rsid w:val="00D51AFA"/>
    <w:rsid w:val="00D579AF"/>
    <w:rsid w:val="00D63A9C"/>
    <w:rsid w:val="00D63AFC"/>
    <w:rsid w:val="00D63D6B"/>
    <w:rsid w:val="00D6779A"/>
    <w:rsid w:val="00D82022"/>
    <w:rsid w:val="00D83C04"/>
    <w:rsid w:val="00D84857"/>
    <w:rsid w:val="00D90A70"/>
    <w:rsid w:val="00D953A5"/>
    <w:rsid w:val="00DA03BE"/>
    <w:rsid w:val="00DA0DC1"/>
    <w:rsid w:val="00DD3729"/>
    <w:rsid w:val="00DE1DE6"/>
    <w:rsid w:val="00DF2438"/>
    <w:rsid w:val="00E2179B"/>
    <w:rsid w:val="00E24920"/>
    <w:rsid w:val="00E77789"/>
    <w:rsid w:val="00E916EB"/>
    <w:rsid w:val="00E9575F"/>
    <w:rsid w:val="00E960B4"/>
    <w:rsid w:val="00EA3992"/>
    <w:rsid w:val="00EB41D5"/>
    <w:rsid w:val="00EB5399"/>
    <w:rsid w:val="00EC21BB"/>
    <w:rsid w:val="00EC6C61"/>
    <w:rsid w:val="00EC772E"/>
    <w:rsid w:val="00ED1EE4"/>
    <w:rsid w:val="00ED2C02"/>
    <w:rsid w:val="00EE37F0"/>
    <w:rsid w:val="00EE7277"/>
    <w:rsid w:val="00EF5BA2"/>
    <w:rsid w:val="00F1190F"/>
    <w:rsid w:val="00F44CAD"/>
    <w:rsid w:val="00F45455"/>
    <w:rsid w:val="00F46355"/>
    <w:rsid w:val="00F46581"/>
    <w:rsid w:val="00F559C3"/>
    <w:rsid w:val="00F5613F"/>
    <w:rsid w:val="00F622D6"/>
    <w:rsid w:val="00F7090E"/>
    <w:rsid w:val="00F74BC7"/>
    <w:rsid w:val="00F85DB0"/>
    <w:rsid w:val="00FA2DBE"/>
    <w:rsid w:val="00FA39DF"/>
    <w:rsid w:val="00FA6AB3"/>
    <w:rsid w:val="00FB1C2F"/>
    <w:rsid w:val="00FB5559"/>
    <w:rsid w:val="00FB732F"/>
    <w:rsid w:val="00FD6A75"/>
    <w:rsid w:val="00FE53E8"/>
    <w:rsid w:val="00FF063C"/>
    <w:rsid w:val="00FF0D03"/>
    <w:rsid w:val="011B7128"/>
    <w:rsid w:val="020F17B5"/>
    <w:rsid w:val="025B572A"/>
    <w:rsid w:val="02D14DF6"/>
    <w:rsid w:val="02D54924"/>
    <w:rsid w:val="02FE2771"/>
    <w:rsid w:val="03B50F2A"/>
    <w:rsid w:val="03CD1A9F"/>
    <w:rsid w:val="04310280"/>
    <w:rsid w:val="04AB1DE0"/>
    <w:rsid w:val="05065055"/>
    <w:rsid w:val="0512093A"/>
    <w:rsid w:val="057F29D2"/>
    <w:rsid w:val="060D452C"/>
    <w:rsid w:val="068B011B"/>
    <w:rsid w:val="070677A2"/>
    <w:rsid w:val="07A62D33"/>
    <w:rsid w:val="081D1247"/>
    <w:rsid w:val="084E18DB"/>
    <w:rsid w:val="08A059D4"/>
    <w:rsid w:val="08AF3CFA"/>
    <w:rsid w:val="092A3778"/>
    <w:rsid w:val="096A1371"/>
    <w:rsid w:val="09AF5ECF"/>
    <w:rsid w:val="09EA5159"/>
    <w:rsid w:val="0A150C3B"/>
    <w:rsid w:val="0A1842B9"/>
    <w:rsid w:val="0A3814D0"/>
    <w:rsid w:val="0AC2201B"/>
    <w:rsid w:val="0B8C4C9B"/>
    <w:rsid w:val="0C2468D5"/>
    <w:rsid w:val="0C49525A"/>
    <w:rsid w:val="0C525237"/>
    <w:rsid w:val="0C5732FD"/>
    <w:rsid w:val="0CD45C4C"/>
    <w:rsid w:val="0D1B38C9"/>
    <w:rsid w:val="0E3270CE"/>
    <w:rsid w:val="0E576B35"/>
    <w:rsid w:val="0EBA03FA"/>
    <w:rsid w:val="0EE54141"/>
    <w:rsid w:val="0F225395"/>
    <w:rsid w:val="0F4874E1"/>
    <w:rsid w:val="0F5F21C1"/>
    <w:rsid w:val="0FEF171B"/>
    <w:rsid w:val="107B2FAF"/>
    <w:rsid w:val="113754D6"/>
    <w:rsid w:val="11427629"/>
    <w:rsid w:val="119D7219"/>
    <w:rsid w:val="11B5604C"/>
    <w:rsid w:val="122D4FAF"/>
    <w:rsid w:val="12991D63"/>
    <w:rsid w:val="13347445"/>
    <w:rsid w:val="137B2552"/>
    <w:rsid w:val="138F28CD"/>
    <w:rsid w:val="13985C26"/>
    <w:rsid w:val="13CB7FAC"/>
    <w:rsid w:val="140C03C2"/>
    <w:rsid w:val="14531B4D"/>
    <w:rsid w:val="149B2F7A"/>
    <w:rsid w:val="14E14D5B"/>
    <w:rsid w:val="1517701E"/>
    <w:rsid w:val="1549430F"/>
    <w:rsid w:val="157E0E4B"/>
    <w:rsid w:val="15D54F0F"/>
    <w:rsid w:val="15F86E42"/>
    <w:rsid w:val="16272B79"/>
    <w:rsid w:val="16535260"/>
    <w:rsid w:val="16747190"/>
    <w:rsid w:val="16AE559F"/>
    <w:rsid w:val="17441F10"/>
    <w:rsid w:val="18495740"/>
    <w:rsid w:val="18603A31"/>
    <w:rsid w:val="1877733C"/>
    <w:rsid w:val="193373BF"/>
    <w:rsid w:val="19530D45"/>
    <w:rsid w:val="19766A09"/>
    <w:rsid w:val="197B5DCD"/>
    <w:rsid w:val="1A074196"/>
    <w:rsid w:val="1A4268EB"/>
    <w:rsid w:val="1A4F2DB6"/>
    <w:rsid w:val="1AF000F5"/>
    <w:rsid w:val="1AFA71C6"/>
    <w:rsid w:val="1B3721C8"/>
    <w:rsid w:val="1B6C77F3"/>
    <w:rsid w:val="1B7E3953"/>
    <w:rsid w:val="1BCA6683"/>
    <w:rsid w:val="1C931C1F"/>
    <w:rsid w:val="1D0600A4"/>
    <w:rsid w:val="1D583A08"/>
    <w:rsid w:val="1DE101C9"/>
    <w:rsid w:val="1E2F362A"/>
    <w:rsid w:val="1E6B7566"/>
    <w:rsid w:val="1E6C03DB"/>
    <w:rsid w:val="1EC8325D"/>
    <w:rsid w:val="1EE7180F"/>
    <w:rsid w:val="1FAC454B"/>
    <w:rsid w:val="200F101E"/>
    <w:rsid w:val="207D72AE"/>
    <w:rsid w:val="219A0DBB"/>
    <w:rsid w:val="220D028A"/>
    <w:rsid w:val="220D3733"/>
    <w:rsid w:val="23396222"/>
    <w:rsid w:val="238166D6"/>
    <w:rsid w:val="23BA275F"/>
    <w:rsid w:val="23FB478F"/>
    <w:rsid w:val="24007D0E"/>
    <w:rsid w:val="2423604B"/>
    <w:rsid w:val="24240881"/>
    <w:rsid w:val="24B700C0"/>
    <w:rsid w:val="252F34B0"/>
    <w:rsid w:val="2584425C"/>
    <w:rsid w:val="26271CEA"/>
    <w:rsid w:val="271C004E"/>
    <w:rsid w:val="272A51DF"/>
    <w:rsid w:val="27445FF4"/>
    <w:rsid w:val="27CC1EEA"/>
    <w:rsid w:val="28C25DD5"/>
    <w:rsid w:val="28F74309"/>
    <w:rsid w:val="29171209"/>
    <w:rsid w:val="29235B3A"/>
    <w:rsid w:val="29DA6B40"/>
    <w:rsid w:val="29F15C38"/>
    <w:rsid w:val="2A584EAE"/>
    <w:rsid w:val="2A941B30"/>
    <w:rsid w:val="2AD1624A"/>
    <w:rsid w:val="2B457FE9"/>
    <w:rsid w:val="2B496BF1"/>
    <w:rsid w:val="2BFC0FF0"/>
    <w:rsid w:val="2C6E17C2"/>
    <w:rsid w:val="2DF83A39"/>
    <w:rsid w:val="2E0737F9"/>
    <w:rsid w:val="2E20089A"/>
    <w:rsid w:val="2E862DF3"/>
    <w:rsid w:val="2E89643F"/>
    <w:rsid w:val="2EB52847"/>
    <w:rsid w:val="2F377F58"/>
    <w:rsid w:val="2F944666"/>
    <w:rsid w:val="301C3A83"/>
    <w:rsid w:val="30614804"/>
    <w:rsid w:val="308A1CBF"/>
    <w:rsid w:val="30D84DBD"/>
    <w:rsid w:val="30FC70F1"/>
    <w:rsid w:val="32265821"/>
    <w:rsid w:val="326835EA"/>
    <w:rsid w:val="33661445"/>
    <w:rsid w:val="33EC194A"/>
    <w:rsid w:val="34002D3B"/>
    <w:rsid w:val="342B17CD"/>
    <w:rsid w:val="343C3F54"/>
    <w:rsid w:val="34761214"/>
    <w:rsid w:val="350C7D00"/>
    <w:rsid w:val="353E4427"/>
    <w:rsid w:val="36751365"/>
    <w:rsid w:val="368E4F3A"/>
    <w:rsid w:val="3699221B"/>
    <w:rsid w:val="36BD312A"/>
    <w:rsid w:val="36EC7C11"/>
    <w:rsid w:val="36F953BE"/>
    <w:rsid w:val="37691503"/>
    <w:rsid w:val="37851E2C"/>
    <w:rsid w:val="38BC3074"/>
    <w:rsid w:val="3935389F"/>
    <w:rsid w:val="3963236D"/>
    <w:rsid w:val="39F30EC3"/>
    <w:rsid w:val="3A0413D6"/>
    <w:rsid w:val="3AAF36D1"/>
    <w:rsid w:val="3AC0318D"/>
    <w:rsid w:val="3BE3534E"/>
    <w:rsid w:val="3D5D5666"/>
    <w:rsid w:val="3D70539A"/>
    <w:rsid w:val="3DA806AC"/>
    <w:rsid w:val="3DFE5858"/>
    <w:rsid w:val="3E3A0212"/>
    <w:rsid w:val="3F5B4B2B"/>
    <w:rsid w:val="3F9259DE"/>
    <w:rsid w:val="406110D9"/>
    <w:rsid w:val="40C64FDB"/>
    <w:rsid w:val="40DE129E"/>
    <w:rsid w:val="41006A35"/>
    <w:rsid w:val="41561856"/>
    <w:rsid w:val="41E82AB1"/>
    <w:rsid w:val="423A4916"/>
    <w:rsid w:val="428B3B8B"/>
    <w:rsid w:val="429D6DA9"/>
    <w:rsid w:val="42AC236A"/>
    <w:rsid w:val="43106CD7"/>
    <w:rsid w:val="431E13F4"/>
    <w:rsid w:val="432D451A"/>
    <w:rsid w:val="43A3069B"/>
    <w:rsid w:val="4416656F"/>
    <w:rsid w:val="44661919"/>
    <w:rsid w:val="44AC4AE0"/>
    <w:rsid w:val="451D7235"/>
    <w:rsid w:val="45687FE4"/>
    <w:rsid w:val="45781B64"/>
    <w:rsid w:val="45814740"/>
    <w:rsid w:val="459C2AA4"/>
    <w:rsid w:val="45EF0E26"/>
    <w:rsid w:val="462E7BA0"/>
    <w:rsid w:val="463765F8"/>
    <w:rsid w:val="479741A0"/>
    <w:rsid w:val="47DB499D"/>
    <w:rsid w:val="47F46BC7"/>
    <w:rsid w:val="483F42E6"/>
    <w:rsid w:val="48D25011"/>
    <w:rsid w:val="48DC20E8"/>
    <w:rsid w:val="492139EC"/>
    <w:rsid w:val="494A69D4"/>
    <w:rsid w:val="494B0A69"/>
    <w:rsid w:val="498B5309"/>
    <w:rsid w:val="49B838D7"/>
    <w:rsid w:val="49CD5922"/>
    <w:rsid w:val="4A1E617D"/>
    <w:rsid w:val="4A851D59"/>
    <w:rsid w:val="4B5C6F5D"/>
    <w:rsid w:val="4BD83D8D"/>
    <w:rsid w:val="4C2227CC"/>
    <w:rsid w:val="4C4D53AE"/>
    <w:rsid w:val="4D3A32CE"/>
    <w:rsid w:val="4D613A9A"/>
    <w:rsid w:val="4DC114E5"/>
    <w:rsid w:val="4E497D56"/>
    <w:rsid w:val="4EA34EA3"/>
    <w:rsid w:val="4EC015B1"/>
    <w:rsid w:val="4F043B94"/>
    <w:rsid w:val="4F1B342E"/>
    <w:rsid w:val="4F6C34E7"/>
    <w:rsid w:val="4FA233AD"/>
    <w:rsid w:val="509937B4"/>
    <w:rsid w:val="50A6538E"/>
    <w:rsid w:val="50AC6191"/>
    <w:rsid w:val="50D61560"/>
    <w:rsid w:val="51891C98"/>
    <w:rsid w:val="51C94C21"/>
    <w:rsid w:val="51E732F9"/>
    <w:rsid w:val="524D5444"/>
    <w:rsid w:val="526C06BD"/>
    <w:rsid w:val="529C2335"/>
    <w:rsid w:val="52A702EA"/>
    <w:rsid w:val="52DC0984"/>
    <w:rsid w:val="534D108E"/>
    <w:rsid w:val="53E126F6"/>
    <w:rsid w:val="53E2021C"/>
    <w:rsid w:val="53F1220D"/>
    <w:rsid w:val="540B51FB"/>
    <w:rsid w:val="540F3450"/>
    <w:rsid w:val="54662BFB"/>
    <w:rsid w:val="54FF095A"/>
    <w:rsid w:val="567535C9"/>
    <w:rsid w:val="574D1CDE"/>
    <w:rsid w:val="576D42A0"/>
    <w:rsid w:val="57AF6E0F"/>
    <w:rsid w:val="57D61E46"/>
    <w:rsid w:val="57E24C8E"/>
    <w:rsid w:val="591D6EB4"/>
    <w:rsid w:val="59462FFB"/>
    <w:rsid w:val="598B1A20"/>
    <w:rsid w:val="5A104EED"/>
    <w:rsid w:val="5A625C12"/>
    <w:rsid w:val="5ACE32A8"/>
    <w:rsid w:val="5B5753F1"/>
    <w:rsid w:val="5BCE5E90"/>
    <w:rsid w:val="5BDB4ADB"/>
    <w:rsid w:val="5BDE576D"/>
    <w:rsid w:val="5BEF34D6"/>
    <w:rsid w:val="5C2676AD"/>
    <w:rsid w:val="5C537F09"/>
    <w:rsid w:val="5C6A684D"/>
    <w:rsid w:val="5DA42835"/>
    <w:rsid w:val="5E565A8E"/>
    <w:rsid w:val="5ED54C05"/>
    <w:rsid w:val="5F024F5E"/>
    <w:rsid w:val="5FBF7663"/>
    <w:rsid w:val="60120960"/>
    <w:rsid w:val="60A54AAB"/>
    <w:rsid w:val="60C03B72"/>
    <w:rsid w:val="60EA5698"/>
    <w:rsid w:val="62063596"/>
    <w:rsid w:val="62157A0E"/>
    <w:rsid w:val="62182D81"/>
    <w:rsid w:val="62255EA3"/>
    <w:rsid w:val="624327CD"/>
    <w:rsid w:val="63307036"/>
    <w:rsid w:val="634F0E6E"/>
    <w:rsid w:val="63B83049"/>
    <w:rsid w:val="63CC4645"/>
    <w:rsid w:val="64046A56"/>
    <w:rsid w:val="649A0F79"/>
    <w:rsid w:val="64BE5E92"/>
    <w:rsid w:val="652A09E7"/>
    <w:rsid w:val="65393A14"/>
    <w:rsid w:val="653F54CE"/>
    <w:rsid w:val="659426EB"/>
    <w:rsid w:val="65962C14"/>
    <w:rsid w:val="659E001A"/>
    <w:rsid w:val="65B23EF2"/>
    <w:rsid w:val="65EA2EBA"/>
    <w:rsid w:val="667016B7"/>
    <w:rsid w:val="67627252"/>
    <w:rsid w:val="67883798"/>
    <w:rsid w:val="67D34322"/>
    <w:rsid w:val="681039F2"/>
    <w:rsid w:val="682C160E"/>
    <w:rsid w:val="686156A5"/>
    <w:rsid w:val="68722E31"/>
    <w:rsid w:val="68863322"/>
    <w:rsid w:val="689543F4"/>
    <w:rsid w:val="68C36EE7"/>
    <w:rsid w:val="68E02B24"/>
    <w:rsid w:val="69123344"/>
    <w:rsid w:val="69D830D5"/>
    <w:rsid w:val="6A8B6AC0"/>
    <w:rsid w:val="6AAE27AE"/>
    <w:rsid w:val="6AF02DC7"/>
    <w:rsid w:val="6AF822DC"/>
    <w:rsid w:val="6B0074AE"/>
    <w:rsid w:val="6B504DD7"/>
    <w:rsid w:val="6C5850C7"/>
    <w:rsid w:val="6C8E5267"/>
    <w:rsid w:val="6D2D7D74"/>
    <w:rsid w:val="6D94212F"/>
    <w:rsid w:val="6D9E4D5C"/>
    <w:rsid w:val="6E0A53D1"/>
    <w:rsid w:val="6E9A0A8F"/>
    <w:rsid w:val="6F1E7F02"/>
    <w:rsid w:val="6F2F54DF"/>
    <w:rsid w:val="6F307C36"/>
    <w:rsid w:val="6F880A59"/>
    <w:rsid w:val="6FE54EC4"/>
    <w:rsid w:val="70903082"/>
    <w:rsid w:val="70D54F38"/>
    <w:rsid w:val="71F81B46"/>
    <w:rsid w:val="72385BC8"/>
    <w:rsid w:val="734E2D80"/>
    <w:rsid w:val="73C3551C"/>
    <w:rsid w:val="73FB6A64"/>
    <w:rsid w:val="74512B28"/>
    <w:rsid w:val="74CA4688"/>
    <w:rsid w:val="760847E6"/>
    <w:rsid w:val="76732BC1"/>
    <w:rsid w:val="76BB072D"/>
    <w:rsid w:val="78371CAF"/>
    <w:rsid w:val="784161A2"/>
    <w:rsid w:val="7906346F"/>
    <w:rsid w:val="796E7CD8"/>
    <w:rsid w:val="7A541B99"/>
    <w:rsid w:val="7A5E1AFB"/>
    <w:rsid w:val="7AAC12DF"/>
    <w:rsid w:val="7AE7257A"/>
    <w:rsid w:val="7BD331AA"/>
    <w:rsid w:val="7CD14E2F"/>
    <w:rsid w:val="7D366D5F"/>
    <w:rsid w:val="7D3E5C13"/>
    <w:rsid w:val="7D456FA2"/>
    <w:rsid w:val="7D847ACA"/>
    <w:rsid w:val="7E7932C6"/>
    <w:rsid w:val="7F0B230B"/>
    <w:rsid w:val="7F3217A8"/>
    <w:rsid w:val="7FB91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120" w:after="120" w:line="360" w:lineRule="auto"/>
      <w:jc w:val="center"/>
      <w:outlineLvl w:val="0"/>
    </w:pPr>
    <w:rPr>
      <w:b/>
      <w:bCs/>
      <w:kern w:val="44"/>
      <w:sz w:val="30"/>
      <w:szCs w:val="44"/>
    </w:rPr>
  </w:style>
  <w:style w:type="paragraph" w:styleId="3">
    <w:name w:val="heading 2"/>
    <w:basedOn w:val="1"/>
    <w:next w:val="1"/>
    <w:link w:val="34"/>
    <w:autoRedefine/>
    <w:qFormat/>
    <w:uiPriority w:val="0"/>
    <w:pPr>
      <w:keepNext/>
      <w:keepLines/>
      <w:widowControl/>
      <w:spacing w:before="260" w:after="260" w:line="416" w:lineRule="auto"/>
      <w:ind w:firstLine="200" w:firstLineChars="200"/>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6"/>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37"/>
    <w:autoRedefine/>
    <w:qFormat/>
    <w:uiPriority w:val="0"/>
    <w:pPr>
      <w:keepNext/>
      <w:keepLines/>
      <w:spacing w:before="280" w:after="290" w:line="376" w:lineRule="auto"/>
      <w:outlineLvl w:val="4"/>
    </w:pPr>
    <w:rPr>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style>
  <w:style w:type="paragraph" w:styleId="8">
    <w:name w:val="Normal Indent"/>
    <w:basedOn w:val="1"/>
    <w:link w:val="38"/>
    <w:autoRedefine/>
    <w:qFormat/>
    <w:uiPriority w:val="0"/>
    <w:pPr>
      <w:ind w:firstLine="420" w:firstLineChars="200"/>
    </w:pPr>
  </w:style>
  <w:style w:type="paragraph" w:styleId="9">
    <w:name w:val="Document Map"/>
    <w:basedOn w:val="1"/>
    <w:next w:val="1"/>
    <w:link w:val="65"/>
    <w:autoRedefine/>
    <w:qFormat/>
    <w:uiPriority w:val="0"/>
    <w:pPr>
      <w:keepNext w:val="0"/>
      <w:keepLines w:val="0"/>
      <w:widowControl w:val="0"/>
      <w:suppressLineNumbers w:val="0"/>
      <w:spacing w:before="0" w:beforeAutospacing="0" w:after="0" w:afterAutospacing="0"/>
      <w:ind w:left="0" w:right="0"/>
      <w:jc w:val="both"/>
    </w:pPr>
    <w:rPr>
      <w:rFonts w:hint="eastAsia" w:ascii="宋体" w:hAnsi="Calibri" w:eastAsia="宋体" w:cs="Times New Roman"/>
      <w:kern w:val="2"/>
      <w:sz w:val="18"/>
      <w:szCs w:val="20"/>
      <w:lang w:val="en-US" w:eastAsia="zh-CN" w:bidi="ar"/>
    </w:rPr>
  </w:style>
  <w:style w:type="paragraph" w:styleId="10">
    <w:name w:val="annotation text"/>
    <w:basedOn w:val="1"/>
    <w:link w:val="60"/>
    <w:autoRedefine/>
    <w:qFormat/>
    <w:uiPriority w:val="99"/>
    <w:pPr>
      <w:jc w:val="left"/>
    </w:pPr>
    <w:rPr>
      <w:szCs w:val="20"/>
    </w:rPr>
  </w:style>
  <w:style w:type="paragraph" w:styleId="11">
    <w:name w:val="Body Text"/>
    <w:basedOn w:val="1"/>
    <w:link w:val="39"/>
    <w:autoRedefine/>
    <w:qFormat/>
    <w:uiPriority w:val="1"/>
    <w:pPr>
      <w:autoSpaceDE w:val="0"/>
      <w:autoSpaceDN w:val="0"/>
      <w:spacing w:before="14"/>
      <w:ind w:left="162"/>
      <w:jc w:val="left"/>
    </w:pPr>
    <w:rPr>
      <w:rFonts w:ascii="宋体" w:hAnsi="宋体" w:cs="宋体"/>
      <w:kern w:val="0"/>
      <w:sz w:val="18"/>
      <w:szCs w:val="18"/>
      <w:lang w:val="zh-CN" w:bidi="zh-CN"/>
    </w:rPr>
  </w:style>
  <w:style w:type="paragraph" w:styleId="12">
    <w:name w:val="Body Text Indent"/>
    <w:basedOn w:val="1"/>
    <w:next w:val="1"/>
    <w:link w:val="40"/>
    <w:autoRedefine/>
    <w:qFormat/>
    <w:uiPriority w:val="0"/>
    <w:pPr>
      <w:spacing w:after="120"/>
      <w:ind w:left="420" w:leftChars="200"/>
    </w:pPr>
  </w:style>
  <w:style w:type="paragraph" w:styleId="13">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4">
    <w:name w:val="Plain Text"/>
    <w:basedOn w:val="1"/>
    <w:link w:val="41"/>
    <w:autoRedefine/>
    <w:qFormat/>
    <w:uiPriority w:val="0"/>
    <w:rPr>
      <w:rFonts w:ascii="宋体" w:hAnsi="Courier New" w:eastAsia="华文宋体"/>
      <w:kern w:val="0"/>
      <w:sz w:val="28"/>
      <w:szCs w:val="20"/>
    </w:rPr>
  </w:style>
  <w:style w:type="paragraph" w:styleId="15">
    <w:name w:val="Balloon Text"/>
    <w:basedOn w:val="1"/>
    <w:autoRedefine/>
    <w:semiHidden/>
    <w:qFormat/>
    <w:uiPriority w:val="0"/>
    <w:rPr>
      <w:sz w:val="18"/>
      <w:szCs w:val="18"/>
    </w:rPr>
  </w:style>
  <w:style w:type="paragraph" w:styleId="16">
    <w:name w:val="footer"/>
    <w:basedOn w:val="1"/>
    <w:link w:val="62"/>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pPr>
      <w:spacing w:line="320" w:lineRule="exact"/>
      <w:ind w:firstLine="480" w:firstLineChars="200"/>
    </w:pPr>
    <w:rPr>
      <w:rFonts w:ascii="黑体" w:hAnsi="宋体" w:eastAsia="黑体"/>
      <w:bCs/>
      <w:sz w:val="24"/>
      <w:szCs w:val="20"/>
    </w:rPr>
  </w:style>
  <w:style w:type="paragraph" w:styleId="19">
    <w:name w:val="Body Text Indent 3"/>
    <w:basedOn w:val="1"/>
    <w:link w:val="59"/>
    <w:autoRedefine/>
    <w:qFormat/>
    <w:uiPriority w:val="0"/>
    <w:pPr>
      <w:spacing w:after="120"/>
      <w:ind w:left="420" w:leftChars="200"/>
    </w:pPr>
    <w:rPr>
      <w:sz w:val="16"/>
      <w:szCs w:val="16"/>
    </w:rPr>
  </w:style>
  <w:style w:type="paragraph" w:styleId="20">
    <w:name w:val="toc 2"/>
    <w:basedOn w:val="1"/>
    <w:next w:val="1"/>
    <w:autoRedefine/>
    <w:unhideWhenUsed/>
    <w:qFormat/>
    <w:uiPriority w:val="39"/>
    <w:pPr>
      <w:widowControl/>
      <w:tabs>
        <w:tab w:val="right" w:leader="dot" w:pos="9174"/>
      </w:tabs>
      <w:spacing w:after="100" w:line="480" w:lineRule="exact"/>
      <w:ind w:left="220" w:firstLine="330" w:firstLineChars="150"/>
      <w:jc w:val="left"/>
    </w:pPr>
    <w:rPr>
      <w:rFonts w:cs="Times New Roman"/>
      <w:kern w:val="0"/>
      <w:sz w:val="22"/>
    </w:rPr>
  </w:style>
  <w:style w:type="paragraph" w:styleId="21">
    <w:name w:val="Normal (Web)"/>
    <w:basedOn w:val="1"/>
    <w:link w:val="42"/>
    <w:autoRedefine/>
    <w:qFormat/>
    <w:uiPriority w:val="0"/>
    <w:pPr>
      <w:widowControl/>
      <w:spacing w:before="100" w:beforeAutospacing="1" w:after="100" w:afterAutospacing="1"/>
      <w:jc w:val="left"/>
    </w:pPr>
    <w:rPr>
      <w:rFonts w:ascii="宋体" w:hAnsi="宋体"/>
      <w:kern w:val="0"/>
      <w:sz w:val="24"/>
    </w:rPr>
  </w:style>
  <w:style w:type="paragraph" w:styleId="22">
    <w:name w:val="annotation subject"/>
    <w:basedOn w:val="10"/>
    <w:next w:val="10"/>
    <w:link w:val="61"/>
    <w:autoRedefine/>
    <w:qFormat/>
    <w:uiPriority w:val="0"/>
    <w:rPr>
      <w:b/>
      <w:bCs/>
      <w:szCs w:val="24"/>
    </w:rPr>
  </w:style>
  <w:style w:type="paragraph" w:styleId="23">
    <w:name w:val="Body Text First Indent 2"/>
    <w:basedOn w:val="12"/>
    <w:link w:val="64"/>
    <w:autoRedefine/>
    <w:qFormat/>
    <w:uiPriority w:val="0"/>
    <w:pPr>
      <w:ind w:firstLine="420" w:firstLineChars="200"/>
    </w:pPr>
  </w:style>
  <w:style w:type="table" w:styleId="25">
    <w:name w:val="Table Grid"/>
    <w:basedOn w:val="24"/>
    <w:autoRedefine/>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autoRedefine/>
    <w:qFormat/>
    <w:uiPriority w:val="0"/>
    <w:rPr>
      <w:color w:val="800080"/>
      <w:u w:val="none"/>
    </w:rPr>
  </w:style>
  <w:style w:type="character" w:styleId="30">
    <w:name w:val="Emphasis"/>
    <w:autoRedefine/>
    <w:qFormat/>
    <w:uiPriority w:val="20"/>
    <w:rPr>
      <w:i/>
      <w:iCs/>
    </w:rPr>
  </w:style>
  <w:style w:type="character" w:styleId="31">
    <w:name w:val="Hyperlink"/>
    <w:basedOn w:val="26"/>
    <w:autoRedefine/>
    <w:qFormat/>
    <w:uiPriority w:val="0"/>
    <w:rPr>
      <w:color w:val="0000FF"/>
      <w:u w:val="none"/>
    </w:rPr>
  </w:style>
  <w:style w:type="character" w:styleId="32">
    <w:name w:val="annotation reference"/>
    <w:basedOn w:val="26"/>
    <w:autoRedefine/>
    <w:qFormat/>
    <w:uiPriority w:val="0"/>
    <w:rPr>
      <w:sz w:val="21"/>
      <w:szCs w:val="21"/>
    </w:rPr>
  </w:style>
  <w:style w:type="character" w:styleId="33">
    <w:name w:val="HTML Sample"/>
    <w:basedOn w:val="26"/>
    <w:autoRedefine/>
    <w:unhideWhenUsed/>
    <w:qFormat/>
    <w:uiPriority w:val="99"/>
    <w:rPr>
      <w:rFonts w:ascii="Courier New" w:hAnsi="Courier New"/>
    </w:rPr>
  </w:style>
  <w:style w:type="character" w:customStyle="1" w:styleId="34">
    <w:name w:val="标题 2 Char"/>
    <w:link w:val="3"/>
    <w:autoRedefine/>
    <w:qFormat/>
    <w:uiPriority w:val="0"/>
    <w:rPr>
      <w:rFonts w:ascii="Arial" w:hAnsi="Arial" w:eastAsia="黑体"/>
      <w:b/>
      <w:bCs/>
      <w:kern w:val="2"/>
      <w:sz w:val="32"/>
      <w:szCs w:val="32"/>
    </w:rPr>
  </w:style>
  <w:style w:type="character" w:customStyle="1" w:styleId="35">
    <w:name w:val="标题 1 Char"/>
    <w:link w:val="2"/>
    <w:autoRedefine/>
    <w:qFormat/>
    <w:uiPriority w:val="9"/>
    <w:rPr>
      <w:b/>
      <w:bCs/>
      <w:kern w:val="44"/>
      <w:sz w:val="30"/>
      <w:szCs w:val="44"/>
    </w:rPr>
  </w:style>
  <w:style w:type="character" w:customStyle="1" w:styleId="36">
    <w:name w:val="标题 4 Char"/>
    <w:link w:val="5"/>
    <w:autoRedefine/>
    <w:semiHidden/>
    <w:qFormat/>
    <w:uiPriority w:val="0"/>
    <w:rPr>
      <w:rFonts w:ascii="Cambria" w:hAnsi="Cambria" w:eastAsia="宋体" w:cs="Times New Roman"/>
      <w:b/>
      <w:bCs/>
      <w:kern w:val="2"/>
      <w:sz w:val="28"/>
      <w:szCs w:val="28"/>
    </w:rPr>
  </w:style>
  <w:style w:type="character" w:customStyle="1" w:styleId="37">
    <w:name w:val="标题 5 Char"/>
    <w:link w:val="6"/>
    <w:autoRedefine/>
    <w:semiHidden/>
    <w:qFormat/>
    <w:uiPriority w:val="0"/>
    <w:rPr>
      <w:b/>
      <w:bCs/>
      <w:kern w:val="2"/>
      <w:sz w:val="28"/>
      <w:szCs w:val="28"/>
    </w:rPr>
  </w:style>
  <w:style w:type="character" w:customStyle="1" w:styleId="38">
    <w:name w:val="正文缩进 Char"/>
    <w:link w:val="8"/>
    <w:autoRedefine/>
    <w:qFormat/>
    <w:uiPriority w:val="0"/>
    <w:rPr>
      <w:kern w:val="2"/>
      <w:sz w:val="21"/>
      <w:szCs w:val="24"/>
    </w:rPr>
  </w:style>
  <w:style w:type="character" w:customStyle="1" w:styleId="39">
    <w:name w:val="正文文本 Char"/>
    <w:link w:val="11"/>
    <w:autoRedefine/>
    <w:qFormat/>
    <w:uiPriority w:val="1"/>
    <w:rPr>
      <w:rFonts w:ascii="宋体" w:hAnsi="宋体" w:cs="宋体"/>
      <w:sz w:val="18"/>
      <w:szCs w:val="18"/>
      <w:lang w:val="zh-CN" w:bidi="zh-CN"/>
    </w:rPr>
  </w:style>
  <w:style w:type="character" w:customStyle="1" w:styleId="40">
    <w:name w:val="正文文本缩进 Char"/>
    <w:link w:val="12"/>
    <w:autoRedefine/>
    <w:qFormat/>
    <w:uiPriority w:val="0"/>
    <w:rPr>
      <w:kern w:val="2"/>
      <w:sz w:val="21"/>
      <w:szCs w:val="24"/>
    </w:rPr>
  </w:style>
  <w:style w:type="character" w:customStyle="1" w:styleId="41">
    <w:name w:val="纯文本 Char"/>
    <w:link w:val="14"/>
    <w:autoRedefine/>
    <w:qFormat/>
    <w:uiPriority w:val="0"/>
    <w:rPr>
      <w:rFonts w:ascii="宋体" w:hAnsi="Courier New" w:eastAsia="华文宋体"/>
      <w:sz w:val="28"/>
    </w:rPr>
  </w:style>
  <w:style w:type="character" w:customStyle="1" w:styleId="42">
    <w:name w:val="普通(网站) Char"/>
    <w:link w:val="21"/>
    <w:autoRedefine/>
    <w:qFormat/>
    <w:uiPriority w:val="0"/>
    <w:rPr>
      <w:rFonts w:ascii="宋体" w:hAnsi="宋体" w:cs="宋体"/>
      <w:sz w:val="24"/>
      <w:szCs w:val="24"/>
    </w:rPr>
  </w:style>
  <w:style w:type="character" w:customStyle="1" w:styleId="43">
    <w:name w:val="列出段落 Char"/>
    <w:link w:val="44"/>
    <w:autoRedefine/>
    <w:qFormat/>
    <w:locked/>
    <w:uiPriority w:val="34"/>
    <w:rPr>
      <w:kern w:val="2"/>
      <w:sz w:val="21"/>
      <w:szCs w:val="24"/>
    </w:rPr>
  </w:style>
  <w:style w:type="paragraph" w:styleId="44">
    <w:name w:val="List Paragraph"/>
    <w:basedOn w:val="1"/>
    <w:link w:val="43"/>
    <w:autoRedefine/>
    <w:qFormat/>
    <w:uiPriority w:val="34"/>
    <w:pPr>
      <w:ind w:firstLine="420" w:firstLineChars="200"/>
    </w:pPr>
  </w:style>
  <w:style w:type="character" w:customStyle="1" w:styleId="45">
    <w:name w:val="工可正文 Char"/>
    <w:link w:val="46"/>
    <w:autoRedefine/>
    <w:qFormat/>
    <w:uiPriority w:val="0"/>
    <w:rPr>
      <w:sz w:val="28"/>
    </w:rPr>
  </w:style>
  <w:style w:type="paragraph" w:customStyle="1" w:styleId="46">
    <w:name w:val="工可正文"/>
    <w:basedOn w:val="1"/>
    <w:next w:val="1"/>
    <w:link w:val="45"/>
    <w:autoRedefine/>
    <w:qFormat/>
    <w:uiPriority w:val="0"/>
    <w:pPr>
      <w:ind w:firstLine="560" w:firstLineChars="200"/>
    </w:pPr>
    <w:rPr>
      <w:kern w:val="0"/>
      <w:sz w:val="28"/>
      <w:szCs w:val="20"/>
    </w:rPr>
  </w:style>
  <w:style w:type="character" w:customStyle="1" w:styleId="47">
    <w:name w:val="列出段落 字符"/>
    <w:link w:val="48"/>
    <w:autoRedefine/>
    <w:qFormat/>
    <w:uiPriority w:val="0"/>
    <w:rPr>
      <w:rFonts w:ascii="Calibri" w:hAnsi="Calibri"/>
      <w:kern w:val="2"/>
      <w:sz w:val="21"/>
      <w:szCs w:val="22"/>
    </w:rPr>
  </w:style>
  <w:style w:type="paragraph" w:customStyle="1" w:styleId="48">
    <w:name w:val="列出段落1"/>
    <w:basedOn w:val="1"/>
    <w:link w:val="47"/>
    <w:autoRedefine/>
    <w:qFormat/>
    <w:uiPriority w:val="34"/>
    <w:pPr>
      <w:ind w:firstLine="420" w:firstLineChars="200"/>
    </w:pPr>
    <w:rPr>
      <w:rFonts w:ascii="Calibri" w:hAnsi="Calibri"/>
      <w:szCs w:val="22"/>
    </w:rPr>
  </w:style>
  <w:style w:type="character" w:customStyle="1" w:styleId="49">
    <w:name w:val="纯文本 Char1"/>
    <w:autoRedefine/>
    <w:qFormat/>
    <w:uiPriority w:val="0"/>
    <w:rPr>
      <w:rFonts w:ascii="宋体" w:hAnsi="Courier New" w:cs="Courier New"/>
      <w:kern w:val="2"/>
      <w:sz w:val="21"/>
      <w:szCs w:val="21"/>
    </w:rPr>
  </w:style>
  <w:style w:type="paragraph" w:customStyle="1" w:styleId="50">
    <w:name w:val="_Style 3"/>
    <w:basedOn w:val="1"/>
    <w:autoRedefine/>
    <w:qFormat/>
    <w:uiPriority w:val="1"/>
    <w:pPr>
      <w:ind w:firstLine="420" w:firstLineChars="200"/>
    </w:pPr>
    <w:rPr>
      <w:rFonts w:ascii="Calibri" w:hAnsi="Calibri"/>
      <w:szCs w:val="22"/>
    </w:rPr>
  </w:style>
  <w:style w:type="paragraph" w:customStyle="1" w:styleId="51">
    <w:name w:val="1_0"/>
    <w:basedOn w:val="1"/>
    <w:next w:val="1"/>
    <w:autoRedefine/>
    <w:qFormat/>
    <w:uiPriority w:val="0"/>
    <w:rPr>
      <w:rFonts w:ascii="宋体" w:hAnsi="Courier New"/>
      <w:szCs w:val="20"/>
    </w:rPr>
  </w:style>
  <w:style w:type="paragraph" w:customStyle="1" w:styleId="52">
    <w:name w:val="Char2 Char Char Char Char Char Char Char"/>
    <w:basedOn w:val="1"/>
    <w:autoRedefine/>
    <w:qFormat/>
    <w:uiPriority w:val="0"/>
    <w:rPr>
      <w:rFonts w:ascii="Tahoma" w:hAnsi="Tahoma"/>
      <w:sz w:val="24"/>
      <w:szCs w:val="20"/>
    </w:rPr>
  </w:style>
  <w:style w:type="paragraph" w:customStyle="1" w:styleId="53">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54">
    <w:name w:val="Table Paragraph"/>
    <w:basedOn w:val="1"/>
    <w:autoRedefine/>
    <w:qFormat/>
    <w:uiPriority w:val="1"/>
    <w:pPr>
      <w:autoSpaceDE w:val="0"/>
      <w:autoSpaceDN w:val="0"/>
      <w:spacing w:before="102"/>
      <w:jc w:val="left"/>
    </w:pPr>
    <w:rPr>
      <w:rFonts w:ascii="宋体" w:hAnsi="宋体" w:cs="宋体"/>
      <w:kern w:val="0"/>
      <w:sz w:val="22"/>
      <w:szCs w:val="22"/>
      <w:lang w:val="zh-CN" w:bidi="zh-CN"/>
    </w:rPr>
  </w:style>
  <w:style w:type="paragraph" w:customStyle="1" w:styleId="55">
    <w:name w:val="Char"/>
    <w:basedOn w:val="1"/>
    <w:autoRedefine/>
    <w:qFormat/>
    <w:uiPriority w:val="0"/>
    <w:pPr>
      <w:tabs>
        <w:tab w:val="left" w:pos="360"/>
      </w:tabs>
    </w:pPr>
    <w:rPr>
      <w:sz w:val="24"/>
    </w:rPr>
  </w:style>
  <w:style w:type="paragraph" w:customStyle="1" w:styleId="56">
    <w:name w:val="首行缩进"/>
    <w:basedOn w:val="1"/>
    <w:autoRedefine/>
    <w:qFormat/>
    <w:uiPriority w:val="0"/>
    <w:pPr>
      <w:spacing w:line="360" w:lineRule="auto"/>
      <w:ind w:firstLine="480" w:firstLineChars="200"/>
    </w:pPr>
    <w:rPr>
      <w:rFonts w:ascii="Calibri" w:hAnsi="Calibri"/>
      <w:sz w:val="24"/>
      <w:szCs w:val="22"/>
      <w:lang w:val="zh-CN"/>
    </w:rPr>
  </w:style>
  <w:style w:type="paragraph" w:customStyle="1" w:styleId="57">
    <w:name w:val="Char Char Char"/>
    <w:basedOn w:val="1"/>
    <w:autoRedefine/>
    <w:qFormat/>
    <w:uiPriority w:val="0"/>
    <w:rPr>
      <w:szCs w:val="20"/>
    </w:rPr>
  </w:style>
  <w:style w:type="paragraph" w:customStyle="1" w:styleId="58">
    <w:name w:val="列出段落111"/>
    <w:basedOn w:val="1"/>
    <w:autoRedefine/>
    <w:qFormat/>
    <w:uiPriority w:val="34"/>
    <w:pPr>
      <w:spacing w:beforeLines="20" w:afterLines="20" w:line="288" w:lineRule="auto"/>
      <w:ind w:firstLine="420" w:firstLineChars="200"/>
    </w:pPr>
    <w:rPr>
      <w:rFonts w:cs="宋体"/>
      <w:color w:val="000000"/>
      <w:sz w:val="24"/>
    </w:rPr>
  </w:style>
  <w:style w:type="character" w:customStyle="1" w:styleId="59">
    <w:name w:val="正文文本缩进 3 Char"/>
    <w:basedOn w:val="26"/>
    <w:link w:val="19"/>
    <w:autoRedefine/>
    <w:qFormat/>
    <w:uiPriority w:val="0"/>
    <w:rPr>
      <w:kern w:val="2"/>
      <w:sz w:val="16"/>
      <w:szCs w:val="16"/>
    </w:rPr>
  </w:style>
  <w:style w:type="character" w:customStyle="1" w:styleId="60">
    <w:name w:val="批注文字 Char"/>
    <w:basedOn w:val="26"/>
    <w:link w:val="10"/>
    <w:autoRedefine/>
    <w:qFormat/>
    <w:uiPriority w:val="99"/>
    <w:rPr>
      <w:kern w:val="2"/>
      <w:sz w:val="21"/>
    </w:rPr>
  </w:style>
  <w:style w:type="character" w:customStyle="1" w:styleId="61">
    <w:name w:val="批注主题 Char"/>
    <w:basedOn w:val="60"/>
    <w:link w:val="22"/>
    <w:autoRedefine/>
    <w:qFormat/>
    <w:uiPriority w:val="0"/>
  </w:style>
  <w:style w:type="character" w:customStyle="1" w:styleId="62">
    <w:name w:val="页脚 Char"/>
    <w:basedOn w:val="26"/>
    <w:link w:val="16"/>
    <w:autoRedefine/>
    <w:qFormat/>
    <w:uiPriority w:val="99"/>
    <w:rPr>
      <w:kern w:val="2"/>
      <w:sz w:val="18"/>
      <w:szCs w:val="18"/>
    </w:rPr>
  </w:style>
  <w:style w:type="paragraph" w:customStyle="1" w:styleId="63">
    <w:name w:val="WPSOffice手动目录 1"/>
    <w:autoRedefine/>
    <w:qFormat/>
    <w:uiPriority w:val="0"/>
    <w:pPr>
      <w:ind w:leftChars="0"/>
    </w:pPr>
    <w:rPr>
      <w:rFonts w:ascii="Times New Roman" w:hAnsi="Times New Roman" w:eastAsia="宋体" w:cs="Times New Roman"/>
      <w:sz w:val="20"/>
      <w:szCs w:val="20"/>
    </w:rPr>
  </w:style>
  <w:style w:type="character" w:customStyle="1" w:styleId="64">
    <w:name w:val="正文首行缩进 2 Char"/>
    <w:link w:val="23"/>
    <w:autoRedefine/>
    <w:qFormat/>
    <w:uiPriority w:val="0"/>
    <w:rPr>
      <w:kern w:val="2"/>
      <w:sz w:val="21"/>
      <w:szCs w:val="24"/>
    </w:rPr>
  </w:style>
  <w:style w:type="character" w:customStyle="1" w:styleId="65">
    <w:name w:val="文档结构图 Char"/>
    <w:basedOn w:val="26"/>
    <w:link w:val="9"/>
    <w:qFormat/>
    <w:uiPriority w:val="0"/>
    <w:rPr>
      <w:rFonts w:hint="eastAsia" w:ascii="宋体" w:hAnsi="Calibri" w:eastAsia="宋体" w:cs="宋体"/>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textRotate="1"/>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5C72F-407A-4776-BEC5-3944C2627CA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22224</Words>
  <Characters>23615</Characters>
  <Lines>1</Lines>
  <Paragraphs>1</Paragraphs>
  <TotalTime>39</TotalTime>
  <ScaleCrop>false</ScaleCrop>
  <LinksUpToDate>false</LinksUpToDate>
  <CharactersWithSpaces>24114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2023-09-25T06:51:00Z</dcterms:created>
  <dc:creator>User</dc:creator>
  <cp:lastModifiedBy>Administrator</cp:lastModifiedBy>
  <cp:lastPrinted>2024-06-04T12:11:00Z</cp:lastPrinted>
  <dcterms:modified xsi:type="dcterms:W3CDTF">2024-09-26T07:37:58Z</dcterms:modified>
  <dc:title>大连市中心医院医疗设备采购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A8EA08CD16844211A5CF459A7661081D_13</vt:lpwstr>
  </property>
</Properties>
</file>