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left="0" w:leftChars="0" w:firstLine="0" w:firstLineChars="0"/>
        <w:rPr>
          <w:rFonts w:hint="eastAsia" w:eastAsiaTheme="minorEastAsia"/>
          <w:lang w:val="en-US" w:eastAsia="zh-CN"/>
        </w:rPr>
      </w:pPr>
    </w:p>
    <w:p>
      <w:pPr>
        <w:rPr>
          <w:rFonts w:hint="eastAsia"/>
          <w:lang w:val="en-US" w:eastAsia="zh-CN"/>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hint="default" w:cs="仿宋_GB2312" w:asciiTheme="minorEastAsia" w:hAnsiTheme="minorEastAsia" w:eastAsiaTheme="minorEastAsia"/>
          <w:b/>
          <w:sz w:val="44"/>
          <w:szCs w:val="44"/>
          <w:lang w:val="en-US" w:eastAsia="zh-CN"/>
        </w:rPr>
      </w:pPr>
      <w:r>
        <w:rPr>
          <w:rFonts w:hint="eastAsia" w:cs="仿宋_GB2312" w:asciiTheme="minorEastAsia" w:hAnsiTheme="minorEastAsia" w:eastAsiaTheme="minorEastAsia"/>
          <w:b/>
          <w:sz w:val="44"/>
          <w:szCs w:val="44"/>
          <w:lang w:val="en-US" w:eastAsia="zh-CN"/>
        </w:rPr>
        <w:t>2024科技计划项目技术开发项目</w:t>
      </w: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hint="default" w:cs="仿宋_GB2312" w:asciiTheme="minorEastAsia" w:hAnsiTheme="minorEastAsia" w:eastAsiaTheme="minorEastAsia"/>
          <w:sz w:val="30"/>
          <w:szCs w:val="30"/>
          <w:lang w:val="en-US" w:eastAsia="zh-CN"/>
        </w:rPr>
      </w:pPr>
      <w:r>
        <w:rPr>
          <w:rFonts w:hint="eastAsia" w:cs="仿宋_GB2312" w:asciiTheme="minorEastAsia" w:hAnsiTheme="minorEastAsia" w:eastAsiaTheme="minorEastAsia"/>
          <w:sz w:val="30"/>
          <w:szCs w:val="30"/>
        </w:rPr>
        <w:t>项目编号:</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5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5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snapToGrid w:val="0"/>
        <w:spacing w:line="360" w:lineRule="auto"/>
        <w:jc w:val="center"/>
        <w:rPr>
          <w:rFonts w:hint="default" w:eastAsia="宋体" w:cs="仿宋_GB2312" w:asciiTheme="minorEastAsia" w:hAnsiTheme="minorEastAsia"/>
          <w:sz w:val="32"/>
          <w:szCs w:val="32"/>
          <w:lang w:val="en-US" w:eastAsia="zh-CN"/>
        </w:rPr>
      </w:pPr>
      <w:r>
        <w:rPr>
          <w:rFonts w:hint="eastAsia" w:ascii="宋体" w:hAnsi="宋体" w:cs="宋体"/>
          <w:sz w:val="32"/>
          <w:szCs w:val="32"/>
        </w:rPr>
        <w:t>采购人</w:t>
      </w:r>
      <w:r>
        <w:rPr>
          <w:rFonts w:hint="eastAsia" w:ascii="宋体" w:hAnsi="宋体" w:cs="宋体"/>
          <w:sz w:val="32"/>
          <w:szCs w:val="32"/>
          <w:lang w:eastAsia="zh-CN"/>
        </w:rPr>
        <w:t>：</w:t>
      </w:r>
      <w:r>
        <w:rPr>
          <w:rFonts w:hint="eastAsia" w:ascii="宋体" w:hAnsi="宋体" w:cs="宋体"/>
          <w:sz w:val="32"/>
          <w:szCs w:val="32"/>
          <w:lang w:val="en-US" w:eastAsia="zh-CN"/>
        </w:rPr>
        <w:t>杭州路达公路工程有限公司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宋体" w:asciiTheme="minorEastAsia" w:hAnsiTheme="minorEastAsia" w:eastAsiaTheme="minorEastAsia"/>
          <w:bCs/>
          <w:sz w:val="32"/>
          <w:szCs w:val="32"/>
          <w:lang w:val="en-US" w:eastAsia="zh-CN"/>
        </w:rPr>
        <w:t>二四</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九</w:t>
      </w:r>
      <w:r>
        <w:rPr>
          <w:rFonts w:hint="eastAsia" w:cs="仿宋_GB2312" w:asciiTheme="minorEastAsia" w:hAnsiTheme="minorEastAsia" w:eastAsiaTheme="minorEastAsia"/>
          <w:bCs/>
          <w:sz w:val="32"/>
          <w:szCs w:val="32"/>
        </w:rPr>
        <w:t>月</w:t>
      </w:r>
    </w:p>
    <w:p>
      <w:pPr>
        <w:pStyle w:val="90"/>
        <w:widowControl w:val="0"/>
        <w:snapToGrid w:val="0"/>
        <w:spacing w:line="442" w:lineRule="atLeast"/>
        <w:ind w:right="-176" w:rightChars="-84" w:firstLine="0"/>
        <w:jc w:val="center"/>
        <w:rPr>
          <w:rFonts w:hint="eastAsia" w:ascii="宋体" w:hAnsi="宋体" w:cs="宋体"/>
          <w:color w:val="auto"/>
          <w:sz w:val="32"/>
          <w:highlight w:val="none"/>
        </w:rPr>
      </w:pPr>
    </w:p>
    <w:p>
      <w:pPr>
        <w:pStyle w:val="90"/>
        <w:widowControl w:val="0"/>
        <w:snapToGrid w:val="0"/>
        <w:spacing w:line="442" w:lineRule="atLeast"/>
        <w:ind w:right="-176" w:rightChars="-84" w:firstLine="0"/>
        <w:jc w:val="center"/>
        <w:rPr>
          <w:rFonts w:hint="eastAsia" w:ascii="宋体" w:hAnsi="宋体" w:cs="宋体"/>
          <w:color w:val="auto"/>
          <w:sz w:val="32"/>
          <w:highlight w:val="none"/>
        </w:rPr>
      </w:pPr>
    </w:p>
    <w:p>
      <w:pPr>
        <w:pStyle w:val="90"/>
        <w:widowControl w:val="0"/>
        <w:snapToGrid w:val="0"/>
        <w:spacing w:line="442" w:lineRule="atLeast"/>
        <w:ind w:right="-176" w:rightChars="-84" w:firstLine="0"/>
        <w:jc w:val="center"/>
        <w:rPr>
          <w:rFonts w:hint="eastAsia" w:ascii="宋体" w:hAnsi="宋体" w:cs="宋体"/>
          <w:color w:val="auto"/>
          <w:sz w:val="32"/>
          <w:highlight w:val="none"/>
        </w:rPr>
      </w:pPr>
    </w:p>
    <w:p>
      <w:pPr>
        <w:pStyle w:val="90"/>
        <w:widowControl w:val="0"/>
        <w:snapToGrid w:val="0"/>
        <w:spacing w:line="442" w:lineRule="atLeast"/>
        <w:ind w:right="-176" w:rightChars="-84" w:firstLine="0"/>
        <w:jc w:val="center"/>
        <w:rPr>
          <w:rFonts w:hint="eastAsia" w:ascii="宋体" w:hAnsi="宋体" w:cs="宋体"/>
          <w:color w:val="auto"/>
          <w:sz w:val="32"/>
          <w:highlight w:val="none"/>
        </w:rPr>
      </w:pPr>
    </w:p>
    <w:p>
      <w:pPr>
        <w:pStyle w:val="90"/>
        <w:widowControl w:val="0"/>
        <w:snapToGrid w:val="0"/>
        <w:spacing w:line="442" w:lineRule="atLeast"/>
        <w:ind w:right="-176" w:rightChars="-84" w:firstLine="0"/>
        <w:jc w:val="center"/>
        <w:rPr>
          <w:rFonts w:hint="eastAsia" w:ascii="宋体" w:hAnsi="宋体" w:cs="宋体"/>
          <w:color w:val="auto"/>
          <w:sz w:val="32"/>
          <w:highlight w:val="none"/>
        </w:rPr>
      </w:pPr>
    </w:p>
    <w:p>
      <w:pPr>
        <w:pStyle w:val="90"/>
        <w:widowControl w:val="0"/>
        <w:snapToGrid w:val="0"/>
        <w:spacing w:line="442" w:lineRule="atLeast"/>
        <w:ind w:right="-176" w:rightChars="-84" w:firstLine="0"/>
        <w:jc w:val="center"/>
        <w:rPr>
          <w:rFonts w:hint="eastAsia" w:ascii="宋体" w:hAnsi="宋体" w:cs="宋体"/>
          <w:color w:val="auto"/>
          <w:sz w:val="32"/>
          <w:highlight w:val="none"/>
        </w:rPr>
      </w:pPr>
    </w:p>
    <w:p>
      <w:pPr>
        <w:pStyle w:val="90"/>
        <w:widowControl w:val="0"/>
        <w:snapToGrid w:val="0"/>
        <w:spacing w:line="442" w:lineRule="atLeast"/>
        <w:ind w:right="-176" w:rightChars="-84" w:firstLine="0"/>
        <w:jc w:val="center"/>
        <w:rPr>
          <w:rFonts w:hint="eastAsia" w:ascii="宋体" w:hAnsi="宋体" w:cs="宋体"/>
          <w:color w:val="auto"/>
          <w:sz w:val="32"/>
          <w:highlight w:val="none"/>
        </w:rPr>
      </w:pPr>
    </w:p>
    <w:p>
      <w:pPr>
        <w:pStyle w:val="90"/>
        <w:widowControl w:val="0"/>
        <w:snapToGrid w:val="0"/>
        <w:spacing w:line="442" w:lineRule="atLeast"/>
        <w:ind w:right="-176" w:rightChars="-84" w:firstLine="0"/>
        <w:jc w:val="center"/>
        <w:rPr>
          <w:rFonts w:ascii="宋体" w:hAnsi="宋体" w:cs="宋体"/>
          <w:color w:val="auto"/>
          <w:sz w:val="32"/>
          <w:highlight w:val="none"/>
        </w:rPr>
      </w:pPr>
      <w:r>
        <w:rPr>
          <w:rFonts w:hint="eastAsia" w:ascii="宋体" w:hAnsi="宋体" w:cs="宋体"/>
          <w:color w:val="auto"/>
          <w:sz w:val="32"/>
          <w:highlight w:val="none"/>
        </w:rPr>
        <w:t>目录</w:t>
      </w:r>
    </w:p>
    <w:p>
      <w:pPr>
        <w:pStyle w:val="90"/>
        <w:widowControl w:val="0"/>
        <w:snapToGrid w:val="0"/>
        <w:spacing w:line="360" w:lineRule="auto"/>
        <w:ind w:right="-176" w:rightChars="-84" w:firstLine="0"/>
        <w:jc w:val="center"/>
        <w:rPr>
          <w:rFonts w:ascii="宋体" w:hAnsi="宋体" w:cs="宋体"/>
          <w:color w:val="auto"/>
          <w:sz w:val="24"/>
          <w:szCs w:val="24"/>
          <w:highlight w:val="none"/>
        </w:rPr>
      </w:pPr>
    </w:p>
    <w:p>
      <w:pPr>
        <w:pStyle w:val="24"/>
        <w:tabs>
          <w:tab w:val="right" w:leader="dot" w:pos="8958"/>
        </w:tabs>
        <w:spacing w:line="360" w:lineRule="auto"/>
        <w:rPr>
          <w:rFonts w:hint="eastAsia" w:cs="宋体"/>
          <w:color w:val="auto"/>
          <w:sz w:val="24"/>
          <w:szCs w:val="24"/>
          <w:highlight w:val="none"/>
        </w:rPr>
      </w:pPr>
      <w:r>
        <w:rPr>
          <w:rFonts w:hint="eastAsia" w:cs="宋体"/>
          <w:color w:val="auto"/>
          <w:sz w:val="24"/>
          <w:szCs w:val="24"/>
          <w:highlight w:val="none"/>
        </w:rPr>
        <w:fldChar w:fldCharType="begin"/>
      </w:r>
      <w:r>
        <w:rPr>
          <w:rFonts w:hint="eastAsia" w:cs="宋体"/>
          <w:color w:val="auto"/>
          <w:sz w:val="24"/>
          <w:szCs w:val="24"/>
          <w:highlight w:val="none"/>
        </w:rPr>
        <w:instrText xml:space="preserve"> TOC \o "1-3" \h \z \u </w:instrText>
      </w:r>
      <w:r>
        <w:rPr>
          <w:rFonts w:hint="eastAsia"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_Toc24163 \h </w:instrText>
      </w:r>
      <w:r>
        <w:rPr>
          <w:rFonts w:hint="eastAsia" w:cs="宋体"/>
          <w:color w:val="auto"/>
          <w:sz w:val="24"/>
          <w:szCs w:val="24"/>
          <w:highlight w:val="none"/>
        </w:rPr>
        <w:fldChar w:fldCharType="separate"/>
      </w:r>
      <w:r>
        <w:rPr>
          <w:rFonts w:hint="eastAsia" w:cs="宋体"/>
          <w:color w:val="auto"/>
          <w:sz w:val="24"/>
          <w:szCs w:val="24"/>
          <w:highlight w:val="none"/>
        </w:rPr>
        <w:t>3</w:t>
      </w:r>
      <w:r>
        <w:rPr>
          <w:rFonts w:hint="eastAsia"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4"/>
        <w:tabs>
          <w:tab w:val="right" w:leader="dot" w:pos="8958"/>
        </w:tabs>
        <w:spacing w:line="360" w:lineRule="auto"/>
        <w:rPr>
          <w:rFonts w:hint="eastAsia"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_Toc19640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磋商须知</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_Toc19640 \h </w:instrText>
      </w:r>
      <w:r>
        <w:rPr>
          <w:rFonts w:hint="eastAsia" w:cs="宋体"/>
          <w:color w:val="auto"/>
          <w:sz w:val="24"/>
          <w:szCs w:val="24"/>
          <w:highlight w:val="none"/>
        </w:rPr>
        <w:fldChar w:fldCharType="separate"/>
      </w:r>
      <w:r>
        <w:rPr>
          <w:rFonts w:hint="eastAsia" w:cs="宋体"/>
          <w:color w:val="auto"/>
          <w:sz w:val="24"/>
          <w:szCs w:val="24"/>
          <w:highlight w:val="none"/>
        </w:rPr>
        <w:t>8</w:t>
      </w:r>
      <w:r>
        <w:rPr>
          <w:rFonts w:hint="eastAsia"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8958"/>
        </w:tabs>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_Toc21643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一、总则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_Toc21643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8958"/>
        </w:tabs>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_Toc8587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二、竞争性磋商文件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_Toc8587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8958"/>
        </w:tabs>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_Toc13905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三、响应文件编制要求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_Toc13905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8958"/>
        </w:tabs>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_Toc18716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四、响应文件的递交</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_Toc18716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8958"/>
        </w:tabs>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五、开启响应文件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_Toc4116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8958"/>
        </w:tabs>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_Toc9489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六、磋商人员及相关原则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_Toc9489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8958"/>
        </w:tabs>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_Toc12445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七、磋商程序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_Toc12445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8958"/>
        </w:tabs>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_Toc21985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八、确定成交供应商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_Toc21985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8958"/>
        </w:tabs>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九、签订合同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_Toc24189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4"/>
        <w:tabs>
          <w:tab w:val="right" w:leader="dot" w:pos="8958"/>
        </w:tabs>
        <w:spacing w:line="360" w:lineRule="auto"/>
        <w:rPr>
          <w:rFonts w:hint="eastAsia"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第三部分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用户需求书</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_Toc15221 \h </w:instrText>
      </w:r>
      <w:r>
        <w:rPr>
          <w:rFonts w:hint="eastAsia" w:cs="宋体"/>
          <w:color w:val="auto"/>
          <w:sz w:val="24"/>
          <w:szCs w:val="24"/>
          <w:highlight w:val="none"/>
        </w:rPr>
        <w:fldChar w:fldCharType="separate"/>
      </w:r>
      <w:r>
        <w:rPr>
          <w:rFonts w:hint="eastAsia" w:cs="宋体"/>
          <w:color w:val="auto"/>
          <w:sz w:val="24"/>
          <w:szCs w:val="24"/>
          <w:highlight w:val="none"/>
        </w:rPr>
        <w:t>17</w:t>
      </w:r>
      <w:r>
        <w:rPr>
          <w:rFonts w:hint="eastAsia"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4"/>
        <w:tabs>
          <w:tab w:val="right" w:leader="dot" w:pos="8958"/>
        </w:tabs>
        <w:spacing w:line="360" w:lineRule="auto"/>
        <w:rPr>
          <w:rFonts w:hint="eastAsia"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_Toc20040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合同主要条款</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_Toc20040 \h </w:instrText>
      </w:r>
      <w:r>
        <w:rPr>
          <w:rFonts w:hint="eastAsia" w:cs="宋体"/>
          <w:color w:val="auto"/>
          <w:sz w:val="24"/>
          <w:szCs w:val="24"/>
          <w:highlight w:val="none"/>
        </w:rPr>
        <w:fldChar w:fldCharType="separate"/>
      </w:r>
      <w:r>
        <w:rPr>
          <w:rFonts w:hint="eastAsia" w:cs="宋体"/>
          <w:color w:val="auto"/>
          <w:sz w:val="24"/>
          <w:szCs w:val="24"/>
          <w:highlight w:val="none"/>
        </w:rPr>
        <w:t>19</w:t>
      </w:r>
      <w:r>
        <w:rPr>
          <w:rFonts w:hint="eastAsia"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4"/>
        <w:tabs>
          <w:tab w:val="right" w:leader="dot" w:pos="8958"/>
        </w:tabs>
        <w:spacing w:line="360" w:lineRule="auto"/>
        <w:rPr>
          <w:rFonts w:hint="eastAsia"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附件（响应文件格式）</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_Toc16394 \h </w:instrText>
      </w:r>
      <w:r>
        <w:rPr>
          <w:rFonts w:hint="eastAsia" w:cs="宋体"/>
          <w:color w:val="auto"/>
          <w:sz w:val="24"/>
          <w:szCs w:val="24"/>
          <w:highlight w:val="none"/>
        </w:rPr>
        <w:fldChar w:fldCharType="separate"/>
      </w:r>
      <w:r>
        <w:rPr>
          <w:rFonts w:hint="eastAsia" w:cs="宋体"/>
          <w:color w:val="auto"/>
          <w:sz w:val="24"/>
          <w:szCs w:val="24"/>
          <w:highlight w:val="none"/>
        </w:rPr>
        <w:t>19</w:t>
      </w:r>
      <w:r>
        <w:rPr>
          <w:rFonts w:hint="eastAsia"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3"/>
        <w:tabs>
          <w:tab w:val="right" w:leader="dot" w:pos="9000"/>
        </w:tabs>
        <w:snapToGrid w:val="0"/>
        <w:spacing w:line="360" w:lineRule="auto"/>
        <w:rPr>
          <w:rFonts w:ascii="宋体" w:hAnsi="宋体" w:eastAsia="宋体" w:cs="宋体"/>
          <w:color w:val="auto"/>
          <w:sz w:val="32"/>
          <w:highlight w:val="none"/>
        </w:rPr>
      </w:pPr>
      <w:r>
        <w:rPr>
          <w:rFonts w:hint="eastAsia" w:ascii="宋体" w:hAnsi="宋体" w:eastAsia="宋体" w:cs="宋体"/>
          <w:color w:val="auto"/>
          <w:sz w:val="24"/>
          <w:szCs w:val="24"/>
          <w:highlight w:val="none"/>
        </w:rPr>
        <w:fldChar w:fldCharType="end"/>
      </w:r>
      <w:bookmarkStart w:id="0" w:name="_Toc24163"/>
      <w:bookmarkStart w:id="1" w:name="_Toc18317"/>
      <w:r>
        <w:rPr>
          <w:rFonts w:hint="eastAsia" w:ascii="宋体" w:hAnsi="宋体" w:eastAsia="宋体" w:cs="宋体"/>
          <w:color w:val="auto"/>
          <w:sz w:val="24"/>
          <w:highlight w:val="none"/>
        </w:rPr>
        <w:br w:type="page"/>
      </w:r>
      <w:bookmarkStart w:id="2" w:name="_Toc118516209"/>
      <w:bookmarkStart w:id="3" w:name="_Toc171394907"/>
      <w:r>
        <w:rPr>
          <w:rFonts w:hint="eastAsia" w:ascii="宋体" w:hAnsi="宋体" w:eastAsia="宋体" w:cs="宋体"/>
          <w:color w:val="auto"/>
          <w:sz w:val="32"/>
          <w:highlight w:val="none"/>
        </w:rPr>
        <w:t>第一部分</w:t>
      </w:r>
      <w:bookmarkEnd w:id="2"/>
      <w:r>
        <w:rPr>
          <w:rFonts w:hint="eastAsia" w:ascii="宋体" w:hAnsi="宋体" w:eastAsia="宋体" w:cs="宋体"/>
          <w:color w:val="auto"/>
          <w:sz w:val="32"/>
          <w:highlight w:val="none"/>
        </w:rPr>
        <w:t xml:space="preserve">  竞争性磋商公告</w:t>
      </w:r>
      <w:bookmarkEnd w:id="0"/>
      <w:bookmarkEnd w:id="1"/>
      <w:bookmarkEnd w:id="3"/>
    </w:p>
    <w:p>
      <w:pPr>
        <w:adjustRightInd w:val="0"/>
        <w:snapToGrid w:val="0"/>
        <w:spacing w:line="360" w:lineRule="auto"/>
        <w:ind w:firstLine="420" w:firstLineChars="200"/>
        <w:rPr>
          <w:rFonts w:ascii="宋体" w:hAnsi="宋体" w:cs="楷体"/>
          <w:color w:val="auto"/>
          <w:kern w:val="0"/>
          <w:highlight w:val="none"/>
        </w:rPr>
      </w:pPr>
      <w:bookmarkStart w:id="4" w:name="_Toc171394913"/>
      <w:r>
        <w:rPr>
          <w:rFonts w:hint="eastAsia" w:ascii="宋体" w:hAnsi="宋体" w:cs="楷体"/>
          <w:color w:val="auto"/>
          <w:kern w:val="0"/>
          <w:szCs w:val="22"/>
          <w:highlight w:val="none"/>
          <w:lang w:val="en-US" w:eastAsia="zh-CN"/>
        </w:rPr>
        <w:t>杭州路达公路工程有限公司就2024科技计划项目技术开发项目</w:t>
      </w:r>
      <w:r>
        <w:rPr>
          <w:rFonts w:ascii="宋体" w:hAnsi="宋体" w:cs="楷体"/>
          <w:color w:val="auto"/>
          <w:kern w:val="0"/>
          <w:highlight w:val="none"/>
        </w:rPr>
        <w:t>进行</w:t>
      </w:r>
      <w:r>
        <w:rPr>
          <w:rFonts w:hint="eastAsia" w:ascii="宋体" w:hAnsi="宋体" w:cs="楷体"/>
          <w:color w:val="auto"/>
          <w:kern w:val="0"/>
          <w:highlight w:val="none"/>
          <w:lang w:val="en-US" w:eastAsia="zh-CN"/>
        </w:rPr>
        <w:t>竞争性磋商</w:t>
      </w:r>
      <w:r>
        <w:rPr>
          <w:rFonts w:ascii="宋体" w:hAnsi="宋体" w:cs="楷体"/>
          <w:color w:val="auto"/>
          <w:kern w:val="0"/>
          <w:highlight w:val="none"/>
        </w:rPr>
        <w:t>采购</w:t>
      </w:r>
      <w:r>
        <w:rPr>
          <w:rFonts w:hint="eastAsia" w:ascii="宋体" w:hAnsi="宋体" w:cs="楷体"/>
          <w:color w:val="auto"/>
          <w:kern w:val="0"/>
          <w:highlight w:val="none"/>
        </w:rPr>
        <w:t>，欢迎国内符合条件的供应商前来</w:t>
      </w:r>
      <w:r>
        <w:rPr>
          <w:rFonts w:hint="eastAsia" w:ascii="宋体" w:hAnsi="宋体" w:cs="楷体"/>
          <w:color w:val="auto"/>
          <w:kern w:val="0"/>
          <w:highlight w:val="none"/>
          <w:lang w:val="en-US" w:eastAsia="zh-CN"/>
        </w:rPr>
        <w:t>响应</w:t>
      </w:r>
      <w:r>
        <w:rPr>
          <w:rFonts w:hint="eastAsia" w:ascii="宋体" w:hAnsi="宋体" w:cs="楷体"/>
          <w:color w:val="auto"/>
          <w:kern w:val="0"/>
          <w:highlight w:val="none"/>
        </w:rPr>
        <w:t>。</w:t>
      </w:r>
    </w:p>
    <w:p>
      <w:pPr>
        <w:numPr>
          <w:ilvl w:val="0"/>
          <w:numId w:val="1"/>
        </w:numPr>
        <w:adjustRightInd w:val="0"/>
        <w:snapToGrid w:val="0"/>
        <w:spacing w:line="360" w:lineRule="auto"/>
        <w:ind w:left="0" w:leftChars="0" w:firstLine="0" w:firstLineChars="0"/>
        <w:rPr>
          <w:rFonts w:hint="eastAsia" w:ascii="宋体" w:hAnsi="宋体"/>
          <w:bCs/>
          <w:color w:val="auto"/>
          <w:szCs w:val="21"/>
          <w:highlight w:val="none"/>
          <w:lang w:val="zh-CN"/>
        </w:rPr>
      </w:pPr>
      <w:r>
        <w:rPr>
          <w:rFonts w:hint="eastAsia" w:ascii="宋体" w:hAnsi="宋体"/>
          <w:b/>
          <w:bCs/>
          <w:color w:val="auto"/>
          <w:szCs w:val="21"/>
          <w:highlight w:val="none"/>
          <w:lang w:val="en-US" w:eastAsia="zh-CN"/>
        </w:rPr>
        <w:t>项目</w:t>
      </w:r>
      <w:r>
        <w:rPr>
          <w:rFonts w:hint="eastAsia" w:ascii="宋体" w:hAnsi="宋体"/>
          <w:b/>
          <w:bCs/>
          <w:color w:val="auto"/>
          <w:szCs w:val="21"/>
          <w:highlight w:val="none"/>
          <w:lang w:val="zh-CN"/>
        </w:rPr>
        <w:t>编号：</w:t>
      </w:r>
      <w:r>
        <w:rPr>
          <w:rFonts w:hint="eastAsia" w:ascii="宋体" w:hAnsi="宋体" w:cs="楷体"/>
          <w:color w:val="auto"/>
          <w:kern w:val="0"/>
          <w:szCs w:val="22"/>
          <w:highlight w:val="none"/>
          <w:lang w:val="en-US" w:eastAsia="zh-CN"/>
        </w:rPr>
        <w:t xml:space="preserve"> </w:t>
      </w:r>
    </w:p>
    <w:p>
      <w:pPr>
        <w:numPr>
          <w:ilvl w:val="0"/>
          <w:numId w:val="1"/>
        </w:numPr>
        <w:adjustRightInd w:val="0"/>
        <w:snapToGrid w:val="0"/>
        <w:spacing w:line="360" w:lineRule="auto"/>
        <w:ind w:left="0" w:leftChars="0" w:firstLine="0" w:firstLineChars="0"/>
        <w:rPr>
          <w:rFonts w:hint="eastAsia" w:ascii="宋体" w:hAnsi="宋体"/>
          <w:bCs/>
          <w:color w:val="auto"/>
          <w:szCs w:val="21"/>
          <w:highlight w:val="none"/>
          <w:lang w:val="zh-CN"/>
        </w:rPr>
      </w:pPr>
      <w:r>
        <w:rPr>
          <w:rFonts w:hint="eastAsia" w:ascii="宋体" w:hAnsi="宋体"/>
          <w:b/>
          <w:bCs/>
          <w:color w:val="auto"/>
          <w:szCs w:val="21"/>
          <w:highlight w:val="none"/>
          <w:lang w:val="zh-CN"/>
        </w:rPr>
        <w:t>项目名称：</w:t>
      </w:r>
      <w:r>
        <w:rPr>
          <w:rFonts w:hint="eastAsia" w:ascii="宋体" w:hAnsi="宋体"/>
          <w:color w:val="auto"/>
          <w:szCs w:val="21"/>
          <w:highlight w:val="none"/>
          <w:lang w:val="en-US" w:eastAsia="zh-CN"/>
        </w:rPr>
        <w:t>2024科技计划项目技术开发项目</w:t>
      </w:r>
    </w:p>
    <w:p>
      <w:pPr>
        <w:numPr>
          <w:ilvl w:val="0"/>
          <w:numId w:val="1"/>
        </w:numPr>
        <w:adjustRightInd w:val="0"/>
        <w:snapToGrid w:val="0"/>
        <w:spacing w:line="360" w:lineRule="auto"/>
        <w:ind w:left="0" w:leftChars="0" w:firstLine="0" w:firstLineChars="0"/>
        <w:rPr>
          <w:rFonts w:ascii="宋体" w:hAnsi="宋体"/>
          <w:color w:val="auto"/>
          <w:szCs w:val="21"/>
          <w:highlight w:val="none"/>
        </w:rPr>
      </w:pPr>
      <w:r>
        <w:rPr>
          <w:rFonts w:hint="eastAsia" w:ascii="宋体" w:hAnsi="宋体"/>
          <w:b/>
          <w:bCs/>
          <w:color w:val="auto"/>
          <w:szCs w:val="21"/>
          <w:highlight w:val="none"/>
          <w:lang w:val="zh-CN"/>
        </w:rPr>
        <w:t>采购方式</w:t>
      </w:r>
      <w:r>
        <w:rPr>
          <w:rFonts w:hint="eastAsia" w:ascii="宋体" w:hAnsi="宋体"/>
          <w:color w:val="auto"/>
          <w:szCs w:val="21"/>
          <w:highlight w:val="none"/>
          <w:lang w:val="zh-CN"/>
        </w:rPr>
        <w:t>：竞争性磋商，本项</w:t>
      </w:r>
      <w:r>
        <w:rPr>
          <w:rFonts w:hint="eastAsia"/>
          <w:color w:val="auto"/>
          <w:highlight w:val="none"/>
          <w:lang w:val="zh-CN"/>
        </w:rPr>
        <w:t>目属于非政府采购。</w:t>
      </w:r>
    </w:p>
    <w:p>
      <w:pPr>
        <w:adjustRightInd w:val="0"/>
        <w:snapToGrid w:val="0"/>
        <w:spacing w:line="360" w:lineRule="auto"/>
        <w:rPr>
          <w:rFonts w:ascii="宋体" w:hAnsi="宋体" w:cs="宋体"/>
          <w:color w:val="auto"/>
          <w:sz w:val="24"/>
          <w:highlight w:val="none"/>
        </w:rPr>
      </w:pPr>
      <w:r>
        <w:rPr>
          <w:rFonts w:hint="eastAsia" w:ascii="宋体" w:hAnsi="宋体"/>
          <w:b/>
          <w:color w:val="auto"/>
          <w:highlight w:val="none"/>
        </w:rPr>
        <w:t>四、采购内容:</w:t>
      </w:r>
      <w:bookmarkStart w:id="5" w:name="_Toc251221432"/>
      <w:bookmarkStart w:id="6" w:name="_Toc251566641"/>
      <w:bookmarkStart w:id="7" w:name="_Toc251189087"/>
      <w:bookmarkStart w:id="8" w:name="_Toc185012667"/>
      <w:r>
        <w:rPr>
          <w:rFonts w:ascii="宋体" w:hAnsi="宋体" w:cs="宋体"/>
          <w:color w:val="auto"/>
          <w:sz w:val="24"/>
          <w:highlight w:val="none"/>
        </w:rPr>
        <w:t xml:space="preserve"> </w:t>
      </w:r>
      <w:r>
        <w:rPr>
          <w:rFonts w:hint="eastAsia" w:ascii="宋体" w:hAnsi="宋体"/>
          <w:color w:val="auto"/>
          <w:szCs w:val="21"/>
          <w:highlight w:val="none"/>
          <w:lang w:val="zh-CN"/>
        </w:rPr>
        <w:t>因技术开发需要，拟采购2024科技计划项目《普通国省道及农村公路沥青路面全寿命综合养护关键技术研究》和《在役混凝土拱桥结构稳定性分析及养护加固对策关键技术研究》的技术开发。</w:t>
      </w:r>
    </w:p>
    <w:p>
      <w:pPr>
        <w:adjustRightInd w:val="0"/>
        <w:snapToGrid w:val="0"/>
        <w:spacing w:line="360" w:lineRule="auto"/>
        <w:ind w:firstLine="422" w:firstLineChars="200"/>
        <w:rPr>
          <w:rFonts w:hint="default" w:ascii="宋体" w:hAnsi="宋体" w:eastAsia="宋体"/>
          <w:b/>
          <w:color w:val="auto"/>
          <w:highlight w:val="none"/>
          <w:lang w:val="en-US" w:eastAsia="zh-CN"/>
        </w:rPr>
      </w:pPr>
    </w:p>
    <w:bookmarkEnd w:id="5"/>
    <w:bookmarkEnd w:id="6"/>
    <w:bookmarkEnd w:id="7"/>
    <w:bookmarkEnd w:id="8"/>
    <w:p>
      <w:pPr>
        <w:numPr>
          <w:ilvl w:val="0"/>
          <w:numId w:val="2"/>
        </w:numPr>
        <w:adjustRightInd w:val="0"/>
        <w:snapToGrid w:val="0"/>
        <w:spacing w:line="360" w:lineRule="auto"/>
        <w:rPr>
          <w:rFonts w:hint="eastAsia" w:ascii="宋体" w:hAnsi="宋体"/>
          <w:b/>
          <w:color w:val="auto"/>
          <w:highlight w:val="none"/>
        </w:rPr>
      </w:pPr>
      <w:r>
        <w:rPr>
          <w:rFonts w:hint="eastAsia" w:ascii="宋体" w:hAnsi="宋体"/>
          <w:b/>
          <w:color w:val="auto"/>
          <w:highlight w:val="none"/>
        </w:rPr>
        <w:t>合格的响应人的</w:t>
      </w:r>
      <w:r>
        <w:rPr>
          <w:rFonts w:ascii="宋体" w:hAnsi="宋体"/>
          <w:b/>
          <w:color w:val="auto"/>
          <w:highlight w:val="none"/>
        </w:rPr>
        <w:t>资格</w:t>
      </w:r>
      <w:r>
        <w:rPr>
          <w:rFonts w:hint="eastAsia" w:ascii="宋体" w:hAnsi="宋体"/>
          <w:b/>
          <w:color w:val="auto"/>
          <w:highlight w:val="none"/>
        </w:rPr>
        <w:t>条件：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highlight w:val="none"/>
        </w:rPr>
      </w:pPr>
      <w:r>
        <w:rPr>
          <w:rFonts w:hint="eastAsia"/>
          <w:snapToGrid w:val="0"/>
          <w:color w:val="auto"/>
          <w:sz w:val="21"/>
          <w:szCs w:val="21"/>
          <w:highlight w:val="none"/>
        </w:rPr>
        <w:t>1、基本资格条件：</w:t>
      </w:r>
      <w:r>
        <w:rPr>
          <w:rFonts w:hint="eastAsia" w:ascii="宋体" w:hAnsi="宋体" w:cs="宋体"/>
          <w:color w:val="auto"/>
          <w:highlight w:val="none"/>
        </w:rPr>
        <w:t>满足《中华人民共和国政府采购法》第二十二条规定；未被“信用中国”（www.creditchina.gov.cn)、中国政府采购网（www.ccgp.gov.cn）列入失信被执行人、重大税收违法失信主体、政府采购严重违法失信行为记录名单。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snapToGrid w:val="0"/>
          <w:color w:val="auto"/>
          <w:sz w:val="21"/>
          <w:szCs w:val="21"/>
          <w:highlight w:val="none"/>
        </w:rPr>
      </w:pPr>
      <w:r>
        <w:rPr>
          <w:rFonts w:hint="eastAsia"/>
          <w:snapToGrid w:val="0"/>
          <w:color w:val="auto"/>
          <w:sz w:val="21"/>
          <w:szCs w:val="21"/>
          <w:highlight w:val="none"/>
        </w:rPr>
        <w:t>2、特定资格条件：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s="宋体"/>
          <w:kern w:val="0"/>
          <w:szCs w:val="21"/>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（2）本项目不接受联合体磋商</w:t>
      </w:r>
    </w:p>
    <w:p>
      <w:pPr>
        <w:spacing w:line="360" w:lineRule="auto"/>
        <w:rPr>
          <w:rFonts w:hint="eastAsia" w:ascii="宋体" w:hAnsi="宋体" w:cs="宋体"/>
          <w:b/>
          <w:color w:val="auto"/>
          <w:highlight w:val="none"/>
        </w:rPr>
      </w:pPr>
      <w:r>
        <w:rPr>
          <w:rFonts w:hint="eastAsia" w:ascii="宋体" w:hAnsi="宋体" w:cs="楷体"/>
          <w:b/>
          <w:snapToGrid w:val="0"/>
          <w:color w:val="auto"/>
          <w:kern w:val="0"/>
          <w:highlight w:val="none"/>
          <w:lang w:val="en-US" w:eastAsia="zh-CN"/>
        </w:rPr>
        <w:t>六</w:t>
      </w:r>
      <w:r>
        <w:rPr>
          <w:rFonts w:hint="eastAsia" w:ascii="宋体" w:hAnsi="宋体" w:cs="楷体"/>
          <w:b/>
          <w:snapToGrid w:val="0"/>
          <w:color w:val="auto"/>
          <w:kern w:val="0"/>
          <w:highlight w:val="none"/>
        </w:rPr>
        <w:t>、</w:t>
      </w:r>
      <w:r>
        <w:rPr>
          <w:rFonts w:hint="eastAsia" w:ascii="宋体" w:hAnsi="宋体" w:cs="宋体"/>
          <w:b/>
          <w:color w:val="auto"/>
          <w:highlight w:val="none"/>
          <w:lang w:val="en-US" w:eastAsia="zh-CN"/>
        </w:rPr>
        <w:t>供应商</w:t>
      </w:r>
      <w:r>
        <w:rPr>
          <w:rFonts w:hint="eastAsia" w:ascii="宋体" w:hAnsi="宋体" w:cs="宋体"/>
          <w:b/>
          <w:color w:val="auto"/>
          <w:highlight w:val="none"/>
        </w:rPr>
        <w:t>登记入库</w:t>
      </w:r>
    </w:p>
    <w:p>
      <w:pPr>
        <w:pStyle w:val="29"/>
        <w:adjustRightInd w:val="0"/>
        <w:snapToGrid w:val="0"/>
        <w:spacing w:before="0" w:beforeAutospacing="0" w:after="0" w:afterAutospacing="0" w:line="360" w:lineRule="auto"/>
        <w:ind w:firstLine="420" w:firstLineChars="200"/>
        <w:rPr>
          <w:rFonts w:hint="eastAsia" w:ascii="宋体" w:hAnsi="宋体" w:eastAsia="宋体" w:cs="Times New Roman"/>
          <w:snapToGrid w:val="0"/>
          <w:color w:val="auto"/>
          <w:sz w:val="21"/>
          <w:szCs w:val="21"/>
          <w:highlight w:val="none"/>
        </w:rPr>
      </w:pPr>
      <w:r>
        <w:rPr>
          <w:rFonts w:hint="eastAsia" w:ascii="宋体" w:hAnsi="宋体"/>
          <w:color w:val="auto"/>
          <w:sz w:val="21"/>
          <w:szCs w:val="21"/>
          <w:highlight w:val="none"/>
        </w:rPr>
        <w:t>（1）</w:t>
      </w:r>
      <w:r>
        <w:rPr>
          <w:rFonts w:hint="eastAsia" w:ascii="宋体" w:hAnsi="宋体" w:eastAsia="宋体" w:cs="Times New Roman"/>
          <w:snapToGrid w:val="0"/>
          <w:color w:val="auto"/>
          <w:sz w:val="21"/>
          <w:szCs w:val="21"/>
          <w:highlight w:val="none"/>
          <w:lang w:val="en-US" w:eastAsia="zh-CN"/>
        </w:rPr>
        <w:t>供应商</w:t>
      </w:r>
      <w:r>
        <w:rPr>
          <w:rFonts w:hint="eastAsia" w:ascii="宋体" w:hAnsi="宋体" w:eastAsia="宋体" w:cs="Times New Roman"/>
          <w:snapToGrid w:val="0"/>
          <w:color w:val="auto"/>
          <w:sz w:val="21"/>
          <w:szCs w:val="21"/>
          <w:highlight w:val="none"/>
        </w:rPr>
        <w:t>注册：</w:t>
      </w:r>
      <w:r>
        <w:rPr>
          <w:rFonts w:hint="eastAsia" w:ascii="宋体" w:hAnsi="宋体" w:eastAsia="宋体" w:cs="Times New Roman"/>
          <w:snapToGrid w:val="0"/>
          <w:color w:val="auto"/>
          <w:sz w:val="21"/>
          <w:szCs w:val="21"/>
          <w:highlight w:val="none"/>
          <w:lang w:val="en-US" w:eastAsia="zh-CN"/>
        </w:rPr>
        <w:t>供应商</w:t>
      </w:r>
      <w:r>
        <w:rPr>
          <w:rFonts w:hint="eastAsia" w:ascii="宋体" w:hAnsi="宋体" w:eastAsia="宋体" w:cs="Times New Roman"/>
          <w:snapToGrid w:val="0"/>
          <w:color w:val="auto"/>
          <w:sz w:val="21"/>
          <w:szCs w:val="21"/>
          <w:highlight w:val="none"/>
        </w:rPr>
        <w:t>如需参与本项目，应为杭州交投集中采购平台注册</w:t>
      </w:r>
      <w:r>
        <w:rPr>
          <w:rFonts w:hint="eastAsia" w:ascii="宋体" w:hAnsi="宋体" w:eastAsia="宋体" w:cs="Times New Roman"/>
          <w:snapToGrid w:val="0"/>
          <w:color w:val="auto"/>
          <w:sz w:val="21"/>
          <w:szCs w:val="21"/>
          <w:highlight w:val="none"/>
          <w:lang w:val="en-US" w:eastAsia="zh-CN"/>
        </w:rPr>
        <w:t>供应商</w:t>
      </w:r>
      <w:r>
        <w:rPr>
          <w:rFonts w:hint="eastAsia" w:ascii="宋体" w:hAnsi="宋体" w:eastAsia="宋体" w:cs="Times New Roman"/>
          <w:snapToGrid w:val="0"/>
          <w:color w:val="auto"/>
          <w:sz w:val="21"/>
          <w:szCs w:val="21"/>
          <w:highlight w:val="none"/>
        </w:rPr>
        <w:t>。本项目通过“杭州交投集中采购平台”实行在线投标响应（电子投标），</w:t>
      </w:r>
      <w:r>
        <w:rPr>
          <w:rFonts w:hint="eastAsia" w:ascii="宋体" w:hAnsi="宋体" w:eastAsia="宋体" w:cs="Times New Roman"/>
          <w:snapToGrid w:val="0"/>
          <w:color w:val="auto"/>
          <w:sz w:val="21"/>
          <w:szCs w:val="21"/>
          <w:highlight w:val="none"/>
          <w:lang w:val="en-US" w:eastAsia="zh-CN"/>
        </w:rPr>
        <w:t>供应商</w:t>
      </w:r>
      <w:r>
        <w:rPr>
          <w:rFonts w:hint="eastAsia" w:ascii="宋体" w:hAnsi="宋体" w:eastAsia="宋体" w:cs="Times New Roman"/>
          <w:snapToGrid w:val="0"/>
          <w:color w:val="auto"/>
          <w:sz w:val="21"/>
          <w:szCs w:val="21"/>
          <w:highlight w:val="none"/>
        </w:rPr>
        <w:t>应先安装“电子投标客户端”，并按照本</w:t>
      </w:r>
      <w:r>
        <w:rPr>
          <w:rFonts w:hint="eastAsia" w:ascii="宋体" w:hAnsi="宋体" w:eastAsia="宋体" w:cs="Times New Roman"/>
          <w:snapToGrid w:val="0"/>
          <w:color w:val="auto"/>
          <w:sz w:val="21"/>
          <w:szCs w:val="21"/>
          <w:highlight w:val="none"/>
          <w:lang w:val="en-US" w:eastAsia="zh-CN"/>
        </w:rPr>
        <w:t>采购</w:t>
      </w:r>
      <w:r>
        <w:rPr>
          <w:rFonts w:hint="eastAsia" w:ascii="宋体" w:hAnsi="宋体" w:eastAsia="宋体" w:cs="Times New Roman"/>
          <w:snapToGrid w:val="0"/>
          <w:color w:val="auto"/>
          <w:sz w:val="21"/>
          <w:szCs w:val="21"/>
          <w:highlight w:val="none"/>
        </w:rPr>
        <w:t>文件和“杭州交投集中采购平台”的要求，通过“电子投标客户端”编制并加密投标响应文件。</w:t>
      </w:r>
      <w:r>
        <w:rPr>
          <w:rFonts w:hint="eastAsia" w:ascii="宋体" w:hAnsi="宋体" w:eastAsia="宋体" w:cs="Times New Roman"/>
          <w:snapToGrid w:val="0"/>
          <w:color w:val="auto"/>
          <w:sz w:val="21"/>
          <w:szCs w:val="21"/>
          <w:highlight w:val="none"/>
          <w:lang w:val="en-US" w:eastAsia="zh-CN"/>
        </w:rPr>
        <w:t>供应商</w:t>
      </w:r>
      <w:r>
        <w:rPr>
          <w:rFonts w:hint="eastAsia" w:ascii="宋体" w:hAnsi="宋体" w:eastAsia="宋体" w:cs="Times New Roman"/>
          <w:snapToGrid w:val="0"/>
          <w:color w:val="auto"/>
          <w:sz w:val="21"/>
          <w:szCs w:val="21"/>
          <w:highlight w:val="none"/>
        </w:rPr>
        <w:t>未按规定加密的投标响应文件，“杭州交投集中采购平台”将予以拒收。</w:t>
      </w:r>
    </w:p>
    <w:p>
      <w:pPr>
        <w:pStyle w:val="29"/>
        <w:adjustRightInd w:val="0"/>
        <w:snapToGrid w:val="0"/>
        <w:spacing w:before="0" w:beforeAutospacing="0" w:after="0" w:afterAutospacing="0" w:line="360" w:lineRule="auto"/>
        <w:ind w:firstLine="420" w:firstLineChars="200"/>
        <w:rPr>
          <w:rFonts w:hint="eastAsia" w:ascii="宋体" w:hAnsi="宋体" w:eastAsia="宋体" w:cs="Times New Roman"/>
          <w:snapToGrid w:val="0"/>
          <w:color w:val="auto"/>
          <w:sz w:val="21"/>
          <w:szCs w:val="21"/>
          <w:highlight w:val="none"/>
        </w:rPr>
      </w:pPr>
      <w:r>
        <w:rPr>
          <w:rFonts w:hint="eastAsia" w:ascii="宋体" w:hAnsi="宋体" w:eastAsia="宋体" w:cs="Times New Roman"/>
          <w:snapToGrid w:val="0"/>
          <w:color w:val="auto"/>
          <w:sz w:val="21"/>
          <w:szCs w:val="21"/>
          <w:highlight w:val="none"/>
        </w:rPr>
        <w:t>“电子投标客户端”请自行前往“杭州交投集中采购平台-帮助中心-帮助文档”进行下载；电子投标具体操作流程详见《投标人操作手册》；通过“杭州交投集中采购平台”参与在线投标时如遇平台技术问题详询客服热线95763。</w:t>
      </w:r>
    </w:p>
    <w:p>
      <w:pPr>
        <w:pStyle w:val="29"/>
        <w:numPr>
          <w:ilvl w:val="0"/>
          <w:numId w:val="3"/>
        </w:numPr>
        <w:adjustRightInd w:val="0"/>
        <w:snapToGrid w:val="0"/>
        <w:spacing w:before="0" w:beforeAutospacing="0" w:after="0" w:afterAutospacing="0" w:line="360" w:lineRule="auto"/>
        <w:ind w:firstLine="420" w:firstLineChars="200"/>
        <w:rPr>
          <w:rFonts w:hint="eastAsia" w:ascii="宋体" w:hAnsi="宋体" w:eastAsia="宋体" w:cs="Times New Roman"/>
          <w:snapToGrid w:val="0"/>
          <w:color w:val="auto"/>
          <w:sz w:val="21"/>
          <w:szCs w:val="21"/>
          <w:highlight w:val="none"/>
        </w:rPr>
      </w:pPr>
      <w:r>
        <w:rPr>
          <w:rFonts w:hint="eastAsia" w:ascii="宋体" w:hAnsi="宋体" w:eastAsia="宋体" w:cs="Times New Roman"/>
          <w:snapToGrid w:val="0"/>
          <w:color w:val="auto"/>
          <w:sz w:val="21"/>
          <w:szCs w:val="21"/>
          <w:highlight w:val="none"/>
        </w:rPr>
        <w:t>为确保网上操作合法、有效和安全，</w:t>
      </w:r>
      <w:r>
        <w:rPr>
          <w:rFonts w:hint="eastAsia" w:ascii="宋体" w:hAnsi="宋体" w:eastAsia="宋体" w:cs="Times New Roman"/>
          <w:snapToGrid w:val="0"/>
          <w:color w:val="auto"/>
          <w:sz w:val="21"/>
          <w:szCs w:val="21"/>
          <w:highlight w:val="none"/>
          <w:lang w:val="en-US" w:eastAsia="zh-CN"/>
        </w:rPr>
        <w:t>供应商</w:t>
      </w:r>
      <w:r>
        <w:rPr>
          <w:rFonts w:hint="eastAsia" w:ascii="宋体" w:hAnsi="宋体" w:eastAsia="宋体" w:cs="Times New Roman"/>
          <w:snapToGrid w:val="0"/>
          <w:color w:val="auto"/>
          <w:sz w:val="21"/>
          <w:szCs w:val="21"/>
          <w:highlight w:val="none"/>
        </w:rPr>
        <w:t>应当在投</w:t>
      </w:r>
      <w:r>
        <w:rPr>
          <w:rFonts w:hint="eastAsia" w:ascii="宋体" w:hAnsi="宋体" w:eastAsia="宋体" w:cs="Times New Roman"/>
          <w:snapToGrid w:val="0"/>
          <w:color w:val="auto"/>
          <w:sz w:val="21"/>
          <w:szCs w:val="21"/>
          <w:highlight w:val="none"/>
          <w:lang w:val="en-US" w:eastAsia="zh-CN"/>
        </w:rPr>
        <w:t>响应</w:t>
      </w:r>
      <w:r>
        <w:rPr>
          <w:rFonts w:hint="eastAsia" w:ascii="宋体" w:hAnsi="宋体" w:eastAsia="宋体" w:cs="Times New Roman"/>
          <w:snapToGrid w:val="0"/>
          <w:color w:val="auto"/>
          <w:sz w:val="21"/>
          <w:szCs w:val="21"/>
          <w:highlight w:val="none"/>
        </w:rPr>
        <w:t>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w:t>
      </w:r>
    </w:p>
    <w:p>
      <w:pPr>
        <w:pStyle w:val="29"/>
        <w:numPr>
          <w:ilvl w:val="0"/>
          <w:numId w:val="3"/>
        </w:numPr>
        <w:adjustRightInd w:val="0"/>
        <w:snapToGrid w:val="0"/>
        <w:spacing w:before="0" w:beforeAutospacing="0" w:after="0" w:afterAutospacing="0" w:line="360" w:lineRule="auto"/>
        <w:ind w:left="0" w:leftChars="0" w:firstLine="420" w:firstLineChars="200"/>
        <w:rPr>
          <w:rFonts w:hint="eastAsia" w:ascii="宋体" w:hAnsi="宋体" w:eastAsia="宋体" w:cs="Times New Roman"/>
          <w:snapToGrid w:val="0"/>
          <w:color w:val="auto"/>
          <w:sz w:val="21"/>
          <w:szCs w:val="21"/>
          <w:highlight w:val="none"/>
        </w:rPr>
      </w:pPr>
      <w:r>
        <w:rPr>
          <w:rFonts w:hint="eastAsia" w:ascii="宋体" w:hAnsi="宋体" w:eastAsia="宋体" w:cs="Times New Roman"/>
          <w:snapToGrid w:val="0"/>
          <w:color w:val="auto"/>
          <w:sz w:val="21"/>
          <w:szCs w:val="21"/>
          <w:highlight w:val="none"/>
        </w:rPr>
        <w:t>若对项目采购电子交易系统操作有疑问，可登录杭州交投集中采购平台（cg.zjhzjtjt.com/），点击右侧咨询小采，获取采小蜜智能服务管家帮助，或拨打服务热线95763获取热线服务帮助。</w:t>
      </w:r>
    </w:p>
    <w:p>
      <w:pPr>
        <w:pStyle w:val="29"/>
        <w:adjustRightInd w:val="0"/>
        <w:snapToGrid w:val="0"/>
        <w:spacing w:before="0" w:beforeAutospacing="0" w:after="0" w:afterAutospacing="0" w:line="360" w:lineRule="auto"/>
        <w:ind w:firstLine="420" w:firstLineChars="200"/>
        <w:rPr>
          <w:rFonts w:hint="eastAsia" w:ascii="宋体" w:hAnsi="宋体" w:eastAsia="宋体" w:cs="Times New Roman"/>
          <w:snapToGrid w:val="0"/>
          <w:color w:val="auto"/>
          <w:sz w:val="21"/>
          <w:szCs w:val="21"/>
          <w:highlight w:val="none"/>
        </w:rPr>
      </w:pPr>
      <w:r>
        <w:rPr>
          <w:rFonts w:hint="eastAsia" w:ascii="宋体" w:hAnsi="宋体" w:eastAsia="宋体" w:cs="Times New Roman"/>
          <w:snapToGrid w:val="0"/>
          <w:color w:val="auto"/>
          <w:sz w:val="21"/>
          <w:szCs w:val="21"/>
          <w:highlight w:val="none"/>
        </w:rPr>
        <w:t>CA问题联系电话（人工）：汇信CA 400-888-4636；天谷CA 400-087-8198。</w:t>
      </w:r>
    </w:p>
    <w:p>
      <w:pPr>
        <w:pStyle w:val="2"/>
        <w:snapToGrid w:val="0"/>
        <w:spacing w:line="360" w:lineRule="auto"/>
        <w:ind w:firstLine="0" w:firstLineChars="0"/>
        <w:rPr>
          <w:b/>
          <w:bCs/>
          <w:color w:val="auto"/>
          <w:sz w:val="21"/>
          <w:szCs w:val="21"/>
          <w:highlight w:val="none"/>
        </w:rPr>
      </w:pPr>
      <w:r>
        <w:rPr>
          <w:rFonts w:hint="eastAsia"/>
          <w:b/>
          <w:bCs/>
          <w:color w:val="auto"/>
          <w:sz w:val="21"/>
          <w:szCs w:val="21"/>
          <w:highlight w:val="none"/>
          <w:lang w:val="en-US" w:eastAsia="zh-CN"/>
        </w:rPr>
        <w:t>七</w:t>
      </w:r>
      <w:r>
        <w:rPr>
          <w:rFonts w:hint="eastAsia"/>
          <w:b/>
          <w:bCs/>
          <w:color w:val="auto"/>
          <w:sz w:val="21"/>
          <w:szCs w:val="21"/>
          <w:highlight w:val="none"/>
        </w:rPr>
        <w:t>.</w:t>
      </w:r>
      <w:r>
        <w:rPr>
          <w:b/>
          <w:bCs/>
          <w:snapToGrid w:val="0"/>
          <w:color w:val="auto"/>
          <w:sz w:val="21"/>
          <w:szCs w:val="21"/>
          <w:highlight w:val="none"/>
        </w:rPr>
        <w:t xml:space="preserve"> </w:t>
      </w:r>
      <w:r>
        <w:rPr>
          <w:rFonts w:hint="eastAsia"/>
          <w:b/>
          <w:bCs/>
          <w:snapToGrid w:val="0"/>
          <w:color w:val="auto"/>
          <w:sz w:val="21"/>
          <w:szCs w:val="21"/>
          <w:highlight w:val="none"/>
        </w:rPr>
        <w:t>磋商</w:t>
      </w:r>
      <w:r>
        <w:rPr>
          <w:b/>
          <w:bCs/>
          <w:snapToGrid w:val="0"/>
          <w:color w:val="auto"/>
          <w:sz w:val="21"/>
          <w:szCs w:val="21"/>
          <w:highlight w:val="none"/>
        </w:rPr>
        <w:t>报名方式：</w:t>
      </w:r>
      <w:r>
        <w:rPr>
          <w:rFonts w:hint="eastAsia"/>
          <w:snapToGrid w:val="0"/>
          <w:color w:val="auto"/>
          <w:sz w:val="21"/>
          <w:szCs w:val="21"/>
          <w:highlight w:val="none"/>
        </w:rPr>
        <w:t>本项目不设置报名环节。</w:t>
      </w:r>
    </w:p>
    <w:p>
      <w:pPr>
        <w:pStyle w:val="2"/>
        <w:snapToGrid w:val="0"/>
        <w:spacing w:line="360" w:lineRule="auto"/>
        <w:ind w:firstLine="0" w:firstLineChars="0"/>
        <w:rPr>
          <w:b/>
          <w:bCs/>
          <w:color w:val="auto"/>
          <w:sz w:val="21"/>
          <w:szCs w:val="21"/>
          <w:highlight w:val="none"/>
        </w:rPr>
      </w:pPr>
      <w:r>
        <w:rPr>
          <w:rFonts w:hint="eastAsia"/>
          <w:b/>
          <w:bCs/>
          <w:color w:val="auto"/>
          <w:sz w:val="21"/>
          <w:szCs w:val="21"/>
          <w:highlight w:val="none"/>
          <w:lang w:val="en-US" w:eastAsia="zh-CN"/>
        </w:rPr>
        <w:t>八</w:t>
      </w:r>
      <w:r>
        <w:rPr>
          <w:rFonts w:hint="eastAsia"/>
          <w:b/>
          <w:bCs/>
          <w:color w:val="auto"/>
          <w:sz w:val="21"/>
          <w:szCs w:val="21"/>
          <w:highlight w:val="none"/>
        </w:rPr>
        <w:t>.采购文件获取：</w:t>
      </w:r>
    </w:p>
    <w:p>
      <w:pPr>
        <w:spacing w:line="360" w:lineRule="auto"/>
        <w:ind w:firstLine="420" w:firstLineChars="200"/>
        <w:rPr>
          <w:rFonts w:ascii="宋体" w:hAnsi="宋体"/>
          <w:color w:val="auto"/>
          <w:highlight w:val="none"/>
        </w:rPr>
      </w:pPr>
      <w:r>
        <w:rPr>
          <w:rFonts w:hint="eastAsia" w:ascii="宋体" w:hAnsi="宋体"/>
          <w:color w:val="auto"/>
          <w:highlight w:val="none"/>
        </w:rPr>
        <w:t>（1）时间：自公告发布之日起至</w:t>
      </w:r>
      <w:r>
        <w:rPr>
          <w:rFonts w:hint="eastAsia" w:ascii="宋体" w:hAnsi="宋体"/>
          <w:color w:val="auto"/>
          <w:highlight w:val="none"/>
          <w:lang w:val="en-US" w:eastAsia="zh-CN"/>
        </w:rPr>
        <w:t>响应</w:t>
      </w:r>
      <w:r>
        <w:rPr>
          <w:rFonts w:hint="eastAsia" w:ascii="宋体" w:hAnsi="宋体"/>
          <w:color w:val="auto"/>
          <w:highlight w:val="none"/>
        </w:rPr>
        <w:t>文件递交截止时间。</w:t>
      </w:r>
    </w:p>
    <w:p>
      <w:pPr>
        <w:spacing w:line="360" w:lineRule="auto"/>
        <w:ind w:firstLine="420" w:firstLineChars="200"/>
        <w:rPr>
          <w:rFonts w:ascii="宋体" w:hAnsi="宋体"/>
          <w:color w:val="auto"/>
          <w:highlight w:val="none"/>
        </w:rPr>
      </w:pPr>
      <w:r>
        <w:rPr>
          <w:rFonts w:hint="eastAsia" w:ascii="宋体" w:hAnsi="宋体"/>
          <w:color w:val="auto"/>
          <w:highlight w:val="none"/>
        </w:rPr>
        <w:t>（2）地点（网址）：杭州交投集中采购平台（cg.zjhzjtjt.com/）。</w:t>
      </w:r>
    </w:p>
    <w:p>
      <w:pPr>
        <w:spacing w:line="360" w:lineRule="auto"/>
        <w:ind w:firstLine="420" w:firstLineChars="200"/>
        <w:rPr>
          <w:snapToGrid w:val="0"/>
          <w:color w:val="auto"/>
          <w:szCs w:val="21"/>
          <w:highlight w:val="none"/>
        </w:rPr>
      </w:pPr>
      <w:r>
        <w:rPr>
          <w:rFonts w:hint="eastAsia" w:ascii="宋体" w:hAnsi="宋体"/>
          <w:color w:val="auto"/>
          <w:highlight w:val="none"/>
        </w:rPr>
        <w:t>（3）方式：</w:t>
      </w:r>
      <w:r>
        <w:rPr>
          <w:rFonts w:hint="eastAsia" w:ascii="宋体" w:hAnsi="宋体" w:eastAsia="宋体" w:cs="Times New Roman"/>
          <w:snapToGrid w:val="0"/>
          <w:color w:val="auto"/>
          <w:sz w:val="21"/>
          <w:szCs w:val="21"/>
          <w:highlight w:val="none"/>
          <w:lang w:val="en-US" w:eastAsia="zh-CN"/>
        </w:rPr>
        <w:t>供应商</w:t>
      </w:r>
      <w:r>
        <w:rPr>
          <w:rFonts w:hint="eastAsia" w:ascii="宋体" w:hAnsi="宋体"/>
          <w:color w:val="auto"/>
          <w:highlight w:val="none"/>
        </w:rPr>
        <w:t>登录杭州交投集中采购平台（cg.zjhzjtjt.com/）在线申请获取采购</w:t>
      </w:r>
      <w:r>
        <w:rPr>
          <w:rFonts w:hint="eastAsia" w:ascii="宋体" w:hAnsi="宋体" w:cs="宋体"/>
          <w:color w:val="auto"/>
          <w:highlight w:val="none"/>
        </w:rPr>
        <w:t>文件（进入“项目采购”应用，在获取采购文件菜单中选择项目，申请获取采购文件）。</w:t>
      </w:r>
    </w:p>
    <w:p>
      <w:pPr>
        <w:autoSpaceDE w:val="0"/>
        <w:autoSpaceDN w:val="0"/>
        <w:adjustRightInd w:val="0"/>
        <w:snapToGrid w:val="0"/>
        <w:spacing w:line="360" w:lineRule="auto"/>
        <w:jc w:val="left"/>
        <w:rPr>
          <w:rFonts w:ascii="宋体" w:hAnsi="宋体" w:cs="宋体"/>
          <w:b/>
          <w:bCs/>
          <w:color w:val="auto"/>
          <w:kern w:val="0"/>
          <w:szCs w:val="21"/>
          <w:highlight w:val="none"/>
          <w:lang w:val="zh-CN"/>
        </w:rPr>
      </w:pPr>
      <w:r>
        <w:rPr>
          <w:rFonts w:hint="eastAsia" w:ascii="宋体" w:hAnsi="宋体" w:cs="宋体"/>
          <w:b/>
          <w:bCs/>
          <w:color w:val="auto"/>
          <w:szCs w:val="21"/>
          <w:highlight w:val="none"/>
          <w:lang w:val="zh-CN"/>
        </w:rPr>
        <w:t>九、</w:t>
      </w:r>
      <w:r>
        <w:rPr>
          <w:rFonts w:hint="eastAsia" w:ascii="宋体" w:hAnsi="宋体" w:cs="宋体"/>
          <w:b/>
          <w:bCs/>
          <w:color w:val="auto"/>
          <w:kern w:val="0"/>
          <w:szCs w:val="21"/>
          <w:highlight w:val="none"/>
          <w:lang w:val="zh-CN"/>
        </w:rPr>
        <w:t>响应截止时间与地点：</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kern w:val="0"/>
          <w:szCs w:val="21"/>
          <w:highlight w:val="none"/>
          <w:lang w:val="zh-CN"/>
        </w:rPr>
      </w:pPr>
      <w:r>
        <w:rPr>
          <w:rFonts w:hint="eastAsia" w:ascii="宋体" w:hAnsi="宋体"/>
          <w:color w:val="auto"/>
          <w:highlight w:val="none"/>
        </w:rPr>
        <w:t>（1）</w:t>
      </w:r>
      <w:r>
        <w:rPr>
          <w:rFonts w:hint="eastAsia" w:ascii="宋体" w:hAnsi="宋体" w:cs="宋体"/>
          <w:color w:val="auto"/>
          <w:kern w:val="0"/>
          <w:szCs w:val="21"/>
          <w:highlight w:val="none"/>
          <w:lang w:val="zh-CN"/>
        </w:rPr>
        <w:t>响应截止时间：</w:t>
      </w:r>
      <w:r>
        <w:rPr>
          <w:rFonts w:hint="eastAsia" w:ascii="宋体" w:hAnsi="宋体" w:cs="宋体"/>
          <w:color w:val="auto"/>
          <w:kern w:val="0"/>
          <w:szCs w:val="21"/>
          <w:highlight w:val="none"/>
          <w:u w:val="single"/>
          <w:lang w:val="en-US" w:eastAsia="zh-CN"/>
        </w:rPr>
        <w:t>2024</w:t>
      </w:r>
      <w:r>
        <w:rPr>
          <w:rFonts w:hint="eastAsia" w:cs="宋体" w:asciiTheme="minorEastAsia" w:hAnsiTheme="minorEastAsia" w:eastAsiaTheme="minorEastAsia"/>
          <w:color w:val="auto"/>
          <w:kern w:val="0"/>
          <w:szCs w:val="21"/>
          <w:highlight w:val="none"/>
          <w:lang w:val="zh-CN"/>
        </w:rPr>
        <w:t>年</w:t>
      </w:r>
      <w:r>
        <w:rPr>
          <w:rFonts w:hint="eastAsia" w:cs="宋体" w:asciiTheme="minorEastAsia" w:hAnsiTheme="minorEastAsia" w:eastAsiaTheme="minorEastAsia"/>
          <w:color w:val="auto"/>
          <w:kern w:val="0"/>
          <w:szCs w:val="21"/>
          <w:highlight w:val="none"/>
          <w:u w:val="single"/>
          <w:lang w:val="en-US" w:eastAsia="zh-CN"/>
        </w:rPr>
        <w:t>9</w:t>
      </w:r>
      <w:r>
        <w:rPr>
          <w:rFonts w:hint="eastAsia" w:cs="宋体" w:asciiTheme="minorEastAsia" w:hAnsiTheme="minorEastAsia" w:eastAsiaTheme="minorEastAsia"/>
          <w:color w:val="auto"/>
          <w:kern w:val="0"/>
          <w:szCs w:val="21"/>
          <w:highlight w:val="none"/>
          <w:lang w:val="zh-CN"/>
        </w:rPr>
        <w:t>月</w:t>
      </w:r>
      <w:r>
        <w:rPr>
          <w:rFonts w:hint="eastAsia" w:cs="宋体" w:asciiTheme="minorEastAsia" w:hAnsiTheme="minorEastAsia" w:eastAsiaTheme="minorEastAsia"/>
          <w:color w:val="auto"/>
          <w:kern w:val="0"/>
          <w:szCs w:val="21"/>
          <w:highlight w:val="none"/>
          <w:u w:val="single"/>
          <w:lang w:val="en-US" w:eastAsia="zh-CN"/>
        </w:rPr>
        <w:t>26</w:t>
      </w:r>
      <w:r>
        <w:rPr>
          <w:rFonts w:hint="eastAsia" w:cs="宋体" w:asciiTheme="minorEastAsia" w:hAnsiTheme="minorEastAsia" w:eastAsiaTheme="minorEastAsia"/>
          <w:color w:val="auto"/>
          <w:kern w:val="0"/>
          <w:szCs w:val="21"/>
          <w:highlight w:val="none"/>
          <w:lang w:val="zh-CN"/>
        </w:rPr>
        <w:t>日</w:t>
      </w:r>
      <w:r>
        <w:rPr>
          <w:rFonts w:hint="eastAsia" w:cs="宋体" w:asciiTheme="minorEastAsia" w:hAnsiTheme="minorEastAsia" w:eastAsiaTheme="minorEastAsia"/>
          <w:color w:val="auto"/>
          <w:kern w:val="0"/>
          <w:szCs w:val="21"/>
          <w:highlight w:val="none"/>
          <w:u w:val="single"/>
          <w:lang w:val="en-US" w:eastAsia="zh-CN"/>
        </w:rPr>
        <w:t>9</w:t>
      </w:r>
      <w:r>
        <w:rPr>
          <w:rFonts w:hint="eastAsia" w:cs="宋体" w:asciiTheme="minorEastAsia" w:hAnsiTheme="minorEastAsia" w:eastAsiaTheme="minorEastAsia"/>
          <w:color w:val="auto"/>
          <w:kern w:val="0"/>
          <w:szCs w:val="21"/>
          <w:highlight w:val="none"/>
          <w:lang w:val="zh-CN"/>
        </w:rPr>
        <w:t>时</w:t>
      </w:r>
      <w:r>
        <w:rPr>
          <w:rFonts w:hint="eastAsia" w:cs="宋体" w:asciiTheme="minorEastAsia" w:hAnsiTheme="minorEastAsia" w:eastAsiaTheme="minorEastAsia"/>
          <w:color w:val="auto"/>
          <w:kern w:val="0"/>
          <w:szCs w:val="21"/>
          <w:highlight w:val="none"/>
          <w:u w:val="single"/>
          <w:lang w:val="en-US" w:eastAsia="zh-CN"/>
        </w:rPr>
        <w:t>0</w:t>
      </w:r>
      <w:r>
        <w:rPr>
          <w:rFonts w:hint="eastAsia" w:cs="宋体" w:asciiTheme="minorEastAsia" w:hAnsiTheme="minorEastAsia" w:eastAsiaTheme="minorEastAsia"/>
          <w:color w:val="auto"/>
          <w:kern w:val="0"/>
          <w:szCs w:val="21"/>
          <w:highlight w:val="none"/>
          <w:u w:val="single"/>
        </w:rPr>
        <w:t>0</w:t>
      </w:r>
      <w:r>
        <w:rPr>
          <w:rFonts w:hint="eastAsia" w:cs="宋体" w:asciiTheme="minorEastAsia" w:hAnsiTheme="minorEastAsia" w:eastAsiaTheme="minorEastAsia"/>
          <w:color w:val="auto"/>
          <w:kern w:val="0"/>
          <w:szCs w:val="21"/>
          <w:highlight w:val="none"/>
          <w:lang w:val="zh-CN"/>
        </w:rPr>
        <w:t>分</w:t>
      </w:r>
      <w:r>
        <w:rPr>
          <w:rFonts w:hint="eastAsia" w:cs="宋体" w:asciiTheme="minorEastAsia" w:hAnsiTheme="minorEastAsia" w:eastAsiaTheme="minorEastAsia"/>
          <w:color w:val="auto"/>
          <w:kern w:val="0"/>
          <w:szCs w:val="21"/>
          <w:highlight w:val="none"/>
          <w:u w:val="single"/>
          <w:lang w:val="zh-CN"/>
        </w:rPr>
        <w:t>0</w:t>
      </w:r>
      <w:r>
        <w:rPr>
          <w:rFonts w:cs="宋体" w:asciiTheme="minorEastAsia" w:hAnsiTheme="minorEastAsia" w:eastAsiaTheme="minorEastAsia"/>
          <w:color w:val="auto"/>
          <w:kern w:val="0"/>
          <w:szCs w:val="21"/>
          <w:highlight w:val="none"/>
          <w:u w:val="single"/>
          <w:lang w:val="zh-CN"/>
        </w:rPr>
        <w:t>0</w:t>
      </w:r>
      <w:r>
        <w:rPr>
          <w:rFonts w:hint="eastAsia" w:cs="宋体" w:asciiTheme="minorEastAsia" w:hAnsiTheme="minorEastAsia" w:eastAsiaTheme="minorEastAsia"/>
          <w:color w:val="auto"/>
          <w:kern w:val="0"/>
          <w:szCs w:val="21"/>
          <w:highlight w:val="none"/>
          <w:lang w:val="zh-CN"/>
        </w:rPr>
        <w:t>秒</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）电子</w:t>
      </w:r>
      <w:r>
        <w:rPr>
          <w:rFonts w:hint="eastAsia" w:ascii="宋体" w:hAnsi="宋体"/>
          <w:color w:val="auto"/>
          <w:highlight w:val="none"/>
          <w:lang w:val="en-US" w:eastAsia="zh-CN"/>
        </w:rPr>
        <w:t>响应</w:t>
      </w:r>
      <w:r>
        <w:rPr>
          <w:rFonts w:hint="eastAsia" w:ascii="宋体" w:hAnsi="宋体"/>
          <w:color w:val="auto"/>
          <w:highlight w:val="none"/>
        </w:rPr>
        <w:t>文件投标地点（网址）：杭州交投集中采购平台（cg.zjhzjtjt.com/）。</w:t>
      </w:r>
    </w:p>
    <w:p>
      <w:pPr>
        <w:autoSpaceDE w:val="0"/>
        <w:autoSpaceDN w:val="0"/>
        <w:adjustRightInd w:val="0"/>
        <w:snapToGrid w:val="0"/>
        <w:spacing w:line="360" w:lineRule="auto"/>
        <w:jc w:val="left"/>
        <w:rPr>
          <w:rFonts w:cs="宋体" w:asciiTheme="minorEastAsia" w:hAnsiTheme="minorEastAsia" w:eastAsiaTheme="minorEastAsia"/>
          <w:b/>
          <w:bCs/>
          <w:color w:val="auto"/>
          <w:kern w:val="0"/>
          <w:szCs w:val="21"/>
          <w:highlight w:val="none"/>
          <w:lang w:val="zh-CN"/>
        </w:rPr>
      </w:pPr>
      <w:r>
        <w:rPr>
          <w:rFonts w:hint="eastAsia" w:cs="宋体" w:asciiTheme="minorEastAsia" w:hAnsiTheme="minorEastAsia" w:eastAsiaTheme="minorEastAsia"/>
          <w:b/>
          <w:color w:val="auto"/>
          <w:szCs w:val="21"/>
          <w:highlight w:val="none"/>
          <w:lang w:val="zh-CN"/>
        </w:rPr>
        <w:t>十、</w:t>
      </w:r>
      <w:r>
        <w:rPr>
          <w:rFonts w:hint="eastAsia" w:cs="宋体" w:asciiTheme="minorEastAsia" w:hAnsiTheme="minorEastAsia" w:eastAsiaTheme="minorEastAsia"/>
          <w:b/>
          <w:bCs/>
          <w:color w:val="auto"/>
          <w:kern w:val="0"/>
          <w:szCs w:val="21"/>
          <w:highlight w:val="none"/>
          <w:lang w:val="zh-CN"/>
        </w:rPr>
        <w:t>开</w:t>
      </w:r>
      <w:r>
        <w:rPr>
          <w:rFonts w:hint="eastAsia" w:cs="宋体" w:asciiTheme="minorEastAsia" w:hAnsiTheme="minorEastAsia" w:eastAsiaTheme="minorEastAsia"/>
          <w:b/>
          <w:bCs/>
          <w:color w:val="auto"/>
          <w:kern w:val="0"/>
          <w:szCs w:val="21"/>
          <w:highlight w:val="none"/>
          <w:lang w:val="en-US" w:eastAsia="zh-CN"/>
        </w:rPr>
        <w:t>启</w:t>
      </w:r>
      <w:r>
        <w:rPr>
          <w:rFonts w:hint="eastAsia" w:cs="宋体" w:asciiTheme="minorEastAsia" w:hAnsiTheme="minorEastAsia" w:eastAsiaTheme="minorEastAsia"/>
          <w:b/>
          <w:bCs/>
          <w:color w:val="auto"/>
          <w:kern w:val="0"/>
          <w:szCs w:val="21"/>
          <w:highlight w:val="none"/>
          <w:lang w:val="zh-CN"/>
        </w:rPr>
        <w:t>时间与地点：</w:t>
      </w:r>
    </w:p>
    <w:p>
      <w:pPr>
        <w:pStyle w:val="17"/>
        <w:adjustRightInd w:val="0"/>
        <w:snapToGrid w:val="0"/>
        <w:spacing w:line="360" w:lineRule="auto"/>
        <w:ind w:firstLine="420" w:firstLineChars="200"/>
        <w:rPr>
          <w:rFonts w:cs="宋体" w:asciiTheme="minorEastAsia" w:hAnsiTheme="minorEastAsia" w:eastAsiaTheme="minorEastAsia"/>
          <w:bCs/>
          <w:color w:val="auto"/>
          <w:sz w:val="21"/>
          <w:szCs w:val="21"/>
          <w:highlight w:val="none"/>
          <w:lang w:val="zh-CN"/>
        </w:rPr>
      </w:pPr>
      <w:r>
        <w:rPr>
          <w:rFonts w:hint="eastAsia" w:ascii="宋体" w:hAnsi="宋体"/>
          <w:color w:val="auto"/>
          <w:sz w:val="21"/>
          <w:szCs w:val="21"/>
          <w:highlight w:val="none"/>
        </w:rPr>
        <w:t>（1）</w:t>
      </w:r>
      <w:r>
        <w:rPr>
          <w:rFonts w:hint="eastAsia" w:cs="宋体" w:asciiTheme="minorEastAsia" w:hAnsiTheme="minorEastAsia" w:eastAsiaTheme="minorEastAsia"/>
          <w:bCs/>
          <w:color w:val="auto"/>
          <w:sz w:val="21"/>
          <w:szCs w:val="21"/>
          <w:highlight w:val="none"/>
          <w:lang w:val="zh-CN"/>
        </w:rPr>
        <w:t>开</w:t>
      </w:r>
      <w:r>
        <w:rPr>
          <w:rFonts w:hint="eastAsia" w:cs="宋体" w:asciiTheme="minorEastAsia" w:hAnsiTheme="minorEastAsia" w:eastAsiaTheme="minorEastAsia"/>
          <w:bCs/>
          <w:color w:val="auto"/>
          <w:sz w:val="21"/>
          <w:szCs w:val="21"/>
          <w:highlight w:val="none"/>
          <w:lang w:val="en-US" w:eastAsia="zh-CN"/>
        </w:rPr>
        <w:t>启</w:t>
      </w:r>
      <w:r>
        <w:rPr>
          <w:rFonts w:hint="eastAsia" w:cs="宋体" w:asciiTheme="minorEastAsia" w:hAnsiTheme="minorEastAsia" w:eastAsiaTheme="minorEastAsia"/>
          <w:bCs/>
          <w:color w:val="auto"/>
          <w:sz w:val="21"/>
          <w:szCs w:val="21"/>
          <w:highlight w:val="none"/>
          <w:lang w:val="zh-CN"/>
        </w:rPr>
        <w:t>时间：</w:t>
      </w:r>
      <w:r>
        <w:rPr>
          <w:rFonts w:hint="eastAsia" w:cs="宋体" w:asciiTheme="minorEastAsia" w:hAnsiTheme="minorEastAsia" w:eastAsiaTheme="minorEastAsia"/>
          <w:color w:val="auto"/>
          <w:kern w:val="0"/>
          <w:sz w:val="21"/>
          <w:szCs w:val="21"/>
          <w:highlight w:val="none"/>
          <w:u w:val="single"/>
          <w:lang w:val="en-US" w:eastAsia="zh-CN"/>
        </w:rPr>
        <w:t>2024</w:t>
      </w:r>
      <w:r>
        <w:rPr>
          <w:rFonts w:hint="eastAsia" w:cs="宋体" w:asciiTheme="minorEastAsia" w:hAnsiTheme="minorEastAsia" w:eastAsiaTheme="minorEastAsia"/>
          <w:color w:val="auto"/>
          <w:kern w:val="0"/>
          <w:sz w:val="21"/>
          <w:szCs w:val="21"/>
          <w:highlight w:val="none"/>
          <w:lang w:val="zh-CN"/>
        </w:rPr>
        <w:t>年</w:t>
      </w:r>
      <w:r>
        <w:rPr>
          <w:rFonts w:hint="eastAsia" w:cs="宋体" w:asciiTheme="minorEastAsia" w:hAnsiTheme="minorEastAsia" w:eastAsiaTheme="minorEastAsia"/>
          <w:color w:val="auto"/>
          <w:kern w:val="0"/>
          <w:sz w:val="21"/>
          <w:szCs w:val="21"/>
          <w:highlight w:val="none"/>
          <w:u w:val="single"/>
          <w:lang w:val="en-US" w:eastAsia="zh-CN"/>
        </w:rPr>
        <w:t>9</w:t>
      </w:r>
      <w:r>
        <w:rPr>
          <w:rFonts w:hint="eastAsia" w:cs="宋体" w:asciiTheme="minorEastAsia" w:hAnsiTheme="minorEastAsia" w:eastAsiaTheme="minorEastAsia"/>
          <w:color w:val="auto"/>
          <w:kern w:val="0"/>
          <w:sz w:val="21"/>
          <w:szCs w:val="21"/>
          <w:highlight w:val="none"/>
          <w:lang w:val="zh-CN"/>
        </w:rPr>
        <w:t>月</w:t>
      </w:r>
      <w:r>
        <w:rPr>
          <w:rFonts w:hint="eastAsia" w:cs="宋体" w:asciiTheme="minorEastAsia" w:hAnsiTheme="minorEastAsia" w:eastAsiaTheme="minorEastAsia"/>
          <w:color w:val="auto"/>
          <w:kern w:val="0"/>
          <w:sz w:val="21"/>
          <w:szCs w:val="21"/>
          <w:highlight w:val="none"/>
          <w:u w:val="single"/>
          <w:lang w:val="en-US" w:eastAsia="zh-CN"/>
        </w:rPr>
        <w:t>26</w:t>
      </w:r>
      <w:r>
        <w:rPr>
          <w:rFonts w:hint="eastAsia" w:cs="宋体" w:asciiTheme="minorEastAsia" w:hAnsiTheme="minorEastAsia" w:eastAsiaTheme="minorEastAsia"/>
          <w:color w:val="auto"/>
          <w:kern w:val="0"/>
          <w:sz w:val="21"/>
          <w:szCs w:val="21"/>
          <w:highlight w:val="none"/>
          <w:lang w:val="zh-CN"/>
        </w:rPr>
        <w:t>日</w:t>
      </w:r>
      <w:r>
        <w:rPr>
          <w:rFonts w:hint="eastAsia" w:cs="宋体" w:asciiTheme="minorEastAsia" w:hAnsiTheme="minorEastAsia" w:eastAsiaTheme="minorEastAsia"/>
          <w:color w:val="auto"/>
          <w:kern w:val="0"/>
          <w:sz w:val="21"/>
          <w:szCs w:val="21"/>
          <w:highlight w:val="none"/>
          <w:u w:val="single"/>
          <w:lang w:val="en-US" w:eastAsia="zh-CN"/>
        </w:rPr>
        <w:t>9</w:t>
      </w:r>
      <w:r>
        <w:rPr>
          <w:rFonts w:hint="eastAsia" w:cs="宋体" w:asciiTheme="minorEastAsia" w:hAnsiTheme="minorEastAsia" w:eastAsiaTheme="minorEastAsia"/>
          <w:color w:val="auto"/>
          <w:kern w:val="0"/>
          <w:sz w:val="21"/>
          <w:szCs w:val="21"/>
          <w:highlight w:val="none"/>
          <w:lang w:val="zh-CN"/>
        </w:rPr>
        <w:t>时</w:t>
      </w:r>
      <w:r>
        <w:rPr>
          <w:rFonts w:hint="eastAsia" w:cs="宋体" w:asciiTheme="minorEastAsia" w:hAnsiTheme="minorEastAsia" w:eastAsiaTheme="minorEastAsia"/>
          <w:color w:val="auto"/>
          <w:kern w:val="0"/>
          <w:sz w:val="21"/>
          <w:szCs w:val="21"/>
          <w:highlight w:val="none"/>
          <w:u w:val="single"/>
          <w:lang w:val="en-US" w:eastAsia="zh-CN"/>
        </w:rPr>
        <w:t>0</w:t>
      </w:r>
      <w:r>
        <w:rPr>
          <w:rFonts w:hint="eastAsia" w:cs="宋体" w:asciiTheme="minorEastAsia" w:hAnsiTheme="minorEastAsia" w:eastAsiaTheme="minorEastAsia"/>
          <w:color w:val="auto"/>
          <w:kern w:val="0"/>
          <w:sz w:val="21"/>
          <w:szCs w:val="21"/>
          <w:highlight w:val="none"/>
          <w:u w:val="single"/>
        </w:rPr>
        <w:t>0</w:t>
      </w:r>
      <w:r>
        <w:rPr>
          <w:rFonts w:hint="eastAsia" w:cs="宋体" w:asciiTheme="minorEastAsia" w:hAnsiTheme="minorEastAsia" w:eastAsiaTheme="minorEastAsia"/>
          <w:color w:val="auto"/>
          <w:kern w:val="0"/>
          <w:sz w:val="21"/>
          <w:szCs w:val="21"/>
          <w:highlight w:val="none"/>
          <w:lang w:val="zh-CN"/>
        </w:rPr>
        <w:t>分</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w:t>
      </w:r>
      <w:r>
        <w:rPr>
          <w:rFonts w:hint="eastAsia" w:cs="宋体" w:asciiTheme="minorEastAsia" w:hAnsiTheme="minorEastAsia" w:eastAsiaTheme="minorEastAsia"/>
          <w:bCs/>
          <w:color w:val="auto"/>
          <w:kern w:val="2"/>
          <w:sz w:val="21"/>
          <w:szCs w:val="21"/>
          <w:highlight w:val="none"/>
          <w:lang w:val="zh-CN" w:eastAsia="zh-CN" w:bidi="ar-SA"/>
        </w:rPr>
        <w:t>开</w:t>
      </w:r>
      <w:r>
        <w:rPr>
          <w:rFonts w:hint="eastAsia" w:cs="宋体" w:asciiTheme="minorEastAsia" w:hAnsiTheme="minorEastAsia" w:eastAsiaTheme="minorEastAsia"/>
          <w:bCs/>
          <w:color w:val="auto"/>
          <w:kern w:val="2"/>
          <w:sz w:val="21"/>
          <w:szCs w:val="21"/>
          <w:highlight w:val="none"/>
          <w:lang w:val="en-US" w:eastAsia="zh-CN" w:bidi="ar-SA"/>
        </w:rPr>
        <w:t>启</w:t>
      </w:r>
      <w:r>
        <w:rPr>
          <w:rFonts w:hint="eastAsia" w:cs="宋体" w:asciiTheme="minorEastAsia" w:hAnsiTheme="minorEastAsia" w:eastAsiaTheme="minorEastAsia"/>
          <w:bCs/>
          <w:color w:val="auto"/>
          <w:kern w:val="2"/>
          <w:sz w:val="21"/>
          <w:szCs w:val="21"/>
          <w:highlight w:val="none"/>
          <w:lang w:val="zh-CN" w:eastAsia="zh-CN" w:bidi="ar-SA"/>
        </w:rPr>
        <w:t>地点（网址）：杭州交投集中采购平台（cg.zjhzjtjt.c</w:t>
      </w:r>
      <w:bookmarkStart w:id="110" w:name="_GoBack"/>
      <w:bookmarkEnd w:id="110"/>
      <w:r>
        <w:rPr>
          <w:rFonts w:hint="eastAsia" w:cs="宋体" w:asciiTheme="minorEastAsia" w:hAnsiTheme="minorEastAsia" w:eastAsiaTheme="minorEastAsia"/>
          <w:bCs/>
          <w:color w:val="auto"/>
          <w:kern w:val="2"/>
          <w:sz w:val="21"/>
          <w:szCs w:val="21"/>
          <w:highlight w:val="none"/>
          <w:lang w:val="zh-CN" w:eastAsia="zh-CN" w:bidi="ar-SA"/>
        </w:rPr>
        <w:t>om/）</w:t>
      </w:r>
    </w:p>
    <w:p>
      <w:pPr>
        <w:autoSpaceDE w:val="0"/>
        <w:autoSpaceDN w:val="0"/>
        <w:adjustRightInd w:val="0"/>
        <w:snapToGrid w:val="0"/>
        <w:spacing w:line="360" w:lineRule="auto"/>
        <w:jc w:val="left"/>
        <w:rPr>
          <w:rFonts w:cs="宋体" w:asciiTheme="minorEastAsia" w:hAnsiTheme="minorEastAsia" w:eastAsiaTheme="minorEastAsia"/>
          <w:b/>
          <w:bCs/>
          <w:color w:val="auto"/>
          <w:kern w:val="0"/>
          <w:szCs w:val="21"/>
          <w:highlight w:val="none"/>
          <w:lang w:val="zh-CN"/>
        </w:rPr>
      </w:pPr>
      <w:r>
        <w:rPr>
          <w:rFonts w:hint="eastAsia" w:cs="宋体" w:asciiTheme="minorEastAsia" w:hAnsiTheme="minorEastAsia" w:eastAsiaTheme="minorEastAsia"/>
          <w:b/>
          <w:bCs/>
          <w:color w:val="auto"/>
          <w:kern w:val="0"/>
          <w:szCs w:val="21"/>
          <w:highlight w:val="none"/>
          <w:lang w:val="zh-CN"/>
        </w:rPr>
        <w:t>十一、磋商保证金及交付方式：</w:t>
      </w:r>
    </w:p>
    <w:p>
      <w:pPr>
        <w:numPr>
          <w:ilvl w:val="0"/>
          <w:numId w:val="0"/>
        </w:numPr>
        <w:tabs>
          <w:tab w:val="left" w:pos="0"/>
        </w:tabs>
        <w:snapToGrid w:val="0"/>
        <w:spacing w:beforeLines="0" w:after="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保证金：</w:t>
      </w:r>
      <w:r>
        <w:rPr>
          <w:rFonts w:hint="eastAsia" w:ascii="宋体" w:hAnsi="宋体" w:cs="宋体"/>
          <w:color w:val="auto"/>
          <w:sz w:val="21"/>
          <w:szCs w:val="21"/>
          <w:highlight w:val="none"/>
          <w:lang w:val="en-US" w:eastAsia="zh-CN"/>
        </w:rPr>
        <w:t>/</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十二、发布公告网站</w:t>
      </w: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本项目相关公告在</w:t>
      </w:r>
      <w:r>
        <w:rPr>
          <w:rFonts w:hint="eastAsia" w:ascii="宋体" w:hAnsi="宋体" w:cs="宋体"/>
          <w:color w:val="auto"/>
          <w:highlight w:val="none"/>
        </w:rPr>
        <w:t>杭州交投集中采购平台（cg.zjhzjtjt.com/）</w:t>
      </w:r>
      <w:r>
        <w:rPr>
          <w:rFonts w:hint="eastAsia" w:ascii="宋体" w:hAnsi="宋体"/>
          <w:color w:val="auto"/>
          <w:highlight w:val="none"/>
        </w:rPr>
        <w:t>，如公告内容不一致的以</w:t>
      </w:r>
      <w:r>
        <w:rPr>
          <w:rFonts w:hint="eastAsia" w:ascii="宋体" w:hAnsi="宋体" w:cs="宋体"/>
          <w:color w:val="auto"/>
          <w:highlight w:val="none"/>
        </w:rPr>
        <w:t>杭州交投集中采购平台</w:t>
      </w:r>
      <w:r>
        <w:rPr>
          <w:rFonts w:hint="eastAsia" w:ascii="宋体" w:hAnsi="宋体"/>
          <w:color w:val="auto"/>
          <w:highlight w:val="none"/>
        </w:rPr>
        <w:t>发布的信息为准。</w:t>
      </w:r>
    </w:p>
    <w:p>
      <w:pPr>
        <w:adjustRightInd w:val="0"/>
        <w:snapToGrid w:val="0"/>
        <w:spacing w:line="360" w:lineRule="auto"/>
        <w:rPr>
          <w:rFonts w:ascii="宋体" w:hAnsi="宋体" w:cs="宋体"/>
          <w:b/>
          <w:bCs/>
          <w:color w:val="auto"/>
          <w:kern w:val="0"/>
          <w:szCs w:val="21"/>
          <w:highlight w:val="none"/>
          <w:lang w:val="zh-CN"/>
        </w:rPr>
      </w:pPr>
      <w:r>
        <w:rPr>
          <w:rFonts w:hint="eastAsia" w:ascii="宋体" w:hAnsi="宋体" w:cs="宋体"/>
          <w:b/>
          <w:color w:val="auto"/>
          <w:kern w:val="0"/>
          <w:szCs w:val="21"/>
          <w:highlight w:val="none"/>
        </w:rPr>
        <w:t>十四、联系方式</w:t>
      </w:r>
    </w:p>
    <w:p>
      <w:pPr>
        <w:pStyle w:val="147"/>
        <w:tabs>
          <w:tab w:val="left" w:pos="7919"/>
        </w:tabs>
        <w:adjustRightInd w:val="0"/>
        <w:snapToGrid w:val="0"/>
        <w:spacing w:before="0" w:beforeAutospacing="0" w:after="0" w:afterAutospacing="0"/>
        <w:ind w:firstLine="420" w:firstLineChars="200"/>
        <w:rPr>
          <w:rFonts w:hint="eastAsia" w:ascii="宋体" w:hAnsi="宋体" w:eastAsia="宋体" w:cs="Arial"/>
          <w:color w:val="auto"/>
          <w:sz w:val="21"/>
          <w:szCs w:val="21"/>
          <w:highlight w:val="none"/>
          <w:lang w:val="en-US" w:eastAsia="zh-CN"/>
        </w:rPr>
      </w:pPr>
      <w:r>
        <w:rPr>
          <w:rFonts w:hint="eastAsia" w:ascii="宋体" w:hAnsi="宋体" w:cs="Arial"/>
          <w:color w:val="auto"/>
          <w:sz w:val="21"/>
          <w:szCs w:val="21"/>
          <w:highlight w:val="none"/>
        </w:rPr>
        <w:t>采购人</w:t>
      </w:r>
      <w:r>
        <w:rPr>
          <w:rFonts w:hint="eastAsia" w:ascii="宋体" w:hAnsi="宋体" w:eastAsia="宋体" w:cs="Arial"/>
          <w:color w:val="auto"/>
          <w:sz w:val="21"/>
          <w:szCs w:val="21"/>
          <w:highlight w:val="none"/>
        </w:rPr>
        <w:t>：</w:t>
      </w:r>
      <w:r>
        <w:rPr>
          <w:rFonts w:hint="eastAsia" w:ascii="宋体" w:hAnsi="宋体" w:eastAsia="宋体" w:cs="Arial"/>
          <w:color w:val="auto"/>
          <w:sz w:val="21"/>
          <w:szCs w:val="21"/>
          <w:highlight w:val="none"/>
          <w:lang w:val="en-US" w:eastAsia="zh-CN"/>
        </w:rPr>
        <w:t>杭州路达公路工程有限公司</w:t>
      </w:r>
    </w:p>
    <w:p>
      <w:pPr>
        <w:pStyle w:val="147"/>
        <w:tabs>
          <w:tab w:val="left" w:pos="7919"/>
        </w:tabs>
        <w:adjustRightInd w:val="0"/>
        <w:snapToGrid w:val="0"/>
        <w:spacing w:before="0" w:beforeAutospacing="0" w:after="0" w:afterAutospacing="0"/>
        <w:ind w:firstLine="420" w:firstLineChars="200"/>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地址：</w:t>
      </w:r>
      <w:r>
        <w:rPr>
          <w:rFonts w:hint="default" w:ascii="宋体" w:hAnsi="宋体" w:eastAsia="宋体" w:cs="Arial"/>
          <w:color w:val="auto"/>
          <w:sz w:val="21"/>
          <w:szCs w:val="21"/>
          <w:highlight w:val="none"/>
          <w:lang w:val="en-US" w:eastAsia="zh-CN"/>
        </w:rPr>
        <w:t>杭州市</w:t>
      </w:r>
      <w:r>
        <w:rPr>
          <w:rFonts w:hint="eastAsia" w:ascii="宋体" w:hAnsi="宋体" w:eastAsia="宋体" w:cs="Arial"/>
          <w:color w:val="auto"/>
          <w:sz w:val="21"/>
          <w:szCs w:val="21"/>
          <w:highlight w:val="none"/>
          <w:lang w:val="en-US" w:eastAsia="zh-CN"/>
        </w:rPr>
        <w:t>西湖区转塘街道桕联村桕树地103号</w:t>
      </w:r>
    </w:p>
    <w:p>
      <w:pPr>
        <w:pStyle w:val="147"/>
        <w:tabs>
          <w:tab w:val="left" w:pos="7919"/>
        </w:tabs>
        <w:adjustRightInd w:val="0"/>
        <w:snapToGrid w:val="0"/>
        <w:spacing w:before="0" w:beforeAutospacing="0" w:after="0" w:afterAutospacing="0"/>
        <w:ind w:firstLine="420" w:firstLineChars="200"/>
        <w:rPr>
          <w:rFonts w:hint="eastAsia" w:ascii="宋体" w:hAnsi="宋体" w:eastAsia="宋体" w:cs="Arial"/>
          <w:color w:val="auto"/>
          <w:sz w:val="21"/>
          <w:szCs w:val="21"/>
          <w:highlight w:val="none"/>
        </w:rPr>
      </w:pPr>
      <w:r>
        <w:rPr>
          <w:rFonts w:hint="eastAsia" w:ascii="宋体" w:hAnsi="宋体" w:eastAsia="宋体" w:cs="Arial"/>
          <w:color w:val="auto"/>
          <w:sz w:val="21"/>
          <w:szCs w:val="21"/>
          <w:highlight w:val="none"/>
        </w:rPr>
        <w:t>联系人：</w:t>
      </w:r>
      <w:r>
        <w:rPr>
          <w:rFonts w:hint="default" w:ascii="宋体" w:hAnsi="宋体" w:eastAsia="宋体" w:cs="Arial"/>
          <w:color w:val="auto"/>
          <w:sz w:val="21"/>
          <w:szCs w:val="21"/>
          <w:highlight w:val="none"/>
        </w:rPr>
        <w:t>杜海挺</w:t>
      </w:r>
    </w:p>
    <w:p>
      <w:pPr>
        <w:pStyle w:val="147"/>
        <w:tabs>
          <w:tab w:val="left" w:pos="7919"/>
        </w:tabs>
        <w:adjustRightInd w:val="0"/>
        <w:snapToGrid w:val="0"/>
        <w:spacing w:before="0" w:beforeAutospacing="0" w:after="0" w:afterAutospacing="0"/>
        <w:ind w:firstLine="420" w:firstLineChars="200"/>
        <w:rPr>
          <w:rFonts w:hint="default" w:ascii="宋体" w:hAnsi="宋体" w:eastAsia="宋体" w:cs="Arial"/>
          <w:color w:val="auto"/>
          <w:sz w:val="21"/>
          <w:szCs w:val="21"/>
          <w:highlight w:val="none"/>
        </w:rPr>
      </w:pPr>
      <w:r>
        <w:rPr>
          <w:rFonts w:hint="eastAsia" w:ascii="宋体" w:hAnsi="宋体" w:eastAsia="宋体" w:cs="Arial"/>
          <w:color w:val="auto"/>
          <w:sz w:val="21"/>
          <w:szCs w:val="21"/>
          <w:highlight w:val="none"/>
        </w:rPr>
        <w:t>联系方式：</w:t>
      </w:r>
      <w:r>
        <w:rPr>
          <w:rFonts w:hint="eastAsia" w:ascii="宋体" w:hAnsi="宋体" w:eastAsia="宋体" w:cs="Arial"/>
          <w:color w:val="auto"/>
          <w:sz w:val="21"/>
          <w:szCs w:val="21"/>
          <w:highlight w:val="none"/>
          <w:lang w:val="en-US" w:eastAsia="zh-CN"/>
        </w:rPr>
        <w:t>13736155367</w:t>
      </w:r>
    </w:p>
    <w:p>
      <w:pPr>
        <w:adjustRightInd w:val="0"/>
        <w:snapToGrid w:val="0"/>
        <w:spacing w:line="360" w:lineRule="auto"/>
        <w:ind w:right="480"/>
        <w:jc w:val="center"/>
        <w:rPr>
          <w:rFonts w:ascii="宋体" w:hAnsi="宋体" w:cs="宋体"/>
          <w:b/>
          <w:color w:val="auto"/>
          <w:sz w:val="32"/>
          <w:highlight w:val="none"/>
        </w:rPr>
      </w:pPr>
      <w:r>
        <w:rPr>
          <w:rFonts w:hint="eastAsia" w:ascii="宋体" w:hAnsi="宋体" w:cs="宋体"/>
          <w:color w:val="auto"/>
          <w:sz w:val="24"/>
          <w:highlight w:val="none"/>
        </w:rPr>
        <w:br w:type="page"/>
      </w:r>
      <w:r>
        <w:rPr>
          <w:rFonts w:hint="eastAsia" w:ascii="宋体" w:hAnsi="宋体" w:cs="宋体"/>
          <w:b/>
          <w:color w:val="auto"/>
          <w:sz w:val="32"/>
          <w:highlight w:val="none"/>
        </w:rPr>
        <w:t>前附表</w:t>
      </w:r>
      <w:bookmarkEnd w:id="4"/>
      <w:bookmarkStart w:id="9" w:name="_Toc183786414"/>
      <w:bookmarkStart w:id="10" w:name="_Toc118516210"/>
      <w:bookmarkStart w:id="11" w:name="_Toc171394914"/>
    </w:p>
    <w:tbl>
      <w:tblPr>
        <w:tblStyle w:val="33"/>
        <w:tblW w:w="87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988"/>
        <w:gridCol w:w="58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序号</w:t>
            </w:r>
          </w:p>
        </w:tc>
        <w:tc>
          <w:tcPr>
            <w:tcW w:w="1988" w:type="dxa"/>
            <w:noWrap/>
            <w:vAlign w:val="center"/>
          </w:tcPr>
          <w:p>
            <w:pPr>
              <w:pStyle w:val="43"/>
              <w:snapToGrid w:val="0"/>
              <w:spacing w:line="360" w:lineRule="auto"/>
              <w:ind w:firstLine="0" w:firstLineChars="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名称</w:t>
            </w:r>
          </w:p>
        </w:tc>
        <w:tc>
          <w:tcPr>
            <w:tcW w:w="5890" w:type="dxa"/>
            <w:noWrap/>
            <w:vAlign w:val="center"/>
          </w:tcPr>
          <w:p>
            <w:pPr>
              <w:pStyle w:val="43"/>
              <w:snapToGrid w:val="0"/>
              <w:spacing w:line="360" w:lineRule="auto"/>
              <w:ind w:firstLine="0" w:firstLineChars="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1</w:t>
            </w:r>
          </w:p>
        </w:tc>
        <w:tc>
          <w:tcPr>
            <w:tcW w:w="1988" w:type="dxa"/>
            <w:noWrap/>
            <w:vAlign w:val="center"/>
          </w:tcPr>
          <w:p>
            <w:pPr>
              <w:pStyle w:val="43"/>
              <w:snapToGrid w:val="0"/>
              <w:spacing w:line="360" w:lineRule="auto"/>
              <w:ind w:firstLine="0" w:firstLineChars="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采购人</w:t>
            </w:r>
          </w:p>
        </w:tc>
        <w:tc>
          <w:tcPr>
            <w:tcW w:w="5890" w:type="dxa"/>
            <w:noWrap/>
            <w:vAlign w:val="center"/>
          </w:tcPr>
          <w:p>
            <w:pPr>
              <w:widowControl/>
              <w:snapToGrid w:val="0"/>
              <w:spacing w:line="360" w:lineRule="auto"/>
              <w:jc w:val="left"/>
              <w:rPr>
                <w:rFonts w:hint="default" w:ascii="宋体" w:hAnsi="宋体" w:cs="宋体"/>
                <w:color w:val="auto"/>
                <w:szCs w:val="21"/>
                <w:highlight w:val="none"/>
                <w:lang w:eastAsia="zh-CN"/>
              </w:rPr>
            </w:pPr>
            <w:r>
              <w:rPr>
                <w:rFonts w:hint="eastAsia" w:ascii="宋体" w:hAnsi="宋体" w:cs="宋体"/>
                <w:color w:val="auto"/>
                <w:szCs w:val="21"/>
                <w:highlight w:val="none"/>
              </w:rPr>
              <w:t>采购人：</w:t>
            </w:r>
            <w:r>
              <w:rPr>
                <w:rFonts w:hint="default" w:ascii="宋体" w:hAnsi="宋体" w:cs="宋体"/>
                <w:color w:val="auto"/>
                <w:szCs w:val="21"/>
                <w:highlight w:val="none"/>
              </w:rPr>
              <w:t>杭州路达公路工程有限公司</w:t>
            </w:r>
          </w:p>
          <w:p>
            <w:pPr>
              <w:widowControl/>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rPr>
              <w:t>采购人地址：</w:t>
            </w:r>
            <w:r>
              <w:rPr>
                <w:rFonts w:hint="default" w:ascii="宋体" w:hAnsi="宋体" w:eastAsia="宋体" w:cs="宋体"/>
                <w:color w:val="auto"/>
                <w:szCs w:val="21"/>
                <w:highlight w:val="none"/>
                <w:lang w:val="en-US" w:eastAsia="zh-CN"/>
              </w:rPr>
              <w:t>杭州市</w:t>
            </w:r>
            <w:r>
              <w:rPr>
                <w:rFonts w:hint="eastAsia" w:ascii="宋体" w:hAnsi="宋体" w:eastAsia="宋体" w:cs="宋体"/>
                <w:color w:val="auto"/>
                <w:szCs w:val="21"/>
                <w:highlight w:val="none"/>
                <w:lang w:val="en-US" w:eastAsia="zh-CN"/>
              </w:rPr>
              <w:t>西湖区转塘街道桕联村桕树地103号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default" w:ascii="宋体" w:hAnsi="宋体" w:cs="宋体"/>
                <w:color w:val="auto"/>
                <w:szCs w:val="21"/>
                <w:highlight w:val="none"/>
              </w:rPr>
              <w:t>杜海挺</w:t>
            </w:r>
          </w:p>
          <w:p>
            <w:pPr>
              <w:spacing w:line="360" w:lineRule="auto"/>
              <w:rPr>
                <w:rFonts w:hint="default" w:ascii="宋体" w:hAnsi="宋体" w:cs="宋体"/>
                <w:color w:val="auto"/>
                <w:szCs w:val="21"/>
                <w:highlight w:val="none"/>
              </w:rPr>
            </w:pPr>
            <w:r>
              <w:rPr>
                <w:rFonts w:hint="eastAsia" w:ascii="宋体" w:hAnsi="宋体" w:cs="宋体"/>
                <w:color w:val="auto"/>
                <w:szCs w:val="21"/>
                <w:highlight w:val="none"/>
              </w:rPr>
              <w:t>联系电话：</w:t>
            </w:r>
            <w:r>
              <w:rPr>
                <w:rFonts w:hint="default" w:ascii="宋体" w:hAnsi="宋体" w:cs="宋体"/>
                <w:color w:val="auto"/>
                <w:szCs w:val="21"/>
                <w:highlight w:val="none"/>
              </w:rPr>
              <w:t>13736155367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2</w:t>
            </w:r>
          </w:p>
        </w:tc>
        <w:tc>
          <w:tcPr>
            <w:tcW w:w="1988" w:type="dxa"/>
            <w:noWrap/>
            <w:vAlign w:val="center"/>
          </w:tcPr>
          <w:p>
            <w:pPr>
              <w:pStyle w:val="43"/>
              <w:snapToGrid w:val="0"/>
              <w:spacing w:line="360" w:lineRule="auto"/>
              <w:ind w:firstLine="0" w:firstLineChars="0"/>
              <w:jc w:val="left"/>
              <w:rPr>
                <w:rFonts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rPr>
              <w:t>踏勘现场</w:t>
            </w:r>
          </w:p>
        </w:tc>
        <w:tc>
          <w:tcPr>
            <w:tcW w:w="5890" w:type="dxa"/>
            <w:noWrap/>
            <w:vAlign w:val="center"/>
          </w:tcPr>
          <w:p>
            <w:pPr>
              <w:spacing w:line="360" w:lineRule="auto"/>
              <w:rPr>
                <w:rFonts w:hint="default" w:ascii="宋体" w:hAnsi="宋体" w:eastAsia="宋体" w:cs="宋体"/>
                <w:snapToGrid w:val="0"/>
                <w:color w:val="auto"/>
                <w:sz w:val="21"/>
                <w:highlight w:val="none"/>
                <w:lang w:val="en-US" w:eastAsia="zh-CN" w:bidi="ar-SA"/>
              </w:rPr>
            </w:pPr>
            <w:r>
              <w:rPr>
                <w:rFonts w:hint="eastAsia" w:ascii="宋体" w:hAnsi="宋体" w:cs="宋体"/>
                <w:bCs/>
                <w:color w:val="auto"/>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3</w:t>
            </w:r>
          </w:p>
        </w:tc>
        <w:tc>
          <w:tcPr>
            <w:tcW w:w="1988" w:type="dxa"/>
            <w:noWrap/>
            <w:vAlign w:val="center"/>
          </w:tcPr>
          <w:p>
            <w:pPr>
              <w:pStyle w:val="43"/>
              <w:snapToGrid w:val="0"/>
              <w:spacing w:line="360" w:lineRule="auto"/>
              <w:ind w:firstLine="0" w:firstLineChars="0"/>
              <w:jc w:val="left"/>
              <w:rPr>
                <w:rFonts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rPr>
              <w:t>资金来源</w:t>
            </w:r>
          </w:p>
        </w:tc>
        <w:tc>
          <w:tcPr>
            <w:tcW w:w="5890" w:type="dxa"/>
            <w:noWrap/>
            <w:vAlign w:val="center"/>
          </w:tcPr>
          <w:p>
            <w:pPr>
              <w:autoSpaceDE w:val="0"/>
              <w:autoSpaceDN w:val="0"/>
              <w:adjustRightInd w:val="0"/>
              <w:snapToGrid w:val="0"/>
              <w:spacing w:line="360" w:lineRule="auto"/>
              <w:ind w:right="105" w:rightChars="50"/>
              <w:rPr>
                <w:rFonts w:hint="default"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4</w:t>
            </w:r>
          </w:p>
        </w:tc>
        <w:tc>
          <w:tcPr>
            <w:tcW w:w="1988" w:type="dxa"/>
            <w:noWrap/>
            <w:vAlign w:val="center"/>
          </w:tcPr>
          <w:p>
            <w:pPr>
              <w:pStyle w:val="43"/>
              <w:snapToGrid w:val="0"/>
              <w:spacing w:line="360" w:lineRule="auto"/>
              <w:ind w:firstLine="0" w:firstLineChars="0"/>
              <w:jc w:val="left"/>
              <w:rPr>
                <w:rFonts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lang w:val="en-US" w:eastAsia="zh-CN"/>
              </w:rPr>
              <w:t>磋商</w:t>
            </w:r>
            <w:r>
              <w:rPr>
                <w:rFonts w:hint="eastAsia" w:ascii="宋体" w:hAnsi="宋体" w:cs="宋体"/>
                <w:snapToGrid w:val="0"/>
                <w:color w:val="auto"/>
                <w:szCs w:val="21"/>
                <w:highlight w:val="none"/>
              </w:rPr>
              <w:t>保证金</w:t>
            </w:r>
          </w:p>
        </w:tc>
        <w:tc>
          <w:tcPr>
            <w:tcW w:w="5890" w:type="dxa"/>
            <w:noWrap/>
            <w:vAlign w:val="center"/>
          </w:tcPr>
          <w:p>
            <w:pPr>
              <w:pStyle w:val="43"/>
              <w:snapToGrid w:val="0"/>
              <w:spacing w:line="360" w:lineRule="auto"/>
              <w:ind w:firstLine="0" w:firstLineChars="0"/>
              <w:rPr>
                <w:rFonts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rPr>
              <w:t>按“竞争性磋商公告”规定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5</w:t>
            </w:r>
          </w:p>
        </w:tc>
        <w:tc>
          <w:tcPr>
            <w:tcW w:w="1988" w:type="dxa"/>
            <w:noWrap/>
            <w:vAlign w:val="center"/>
          </w:tcPr>
          <w:p>
            <w:pPr>
              <w:pStyle w:val="43"/>
              <w:snapToGrid w:val="0"/>
              <w:spacing w:line="360" w:lineRule="auto"/>
              <w:ind w:firstLine="0" w:firstLineChars="0"/>
              <w:jc w:val="left"/>
              <w:rPr>
                <w:rFonts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rPr>
              <w:t>响应文件有效期</w:t>
            </w:r>
          </w:p>
        </w:tc>
        <w:tc>
          <w:tcPr>
            <w:tcW w:w="5890" w:type="dxa"/>
            <w:noWrap/>
            <w:vAlign w:val="center"/>
          </w:tcPr>
          <w:p>
            <w:pPr>
              <w:widowControl/>
              <w:snapToGrid w:val="0"/>
              <w:spacing w:line="360" w:lineRule="auto"/>
              <w:rPr>
                <w:rFonts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rPr>
              <w:t>自响应截止时间起90天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6</w:t>
            </w:r>
          </w:p>
        </w:tc>
        <w:tc>
          <w:tcPr>
            <w:tcW w:w="1988" w:type="dxa"/>
            <w:noWrap/>
            <w:vAlign w:val="center"/>
          </w:tcPr>
          <w:p>
            <w:pPr>
              <w:pStyle w:val="43"/>
              <w:snapToGrid w:val="0"/>
              <w:spacing w:line="360" w:lineRule="auto"/>
              <w:ind w:firstLine="0" w:firstLineChars="0"/>
              <w:jc w:val="left"/>
              <w:rPr>
                <w:rFonts w:ascii="宋体" w:hAnsi="宋体" w:eastAsia="宋体" w:cs="宋体"/>
                <w:snapToGrid w:val="0"/>
                <w:color w:val="auto"/>
                <w:kern w:val="2"/>
                <w:sz w:val="21"/>
                <w:szCs w:val="21"/>
                <w:highlight w:val="none"/>
                <w:lang w:val="en-US" w:eastAsia="zh-CN" w:bidi="ar-SA"/>
              </w:rPr>
            </w:pPr>
            <w:r>
              <w:rPr>
                <w:rFonts w:hint="eastAsia" w:ascii="宋体" w:hAnsi="宋体" w:cs="宋体"/>
                <w:bCs/>
                <w:snapToGrid w:val="0"/>
                <w:color w:val="auto"/>
                <w:szCs w:val="21"/>
                <w:highlight w:val="none"/>
              </w:rPr>
              <w:t>响应截止时间</w:t>
            </w:r>
          </w:p>
        </w:tc>
        <w:tc>
          <w:tcPr>
            <w:tcW w:w="5890" w:type="dxa"/>
            <w:noWrap/>
            <w:vAlign w:val="center"/>
          </w:tcPr>
          <w:p>
            <w:pPr>
              <w:pStyle w:val="43"/>
              <w:snapToGrid w:val="0"/>
              <w:spacing w:line="360" w:lineRule="auto"/>
              <w:ind w:firstLine="0" w:firstLineChars="0"/>
              <w:rPr>
                <w:rFonts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rPr>
              <w:t>按“竞争性磋商公告”规定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7</w:t>
            </w:r>
          </w:p>
        </w:tc>
        <w:tc>
          <w:tcPr>
            <w:tcW w:w="1988" w:type="dxa"/>
            <w:noWrap/>
            <w:vAlign w:val="center"/>
          </w:tcPr>
          <w:p>
            <w:pPr>
              <w:pStyle w:val="43"/>
              <w:snapToGrid w:val="0"/>
              <w:spacing w:line="360" w:lineRule="auto"/>
              <w:ind w:firstLine="0" w:firstLineChars="0"/>
              <w:jc w:val="left"/>
              <w:rPr>
                <w:rFonts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rPr>
              <w:t>响应文件递交地点</w:t>
            </w:r>
          </w:p>
        </w:tc>
        <w:tc>
          <w:tcPr>
            <w:tcW w:w="5890" w:type="dxa"/>
            <w:noWrap/>
            <w:vAlign w:val="center"/>
          </w:tcPr>
          <w:p>
            <w:pPr>
              <w:pStyle w:val="43"/>
              <w:snapToGrid w:val="0"/>
              <w:spacing w:line="360" w:lineRule="auto"/>
              <w:ind w:firstLine="0" w:firstLineChars="0"/>
              <w:rPr>
                <w:rFonts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rPr>
              <w:t>按“竞争性磋商公告”规定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8</w:t>
            </w:r>
          </w:p>
        </w:tc>
        <w:tc>
          <w:tcPr>
            <w:tcW w:w="1988" w:type="dxa"/>
            <w:noWrap/>
            <w:vAlign w:val="center"/>
          </w:tcPr>
          <w:p>
            <w:pPr>
              <w:pStyle w:val="43"/>
              <w:snapToGrid w:val="0"/>
              <w:spacing w:line="360" w:lineRule="auto"/>
              <w:ind w:firstLine="0" w:firstLineChars="0"/>
              <w:jc w:val="left"/>
              <w:rPr>
                <w:rFonts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rPr>
              <w:t>响应文件开启时间</w:t>
            </w:r>
          </w:p>
        </w:tc>
        <w:tc>
          <w:tcPr>
            <w:tcW w:w="5890" w:type="dxa"/>
            <w:noWrap/>
            <w:vAlign w:val="center"/>
          </w:tcPr>
          <w:p>
            <w:pPr>
              <w:pStyle w:val="43"/>
              <w:snapToGrid w:val="0"/>
              <w:spacing w:line="360" w:lineRule="auto"/>
              <w:ind w:firstLine="0" w:firstLineChars="0"/>
              <w:rPr>
                <w:rFonts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rPr>
              <w:t>按“竞争性磋商公告”规定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9</w:t>
            </w:r>
          </w:p>
        </w:tc>
        <w:tc>
          <w:tcPr>
            <w:tcW w:w="1988" w:type="dxa"/>
            <w:noWrap/>
            <w:vAlign w:val="center"/>
          </w:tcPr>
          <w:p>
            <w:pPr>
              <w:snapToGrid w:val="0"/>
              <w:spacing w:line="360" w:lineRule="auto"/>
              <w:jc w:val="left"/>
              <w:rPr>
                <w:rFonts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rPr>
              <w:t>响应文件形式</w:t>
            </w:r>
          </w:p>
        </w:tc>
        <w:tc>
          <w:tcPr>
            <w:tcW w:w="5890" w:type="dxa"/>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本项目实行电子投标。</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供应商应准备二种形式的响应文件：电子加密响应文件、备份响应文件。</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（1）“电子加密响应文件”是指通过“政采云电子交易客户端”完成响应文件编制后生成并加密的数据电文形式的响应文件（后缀格式为.jmbs）</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在响应截止时间前发至指定邮箱55994285@qq.com，“备份响应文件”不强制要求提供。</w:t>
            </w:r>
          </w:p>
          <w:p>
            <w:pPr>
              <w:pStyle w:val="32"/>
              <w:ind w:left="0" w:leftChars="0" w:firstLine="211" w:firstLineChars="100"/>
              <w:rPr>
                <w:rFonts w:hint="default" w:ascii="Calibri" w:hAnsi="Calibri" w:eastAsia="宋体" w:cs="Times New Roman"/>
                <w:snapToGrid w:val="0"/>
                <w:color w:val="auto"/>
                <w:sz w:val="22"/>
                <w:szCs w:val="22"/>
                <w:highlight w:val="none"/>
                <w:lang w:val="en-US" w:eastAsia="zh-CN" w:bidi="en-US"/>
              </w:rPr>
            </w:pPr>
            <w:r>
              <w:rPr>
                <w:rFonts w:hint="eastAsia" w:ascii="宋体" w:hAnsi="宋体" w:eastAsia="宋体" w:cs="宋体"/>
                <w:b/>
                <w:bCs/>
                <w:snapToGrid w:val="0"/>
                <w:color w:val="auto"/>
                <w:sz w:val="21"/>
                <w:szCs w:val="21"/>
                <w:highlight w:val="none"/>
                <w:lang w:val="en-US" w:eastAsia="zh-CN" w:bidi="ar-SA"/>
              </w:rPr>
              <w:t>(3)成交单位应向采购人提供纸质响应文件 肆 份和电子文档 壹 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10</w:t>
            </w:r>
          </w:p>
        </w:tc>
        <w:tc>
          <w:tcPr>
            <w:tcW w:w="1988" w:type="dxa"/>
            <w:noWrap/>
            <w:vAlign w:val="center"/>
          </w:tcPr>
          <w:p>
            <w:pPr>
              <w:pStyle w:val="43"/>
              <w:snapToGrid w:val="0"/>
              <w:spacing w:line="360" w:lineRule="auto"/>
              <w:ind w:firstLine="0" w:firstLineChars="0"/>
              <w:jc w:val="left"/>
              <w:rPr>
                <w:rFonts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rPr>
              <w:t>响应文件的上传和递交</w:t>
            </w:r>
          </w:p>
        </w:tc>
        <w:tc>
          <w:tcPr>
            <w:tcW w:w="5890" w:type="dxa"/>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（1）电子加密响应文件：响应文件制作完成并生成加密文件，在响应截止时间前，供应商需将加密的响应文件上传至杭州交投集中采购平台，到达开</w:t>
            </w:r>
            <w:r>
              <w:rPr>
                <w:rFonts w:hint="eastAsia" w:ascii="宋体" w:hAnsi="宋体" w:cs="宋体"/>
                <w:color w:val="auto"/>
                <w:szCs w:val="21"/>
                <w:highlight w:val="none"/>
                <w:lang w:val="en-US" w:eastAsia="zh-CN"/>
              </w:rPr>
              <w:t>启</w:t>
            </w:r>
            <w:r>
              <w:rPr>
                <w:rFonts w:hint="eastAsia" w:ascii="宋体" w:hAnsi="宋体" w:cs="宋体"/>
                <w:color w:val="auto"/>
                <w:szCs w:val="21"/>
                <w:highlight w:val="none"/>
              </w:rPr>
              <w:t>时间后，进行解密。</w:t>
            </w:r>
          </w:p>
          <w:p>
            <w:pPr>
              <w:pStyle w:val="43"/>
              <w:snapToGrid w:val="0"/>
              <w:spacing w:line="360" w:lineRule="auto"/>
              <w:ind w:firstLine="0" w:firstLineChars="0"/>
              <w:rPr>
                <w:rFonts w:ascii="宋体" w:hAnsi="宋体" w:cs="宋体"/>
                <w:snapToGrid w:val="0"/>
                <w:color w:val="auto"/>
                <w:szCs w:val="21"/>
                <w:highlight w:val="none"/>
              </w:rPr>
            </w:pPr>
            <w:r>
              <w:rPr>
                <w:rFonts w:hint="eastAsia" w:ascii="宋体" w:hAnsi="宋体" w:cs="宋体"/>
                <w:snapToGrid w:val="0"/>
                <w:color w:val="auto"/>
                <w:szCs w:val="21"/>
                <w:highlight w:val="none"/>
              </w:rPr>
              <w:t>供应商未能在响应截止时间前成功上传电子加密响应文件的响应无效。</w:t>
            </w:r>
          </w:p>
          <w:p>
            <w:pPr>
              <w:adjustRightInd w:val="0"/>
              <w:snapToGrid w:val="0"/>
              <w:spacing w:line="360" w:lineRule="auto"/>
              <w:rPr>
                <w:rFonts w:hint="default"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rPr>
              <w:t>（2）备份响应文件：响应截止时间前，供应商应将备份响应文件发至指定邮箱</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，以便电子加密</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文件解密异常时应急使用</w:t>
            </w:r>
            <w:r>
              <w:rPr>
                <w:rFonts w:hint="eastAsia" w:ascii="宋体" w:hAnsi="宋体" w:cs="宋体"/>
                <w:color w:val="auto"/>
                <w:szCs w:val="21"/>
                <w:highlight w:val="none"/>
                <w:lang w:eastAsia="zh-CN"/>
              </w:rPr>
              <w:t>。</w:t>
            </w:r>
            <w:r>
              <w:rPr>
                <w:rFonts w:hint="eastAsia" w:ascii="宋体" w:hAnsi="宋体" w:cs="宋体"/>
                <w:color w:val="auto"/>
                <w:szCs w:val="21"/>
                <w:highlight w:val="none"/>
              </w:rPr>
              <w:t>“备份响应文件”不强制要求提供，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rPr>
              <w:t>1</w:t>
            </w:r>
            <w:r>
              <w:rPr>
                <w:rFonts w:hint="eastAsia" w:ascii="宋体" w:hAnsi="宋体" w:cs="宋体"/>
                <w:snapToGrid w:val="0"/>
                <w:color w:val="auto"/>
                <w:szCs w:val="21"/>
                <w:highlight w:val="none"/>
                <w:lang w:val="en-US" w:eastAsia="zh-CN"/>
              </w:rPr>
              <w:t>1</w:t>
            </w:r>
          </w:p>
        </w:tc>
        <w:tc>
          <w:tcPr>
            <w:tcW w:w="1988" w:type="dxa"/>
            <w:noWrap/>
            <w:vAlign w:val="center"/>
          </w:tcPr>
          <w:p>
            <w:pPr>
              <w:pStyle w:val="43"/>
              <w:snapToGrid w:val="0"/>
              <w:spacing w:line="360" w:lineRule="auto"/>
              <w:ind w:firstLine="0" w:firstLineChars="0"/>
              <w:jc w:val="left"/>
              <w:rPr>
                <w:rFonts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kern w:val="0"/>
                <w:szCs w:val="21"/>
                <w:highlight w:val="none"/>
              </w:rPr>
              <w:t>询标澄清</w:t>
            </w:r>
          </w:p>
        </w:tc>
        <w:tc>
          <w:tcPr>
            <w:tcW w:w="5890" w:type="dxa"/>
            <w:noWrap/>
            <w:vAlign w:val="center"/>
          </w:tcPr>
          <w:p>
            <w:pPr>
              <w:pStyle w:val="43"/>
              <w:snapToGrid w:val="0"/>
              <w:spacing w:line="360" w:lineRule="auto"/>
              <w:ind w:firstLine="0" w:firstLineChars="0"/>
              <w:rPr>
                <w:rFonts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szCs w:val="21"/>
                <w:highlight w:val="none"/>
              </w:rPr>
              <w:t>在评</w:t>
            </w:r>
            <w:r>
              <w:rPr>
                <w:rFonts w:hint="eastAsia" w:ascii="宋体" w:hAnsi="宋体" w:cs="宋体"/>
                <w:snapToGrid w:val="0"/>
                <w:color w:val="auto"/>
                <w:szCs w:val="21"/>
                <w:highlight w:val="none"/>
                <w:lang w:val="en-US" w:eastAsia="zh-CN"/>
              </w:rPr>
              <w:t>审</w:t>
            </w:r>
            <w:r>
              <w:rPr>
                <w:rFonts w:hint="eastAsia" w:ascii="宋体" w:hAnsi="宋体" w:cs="宋体"/>
                <w:snapToGrid w:val="0"/>
                <w:color w:val="auto"/>
                <w:szCs w:val="21"/>
                <w:highlight w:val="none"/>
              </w:rPr>
              <w:t>过程中，如评审小组对响应文件有疑问，由评审组长</w:t>
            </w:r>
            <w:r>
              <w:rPr>
                <w:rFonts w:hint="eastAsia" w:ascii="宋体" w:hAnsi="宋体" w:cs="宋体"/>
                <w:color w:val="auto"/>
                <w:szCs w:val="21"/>
                <w:highlight w:val="none"/>
              </w:rPr>
              <w:t>或代理机构代为</w:t>
            </w:r>
            <w:r>
              <w:rPr>
                <w:rFonts w:hint="eastAsia" w:ascii="宋体" w:hAnsi="宋体" w:cs="宋体"/>
                <w:snapToGrid w:val="0"/>
                <w:color w:val="auto"/>
                <w:szCs w:val="21"/>
                <w:highlight w:val="none"/>
              </w:rPr>
              <w:t>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rPr>
              <w:t>1</w:t>
            </w:r>
            <w:r>
              <w:rPr>
                <w:rFonts w:hint="eastAsia" w:ascii="宋体" w:hAnsi="宋体" w:cs="宋体"/>
                <w:snapToGrid w:val="0"/>
                <w:color w:val="auto"/>
                <w:szCs w:val="21"/>
                <w:highlight w:val="none"/>
                <w:lang w:val="en-US" w:eastAsia="zh-CN"/>
              </w:rPr>
              <w:t>2</w:t>
            </w:r>
          </w:p>
        </w:tc>
        <w:tc>
          <w:tcPr>
            <w:tcW w:w="1988" w:type="dxa"/>
            <w:noWrap/>
            <w:vAlign w:val="center"/>
          </w:tcPr>
          <w:p>
            <w:pPr>
              <w:adjustRightInd w:val="0"/>
              <w:snapToGrid w:val="0"/>
              <w:spacing w:line="360" w:lineRule="auto"/>
              <w:jc w:val="left"/>
              <w:rPr>
                <w:rFonts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rPr>
              <w:t>质疑</w:t>
            </w:r>
          </w:p>
        </w:tc>
        <w:tc>
          <w:tcPr>
            <w:tcW w:w="5890" w:type="dxa"/>
            <w:noWrap/>
            <w:vAlign w:val="center"/>
          </w:tcPr>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根据《中华人民共和国政府采购法》第五十二条的规定，供应商认为</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文件、采购过程和</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政府采购法第五十二条规定的供应商应知其权益受到损害之日，是指：</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（一）对可以质疑的采购文件提出质疑的，为收到采购文件之日或者采购文件公告期限届满之日；</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（二）对采购过程提出质疑的，为各采购程序环节结束之日；</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（三）对</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或者成交结果提出质疑的，为</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或者成交结果公告期限届满之日。</w:t>
            </w:r>
          </w:p>
          <w:p>
            <w:pPr>
              <w:adjustRightInd w:val="0"/>
              <w:snapToGrid w:val="0"/>
              <w:spacing w:line="360" w:lineRule="auto"/>
              <w:jc w:val="left"/>
              <w:rPr>
                <w:rFonts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rPr>
              <w:t>1</w:t>
            </w:r>
            <w:r>
              <w:rPr>
                <w:rFonts w:hint="eastAsia" w:ascii="宋体" w:hAnsi="宋体" w:cs="宋体"/>
                <w:snapToGrid w:val="0"/>
                <w:color w:val="auto"/>
                <w:szCs w:val="21"/>
                <w:highlight w:val="none"/>
                <w:lang w:val="en-US" w:eastAsia="zh-CN"/>
              </w:rPr>
              <w:t>3</w:t>
            </w:r>
          </w:p>
        </w:tc>
        <w:tc>
          <w:tcPr>
            <w:tcW w:w="1988" w:type="dxa"/>
            <w:noWrap/>
            <w:vAlign w:val="center"/>
          </w:tcPr>
          <w:p>
            <w:pPr>
              <w:adjustRightInd w:val="0"/>
              <w:snapToGrid w:val="0"/>
              <w:spacing w:line="360" w:lineRule="auto"/>
              <w:jc w:val="left"/>
              <w:rPr>
                <w:rFonts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rPr>
              <w:t>投诉</w:t>
            </w:r>
          </w:p>
        </w:tc>
        <w:tc>
          <w:tcPr>
            <w:tcW w:w="5890" w:type="dxa"/>
            <w:noWrap/>
            <w:vAlign w:val="center"/>
          </w:tcPr>
          <w:p>
            <w:pPr>
              <w:adjustRightInd w:val="0"/>
              <w:snapToGrid w:val="0"/>
              <w:spacing w:line="360" w:lineRule="auto"/>
              <w:rPr>
                <w:rFonts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rPr>
              <w:t>根据《中华人民共和国政府采购法》第五十五条的规定，质疑供应商对采购人、采购代理机构的答复不满意或者采购人、采购代理机构未在规定的时间内作出答复的，可以在答复期满后十五个工作日内向督管</w:t>
            </w:r>
            <w:r>
              <w:rPr>
                <w:rFonts w:hint="eastAsia" w:ascii="宋体" w:hAnsi="宋体" w:cs="宋体"/>
                <w:color w:val="auto"/>
                <w:szCs w:val="21"/>
                <w:highlight w:val="none"/>
                <w:lang w:val="en-US" w:eastAsia="zh-CN"/>
              </w:rPr>
              <w:t>单位</w:t>
            </w:r>
            <w:r>
              <w:rPr>
                <w:rFonts w:hint="eastAsia" w:ascii="宋体" w:hAnsi="宋体" w:cs="宋体"/>
                <w:color w:val="auto"/>
                <w:szCs w:val="21"/>
                <w:highlight w:val="none"/>
              </w:rPr>
              <w:t>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43"/>
              <w:snapToGrid w:val="0"/>
              <w:spacing w:line="360" w:lineRule="auto"/>
              <w:ind w:firstLine="0" w:firstLineChars="0"/>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rPr>
              <w:t>1</w:t>
            </w:r>
            <w:r>
              <w:rPr>
                <w:rFonts w:hint="eastAsia" w:ascii="宋体" w:hAnsi="宋体" w:cs="宋体"/>
                <w:snapToGrid w:val="0"/>
                <w:color w:val="auto"/>
                <w:szCs w:val="21"/>
                <w:highlight w:val="none"/>
                <w:lang w:val="en-US" w:eastAsia="zh-CN"/>
              </w:rPr>
              <w:t>4</w:t>
            </w:r>
          </w:p>
        </w:tc>
        <w:tc>
          <w:tcPr>
            <w:tcW w:w="1988" w:type="dxa"/>
            <w:noWrap/>
            <w:vAlign w:val="center"/>
          </w:tcPr>
          <w:p>
            <w:pPr>
              <w:snapToGrid w:val="0"/>
              <w:spacing w:line="360" w:lineRule="auto"/>
              <w:jc w:val="left"/>
              <w:rPr>
                <w:rFonts w:ascii="宋体" w:hAnsi="宋体" w:eastAsia="宋体" w:cs="宋体"/>
                <w:snapToGrid w:val="0"/>
                <w:color w:val="auto"/>
                <w:sz w:val="21"/>
                <w:szCs w:val="21"/>
                <w:highlight w:val="none"/>
                <w:lang w:val="en-US" w:eastAsia="zh-CN" w:bidi="ar-SA"/>
              </w:rPr>
            </w:pPr>
            <w:r>
              <w:rPr>
                <w:rFonts w:hint="eastAsia" w:ascii="宋体" w:hAnsi="宋体" w:cs="宋体"/>
                <w:color w:val="auto"/>
                <w:szCs w:val="21"/>
                <w:highlight w:val="none"/>
              </w:rPr>
              <w:t>其他</w:t>
            </w:r>
          </w:p>
        </w:tc>
        <w:tc>
          <w:tcPr>
            <w:tcW w:w="5890" w:type="dxa"/>
            <w:noWrap/>
            <w:vAlign w:val="center"/>
          </w:tcPr>
          <w:p>
            <w:pPr>
              <w:pStyle w:val="17"/>
              <w:adjustRightInd w:val="0"/>
              <w:snapToGrid w:val="0"/>
              <w:spacing w:line="360" w:lineRule="auto"/>
              <w:rPr>
                <w:rFonts w:hAnsi="宋体" w:cs="宋体"/>
                <w:snapToGrid w:val="0"/>
                <w:color w:val="auto"/>
                <w:sz w:val="21"/>
                <w:szCs w:val="21"/>
                <w:highlight w:val="none"/>
              </w:rPr>
            </w:pPr>
            <w:r>
              <w:rPr>
                <w:rFonts w:hint="eastAsia" w:hAnsi="宋体" w:cs="宋体"/>
                <w:color w:val="auto"/>
                <w:sz w:val="21"/>
                <w:szCs w:val="21"/>
                <w:highlight w:val="none"/>
              </w:rPr>
              <w:t>（1）</w:t>
            </w:r>
            <w:r>
              <w:rPr>
                <w:rFonts w:hint="eastAsia" w:hAnsi="宋体" w:cs="宋体"/>
                <w:snapToGrid w:val="0"/>
                <w:color w:val="auto"/>
                <w:sz w:val="21"/>
                <w:szCs w:val="21"/>
                <w:highlight w:val="none"/>
              </w:rPr>
              <w:t>采购文件中凡标注“▲”的条款均为实质性要求，不响应的响应文件将作无效标处理。</w:t>
            </w:r>
          </w:p>
          <w:p>
            <w:pPr>
              <w:pStyle w:val="17"/>
              <w:adjustRightInd w:val="0"/>
              <w:snapToGrid w:val="0"/>
              <w:spacing w:line="360" w:lineRule="auto"/>
              <w:rPr>
                <w:rFonts w:hAnsi="宋体" w:cs="宋体"/>
                <w:snapToGrid w:val="0"/>
                <w:color w:val="auto"/>
                <w:sz w:val="21"/>
                <w:szCs w:val="21"/>
                <w:highlight w:val="none"/>
              </w:rPr>
            </w:pPr>
            <w:r>
              <w:rPr>
                <w:rFonts w:hint="eastAsia" w:hAnsi="宋体" w:cs="宋体"/>
                <w:snapToGrid w:val="0"/>
                <w:color w:val="auto"/>
                <w:sz w:val="21"/>
                <w:szCs w:val="21"/>
                <w:highlight w:val="none"/>
              </w:rPr>
              <w:t>（2）</w:t>
            </w:r>
            <w:r>
              <w:rPr>
                <w:rFonts w:hint="eastAsia" w:hAnsi="宋体" w:cs="宋体"/>
                <w:color w:val="auto"/>
                <w:sz w:val="21"/>
                <w:szCs w:val="21"/>
                <w:highlight w:val="none"/>
              </w:rPr>
              <w:t>供应商未上传电子加密响应文件，其响应无效。</w:t>
            </w:r>
          </w:p>
          <w:p>
            <w:pPr>
              <w:pStyle w:val="17"/>
              <w:adjustRightInd w:val="0"/>
              <w:snapToGrid w:val="0"/>
              <w:spacing w:line="360" w:lineRule="auto"/>
              <w:rPr>
                <w:rFonts w:hAnsi="宋体" w:cs="宋体"/>
                <w:color w:val="auto"/>
                <w:sz w:val="21"/>
                <w:szCs w:val="21"/>
                <w:highlight w:val="none"/>
              </w:rPr>
            </w:pPr>
            <w:r>
              <w:rPr>
                <w:rFonts w:hint="eastAsia" w:hAnsi="宋体" w:cs="宋体"/>
                <w:snapToGrid w:val="0"/>
                <w:color w:val="auto"/>
                <w:sz w:val="21"/>
                <w:szCs w:val="21"/>
                <w:highlight w:val="none"/>
              </w:rPr>
              <w:t>（3）供应商上传了</w:t>
            </w:r>
            <w:r>
              <w:rPr>
                <w:rFonts w:hint="eastAsia" w:hAnsi="宋体" w:cs="宋体"/>
                <w:color w:val="auto"/>
                <w:sz w:val="21"/>
                <w:szCs w:val="21"/>
                <w:highlight w:val="none"/>
              </w:rPr>
              <w:t>电子加密响应文件，未提供备份响应文件，解密出现问题后，由此导致对该供应商无法评审的，其后果由该供应商自行承担。</w:t>
            </w:r>
          </w:p>
          <w:p>
            <w:pPr>
              <w:pStyle w:val="17"/>
              <w:adjustRightInd w:val="0"/>
              <w:snapToGrid w:val="0"/>
              <w:spacing w:line="360" w:lineRule="auto"/>
              <w:rPr>
                <w:rFonts w:ascii="宋体" w:hAnsi="宋体" w:eastAsia="宋体" w:cs="宋体"/>
                <w:snapToGrid/>
                <w:color w:val="auto"/>
                <w:sz w:val="21"/>
                <w:szCs w:val="21"/>
                <w:highlight w:val="none"/>
                <w:lang w:val="en-US" w:eastAsia="zh-CN" w:bidi="ar-SA"/>
              </w:rPr>
            </w:pPr>
            <w:r>
              <w:rPr>
                <w:rFonts w:hint="eastAsia" w:hAnsi="宋体" w:cs="宋体"/>
                <w:color w:val="auto"/>
                <w:sz w:val="21"/>
                <w:szCs w:val="21"/>
                <w:highlight w:val="none"/>
              </w:rPr>
              <w:t>（4）各供应商自行在杭州交投集中采购平台下载或查阅采购文件和相关更正公告等，不另行通知，如有遗漏采购人、采购代理机构概不负责。</w:t>
            </w:r>
          </w:p>
        </w:tc>
      </w:tr>
    </w:tbl>
    <w:p>
      <w:pPr>
        <w:pStyle w:val="3"/>
        <w:snapToGrid w:val="0"/>
        <w:spacing w:before="240" w:after="240" w:line="240" w:lineRule="auto"/>
        <w:rPr>
          <w:rFonts w:ascii="宋体" w:hAnsi="宋体" w:eastAsia="宋体" w:cs="宋体"/>
          <w:color w:val="auto"/>
          <w:highlight w:val="none"/>
        </w:rPr>
      </w:pPr>
      <w:r>
        <w:rPr>
          <w:rFonts w:hint="eastAsia" w:ascii="宋体" w:hAnsi="宋体" w:eastAsia="宋体" w:cs="宋体"/>
          <w:color w:val="auto"/>
          <w:sz w:val="32"/>
          <w:highlight w:val="none"/>
        </w:rPr>
        <w:br w:type="page"/>
      </w:r>
      <w:bookmarkStart w:id="12" w:name="_Toc19640"/>
      <w:bookmarkStart w:id="13" w:name="_Toc25241"/>
      <w:r>
        <w:rPr>
          <w:rFonts w:hint="eastAsia" w:ascii="宋体" w:hAnsi="宋体" w:eastAsia="宋体" w:cs="宋体"/>
          <w:color w:val="auto"/>
          <w:sz w:val="32"/>
          <w:highlight w:val="none"/>
        </w:rPr>
        <w:t>第二部分  磋商须知</w:t>
      </w:r>
      <w:bookmarkEnd w:id="9"/>
      <w:bookmarkEnd w:id="12"/>
      <w:bookmarkEnd w:id="13"/>
    </w:p>
    <w:p>
      <w:pPr>
        <w:pStyle w:val="4"/>
        <w:spacing w:line="360" w:lineRule="auto"/>
        <w:rPr>
          <w:rFonts w:ascii="宋体" w:hAnsi="宋体" w:eastAsia="宋体" w:cs="宋体"/>
          <w:b/>
          <w:color w:val="auto"/>
          <w:sz w:val="21"/>
          <w:szCs w:val="21"/>
          <w:highlight w:val="none"/>
        </w:rPr>
      </w:pPr>
      <w:bookmarkStart w:id="14" w:name="_Toc21643"/>
      <w:bookmarkStart w:id="15" w:name="_Toc183786415"/>
      <w:bookmarkStart w:id="16" w:name="_Toc22545"/>
      <w:r>
        <w:rPr>
          <w:rFonts w:hint="eastAsia" w:ascii="宋体" w:hAnsi="宋体" w:eastAsia="宋体" w:cs="宋体"/>
          <w:b/>
          <w:color w:val="auto"/>
          <w:sz w:val="21"/>
          <w:szCs w:val="21"/>
          <w:highlight w:val="none"/>
        </w:rPr>
        <w:t>一、总则</w:t>
      </w:r>
      <w:bookmarkEnd w:id="14"/>
      <w:bookmarkEnd w:id="15"/>
      <w:bookmarkEnd w:id="16"/>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本次项目</w:t>
      </w:r>
      <w:r>
        <w:rPr>
          <w:rFonts w:hint="eastAsia" w:ascii="宋体" w:hAnsi="宋体" w:cs="宋体"/>
          <w:color w:val="auto"/>
          <w:szCs w:val="21"/>
          <w:highlight w:val="none"/>
          <w:lang w:val="en-US" w:eastAsia="zh-CN"/>
        </w:rPr>
        <w:t>参</w:t>
      </w:r>
      <w:r>
        <w:rPr>
          <w:rFonts w:hint="eastAsia" w:ascii="宋体" w:hAnsi="宋体" w:cs="宋体"/>
          <w:color w:val="auto"/>
          <w:szCs w:val="21"/>
          <w:highlight w:val="none"/>
        </w:rPr>
        <w:t>照《中华人民共和国政府采购法》、《中华人民共和国政府采购法实施条例》、《政府采购竞争性磋商采购方式管理暂行办法》等相关法律、组织和实施，并由政府采购管理部门指导和监督。</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1．适用范围</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1.1本次磋商工作仅适用于本项目。</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1.2本项目采购方式采用竞争性磋商方式。</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2．定义</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2.1采购人系</w:t>
      </w:r>
      <w:r>
        <w:rPr>
          <w:rFonts w:hint="default" w:ascii="宋体" w:hAnsi="宋体" w:cs="宋体"/>
          <w:color w:val="auto"/>
          <w:szCs w:val="21"/>
          <w:highlight w:val="none"/>
          <w:lang w:eastAsia="zh-CN"/>
        </w:rPr>
        <w:t>杭州路达公路工程有限公司</w:t>
      </w:r>
      <w:r>
        <w:rPr>
          <w:rFonts w:hint="eastAsia" w:ascii="宋体" w:hAnsi="宋体" w:cs="宋体"/>
          <w:color w:val="auto"/>
          <w:szCs w:val="21"/>
          <w:highlight w:val="none"/>
        </w:rPr>
        <w:t>。</w:t>
      </w:r>
    </w:p>
    <w:p>
      <w:pPr>
        <w:adjustRightInd w:val="0"/>
        <w:spacing w:line="360" w:lineRule="auto"/>
        <w:ind w:firstLine="420" w:firstLineChars="200"/>
        <w:rPr>
          <w:rFonts w:ascii="宋体" w:hAnsi="宋体" w:cs="宋体"/>
          <w:color w:val="auto"/>
          <w:szCs w:val="21"/>
          <w:highlight w:val="none"/>
          <w:u w:val="single"/>
          <w:shd w:val="pct10" w:color="auto" w:fill="FFFFFF"/>
        </w:rPr>
      </w:pPr>
      <w:r>
        <w:rPr>
          <w:rFonts w:hint="eastAsia" w:ascii="宋体" w:hAnsi="宋体" w:cs="宋体"/>
          <w:color w:val="auto"/>
          <w:szCs w:val="21"/>
          <w:highlight w:val="none"/>
        </w:rPr>
        <w:t>2.2供应商：响应本次采购，参加本次竞争性磋商的供应商。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2.3货物：系指供应商按磋商文件或合同要求，须向采购人提供的一切材料、设备、机械、仪器、备件、配件、工具、手册及其他技术资料和文字材料。</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2.4服务：系指采购文件或合同规定供应商须承担的设计、安装、调试、试运行、技术协助、培训、售后服务以及其他类似的义务。</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3．采购项目概况</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详见竞争性磋商公告相关内容，主要要求参见本文件第三部分。</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4．合格的供应商</w:t>
      </w:r>
    </w:p>
    <w:p>
      <w:pPr>
        <w:adjustRightInd w:val="0"/>
        <w:spacing w:line="360" w:lineRule="auto"/>
        <w:ind w:firstLine="420" w:firstLineChars="200"/>
        <w:rPr>
          <w:rFonts w:ascii="宋体" w:hAnsi="宋体" w:cs="宋体"/>
          <w:color w:val="auto"/>
          <w:szCs w:val="21"/>
          <w:highlight w:val="none"/>
        </w:rPr>
      </w:pPr>
      <w:bookmarkStart w:id="17" w:name="_Toc209435242"/>
      <w:bookmarkStart w:id="18" w:name="_Toc193523219"/>
      <w:bookmarkStart w:id="19" w:name="_Toc204683265"/>
      <w:bookmarkStart w:id="20" w:name="_Toc197156227"/>
      <w:bookmarkStart w:id="21" w:name="_Toc209520993"/>
      <w:bookmarkStart w:id="22" w:name="_Toc197657950"/>
      <w:bookmarkStart w:id="23" w:name="_Toc209504018"/>
      <w:bookmarkStart w:id="24" w:name="_Toc207946571"/>
      <w:bookmarkStart w:id="25" w:name="_Toc197053926"/>
      <w:bookmarkStart w:id="26" w:name="_Toc197163261"/>
      <w:bookmarkStart w:id="27" w:name="_Toc211412066"/>
      <w:bookmarkStart w:id="28" w:name="_Toc208913145"/>
      <w:bookmarkStart w:id="29" w:name="_Toc193538208"/>
      <w:bookmarkStart w:id="30" w:name="_Toc208287611"/>
      <w:r>
        <w:rPr>
          <w:rFonts w:hint="eastAsia" w:ascii="宋体" w:hAnsi="宋体" w:cs="宋体"/>
          <w:color w:val="auto"/>
          <w:szCs w:val="21"/>
          <w:highlight w:val="none"/>
        </w:rPr>
        <w:t>详见竞争性磋商采购公告合格的响应人的资格条件要求规定。</w:t>
      </w:r>
      <w:bookmarkEnd w:id="17"/>
      <w:bookmarkEnd w:id="18"/>
      <w:bookmarkEnd w:id="19"/>
      <w:bookmarkEnd w:id="20"/>
      <w:bookmarkEnd w:id="21"/>
      <w:bookmarkEnd w:id="22"/>
      <w:bookmarkEnd w:id="23"/>
      <w:bookmarkEnd w:id="24"/>
      <w:bookmarkEnd w:id="25"/>
      <w:bookmarkEnd w:id="26"/>
      <w:bookmarkEnd w:id="27"/>
      <w:bookmarkEnd w:id="28"/>
      <w:bookmarkEnd w:id="29"/>
      <w:bookmarkEnd w:id="30"/>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5．磋商费用</w:t>
      </w:r>
    </w:p>
    <w:p>
      <w:pPr>
        <w:adjustRightInd w:val="0"/>
        <w:spacing w:line="360" w:lineRule="auto"/>
        <w:ind w:firstLine="420" w:firstLineChars="200"/>
        <w:rPr>
          <w:rFonts w:ascii="宋体" w:hAnsi="宋体" w:cs="宋体"/>
          <w:color w:val="auto"/>
          <w:szCs w:val="21"/>
          <w:highlight w:val="none"/>
        </w:rPr>
      </w:pPr>
      <w:bookmarkStart w:id="31" w:name="_Toc183786416"/>
      <w:r>
        <w:rPr>
          <w:rFonts w:hint="eastAsia" w:ascii="宋体" w:hAnsi="宋体" w:cs="宋体"/>
          <w:color w:val="auto"/>
          <w:szCs w:val="21"/>
          <w:highlight w:val="none"/>
        </w:rPr>
        <w:t>供应商应承担其参加磋商所涉及的一切费用，不管结果如何，采购人对上述费用不负任何责任。</w:t>
      </w:r>
    </w:p>
    <w:p>
      <w:pPr>
        <w:pStyle w:val="4"/>
        <w:spacing w:line="360" w:lineRule="auto"/>
        <w:rPr>
          <w:rFonts w:ascii="宋体" w:hAnsi="宋体" w:eastAsia="宋体" w:cs="宋体"/>
          <w:b/>
          <w:color w:val="auto"/>
          <w:sz w:val="21"/>
          <w:szCs w:val="21"/>
          <w:highlight w:val="none"/>
        </w:rPr>
      </w:pPr>
      <w:bookmarkStart w:id="32" w:name="_Toc7104"/>
      <w:bookmarkStart w:id="33" w:name="_Toc8587"/>
      <w:r>
        <w:rPr>
          <w:rFonts w:hint="eastAsia" w:ascii="宋体" w:hAnsi="宋体" w:eastAsia="宋体" w:cs="宋体"/>
          <w:b/>
          <w:color w:val="auto"/>
          <w:sz w:val="21"/>
          <w:szCs w:val="21"/>
          <w:highlight w:val="none"/>
        </w:rPr>
        <w:t>二、</w:t>
      </w:r>
      <w:bookmarkEnd w:id="31"/>
      <w:r>
        <w:rPr>
          <w:rFonts w:hint="eastAsia" w:ascii="宋体" w:hAnsi="宋体" w:eastAsia="宋体" w:cs="宋体"/>
          <w:b/>
          <w:color w:val="auto"/>
          <w:sz w:val="21"/>
          <w:szCs w:val="21"/>
          <w:highlight w:val="none"/>
        </w:rPr>
        <w:t>竞争性磋商文件</w:t>
      </w:r>
      <w:bookmarkEnd w:id="32"/>
      <w:bookmarkEnd w:id="33"/>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6.磋商文件的组成</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6.1本磋商文件包括目录所示内容及所有按本须知发出的补充资料。</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6.2除上述所列内容外，采购人及采购代理机构的任何工作人员对供应商所作的任何口头解释、介绍、答复，只能供供应商参考，对采购人和供应商无任何约束力。</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6.3供应商应仔细阅读磋商文件的所有内容，按照文件要求提交响应文件，并保证所提交的全部资料的真实性。不按磋商文件的要求提供的响应文件和资料，可能导致磋商被拒绝。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磋商文件是磋商过程进行的有效依据，也是成交后签订合同的依据，对双方均具有约束力，凡不遵守磋商文件规定或对磋商文件的实质性内容不响应的文件，将可能被拒绝或以无效文件处理。本磋商文件由采购人或采购代理机构进行解释。</w:t>
      </w:r>
    </w:p>
    <w:p>
      <w:pPr>
        <w:adjustRightIn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7．磋商文件的澄清与修改</w:t>
      </w:r>
    </w:p>
    <w:p>
      <w:pPr>
        <w:adjustRightInd w:val="0"/>
        <w:spacing w:line="360" w:lineRule="auto"/>
        <w:ind w:firstLine="420" w:firstLineChars="200"/>
        <w:rPr>
          <w:rFonts w:hint="eastAsia" w:ascii="宋体" w:hAnsi="宋体" w:cs="宋体"/>
          <w:color w:val="auto"/>
          <w:szCs w:val="21"/>
          <w:highlight w:val="none"/>
          <w:lang w:val="en-US" w:eastAsia="zh-CN"/>
        </w:rPr>
      </w:pPr>
      <w:bookmarkStart w:id="34" w:name="_Toc183786417"/>
      <w:r>
        <w:rPr>
          <w:rFonts w:hint="eastAsia" w:ascii="宋体" w:hAnsi="宋体" w:cs="宋体"/>
          <w:color w:val="auto"/>
          <w:szCs w:val="21"/>
          <w:highlight w:val="none"/>
          <w:lang w:val="en-US" w:eastAsia="zh-CN"/>
        </w:rPr>
        <w:t>7.1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3日前，以书面形式通知所有获得磋商文件的供应商。</w:t>
      </w:r>
    </w:p>
    <w:p>
      <w:pPr>
        <w:adjustRightIn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7.2 若有必要，采购代理机构将酌情延长递交磋商响应文件的截止日期。</w:t>
      </w:r>
    </w:p>
    <w:p>
      <w:pPr>
        <w:pStyle w:val="4"/>
        <w:spacing w:line="360" w:lineRule="auto"/>
        <w:rPr>
          <w:rFonts w:ascii="宋体" w:hAnsi="宋体" w:eastAsia="宋体" w:cs="宋体"/>
          <w:b/>
          <w:color w:val="auto"/>
          <w:sz w:val="21"/>
          <w:szCs w:val="21"/>
          <w:highlight w:val="none"/>
        </w:rPr>
      </w:pPr>
      <w:bookmarkStart w:id="35" w:name="_Toc15516"/>
      <w:bookmarkStart w:id="36" w:name="_Toc13905"/>
      <w:r>
        <w:rPr>
          <w:rFonts w:hint="eastAsia" w:ascii="宋体" w:hAnsi="宋体" w:eastAsia="宋体" w:cs="宋体"/>
          <w:b/>
          <w:color w:val="auto"/>
          <w:sz w:val="21"/>
          <w:szCs w:val="21"/>
          <w:highlight w:val="none"/>
        </w:rPr>
        <w:t>三、响应文件</w:t>
      </w:r>
      <w:bookmarkEnd w:id="34"/>
      <w:r>
        <w:rPr>
          <w:rFonts w:hint="eastAsia" w:ascii="宋体" w:hAnsi="宋体" w:eastAsia="宋体" w:cs="宋体"/>
          <w:b/>
          <w:color w:val="auto"/>
          <w:sz w:val="21"/>
          <w:szCs w:val="21"/>
          <w:highlight w:val="none"/>
        </w:rPr>
        <w:t>编制要求</w:t>
      </w:r>
      <w:bookmarkEnd w:id="35"/>
      <w:bookmarkEnd w:id="36"/>
    </w:p>
    <w:p>
      <w:pPr>
        <w:adjustRightInd w:val="0"/>
        <w:spacing w:line="360" w:lineRule="auto"/>
        <w:ind w:firstLine="481" w:firstLineChars="228"/>
        <w:rPr>
          <w:rFonts w:ascii="宋体" w:hAnsi="宋体" w:cs="宋体"/>
          <w:b/>
          <w:color w:val="auto"/>
          <w:szCs w:val="21"/>
          <w:highlight w:val="none"/>
        </w:rPr>
      </w:pPr>
      <w:r>
        <w:rPr>
          <w:rFonts w:hint="eastAsia" w:ascii="宋体" w:hAnsi="宋体" w:cs="宋体"/>
          <w:b/>
          <w:color w:val="auto"/>
          <w:szCs w:val="21"/>
          <w:highlight w:val="none"/>
        </w:rPr>
        <w:t>8．响应文件的组成</w:t>
      </w:r>
    </w:p>
    <w:p>
      <w:pPr>
        <w:autoSpaceDE w:val="0"/>
        <w:autoSpaceDN w:val="0"/>
        <w:spacing w:line="360" w:lineRule="auto"/>
        <w:ind w:firstLine="570"/>
        <w:textAlignment w:val="bottom"/>
        <w:rPr>
          <w:rFonts w:ascii="宋体" w:hAnsi="宋体" w:cs="宋体"/>
          <w:color w:val="auto"/>
          <w:szCs w:val="21"/>
          <w:highlight w:val="none"/>
        </w:rPr>
      </w:pPr>
      <w:r>
        <w:rPr>
          <w:rFonts w:hint="eastAsia" w:ascii="宋体" w:hAnsi="宋体" w:cs="宋体"/>
          <w:color w:val="auto"/>
          <w:szCs w:val="21"/>
          <w:highlight w:val="none"/>
        </w:rPr>
        <w:t>供应商向采购人递交的书面响应文件（以下简称响应文件）由报价文件、资</w:t>
      </w:r>
      <w:r>
        <w:rPr>
          <w:rFonts w:hint="eastAsia" w:ascii="宋体" w:hAnsi="宋体" w:cs="宋体"/>
          <w:color w:val="auto"/>
          <w:szCs w:val="21"/>
          <w:highlight w:val="none"/>
          <w:lang w:val="en-US" w:eastAsia="zh-CN"/>
        </w:rPr>
        <w:t>格</w:t>
      </w:r>
      <w:r>
        <w:rPr>
          <w:rFonts w:hint="eastAsia" w:ascii="宋体" w:hAnsi="宋体" w:cs="宋体"/>
          <w:color w:val="auto"/>
          <w:szCs w:val="21"/>
          <w:highlight w:val="none"/>
        </w:rPr>
        <w:t>和商务技术文件三部分组成，具体如下：</w:t>
      </w:r>
    </w:p>
    <w:p>
      <w:pPr>
        <w:adjustRightInd w:val="0"/>
        <w:spacing w:line="360" w:lineRule="auto"/>
        <w:ind w:firstLine="481" w:firstLineChars="228"/>
        <w:rPr>
          <w:rFonts w:ascii="宋体" w:hAnsi="宋体" w:cs="宋体"/>
          <w:b/>
          <w:color w:val="auto"/>
          <w:szCs w:val="21"/>
          <w:highlight w:val="none"/>
        </w:rPr>
      </w:pPr>
      <w:r>
        <w:rPr>
          <w:rFonts w:hint="eastAsia" w:ascii="宋体" w:hAnsi="宋体" w:cs="宋体"/>
          <w:b/>
          <w:color w:val="auto"/>
          <w:szCs w:val="21"/>
          <w:highlight w:val="none"/>
        </w:rPr>
        <w:t>8.1报价文件</w:t>
      </w:r>
    </w:p>
    <w:p>
      <w:pPr>
        <w:numPr>
          <w:ilvl w:val="0"/>
          <w:numId w:val="4"/>
        </w:num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磋商响应初始报价一览表；</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）供应商认为需要提供的其他文件及资料。</w:t>
      </w:r>
    </w:p>
    <w:p>
      <w:pPr>
        <w:adjustRightInd w:val="0"/>
        <w:spacing w:line="360" w:lineRule="auto"/>
        <w:ind w:firstLine="481" w:firstLineChars="228"/>
        <w:rPr>
          <w:rFonts w:ascii="宋体" w:hAnsi="宋体" w:cs="宋体"/>
          <w:b/>
          <w:color w:val="auto"/>
          <w:szCs w:val="21"/>
          <w:highlight w:val="none"/>
        </w:rPr>
      </w:pPr>
      <w:r>
        <w:rPr>
          <w:rFonts w:hint="eastAsia" w:ascii="宋体" w:hAnsi="宋体" w:cs="宋体"/>
          <w:b/>
          <w:color w:val="auto"/>
          <w:szCs w:val="21"/>
          <w:highlight w:val="none"/>
        </w:rPr>
        <w:t>8.2资格文件</w:t>
      </w:r>
    </w:p>
    <w:p>
      <w:pPr>
        <w:adjustRightInd w:val="0"/>
        <w:snapToGrid w:val="0"/>
        <w:spacing w:line="360" w:lineRule="auto"/>
        <w:ind w:firstLine="420" w:firstLineChars="200"/>
        <w:rPr>
          <w:rFonts w:hint="eastAsia" w:ascii="宋体" w:hAnsi="宋体" w:cs="宋体"/>
          <w:color w:val="auto"/>
          <w:szCs w:val="21"/>
          <w:highlight w:val="none"/>
        </w:rPr>
      </w:pPr>
      <w:bookmarkStart w:id="37" w:name="_Hlk514025268"/>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营业执照(或事业法人登记证书或其它工商等登记证明材料；自然人参与采购，提供身份证)复印件；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文件中提供相关材料），证明其具备实际承担责任的能力和法定的缔结合同能力，可以独立参加政府采购活动，由单位负责人签署相关文件材料；</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（2）符合参加政府采购活动应当具备的一般条件的承诺函；</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）符合特定资格条件的相关证明材料</w:t>
      </w:r>
      <w:r>
        <w:rPr>
          <w:rFonts w:hint="eastAsia" w:ascii="宋体" w:hAnsi="宋体" w:cs="宋体"/>
          <w:color w:val="auto"/>
          <w:szCs w:val="21"/>
          <w:highlight w:val="none"/>
          <w:lang w:eastAsia="zh-CN"/>
        </w:rPr>
        <w:t>：</w:t>
      </w:r>
    </w:p>
    <w:p>
      <w:pPr>
        <w:adjustRightInd w:val="0"/>
        <w:snapToGrid w:val="0"/>
        <w:spacing w:line="360" w:lineRule="auto"/>
        <w:ind w:firstLine="420" w:firstLineChars="200"/>
        <w:rPr>
          <w:rFonts w:hint="default" w:ascii="宋体" w:hAnsi="宋体" w:eastAsia="宋体" w:cs="宋体"/>
          <w:color w:val="auto"/>
          <w:szCs w:val="21"/>
          <w:highlight w:val="yellow"/>
          <w:lang w:val="en-US" w:eastAsia="zh-CN"/>
        </w:rPr>
      </w:pPr>
      <w:r>
        <w:rPr>
          <w:rFonts w:hint="eastAsia" w:ascii="宋体" w:hAnsi="宋体" w:cs="宋体"/>
          <w:color w:val="auto"/>
          <w:szCs w:val="21"/>
          <w:highlight w:val="none"/>
          <w:lang w:val="en-US" w:eastAsia="zh-CN"/>
        </w:rPr>
        <w:t>提供有效期内的营业执照、法人身份证复印件，并加盖公章。</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上述资格条件审查材料有一项不提供的，视为资格审查不通过。</w:t>
      </w:r>
    </w:p>
    <w:bookmarkEnd w:id="37"/>
    <w:p>
      <w:pPr>
        <w:adjustRightInd w:val="0"/>
        <w:spacing w:line="360" w:lineRule="auto"/>
        <w:ind w:firstLine="481" w:firstLineChars="228"/>
        <w:rPr>
          <w:rFonts w:ascii="宋体" w:hAnsi="宋体" w:cs="宋体"/>
          <w:b/>
          <w:color w:val="auto"/>
          <w:szCs w:val="21"/>
          <w:highlight w:val="none"/>
        </w:rPr>
      </w:pPr>
      <w:r>
        <w:rPr>
          <w:rFonts w:hint="eastAsia" w:ascii="宋体" w:hAnsi="宋体" w:cs="宋体"/>
          <w:b/>
          <w:color w:val="auto"/>
          <w:szCs w:val="21"/>
          <w:highlight w:val="none"/>
        </w:rPr>
        <w:t>8.3商务技术文件</w:t>
      </w:r>
    </w:p>
    <w:p>
      <w:pPr>
        <w:adjustRightInd w:val="0"/>
        <w:snapToGrid w:val="0"/>
        <w:spacing w:line="360" w:lineRule="auto"/>
        <w:ind w:firstLine="478" w:firstLineChars="228"/>
        <w:rPr>
          <w:rFonts w:ascii="宋体" w:hAnsi="宋体" w:cs="宋体"/>
          <w:color w:val="auto"/>
          <w:szCs w:val="21"/>
          <w:highlight w:val="none"/>
        </w:rPr>
      </w:pPr>
      <w:r>
        <w:rPr>
          <w:rFonts w:hint="eastAsia" w:ascii="宋体" w:hAnsi="宋体" w:cs="宋体"/>
          <w:color w:val="auto"/>
          <w:szCs w:val="21"/>
          <w:highlight w:val="none"/>
        </w:rPr>
        <w:t>内容可以是资料，图表或说明，必须包含但不仅限于以下内容：</w:t>
      </w:r>
    </w:p>
    <w:p>
      <w:pPr>
        <w:pStyle w:val="43"/>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（1）磋商响应函；</w:t>
      </w:r>
    </w:p>
    <w:p>
      <w:pPr>
        <w:pStyle w:val="43"/>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（2）法定代表人资格证明书；</w:t>
      </w:r>
    </w:p>
    <w:p>
      <w:pPr>
        <w:pStyle w:val="43"/>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（3）法定代表人授权委托书（法定代表人签署不需提供此书）；</w:t>
      </w:r>
    </w:p>
    <w:p>
      <w:pPr>
        <w:pStyle w:val="43"/>
        <w:snapToGrid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法定代表人及授权代表身份证正反面复印件；</w:t>
      </w:r>
    </w:p>
    <w:p>
      <w:pPr>
        <w:pStyle w:val="43"/>
        <w:snapToGrid w:val="0"/>
        <w:spacing w:line="360" w:lineRule="auto"/>
        <w:ind w:firstLine="1050" w:firstLineChars="500"/>
        <w:rPr>
          <w:rFonts w:hint="eastAsia" w:ascii="宋体" w:hAnsi="宋体" w:cs="宋体"/>
          <w:color w:val="auto"/>
          <w:szCs w:val="21"/>
          <w:highlight w:val="none"/>
        </w:rPr>
      </w:pPr>
      <w:r>
        <w:rPr>
          <w:rFonts w:hint="eastAsia" w:ascii="宋体" w:hAnsi="宋体" w:cs="宋体"/>
          <w:color w:val="auto"/>
          <w:szCs w:val="21"/>
          <w:highlight w:val="none"/>
        </w:rPr>
        <w:t>社保机构出具的响应截止日前6个月内授权代表的</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社保缴纳证明，任职不足6个月的可提供劳动合同证明文件；</w:t>
      </w:r>
    </w:p>
    <w:p>
      <w:pPr>
        <w:pStyle w:val="43"/>
        <w:numPr>
          <w:ilvl w:val="0"/>
          <w:numId w:val="0"/>
        </w:numPr>
        <w:snapToGrid w:val="0"/>
        <w:spacing w:line="360" w:lineRule="auto"/>
        <w:ind w:leftChars="200"/>
        <w:rPr>
          <w:rFonts w:hint="eastAsia" w:ascii="宋体" w:hAnsi="宋体" w:cs="Times New Roman"/>
          <w:color w:val="auto"/>
          <w:sz w:val="21"/>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Times New Roman"/>
          <w:color w:val="auto"/>
          <w:sz w:val="21"/>
          <w:szCs w:val="21"/>
          <w:highlight w:val="none"/>
          <w:lang w:val="en-US" w:eastAsia="zh-CN"/>
        </w:rPr>
        <w:t>磋商保证金；</w:t>
      </w:r>
    </w:p>
    <w:p>
      <w:pPr>
        <w:pStyle w:val="43"/>
        <w:numPr>
          <w:ilvl w:val="0"/>
          <w:numId w:val="0"/>
        </w:numPr>
        <w:snapToGrid w:val="0"/>
        <w:spacing w:line="360" w:lineRule="auto"/>
        <w:ind w:leftChars="200"/>
        <w:rPr>
          <w:rFonts w:hint="eastAsia" w:ascii="宋体" w:hAnsi="宋体" w:eastAsia="宋体" w:cs="Times New Roman"/>
          <w:color w:val="auto"/>
          <w:sz w:val="21"/>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default" w:ascii="宋体" w:hAnsi="宋体" w:eastAsia="宋体" w:cs="Times New Roman"/>
          <w:color w:val="auto"/>
          <w:sz w:val="21"/>
          <w:szCs w:val="21"/>
          <w:highlight w:val="none"/>
          <w:lang w:val="en-US" w:eastAsia="zh-CN"/>
        </w:rPr>
        <w:t>商务技术偏离表</w:t>
      </w:r>
      <w:r>
        <w:rPr>
          <w:rFonts w:hint="eastAsia" w:ascii="宋体" w:hAnsi="宋体" w:eastAsia="宋体" w:cs="Times New Roman"/>
          <w:color w:val="auto"/>
          <w:sz w:val="21"/>
          <w:szCs w:val="21"/>
          <w:highlight w:val="none"/>
          <w:lang w:val="en-US" w:eastAsia="zh-CN"/>
        </w:rPr>
        <w:t>；</w:t>
      </w:r>
    </w:p>
    <w:p>
      <w:pPr>
        <w:pStyle w:val="43"/>
        <w:snapToGrid w:val="0"/>
        <w:spacing w:line="360" w:lineRule="auto"/>
        <w:ind w:firstLine="420"/>
        <w:rPr>
          <w:rFonts w:hint="eastAsia" w:ascii="宋体" w:hAnsi="宋体" w:cs="Times New Roman"/>
          <w:color w:val="auto"/>
          <w:sz w:val="21"/>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Times New Roman"/>
          <w:color w:val="auto"/>
          <w:sz w:val="21"/>
          <w:szCs w:val="21"/>
          <w:highlight w:val="none"/>
          <w:lang w:val="en-US" w:eastAsia="zh-CN"/>
        </w:rPr>
        <w:t>同类项目业绩表；</w:t>
      </w:r>
    </w:p>
    <w:p>
      <w:pPr>
        <w:pStyle w:val="43"/>
        <w:snapToGrid w:val="0"/>
        <w:spacing w:line="360" w:lineRule="auto"/>
        <w:ind w:firstLine="42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（7）技术开发服务大纲、方案；</w:t>
      </w:r>
    </w:p>
    <w:p>
      <w:pPr>
        <w:pStyle w:val="43"/>
        <w:snapToGrid w:val="0"/>
        <w:spacing w:line="360" w:lineRule="auto"/>
        <w:ind w:firstLine="420"/>
        <w:rPr>
          <w:rFonts w:hint="eastAsia" w:ascii="宋体" w:hAnsi="宋体" w:cs="宋体"/>
          <w:color w:val="auto"/>
          <w:sz w:val="21"/>
          <w:szCs w:val="21"/>
          <w:highlight w:val="none"/>
          <w:lang w:eastAsia="zh-CN"/>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供应商提供合理化建议</w:t>
      </w:r>
      <w:r>
        <w:rPr>
          <w:rFonts w:hint="eastAsia" w:ascii="宋体" w:hAnsi="宋体" w:cs="宋体"/>
          <w:color w:val="auto"/>
          <w:sz w:val="21"/>
          <w:szCs w:val="21"/>
          <w:highlight w:val="none"/>
          <w:lang w:eastAsia="zh-CN"/>
        </w:rPr>
        <w:t>；</w:t>
      </w:r>
    </w:p>
    <w:p>
      <w:pPr>
        <w:pStyle w:val="43"/>
        <w:snapToGrid w:val="0"/>
        <w:spacing w:line="360" w:lineRule="auto"/>
        <w:ind w:firstLine="420"/>
        <w:rPr>
          <w:rFonts w:ascii="宋体" w:hAnsi="宋体" w:cs="宋体"/>
          <w:color w:val="auto"/>
          <w:szCs w:val="21"/>
          <w:highlight w:val="none"/>
        </w:rPr>
      </w:pPr>
      <w:r>
        <w:rPr>
          <w:rFonts w:hint="eastAsia" w:ascii="宋体" w:hAnsi="宋体" w:cs="Times New Roman"/>
          <w:color w:val="auto"/>
          <w:sz w:val="21"/>
          <w:szCs w:val="21"/>
          <w:highlight w:val="none"/>
          <w:lang w:val="en-US" w:eastAsia="zh-CN"/>
        </w:rPr>
        <w:t>（9）</w:t>
      </w:r>
      <w:r>
        <w:rPr>
          <w:rFonts w:hint="eastAsia" w:ascii="宋体" w:hAnsi="宋体" w:cs="宋体"/>
          <w:color w:val="auto"/>
          <w:szCs w:val="21"/>
          <w:highlight w:val="none"/>
        </w:rPr>
        <w:t>供应商认为有必要提供的其它文件。</w:t>
      </w:r>
    </w:p>
    <w:p>
      <w:pPr>
        <w:pStyle w:val="43"/>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注：以上内容为复印件的应加盖供应商公章或电子签章，附件中有参考格式的，参照格式，没有参考格式的，供应商根据磋商文件要求自行编制。</w:t>
      </w:r>
    </w:p>
    <w:p>
      <w:pPr>
        <w:tabs>
          <w:tab w:val="left" w:pos="900"/>
        </w:tabs>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8.4磋商货币</w:t>
      </w:r>
    </w:p>
    <w:p>
      <w:pPr>
        <w:tabs>
          <w:tab w:val="left" w:pos="900"/>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本次磋商项目货币为人民币。</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8.5 供应商应仔细阅读磋商文件中的所有内容，按照磋商文件的相关要求，详细编制响应文件，并保证响应文件的正确性和真实性。</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8.6 不按磋商文件的要求提供的响应文件可能导致被拒绝。</w:t>
      </w:r>
    </w:p>
    <w:p>
      <w:pPr>
        <w:snapToGrid w:val="0"/>
        <w:spacing w:line="360" w:lineRule="auto"/>
        <w:ind w:left="480"/>
        <w:rPr>
          <w:rFonts w:ascii="宋体" w:hAnsi="宋体" w:cs="宋体"/>
          <w:b/>
          <w:color w:val="auto"/>
          <w:szCs w:val="21"/>
          <w:highlight w:val="none"/>
        </w:rPr>
      </w:pPr>
      <w:r>
        <w:rPr>
          <w:rFonts w:hint="eastAsia" w:ascii="宋体" w:hAnsi="宋体" w:cs="宋体"/>
          <w:b/>
          <w:color w:val="auto"/>
          <w:szCs w:val="21"/>
          <w:highlight w:val="none"/>
        </w:rPr>
        <w:t>9．报价要求</w:t>
      </w:r>
    </w:p>
    <w:p>
      <w:pPr>
        <w:autoSpaceDE w:val="0"/>
        <w:autoSpaceDN w:val="0"/>
        <w:snapToGrid w:val="0"/>
        <w:spacing w:line="360" w:lineRule="auto"/>
        <w:ind w:firstLine="422" w:firstLineChars="200"/>
        <w:textAlignment w:val="bottom"/>
        <w:rPr>
          <w:rFonts w:ascii="宋体" w:hAnsi="宋体"/>
          <w:b/>
          <w:color w:val="auto"/>
          <w:szCs w:val="21"/>
          <w:highlight w:val="none"/>
        </w:rPr>
      </w:pPr>
      <w:bookmarkStart w:id="38" w:name="_Hlk514025443"/>
      <w:r>
        <w:rPr>
          <w:rFonts w:hint="eastAsia" w:ascii="宋体" w:hAnsi="宋体"/>
          <w:b/>
          <w:color w:val="auto"/>
          <w:szCs w:val="21"/>
          <w:highlight w:val="none"/>
        </w:rPr>
        <w:t>9.1 本项目的磋商报价采用人民币报价。</w:t>
      </w:r>
    </w:p>
    <w:p>
      <w:pPr>
        <w:autoSpaceDE w:val="0"/>
        <w:autoSpaceDN w:val="0"/>
        <w:snapToGrid w:val="0"/>
        <w:spacing w:line="360" w:lineRule="auto"/>
        <w:ind w:firstLine="422" w:firstLineChars="200"/>
        <w:textAlignment w:val="bottom"/>
        <w:rPr>
          <w:rFonts w:ascii="宋体" w:hAnsi="宋体"/>
          <w:b/>
          <w:color w:val="auto"/>
          <w:szCs w:val="21"/>
          <w:highlight w:val="none"/>
        </w:rPr>
      </w:pPr>
      <w:r>
        <w:rPr>
          <w:rFonts w:hint="eastAsia" w:ascii="宋体" w:hAnsi="宋体"/>
          <w:b/>
          <w:color w:val="auto"/>
          <w:szCs w:val="21"/>
          <w:highlight w:val="none"/>
        </w:rPr>
        <w:t>9.2 磋商供应商应对磋商文件内所要采购的全部内容进行报价，只投其中部分内容者，其响应文件将被拒绝。</w:t>
      </w:r>
    </w:p>
    <w:p>
      <w:pPr>
        <w:autoSpaceDE w:val="0"/>
        <w:autoSpaceDN w:val="0"/>
        <w:snapToGrid w:val="0"/>
        <w:spacing w:line="360" w:lineRule="auto"/>
        <w:ind w:firstLine="422" w:firstLineChars="200"/>
        <w:textAlignment w:val="bottom"/>
        <w:rPr>
          <w:rFonts w:ascii="宋体" w:hAnsi="宋体" w:cs="宋体"/>
          <w:color w:val="auto"/>
          <w:szCs w:val="21"/>
          <w:highlight w:val="none"/>
        </w:rPr>
      </w:pPr>
      <w:r>
        <w:rPr>
          <w:rFonts w:hint="eastAsia" w:ascii="宋体" w:hAnsi="宋体"/>
          <w:b/>
          <w:color w:val="auto"/>
          <w:szCs w:val="21"/>
          <w:highlight w:val="none"/>
        </w:rPr>
        <w:t>9.3 磋商内容只允许一个报价，采购人不接受任何有选择性的磋商报价。</w:t>
      </w:r>
    </w:p>
    <w:bookmarkEnd w:id="38"/>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磋商过程中所发生的一切费用均包含在磋商总价中。</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10．磋商保证金</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10.1按“竞争性磋商公告”规定。</w:t>
      </w:r>
    </w:p>
    <w:p>
      <w:pPr>
        <w:pStyle w:val="2"/>
        <w:snapToGrid w:val="0"/>
        <w:ind w:firstLine="422" w:firstLineChars="200"/>
        <w:jc w:val="both"/>
        <w:rPr>
          <w:rFonts w:hint="default" w:cs="宋体"/>
          <w:b/>
          <w:color w:val="auto"/>
          <w:sz w:val="21"/>
          <w:szCs w:val="21"/>
          <w:highlight w:val="none"/>
        </w:rPr>
      </w:pPr>
      <w:r>
        <w:rPr>
          <w:rFonts w:cs="宋体"/>
          <w:b/>
          <w:color w:val="auto"/>
          <w:sz w:val="21"/>
          <w:szCs w:val="21"/>
          <w:highlight w:val="none"/>
        </w:rPr>
        <w:t>11．响应文件的有效期</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color w:val="auto"/>
          <w:kern w:val="2"/>
          <w:szCs w:val="21"/>
          <w:highlight w:val="none"/>
          <w:lang w:val="zh-CN"/>
        </w:rPr>
        <w:t>响应文件的有效期为</w:t>
      </w:r>
      <w:r>
        <w:rPr>
          <w:rFonts w:hint="eastAsia" w:ascii="宋体" w:hAnsi="宋体" w:cs="宋体"/>
          <w:color w:val="auto"/>
          <w:szCs w:val="21"/>
          <w:highlight w:val="none"/>
        </w:rPr>
        <w:t>磋商截止时间</w:t>
      </w:r>
      <w:r>
        <w:rPr>
          <w:rFonts w:hint="eastAsia" w:ascii="宋体" w:hAnsi="宋体" w:cs="宋体"/>
          <w:color w:val="auto"/>
          <w:kern w:val="2"/>
          <w:szCs w:val="21"/>
          <w:highlight w:val="none"/>
          <w:lang w:val="zh-CN"/>
        </w:rPr>
        <w:t>之日后90日历天。不足有效期的视为非实质性响应，其磋商将被拒绝。</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11.2在原定有效期满之前，如果出现特殊情况，采购人可以以书面形式向供应商提出延长磋商有效期的要求，供应商对此须以书面形式予以答复。同意延长有效期的供应商不能修改响应文件。</w:t>
      </w:r>
    </w:p>
    <w:p>
      <w:pPr>
        <w:snapToGrid w:val="0"/>
        <w:spacing w:line="360" w:lineRule="auto"/>
        <w:ind w:firstLine="422" w:firstLineChars="200"/>
        <w:rPr>
          <w:rFonts w:ascii="宋体" w:hAnsi="宋体" w:cs="宋体"/>
          <w:b/>
          <w:color w:val="auto"/>
          <w:szCs w:val="21"/>
          <w:highlight w:val="none"/>
        </w:rPr>
      </w:pPr>
      <w:bookmarkStart w:id="39" w:name="_Toc183786418"/>
      <w:r>
        <w:rPr>
          <w:rFonts w:hint="eastAsia" w:ascii="宋体" w:hAnsi="宋体" w:cs="宋体"/>
          <w:b/>
          <w:color w:val="auto"/>
          <w:szCs w:val="21"/>
          <w:highlight w:val="none"/>
        </w:rPr>
        <w:t>12．响应文件的规定</w:t>
      </w:r>
    </w:p>
    <w:p>
      <w:pPr>
        <w:pStyle w:val="43"/>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12.1本项目实行网上投标。</w:t>
      </w:r>
    </w:p>
    <w:p>
      <w:pPr>
        <w:pStyle w:val="43"/>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12.2供应商应准备二种形式的响应文件：电子加密响应文件、备份响应文件。</w:t>
      </w:r>
    </w:p>
    <w:p>
      <w:pPr>
        <w:pStyle w:val="43"/>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响应文件均由资格文件、报价文件、商务技术文件组成。</w:t>
      </w:r>
    </w:p>
    <w:p>
      <w:pPr>
        <w:pStyle w:val="43"/>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（1）“电子加密响应文件”是指通过“电子投标客户端”完成响应文件编制后生成并加密的数据电文形式的响应文件（后缀格式为.jmbs）</w:t>
      </w:r>
    </w:p>
    <w:p>
      <w:pPr>
        <w:pStyle w:val="43"/>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在响应截止时间前发至指定邮箱</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，“备份响应文件”不强制要求提供。。</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12.3响应文件须按照采购文件要求加盖供应商公章或电子签章（除此之外的投标专用章、合同章等均视为无效）。</w:t>
      </w:r>
    </w:p>
    <w:p>
      <w:pPr>
        <w:pStyle w:val="4"/>
        <w:spacing w:line="360" w:lineRule="auto"/>
        <w:rPr>
          <w:rFonts w:ascii="宋体" w:hAnsi="宋体" w:eastAsia="宋体" w:cs="宋体"/>
          <w:b/>
          <w:color w:val="auto"/>
          <w:sz w:val="21"/>
          <w:szCs w:val="21"/>
          <w:highlight w:val="none"/>
        </w:rPr>
      </w:pPr>
      <w:bookmarkStart w:id="40" w:name="_Toc19905"/>
      <w:bookmarkStart w:id="41" w:name="_Toc18716"/>
      <w:r>
        <w:rPr>
          <w:rFonts w:hint="eastAsia" w:ascii="宋体" w:hAnsi="宋体" w:eastAsia="宋体" w:cs="宋体"/>
          <w:b/>
          <w:color w:val="auto"/>
          <w:sz w:val="21"/>
          <w:szCs w:val="21"/>
          <w:highlight w:val="none"/>
        </w:rPr>
        <w:t>四、响应文件的递交</w:t>
      </w:r>
      <w:bookmarkEnd w:id="39"/>
      <w:bookmarkEnd w:id="40"/>
      <w:bookmarkEnd w:id="41"/>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13.响应文件的上传和递交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见供应商须知前附表“响应文件的上传和递交”。</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14．响应文件的修改与撤回</w:t>
      </w:r>
    </w:p>
    <w:p>
      <w:pPr>
        <w:pStyle w:val="43"/>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14.1 在响应截止时间前，供应商均可撤回其已上传的电子加密响应文件，进行内容修改。修改后重新上传、递交。响应截止时间前未完成上传、递交的，视为撤回响应文件。响应截止时间后递交的电子加密响应文件，“杭州交投集中采购平台”将予以拒收。</w:t>
      </w:r>
    </w:p>
    <w:p>
      <w:pPr>
        <w:pStyle w:val="43"/>
        <w:snapToGrid w:val="0"/>
        <w:spacing w:line="360" w:lineRule="auto"/>
        <w:ind w:firstLine="420"/>
        <w:rPr>
          <w:rFonts w:ascii="宋体" w:hAnsi="宋体" w:cs="宋体"/>
          <w:b/>
          <w:color w:val="auto"/>
          <w:szCs w:val="21"/>
          <w:highlight w:val="none"/>
        </w:rPr>
      </w:pPr>
      <w:r>
        <w:rPr>
          <w:rFonts w:hint="eastAsia" w:ascii="宋体" w:hAnsi="宋体" w:cs="宋体"/>
          <w:color w:val="auto"/>
          <w:szCs w:val="21"/>
          <w:highlight w:val="none"/>
        </w:rPr>
        <w:t>14.2 从响应截止期至供应商在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函格式中确定的有效期期满这段时间内，供应商不得撤回其投标。</w:t>
      </w:r>
    </w:p>
    <w:p>
      <w:pPr>
        <w:pStyle w:val="4"/>
        <w:spacing w:line="360" w:lineRule="auto"/>
        <w:rPr>
          <w:rFonts w:ascii="宋体" w:hAnsi="宋体" w:eastAsia="宋体" w:cs="宋体"/>
          <w:b/>
          <w:color w:val="auto"/>
          <w:sz w:val="21"/>
          <w:szCs w:val="21"/>
          <w:highlight w:val="none"/>
        </w:rPr>
      </w:pPr>
      <w:bookmarkStart w:id="42" w:name="_Toc22738"/>
      <w:bookmarkStart w:id="43" w:name="_Toc4116"/>
      <w:bookmarkStart w:id="44" w:name="_Toc207550884"/>
      <w:bookmarkStart w:id="45" w:name="_Toc183786419"/>
      <w:r>
        <w:rPr>
          <w:rFonts w:hint="eastAsia" w:ascii="宋体" w:hAnsi="宋体" w:eastAsia="宋体" w:cs="宋体"/>
          <w:b/>
          <w:color w:val="auto"/>
          <w:sz w:val="21"/>
          <w:szCs w:val="21"/>
          <w:highlight w:val="none"/>
        </w:rPr>
        <w:t>五、开启响应文件</w:t>
      </w:r>
      <w:bookmarkEnd w:id="42"/>
      <w:bookmarkEnd w:id="43"/>
      <w:bookmarkEnd w:id="44"/>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5．开</w:t>
      </w:r>
      <w:r>
        <w:rPr>
          <w:rFonts w:hint="eastAsia" w:ascii="宋体" w:hAnsi="宋体" w:eastAsia="宋体" w:cs="宋体"/>
          <w:b/>
          <w:color w:val="auto"/>
          <w:szCs w:val="21"/>
          <w:highlight w:val="none"/>
          <w:lang w:val="en-US" w:eastAsia="zh-CN"/>
        </w:rPr>
        <w:t>启</w:t>
      </w:r>
      <w:r>
        <w:rPr>
          <w:rFonts w:hint="eastAsia" w:ascii="宋体" w:hAnsi="宋体" w:eastAsia="宋体" w:cs="宋体"/>
          <w:b/>
          <w:color w:val="auto"/>
          <w:szCs w:val="21"/>
          <w:highlight w:val="none"/>
        </w:rPr>
        <w:t>准备</w:t>
      </w:r>
    </w:p>
    <w:p>
      <w:pPr>
        <w:spacing w:line="360" w:lineRule="auto"/>
        <w:ind w:firstLine="480"/>
        <w:rPr>
          <w:rFonts w:hint="eastAsia" w:ascii="宋体" w:hAnsi="宋体" w:cs="宋体"/>
          <w:bCs/>
          <w:color w:val="auto"/>
          <w:kern w:val="2"/>
          <w:szCs w:val="21"/>
          <w:highlight w:val="none"/>
        </w:rPr>
      </w:pPr>
      <w:r>
        <w:rPr>
          <w:rFonts w:hint="eastAsia" w:ascii="宋体" w:hAnsi="宋体" w:cs="宋体"/>
          <w:bCs/>
          <w:color w:val="auto"/>
          <w:kern w:val="2"/>
          <w:szCs w:val="21"/>
          <w:highlight w:val="none"/>
          <w:lang w:val="en-US" w:eastAsia="zh-CN"/>
        </w:rPr>
        <w:t>1</w:t>
      </w:r>
      <w:r>
        <w:rPr>
          <w:rFonts w:hint="eastAsia" w:ascii="宋体" w:hAnsi="宋体" w:cs="宋体"/>
          <w:bCs/>
          <w:color w:val="auto"/>
          <w:kern w:val="2"/>
          <w:szCs w:val="21"/>
          <w:highlight w:val="none"/>
        </w:rPr>
        <w:t>5.1采购代理机构将按照采购文件规定的时间通过杭州交投集中采购平台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p>
    <w:p>
      <w:pPr>
        <w:spacing w:line="360" w:lineRule="auto"/>
        <w:ind w:firstLine="480"/>
        <w:rPr>
          <w:rFonts w:ascii="宋体" w:hAnsi="宋体" w:cs="宋体"/>
          <w:bCs/>
          <w:color w:val="auto"/>
          <w:kern w:val="2"/>
          <w:szCs w:val="21"/>
          <w:highlight w:val="none"/>
        </w:rPr>
      </w:pPr>
      <w:r>
        <w:rPr>
          <w:rFonts w:hint="eastAsia" w:ascii="宋体" w:hAnsi="宋体" w:cs="宋体"/>
          <w:bCs/>
          <w:color w:val="auto"/>
          <w:kern w:val="2"/>
          <w:szCs w:val="21"/>
          <w:highlight w:val="none"/>
          <w:lang w:val="en-US" w:eastAsia="zh-CN"/>
        </w:rPr>
        <w:t>1</w:t>
      </w:r>
      <w:r>
        <w:rPr>
          <w:rFonts w:hint="eastAsia" w:ascii="宋体" w:hAnsi="宋体" w:cs="宋体"/>
          <w:bCs/>
          <w:color w:val="auto"/>
          <w:kern w:val="2"/>
          <w:szCs w:val="21"/>
          <w:highlight w:val="none"/>
        </w:rPr>
        <w:t>5.2 开</w:t>
      </w:r>
      <w:r>
        <w:rPr>
          <w:rFonts w:hint="eastAsia" w:ascii="宋体" w:hAnsi="宋体" w:cs="宋体"/>
          <w:bCs/>
          <w:color w:val="auto"/>
          <w:kern w:val="2"/>
          <w:szCs w:val="21"/>
          <w:highlight w:val="none"/>
          <w:lang w:val="en-US" w:eastAsia="zh-CN"/>
        </w:rPr>
        <w:t>启</w:t>
      </w:r>
      <w:r>
        <w:rPr>
          <w:rFonts w:hint="eastAsia" w:ascii="宋体" w:hAnsi="宋体" w:cs="宋体"/>
          <w:bCs/>
          <w:color w:val="auto"/>
          <w:kern w:val="2"/>
          <w:szCs w:val="21"/>
          <w:highlight w:val="none"/>
        </w:rPr>
        <w:t>流程</w:t>
      </w:r>
    </w:p>
    <w:p>
      <w:pPr>
        <w:spacing w:line="360" w:lineRule="auto"/>
        <w:ind w:firstLine="480"/>
        <w:rPr>
          <w:rFonts w:hint="eastAsia" w:ascii="宋体" w:hAnsi="宋体" w:eastAsia="宋体" w:cs="宋体"/>
          <w:bCs/>
          <w:color w:val="auto"/>
          <w:kern w:val="2"/>
          <w:szCs w:val="21"/>
          <w:highlight w:val="none"/>
          <w:lang w:eastAsia="zh-CN"/>
        </w:rPr>
      </w:pPr>
      <w:r>
        <w:rPr>
          <w:rFonts w:hint="eastAsia" w:ascii="宋体" w:hAnsi="宋体" w:eastAsia="宋体" w:cs="宋体"/>
          <w:bCs/>
          <w:color w:val="auto"/>
          <w:kern w:val="2"/>
          <w:szCs w:val="21"/>
          <w:highlight w:val="none"/>
          <w:lang w:eastAsia="zh-CN"/>
        </w:rPr>
        <w:t>（1）向各</w:t>
      </w:r>
      <w:r>
        <w:rPr>
          <w:rFonts w:hint="eastAsia" w:ascii="宋体" w:hAnsi="宋体" w:eastAsia="宋体" w:cs="宋体"/>
          <w:bCs/>
          <w:color w:val="auto"/>
          <w:kern w:val="2"/>
          <w:szCs w:val="21"/>
          <w:highlight w:val="none"/>
          <w:lang w:val="en-US" w:eastAsia="zh-CN"/>
        </w:rPr>
        <w:t>供应商</w:t>
      </w:r>
      <w:r>
        <w:rPr>
          <w:rFonts w:hint="eastAsia" w:ascii="宋体" w:hAnsi="宋体" w:eastAsia="宋体" w:cs="宋体"/>
          <w:bCs/>
          <w:color w:val="auto"/>
          <w:kern w:val="2"/>
          <w:szCs w:val="21"/>
          <w:highlight w:val="none"/>
          <w:lang w:eastAsia="zh-CN"/>
        </w:rPr>
        <w:t>发出电子加密投标响应文件【开始解密】通知，由</w:t>
      </w:r>
      <w:r>
        <w:rPr>
          <w:rFonts w:hint="eastAsia" w:ascii="宋体" w:hAnsi="宋体" w:eastAsia="宋体" w:cs="宋体"/>
          <w:bCs/>
          <w:color w:val="auto"/>
          <w:kern w:val="2"/>
          <w:szCs w:val="21"/>
          <w:highlight w:val="none"/>
          <w:lang w:val="en-US" w:eastAsia="zh-CN"/>
        </w:rPr>
        <w:t>供应商</w:t>
      </w:r>
      <w:r>
        <w:rPr>
          <w:rFonts w:hint="eastAsia" w:ascii="宋体" w:hAnsi="宋体" w:eastAsia="宋体" w:cs="宋体"/>
          <w:bCs/>
          <w:color w:val="auto"/>
          <w:kern w:val="2"/>
          <w:szCs w:val="21"/>
          <w:highlight w:val="none"/>
          <w:lang w:eastAsia="zh-CN"/>
        </w:rPr>
        <w:t>按</w:t>
      </w:r>
      <w:r>
        <w:rPr>
          <w:rFonts w:hint="eastAsia" w:ascii="宋体" w:hAnsi="宋体" w:eastAsia="宋体" w:cs="宋体"/>
          <w:bCs/>
          <w:color w:val="auto"/>
          <w:kern w:val="2"/>
          <w:szCs w:val="21"/>
          <w:highlight w:val="none"/>
          <w:lang w:val="en-US" w:eastAsia="zh-CN"/>
        </w:rPr>
        <w:t>采购</w:t>
      </w:r>
      <w:r>
        <w:rPr>
          <w:rFonts w:hint="eastAsia" w:ascii="宋体" w:hAnsi="宋体" w:eastAsia="宋体" w:cs="宋体"/>
          <w:bCs/>
          <w:color w:val="auto"/>
          <w:kern w:val="2"/>
          <w:szCs w:val="21"/>
          <w:highlight w:val="none"/>
          <w:lang w:eastAsia="zh-CN"/>
        </w:rPr>
        <w:t>文件规定的时间内自行进行</w:t>
      </w:r>
      <w:r>
        <w:rPr>
          <w:rFonts w:hint="eastAsia" w:ascii="宋体" w:hAnsi="宋体" w:eastAsia="宋体" w:cs="宋体"/>
          <w:bCs/>
          <w:color w:val="auto"/>
          <w:kern w:val="2"/>
          <w:szCs w:val="21"/>
          <w:highlight w:val="none"/>
          <w:lang w:val="en-US" w:eastAsia="zh-CN"/>
        </w:rPr>
        <w:t>响应</w:t>
      </w:r>
      <w:r>
        <w:rPr>
          <w:rFonts w:hint="eastAsia" w:ascii="宋体" w:hAnsi="宋体" w:eastAsia="宋体" w:cs="宋体"/>
          <w:bCs/>
          <w:color w:val="auto"/>
          <w:kern w:val="2"/>
          <w:szCs w:val="21"/>
          <w:highlight w:val="none"/>
          <w:lang w:eastAsia="zh-CN"/>
        </w:rPr>
        <w:t>文件解密。</w:t>
      </w:r>
      <w:r>
        <w:rPr>
          <w:rFonts w:hint="eastAsia" w:ascii="宋体" w:hAnsi="宋体" w:eastAsia="宋体" w:cs="宋体"/>
          <w:bCs/>
          <w:color w:val="auto"/>
          <w:kern w:val="2"/>
          <w:szCs w:val="21"/>
          <w:highlight w:val="none"/>
          <w:lang w:val="en-US" w:eastAsia="zh-CN"/>
        </w:rPr>
        <w:t>供应商</w:t>
      </w:r>
      <w:r>
        <w:rPr>
          <w:rFonts w:hint="eastAsia" w:ascii="宋体" w:hAnsi="宋体" w:eastAsia="宋体" w:cs="宋体"/>
          <w:bCs/>
          <w:color w:val="auto"/>
          <w:kern w:val="2"/>
          <w:szCs w:val="21"/>
          <w:highlight w:val="none"/>
          <w:lang w:eastAsia="zh-CN"/>
        </w:rPr>
        <w:t>在规定的时间内无法完成已递交的“电子加密投标响应文件”解密的，如已按规定递交了备份投标响应文件的，将由</w:t>
      </w:r>
      <w:r>
        <w:rPr>
          <w:rFonts w:hint="eastAsia" w:ascii="宋体" w:hAnsi="宋体" w:eastAsia="宋体" w:cs="宋体"/>
          <w:bCs/>
          <w:color w:val="auto"/>
          <w:kern w:val="2"/>
          <w:szCs w:val="21"/>
          <w:highlight w:val="none"/>
          <w:lang w:val="en-US" w:eastAsia="zh-CN"/>
        </w:rPr>
        <w:t>采购</w:t>
      </w:r>
      <w:r>
        <w:rPr>
          <w:rFonts w:hint="eastAsia" w:ascii="宋体" w:hAnsi="宋体" w:eastAsia="宋体" w:cs="宋体"/>
          <w:bCs/>
          <w:color w:val="auto"/>
          <w:kern w:val="2"/>
          <w:szCs w:val="21"/>
          <w:highlight w:val="none"/>
          <w:lang w:eastAsia="zh-CN"/>
        </w:rPr>
        <w:t>代理机构按“杭州交投集中采购平台”操作规范将备份投标响应文件上传至“杭州交投集中采购平台”，上传成功后，“电子加密投标响应文件”自动失效。</w:t>
      </w:r>
    </w:p>
    <w:p>
      <w:pPr>
        <w:spacing w:line="360" w:lineRule="auto"/>
        <w:ind w:firstLine="480"/>
        <w:rPr>
          <w:rFonts w:hint="eastAsia" w:ascii="宋体" w:hAnsi="宋体" w:eastAsia="宋体" w:cs="宋体"/>
          <w:bCs/>
          <w:color w:val="auto"/>
          <w:kern w:val="2"/>
          <w:szCs w:val="21"/>
          <w:highlight w:val="none"/>
          <w:lang w:eastAsia="zh-CN"/>
        </w:rPr>
      </w:pPr>
      <w:r>
        <w:rPr>
          <w:rFonts w:hint="eastAsia" w:ascii="宋体" w:hAnsi="宋体" w:eastAsia="宋体" w:cs="宋体"/>
          <w:bCs/>
          <w:color w:val="auto"/>
          <w:kern w:val="2"/>
          <w:szCs w:val="21"/>
          <w:highlight w:val="none"/>
          <w:lang w:eastAsia="zh-CN"/>
        </w:rPr>
        <w:t>（2）开启</w:t>
      </w:r>
      <w:r>
        <w:rPr>
          <w:rFonts w:hint="eastAsia" w:ascii="宋体" w:hAnsi="宋体" w:eastAsia="宋体" w:cs="宋体"/>
          <w:bCs/>
          <w:color w:val="auto"/>
          <w:kern w:val="2"/>
          <w:szCs w:val="21"/>
          <w:highlight w:val="none"/>
          <w:lang w:val="en-US" w:eastAsia="zh-CN"/>
        </w:rPr>
        <w:t>响应</w:t>
      </w:r>
      <w:r>
        <w:rPr>
          <w:rFonts w:hint="eastAsia" w:ascii="宋体" w:hAnsi="宋体" w:eastAsia="宋体" w:cs="宋体"/>
          <w:bCs/>
          <w:color w:val="auto"/>
          <w:kern w:val="2"/>
          <w:szCs w:val="21"/>
          <w:highlight w:val="none"/>
          <w:lang w:eastAsia="zh-CN"/>
        </w:rPr>
        <w:t>文件。</w:t>
      </w:r>
    </w:p>
    <w:p>
      <w:pPr>
        <w:spacing w:line="360" w:lineRule="auto"/>
        <w:ind w:firstLine="480"/>
        <w:rPr>
          <w:rFonts w:hint="eastAsia" w:ascii="宋体" w:hAnsi="宋体" w:eastAsia="宋体" w:cs="宋体"/>
          <w:bCs/>
          <w:color w:val="auto"/>
          <w:kern w:val="2"/>
          <w:szCs w:val="21"/>
          <w:highlight w:val="none"/>
          <w:lang w:eastAsia="zh-CN"/>
        </w:rPr>
      </w:pPr>
      <w:r>
        <w:rPr>
          <w:rFonts w:hint="eastAsia" w:ascii="宋体" w:hAnsi="宋体" w:eastAsia="宋体" w:cs="宋体"/>
          <w:bCs/>
          <w:color w:val="auto"/>
          <w:kern w:val="2"/>
          <w:szCs w:val="21"/>
          <w:highlight w:val="none"/>
          <w:lang w:eastAsia="zh-CN"/>
        </w:rPr>
        <w:t>特别说明：1、如遇“杭州交投集中采购平台”电子化开标或评审程序调整的，按调整后程序执行。</w:t>
      </w:r>
    </w:p>
    <w:p>
      <w:pPr>
        <w:spacing w:line="360" w:lineRule="auto"/>
        <w:ind w:firstLine="480"/>
        <w:rPr>
          <w:rFonts w:hint="eastAsia" w:ascii="宋体" w:hAnsi="宋体" w:eastAsia="宋体" w:cs="宋体"/>
          <w:bCs/>
          <w:color w:val="auto"/>
          <w:kern w:val="2"/>
          <w:szCs w:val="21"/>
          <w:highlight w:val="none"/>
          <w:lang w:eastAsia="zh-CN"/>
        </w:rPr>
      </w:pPr>
      <w:r>
        <w:rPr>
          <w:rFonts w:hint="eastAsia" w:ascii="宋体" w:hAnsi="宋体" w:eastAsia="宋体" w:cs="宋体"/>
          <w:bCs/>
          <w:color w:val="auto"/>
          <w:kern w:val="2"/>
          <w:szCs w:val="21"/>
          <w:highlight w:val="none"/>
          <w:lang w:val="en-US" w:eastAsia="zh-CN"/>
        </w:rPr>
        <w:t>15.3</w:t>
      </w:r>
      <w:r>
        <w:rPr>
          <w:rFonts w:hint="eastAsia" w:ascii="宋体" w:hAnsi="宋体" w:eastAsia="宋体" w:cs="宋体"/>
          <w:bCs/>
          <w:color w:val="auto"/>
          <w:kern w:val="2"/>
          <w:szCs w:val="21"/>
          <w:highlight w:val="none"/>
          <w:lang w:eastAsia="zh-CN"/>
        </w:rPr>
        <w:t>电子加密投标响应文件的解密和异常情况处理：</w:t>
      </w:r>
    </w:p>
    <w:p>
      <w:pPr>
        <w:spacing w:line="360" w:lineRule="auto"/>
        <w:ind w:firstLine="480"/>
        <w:rPr>
          <w:rFonts w:hint="eastAsia" w:ascii="宋体" w:hAnsi="宋体" w:eastAsia="宋体" w:cs="宋体"/>
          <w:bCs/>
          <w:color w:val="auto"/>
          <w:kern w:val="2"/>
          <w:szCs w:val="21"/>
          <w:highlight w:val="none"/>
          <w:lang w:eastAsia="zh-CN"/>
        </w:rPr>
      </w:pPr>
      <w:r>
        <w:rPr>
          <w:rFonts w:hint="eastAsia" w:ascii="宋体" w:hAnsi="宋体" w:eastAsia="宋体" w:cs="宋体"/>
          <w:bCs/>
          <w:color w:val="auto"/>
          <w:kern w:val="2"/>
          <w:szCs w:val="21"/>
          <w:highlight w:val="none"/>
          <w:lang w:eastAsia="zh-CN"/>
        </w:rPr>
        <w:t>（1）开标后，</w:t>
      </w:r>
      <w:r>
        <w:rPr>
          <w:rFonts w:hint="eastAsia" w:ascii="宋体" w:hAnsi="宋体" w:eastAsia="宋体" w:cs="宋体"/>
          <w:bCs/>
          <w:color w:val="auto"/>
          <w:kern w:val="2"/>
          <w:szCs w:val="21"/>
          <w:highlight w:val="none"/>
          <w:lang w:val="en-US" w:eastAsia="zh-CN"/>
        </w:rPr>
        <w:t>采购</w:t>
      </w:r>
      <w:r>
        <w:rPr>
          <w:rFonts w:hint="eastAsia" w:ascii="宋体" w:hAnsi="宋体" w:eastAsia="宋体" w:cs="宋体"/>
          <w:bCs/>
          <w:color w:val="auto"/>
          <w:kern w:val="2"/>
          <w:szCs w:val="21"/>
          <w:highlight w:val="none"/>
          <w:lang w:eastAsia="zh-CN"/>
        </w:rPr>
        <w:t>人将向各</w:t>
      </w:r>
      <w:r>
        <w:rPr>
          <w:rFonts w:hint="eastAsia" w:ascii="宋体" w:hAnsi="宋体" w:eastAsia="宋体" w:cs="宋体"/>
          <w:bCs/>
          <w:color w:val="auto"/>
          <w:kern w:val="2"/>
          <w:szCs w:val="21"/>
          <w:highlight w:val="none"/>
          <w:lang w:val="en-US" w:eastAsia="zh-CN"/>
        </w:rPr>
        <w:t>供应商</w:t>
      </w:r>
      <w:r>
        <w:rPr>
          <w:rFonts w:hint="eastAsia" w:ascii="宋体" w:hAnsi="宋体" w:eastAsia="宋体" w:cs="宋体"/>
          <w:bCs/>
          <w:color w:val="auto"/>
          <w:kern w:val="2"/>
          <w:szCs w:val="21"/>
          <w:highlight w:val="none"/>
          <w:lang w:eastAsia="zh-CN"/>
        </w:rPr>
        <w:t>发出“电子加密投标响应文件”的解密通知，各</w:t>
      </w:r>
      <w:r>
        <w:rPr>
          <w:rFonts w:hint="eastAsia" w:ascii="宋体" w:hAnsi="宋体" w:eastAsia="宋体" w:cs="宋体"/>
          <w:bCs/>
          <w:color w:val="auto"/>
          <w:kern w:val="2"/>
          <w:szCs w:val="21"/>
          <w:highlight w:val="none"/>
          <w:lang w:val="en-US" w:eastAsia="zh-CN"/>
        </w:rPr>
        <w:t>供应商</w:t>
      </w:r>
      <w:r>
        <w:rPr>
          <w:rFonts w:hint="eastAsia" w:ascii="宋体" w:hAnsi="宋体" w:eastAsia="宋体" w:cs="宋体"/>
          <w:bCs/>
          <w:color w:val="auto"/>
          <w:kern w:val="2"/>
          <w:szCs w:val="21"/>
          <w:highlight w:val="none"/>
          <w:lang w:eastAsia="zh-CN"/>
        </w:rPr>
        <w:t>代表应当在接到解密通知后30分钟内自行完成“电子加密投标响应文件”的在线解密。</w:t>
      </w:r>
    </w:p>
    <w:p>
      <w:pPr>
        <w:spacing w:line="360" w:lineRule="auto"/>
        <w:ind w:firstLine="480"/>
        <w:rPr>
          <w:rFonts w:hint="eastAsia" w:ascii="宋体" w:hAnsi="宋体" w:eastAsia="宋体" w:cs="宋体"/>
          <w:bCs/>
          <w:color w:val="auto"/>
          <w:kern w:val="2"/>
          <w:szCs w:val="21"/>
          <w:highlight w:val="none"/>
          <w:lang w:eastAsia="zh-CN"/>
        </w:rPr>
      </w:pPr>
      <w:r>
        <w:rPr>
          <w:rFonts w:hint="eastAsia" w:ascii="宋体" w:hAnsi="宋体" w:eastAsia="宋体" w:cs="宋体"/>
          <w:bCs/>
          <w:color w:val="auto"/>
          <w:kern w:val="2"/>
          <w:szCs w:val="21"/>
          <w:highlight w:val="none"/>
          <w:lang w:eastAsia="zh-CN"/>
        </w:rPr>
        <w:t>（2）通过“杭州交投集中采购平台”成功上传递交的“电子加密投标响应文件”无法按时解密，</w:t>
      </w:r>
      <w:r>
        <w:rPr>
          <w:rFonts w:hint="eastAsia" w:ascii="宋体" w:hAnsi="宋体" w:eastAsia="宋体" w:cs="宋体"/>
          <w:bCs/>
          <w:color w:val="auto"/>
          <w:kern w:val="2"/>
          <w:szCs w:val="21"/>
          <w:highlight w:val="none"/>
          <w:lang w:val="en-US" w:eastAsia="zh-CN"/>
        </w:rPr>
        <w:t>供应商</w:t>
      </w:r>
      <w:r>
        <w:rPr>
          <w:rFonts w:hint="eastAsia" w:ascii="宋体" w:hAnsi="宋体" w:eastAsia="宋体" w:cs="宋体"/>
          <w:bCs/>
          <w:color w:val="auto"/>
          <w:kern w:val="2"/>
          <w:szCs w:val="21"/>
          <w:highlight w:val="none"/>
          <w:lang w:eastAsia="zh-CN"/>
        </w:rPr>
        <w:t>如按规定递交了“备份投标响应文件”的，以“备份投标响应文件”为依据（由</w:t>
      </w:r>
      <w:r>
        <w:rPr>
          <w:rFonts w:hint="eastAsia" w:ascii="宋体" w:hAnsi="宋体" w:eastAsia="宋体" w:cs="宋体"/>
          <w:bCs/>
          <w:color w:val="auto"/>
          <w:kern w:val="2"/>
          <w:szCs w:val="21"/>
          <w:highlight w:val="none"/>
          <w:lang w:val="en-US" w:eastAsia="zh-CN"/>
        </w:rPr>
        <w:t>采购</w:t>
      </w:r>
      <w:r>
        <w:rPr>
          <w:rFonts w:hint="eastAsia" w:ascii="宋体" w:hAnsi="宋体" w:eastAsia="宋体" w:cs="宋体"/>
          <w:bCs/>
          <w:color w:val="auto"/>
          <w:kern w:val="2"/>
          <w:szCs w:val="21"/>
          <w:highlight w:val="none"/>
          <w:lang w:eastAsia="zh-CN"/>
        </w:rPr>
        <w:t>人按“杭州交投集中采购平台”操作规范将“备份投标响应文件”上传至“杭州交投集中采购平台”，上传成功后，“电子加密投标响应文件”自动失效），否则视为</w:t>
      </w:r>
      <w:r>
        <w:rPr>
          <w:rFonts w:hint="eastAsia" w:ascii="宋体" w:hAnsi="宋体" w:eastAsia="宋体" w:cs="宋体"/>
          <w:bCs/>
          <w:color w:val="auto"/>
          <w:kern w:val="2"/>
          <w:szCs w:val="21"/>
          <w:highlight w:val="none"/>
          <w:lang w:val="en-US" w:eastAsia="zh-CN"/>
        </w:rPr>
        <w:t>响应</w:t>
      </w:r>
      <w:r>
        <w:rPr>
          <w:rFonts w:hint="eastAsia" w:ascii="宋体" w:hAnsi="宋体" w:eastAsia="宋体" w:cs="宋体"/>
          <w:bCs/>
          <w:color w:val="auto"/>
          <w:kern w:val="2"/>
          <w:szCs w:val="21"/>
          <w:highlight w:val="none"/>
          <w:lang w:eastAsia="zh-CN"/>
        </w:rPr>
        <w:t>文件撤回。</w:t>
      </w:r>
    </w:p>
    <w:p>
      <w:pPr>
        <w:spacing w:line="360" w:lineRule="auto"/>
        <w:ind w:firstLine="480"/>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rPr>
        <w:t>（3）</w:t>
      </w:r>
      <w:r>
        <w:rPr>
          <w:rFonts w:hint="eastAsia" w:ascii="宋体" w:hAnsi="宋体" w:eastAsia="宋体" w:cs="宋体"/>
          <w:bCs/>
          <w:color w:val="auto"/>
          <w:kern w:val="2"/>
          <w:szCs w:val="21"/>
          <w:highlight w:val="none"/>
          <w:lang w:val="en-US" w:eastAsia="zh-CN"/>
        </w:rPr>
        <w:t>响应</w:t>
      </w:r>
      <w:r>
        <w:rPr>
          <w:rFonts w:hint="eastAsia" w:ascii="宋体" w:hAnsi="宋体" w:eastAsia="宋体" w:cs="宋体"/>
          <w:bCs/>
          <w:color w:val="auto"/>
          <w:kern w:val="2"/>
          <w:szCs w:val="21"/>
          <w:highlight w:val="none"/>
        </w:rPr>
        <w:t>截止时间前，</w:t>
      </w:r>
      <w:r>
        <w:rPr>
          <w:rFonts w:hint="eastAsia" w:ascii="宋体" w:hAnsi="宋体" w:eastAsia="宋体" w:cs="宋体"/>
          <w:bCs/>
          <w:color w:val="auto"/>
          <w:kern w:val="2"/>
          <w:szCs w:val="21"/>
          <w:highlight w:val="none"/>
          <w:lang w:val="en-US" w:eastAsia="zh-CN"/>
        </w:rPr>
        <w:t>供应商</w:t>
      </w:r>
      <w:r>
        <w:rPr>
          <w:rFonts w:hint="eastAsia" w:ascii="宋体" w:hAnsi="宋体" w:eastAsia="宋体" w:cs="宋体"/>
          <w:bCs/>
          <w:color w:val="auto"/>
          <w:kern w:val="2"/>
          <w:szCs w:val="21"/>
          <w:highlight w:val="none"/>
        </w:rPr>
        <w:t>仅递交了“备份投标响应文件”而未将电子加密投标响应文件上传至“杭州交投集中采购平台”的，</w:t>
      </w:r>
      <w:r>
        <w:rPr>
          <w:rFonts w:hint="eastAsia" w:ascii="宋体" w:hAnsi="宋体" w:eastAsia="宋体" w:cs="宋体"/>
          <w:bCs/>
          <w:color w:val="auto"/>
          <w:kern w:val="2"/>
          <w:szCs w:val="21"/>
          <w:highlight w:val="none"/>
          <w:lang w:val="en-US" w:eastAsia="zh-CN"/>
        </w:rPr>
        <w:t>响应</w:t>
      </w:r>
      <w:r>
        <w:rPr>
          <w:rFonts w:hint="eastAsia" w:ascii="宋体" w:hAnsi="宋体" w:eastAsia="宋体" w:cs="宋体"/>
          <w:bCs/>
          <w:color w:val="auto"/>
          <w:kern w:val="2"/>
          <w:szCs w:val="21"/>
          <w:highlight w:val="none"/>
        </w:rPr>
        <w:t>无效。</w:t>
      </w:r>
    </w:p>
    <w:p>
      <w:pPr>
        <w:pStyle w:val="4"/>
        <w:spacing w:line="360" w:lineRule="auto"/>
        <w:rPr>
          <w:rFonts w:ascii="宋体" w:hAnsi="宋体" w:eastAsia="宋体" w:cs="宋体"/>
          <w:b/>
          <w:color w:val="auto"/>
          <w:sz w:val="21"/>
          <w:szCs w:val="21"/>
          <w:highlight w:val="none"/>
        </w:rPr>
      </w:pPr>
      <w:bookmarkStart w:id="46" w:name="_Toc28433"/>
      <w:bookmarkStart w:id="47" w:name="_Toc9489"/>
      <w:r>
        <w:rPr>
          <w:rFonts w:hint="eastAsia" w:ascii="宋体" w:hAnsi="宋体" w:eastAsia="宋体" w:cs="宋体"/>
          <w:b/>
          <w:color w:val="auto"/>
          <w:sz w:val="21"/>
          <w:szCs w:val="21"/>
          <w:highlight w:val="none"/>
        </w:rPr>
        <w:t>六、</w:t>
      </w:r>
      <w:bookmarkEnd w:id="45"/>
      <w:r>
        <w:rPr>
          <w:rFonts w:hint="eastAsia" w:ascii="宋体" w:hAnsi="宋体" w:eastAsia="宋体" w:cs="宋体"/>
          <w:b/>
          <w:color w:val="auto"/>
          <w:sz w:val="21"/>
          <w:szCs w:val="21"/>
          <w:highlight w:val="none"/>
        </w:rPr>
        <w:t>磋商人员及相关原则</w:t>
      </w:r>
      <w:bookmarkEnd w:id="46"/>
      <w:bookmarkEnd w:id="47"/>
    </w:p>
    <w:p>
      <w:pPr>
        <w:spacing w:line="360" w:lineRule="auto"/>
        <w:ind w:firstLine="482"/>
        <w:rPr>
          <w:rFonts w:hint="default" w:ascii="宋体" w:hAnsi="宋体" w:eastAsia="宋体" w:cs="宋体"/>
          <w:b/>
          <w:color w:val="auto"/>
          <w:szCs w:val="21"/>
          <w:highlight w:val="none"/>
          <w:lang w:val="en-US" w:eastAsia="zh-CN"/>
        </w:rPr>
      </w:pPr>
      <w:bookmarkStart w:id="48" w:name="_Toc183786420"/>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．参加磋商人员</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在线磋商）</w:t>
      </w:r>
    </w:p>
    <w:p>
      <w:pPr>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 供应商应派法定代表人的授权代表参加磋商。该授权代表须出具法定代表人资格证明及授权委托书（格式详见第五部分），并出示身份证件。授权代表如是法定代表人的，只须提供法定代表人证明并出示相关证明、证件即可。如是法定代表人参加磋商且又授权其代表参加磋商，则磋商工作将以法定代表人的授权代表为准。</w:t>
      </w:r>
    </w:p>
    <w:p>
      <w:pPr>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.2未能出示上述文件或者证件的，磋商小组将拒绝与该供应商磋商。</w:t>
      </w:r>
    </w:p>
    <w:p>
      <w:pPr>
        <w:tabs>
          <w:tab w:val="left" w:pos="7140"/>
        </w:tabs>
        <w:spacing w:line="360" w:lineRule="auto"/>
        <w:ind w:firstLine="480"/>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.磋商小组</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.1磋商小组由采购人代表和评审专家共3人及以上单数组成，其中评审专家人数不少于磋商小组成员总数的2/3。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.2评审专家应当遵守评审工作纪律，不得泄露评审情况和评审中获悉的商业秘密。</w:t>
      </w:r>
    </w:p>
    <w:p>
      <w:pPr>
        <w:spacing w:line="360" w:lineRule="auto"/>
        <w:ind w:firstLine="420" w:firstLineChars="200"/>
        <w:rPr>
          <w:rFonts w:ascii="宋体" w:hAnsi="宋体" w:cs="宋体"/>
          <w:color w:val="auto"/>
          <w:kern w:val="2"/>
          <w:szCs w:val="21"/>
          <w:highlight w:val="none"/>
          <w:lang w:val="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w:t>
      </w:r>
      <w:r>
        <w:rPr>
          <w:rFonts w:hint="eastAsia" w:ascii="宋体" w:hAnsi="宋体" w:cs="宋体"/>
          <w:color w:val="auto"/>
          <w:kern w:val="2"/>
          <w:szCs w:val="21"/>
          <w:highlight w:val="none"/>
        </w:rPr>
        <w:t>磋商小组在评审过程中发现供应商有行贿、提供虚假材料或者串通等违法行为的，应当及时向</w:t>
      </w:r>
      <w:r>
        <w:rPr>
          <w:rFonts w:hint="eastAsia" w:ascii="宋体" w:hAnsi="宋体" w:cs="宋体"/>
          <w:color w:val="auto"/>
          <w:kern w:val="2"/>
          <w:szCs w:val="21"/>
          <w:highlight w:val="none"/>
          <w:lang w:val="en-US" w:eastAsia="zh-CN"/>
        </w:rPr>
        <w:t>监督单位</w:t>
      </w:r>
      <w:r>
        <w:rPr>
          <w:rFonts w:hint="eastAsia" w:ascii="宋体" w:hAnsi="宋体" w:cs="宋体"/>
          <w:color w:val="auto"/>
          <w:kern w:val="2"/>
          <w:szCs w:val="21"/>
          <w:highlight w:val="none"/>
        </w:rPr>
        <w:t>报告。</w:t>
      </w:r>
    </w:p>
    <w:p>
      <w:pPr>
        <w:spacing w:line="360" w:lineRule="auto"/>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1</w:t>
      </w:r>
      <w:r>
        <w:rPr>
          <w:rFonts w:hint="eastAsia" w:ascii="宋体" w:hAnsi="宋体" w:cs="宋体"/>
          <w:color w:val="auto"/>
          <w:kern w:val="2"/>
          <w:szCs w:val="21"/>
          <w:highlight w:val="none"/>
          <w:lang w:val="en-US" w:eastAsia="zh-CN"/>
        </w:rPr>
        <w:t>7</w:t>
      </w:r>
      <w:r>
        <w:rPr>
          <w:rFonts w:hint="eastAsia" w:ascii="宋体" w:hAnsi="宋体" w:cs="宋体"/>
          <w:color w:val="auto"/>
          <w:kern w:val="2"/>
          <w:szCs w:val="21"/>
          <w:highlight w:val="none"/>
        </w:rPr>
        <w:t>.4评审专家在评审过程中受到非法干涉的，应当及时向</w:t>
      </w:r>
      <w:r>
        <w:rPr>
          <w:rFonts w:hint="eastAsia" w:ascii="宋体" w:hAnsi="宋体" w:cs="宋体"/>
          <w:color w:val="auto"/>
          <w:kern w:val="2"/>
          <w:szCs w:val="21"/>
          <w:highlight w:val="none"/>
          <w:lang w:val="en-US" w:eastAsia="zh-CN"/>
        </w:rPr>
        <w:t>监督单位</w:t>
      </w:r>
      <w:r>
        <w:rPr>
          <w:rFonts w:hint="eastAsia" w:ascii="宋体" w:hAnsi="宋体" w:cs="宋体"/>
          <w:color w:val="auto"/>
          <w:kern w:val="2"/>
          <w:szCs w:val="21"/>
          <w:highlight w:val="none"/>
        </w:rPr>
        <w:t>举报。</w:t>
      </w:r>
    </w:p>
    <w:p>
      <w:pPr>
        <w:pStyle w:val="2"/>
        <w:rPr>
          <w:rFonts w:hint="default"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17.</w:t>
      </w:r>
      <w:r>
        <w:rPr>
          <w:rFonts w:hint="eastAsia" w:cs="宋体"/>
          <w:snapToGrid w:val="0"/>
          <w:color w:val="auto"/>
          <w:kern w:val="2"/>
          <w:sz w:val="21"/>
          <w:szCs w:val="21"/>
          <w:highlight w:val="none"/>
          <w:lang w:val="en-US" w:eastAsia="zh-CN" w:bidi="ar-SA"/>
        </w:rPr>
        <w:t>5集采平台评审专家评审费用以 150 元/小时作为支付标准,评标时间不足2小时的按2小时计算;评标时间超过2小时且总评标时间8小时以内的，超过部分每增加1小时增加100元超过部分增加 30分钟但不足1小时的，按1小时计，不足30分钟的不计;单个项目评审费用最高不得超过1000元。评审费由中标单位承担。</w:t>
      </w:r>
    </w:p>
    <w:p>
      <w:pPr>
        <w:pStyle w:val="2"/>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．磋商评审原则</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.1磋商小组成员应当按照客观、公正、审慎的原则，根据磋商文件规定的评审程序、评审方法和评审标准进行独立评审。</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.2客观、公正的对待所有供应商，对所有供应商均采用相同的程序和标准，依据磋商评审程序列。</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.3在磋商期间，供应商不得向磋商小组成员询问与其无关的磋商情况，不得进行旨在影响磋商结果的活动，否则将取消其磋商资格。</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.4在磋商过程中，评审专家不得与供应商私下交换意见，在竞争性磋商工作结束后，评审专家或知情者应严格保密，不得将磋商评审情况告诉与之无关的人（包括供应商）。</w:t>
      </w:r>
    </w:p>
    <w:p>
      <w:pPr>
        <w:spacing w:line="360" w:lineRule="auto"/>
        <w:ind w:firstLine="480"/>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1</w:t>
      </w:r>
      <w:r>
        <w:rPr>
          <w:rFonts w:hint="eastAsia" w:ascii="宋体" w:hAnsi="宋体" w:cs="宋体"/>
          <w:color w:val="auto"/>
          <w:kern w:val="2"/>
          <w:szCs w:val="21"/>
          <w:highlight w:val="none"/>
          <w:lang w:val="en-US" w:eastAsia="zh-CN"/>
        </w:rPr>
        <w:t>8</w:t>
      </w:r>
      <w:r>
        <w:rPr>
          <w:rFonts w:hint="eastAsia" w:ascii="宋体" w:hAnsi="宋体" w:cs="宋体"/>
          <w:color w:val="auto"/>
          <w:kern w:val="2"/>
          <w:szCs w:val="21"/>
          <w:highlight w:val="none"/>
          <w:lang w:val="zh-CN"/>
        </w:rPr>
        <w:t>.5在磋商和评定成交供应商的过程中履约，如有供应商联合故意抬高报价或其他不正当行为，采购人有权中止磋商。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.6采购人不向未成交供应商解释原因。</w:t>
      </w:r>
    </w:p>
    <w:p>
      <w:pPr>
        <w:pStyle w:val="4"/>
        <w:spacing w:line="360" w:lineRule="auto"/>
        <w:rPr>
          <w:rFonts w:ascii="宋体" w:hAnsi="宋体" w:eastAsia="宋体" w:cs="宋体"/>
          <w:b/>
          <w:color w:val="auto"/>
          <w:sz w:val="21"/>
          <w:szCs w:val="21"/>
          <w:highlight w:val="none"/>
        </w:rPr>
      </w:pPr>
      <w:bookmarkStart w:id="49" w:name="_Toc12445"/>
      <w:bookmarkStart w:id="50" w:name="_Toc27954"/>
      <w:r>
        <w:rPr>
          <w:rFonts w:hint="eastAsia" w:ascii="宋体" w:hAnsi="宋体" w:eastAsia="宋体" w:cs="宋体"/>
          <w:b/>
          <w:color w:val="auto"/>
          <w:sz w:val="21"/>
          <w:szCs w:val="21"/>
          <w:highlight w:val="none"/>
        </w:rPr>
        <w:t>七、磋商程序</w:t>
      </w:r>
      <w:bookmarkEnd w:id="49"/>
      <w:bookmarkEnd w:id="50"/>
    </w:p>
    <w:p>
      <w:pPr>
        <w:snapToGrid w:val="0"/>
        <w:spacing w:line="360" w:lineRule="auto"/>
        <w:ind w:firstLine="480"/>
        <w:rPr>
          <w:rFonts w:ascii="宋体" w:hAnsi="宋体" w:cs="宋体"/>
          <w:b/>
          <w:color w:val="auto"/>
          <w:szCs w:val="21"/>
          <w:highlight w:val="none"/>
        </w:rPr>
      </w:pPr>
      <w:r>
        <w:rPr>
          <w:rFonts w:hint="eastAsia" w:ascii="宋体" w:hAnsi="宋体" w:cs="宋体"/>
          <w:b/>
          <w:color w:val="auto"/>
          <w:szCs w:val="21"/>
          <w:highlight w:val="none"/>
          <w:lang w:val="en-US" w:eastAsia="zh-CN"/>
        </w:rPr>
        <w:t>19</w:t>
      </w:r>
      <w:r>
        <w:rPr>
          <w:rFonts w:hint="eastAsia" w:ascii="宋体" w:hAnsi="宋体" w:cs="宋体"/>
          <w:b/>
          <w:color w:val="auto"/>
          <w:szCs w:val="21"/>
          <w:highlight w:val="none"/>
        </w:rPr>
        <w:t>. 对所有响应文件的初审</w:t>
      </w:r>
    </w:p>
    <w:p>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磋商小组首先审查各供应商的资格条件是否满足采购文件的要求。</w:t>
      </w:r>
    </w:p>
    <w:p>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.2符合性评审。审查不合格的，其磋商响应将无效，不再进行后续磋商。如有下列情形的，符合性审查不合格：</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（1）供应商提交两份或两份以上内容不同的磋商响应方案，未声明哪一份有效的；</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（2）磋商响应文件非供应商法定代表人签署的，未提供或提供无效的法定代表人授权书；</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（3）磋商响应文件中法定代表人和授权代表身份证复印件不齐全的；</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（4）磋商响应文件内容未按磋商文件规定盖章的；</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（5）磋商响应文件内容不全或内容字迹模糊辨认不清的等而导致评标活动无法正常进行；</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（6）供应商未按磋商文件变更通知更改磋商响应文件的；</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（7）未实质性响应磋商文件中带“▲”条款要求的磋商响应文件；</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（8）磋商有效期、服务期不能满足磋商文件要求的；</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（9）磋商响应文件附有采购人不能接受的条款；</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highlight w:val="none"/>
        </w:rPr>
        <w:t>（10）供应商提供虚假材料的，或响应情况与事实不符的；</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（11）磋商响应文件中提供了与采购无关的赠品、回扣或者其他商品、服务；</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（12）供应商串通投标，妨碍其他供应商的竞争行为，损害采购人或者其他供应商的合法权益；</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（13）违反国家及政府部门相关法律、法规、文件规定或经磋商小组认定的其他属于重大偏离。</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19</w:t>
      </w:r>
      <w:r>
        <w:rPr>
          <w:rFonts w:hint="eastAsia" w:ascii="宋体" w:hAnsi="宋体" w:cs="宋体"/>
          <w:bCs/>
          <w:color w:val="auto"/>
          <w:szCs w:val="21"/>
          <w:highlight w:val="none"/>
        </w:rPr>
        <w:t>.3在最后报价评审时，如发现下列情形之一的，响应将被视为无效：</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（1）报价超出预算金额或最高限价的；</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（2）报价具有选择性的；</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（3）不接受按采购文件规定的修正错误原则修正后的报价的；</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（4）供应商</w:t>
      </w:r>
      <w:r>
        <w:rPr>
          <w:rFonts w:hint="eastAsia" w:ascii="宋体" w:hAnsi="宋体" w:cs="宋体"/>
          <w:color w:val="auto"/>
          <w:highlight w:val="none"/>
        </w:rPr>
        <w:t>的报价明显低于其他通过符合性审查供应商的报价，有可能影响产品或服务质量或者不能诚信履约，磋商小组要求其在评审现场合理的时间内提供书面说明（必要时提交相关证明材料），供应商未提供书面说明的或提供的书面说明（相关证明材料）不能证明其报价合理性的；</w:t>
      </w:r>
    </w:p>
    <w:p>
      <w:pPr>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（5）供应商提供虚假材料的，或响应情况与事实不符的；</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（6）法律、法规和采购文件规定的其他无效情形。</w:t>
      </w:r>
    </w:p>
    <w:p>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4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.5磋商小组要求供应商澄清、说明或者更正响应文件应当以书面形式作出。供应商的澄清、说明或者更正应当盖单位公章或电子签章。</w:t>
      </w:r>
    </w:p>
    <w:p>
      <w:pPr>
        <w:snapToGrid w:val="0"/>
        <w:spacing w:line="360" w:lineRule="auto"/>
        <w:ind w:firstLine="480"/>
        <w:rPr>
          <w:rFonts w:ascii="宋体" w:hAnsi="宋体" w:cs="宋体"/>
          <w:b/>
          <w:bCs/>
          <w:color w:val="auto"/>
          <w:szCs w:val="21"/>
          <w:highlight w:val="none"/>
          <w:lang w:val="zh-CN"/>
        </w:rPr>
      </w:pPr>
      <w:r>
        <w:rPr>
          <w:rFonts w:hint="eastAsia" w:ascii="宋体" w:hAnsi="宋体" w:cs="宋体"/>
          <w:b/>
          <w:bCs/>
          <w:color w:val="auto"/>
          <w:szCs w:val="21"/>
          <w:highlight w:val="none"/>
          <w:lang w:val="zh-CN"/>
        </w:rPr>
        <w:t>2</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lang w:val="zh-CN"/>
        </w:rPr>
        <w:t>.磋商</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.1初审合格的供应商进入下一步的磋商活动。</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.2磋商小组所有成员应当集中与单一供应商分别进行磋商，并给予所有参加磋商的供应商平等的磋商机会。</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.3在磋商过程中，磋商小组可以根据磋商文件和磋商情况实质性变动采购需求中的技术、服务要求以及合同草案条款。实质性变动的内容，须经采购人代表确认。</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.4磋商文件作出的实质性变动是磋商文件的有效组成部分，磋商小组应当及时同时通知所有参加磋商的供应商。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.5供应商应当按照磋商文件的变动情况和磋商小组的要求重新提交响应文件，并盖单位公章或电子签章。</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.6磋商小组采用综合评分法对供应商的响应文件进行综合评分。</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最后报价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.1磋商结束后，磋商小组要求所有实质性响应的供应商在规定时间内提交最终报价。</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.2最终报价是供应商响应文件的有效组成部分。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.3已提交响应文件的供应商，在提交最后报价之前，若因磋商文件实质性变动导致供应商无法满足采购需求的，允许供应商退出磋商。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.4磋商小组采用综合评分法对供应商的最终报价进行综合评分。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综合评分法，是指响应文件满足磋商文件全部实质性要求且按评审因素的量化指标评审得分最高的供应商为成交候选供应商的评审方法。</w:t>
      </w:r>
    </w:p>
    <w:p>
      <w:pPr>
        <w:numPr>
          <w:ilvl w:val="0"/>
          <w:numId w:val="5"/>
        </w:num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评审因素</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 资信技术部分</w:t>
      </w:r>
    </w:p>
    <w:p>
      <w:pPr>
        <w:snapToGrid w:val="0"/>
        <w:spacing w:line="360" w:lineRule="auto"/>
        <w:ind w:firstLine="420" w:firstLineChars="200"/>
        <w:rPr>
          <w:rFonts w:hint="eastAsia"/>
        </w:rPr>
      </w:pPr>
      <w:r>
        <w:rPr>
          <w:rFonts w:hint="eastAsia" w:ascii="宋体" w:hAnsi="宋体" w:cs="宋体"/>
          <w:color w:val="auto"/>
          <w:szCs w:val="21"/>
          <w:highlight w:val="none"/>
        </w:rPr>
        <w:t>磋商小组对各供应商的技术和服务方案、资信业绩充分审核、讨论及评议后，每人一份评分表，进行独自打分并签名。在统计得分时，如发现某一单项评分超过评分细则规定的分值范围，则该张评分表无效。供应商技术部分的得分为磋商小组各成员的有效评分的算术平均值。评审小组成员个人主观打分偏离所有评审小组成员主观打分平均值30%以上的，由评审委员会启动评分畸高、畸低行为认定程序。</w:t>
      </w:r>
    </w:p>
    <w:tbl>
      <w:tblPr>
        <w:tblStyle w:val="33"/>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19"/>
        <w:gridCol w:w="5886"/>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47" w:type="dxa"/>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319" w:type="dxa"/>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评审项目</w:t>
            </w:r>
          </w:p>
        </w:tc>
        <w:tc>
          <w:tcPr>
            <w:tcW w:w="5886" w:type="dxa"/>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评审内容</w:t>
            </w:r>
          </w:p>
        </w:tc>
        <w:tc>
          <w:tcPr>
            <w:tcW w:w="747" w:type="dxa"/>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347" w:type="dxa"/>
            <w:vMerge w:val="restart"/>
            <w:tcBorders>
              <w:tl2br w:val="nil"/>
              <w:tr2bl w:val="nil"/>
            </w:tcBorders>
            <w:noWrap w:val="0"/>
            <w:vAlign w:val="center"/>
          </w:tcPr>
          <w:p>
            <w:pPr>
              <w:adjustRightInd w:val="0"/>
              <w:snapToGrid w:val="0"/>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资信</w:t>
            </w:r>
            <w:r>
              <w:rPr>
                <w:rFonts w:hint="eastAsia" w:ascii="宋体" w:hAnsi="宋体" w:cs="宋体"/>
                <w:color w:val="auto"/>
                <w:kern w:val="2"/>
                <w:sz w:val="21"/>
                <w:szCs w:val="21"/>
                <w:highlight w:val="none"/>
                <w:lang w:val="en-US" w:eastAsia="zh-CN" w:bidi="ar-SA"/>
              </w:rPr>
              <w:t>技术</w:t>
            </w:r>
          </w:p>
          <w:p>
            <w:pPr>
              <w:adjustRightInd w:val="0"/>
              <w:snapToGrid w:val="0"/>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部分</w:t>
            </w:r>
          </w:p>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（50分）</w:t>
            </w:r>
          </w:p>
        </w:tc>
        <w:tc>
          <w:tcPr>
            <w:tcW w:w="1319" w:type="dxa"/>
            <w:tcBorders>
              <w:tl2br w:val="nil"/>
              <w:tr2bl w:val="nil"/>
            </w:tcBorders>
            <w:noWrap w:val="0"/>
            <w:vAlign w:val="center"/>
          </w:tcPr>
          <w:p>
            <w:pPr>
              <w:adjustRightInd w:val="0"/>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投标文件完整性</w:t>
            </w:r>
          </w:p>
        </w:tc>
        <w:tc>
          <w:tcPr>
            <w:tcW w:w="5886" w:type="dxa"/>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投标文件较为完整真实得8-10分、有少部分漏项、错误或不完整即细微偏差得5-7分、有重大偏差而被裁决为有效的或有较多细微偏差的得0-4分。</w:t>
            </w:r>
          </w:p>
        </w:tc>
        <w:tc>
          <w:tcPr>
            <w:tcW w:w="747" w:type="dxa"/>
            <w:tcBorders>
              <w:tl2br w:val="nil"/>
              <w:tr2bl w:val="nil"/>
            </w:tcBorders>
            <w:noWrap w:val="0"/>
            <w:vAlign w:val="center"/>
          </w:tcPr>
          <w:p>
            <w:pPr>
              <w:adjustRightInd w:val="0"/>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347" w:type="dxa"/>
            <w:vMerge w:val="continue"/>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p>
        </w:tc>
        <w:tc>
          <w:tcPr>
            <w:tcW w:w="1319" w:type="dxa"/>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企业综合实力及信誉</w:t>
            </w:r>
          </w:p>
        </w:tc>
        <w:tc>
          <w:tcPr>
            <w:tcW w:w="5886" w:type="dxa"/>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包括注册资金、资质、资信等级等，突出得7-10分、较好得1-6分。</w:t>
            </w:r>
          </w:p>
        </w:tc>
        <w:tc>
          <w:tcPr>
            <w:tcW w:w="747" w:type="dxa"/>
            <w:tcBorders>
              <w:tl2br w:val="nil"/>
              <w:tr2bl w:val="nil"/>
            </w:tcBorders>
            <w:noWrap w:val="0"/>
            <w:vAlign w:val="center"/>
          </w:tcPr>
          <w:p>
            <w:pPr>
              <w:adjustRightInd w:val="0"/>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347" w:type="dxa"/>
            <w:vMerge w:val="continue"/>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p>
        </w:tc>
        <w:tc>
          <w:tcPr>
            <w:tcW w:w="1319" w:type="dxa"/>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业绩</w:t>
            </w:r>
          </w:p>
        </w:tc>
        <w:tc>
          <w:tcPr>
            <w:tcW w:w="5886" w:type="dxa"/>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近5年内（2019年9月1日至今）拥有合同额8万及以上类似业绩，至少拥有一个类似业绩（得基础分10分）；每增加1个上述业绩得5分，最高得20分。</w:t>
            </w:r>
          </w:p>
        </w:tc>
        <w:tc>
          <w:tcPr>
            <w:tcW w:w="747" w:type="dxa"/>
            <w:tcBorders>
              <w:tl2br w:val="nil"/>
              <w:tr2bl w:val="nil"/>
            </w:tcBorders>
            <w:noWrap w:val="0"/>
            <w:vAlign w:val="center"/>
          </w:tcPr>
          <w:p>
            <w:pPr>
              <w:adjustRightInd w:val="0"/>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347" w:type="dxa"/>
            <w:vMerge w:val="continue"/>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p>
        </w:tc>
        <w:tc>
          <w:tcPr>
            <w:tcW w:w="1319" w:type="dxa"/>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保供措施及</w:t>
            </w:r>
          </w:p>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w:t>
            </w:r>
          </w:p>
        </w:tc>
        <w:tc>
          <w:tcPr>
            <w:tcW w:w="5886" w:type="dxa"/>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完善、合理得8-10分，较好得5-7分，一般得0-4分。</w:t>
            </w:r>
          </w:p>
        </w:tc>
        <w:tc>
          <w:tcPr>
            <w:tcW w:w="747" w:type="dxa"/>
            <w:tcBorders>
              <w:tl2br w:val="nil"/>
              <w:tr2bl w:val="nil"/>
            </w:tcBorders>
            <w:noWrap w:val="0"/>
            <w:vAlign w:val="center"/>
          </w:tcPr>
          <w:p>
            <w:pPr>
              <w:adjustRightInd w:val="0"/>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347" w:type="dxa"/>
            <w:tcBorders>
              <w:tl2br w:val="nil"/>
              <w:tr2bl w:val="nil"/>
            </w:tcBorders>
            <w:noWrap w:val="0"/>
            <w:vAlign w:val="center"/>
          </w:tcPr>
          <w:p>
            <w:pPr>
              <w:adjustRightInd w:val="0"/>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报价部分（50分）</w:t>
            </w:r>
          </w:p>
        </w:tc>
        <w:tc>
          <w:tcPr>
            <w:tcW w:w="13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报价</w:t>
            </w:r>
          </w:p>
        </w:tc>
        <w:tc>
          <w:tcPr>
            <w:tcW w:w="5886" w:type="dxa"/>
            <w:tcBorders>
              <w:tl2br w:val="nil"/>
              <w:tr2bl w:val="nil"/>
            </w:tcBorders>
            <w:noWrap w:val="0"/>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1、评审基准价：采用投标人最低不含税总报价作为评审基准价。</w:t>
            </w:r>
          </w:p>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2、投标人报价每高于评审基准价1%减一分，按百分比以此类推。</w:t>
            </w:r>
          </w:p>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3、投标人报价高于限价，作废处理。</w:t>
            </w:r>
          </w:p>
        </w:tc>
        <w:tc>
          <w:tcPr>
            <w:tcW w:w="747" w:type="dxa"/>
            <w:tcBorders>
              <w:tl2br w:val="nil"/>
              <w:tr2bl w:val="nil"/>
            </w:tcBorders>
            <w:noWrap w:val="0"/>
            <w:vAlign w:val="center"/>
          </w:tcPr>
          <w:p>
            <w:pPr>
              <w:adjustRightInd w:val="0"/>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50</w:t>
            </w:r>
          </w:p>
        </w:tc>
      </w:tr>
    </w:tbl>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 报价部分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价格评</w:t>
      </w:r>
      <w:r>
        <w:rPr>
          <w:rFonts w:hint="eastAsia" w:ascii="宋体" w:hAnsi="宋体" w:cs="宋体"/>
          <w:color w:val="auto"/>
          <w:szCs w:val="21"/>
          <w:highlight w:val="none"/>
          <w:lang w:val="en-US" w:eastAsia="zh-CN"/>
        </w:rPr>
        <w:t>审</w:t>
      </w:r>
      <w:r>
        <w:rPr>
          <w:rFonts w:hint="eastAsia" w:ascii="宋体" w:hAnsi="宋体" w:cs="宋体"/>
          <w:color w:val="auto"/>
          <w:szCs w:val="21"/>
          <w:highlight w:val="none"/>
        </w:rPr>
        <w:t>按综合评分细则对磋商响应供应商的有效磋商报价进行统一计算评分，由磋商小组按综合评分因素及标准要求集体判定评分。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（1）满足采购文件要求且最终有效磋商价格中最低的磋商报价为评</w:t>
      </w:r>
      <w:r>
        <w:rPr>
          <w:rFonts w:hint="eastAsia" w:ascii="宋体" w:hAnsi="宋体" w:cs="宋体"/>
          <w:color w:val="auto"/>
          <w:szCs w:val="21"/>
          <w:highlight w:val="none"/>
          <w:lang w:val="en-US" w:eastAsia="zh-CN"/>
        </w:rPr>
        <w:t>审</w:t>
      </w:r>
      <w:r>
        <w:rPr>
          <w:rFonts w:hint="eastAsia" w:ascii="宋体" w:hAnsi="宋体" w:cs="宋体"/>
          <w:color w:val="auto"/>
          <w:szCs w:val="21"/>
          <w:highlight w:val="none"/>
        </w:rPr>
        <w:t>基准价，其价格分为满分</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（2）其他磋商响应供应商的价格分统一按照下列公式计算：</w:t>
      </w:r>
    </w:p>
    <w:p>
      <w:pPr>
        <w:snapToGrid w:val="0"/>
        <w:spacing w:line="360" w:lineRule="auto"/>
        <w:ind w:firstLine="420" w:firstLineChars="200"/>
        <w:rPr>
          <w:rFonts w:ascii="宋体" w:hAnsi="宋体" w:cs="宋体"/>
          <w:color w:val="0000FF"/>
          <w:szCs w:val="21"/>
          <w:highlight w:val="none"/>
        </w:rPr>
      </w:pPr>
      <w:r>
        <w:rPr>
          <w:rFonts w:hint="eastAsia" w:ascii="宋体" w:hAnsi="宋体" w:cs="宋体"/>
          <w:color w:val="0000FF"/>
          <w:szCs w:val="21"/>
          <w:highlight w:val="none"/>
        </w:rPr>
        <w:t>磋商报价得分=（最终磋商报价/评</w:t>
      </w:r>
      <w:r>
        <w:rPr>
          <w:rFonts w:hint="eastAsia" w:ascii="宋体" w:hAnsi="宋体" w:cs="宋体"/>
          <w:color w:val="0000FF"/>
          <w:szCs w:val="21"/>
          <w:highlight w:val="none"/>
          <w:lang w:val="en-US" w:eastAsia="zh-CN"/>
        </w:rPr>
        <w:t>审</w:t>
      </w:r>
      <w:r>
        <w:rPr>
          <w:rFonts w:hint="eastAsia" w:ascii="宋体" w:hAnsi="宋体" w:cs="宋体"/>
          <w:color w:val="0000FF"/>
          <w:szCs w:val="21"/>
          <w:highlight w:val="none"/>
        </w:rPr>
        <w:t>基准价）×价格权值×100</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报价是</w:t>
      </w:r>
      <w:r>
        <w:rPr>
          <w:rFonts w:hint="eastAsia" w:ascii="宋体" w:hAnsi="宋体" w:cs="宋体"/>
          <w:bCs/>
          <w:color w:val="auto"/>
          <w:szCs w:val="21"/>
          <w:highlight w:val="none"/>
          <w:lang w:val="en-US" w:eastAsia="zh-CN"/>
        </w:rPr>
        <w:t>成交</w:t>
      </w:r>
      <w:r>
        <w:rPr>
          <w:rFonts w:hint="eastAsia" w:ascii="宋体" w:hAnsi="宋体" w:cs="宋体"/>
          <w:bCs/>
          <w:color w:val="auto"/>
          <w:szCs w:val="21"/>
          <w:highlight w:val="none"/>
        </w:rPr>
        <w:t>的一个重要因素，但最低报价不是</w:t>
      </w:r>
      <w:r>
        <w:rPr>
          <w:rFonts w:hint="eastAsia" w:ascii="宋体" w:hAnsi="宋体" w:cs="宋体"/>
          <w:bCs/>
          <w:color w:val="auto"/>
          <w:szCs w:val="21"/>
          <w:highlight w:val="none"/>
          <w:lang w:val="en-US" w:eastAsia="zh-CN"/>
        </w:rPr>
        <w:t>成交</w:t>
      </w:r>
      <w:r>
        <w:rPr>
          <w:rFonts w:hint="eastAsia" w:ascii="宋体" w:hAnsi="宋体" w:cs="宋体"/>
          <w:bCs/>
          <w:color w:val="auto"/>
          <w:szCs w:val="21"/>
          <w:highlight w:val="none"/>
        </w:rPr>
        <w:t>的唯一依据。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此项由评</w:t>
      </w:r>
      <w:r>
        <w:rPr>
          <w:rFonts w:hint="eastAsia" w:ascii="宋体" w:hAnsi="宋体" w:cs="宋体"/>
          <w:color w:val="auto"/>
          <w:szCs w:val="21"/>
          <w:highlight w:val="none"/>
          <w:lang w:val="en-US" w:eastAsia="zh-CN"/>
        </w:rPr>
        <w:t>审</w:t>
      </w:r>
      <w:r>
        <w:rPr>
          <w:rFonts w:hint="eastAsia" w:ascii="宋体" w:hAnsi="宋体" w:cs="宋体"/>
          <w:color w:val="auto"/>
          <w:szCs w:val="21"/>
          <w:highlight w:val="none"/>
        </w:rPr>
        <w:t>委员会集体核实后统一打分。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.3其他</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评分时保留小数点后1位小数，计算评分值时保留小数点后2位小数，由磋商小组当场统一计算。</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供应商的最终总得分为商务技术资信及报价部分得分的总和。</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.4 磋商文件没有规定的评审标准不作为评审依据。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.5 磋商小组成员独立对每个有效响应的文件进行评价、打分，所有磋商小组成员的打分平均值为每个供应商的得分。</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.推荐成交候选供应商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.1磋商小组应当根据综合评分情况，按照评审得分由高到低顺序推荐3名成交候选供应商，并编写评审报告。评审得分相同的，按照最后报价由低到高的顺序推荐。评审得分且最后报价相同的，按照</w:t>
      </w:r>
      <w:r>
        <w:rPr>
          <w:rFonts w:hint="eastAsia" w:ascii="宋体" w:hAnsi="宋体" w:cs="宋体"/>
          <w:color w:val="auto"/>
          <w:szCs w:val="21"/>
          <w:highlight w:val="none"/>
          <w:lang w:val="en-US" w:eastAsia="zh-CN"/>
        </w:rPr>
        <w:t>商务</w:t>
      </w:r>
      <w:r>
        <w:rPr>
          <w:rFonts w:hint="eastAsia" w:ascii="宋体" w:hAnsi="宋体" w:cs="宋体"/>
          <w:color w:val="auto"/>
          <w:szCs w:val="21"/>
          <w:highlight w:val="none"/>
        </w:rPr>
        <w:t>技术指标优劣顺序推荐。</w:t>
      </w:r>
    </w:p>
    <w:p>
      <w:pPr>
        <w:pStyle w:val="4"/>
        <w:spacing w:line="360" w:lineRule="auto"/>
        <w:rPr>
          <w:rFonts w:ascii="宋体" w:hAnsi="宋体" w:eastAsia="宋体" w:cs="宋体"/>
          <w:b/>
          <w:color w:val="auto"/>
          <w:sz w:val="21"/>
          <w:szCs w:val="21"/>
          <w:highlight w:val="none"/>
        </w:rPr>
      </w:pPr>
      <w:bookmarkStart w:id="51" w:name="_Toc21985"/>
      <w:bookmarkStart w:id="52" w:name="_Toc15008"/>
      <w:r>
        <w:rPr>
          <w:rFonts w:hint="eastAsia" w:ascii="宋体" w:hAnsi="宋体" w:eastAsia="宋体" w:cs="宋体"/>
          <w:b/>
          <w:color w:val="auto"/>
          <w:sz w:val="21"/>
          <w:szCs w:val="21"/>
          <w:highlight w:val="none"/>
        </w:rPr>
        <w:t>八、确定成交供应商</w:t>
      </w:r>
      <w:bookmarkEnd w:id="51"/>
      <w:bookmarkEnd w:id="52"/>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.确定成交供应商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.2采购人或者采购代理机构应当在成交供应商确定后2个工作日内，在</w:t>
      </w:r>
      <w:r>
        <w:rPr>
          <w:rFonts w:hint="eastAsia" w:ascii="Arial" w:hAnsi="Arial" w:cs="Arial"/>
          <w:color w:val="auto"/>
          <w:highlight w:val="none"/>
        </w:rPr>
        <w:t>原采购公告发布的</w:t>
      </w:r>
      <w:r>
        <w:rPr>
          <w:rFonts w:ascii="Arial" w:hAnsi="Arial" w:cs="Arial"/>
          <w:color w:val="auto"/>
          <w:highlight w:val="none"/>
        </w:rPr>
        <w:t>网上</w:t>
      </w:r>
      <w:r>
        <w:rPr>
          <w:rFonts w:hint="eastAsia" w:ascii="宋体" w:hAnsi="宋体" w:cs="宋体"/>
          <w:color w:val="auto"/>
          <w:szCs w:val="21"/>
          <w:highlight w:val="none"/>
        </w:rPr>
        <w:t>公告成交结果，同时向成交供应商发出成交通知书。</w:t>
      </w:r>
    </w:p>
    <w:p>
      <w:pPr>
        <w:pStyle w:val="4"/>
        <w:spacing w:before="120" w:after="120" w:line="360" w:lineRule="auto"/>
        <w:rPr>
          <w:rFonts w:ascii="宋体" w:hAnsi="宋体" w:eastAsia="宋体" w:cs="宋体"/>
          <w:b/>
          <w:color w:val="auto"/>
          <w:sz w:val="21"/>
          <w:szCs w:val="21"/>
          <w:highlight w:val="none"/>
        </w:rPr>
      </w:pPr>
      <w:bookmarkStart w:id="53" w:name="_Toc207550888"/>
      <w:bookmarkStart w:id="54" w:name="_Toc24189"/>
      <w:bookmarkStart w:id="55" w:name="_Toc7062"/>
      <w:r>
        <w:rPr>
          <w:rFonts w:hint="eastAsia" w:ascii="宋体" w:hAnsi="宋体" w:eastAsia="宋体" w:cs="宋体"/>
          <w:b/>
          <w:color w:val="auto"/>
          <w:sz w:val="21"/>
          <w:szCs w:val="21"/>
          <w:highlight w:val="none"/>
        </w:rPr>
        <w:t>九、</w:t>
      </w:r>
      <w:bookmarkEnd w:id="53"/>
      <w:r>
        <w:rPr>
          <w:rFonts w:hint="eastAsia" w:ascii="宋体" w:hAnsi="宋体" w:eastAsia="宋体" w:cs="宋体"/>
          <w:b/>
          <w:color w:val="auto"/>
          <w:sz w:val="21"/>
          <w:szCs w:val="21"/>
          <w:highlight w:val="none"/>
        </w:rPr>
        <w:t>签订合同</w:t>
      </w:r>
      <w:bookmarkEnd w:id="54"/>
      <w:bookmarkEnd w:id="55"/>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.签订合同</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.1采购人与成交供应商应当在成交通知书发出之日起30日内，按照磋商文件确定的合同文本以及采购标的和服务要求等事项签订采购合同。</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.2拒签合同的责任</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成交供应商接到成交通知书后，在规定时间内借故否认已经承诺的条件而拒签合同者，以磋商违约处理，应赔偿采购人由此造成的直接经济损失。</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.3签订合同后，成交供应商不得将本项目进行转包。未经采购人同意，成交供应商不得采用分包的形式履行合同。否则，采购人有权终止合同。转包造成采购人损失的，成交供应商还应承担相应的赔偿责任。</w:t>
      </w:r>
    </w:p>
    <w:p>
      <w:pPr>
        <w:rPr>
          <w:rFonts w:ascii="宋体" w:hAnsi="宋体" w:cs="宋体"/>
          <w:color w:val="auto"/>
          <w:highlight w:val="none"/>
          <w:lang w:val="zh-CN"/>
        </w:rPr>
      </w:pPr>
      <w:r>
        <w:rPr>
          <w:rFonts w:ascii="宋体" w:hAnsi="宋体" w:cs="宋体"/>
          <w:color w:val="auto"/>
          <w:highlight w:val="none"/>
          <w:lang w:val="zh-CN"/>
        </w:rPr>
        <w:br w:type="page"/>
      </w:r>
    </w:p>
    <w:p>
      <w:pPr>
        <w:pStyle w:val="13"/>
        <w:ind w:firstLine="210"/>
        <w:rPr>
          <w:rFonts w:ascii="宋体" w:hAnsi="宋体" w:cs="宋体"/>
          <w:color w:val="auto"/>
          <w:highlight w:val="none"/>
          <w:lang w:val="zh-CN"/>
        </w:rPr>
      </w:pPr>
    </w:p>
    <w:bookmarkEnd w:id="10"/>
    <w:bookmarkEnd w:id="11"/>
    <w:bookmarkEnd w:id="48"/>
    <w:p>
      <w:pPr>
        <w:pStyle w:val="3"/>
        <w:snapToGrid w:val="0"/>
        <w:rPr>
          <w:rFonts w:ascii="宋体" w:hAnsi="宋体" w:eastAsia="宋体" w:cs="宋体"/>
          <w:color w:val="auto"/>
          <w:sz w:val="32"/>
          <w:highlight w:val="none"/>
        </w:rPr>
      </w:pPr>
      <w:bookmarkStart w:id="56" w:name="_Toc118516218"/>
      <w:bookmarkStart w:id="57" w:name="_Toc171394922"/>
      <w:bookmarkStart w:id="58" w:name="_Toc15221"/>
      <w:bookmarkStart w:id="59" w:name="_Toc31462"/>
      <w:r>
        <w:rPr>
          <w:rFonts w:hint="eastAsia" w:ascii="宋体" w:hAnsi="宋体" w:eastAsia="宋体" w:cs="宋体"/>
          <w:color w:val="auto"/>
          <w:sz w:val="32"/>
          <w:highlight w:val="none"/>
        </w:rPr>
        <w:t>第三部分</w:t>
      </w:r>
      <w:bookmarkEnd w:id="56"/>
      <w:bookmarkEnd w:id="57"/>
      <w:r>
        <w:rPr>
          <w:rFonts w:hint="eastAsia" w:ascii="宋体" w:hAnsi="宋体" w:eastAsia="宋体" w:cs="宋体"/>
          <w:color w:val="auto"/>
          <w:sz w:val="32"/>
          <w:highlight w:val="none"/>
        </w:rPr>
        <w:t xml:space="preserve"> 用户需求书</w:t>
      </w:r>
      <w:bookmarkEnd w:id="58"/>
      <w:bookmarkEnd w:id="59"/>
    </w:p>
    <w:p>
      <w:pPr>
        <w:spacing w:line="360" w:lineRule="auto"/>
        <w:rPr>
          <w:rFonts w:hint="default" w:ascii="宋体" w:hAnsi="宋体" w:cs="宋体"/>
          <w:b/>
          <w:color w:val="auto"/>
          <w:szCs w:val="21"/>
          <w:highlight w:val="none"/>
          <w:lang w:val="en-US" w:eastAsia="zh-CN"/>
        </w:rPr>
      </w:pPr>
      <w:bookmarkStart w:id="60" w:name="_Toc431977781"/>
      <w:bookmarkStart w:id="61" w:name="_Toc341215290"/>
      <w:bookmarkStart w:id="62" w:name="_Toc352846667"/>
      <w:bookmarkStart w:id="63" w:name="_Toc422946256"/>
      <w:bookmarkStart w:id="64" w:name="_Toc392430900"/>
      <w:r>
        <w:rPr>
          <w:rFonts w:hint="eastAsia" w:ascii="宋体" w:hAnsi="宋体" w:cs="宋体"/>
          <w:b/>
          <w:color w:val="auto"/>
          <w:szCs w:val="21"/>
          <w:highlight w:val="none"/>
          <w:lang w:val="en-US" w:eastAsia="zh-CN"/>
        </w:rPr>
        <w:t>一、项目概况</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因公司技术开发需要，拟采购2024科技计划项目《普通国省道及农村公路沥青路面全寿命综合养护关键技术研究》和《在役混凝土拱桥结构稳定性分析及养护加固对策关键技术研究》的技术开发。预估金额550000元，合同有限期限2024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月至2025年12月。</w:t>
      </w:r>
    </w:p>
    <w:p>
      <w:pPr>
        <w:adjustRightInd w:val="0"/>
        <w:snapToGrid w:val="0"/>
        <w:spacing w:line="380" w:lineRule="exact"/>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 xml:space="preserve">二、采购主要内容  </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1、《普通国省道及农村公路沥青路面全寿命综合养护关键技术研究》，其具体内容主要包括：</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普通国省道及农村公路沥青混凝土路面主要病害特征分析及路面使用性能衰变规律研究。研究包括普通国省道及农村公路沥青路面的基本运营情况，路况、养护情况及病害特征分析，对调研数据结果进行整理与分析，整理出较为完整的杭州地区沥青路面病害特征数据库。</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普通国省道及农村公路沥青路面预防性养护关键技术研究。以基于全寿命周期理念，研究包括沥青路面预防性养护方法、工艺流程、处治要点、质量控制及措施等各方面的精准控制，形成全寿命周期的沥青路面预防性养护施工关键技术。</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普通国省道及农村公路沥青路面专项养护关键技术研究。研究包括病害处理、坑洞修补、垫层与基层维修、路面铣刨、沥青路面摊铺等分项工程的专项养护方法、工艺流程、处治要点、质量控制及措施等各方面的精准控制，形成全寿命周期的沥青路面专项养护施工关键技术。</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普通国省道及农村公路沥青路面标准化施工方法研究。从普通国省道养护工作特点与交通组织出发，以基于LCC理念，对沥青路面预防性养护、专项养护技术进行疏理与总结，优化施工方案，形成标准化养护施工手册，汇总与整合，形成普通国省道沥青路面标准化养护施工手册。</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2、《在役混凝土拱桥结构稳定性分析及养护加固对策关键技术研究》，其具体内容主要包括：</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中承式混凝土拱桥稳定性分析。研究包括中承式混凝土拱桥拱圈截面变形、约束扭转及动力性能分析，并对加固后的结构或构件的承载能力进行数值模拟，结合施工现场修复前后应力试验，分析混凝土拱桥加固修复后的结构承载能力、稳定性及耐久性。</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中承式混凝土拱桥加固修复方法研究。研究包括中承式混凝土拱桥结构露筋除锈、阻锈处理；对结构外观的混凝土破损、空洞病害处理；桥梁构件裂缝处理工艺；桥吊杆进行更换；钢纵梁增设工艺；支座脱空处理工艺等施工方法优化与工艺创新。</w:t>
      </w:r>
    </w:p>
    <w:p>
      <w:pPr>
        <w:spacing w:line="360" w:lineRule="auto"/>
        <w:ind w:firstLine="420" w:firstLineChars="200"/>
        <w:rPr>
          <w:rFonts w:hint="default"/>
          <w:lang w:val="en-US" w:eastAsia="zh-CN"/>
        </w:rPr>
      </w:pPr>
      <w:r>
        <w:rPr>
          <w:rFonts w:hint="eastAsia" w:ascii="宋体" w:hAnsi="宋体" w:eastAsia="宋体" w:cs="宋体"/>
          <w:color w:val="auto"/>
          <w:szCs w:val="21"/>
          <w:highlight w:val="none"/>
          <w:lang w:val="en-US" w:eastAsia="zh-CN"/>
        </w:rPr>
        <w:t>（3）中承式混凝土拱桥加固施工质量控制及标准化施工研究，研究包括中承式混凝土拱桥加固施工方案，标准化养护施工手册，并通过汇总与整合，形成中承式混凝土拱桥加固标准化施工手册。</w:t>
      </w:r>
    </w:p>
    <w:p>
      <w:pPr>
        <w:spacing w:line="360" w:lineRule="auto"/>
        <w:jc w:val="left"/>
        <w:rPr>
          <w:rFonts w:hint="default"/>
          <w:lang w:val="en-US" w:eastAsia="zh-CN"/>
        </w:rPr>
      </w:pPr>
      <w:r>
        <w:rPr>
          <w:rFonts w:hint="eastAsia" w:ascii="宋体" w:hAnsi="宋体" w:cs="宋体"/>
          <w:b/>
          <w:color w:val="auto"/>
          <w:szCs w:val="21"/>
          <w:highlight w:val="none"/>
          <w:lang w:val="en-US" w:eastAsia="zh-CN"/>
        </w:rPr>
        <w:t>三、主要技术指标、参数</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1、《普通国省道及农村公路沥青路面全寿命综合养护关键技术研究》的主要技术指标和参数：</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完成立项报告、研究大纲撰写并通过专家评审；</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完成本课题的结题所需的研究报告（市交通运输学会）</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工作报告；</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手册：普通国省道沥青路面标准化养护施工操作手册</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工法：普通国省道全寿命预防性养护施工工法。（或其它类似工法））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论文1：普通国省道沥青路面技术指标的影响规律与劣化预测</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论文2：基于LCC理念的沥青混凝土路面综合养护方法探析</w:t>
      </w:r>
    </w:p>
    <w:p>
      <w:pPr>
        <w:adjustRightInd w:val="0"/>
        <w:snapToGrid w:val="0"/>
        <w:spacing w:line="3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2、《在役混凝土拱桥结构稳定性分析及养护加固对策关键技术研究》的主要技术指标和参数：</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完成立项报告、研究大纲撰写并通过专家评审；</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完成本课题的结题所需的研究报告（市交通运输学会）</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工作报告；</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手册：混凝土拱桥养护加固施工手册</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工法1：混凝土拱桥吊杆更换施工工法（企业级）</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工法2：混凝土拱桥钢纵梁增设施工工法（企业级）</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公开发表学术论文（省级及以上）2篇</w:t>
      </w:r>
    </w:p>
    <w:p>
      <w:pPr>
        <w:pStyle w:val="13"/>
        <w:rPr>
          <w:rFonts w:hint="default"/>
          <w:lang w:val="en-US" w:eastAsia="zh-CN"/>
        </w:rPr>
      </w:pPr>
    </w:p>
    <w:bookmarkEnd w:id="60"/>
    <w:bookmarkEnd w:id="61"/>
    <w:bookmarkEnd w:id="62"/>
    <w:bookmarkEnd w:id="63"/>
    <w:bookmarkEnd w:id="64"/>
    <w:p>
      <w:pPr>
        <w:pStyle w:val="12"/>
        <w:spacing w:line="360" w:lineRule="auto"/>
        <w:rPr>
          <w:rFonts w:ascii="宋体" w:hAnsi="宋体" w:cs="宋体"/>
          <w:color w:val="auto"/>
          <w:highlight w:val="none"/>
        </w:rPr>
      </w:pPr>
      <w:r>
        <w:rPr>
          <w:rFonts w:hint="eastAsia" w:ascii="宋体" w:hAnsi="宋体" w:cs="宋体"/>
          <w:color w:val="auto"/>
          <w:highlight w:val="none"/>
        </w:rPr>
        <w:br w:type="page"/>
      </w:r>
    </w:p>
    <w:p>
      <w:pPr>
        <w:numPr>
          <w:ilvl w:val="0"/>
          <w:numId w:val="8"/>
        </w:numPr>
        <w:adjustRightInd w:val="0"/>
        <w:snapToGrid w:val="0"/>
        <w:spacing w:line="360" w:lineRule="auto"/>
        <w:jc w:val="center"/>
        <w:rPr>
          <w:rStyle w:val="45"/>
          <w:rFonts w:ascii="宋体" w:hAnsi="宋体" w:eastAsia="宋体" w:cs="宋体"/>
          <w:color w:val="auto"/>
          <w:sz w:val="32"/>
          <w:szCs w:val="32"/>
          <w:highlight w:val="none"/>
        </w:rPr>
      </w:pPr>
      <w:bookmarkStart w:id="65" w:name="_Toc20040"/>
      <w:bookmarkStart w:id="66" w:name="_Toc31882"/>
      <w:r>
        <w:rPr>
          <w:rStyle w:val="45"/>
          <w:rFonts w:hint="eastAsia" w:ascii="宋体" w:hAnsi="宋体" w:eastAsia="宋体" w:cs="宋体"/>
          <w:color w:val="auto"/>
          <w:sz w:val="32"/>
          <w:szCs w:val="32"/>
          <w:highlight w:val="none"/>
        </w:rPr>
        <w:t xml:space="preserve"> 合同主要条款</w:t>
      </w:r>
    </w:p>
    <w:bookmarkEnd w:id="65"/>
    <w:bookmarkEnd w:id="66"/>
    <w:p>
      <w:pPr>
        <w:jc w:val="center"/>
        <w:rPr>
          <w:rFonts w:hint="eastAsia" w:ascii="仿宋" w:hAnsi="仿宋" w:eastAsia="仿宋" w:cs="仿宋"/>
          <w:b/>
          <w:color w:val="auto"/>
          <w:sz w:val="52"/>
          <w:szCs w:val="52"/>
          <w:highlight w:val="none"/>
        </w:rPr>
      </w:pPr>
    </w:p>
    <w:p>
      <w:pPr>
        <w:adjustRightInd w:val="0"/>
        <w:snapToGrid w:val="0"/>
        <w:spacing w:line="360" w:lineRule="auto"/>
        <w:jc w:val="center"/>
        <w:rPr>
          <w:rStyle w:val="45"/>
          <w:rFonts w:ascii="宋体" w:hAnsi="宋体" w:eastAsia="宋体" w:cs="宋体"/>
          <w:color w:val="auto"/>
          <w:sz w:val="32"/>
          <w:szCs w:val="32"/>
          <w:highlight w:val="none"/>
        </w:rPr>
      </w:pPr>
      <w:r>
        <w:rPr>
          <w:rFonts w:hint="eastAsia" w:ascii="宋体" w:hAnsi="宋体" w:cs="宋体"/>
          <w:color w:val="auto"/>
          <w:szCs w:val="21"/>
          <w:highlight w:val="none"/>
        </w:rPr>
        <w:t xml:space="preserve"> </w:t>
      </w:r>
      <w:bookmarkStart w:id="67" w:name="_Toc16394"/>
      <w:bookmarkStart w:id="68" w:name="_Toc26193"/>
      <w:r>
        <w:rPr>
          <w:rStyle w:val="45"/>
          <w:rFonts w:hint="eastAsia" w:ascii="宋体" w:hAnsi="宋体" w:eastAsia="宋体" w:cs="宋体"/>
          <w:color w:val="auto"/>
          <w:sz w:val="32"/>
          <w:szCs w:val="32"/>
          <w:highlight w:val="none"/>
        </w:rPr>
        <w:t>第五部分</w:t>
      </w:r>
      <w:bookmarkStart w:id="69" w:name="_Toc118516258"/>
      <w:r>
        <w:rPr>
          <w:rStyle w:val="45"/>
          <w:rFonts w:hint="eastAsia" w:ascii="宋体" w:hAnsi="宋体" w:eastAsia="宋体" w:cs="宋体"/>
          <w:color w:val="auto"/>
          <w:sz w:val="32"/>
          <w:szCs w:val="32"/>
          <w:highlight w:val="none"/>
        </w:rPr>
        <w:t xml:space="preserve">  附件（响应文件格式</w:t>
      </w:r>
      <w:bookmarkEnd w:id="69"/>
      <w:r>
        <w:rPr>
          <w:rStyle w:val="45"/>
          <w:rFonts w:hint="eastAsia" w:ascii="宋体" w:hAnsi="宋体" w:eastAsia="宋体" w:cs="宋体"/>
          <w:color w:val="auto"/>
          <w:sz w:val="32"/>
          <w:szCs w:val="32"/>
          <w:highlight w:val="none"/>
        </w:rPr>
        <w:t>）</w:t>
      </w:r>
    </w:p>
    <w:bookmarkEnd w:id="67"/>
    <w:bookmarkEnd w:id="68"/>
    <w:p>
      <w:pPr>
        <w:rPr>
          <w:rFonts w:ascii="宋体" w:hAnsi="宋体" w:cs="宋体"/>
          <w:color w:val="auto"/>
          <w:highlight w:val="none"/>
        </w:rPr>
      </w:pPr>
    </w:p>
    <w:p>
      <w:pPr>
        <w:pStyle w:val="17"/>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说明：</w:t>
      </w:r>
    </w:p>
    <w:p>
      <w:pPr>
        <w:pStyle w:val="17"/>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1.响应文件由供应商根据照磋商文件要求参照附件格式编制。</w:t>
      </w:r>
    </w:p>
    <w:p>
      <w:pPr>
        <w:pStyle w:val="17"/>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2.附件中有参考格式的，参照格式，没有参考格式的，自行编制。</w:t>
      </w:r>
    </w:p>
    <w:p>
      <w:pPr>
        <w:pStyle w:val="4"/>
        <w:snapToGrid w:val="0"/>
        <w:spacing w:before="120" w:beforeLines="50" w:line="360" w:lineRule="auto"/>
        <w:rPr>
          <w:rFonts w:ascii="宋体" w:hAnsi="宋体" w:eastAsia="宋体" w:cs="宋体"/>
          <w:color w:val="auto"/>
          <w:sz w:val="21"/>
          <w:szCs w:val="21"/>
          <w:highlight w:val="none"/>
        </w:rPr>
      </w:pPr>
      <w:r>
        <w:rPr>
          <w:rFonts w:hint="eastAsia" w:ascii="宋体" w:hAnsi="宋体" w:eastAsia="宋体" w:cs="宋体"/>
          <w:b/>
          <w:color w:val="auto"/>
          <w:sz w:val="24"/>
          <w:highlight w:val="none"/>
        </w:rPr>
        <w:br w:type="page"/>
      </w:r>
      <w:bookmarkStart w:id="70" w:name="_Toc450199111"/>
      <w:bookmarkStart w:id="71" w:name="_Toc372127740"/>
      <w:bookmarkStart w:id="72" w:name="_Toc402432104"/>
      <w:bookmarkStart w:id="73" w:name="_Toc13462"/>
      <w:bookmarkStart w:id="74" w:name="_Toc385596607"/>
      <w:bookmarkStart w:id="75" w:name="_Toc404172372"/>
      <w:bookmarkStart w:id="76" w:name="_Toc415814146"/>
      <w:bookmarkStart w:id="77" w:name="_Toc390342487"/>
      <w:bookmarkStart w:id="78" w:name="_Toc368993656"/>
      <w:bookmarkStart w:id="79" w:name="_Toc28051"/>
      <w:bookmarkStart w:id="80" w:name="_Toc396290683"/>
      <w:bookmarkStart w:id="81" w:name="_Toc2562"/>
      <w:r>
        <w:rPr>
          <w:rFonts w:hint="eastAsia" w:ascii="宋体" w:hAnsi="宋体" w:eastAsia="宋体" w:cs="宋体"/>
          <w:color w:val="auto"/>
          <w:sz w:val="21"/>
          <w:szCs w:val="21"/>
          <w:highlight w:val="none"/>
        </w:rPr>
        <w:t>一、磋商响应文件封面</w:t>
      </w:r>
      <w:bookmarkEnd w:id="70"/>
      <w:bookmarkEnd w:id="71"/>
      <w:bookmarkEnd w:id="72"/>
      <w:bookmarkEnd w:id="73"/>
      <w:bookmarkEnd w:id="74"/>
      <w:bookmarkEnd w:id="75"/>
      <w:bookmarkEnd w:id="76"/>
      <w:bookmarkEnd w:id="77"/>
      <w:bookmarkEnd w:id="78"/>
      <w:bookmarkEnd w:id="79"/>
      <w:bookmarkEnd w:id="80"/>
      <w:bookmarkEnd w:id="81"/>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spacing w:line="360" w:lineRule="auto"/>
        <w:jc w:val="center"/>
        <w:rPr>
          <w:rFonts w:ascii="宋体" w:hAnsi="宋体" w:cs="宋体"/>
          <w:color w:val="auto"/>
          <w:sz w:val="24"/>
          <w:highlight w:val="none"/>
          <w:u w:val="single"/>
        </w:rPr>
      </w:pPr>
      <w:r>
        <w:rPr>
          <w:rFonts w:hint="eastAsia" w:ascii="宋体" w:hAnsi="宋体" w:cs="宋体"/>
          <w:color w:val="auto"/>
          <w:sz w:val="24"/>
          <w:highlight w:val="none"/>
          <w:u w:val="single"/>
        </w:rPr>
        <w:t>_（项目名称）</w:t>
      </w:r>
    </w:p>
    <w:p>
      <w:pPr>
        <w:jc w:val="center"/>
        <w:rPr>
          <w:rFonts w:ascii="宋体" w:hAnsi="宋体" w:cs="宋体"/>
          <w:color w:val="auto"/>
          <w:sz w:val="24"/>
          <w:highlight w:val="none"/>
        </w:rPr>
      </w:pPr>
    </w:p>
    <w:p>
      <w:pPr>
        <w:jc w:val="center"/>
        <w:rPr>
          <w:rFonts w:ascii="宋体" w:hAnsi="宋体" w:cs="宋体"/>
          <w:color w:val="auto"/>
          <w:sz w:val="24"/>
          <w:highlight w:val="none"/>
        </w:rPr>
      </w:pPr>
    </w:p>
    <w:p>
      <w:pPr>
        <w:jc w:val="center"/>
        <w:rPr>
          <w:rFonts w:ascii="宋体" w:hAnsi="宋体" w:cs="宋体"/>
          <w:color w:val="auto"/>
          <w:sz w:val="24"/>
          <w:highlight w:val="none"/>
        </w:rPr>
      </w:pPr>
    </w:p>
    <w:p>
      <w:pPr>
        <w:jc w:val="center"/>
        <w:rPr>
          <w:rFonts w:ascii="宋体" w:hAnsi="宋体" w:cs="宋体"/>
          <w:color w:val="auto"/>
          <w:sz w:val="52"/>
          <w:szCs w:val="52"/>
          <w:highlight w:val="none"/>
        </w:rPr>
      </w:pPr>
    </w:p>
    <w:p>
      <w:pPr>
        <w:spacing w:after="120"/>
        <w:jc w:val="center"/>
        <w:rPr>
          <w:rFonts w:ascii="宋体" w:hAnsi="宋体" w:cs="宋体"/>
          <w:color w:val="auto"/>
          <w:sz w:val="72"/>
          <w:szCs w:val="72"/>
          <w:highlight w:val="none"/>
        </w:rPr>
      </w:pPr>
      <w:r>
        <w:rPr>
          <w:rFonts w:hint="eastAsia" w:ascii="宋体" w:hAnsi="宋体" w:cs="宋体"/>
          <w:color w:val="auto"/>
          <w:sz w:val="72"/>
          <w:szCs w:val="72"/>
          <w:highlight w:val="none"/>
        </w:rPr>
        <w:t>磋商响应文件</w:t>
      </w:r>
    </w:p>
    <w:p>
      <w:pPr>
        <w:spacing w:after="120"/>
        <w:jc w:val="center"/>
        <w:rPr>
          <w:rFonts w:ascii="宋体" w:hAnsi="宋体" w:cs="宋体"/>
          <w:color w:val="auto"/>
          <w:sz w:val="24"/>
          <w:highlight w:val="none"/>
        </w:rPr>
      </w:pPr>
    </w:p>
    <w:p>
      <w:pPr>
        <w:spacing w:after="120"/>
        <w:jc w:val="center"/>
        <w:rPr>
          <w:rFonts w:ascii="宋体" w:hAnsi="宋体" w:cs="宋体"/>
          <w:color w:val="auto"/>
          <w:sz w:val="24"/>
          <w:highlight w:val="none"/>
        </w:rPr>
      </w:pPr>
    </w:p>
    <w:p>
      <w:pPr>
        <w:spacing w:after="120"/>
        <w:jc w:val="center"/>
        <w:rPr>
          <w:rFonts w:ascii="宋体" w:hAnsi="宋体" w:cs="宋体"/>
          <w:color w:val="auto"/>
          <w:sz w:val="24"/>
          <w:highlight w:val="none"/>
        </w:rPr>
      </w:pPr>
    </w:p>
    <w:p>
      <w:pPr>
        <w:spacing w:after="120"/>
        <w:jc w:val="center"/>
        <w:rPr>
          <w:rFonts w:ascii="宋体" w:hAnsi="宋体" w:cs="宋体"/>
          <w:color w:val="auto"/>
          <w:sz w:val="24"/>
          <w:highlight w:val="none"/>
        </w:rPr>
      </w:pPr>
    </w:p>
    <w:p>
      <w:pPr>
        <w:spacing w:after="120"/>
        <w:jc w:val="center"/>
        <w:rPr>
          <w:rFonts w:ascii="宋体" w:hAnsi="宋体" w:cs="宋体"/>
          <w:color w:val="auto"/>
          <w:sz w:val="32"/>
          <w:szCs w:val="32"/>
          <w:highlight w:val="none"/>
        </w:rPr>
      </w:pPr>
      <w:r>
        <w:rPr>
          <w:rFonts w:hint="eastAsia" w:ascii="宋体" w:hAnsi="宋体" w:cs="宋体"/>
          <w:color w:val="auto"/>
          <w:sz w:val="32"/>
          <w:szCs w:val="32"/>
          <w:highlight w:val="none"/>
        </w:rPr>
        <w:t>注明：</w:t>
      </w:r>
      <w:r>
        <w:rPr>
          <w:rFonts w:hint="eastAsia" w:ascii="宋体" w:hAnsi="宋体" w:cs="宋体"/>
          <w:color w:val="auto"/>
          <w:sz w:val="32"/>
          <w:szCs w:val="32"/>
          <w:highlight w:val="none"/>
          <w:lang w:val="en-US" w:eastAsia="zh-CN"/>
        </w:rPr>
        <w:t>资格文件/</w:t>
      </w:r>
      <w:r>
        <w:rPr>
          <w:rFonts w:hint="eastAsia" w:ascii="宋体" w:hAnsi="宋体" w:cs="宋体"/>
          <w:color w:val="auto"/>
          <w:sz w:val="32"/>
          <w:szCs w:val="32"/>
          <w:highlight w:val="none"/>
        </w:rPr>
        <w:t>商务技术文件</w:t>
      </w:r>
      <w:r>
        <w:rPr>
          <w:rFonts w:hint="eastAsia" w:ascii="宋体" w:hAnsi="宋体" w:cs="宋体"/>
          <w:color w:val="auto"/>
          <w:sz w:val="32"/>
          <w:szCs w:val="32"/>
          <w:highlight w:val="none"/>
          <w:lang w:val="en-US" w:eastAsia="zh-CN"/>
        </w:rPr>
        <w:t>/</w:t>
      </w:r>
      <w:r>
        <w:rPr>
          <w:rFonts w:hint="eastAsia" w:ascii="宋体" w:hAnsi="宋体" w:cs="宋体"/>
          <w:color w:val="auto"/>
          <w:sz w:val="32"/>
          <w:szCs w:val="32"/>
          <w:highlight w:val="none"/>
        </w:rPr>
        <w:t>报价文件</w:t>
      </w:r>
    </w:p>
    <w:p>
      <w:pPr>
        <w:spacing w:after="120"/>
        <w:jc w:val="center"/>
        <w:rPr>
          <w:rFonts w:ascii="宋体" w:hAnsi="宋体" w:cs="宋体"/>
          <w:color w:val="auto"/>
          <w:sz w:val="24"/>
          <w:highlight w:val="none"/>
        </w:rPr>
      </w:pPr>
    </w:p>
    <w:p>
      <w:pPr>
        <w:spacing w:after="120"/>
        <w:jc w:val="center"/>
        <w:rPr>
          <w:rFonts w:ascii="宋体" w:hAnsi="宋体" w:cs="宋体"/>
          <w:b/>
          <w:color w:val="auto"/>
          <w:sz w:val="24"/>
          <w:highlight w:val="none"/>
        </w:rPr>
      </w:pPr>
    </w:p>
    <w:p>
      <w:pPr>
        <w:spacing w:after="120"/>
        <w:jc w:val="center"/>
        <w:rPr>
          <w:rFonts w:ascii="宋体" w:hAnsi="宋体" w:cs="宋体"/>
          <w:b/>
          <w:color w:val="auto"/>
          <w:sz w:val="24"/>
          <w:highlight w:val="none"/>
        </w:rPr>
      </w:pPr>
    </w:p>
    <w:p>
      <w:pPr>
        <w:spacing w:after="120"/>
        <w:jc w:val="center"/>
        <w:rPr>
          <w:rFonts w:ascii="宋体" w:hAnsi="宋体" w:cs="宋体"/>
          <w:b/>
          <w:color w:val="auto"/>
          <w:sz w:val="24"/>
          <w:highlight w:val="none"/>
        </w:rPr>
      </w:pPr>
    </w:p>
    <w:p>
      <w:pPr>
        <w:spacing w:after="120"/>
        <w:jc w:val="center"/>
        <w:rPr>
          <w:rFonts w:ascii="宋体" w:hAnsi="宋体" w:cs="宋体"/>
          <w:b/>
          <w:color w:val="auto"/>
          <w:sz w:val="24"/>
          <w:highlight w:val="none"/>
        </w:rPr>
      </w:pPr>
    </w:p>
    <w:p>
      <w:pPr>
        <w:spacing w:after="120"/>
        <w:jc w:val="center"/>
        <w:rPr>
          <w:rFonts w:ascii="宋体" w:hAnsi="宋体" w:cs="宋体"/>
          <w:b/>
          <w:color w:val="auto"/>
          <w:sz w:val="24"/>
          <w:highlight w:val="none"/>
        </w:rPr>
      </w:pPr>
    </w:p>
    <w:p>
      <w:pPr>
        <w:spacing w:after="120"/>
        <w:jc w:val="center"/>
        <w:rPr>
          <w:rFonts w:ascii="宋体" w:hAnsi="宋体" w:cs="宋体"/>
          <w:b/>
          <w:color w:val="auto"/>
          <w:sz w:val="24"/>
          <w:highlight w:val="none"/>
        </w:rPr>
      </w:pPr>
    </w:p>
    <w:p>
      <w:pPr>
        <w:spacing w:after="120"/>
        <w:jc w:val="center"/>
        <w:rPr>
          <w:rFonts w:ascii="宋体" w:hAnsi="宋体" w:cs="宋体"/>
          <w:b/>
          <w:color w:val="auto"/>
          <w:sz w:val="24"/>
          <w:highlight w:val="none"/>
        </w:rPr>
      </w:pPr>
    </w:p>
    <w:p>
      <w:pPr>
        <w:spacing w:after="120"/>
        <w:jc w:val="center"/>
        <w:rPr>
          <w:rFonts w:ascii="宋体" w:hAnsi="宋体" w:cs="宋体"/>
          <w:b/>
          <w:color w:val="auto"/>
          <w:sz w:val="24"/>
          <w:highlight w:val="none"/>
        </w:rPr>
      </w:pPr>
    </w:p>
    <w:p>
      <w:pPr>
        <w:spacing w:after="120"/>
        <w:jc w:val="center"/>
        <w:rPr>
          <w:rFonts w:ascii="宋体" w:hAnsi="宋体" w:cs="宋体"/>
          <w:color w:val="auto"/>
          <w:sz w:val="24"/>
          <w:highlight w:val="none"/>
          <w:u w:val="single"/>
        </w:rPr>
      </w:pPr>
      <w:r>
        <w:rPr>
          <w:rFonts w:hint="eastAsia" w:ascii="宋体" w:hAnsi="宋体" w:cs="宋体"/>
          <w:color w:val="auto"/>
          <w:sz w:val="24"/>
          <w:highlight w:val="none"/>
          <w:u w:val="single"/>
        </w:rPr>
        <w:t>供应商：          （盖单位公章或电子签章）</w:t>
      </w:r>
    </w:p>
    <w:p>
      <w:pPr>
        <w:spacing w:after="120"/>
        <w:ind w:firstLine="210"/>
        <w:jc w:val="cente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after="120"/>
        <w:ind w:firstLine="210"/>
        <w:jc w:val="center"/>
        <w:rPr>
          <w:rFonts w:ascii="宋体" w:hAnsi="宋体" w:cs="宋体"/>
          <w:color w:val="auto"/>
          <w:sz w:val="24"/>
          <w:highlight w:val="none"/>
        </w:rPr>
      </w:pPr>
      <w:r>
        <w:rPr>
          <w:rFonts w:hint="eastAsia" w:ascii="宋体" w:hAnsi="宋体" w:cs="宋体"/>
          <w:color w:val="auto"/>
          <w:sz w:val="24"/>
          <w:highlight w:val="none"/>
        </w:rPr>
        <w:br w:type="page"/>
      </w:r>
    </w:p>
    <w:p>
      <w:pPr>
        <w:pStyle w:val="4"/>
        <w:snapToGrid w:val="0"/>
        <w:spacing w:before="120" w:beforeLines="50" w:line="360" w:lineRule="auto"/>
        <w:rPr>
          <w:rFonts w:ascii="宋体" w:hAnsi="宋体" w:eastAsia="宋体" w:cs="宋体"/>
          <w:color w:val="auto"/>
          <w:sz w:val="21"/>
          <w:szCs w:val="21"/>
          <w:highlight w:val="none"/>
        </w:rPr>
      </w:pPr>
      <w:bookmarkStart w:id="82" w:name="_Toc293401393"/>
      <w:bookmarkStart w:id="83" w:name="_Toc415814147"/>
      <w:bookmarkStart w:id="84" w:name="_Toc401423940"/>
      <w:bookmarkStart w:id="85" w:name="_Toc450199112"/>
      <w:bookmarkStart w:id="86" w:name="_Toc28044"/>
      <w:bookmarkStart w:id="87" w:name="_Toc24554"/>
      <w:bookmarkStart w:id="88" w:name="_Toc24799"/>
      <w:r>
        <w:rPr>
          <w:rFonts w:hint="eastAsia" w:ascii="宋体" w:hAnsi="宋体" w:eastAsia="宋体" w:cs="宋体"/>
          <w:color w:val="auto"/>
          <w:sz w:val="21"/>
          <w:szCs w:val="21"/>
          <w:highlight w:val="none"/>
        </w:rPr>
        <w:t>二、报价</w:t>
      </w:r>
      <w:bookmarkEnd w:id="82"/>
      <w:bookmarkEnd w:id="83"/>
      <w:bookmarkEnd w:id="84"/>
      <w:r>
        <w:rPr>
          <w:rFonts w:hint="eastAsia" w:ascii="宋体" w:hAnsi="宋体" w:eastAsia="宋体" w:cs="宋体"/>
          <w:color w:val="auto"/>
          <w:sz w:val="21"/>
          <w:szCs w:val="21"/>
          <w:highlight w:val="none"/>
        </w:rPr>
        <w:t>文件</w:t>
      </w:r>
      <w:bookmarkEnd w:id="85"/>
      <w:bookmarkEnd w:id="86"/>
      <w:bookmarkEnd w:id="87"/>
      <w:bookmarkEnd w:id="88"/>
    </w:p>
    <w:p>
      <w:pPr>
        <w:rPr>
          <w:rFonts w:ascii="宋体" w:hAnsi="宋体" w:cs="宋体"/>
          <w:color w:val="auto"/>
          <w:highlight w:val="none"/>
        </w:rPr>
      </w:pPr>
    </w:p>
    <w:p>
      <w:pPr>
        <w:spacing w:line="360" w:lineRule="auto"/>
        <w:jc w:val="center"/>
        <w:rPr>
          <w:rFonts w:ascii="宋体" w:hAnsi="宋体" w:cs="宋体"/>
          <w:color w:val="auto"/>
          <w:highlight w:val="none"/>
        </w:rPr>
      </w:pPr>
      <w:r>
        <w:rPr>
          <w:rFonts w:hint="eastAsia" w:ascii="宋体" w:hAnsi="宋体" w:cs="宋体"/>
          <w:color w:val="auto"/>
          <w:highlight w:val="none"/>
        </w:rPr>
        <w:t>目录</w:t>
      </w:r>
    </w:p>
    <w:p>
      <w:pPr>
        <w:spacing w:line="360" w:lineRule="auto"/>
        <w:jc w:val="center"/>
        <w:rPr>
          <w:rFonts w:ascii="宋体" w:hAnsi="宋体" w:cs="宋体"/>
          <w:color w:val="auto"/>
          <w:highlight w:val="none"/>
        </w:rPr>
      </w:pPr>
      <w:r>
        <w:rPr>
          <w:rFonts w:hint="eastAsia" w:ascii="宋体" w:hAnsi="宋体" w:cs="宋体"/>
          <w:color w:val="auto"/>
          <w:highlight w:val="none"/>
        </w:rPr>
        <w:t>（1）磋商响应初始报价一览表……………………………………………………（页码）</w:t>
      </w:r>
    </w:p>
    <w:p>
      <w:pPr>
        <w:spacing w:line="360" w:lineRule="auto"/>
        <w:jc w:val="center"/>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）供应商认为需要提供的其他文件及资料</w:t>
      </w:r>
      <w:r>
        <w:rPr>
          <w:rFonts w:hint="eastAsia" w:ascii="宋体" w:hAnsi="宋体" w:cs="宋体"/>
          <w:color w:val="auto"/>
          <w:highlight w:val="none"/>
        </w:rPr>
        <w:t>……………………………………（页码）</w:t>
      </w:r>
    </w:p>
    <w:p>
      <w:pPr>
        <w:adjustRightInd w:val="0"/>
        <w:spacing w:line="360" w:lineRule="auto"/>
        <w:ind w:firstLine="435"/>
        <w:rPr>
          <w:rFonts w:ascii="宋体" w:hAnsi="宋体" w:cs="宋体"/>
          <w:b/>
          <w:color w:val="auto"/>
          <w:szCs w:val="21"/>
          <w:highlight w:val="none"/>
        </w:rPr>
      </w:pPr>
      <w:r>
        <w:rPr>
          <w:rFonts w:hint="eastAsia" w:ascii="宋体" w:hAnsi="宋体" w:cs="宋体"/>
          <w:color w:val="auto"/>
          <w:highlight w:val="none"/>
        </w:rPr>
        <w:br w:type="page"/>
      </w:r>
      <w:r>
        <w:rPr>
          <w:rFonts w:hint="eastAsia" w:ascii="宋体" w:hAnsi="宋体" w:cs="宋体"/>
          <w:color w:val="auto"/>
          <w:highlight w:val="none"/>
        </w:rPr>
        <w:t>1.</w:t>
      </w:r>
      <w:r>
        <w:rPr>
          <w:rFonts w:hint="eastAsia" w:ascii="宋体" w:hAnsi="宋体" w:cs="宋体"/>
          <w:b/>
          <w:color w:val="auto"/>
          <w:szCs w:val="21"/>
          <w:highlight w:val="none"/>
        </w:rPr>
        <w:t>磋商响应初始报价一览表</w:t>
      </w:r>
    </w:p>
    <w:p>
      <w:pPr>
        <w:adjustRightInd w:val="0"/>
        <w:spacing w:line="360" w:lineRule="auto"/>
        <w:jc w:val="center"/>
        <w:rPr>
          <w:rFonts w:ascii="宋体" w:hAnsi="宋体" w:cs="宋体"/>
          <w:b/>
          <w:snapToGrid/>
          <w:color w:val="auto"/>
          <w:kern w:val="2"/>
          <w:sz w:val="32"/>
          <w:szCs w:val="32"/>
          <w:highlight w:val="none"/>
        </w:rPr>
      </w:pPr>
    </w:p>
    <w:p>
      <w:pPr>
        <w:adjustRightInd w:val="0"/>
        <w:spacing w:line="360" w:lineRule="auto"/>
        <w:jc w:val="center"/>
        <w:rPr>
          <w:rFonts w:ascii="宋体" w:hAnsi="宋体" w:cs="宋体"/>
          <w:b/>
          <w:snapToGrid/>
          <w:color w:val="auto"/>
          <w:kern w:val="2"/>
          <w:sz w:val="32"/>
          <w:szCs w:val="32"/>
          <w:highlight w:val="none"/>
        </w:rPr>
      </w:pPr>
      <w:r>
        <w:rPr>
          <w:rFonts w:hint="eastAsia" w:ascii="宋体" w:hAnsi="宋体" w:cs="宋体"/>
          <w:b/>
          <w:snapToGrid/>
          <w:color w:val="auto"/>
          <w:kern w:val="2"/>
          <w:sz w:val="32"/>
          <w:szCs w:val="32"/>
          <w:highlight w:val="none"/>
        </w:rPr>
        <w:t>磋商响应初始报价一览表</w:t>
      </w:r>
    </w:p>
    <w:p>
      <w:pPr>
        <w:spacing w:line="360" w:lineRule="auto"/>
        <w:ind w:right="480"/>
        <w:rPr>
          <w:rFonts w:ascii="宋体" w:hAnsi="宋体" w:cs="宋体"/>
          <w:color w:val="auto"/>
          <w:szCs w:val="21"/>
          <w:highlight w:val="none"/>
        </w:rPr>
      </w:pPr>
    </w:p>
    <w:p>
      <w:pPr>
        <w:spacing w:line="360" w:lineRule="auto"/>
        <w:ind w:right="480"/>
        <w:rPr>
          <w:rFonts w:ascii="宋体" w:hAnsi="宋体" w:cs="宋体"/>
          <w:color w:val="auto"/>
          <w:szCs w:val="21"/>
          <w:highlight w:val="none"/>
        </w:rPr>
      </w:pPr>
      <w:r>
        <w:rPr>
          <w:rFonts w:hint="eastAsia" w:ascii="宋体" w:hAnsi="宋体" w:cs="宋体"/>
          <w:color w:val="auto"/>
          <w:szCs w:val="21"/>
          <w:highlight w:val="none"/>
        </w:rPr>
        <w:t>项目名称：</w:t>
      </w:r>
    </w:p>
    <w:p>
      <w:pPr>
        <w:spacing w:line="360" w:lineRule="auto"/>
        <w:ind w:right="480"/>
        <w:rPr>
          <w:rFonts w:ascii="宋体" w:hAnsi="宋体" w:cs="宋体"/>
          <w:color w:val="auto"/>
          <w:szCs w:val="21"/>
          <w:highlight w:val="none"/>
        </w:rPr>
      </w:pPr>
      <w:r>
        <w:rPr>
          <w:rFonts w:hint="eastAsia" w:ascii="宋体" w:hAnsi="宋体" w:cs="宋体"/>
          <w:color w:val="auto"/>
          <w:szCs w:val="21"/>
          <w:highlight w:val="none"/>
        </w:rPr>
        <w:t>采购编号：</w:t>
      </w:r>
    </w:p>
    <w:p>
      <w:pPr>
        <w:spacing w:line="360" w:lineRule="auto"/>
        <w:ind w:right="480"/>
        <w:rPr>
          <w:rFonts w:ascii="宋体" w:hAnsi="宋体" w:cs="宋体"/>
          <w:color w:val="auto"/>
          <w:szCs w:val="21"/>
          <w:highlight w:val="none"/>
        </w:rPr>
      </w:pPr>
      <w:r>
        <w:rPr>
          <w:rFonts w:hint="eastAsia" w:ascii="宋体" w:hAnsi="宋体" w:cs="宋体"/>
          <w:color w:val="auto"/>
          <w:szCs w:val="21"/>
          <w:highlight w:val="none"/>
        </w:rPr>
        <w:t>价格单位：元人民币</w:t>
      </w:r>
    </w:p>
    <w:tbl>
      <w:tblPr>
        <w:tblStyle w:val="33"/>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868"/>
        <w:gridCol w:w="294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955" w:type="dxa"/>
            <w:noWrap w:val="0"/>
            <w:vAlign w:val="center"/>
          </w:tcPr>
          <w:p>
            <w:pPr>
              <w:pStyle w:val="17"/>
              <w:adjustRightInd w:val="0"/>
              <w:snapToGrid w:val="0"/>
              <w:spacing w:line="240" w:lineRule="auto"/>
              <w:jc w:val="center"/>
              <w:rPr>
                <w:rFonts w:hint="default" w:ascii="Arial" w:hAnsi="Arial" w:eastAsia="宋体" w:cs="Arial"/>
                <w:color w:val="auto"/>
                <w:sz w:val="21"/>
                <w:szCs w:val="21"/>
                <w:highlight w:val="none"/>
                <w:lang w:val="en-US" w:eastAsia="zh-CN"/>
              </w:rPr>
            </w:pPr>
            <w:r>
              <w:rPr>
                <w:rFonts w:hint="eastAsia" w:ascii="Arial" w:hAnsi="Arial" w:cs="Arial"/>
                <w:color w:val="auto"/>
                <w:sz w:val="21"/>
                <w:szCs w:val="21"/>
                <w:highlight w:val="none"/>
                <w:lang w:val="en-US" w:eastAsia="zh-CN"/>
              </w:rPr>
              <w:t>内容</w:t>
            </w:r>
          </w:p>
        </w:tc>
        <w:tc>
          <w:tcPr>
            <w:tcW w:w="2868" w:type="dxa"/>
            <w:noWrap w:val="0"/>
            <w:vAlign w:val="center"/>
          </w:tcPr>
          <w:p>
            <w:pPr>
              <w:pStyle w:val="17"/>
              <w:adjustRightInd w:val="0"/>
              <w:snapToGrid w:val="0"/>
              <w:spacing w:line="240" w:lineRule="auto"/>
              <w:jc w:val="center"/>
              <w:rPr>
                <w:rFonts w:ascii="Arial" w:hAnsi="Arial" w:cs="Arial"/>
                <w:color w:val="auto"/>
                <w:sz w:val="21"/>
                <w:szCs w:val="21"/>
                <w:highlight w:val="none"/>
              </w:rPr>
            </w:pPr>
            <w:r>
              <w:rPr>
                <w:rFonts w:hint="eastAsia" w:ascii="Arial" w:hAnsi="Arial" w:cs="Arial"/>
                <w:color w:val="auto"/>
                <w:sz w:val="21"/>
                <w:szCs w:val="21"/>
                <w:highlight w:val="none"/>
                <w:lang w:eastAsia="zh-CN"/>
              </w:rPr>
              <w:t>响应</w:t>
            </w:r>
            <w:r>
              <w:rPr>
                <w:rFonts w:ascii="Arial" w:hAnsi="Arial" w:cs="Arial"/>
                <w:color w:val="auto"/>
                <w:sz w:val="21"/>
                <w:szCs w:val="21"/>
                <w:highlight w:val="none"/>
              </w:rPr>
              <w:t>报价</w:t>
            </w:r>
          </w:p>
          <w:p>
            <w:pPr>
              <w:pStyle w:val="17"/>
              <w:adjustRightInd w:val="0"/>
              <w:snapToGrid w:val="0"/>
              <w:spacing w:line="240" w:lineRule="auto"/>
              <w:jc w:val="center"/>
              <w:rPr>
                <w:rFonts w:hint="eastAsia" w:ascii="Arial" w:hAnsi="Arial" w:cs="Arial"/>
                <w:color w:val="auto"/>
                <w:sz w:val="21"/>
                <w:szCs w:val="21"/>
                <w:highlight w:val="none"/>
              </w:rPr>
            </w:pPr>
            <w:r>
              <w:rPr>
                <w:rFonts w:hint="eastAsia" w:ascii="Arial" w:hAnsi="Arial" w:cs="Arial"/>
                <w:color w:val="auto"/>
                <w:sz w:val="21"/>
                <w:szCs w:val="21"/>
                <w:highlight w:val="none"/>
              </w:rPr>
              <w:t>（元）</w:t>
            </w:r>
          </w:p>
        </w:tc>
        <w:tc>
          <w:tcPr>
            <w:tcW w:w="2940" w:type="dxa"/>
            <w:noWrap w:val="0"/>
            <w:vAlign w:val="center"/>
          </w:tcPr>
          <w:p>
            <w:pPr>
              <w:pStyle w:val="17"/>
              <w:adjustRightInd w:val="0"/>
              <w:snapToGrid w:val="0"/>
              <w:spacing w:line="240" w:lineRule="auto"/>
              <w:jc w:val="center"/>
              <w:rPr>
                <w:rFonts w:hint="default" w:ascii="Arial" w:hAnsi="Arial" w:eastAsia="宋体" w:cs="Arial"/>
                <w:color w:val="auto"/>
                <w:sz w:val="21"/>
                <w:szCs w:val="21"/>
                <w:highlight w:val="none"/>
                <w:lang w:val="en-US" w:eastAsia="zh-CN"/>
              </w:rPr>
            </w:pPr>
            <w:r>
              <w:rPr>
                <w:rFonts w:hint="eastAsia" w:ascii="Arial" w:hAnsi="Arial" w:cs="Arial"/>
                <w:color w:val="auto"/>
                <w:sz w:val="21"/>
                <w:szCs w:val="21"/>
                <w:highlight w:val="none"/>
                <w:lang w:val="en-US" w:eastAsia="zh-CN"/>
              </w:rPr>
              <w:t>服务期</w:t>
            </w:r>
          </w:p>
        </w:tc>
        <w:tc>
          <w:tcPr>
            <w:tcW w:w="1161" w:type="dxa"/>
            <w:noWrap w:val="0"/>
            <w:vAlign w:val="center"/>
          </w:tcPr>
          <w:p>
            <w:pPr>
              <w:pStyle w:val="17"/>
              <w:adjustRightInd w:val="0"/>
              <w:snapToGrid w:val="0"/>
              <w:spacing w:line="240" w:lineRule="auto"/>
              <w:jc w:val="center"/>
              <w:rPr>
                <w:rFonts w:hint="default" w:ascii="Arial" w:hAnsi="Arial" w:eastAsia="宋体" w:cs="Arial"/>
                <w:color w:val="auto"/>
                <w:sz w:val="21"/>
                <w:szCs w:val="21"/>
                <w:highlight w:val="none"/>
                <w:lang w:val="en-US" w:eastAsia="zh-CN"/>
              </w:rPr>
            </w:pPr>
            <w:r>
              <w:rPr>
                <w:rFonts w:hint="eastAsia" w:ascii="Arial" w:hAnsi="Arial" w:cs="Arial"/>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955" w:type="dxa"/>
            <w:noWrap w:val="0"/>
            <w:vAlign w:val="center"/>
          </w:tcPr>
          <w:p>
            <w:pPr>
              <w:pStyle w:val="17"/>
              <w:adjustRightInd w:val="0"/>
              <w:snapToGrid w:val="0"/>
              <w:spacing w:line="440" w:lineRule="exact"/>
              <w:jc w:val="center"/>
              <w:rPr>
                <w:rFonts w:hint="default" w:hAnsi="宋体" w:eastAsia="宋体" w:cs="Arial"/>
                <w:color w:val="auto"/>
                <w:sz w:val="21"/>
                <w:szCs w:val="21"/>
                <w:highlight w:val="none"/>
                <w:lang w:val="en-US" w:eastAsia="zh-CN"/>
              </w:rPr>
            </w:pPr>
          </w:p>
        </w:tc>
        <w:tc>
          <w:tcPr>
            <w:tcW w:w="2868" w:type="dxa"/>
            <w:noWrap w:val="0"/>
            <w:vAlign w:val="center"/>
          </w:tcPr>
          <w:p>
            <w:pPr>
              <w:pStyle w:val="17"/>
              <w:adjustRightInd w:val="0"/>
              <w:snapToGrid w:val="0"/>
              <w:spacing w:line="440" w:lineRule="exact"/>
              <w:jc w:val="both"/>
              <w:rPr>
                <w:rFonts w:hint="eastAsia" w:hAnsi="宋体" w:cs="Arial"/>
                <w:color w:val="auto"/>
                <w:sz w:val="21"/>
                <w:szCs w:val="21"/>
                <w:highlight w:val="none"/>
              </w:rPr>
            </w:pPr>
          </w:p>
        </w:tc>
        <w:tc>
          <w:tcPr>
            <w:tcW w:w="2940" w:type="dxa"/>
            <w:vMerge w:val="restart"/>
            <w:noWrap w:val="0"/>
            <w:vAlign w:val="center"/>
          </w:tcPr>
          <w:p>
            <w:pPr>
              <w:pStyle w:val="17"/>
              <w:adjustRightInd w:val="0"/>
              <w:snapToGrid w:val="0"/>
              <w:spacing w:line="440" w:lineRule="exact"/>
              <w:jc w:val="center"/>
              <w:rPr>
                <w:rFonts w:hint="eastAsia" w:hAnsi="宋体" w:cs="Arial"/>
                <w:color w:val="auto"/>
                <w:sz w:val="21"/>
                <w:szCs w:val="21"/>
                <w:highlight w:val="none"/>
              </w:rPr>
            </w:pPr>
          </w:p>
        </w:tc>
        <w:tc>
          <w:tcPr>
            <w:tcW w:w="1161" w:type="dxa"/>
            <w:vMerge w:val="restart"/>
            <w:noWrap w:val="0"/>
            <w:vAlign w:val="center"/>
          </w:tcPr>
          <w:p>
            <w:pPr>
              <w:pStyle w:val="17"/>
              <w:adjustRightInd w:val="0"/>
              <w:snapToGrid w:val="0"/>
              <w:spacing w:line="440" w:lineRule="exact"/>
              <w:jc w:val="center"/>
              <w:rPr>
                <w:rFonts w:hint="eastAsia"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955" w:type="dxa"/>
            <w:noWrap w:val="0"/>
            <w:vAlign w:val="center"/>
          </w:tcPr>
          <w:p>
            <w:pPr>
              <w:rPr>
                <w:rFonts w:hint="eastAsia"/>
                <w:color w:val="auto"/>
                <w:highlight w:val="none"/>
              </w:rPr>
            </w:pPr>
          </w:p>
        </w:tc>
        <w:tc>
          <w:tcPr>
            <w:tcW w:w="2868" w:type="dxa"/>
            <w:noWrap w:val="0"/>
            <w:vAlign w:val="center"/>
          </w:tcPr>
          <w:p>
            <w:pPr>
              <w:pStyle w:val="17"/>
              <w:adjustRightInd w:val="0"/>
              <w:snapToGrid w:val="0"/>
              <w:spacing w:line="440" w:lineRule="exact"/>
              <w:jc w:val="both"/>
              <w:rPr>
                <w:rFonts w:hint="eastAsia" w:hAnsi="宋体" w:cs="Arial"/>
                <w:color w:val="auto"/>
                <w:sz w:val="21"/>
                <w:szCs w:val="21"/>
                <w:highlight w:val="none"/>
              </w:rPr>
            </w:pPr>
          </w:p>
        </w:tc>
        <w:tc>
          <w:tcPr>
            <w:tcW w:w="2940" w:type="dxa"/>
            <w:vMerge w:val="continue"/>
            <w:noWrap w:val="0"/>
            <w:vAlign w:val="center"/>
          </w:tcPr>
          <w:p>
            <w:pPr>
              <w:pStyle w:val="17"/>
              <w:adjustRightInd w:val="0"/>
              <w:snapToGrid w:val="0"/>
              <w:spacing w:line="440" w:lineRule="exact"/>
              <w:jc w:val="center"/>
              <w:rPr>
                <w:rFonts w:hint="eastAsia" w:hAnsi="宋体" w:cs="Arial"/>
                <w:color w:val="auto"/>
                <w:sz w:val="21"/>
                <w:szCs w:val="21"/>
                <w:highlight w:val="none"/>
              </w:rPr>
            </w:pPr>
          </w:p>
        </w:tc>
        <w:tc>
          <w:tcPr>
            <w:tcW w:w="1161" w:type="dxa"/>
            <w:vMerge w:val="continue"/>
            <w:noWrap w:val="0"/>
            <w:vAlign w:val="center"/>
          </w:tcPr>
          <w:p>
            <w:pPr>
              <w:pStyle w:val="17"/>
              <w:adjustRightInd w:val="0"/>
              <w:snapToGrid w:val="0"/>
              <w:spacing w:line="440" w:lineRule="exact"/>
              <w:jc w:val="center"/>
              <w:rPr>
                <w:rFonts w:hint="eastAsia"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955" w:type="dxa"/>
            <w:noWrap w:val="0"/>
            <w:vAlign w:val="center"/>
          </w:tcPr>
          <w:p>
            <w:pPr>
              <w:jc w:val="center"/>
              <w:rPr>
                <w:rFonts w:hint="default" w:eastAsia="宋体"/>
                <w:color w:val="auto"/>
                <w:highlight w:val="none"/>
                <w:lang w:val="en-US" w:eastAsia="zh-CN"/>
              </w:rPr>
            </w:pPr>
          </w:p>
        </w:tc>
        <w:tc>
          <w:tcPr>
            <w:tcW w:w="2868" w:type="dxa"/>
            <w:noWrap w:val="0"/>
            <w:vAlign w:val="center"/>
          </w:tcPr>
          <w:p>
            <w:pPr>
              <w:pStyle w:val="17"/>
              <w:adjustRightInd w:val="0"/>
              <w:snapToGrid w:val="0"/>
              <w:spacing w:line="440" w:lineRule="exact"/>
              <w:jc w:val="both"/>
              <w:rPr>
                <w:rFonts w:hint="eastAsia" w:hAnsi="宋体" w:cs="Arial"/>
                <w:color w:val="auto"/>
                <w:sz w:val="21"/>
                <w:szCs w:val="21"/>
                <w:highlight w:val="none"/>
              </w:rPr>
            </w:pPr>
          </w:p>
        </w:tc>
        <w:tc>
          <w:tcPr>
            <w:tcW w:w="2940" w:type="dxa"/>
            <w:vMerge w:val="continue"/>
            <w:noWrap w:val="0"/>
            <w:vAlign w:val="center"/>
          </w:tcPr>
          <w:p>
            <w:pPr>
              <w:pStyle w:val="17"/>
              <w:adjustRightInd w:val="0"/>
              <w:snapToGrid w:val="0"/>
              <w:spacing w:line="440" w:lineRule="exact"/>
              <w:jc w:val="center"/>
              <w:rPr>
                <w:rFonts w:hint="eastAsia" w:hAnsi="宋体" w:cs="Arial"/>
                <w:color w:val="auto"/>
                <w:sz w:val="21"/>
                <w:szCs w:val="21"/>
                <w:highlight w:val="none"/>
              </w:rPr>
            </w:pPr>
          </w:p>
        </w:tc>
        <w:tc>
          <w:tcPr>
            <w:tcW w:w="1161" w:type="dxa"/>
            <w:vMerge w:val="continue"/>
            <w:noWrap w:val="0"/>
            <w:vAlign w:val="center"/>
          </w:tcPr>
          <w:p>
            <w:pPr>
              <w:pStyle w:val="17"/>
              <w:adjustRightInd w:val="0"/>
              <w:snapToGrid w:val="0"/>
              <w:spacing w:line="440" w:lineRule="exact"/>
              <w:jc w:val="center"/>
              <w:rPr>
                <w:rFonts w:hint="eastAsia" w:hAnsi="宋体" w:cs="Arial"/>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955" w:type="dxa"/>
            <w:noWrap w:val="0"/>
            <w:vAlign w:val="center"/>
          </w:tcPr>
          <w:p>
            <w:pPr>
              <w:pStyle w:val="17"/>
              <w:adjustRightInd w:val="0"/>
              <w:snapToGrid w:val="0"/>
              <w:spacing w:line="440" w:lineRule="exact"/>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报价合计（人民币）</w:t>
            </w:r>
          </w:p>
        </w:tc>
        <w:tc>
          <w:tcPr>
            <w:tcW w:w="6969" w:type="dxa"/>
            <w:gridSpan w:val="3"/>
            <w:noWrap w:val="0"/>
            <w:vAlign w:val="center"/>
          </w:tcPr>
          <w:p>
            <w:pPr>
              <w:pStyle w:val="17"/>
              <w:adjustRightInd w:val="0"/>
              <w:snapToGrid w:val="0"/>
              <w:spacing w:line="440" w:lineRule="exact"/>
              <w:jc w:val="left"/>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小写：</w:t>
            </w:r>
          </w:p>
          <w:p>
            <w:pPr>
              <w:pStyle w:val="17"/>
              <w:adjustRightInd w:val="0"/>
              <w:snapToGrid w:val="0"/>
              <w:spacing w:line="440" w:lineRule="exact"/>
              <w:jc w:val="left"/>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大写：</w:t>
            </w:r>
          </w:p>
        </w:tc>
      </w:tr>
    </w:tbl>
    <w:p>
      <w:pPr>
        <w:pStyle w:val="2"/>
        <w:rPr>
          <w:rFonts w:hint="default" w:cs="宋体"/>
          <w:color w:val="auto"/>
          <w:highlight w:val="none"/>
        </w:rPr>
      </w:pPr>
    </w:p>
    <w:p>
      <w:pPr>
        <w:adjustRightInd w:val="0"/>
        <w:spacing w:line="360" w:lineRule="auto"/>
        <w:rPr>
          <w:rFonts w:ascii="宋体" w:hAnsi="宋体" w:cs="宋体"/>
          <w:color w:val="auto"/>
          <w:szCs w:val="21"/>
          <w:highlight w:val="none"/>
        </w:rPr>
      </w:pPr>
      <w:r>
        <w:rPr>
          <w:rFonts w:hint="eastAsia" w:ascii="宋体" w:hAnsi="宋体" w:cs="宋体"/>
          <w:color w:val="auto"/>
          <w:highlight w:val="none"/>
        </w:rPr>
        <w:t>供应商全称（盖单位公章或电子签章）：</w:t>
      </w:r>
    </w:p>
    <w:p>
      <w:pPr>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日期：  年  月  日</w:t>
      </w:r>
    </w:p>
    <w:p>
      <w:pPr>
        <w:pStyle w:val="3"/>
        <w:rPr>
          <w:rFonts w:ascii="宋体" w:hAnsi="宋体" w:eastAsia="宋体" w:cs="宋体"/>
          <w:color w:val="auto"/>
          <w:highlight w:val="none"/>
        </w:rPr>
      </w:pPr>
    </w:p>
    <w:p>
      <w:pPr>
        <w:tabs>
          <w:tab w:val="left" w:pos="6080"/>
          <w:tab w:val="left" w:pos="6640"/>
        </w:tabs>
        <w:autoSpaceDE w:val="0"/>
        <w:autoSpaceDN w:val="0"/>
        <w:adjustRightInd w:val="0"/>
        <w:snapToGrid w:val="0"/>
        <w:spacing w:line="300" w:lineRule="auto"/>
        <w:ind w:right="403"/>
        <w:jc w:val="left"/>
        <w:rPr>
          <w:rFonts w:ascii="宋体" w:hAnsi="宋体" w:cs="宋体"/>
          <w:b/>
          <w:color w:val="auto"/>
          <w:highlight w:val="none"/>
        </w:rPr>
        <w:sectPr>
          <w:footerReference r:id="rId6" w:type="first"/>
          <w:headerReference r:id="rId3" w:type="default"/>
          <w:footerReference r:id="rId4" w:type="default"/>
          <w:footerReference r:id="rId5" w:type="even"/>
          <w:pgSz w:w="11906" w:h="16838"/>
          <w:pgMar w:top="1440" w:right="1474" w:bottom="1440" w:left="1474" w:header="851" w:footer="851" w:gutter="0"/>
          <w:pgBorders>
            <w:top w:val="none" w:sz="0" w:space="0"/>
            <w:left w:val="none" w:sz="0" w:space="0"/>
            <w:bottom w:val="none" w:sz="0" w:space="0"/>
            <w:right w:val="none" w:sz="0" w:space="0"/>
          </w:pgBorders>
          <w:pgNumType w:start="1"/>
          <w:cols w:space="720" w:num="1"/>
          <w:titlePg/>
          <w:docGrid w:linePitch="312" w:charSpace="0"/>
        </w:sectPr>
      </w:pPr>
      <w:bookmarkStart w:id="89" w:name="_Toc336683580"/>
      <w:bookmarkStart w:id="90" w:name="_Toc345575540"/>
    </w:p>
    <w:bookmarkEnd w:id="89"/>
    <w:bookmarkEnd w:id="90"/>
    <w:p>
      <w:pPr>
        <w:rPr>
          <w:rFonts w:ascii="宋体" w:hAnsi="宋体" w:cs="宋体"/>
          <w:b/>
          <w:color w:val="auto"/>
          <w:highlight w:val="none"/>
        </w:rPr>
      </w:pPr>
      <w:r>
        <w:rPr>
          <w:rFonts w:hint="eastAsia" w:ascii="宋体" w:hAnsi="宋体" w:cs="宋体"/>
          <w:b/>
          <w:color w:val="auto"/>
          <w:highlight w:val="none"/>
        </w:rPr>
        <w:br w:type="page"/>
      </w:r>
    </w:p>
    <w:p>
      <w:pPr>
        <w:autoSpaceDE/>
        <w:autoSpaceDN/>
        <w:adjustRightInd/>
        <w:snapToGrid/>
        <w:spacing w:line="240" w:lineRule="auto"/>
        <w:ind w:right="0"/>
        <w:jc w:val="left"/>
        <w:rPr>
          <w:rFonts w:ascii="宋体" w:hAnsi="宋体" w:cs="宋体"/>
          <w:b/>
          <w:color w:val="auto"/>
          <w:highlight w:val="none"/>
        </w:rPr>
      </w:pPr>
      <w:r>
        <w:rPr>
          <w:rFonts w:hint="eastAsia" w:ascii="宋体" w:hAnsi="宋体" w:cs="宋体"/>
          <w:b/>
          <w:color w:val="auto"/>
          <w:highlight w:val="none"/>
          <w:lang w:val="en-US" w:eastAsia="zh-CN"/>
        </w:rPr>
        <w:t>2</w:t>
      </w:r>
      <w:r>
        <w:rPr>
          <w:rFonts w:hint="eastAsia" w:ascii="宋体" w:hAnsi="宋体" w:cs="宋体"/>
          <w:b/>
          <w:color w:val="auto"/>
          <w:highlight w:val="none"/>
        </w:rPr>
        <w:t>、供应商认为有必要提供的其它文件</w:t>
      </w:r>
    </w:p>
    <w:p>
      <w:pPr>
        <w:spacing w:line="360" w:lineRule="atLeast"/>
        <w:ind w:firstLine="4200" w:firstLineChars="2000"/>
        <w:rPr>
          <w:rFonts w:ascii="宋体" w:hAnsi="宋体" w:cs="宋体"/>
          <w:color w:val="auto"/>
          <w:szCs w:val="21"/>
          <w:highlight w:val="none"/>
        </w:rPr>
      </w:pPr>
    </w:p>
    <w:p>
      <w:pPr>
        <w:pStyle w:val="4"/>
        <w:snapToGrid w:val="0"/>
        <w:spacing w:before="120" w:beforeLines="50" w:line="360" w:lineRule="auto"/>
        <w:rPr>
          <w:rFonts w:ascii="宋体" w:hAnsi="宋体" w:eastAsia="宋体" w:cs="宋体"/>
          <w:bCs/>
          <w:color w:val="auto"/>
          <w:sz w:val="21"/>
          <w:szCs w:val="21"/>
          <w:highlight w:val="none"/>
        </w:rPr>
      </w:pPr>
      <w:r>
        <w:rPr>
          <w:rFonts w:hint="eastAsia" w:ascii="宋体" w:hAnsi="宋体" w:eastAsia="宋体" w:cs="宋体"/>
          <w:color w:val="auto"/>
          <w:szCs w:val="21"/>
          <w:highlight w:val="none"/>
        </w:rPr>
        <w:br w:type="page"/>
      </w:r>
      <w:bookmarkStart w:id="91" w:name="_Toc415814148"/>
      <w:bookmarkStart w:id="92" w:name="_Toc12468"/>
      <w:bookmarkStart w:id="93" w:name="_Toc450199113"/>
      <w:bookmarkStart w:id="94" w:name="_Toc1932"/>
      <w:bookmarkStart w:id="95" w:name="_Toc31955"/>
      <w:bookmarkStart w:id="96" w:name="_Toc401423941"/>
      <w:bookmarkStart w:id="97" w:name="_Toc312928677"/>
      <w:bookmarkStart w:id="98" w:name="_Toc293401394"/>
      <w:r>
        <w:rPr>
          <w:rFonts w:hint="eastAsia" w:ascii="宋体" w:hAnsi="宋体" w:eastAsia="宋体" w:cs="宋体"/>
          <w:color w:val="auto"/>
          <w:sz w:val="21"/>
          <w:szCs w:val="21"/>
          <w:highlight w:val="none"/>
        </w:rPr>
        <w:t>三、</w:t>
      </w:r>
      <w:bookmarkEnd w:id="91"/>
      <w:r>
        <w:rPr>
          <w:rFonts w:hint="eastAsia" w:ascii="宋体" w:hAnsi="宋体" w:eastAsia="宋体" w:cs="宋体"/>
          <w:color w:val="auto"/>
          <w:sz w:val="21"/>
          <w:szCs w:val="21"/>
          <w:highlight w:val="none"/>
        </w:rPr>
        <w:t>资格文件</w:t>
      </w:r>
      <w:bookmarkEnd w:id="92"/>
      <w:bookmarkEnd w:id="93"/>
      <w:bookmarkEnd w:id="94"/>
      <w:bookmarkEnd w:id="95"/>
    </w:p>
    <w:p>
      <w:pPr>
        <w:spacing w:line="360" w:lineRule="auto"/>
        <w:jc w:val="center"/>
        <w:rPr>
          <w:rFonts w:ascii="宋体" w:hAnsi="宋体" w:cs="宋体"/>
          <w:color w:val="auto"/>
          <w:highlight w:val="none"/>
        </w:rPr>
      </w:pPr>
      <w:r>
        <w:rPr>
          <w:rFonts w:hint="eastAsia" w:ascii="宋体" w:hAnsi="宋体" w:cs="宋体"/>
          <w:color w:val="auto"/>
          <w:highlight w:val="none"/>
        </w:rPr>
        <w:t>目录</w:t>
      </w:r>
    </w:p>
    <w:bookmarkEnd w:id="96"/>
    <w:bookmarkEnd w:id="97"/>
    <w:bookmarkEnd w:id="98"/>
    <w:p>
      <w:pPr>
        <w:shd w:val="clear" w:color="auto" w:fill="FFFFFF"/>
        <w:snapToGrid w:val="0"/>
        <w:spacing w:line="360" w:lineRule="auto"/>
        <w:ind w:firstLine="420" w:firstLineChars="200"/>
        <w:rPr>
          <w:rFonts w:hint="default"/>
          <w:color w:val="auto"/>
          <w:sz w:val="21"/>
          <w:szCs w:val="21"/>
          <w:highlight w:val="none"/>
        </w:rPr>
      </w:pPr>
      <w:bookmarkStart w:id="99" w:name="_Hlk33176655"/>
      <w:r>
        <w:rPr>
          <w:rFonts w:hint="default"/>
          <w:color w:val="auto"/>
          <w:sz w:val="21"/>
          <w:szCs w:val="21"/>
          <w:highlight w:val="none"/>
        </w:rPr>
        <w:t>（1）营业执照</w:t>
      </w:r>
      <w:r>
        <w:rPr>
          <w:rFonts w:hint="eastAsia"/>
          <w:color w:val="auto"/>
          <w:sz w:val="21"/>
          <w:szCs w:val="21"/>
          <w:highlight w:val="none"/>
          <w:lang w:eastAsia="zh-CN"/>
        </w:rPr>
        <w:t>………………………………………………………………………</w:t>
      </w:r>
      <w:r>
        <w:rPr>
          <w:rFonts w:hint="default"/>
          <w:color w:val="auto"/>
          <w:sz w:val="21"/>
          <w:szCs w:val="21"/>
          <w:highlight w:val="none"/>
        </w:rPr>
        <w:t>（页码）</w:t>
      </w:r>
    </w:p>
    <w:p>
      <w:pPr>
        <w:shd w:val="clear" w:color="auto" w:fill="FFFFFF"/>
        <w:snapToGrid w:val="0"/>
        <w:spacing w:line="360" w:lineRule="auto"/>
        <w:ind w:firstLine="420" w:firstLineChars="200"/>
        <w:rPr>
          <w:rFonts w:hint="default"/>
          <w:color w:val="auto"/>
          <w:sz w:val="21"/>
          <w:szCs w:val="21"/>
          <w:highlight w:val="none"/>
        </w:rPr>
      </w:pPr>
      <w:r>
        <w:rPr>
          <w:rFonts w:hint="default"/>
          <w:color w:val="auto"/>
          <w:sz w:val="21"/>
          <w:szCs w:val="21"/>
          <w:highlight w:val="none"/>
        </w:rPr>
        <w:t>（2）符合资格条件的声明函</w:t>
      </w:r>
      <w:r>
        <w:rPr>
          <w:rFonts w:hint="eastAsia"/>
          <w:color w:val="auto"/>
          <w:sz w:val="21"/>
          <w:szCs w:val="21"/>
          <w:highlight w:val="none"/>
          <w:lang w:eastAsia="zh-CN"/>
        </w:rPr>
        <w:t>………………………………………………………</w:t>
      </w:r>
      <w:r>
        <w:rPr>
          <w:rFonts w:hint="default"/>
          <w:color w:val="auto"/>
          <w:sz w:val="21"/>
          <w:szCs w:val="21"/>
          <w:highlight w:val="none"/>
        </w:rPr>
        <w:t>（页码）</w:t>
      </w:r>
      <w:bookmarkEnd w:id="99"/>
    </w:p>
    <w:p>
      <w:pPr>
        <w:shd w:val="clear" w:color="auto" w:fill="FFFFFF"/>
        <w:snapToGrid w:val="0"/>
        <w:spacing w:line="360" w:lineRule="auto"/>
        <w:ind w:firstLine="420" w:firstLineChars="200"/>
        <w:rPr>
          <w:rFonts w:hint="default"/>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default"/>
          <w:color w:val="auto"/>
          <w:sz w:val="21"/>
          <w:szCs w:val="21"/>
          <w:highlight w:val="none"/>
        </w:rPr>
        <w:t>特定资格条件要求的资质文件（复印件）</w:t>
      </w:r>
      <w:r>
        <w:rPr>
          <w:rFonts w:hint="eastAsia"/>
          <w:color w:val="auto"/>
          <w:sz w:val="21"/>
          <w:szCs w:val="21"/>
          <w:highlight w:val="none"/>
          <w:lang w:eastAsia="zh-CN"/>
        </w:rPr>
        <w:t>…………………………………</w:t>
      </w:r>
      <w:r>
        <w:rPr>
          <w:rFonts w:hint="default"/>
          <w:color w:val="auto"/>
          <w:sz w:val="21"/>
          <w:szCs w:val="21"/>
          <w:highlight w:val="none"/>
        </w:rPr>
        <w:t>（页码）</w:t>
      </w:r>
    </w:p>
    <w:p>
      <w:pPr>
        <w:rPr>
          <w:rFonts w:hint="eastAsia" w:ascii="宋体" w:hAnsi="宋体" w:cs="宋体"/>
          <w:bCs/>
          <w:color w:val="auto"/>
          <w:szCs w:val="21"/>
          <w:highlight w:val="none"/>
        </w:rPr>
      </w:pPr>
      <w:r>
        <w:rPr>
          <w:rFonts w:hint="eastAsia" w:ascii="宋体" w:hAnsi="宋体" w:cs="宋体"/>
          <w:bCs/>
          <w:color w:val="auto"/>
          <w:szCs w:val="21"/>
          <w:highlight w:val="none"/>
        </w:rPr>
        <w:br w:type="page"/>
      </w:r>
    </w:p>
    <w:p>
      <w:pPr>
        <w:numPr>
          <w:ilvl w:val="0"/>
          <w:numId w:val="0"/>
        </w:numPr>
        <w:snapToGrid w:val="0"/>
        <w:spacing w:line="360" w:lineRule="auto"/>
        <w:jc w:val="center"/>
        <w:outlineLvl w:val="0"/>
        <w:rPr>
          <w:rFonts w:ascii="Arial" w:hAnsi="Arial" w:cs="Arial"/>
          <w:b/>
          <w:color w:val="auto"/>
          <w:kern w:val="0"/>
          <w:sz w:val="28"/>
          <w:szCs w:val="28"/>
          <w:highlight w:val="none"/>
        </w:rPr>
      </w:pPr>
      <w:bookmarkStart w:id="100" w:name="_Toc18038"/>
      <w:bookmarkStart w:id="101" w:name="_Toc26270"/>
      <w:r>
        <w:rPr>
          <w:rFonts w:hint="eastAsia" w:ascii="Arial" w:hAnsi="Arial" w:cs="Arial"/>
          <w:b/>
          <w:color w:val="auto"/>
          <w:kern w:val="0"/>
          <w:sz w:val="28"/>
          <w:szCs w:val="28"/>
          <w:highlight w:val="none"/>
          <w:lang w:val="en-US" w:eastAsia="zh-CN"/>
        </w:rPr>
        <w:t>（1）</w:t>
      </w:r>
      <w:r>
        <w:rPr>
          <w:rFonts w:ascii="Arial" w:hAnsi="Arial" w:cs="Arial"/>
          <w:b/>
          <w:color w:val="auto"/>
          <w:kern w:val="0"/>
          <w:sz w:val="28"/>
          <w:szCs w:val="28"/>
          <w:highlight w:val="none"/>
        </w:rPr>
        <w:t>营业执照（复印件）</w:t>
      </w:r>
      <w:bookmarkEnd w:id="100"/>
      <w:bookmarkEnd w:id="101"/>
    </w:p>
    <w:p>
      <w:pPr>
        <w:pStyle w:val="29"/>
        <w:numPr>
          <w:ilvl w:val="255"/>
          <w:numId w:val="0"/>
        </w:numPr>
        <w:tabs>
          <w:tab w:val="left" w:pos="312"/>
        </w:tabs>
        <w:adjustRightInd w:val="0"/>
        <w:snapToGrid w:val="0"/>
        <w:spacing w:beforeAutospacing="0" w:afterAutospacing="0" w:line="360" w:lineRule="auto"/>
        <w:ind w:left="420" w:leftChars="200"/>
        <w:rPr>
          <w:rFonts w:cs="宋体"/>
          <w:bCs/>
          <w:color w:val="auto"/>
          <w:sz w:val="21"/>
          <w:szCs w:val="21"/>
          <w:highlight w:val="none"/>
        </w:rPr>
      </w:pPr>
    </w:p>
    <w:p>
      <w:pPr>
        <w:snapToGrid w:val="0"/>
        <w:spacing w:line="300" w:lineRule="auto"/>
        <w:jc w:val="center"/>
        <w:rPr>
          <w:rFonts w:ascii="Arial" w:hAnsi="Arial" w:cs="Arial"/>
          <w:b/>
          <w:color w:val="auto"/>
          <w:kern w:val="0"/>
          <w:sz w:val="28"/>
          <w:szCs w:val="28"/>
          <w:highlight w:val="none"/>
        </w:rPr>
      </w:pPr>
      <w:r>
        <w:rPr>
          <w:rFonts w:hint="eastAsia" w:ascii="Arial" w:hAnsi="Arial" w:cs="Arial"/>
          <w:b/>
          <w:color w:val="auto"/>
          <w:kern w:val="0"/>
          <w:sz w:val="28"/>
          <w:szCs w:val="28"/>
          <w:highlight w:val="none"/>
          <w:lang w:val="en-US" w:eastAsia="zh-CN"/>
        </w:rPr>
        <w:t>（2）</w:t>
      </w:r>
      <w:r>
        <w:rPr>
          <w:rFonts w:ascii="Arial" w:hAnsi="Arial" w:cs="Arial"/>
          <w:b/>
          <w:color w:val="auto"/>
          <w:kern w:val="0"/>
          <w:sz w:val="28"/>
          <w:szCs w:val="28"/>
          <w:highlight w:val="none"/>
        </w:rPr>
        <w:t>符合参加采购活动应当具备的一般条件的承诺函</w:t>
      </w:r>
    </w:p>
    <w:p>
      <w:pPr>
        <w:snapToGrid w:val="0"/>
        <w:spacing w:line="300" w:lineRule="auto"/>
        <w:jc w:val="center"/>
        <w:rPr>
          <w:rFonts w:ascii="Arial" w:hAnsi="Arial" w:cs="Arial"/>
          <w:b/>
          <w:color w:val="auto"/>
          <w:kern w:val="0"/>
          <w:sz w:val="28"/>
          <w:szCs w:val="28"/>
          <w:highlight w:val="none"/>
        </w:rPr>
      </w:pPr>
    </w:p>
    <w:p>
      <w:pPr>
        <w:pStyle w:val="150"/>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pPr>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我方参与</w:t>
      </w:r>
      <w:r>
        <w:rPr>
          <w:rFonts w:hint="eastAsia" w:ascii="宋体" w:hAnsi="宋体" w:cs="楷体"/>
          <w:color w:val="auto"/>
          <w:kern w:val="0"/>
          <w:szCs w:val="22"/>
          <w:highlight w:val="none"/>
          <w:u w:val="single"/>
          <w:lang w:val="en-US" w:eastAsia="zh-CN"/>
        </w:rPr>
        <w:t>2024科技计划项目技术开发项目</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ascii="宋体" w:hAnsi="宋体" w:eastAsia="宋体" w:cs="宋体"/>
          <w:color w:val="auto"/>
          <w:sz w:val="21"/>
          <w:szCs w:val="21"/>
          <w:highlight w:val="none"/>
        </w:rPr>
        <w:t>编号：</w:t>
      </w:r>
      <w:r>
        <w:rPr>
          <w:rFonts w:hint="eastAsia" w:ascii="宋体" w:hAnsi="宋体" w:cs="楷体"/>
          <w:color w:val="auto"/>
          <w:kern w:val="0"/>
          <w:szCs w:val="22"/>
          <w:highlight w:val="none"/>
          <w:u w:val="single"/>
          <w:lang w:val="en-US" w:eastAsia="zh-CN"/>
        </w:rPr>
        <w:t xml:space="preserve"> </w:t>
      </w:r>
      <w:r>
        <w:rPr>
          <w:rFonts w:ascii="宋体" w:hAnsi="宋体" w:eastAsia="宋体" w:cs="宋体"/>
          <w:color w:val="auto"/>
          <w:sz w:val="21"/>
          <w:szCs w:val="21"/>
          <w:highlight w:val="none"/>
        </w:rPr>
        <w:t>】政府采购活动，郑重承诺：</w:t>
      </w:r>
    </w:p>
    <w:p>
      <w:pPr>
        <w:pStyle w:val="150"/>
        <w:spacing w:line="360" w:lineRule="auto"/>
        <w:ind w:firstLine="367" w:firstLineChars="175"/>
        <w:rPr>
          <w:rFonts w:ascii="宋体" w:hAnsi="宋体" w:eastAsia="宋体" w:cs="宋体"/>
          <w:color w:val="auto"/>
          <w:sz w:val="21"/>
          <w:szCs w:val="21"/>
          <w:highlight w:val="none"/>
        </w:rPr>
      </w:pPr>
      <w:r>
        <w:rPr>
          <w:rFonts w:ascii="宋体" w:hAnsi="宋体" w:eastAsia="宋体" w:cs="宋体"/>
          <w:color w:val="auto"/>
          <w:sz w:val="21"/>
          <w:szCs w:val="21"/>
          <w:highlight w:val="none"/>
        </w:rPr>
        <w:t>（一）具备《中华人民共和国政府采购法》第二十二条第一款规定的条件：</w:t>
      </w:r>
    </w:p>
    <w:p>
      <w:pPr>
        <w:pStyle w:val="150"/>
        <w:spacing w:line="360" w:lineRule="auto"/>
        <w:ind w:firstLine="367" w:firstLineChars="175"/>
        <w:rPr>
          <w:rFonts w:ascii="宋体" w:hAnsi="宋体" w:eastAsia="宋体" w:cs="宋体"/>
          <w:color w:val="auto"/>
          <w:sz w:val="21"/>
          <w:szCs w:val="21"/>
          <w:highlight w:val="none"/>
        </w:rPr>
      </w:pPr>
      <w:r>
        <w:rPr>
          <w:rFonts w:ascii="宋体" w:hAnsi="宋体" w:eastAsia="宋体" w:cs="宋体"/>
          <w:color w:val="auto"/>
          <w:sz w:val="21"/>
          <w:szCs w:val="21"/>
          <w:highlight w:val="none"/>
        </w:rPr>
        <w:t>1、具有独立承担民事责任的能力；</w:t>
      </w:r>
    </w:p>
    <w:p>
      <w:pPr>
        <w:pStyle w:val="150"/>
        <w:spacing w:line="360" w:lineRule="auto"/>
        <w:ind w:firstLine="367" w:firstLineChars="17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2、具有良好的商业信誉和健全的财务会计制度； </w:t>
      </w:r>
    </w:p>
    <w:p>
      <w:pPr>
        <w:pStyle w:val="150"/>
        <w:spacing w:line="360" w:lineRule="auto"/>
        <w:ind w:firstLine="367" w:firstLineChars="175"/>
        <w:rPr>
          <w:rFonts w:ascii="宋体" w:hAnsi="宋体" w:eastAsia="宋体" w:cs="宋体"/>
          <w:color w:val="auto"/>
          <w:sz w:val="21"/>
          <w:szCs w:val="21"/>
          <w:highlight w:val="none"/>
        </w:rPr>
      </w:pPr>
      <w:r>
        <w:rPr>
          <w:rFonts w:ascii="宋体" w:hAnsi="宋体" w:eastAsia="宋体" w:cs="宋体"/>
          <w:color w:val="auto"/>
          <w:sz w:val="21"/>
          <w:szCs w:val="21"/>
          <w:highlight w:val="none"/>
        </w:rPr>
        <w:t>3、具有履行合同所必需的设备和专业技术能力；</w:t>
      </w:r>
    </w:p>
    <w:p>
      <w:pPr>
        <w:pStyle w:val="150"/>
        <w:spacing w:line="360" w:lineRule="auto"/>
        <w:ind w:firstLine="367" w:firstLineChars="175"/>
        <w:rPr>
          <w:rFonts w:ascii="宋体" w:hAnsi="宋体" w:eastAsia="宋体" w:cs="宋体"/>
          <w:color w:val="auto"/>
          <w:sz w:val="21"/>
          <w:szCs w:val="21"/>
          <w:highlight w:val="none"/>
        </w:rPr>
      </w:pPr>
      <w:r>
        <w:rPr>
          <w:rFonts w:ascii="宋体" w:hAnsi="宋体" w:eastAsia="宋体" w:cs="宋体"/>
          <w:color w:val="auto"/>
          <w:sz w:val="21"/>
          <w:szCs w:val="21"/>
          <w:highlight w:val="none"/>
        </w:rPr>
        <w:t>4、有依法缴纳税收和社会保障资金的良好记录；</w:t>
      </w:r>
    </w:p>
    <w:p>
      <w:pPr>
        <w:pStyle w:val="150"/>
        <w:spacing w:line="360" w:lineRule="auto"/>
        <w:ind w:firstLine="367" w:firstLineChars="175"/>
        <w:rPr>
          <w:rFonts w:ascii="宋体" w:hAnsi="宋体" w:eastAsia="宋体" w:cs="宋体"/>
          <w:color w:val="auto"/>
          <w:sz w:val="21"/>
          <w:szCs w:val="21"/>
          <w:highlight w:val="none"/>
        </w:rPr>
      </w:pPr>
      <w:r>
        <w:rPr>
          <w:rFonts w:ascii="宋体" w:hAnsi="宋体" w:eastAsia="宋体" w:cs="宋体"/>
          <w:color w:val="auto"/>
          <w:sz w:val="21"/>
          <w:szCs w:val="21"/>
          <w:highlight w:val="none"/>
        </w:rPr>
        <w:t>5、参加政府采购活动前三年内，在经营活动中没有重大违法记录；</w:t>
      </w:r>
    </w:p>
    <w:p>
      <w:pPr>
        <w:pStyle w:val="150"/>
        <w:spacing w:line="360" w:lineRule="auto"/>
        <w:ind w:firstLine="367" w:firstLineChars="175"/>
        <w:rPr>
          <w:rFonts w:ascii="宋体" w:hAnsi="宋体" w:eastAsia="宋体" w:cs="宋体"/>
          <w:color w:val="auto"/>
          <w:sz w:val="21"/>
          <w:szCs w:val="21"/>
          <w:highlight w:val="none"/>
        </w:rPr>
      </w:pPr>
      <w:r>
        <w:rPr>
          <w:rFonts w:ascii="宋体" w:hAnsi="宋体" w:eastAsia="宋体" w:cs="宋体"/>
          <w:color w:val="auto"/>
          <w:sz w:val="21"/>
          <w:szCs w:val="21"/>
          <w:highlight w:val="none"/>
        </w:rPr>
        <w:t>6、具有法律、行政法规规定的其他条件。</w:t>
      </w:r>
    </w:p>
    <w:p>
      <w:pPr>
        <w:pStyle w:val="150"/>
        <w:spacing w:line="360" w:lineRule="auto"/>
        <w:ind w:firstLine="367" w:firstLineChars="175"/>
        <w:rPr>
          <w:rFonts w:ascii="宋体" w:hAnsi="宋体" w:eastAsia="宋体" w:cs="宋体"/>
          <w:color w:val="auto"/>
          <w:sz w:val="21"/>
          <w:szCs w:val="21"/>
          <w:highlight w:val="none"/>
        </w:rPr>
      </w:pPr>
      <w:r>
        <w:rPr>
          <w:rFonts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pPr>
        <w:pStyle w:val="150"/>
        <w:spacing w:line="360" w:lineRule="auto"/>
        <w:ind w:firstLine="367" w:firstLineChars="175"/>
        <w:rPr>
          <w:rFonts w:ascii="宋体" w:hAnsi="宋体" w:eastAsia="宋体" w:cs="宋体"/>
          <w:color w:val="auto"/>
          <w:sz w:val="21"/>
          <w:szCs w:val="21"/>
          <w:highlight w:val="none"/>
        </w:rPr>
      </w:pPr>
      <w:r>
        <w:rPr>
          <w:rFonts w:ascii="宋体" w:hAnsi="宋体" w:eastAsia="宋体" w:cs="宋体"/>
          <w:color w:val="auto"/>
          <w:sz w:val="21"/>
          <w:szCs w:val="21"/>
          <w:highlight w:val="none"/>
        </w:rPr>
        <w:t>（三）不存在以下情况：</w:t>
      </w:r>
    </w:p>
    <w:p>
      <w:pPr>
        <w:pStyle w:val="150"/>
        <w:spacing w:line="360" w:lineRule="auto"/>
        <w:ind w:firstLine="367" w:firstLineChars="175"/>
        <w:rPr>
          <w:rFonts w:ascii="宋体" w:hAnsi="宋体" w:eastAsia="宋体" w:cs="宋体"/>
          <w:color w:val="auto"/>
          <w:sz w:val="21"/>
          <w:szCs w:val="21"/>
          <w:highlight w:val="none"/>
        </w:rPr>
      </w:pPr>
      <w:r>
        <w:rPr>
          <w:rFonts w:ascii="宋体" w:hAnsi="宋体" w:eastAsia="宋体" w:cs="宋体"/>
          <w:color w:val="auto"/>
          <w:sz w:val="21"/>
          <w:szCs w:val="21"/>
          <w:highlight w:val="none"/>
        </w:rPr>
        <w:t>1、单位负责人为同一人或者存在直接控股、管理关系的不同供应商参加同一合同项下的政府采购活动的；</w:t>
      </w:r>
    </w:p>
    <w:p>
      <w:pPr>
        <w:pStyle w:val="150"/>
        <w:spacing w:line="360" w:lineRule="auto"/>
        <w:ind w:firstLine="367" w:firstLineChars="175"/>
        <w:rPr>
          <w:rFonts w:ascii="宋体" w:hAnsi="宋体" w:eastAsia="宋体" w:cs="宋体"/>
          <w:color w:val="auto"/>
          <w:sz w:val="21"/>
          <w:szCs w:val="21"/>
          <w:highlight w:val="none"/>
        </w:rPr>
      </w:pPr>
      <w:r>
        <w:rPr>
          <w:rFonts w:ascii="宋体" w:hAnsi="宋体" w:eastAsia="宋体" w:cs="宋体"/>
          <w:color w:val="auto"/>
          <w:sz w:val="21"/>
          <w:szCs w:val="21"/>
          <w:highlight w:val="none"/>
        </w:rPr>
        <w:t>2、为采购项目提供整体设计、规范编制或者项目管理、监理、检测等服务后再参加该采购项目的其他采购活动的。</w:t>
      </w:r>
    </w:p>
    <w:p>
      <w:pPr>
        <w:pStyle w:val="113"/>
        <w:rPr>
          <w:color w:val="auto"/>
          <w:sz w:val="21"/>
          <w:szCs w:val="21"/>
          <w:highlight w:val="none"/>
        </w:rPr>
      </w:pPr>
    </w:p>
    <w:p>
      <w:pPr>
        <w:pStyle w:val="150"/>
        <w:spacing w:line="360" w:lineRule="auto"/>
        <w:ind w:firstLine="367" w:firstLineChars="175"/>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供应商</w:t>
      </w:r>
      <w:r>
        <w:rPr>
          <w:rFonts w:ascii="宋体" w:hAnsi="宋体" w:eastAsia="宋体" w:cs="宋体"/>
          <w:color w:val="auto"/>
          <w:sz w:val="21"/>
          <w:szCs w:val="21"/>
          <w:highlight w:val="none"/>
        </w:rPr>
        <w:t>名称(电子签名)：</w:t>
      </w:r>
    </w:p>
    <w:p>
      <w:pPr>
        <w:pStyle w:val="150"/>
        <w:spacing w:line="360" w:lineRule="auto"/>
        <w:ind w:firstLine="367" w:firstLineChars="175"/>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日期：  年  月   日</w:t>
      </w:r>
    </w:p>
    <w:p>
      <w:pPr>
        <w:spacing w:line="360" w:lineRule="auto"/>
        <w:ind w:firstLine="420" w:firstLineChars="200"/>
        <w:rPr>
          <w:rFonts w:ascii="宋体" w:hAnsi="宋体" w:cs="宋体"/>
          <w:color w:val="auto"/>
          <w:szCs w:val="21"/>
          <w:highlight w:val="none"/>
        </w:rPr>
      </w:pPr>
    </w:p>
    <w:p>
      <w:pPr>
        <w:pStyle w:val="43"/>
        <w:snapToGrid w:val="0"/>
        <w:spacing w:line="360" w:lineRule="auto"/>
        <w:ind w:firstLine="420"/>
        <w:rPr>
          <w:rFonts w:ascii="宋体" w:hAnsi="宋体" w:cs="宋体"/>
          <w:color w:val="auto"/>
          <w:highlight w:val="none"/>
        </w:rPr>
      </w:pPr>
      <w:r>
        <w:rPr>
          <w:rFonts w:hint="eastAsia" w:ascii="宋体" w:hAnsi="宋体" w:cs="宋体"/>
          <w:color w:val="auto"/>
          <w:highlight w:val="none"/>
        </w:rPr>
        <w:br w:type="page"/>
      </w:r>
    </w:p>
    <w:p>
      <w:pPr>
        <w:pStyle w:val="4"/>
        <w:ind w:firstLine="551" w:firstLineChars="196"/>
        <w:jc w:val="center"/>
        <w:rPr>
          <w:rFonts w:hint="eastAsia" w:ascii="Arial" w:hAnsi="Arial" w:eastAsia="宋体" w:cs="Arial"/>
          <w:b/>
          <w:snapToGrid w:val="0"/>
          <w:color w:val="auto"/>
          <w:kern w:val="0"/>
          <w:sz w:val="28"/>
          <w:szCs w:val="28"/>
          <w:highlight w:val="none"/>
          <w:lang w:val="en-US" w:eastAsia="zh-CN" w:bidi="ar-SA"/>
        </w:rPr>
      </w:pPr>
      <w:bookmarkStart w:id="102" w:name="_Toc354996707"/>
      <w:bookmarkStart w:id="103" w:name="_Toc55237638"/>
      <w:bookmarkStart w:id="104" w:name="_Toc21192"/>
      <w:bookmarkStart w:id="105" w:name="_Toc11135"/>
      <w:r>
        <w:rPr>
          <w:rFonts w:hint="eastAsia" w:eastAsia="宋体" w:cs="Arial"/>
          <w:b/>
          <w:snapToGrid w:val="0"/>
          <w:color w:val="auto"/>
          <w:kern w:val="0"/>
          <w:sz w:val="28"/>
          <w:szCs w:val="28"/>
          <w:highlight w:val="none"/>
          <w:lang w:val="en-US" w:eastAsia="zh-CN" w:bidi="ar-SA"/>
        </w:rPr>
        <w:t>（3）</w:t>
      </w:r>
      <w:r>
        <w:rPr>
          <w:rFonts w:hint="eastAsia" w:ascii="Arial" w:hAnsi="Arial" w:eastAsia="宋体" w:cs="Arial"/>
          <w:b/>
          <w:snapToGrid w:val="0"/>
          <w:color w:val="auto"/>
          <w:kern w:val="0"/>
          <w:sz w:val="28"/>
          <w:szCs w:val="28"/>
          <w:highlight w:val="none"/>
          <w:lang w:val="en-US" w:eastAsia="zh-CN" w:bidi="ar-SA"/>
        </w:rPr>
        <w:t>特定资格条件要求的资质文件（复印件）</w:t>
      </w:r>
      <w:bookmarkEnd w:id="102"/>
      <w:bookmarkEnd w:id="103"/>
      <w:bookmarkEnd w:id="104"/>
    </w:p>
    <w:p>
      <w:pPr>
        <w:pStyle w:val="150"/>
        <w:adjustRightInd w:val="0"/>
        <w:snapToGrid w:val="0"/>
        <w:spacing w:line="360" w:lineRule="auto"/>
        <w:ind w:firstLine="367" w:firstLineChars="17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提供有效期内的。</w:t>
      </w:r>
    </w:p>
    <w:p>
      <w:pPr>
        <w:pStyle w:val="150"/>
        <w:spacing w:line="360" w:lineRule="auto"/>
        <w:ind w:firstLine="367" w:firstLineChars="175"/>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End w:id="105"/>
    </w:p>
    <w:p>
      <w:pPr>
        <w:spacing w:line="360" w:lineRule="auto"/>
        <w:rPr>
          <w:rFonts w:ascii="宋体" w:hAnsi="宋体" w:cs="宋体"/>
          <w:bCs/>
          <w:color w:val="auto"/>
          <w:szCs w:val="21"/>
          <w:highlight w:val="none"/>
        </w:rPr>
      </w:pPr>
      <w:r>
        <w:rPr>
          <w:rFonts w:hint="eastAsia" w:ascii="宋体" w:hAnsi="宋体" w:cs="宋体"/>
          <w:color w:val="auto"/>
          <w:highlight w:val="none"/>
        </w:rPr>
        <w:t>四</w:t>
      </w:r>
      <w:r>
        <w:rPr>
          <w:rFonts w:hint="eastAsia" w:ascii="宋体" w:hAnsi="宋体" w:cs="宋体"/>
          <w:color w:val="auto"/>
          <w:szCs w:val="21"/>
          <w:highlight w:val="none"/>
        </w:rPr>
        <w:t>、商务技术文件</w:t>
      </w:r>
    </w:p>
    <w:p>
      <w:pPr>
        <w:spacing w:line="360" w:lineRule="auto"/>
        <w:jc w:val="center"/>
        <w:rPr>
          <w:rFonts w:ascii="宋体" w:hAnsi="宋体" w:cs="宋体"/>
          <w:color w:val="auto"/>
          <w:highlight w:val="none"/>
        </w:rPr>
      </w:pPr>
      <w:r>
        <w:rPr>
          <w:rFonts w:hint="eastAsia" w:ascii="宋体" w:hAnsi="宋体" w:cs="宋体"/>
          <w:color w:val="auto"/>
          <w:highlight w:val="none"/>
        </w:rPr>
        <w:t>目录</w:t>
      </w:r>
    </w:p>
    <w:p>
      <w:pPr>
        <w:pStyle w:val="43"/>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（1）磋商响应函；</w:t>
      </w:r>
    </w:p>
    <w:p>
      <w:pPr>
        <w:pStyle w:val="43"/>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（2）法定代表人资格证明书；</w:t>
      </w:r>
    </w:p>
    <w:p>
      <w:pPr>
        <w:pStyle w:val="43"/>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（3）法定代表人授权委托书（法定代表人签署不需提供此书）；</w:t>
      </w:r>
    </w:p>
    <w:p>
      <w:pPr>
        <w:pStyle w:val="43"/>
        <w:snapToGrid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法定代表人及授权代表身份证正反面复印件；</w:t>
      </w:r>
    </w:p>
    <w:p>
      <w:pPr>
        <w:pStyle w:val="43"/>
        <w:snapToGrid w:val="0"/>
        <w:spacing w:line="360" w:lineRule="auto"/>
        <w:ind w:firstLine="1050" w:firstLineChars="500"/>
        <w:rPr>
          <w:rFonts w:hint="eastAsia" w:ascii="宋体" w:hAnsi="宋体" w:cs="宋体"/>
          <w:color w:val="auto"/>
          <w:szCs w:val="21"/>
          <w:highlight w:val="none"/>
        </w:rPr>
      </w:pPr>
      <w:r>
        <w:rPr>
          <w:rFonts w:hint="eastAsia" w:ascii="宋体" w:hAnsi="宋体" w:cs="宋体"/>
          <w:color w:val="auto"/>
          <w:szCs w:val="21"/>
          <w:highlight w:val="none"/>
        </w:rPr>
        <w:t>社保机构出具的响应截止日前6个月内授权代表的</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社保缴纳证明，任职不足6个月的可提供劳动合同证明文件；</w:t>
      </w:r>
    </w:p>
    <w:p>
      <w:pPr>
        <w:pStyle w:val="43"/>
        <w:numPr>
          <w:ilvl w:val="0"/>
          <w:numId w:val="0"/>
        </w:numPr>
        <w:snapToGrid w:val="0"/>
        <w:spacing w:line="360" w:lineRule="auto"/>
        <w:ind w:leftChars="200"/>
        <w:rPr>
          <w:rFonts w:hint="eastAsia" w:ascii="宋体" w:hAnsi="宋体" w:cs="Times New Roman"/>
          <w:color w:val="auto"/>
          <w:sz w:val="21"/>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Times New Roman"/>
          <w:color w:val="auto"/>
          <w:sz w:val="21"/>
          <w:szCs w:val="21"/>
          <w:highlight w:val="none"/>
          <w:lang w:val="en-US" w:eastAsia="zh-CN"/>
        </w:rPr>
        <w:t>磋商保证金；</w:t>
      </w:r>
    </w:p>
    <w:p>
      <w:pPr>
        <w:pStyle w:val="43"/>
        <w:numPr>
          <w:ilvl w:val="0"/>
          <w:numId w:val="0"/>
        </w:numPr>
        <w:snapToGrid w:val="0"/>
        <w:spacing w:line="360" w:lineRule="auto"/>
        <w:ind w:leftChars="200"/>
        <w:rPr>
          <w:rFonts w:hint="eastAsia" w:ascii="宋体" w:hAnsi="宋体" w:eastAsia="宋体" w:cs="Times New Roman"/>
          <w:color w:val="auto"/>
          <w:sz w:val="21"/>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default" w:ascii="宋体" w:hAnsi="宋体" w:eastAsia="宋体" w:cs="Times New Roman"/>
          <w:color w:val="auto"/>
          <w:sz w:val="21"/>
          <w:szCs w:val="21"/>
          <w:highlight w:val="none"/>
          <w:lang w:val="en-US" w:eastAsia="zh-CN"/>
        </w:rPr>
        <w:t>商务技术偏离表</w:t>
      </w:r>
      <w:r>
        <w:rPr>
          <w:rFonts w:hint="eastAsia" w:ascii="宋体" w:hAnsi="宋体" w:eastAsia="宋体" w:cs="Times New Roman"/>
          <w:color w:val="auto"/>
          <w:sz w:val="21"/>
          <w:szCs w:val="21"/>
          <w:highlight w:val="none"/>
          <w:lang w:val="en-US" w:eastAsia="zh-CN"/>
        </w:rPr>
        <w:t>；</w:t>
      </w:r>
    </w:p>
    <w:p>
      <w:pPr>
        <w:pStyle w:val="43"/>
        <w:snapToGrid w:val="0"/>
        <w:spacing w:line="360" w:lineRule="auto"/>
        <w:ind w:firstLine="420"/>
        <w:rPr>
          <w:rFonts w:hint="eastAsia"/>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Times New Roman"/>
          <w:color w:val="auto"/>
          <w:sz w:val="21"/>
          <w:szCs w:val="21"/>
          <w:highlight w:val="none"/>
          <w:lang w:val="en-US" w:eastAsia="zh-CN"/>
        </w:rPr>
        <w:t>同类项目业绩表；</w:t>
      </w:r>
    </w:p>
    <w:p>
      <w:pPr>
        <w:pStyle w:val="43"/>
        <w:snapToGrid w:val="0"/>
        <w:spacing w:line="360" w:lineRule="auto"/>
        <w:ind w:firstLine="420"/>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（7）技术开发服务大纲、方案；</w:t>
      </w:r>
    </w:p>
    <w:p>
      <w:pPr>
        <w:pStyle w:val="43"/>
        <w:snapToGrid w:val="0"/>
        <w:spacing w:line="360" w:lineRule="auto"/>
        <w:ind w:firstLine="420"/>
        <w:rPr>
          <w:rFonts w:hint="eastAsia" w:ascii="宋体" w:hAnsi="宋体" w:cs="宋体"/>
          <w:color w:val="auto"/>
          <w:sz w:val="21"/>
          <w:szCs w:val="21"/>
          <w:highlight w:val="none"/>
          <w:lang w:eastAsia="zh-CN"/>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供应商提供合理化建议</w:t>
      </w:r>
      <w:r>
        <w:rPr>
          <w:rFonts w:hint="eastAsia" w:ascii="宋体" w:hAnsi="宋体" w:cs="宋体"/>
          <w:color w:val="auto"/>
          <w:sz w:val="21"/>
          <w:szCs w:val="21"/>
          <w:highlight w:val="none"/>
          <w:lang w:eastAsia="zh-CN"/>
        </w:rPr>
        <w:t>；</w:t>
      </w:r>
    </w:p>
    <w:p>
      <w:pPr>
        <w:pStyle w:val="43"/>
        <w:snapToGrid w:val="0"/>
        <w:spacing w:line="360" w:lineRule="auto"/>
        <w:ind w:firstLine="420"/>
        <w:rPr>
          <w:rFonts w:ascii="宋体" w:hAnsi="宋体" w:cs="宋体"/>
          <w:color w:val="auto"/>
          <w:highlight w:val="none"/>
        </w:rPr>
      </w:pPr>
      <w:r>
        <w:rPr>
          <w:rFonts w:hint="eastAsia" w:ascii="宋体" w:hAnsi="宋体" w:cs="Times New Roman"/>
          <w:color w:val="auto"/>
          <w:sz w:val="21"/>
          <w:szCs w:val="21"/>
          <w:highlight w:val="none"/>
          <w:lang w:val="en-US" w:eastAsia="zh-CN"/>
        </w:rPr>
        <w:t>（9）</w:t>
      </w:r>
      <w:r>
        <w:rPr>
          <w:rFonts w:hint="eastAsia" w:ascii="宋体" w:hAnsi="宋体" w:cs="宋体"/>
          <w:color w:val="auto"/>
          <w:szCs w:val="21"/>
          <w:highlight w:val="none"/>
        </w:rPr>
        <w:t>供应商认为有必要提供的其它文件。</w:t>
      </w:r>
    </w:p>
    <w:p>
      <w:pPr>
        <w:spacing w:line="360" w:lineRule="auto"/>
        <w:jc w:val="center"/>
        <w:rPr>
          <w:rFonts w:ascii="宋体" w:hAnsi="宋体" w:cs="宋体"/>
          <w:color w:val="auto"/>
          <w:highlight w:val="none"/>
        </w:rPr>
      </w:pPr>
      <w:r>
        <w:rPr>
          <w:rFonts w:hint="eastAsia" w:ascii="宋体" w:hAnsi="宋体" w:cs="宋体"/>
          <w:color w:val="auto"/>
          <w:highlight w:val="none"/>
        </w:rPr>
        <w:br w:type="page"/>
      </w:r>
    </w:p>
    <w:p>
      <w:pPr>
        <w:spacing w:line="400" w:lineRule="atLeast"/>
        <w:jc w:val="left"/>
        <w:rPr>
          <w:rFonts w:ascii="宋体" w:hAnsi="宋体" w:cs="宋体"/>
          <w:b/>
          <w:color w:val="auto"/>
          <w:szCs w:val="21"/>
          <w:highlight w:val="none"/>
        </w:rPr>
      </w:pPr>
      <w:r>
        <w:rPr>
          <w:rFonts w:hint="eastAsia" w:ascii="宋体" w:hAnsi="宋体" w:cs="宋体"/>
          <w:b/>
          <w:color w:val="auto"/>
          <w:szCs w:val="21"/>
          <w:highlight w:val="none"/>
        </w:rPr>
        <w:t>1.磋商响应函</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磋商响应函</w:t>
      </w:r>
    </w:p>
    <w:p>
      <w:pPr>
        <w:shd w:val="clear" w:color="auto" w:fill="FFFFFF"/>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hd w:val="clear" w:color="auto" w:fill="FFFFFF"/>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(供应商全称)授权</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(职务、职称)为全权代表，参加贵方组织的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zh-CN"/>
        </w:rPr>
        <w:t>)采购</w:t>
      </w:r>
      <w:r>
        <w:rPr>
          <w:rFonts w:hint="eastAsia" w:ascii="宋体" w:hAnsi="宋体" w:eastAsia="宋体" w:cs="宋体"/>
          <w:color w:val="auto"/>
          <w:sz w:val="21"/>
          <w:szCs w:val="21"/>
          <w:highlight w:val="none"/>
        </w:rPr>
        <w:t>的有关活动，并对此项目进行磋商。为此：</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1、我方同意在</w:t>
      </w:r>
      <w:r>
        <w:rPr>
          <w:rFonts w:hint="eastAsia" w:ascii="宋体" w:hAnsi="宋体" w:eastAsia="宋体" w:cs="宋体"/>
          <w:color w:val="auto"/>
          <w:sz w:val="21"/>
          <w:szCs w:val="21"/>
          <w:highlight w:val="none"/>
          <w:lang w:val="en-US" w:eastAsia="zh-CN"/>
        </w:rPr>
        <w:t>前附表</w:t>
      </w:r>
      <w:r>
        <w:rPr>
          <w:rFonts w:hint="eastAsia" w:ascii="宋体" w:hAnsi="宋体" w:eastAsia="宋体" w:cs="宋体"/>
          <w:color w:val="auto"/>
          <w:sz w:val="21"/>
          <w:szCs w:val="21"/>
          <w:highlight w:val="none"/>
        </w:rPr>
        <w:t>规定的开</w:t>
      </w:r>
      <w:r>
        <w:rPr>
          <w:rFonts w:hint="eastAsia" w:ascii="宋体" w:hAnsi="宋体" w:eastAsia="宋体" w:cs="宋体"/>
          <w:color w:val="auto"/>
          <w:sz w:val="21"/>
          <w:szCs w:val="21"/>
          <w:highlight w:val="none"/>
          <w:lang w:val="en-US" w:eastAsia="zh-CN"/>
        </w:rPr>
        <w:t>启</w:t>
      </w:r>
      <w:r>
        <w:rPr>
          <w:rFonts w:hint="eastAsia" w:ascii="宋体" w:hAnsi="宋体" w:eastAsia="宋体" w:cs="宋体"/>
          <w:color w:val="auto"/>
          <w:sz w:val="21"/>
          <w:szCs w:val="21"/>
          <w:highlight w:val="none"/>
        </w:rPr>
        <w:t>日期起遵守本标书中的承诺且在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有效期满之前均具有约束力。</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2、我方承诺已经具备《中华人民共和国政府采购法》中规定的参加政府采购活动的供应商应当具备的条件：</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(1)具有独立承担民事责任的能力</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(2)遵守国家法律、行政法规，具有良好的信誉和商业道德</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(3)具有履行合同的能力和良好的履行合同记录</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(4)良好的资金、财务状况</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(5)提供的产品和服务符合中国政府规定的相应标准和环保标准</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(6)没有违反政府采购法规、政策的记录</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(7)没有发生重大经济纠纷和走私犯罪记录。</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w:t>
      </w:r>
      <w:r>
        <w:rPr>
          <w:rFonts w:hint="eastAsia" w:ascii="宋体" w:hAnsi="宋体" w:eastAsia="宋体" w:cs="宋体"/>
          <w:color w:val="auto"/>
          <w:kern w:val="44"/>
          <w:sz w:val="21"/>
          <w:szCs w:val="21"/>
          <w:highlight w:val="none"/>
        </w:rPr>
        <w:t>编制和提交磋商响应文件须知</w:t>
      </w:r>
      <w:r>
        <w:rPr>
          <w:rFonts w:hint="eastAsia" w:ascii="宋体" w:hAnsi="宋体" w:eastAsia="宋体" w:cs="宋体"/>
          <w:color w:val="auto"/>
          <w:sz w:val="21"/>
          <w:szCs w:val="21"/>
          <w:highlight w:val="none"/>
        </w:rPr>
        <w:t>规定的全部磋商响应文件，包括资格文件、报价文件、商务技术文件。具体内容为：</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(1)资格文件</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(2)报价文件</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商务</w:t>
      </w:r>
      <w:r>
        <w:rPr>
          <w:rFonts w:hint="eastAsia" w:ascii="宋体" w:hAnsi="宋体" w:eastAsia="宋体" w:cs="宋体"/>
          <w:color w:val="auto"/>
          <w:kern w:val="0"/>
          <w:sz w:val="21"/>
          <w:szCs w:val="21"/>
          <w:highlight w:val="none"/>
          <w:lang w:val="zh-CN"/>
        </w:rPr>
        <w:t>技术文件</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kern w:val="44"/>
          <w:sz w:val="21"/>
          <w:szCs w:val="21"/>
          <w:highlight w:val="none"/>
        </w:rPr>
        <w:t>编制和提交磋商响应文件须知</w:t>
      </w:r>
      <w:r>
        <w:rPr>
          <w:rFonts w:hint="eastAsia" w:ascii="宋体" w:hAnsi="宋体" w:eastAsia="宋体" w:cs="宋体"/>
          <w:color w:val="auto"/>
          <w:sz w:val="21"/>
          <w:szCs w:val="21"/>
          <w:highlight w:val="none"/>
        </w:rPr>
        <w:t>要求供应商提交的全部文件</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(5)按采购文件要求提供和交付的货物和服务的报价详见</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(6)保证忠实地执行双方所签订的合同，并承担合同规定的责任和义务</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(7)保证遵守采购文件中的其他有关规定。</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、我方完全理解贵方不一定要接受最低价的</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、我方愿意向贵方提供任何与该项</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有关的数据、情况和服务资料。若贵方需要，我方愿意提供我方作出的一切承诺的证明材料。</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、我方已详细审核全部采购文件，包括采购文件修改书（如有的话）、参考资料及有关附件，确认无误。我方完全理解并接受采购文件的各项规定和要求，对采购文件的合理性、合法性不再有异议。</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、我方将严格遵守《中华人民共和国政府采购法》第七十七条规定，供应商有下列情形之一的，处以采购金额5‰以上10‰以下的罚款，列入不良行为记录名单，在一至三年内禁止参加政府采购活动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有违法所得的，并处没收违法所得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情节严重的，由工商行政管理机关吊销营业执照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构成犯罪的，依法追究刑事责任：</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(1)提供虚假材料谋取成交、成交的</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(2)采取不正当手段诋毁、排挤其他供应商的</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(3)与采购人、其它供应商或者</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代理机构恶意串通的</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(4)向采购人、</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代理机构行贿或者提供其他不正当利益的</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(5)在采购过程中与采购人进行协商谈判的</w:t>
      </w:r>
      <w:r>
        <w:rPr>
          <w:rFonts w:hint="eastAsia" w:ascii="宋体" w:hAnsi="宋体" w:eastAsia="宋体" w:cs="宋体"/>
          <w:color w:val="auto"/>
          <w:sz w:val="21"/>
          <w:szCs w:val="21"/>
          <w:highlight w:val="none"/>
          <w:lang w:eastAsia="zh-CN"/>
        </w:rPr>
        <w:t>。</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(6)拒绝有关部门监督检查或提供虚假情况的。</w:t>
      </w:r>
    </w:p>
    <w:p>
      <w:pPr>
        <w:shd w:val="clear" w:color="auto" w:fill="FFFFFF"/>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供应商有前款第(1)至(5)项情形之一的，成交、成交无效。</w:t>
      </w:r>
    </w:p>
    <w:p>
      <w:pPr>
        <w:shd w:val="clear" w:color="auto" w:fill="FFFFFF"/>
        <w:adjustRightInd w:val="0"/>
        <w:snapToGrid w:val="0"/>
        <w:spacing w:line="360" w:lineRule="auto"/>
        <w:ind w:left="420" w:leftChars="200"/>
        <w:rPr>
          <w:rFonts w:hint="eastAsia" w:ascii="宋体" w:hAnsi="宋体" w:eastAsia="宋体" w:cs="宋体"/>
          <w:color w:val="auto"/>
          <w:kern w:val="0"/>
          <w:sz w:val="21"/>
          <w:szCs w:val="21"/>
          <w:highlight w:val="none"/>
          <w:lang w:val="zh-CN"/>
        </w:rPr>
      </w:pPr>
    </w:p>
    <w:p>
      <w:pPr>
        <w:shd w:val="clear" w:color="auto" w:fill="FFFFFF"/>
        <w:adjustRightInd w:val="0"/>
        <w:snapToGrid w:val="0"/>
        <w:spacing w:line="360" w:lineRule="auto"/>
        <w:ind w:left="420" w:leftChars="200"/>
        <w:rPr>
          <w:rFonts w:hint="eastAsia" w:ascii="宋体" w:hAnsi="宋体" w:eastAsia="宋体" w:cs="宋体"/>
          <w:color w:val="auto"/>
          <w:kern w:val="0"/>
          <w:sz w:val="21"/>
          <w:szCs w:val="21"/>
          <w:highlight w:val="none"/>
          <w:lang w:val="zh-CN"/>
        </w:rPr>
      </w:pPr>
    </w:p>
    <w:p>
      <w:pPr>
        <w:shd w:val="clear" w:color="auto" w:fill="FFFFFF"/>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b/>
      </w:r>
    </w:p>
    <w:p>
      <w:pPr>
        <w:shd w:val="clear" w:color="auto" w:fill="FFFFFF"/>
        <w:adjustRightInd w:val="0"/>
        <w:snapToGrid w:val="0"/>
        <w:spacing w:line="360" w:lineRule="auto"/>
        <w:ind w:firstLine="420" w:firstLineChars="200"/>
        <w:rPr>
          <w:rFonts w:hint="eastAsia"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rPr>
        <w:t>供应商公</w:t>
      </w:r>
      <w:r>
        <w:rPr>
          <w:rFonts w:hint="eastAsia" w:ascii="宋体" w:hAnsi="宋体" w:eastAsia="宋体" w:cs="宋体"/>
          <w:color w:val="auto"/>
          <w:kern w:val="0"/>
          <w:sz w:val="21"/>
          <w:szCs w:val="21"/>
          <w:highlight w:val="none"/>
          <w:lang w:val="zh-CN"/>
        </w:rPr>
        <w:t>章：</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u w:val="single"/>
          <w:lang w:val="zh-CN"/>
        </w:rPr>
        <w:t xml:space="preserve">                      </w:t>
      </w:r>
    </w:p>
    <w:p>
      <w:pPr>
        <w:shd w:val="clear" w:color="auto" w:fill="FFFFFF"/>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联系电话： </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 xml:space="preserve">传真：  </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 xml:space="preserve">电子邮件：  </w:t>
      </w:r>
      <w:r>
        <w:rPr>
          <w:rFonts w:hint="eastAsia" w:ascii="宋体" w:hAnsi="宋体" w:eastAsia="宋体" w:cs="宋体"/>
          <w:color w:val="auto"/>
          <w:kern w:val="0"/>
          <w:sz w:val="21"/>
          <w:szCs w:val="21"/>
          <w:highlight w:val="none"/>
          <w:u w:val="single"/>
          <w:lang w:val="zh-CN"/>
        </w:rPr>
        <w:t xml:space="preserve">              </w:t>
      </w:r>
    </w:p>
    <w:p>
      <w:pPr>
        <w:shd w:val="clear" w:color="auto" w:fill="FFFFFF"/>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联系地址：</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u w:val="single"/>
          <w:lang w:val="zh-CN"/>
        </w:rPr>
        <w:t xml:space="preserve">                                                    </w:t>
      </w:r>
    </w:p>
    <w:p>
      <w:pPr>
        <w:shd w:val="clear" w:color="auto" w:fill="FFFFFF"/>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邮政编码：</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传真号码：</w:t>
      </w:r>
      <w:r>
        <w:rPr>
          <w:rFonts w:hint="eastAsia" w:ascii="宋体" w:hAnsi="宋体" w:eastAsia="宋体" w:cs="宋体"/>
          <w:color w:val="auto"/>
          <w:kern w:val="0"/>
          <w:sz w:val="21"/>
          <w:szCs w:val="21"/>
          <w:highlight w:val="none"/>
          <w:u w:val="single"/>
          <w:lang w:val="zh-CN"/>
        </w:rPr>
        <w:t xml:space="preserve">                     </w:t>
      </w:r>
    </w:p>
    <w:p>
      <w:pPr>
        <w:shd w:val="clear" w:color="auto" w:fill="FFFFFF"/>
        <w:adjustRightInd w:val="0"/>
        <w:snapToGrid w:val="0"/>
        <w:spacing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zh-CN"/>
        </w:rPr>
        <w:t>日</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日</w:t>
      </w:r>
    </w:p>
    <w:p>
      <w:pPr>
        <w:shd w:val="clear" w:color="auto" w:fill="FFFFFF"/>
        <w:adjustRightInd w:val="0"/>
        <w:snapToGrid w:val="0"/>
        <w:spacing w:line="360" w:lineRule="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注：未按照本</w:t>
      </w:r>
      <w:r>
        <w:rPr>
          <w:rFonts w:hint="eastAsia" w:ascii="宋体" w:hAnsi="宋体" w:eastAsia="宋体" w:cs="宋体"/>
          <w:b/>
          <w:bCs/>
          <w:color w:val="auto"/>
          <w:kern w:val="0"/>
          <w:sz w:val="21"/>
          <w:szCs w:val="21"/>
          <w:highlight w:val="none"/>
        </w:rPr>
        <w:t>项目</w:t>
      </w:r>
      <w:r>
        <w:rPr>
          <w:rFonts w:hint="eastAsia" w:ascii="宋体" w:hAnsi="宋体" w:eastAsia="宋体" w:cs="宋体"/>
          <w:b/>
          <w:bCs/>
          <w:color w:val="auto"/>
          <w:kern w:val="0"/>
          <w:sz w:val="21"/>
          <w:szCs w:val="21"/>
          <w:highlight w:val="none"/>
          <w:lang w:val="zh-CN"/>
        </w:rPr>
        <w:t>响应函要求填报的将被视为非实质性响应，从而可能导致该磋商响应文件被拒绝。</w:t>
      </w:r>
    </w:p>
    <w:p>
      <w:pPr>
        <w:spacing w:line="360" w:lineRule="auto"/>
        <w:rPr>
          <w:rFonts w:ascii="宋体" w:hAnsi="宋体" w:cs="宋体"/>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highlight w:val="none"/>
        </w:rPr>
        <w:t>2</w:t>
      </w:r>
      <w:r>
        <w:rPr>
          <w:rFonts w:hint="eastAsia" w:ascii="宋体" w:hAnsi="宋体" w:cs="宋体"/>
          <w:b/>
          <w:color w:val="auto"/>
          <w:szCs w:val="21"/>
          <w:highlight w:val="none"/>
        </w:rPr>
        <w:t>、法定代表人资格证明书</w:t>
      </w:r>
    </w:p>
    <w:p>
      <w:pPr>
        <w:snapToGrid w:val="0"/>
        <w:spacing w:line="30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法定代表人资格证明书</w:t>
      </w:r>
    </w:p>
    <w:p>
      <w:pPr>
        <w:adjustRightInd w:val="0"/>
        <w:snapToGrid w:val="0"/>
        <w:spacing w:line="360" w:lineRule="auto"/>
        <w:ind w:firstLine="420" w:firstLineChars="200"/>
        <w:rPr>
          <w:rFonts w:ascii="宋体" w:hAnsi="宋体" w:cs="宋体"/>
          <w:color w:val="auto"/>
          <w:szCs w:val="21"/>
          <w:highlight w:val="none"/>
        </w:rPr>
      </w:pPr>
    </w:p>
    <w:p>
      <w:pPr>
        <w:adjustRightInd w:val="0"/>
        <w:snapToGrid w:val="0"/>
        <w:spacing w:line="360" w:lineRule="auto"/>
        <w:ind w:firstLine="420" w:firstLineChars="200"/>
        <w:rPr>
          <w:rFonts w:ascii="宋体" w:hAnsi="宋体" w:cs="宋体"/>
          <w:color w:val="auto"/>
          <w:szCs w:val="21"/>
          <w:highlight w:val="none"/>
        </w:rPr>
      </w:pP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供应商名称：</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法定地址：</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性别：</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年龄：</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职务：</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该同志系公司法定代表人。</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adjustRightInd w:val="0"/>
        <w:snapToGrid w:val="0"/>
        <w:spacing w:line="360" w:lineRule="auto"/>
        <w:ind w:firstLine="420" w:firstLineChars="200"/>
        <w:rPr>
          <w:rFonts w:ascii="宋体" w:hAnsi="宋体" w:cs="宋体"/>
          <w:color w:val="auto"/>
          <w:szCs w:val="21"/>
          <w:highlight w:val="none"/>
        </w:rPr>
      </w:pPr>
    </w:p>
    <w:p>
      <w:pPr>
        <w:adjustRightInd w:val="0"/>
        <w:snapToGrid w:val="0"/>
        <w:spacing w:line="360" w:lineRule="auto"/>
        <w:ind w:firstLine="420" w:firstLineChars="200"/>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供应商全称（盖单位公章或电子签章）：</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w:t>
      </w:r>
    </w:p>
    <w:tbl>
      <w:tblPr>
        <w:tblStyle w:val="33"/>
        <w:tblW w:w="6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4" w:hRule="atLeast"/>
          <w:jc w:val="center"/>
        </w:trPr>
        <w:tc>
          <w:tcPr>
            <w:tcW w:w="6160"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法定代表人身份证复印件</w:t>
            </w:r>
          </w:p>
          <w:p>
            <w:pPr>
              <w:spacing w:line="360" w:lineRule="auto"/>
              <w:rPr>
                <w:rFonts w:ascii="宋体" w:hAnsi="宋体" w:cs="宋体"/>
                <w:color w:val="auto"/>
                <w:szCs w:val="21"/>
                <w:highlight w:val="none"/>
              </w:rPr>
            </w:pPr>
          </w:p>
        </w:tc>
      </w:tr>
    </w:tbl>
    <w:p>
      <w:pPr>
        <w:adjustRightInd w:val="0"/>
        <w:snapToGrid w:val="0"/>
        <w:spacing w:line="360" w:lineRule="auto"/>
        <w:ind w:firstLine="420" w:firstLineChars="200"/>
        <w:rPr>
          <w:rFonts w:ascii="宋体" w:hAnsi="宋体" w:cs="宋体"/>
          <w:color w:val="auto"/>
          <w:szCs w:val="21"/>
          <w:highlight w:val="none"/>
        </w:rPr>
      </w:pPr>
    </w:p>
    <w:p>
      <w:pPr>
        <w:rPr>
          <w:rFonts w:ascii="宋体" w:hAnsi="宋体" w:cs="宋体"/>
          <w:b/>
          <w:color w:val="auto"/>
          <w:szCs w:val="21"/>
          <w:highlight w:val="none"/>
        </w:rPr>
      </w:pPr>
      <w:r>
        <w:rPr>
          <w:rFonts w:hint="eastAsia" w:ascii="宋体" w:hAnsi="宋体" w:cs="宋体"/>
          <w:color w:val="auto"/>
          <w:highlight w:val="none"/>
        </w:rPr>
        <w:br w:type="page"/>
      </w:r>
      <w:r>
        <w:rPr>
          <w:rFonts w:hint="eastAsia" w:ascii="宋体" w:hAnsi="宋体" w:cs="宋体"/>
          <w:color w:val="auto"/>
          <w:highlight w:val="none"/>
        </w:rPr>
        <w:t>3</w:t>
      </w:r>
      <w:r>
        <w:rPr>
          <w:rFonts w:hint="eastAsia" w:ascii="宋体" w:hAnsi="宋体" w:cs="宋体"/>
          <w:b/>
          <w:color w:val="auto"/>
          <w:szCs w:val="21"/>
          <w:highlight w:val="none"/>
        </w:rPr>
        <w:t>、法定代表人授权委托书</w:t>
      </w:r>
    </w:p>
    <w:p>
      <w:pPr>
        <w:snapToGrid w:val="0"/>
        <w:spacing w:line="30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法定代表人授权委托书</w:t>
      </w:r>
    </w:p>
    <w:p>
      <w:pPr>
        <w:snapToGrid w:val="0"/>
        <w:spacing w:line="300" w:lineRule="auto"/>
        <w:jc w:val="center"/>
        <w:rPr>
          <w:rFonts w:ascii="宋体" w:hAnsi="宋体" w:cs="宋体"/>
          <w:b/>
          <w:bCs/>
          <w:color w:val="auto"/>
          <w:sz w:val="32"/>
          <w:szCs w:val="32"/>
          <w:highlight w:val="none"/>
        </w:rPr>
      </w:pPr>
      <w:r>
        <w:rPr>
          <w:rFonts w:hint="eastAsia" w:ascii="宋体" w:hAnsi="宋体" w:cs="宋体"/>
          <w:color w:val="auto"/>
          <w:highlight w:val="none"/>
        </w:rPr>
        <w:t>（法定代表人签署不需提供此书）</w:t>
      </w:r>
    </w:p>
    <w:p>
      <w:pPr>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w:t>
      </w:r>
    </w:p>
    <w:p>
      <w:pPr>
        <w:snapToGrid w:val="0"/>
        <w:spacing w:line="360" w:lineRule="auto"/>
        <w:rPr>
          <w:rFonts w:ascii="宋体" w:hAnsi="宋体" w:cs="宋体"/>
          <w:b/>
          <w:bCs/>
          <w:color w:val="auto"/>
          <w:szCs w:val="21"/>
          <w:highlight w:val="none"/>
        </w:rPr>
      </w:pP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我_</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_</w:t>
      </w:r>
      <w:r>
        <w:rPr>
          <w:rFonts w:hint="eastAsia" w:ascii="宋体" w:hAnsi="宋体" w:cs="宋体"/>
          <w:color w:val="auto"/>
          <w:szCs w:val="21"/>
          <w:highlight w:val="none"/>
        </w:rPr>
        <w:t>_（供应商名称）的法定代表人，现授权委托本单位在职职工（姓名）以我方的名义参加</w:t>
      </w:r>
      <w:r>
        <w:rPr>
          <w:rFonts w:hint="eastAsia" w:ascii="宋体" w:hAnsi="宋体" w:cs="宋体"/>
          <w:color w:val="auto"/>
          <w:szCs w:val="21"/>
          <w:highlight w:val="none"/>
          <w:u w:val="single"/>
        </w:rPr>
        <w:t xml:space="preserve">   （采购单位，项目名称）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我方对被授权人的签名事项负全部责任。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被授权人姓名：</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职        务：</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法定代表人姓名：</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职          务：</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身份证号码：</w:t>
      </w:r>
    </w:p>
    <w:p>
      <w:pPr>
        <w:snapToGrid w:val="0"/>
        <w:spacing w:line="360" w:lineRule="auto"/>
        <w:rPr>
          <w:rFonts w:ascii="宋体" w:hAnsi="宋体" w:cs="宋体"/>
          <w:color w:val="auto"/>
          <w:szCs w:val="21"/>
          <w:highlight w:val="none"/>
          <w:u w:val="singl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供应商全称（盖单位公章或电子签章）：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日期： 年  月  日</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附：</w:t>
      </w:r>
    </w:p>
    <w:tbl>
      <w:tblPr>
        <w:tblStyle w:val="33"/>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法定代表人身份证复印件</w:t>
            </w:r>
          </w:p>
          <w:p>
            <w:pPr>
              <w:spacing w:line="360" w:lineRule="auto"/>
              <w:rPr>
                <w:rFonts w:ascii="宋体" w:hAnsi="宋体" w:cs="宋体"/>
                <w:color w:val="auto"/>
                <w:szCs w:val="21"/>
                <w:highlight w:val="none"/>
              </w:rPr>
            </w:pPr>
          </w:p>
        </w:tc>
        <w:tc>
          <w:tcPr>
            <w:tcW w:w="2340" w:type="dxa"/>
            <w:tcBorders>
              <w:top w:val="nil"/>
              <w:bottom w:val="nil"/>
            </w:tcBorders>
            <w:noWrap/>
          </w:tcPr>
          <w:p>
            <w:pPr>
              <w:widowControl/>
              <w:jc w:val="left"/>
              <w:rPr>
                <w:rFonts w:ascii="宋体" w:hAnsi="宋体" w:cs="宋体"/>
                <w:color w:val="auto"/>
                <w:szCs w:val="21"/>
                <w:highlight w:val="none"/>
              </w:rPr>
            </w:pPr>
          </w:p>
          <w:p>
            <w:pPr>
              <w:spacing w:line="360" w:lineRule="auto"/>
              <w:rPr>
                <w:rFonts w:ascii="宋体" w:hAnsi="宋体" w:cs="宋体"/>
                <w:color w:val="auto"/>
                <w:szCs w:val="21"/>
                <w:highlight w:val="none"/>
              </w:rPr>
            </w:pPr>
          </w:p>
        </w:tc>
        <w:tc>
          <w:tcPr>
            <w:tcW w:w="2700" w:type="dxa"/>
            <w:noWrap/>
          </w:tcPr>
          <w:p>
            <w:pPr>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被授权人身份证复印件</w:t>
            </w:r>
          </w:p>
        </w:tc>
      </w:tr>
    </w:tbl>
    <w:p>
      <w:pPr>
        <w:widowControl/>
        <w:autoSpaceDE w:val="0"/>
        <w:autoSpaceDN w:val="0"/>
        <w:spacing w:line="360" w:lineRule="auto"/>
        <w:jc w:val="center"/>
        <w:textAlignment w:val="bottom"/>
        <w:rPr>
          <w:rFonts w:ascii="宋体" w:hAnsi="宋体" w:cs="宋体"/>
          <w:color w:val="auto"/>
          <w:szCs w:val="21"/>
          <w:highlight w:val="none"/>
        </w:rPr>
      </w:pPr>
    </w:p>
    <w:p>
      <w:pPr>
        <w:spacing w:line="360" w:lineRule="auto"/>
        <w:rPr>
          <w:rFonts w:ascii="宋体" w:hAnsi="宋体" w:cs="宋体"/>
          <w:color w:val="auto"/>
          <w:szCs w:val="21"/>
          <w:highlight w:val="none"/>
          <w:u w:val="single"/>
        </w:rPr>
      </w:pPr>
      <w:r>
        <w:rPr>
          <w:rFonts w:hint="eastAsia" w:ascii="宋体" w:hAnsi="宋体" w:cs="宋体"/>
          <w:color w:val="auto"/>
          <w:highlight w:val="none"/>
        </w:rPr>
        <w:t>附：社保机构出具的响应截止日前6个月内授权代表的</w:t>
      </w:r>
      <w:r>
        <w:rPr>
          <w:rFonts w:hint="eastAsia" w:ascii="宋体" w:hAnsi="宋体" w:cs="宋体"/>
          <w:color w:val="auto"/>
          <w:highlight w:val="none"/>
          <w:lang w:val="en-US" w:eastAsia="zh-CN"/>
        </w:rPr>
        <w:t>供应商</w:t>
      </w:r>
      <w:r>
        <w:rPr>
          <w:rFonts w:hint="eastAsia" w:ascii="宋体" w:hAnsi="宋体" w:cs="宋体"/>
          <w:color w:val="auto"/>
          <w:highlight w:val="none"/>
        </w:rPr>
        <w:t>社保缴纳证明，任职不足6个月的可提供劳动合同证明文件</w:t>
      </w:r>
    </w:p>
    <w:p>
      <w:pPr>
        <w:widowControl/>
        <w:adjustRightIn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br w:type="page"/>
      </w:r>
    </w:p>
    <w:p>
      <w:pPr>
        <w:rPr>
          <w:rFonts w:hint="default" w:ascii="宋体" w:hAnsi="宋体" w:eastAsia="宋体" w:cs="宋体"/>
          <w:b/>
          <w:color w:val="auto"/>
          <w:szCs w:val="21"/>
          <w:highlight w:val="none"/>
          <w:lang w:val="en-US" w:eastAsia="zh-CN"/>
        </w:rPr>
      </w:pPr>
      <w:r>
        <w:rPr>
          <w:rFonts w:hint="eastAsia" w:ascii="宋体" w:hAnsi="宋体" w:cs="宋体"/>
          <w:color w:val="auto"/>
          <w:highlight w:val="none"/>
          <w:lang w:val="en-US" w:eastAsia="zh-CN"/>
        </w:rPr>
        <w:t>4</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磋商保证金</w:t>
      </w:r>
    </w:p>
    <w:p>
      <w:pPr>
        <w:pStyle w:val="43"/>
        <w:snapToGrid w:val="0"/>
        <w:spacing w:line="360" w:lineRule="auto"/>
        <w:ind w:firstLine="420"/>
        <w:rPr>
          <w:rFonts w:ascii="宋体" w:hAnsi="宋体" w:cs="宋体"/>
          <w:color w:val="auto"/>
          <w:szCs w:val="21"/>
          <w:highlight w:val="none"/>
        </w:rPr>
      </w:pPr>
    </w:p>
    <w:p>
      <w:pPr>
        <w:pStyle w:val="12"/>
        <w:jc w:val="center"/>
        <w:rPr>
          <w:rStyle w:val="151"/>
          <w:rFonts w:hint="eastAsia"/>
          <w:b/>
          <w:bCs/>
          <w:color w:val="auto"/>
          <w:highlight w:val="none"/>
          <w:lang w:val="en-US" w:eastAsia="zh-CN"/>
        </w:rPr>
      </w:pPr>
      <w:bookmarkStart w:id="106" w:name="_Toc86"/>
      <w:bookmarkStart w:id="107" w:name="_Toc3428"/>
      <w:r>
        <w:rPr>
          <w:rStyle w:val="151"/>
          <w:rFonts w:hint="eastAsia"/>
          <w:b/>
          <w:bCs/>
          <w:color w:val="auto"/>
          <w:highlight w:val="none"/>
          <w:lang w:val="en-US" w:eastAsia="zh-CN"/>
        </w:rPr>
        <w:t>附磋商保证金缴存单、基本账户开户许可证复制件。</w:t>
      </w:r>
    </w:p>
    <w:bookmarkEnd w:id="106"/>
    <w:bookmarkEnd w:id="107"/>
    <w:p>
      <w:pPr>
        <w:rPr>
          <w:rStyle w:val="151"/>
          <w:rFonts w:hint="eastAsia"/>
          <w:b/>
          <w:bCs/>
          <w:color w:val="auto"/>
          <w:highlight w:val="none"/>
          <w:lang w:val="en-US" w:eastAsia="zh-CN"/>
        </w:rPr>
      </w:pPr>
      <w:r>
        <w:rPr>
          <w:rStyle w:val="151"/>
          <w:rFonts w:hint="eastAsia"/>
          <w:b/>
          <w:bCs/>
          <w:color w:val="auto"/>
          <w:highlight w:val="none"/>
          <w:lang w:val="en-US" w:eastAsia="zh-CN"/>
        </w:rPr>
        <w:br w:type="page"/>
      </w:r>
    </w:p>
    <w:p>
      <w:pPr>
        <w:rPr>
          <w:rFonts w:hint="default" w:ascii="宋体" w:hAnsi="宋体" w:eastAsia="宋体" w:cs="宋体"/>
          <w:b/>
          <w:color w:val="auto"/>
          <w:szCs w:val="21"/>
          <w:highlight w:val="none"/>
          <w:lang w:val="en-US" w:eastAsia="zh-CN"/>
        </w:rPr>
      </w:pPr>
      <w:r>
        <w:rPr>
          <w:rFonts w:hint="eastAsia" w:ascii="宋体" w:hAnsi="宋体" w:cs="宋体"/>
          <w:color w:val="auto"/>
          <w:highlight w:val="none"/>
          <w:lang w:val="en-US" w:eastAsia="zh-CN"/>
        </w:rPr>
        <w:t>5</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商务技术偏离表</w:t>
      </w:r>
    </w:p>
    <w:p>
      <w:pPr>
        <w:tabs>
          <w:tab w:val="left" w:pos="1418"/>
        </w:tabs>
        <w:snapToGrid w:val="0"/>
        <w:spacing w:before="50" w:after="50" w:line="360" w:lineRule="auto"/>
        <w:ind w:firstLine="420" w:firstLineChars="200"/>
        <w:rPr>
          <w:rFonts w:ascii="宋体" w:hAnsi="宋体" w:cs="宋体"/>
          <w:color w:val="auto"/>
          <w:szCs w:val="21"/>
          <w:highlight w:val="none"/>
        </w:rPr>
      </w:pPr>
    </w:p>
    <w:p>
      <w:pPr>
        <w:pStyle w:val="12"/>
        <w:jc w:val="center"/>
        <w:rPr>
          <w:rStyle w:val="151"/>
          <w:rFonts w:hint="eastAsia" w:ascii="宋体" w:hAnsi="Times New Roman" w:eastAsia="宋体" w:cs="Times New Roman"/>
          <w:b/>
          <w:bCs/>
          <w:color w:val="auto"/>
          <w:highlight w:val="none"/>
          <w:lang w:val="en-US" w:eastAsia="zh-CN"/>
        </w:rPr>
      </w:pPr>
      <w:bookmarkStart w:id="108" w:name="_Toc26855"/>
      <w:bookmarkStart w:id="109" w:name="_Toc5497"/>
      <w:r>
        <w:rPr>
          <w:rStyle w:val="151"/>
          <w:rFonts w:hint="default" w:ascii="宋体" w:hAnsi="Times New Roman" w:eastAsia="宋体" w:cs="Times New Roman"/>
          <w:b/>
          <w:bCs/>
          <w:color w:val="auto"/>
          <w:highlight w:val="none"/>
          <w:lang w:val="en-US" w:eastAsia="zh-CN"/>
        </w:rPr>
        <w:t>商务技术偏离表</w:t>
      </w:r>
    </w:p>
    <w:bookmarkEnd w:id="108"/>
    <w:bookmarkEnd w:id="109"/>
    <w:p>
      <w:pPr>
        <w:tabs>
          <w:tab w:val="left" w:pos="1418"/>
        </w:tabs>
        <w:snapToGrid w:val="0"/>
        <w:spacing w:before="50" w:after="50" w:line="360" w:lineRule="auto"/>
        <w:ind w:firstLine="420" w:firstLineChars="200"/>
        <w:rPr>
          <w:rFonts w:ascii="宋体" w:hAnsi="宋体" w:cs="宋体"/>
          <w:color w:val="auto"/>
          <w:szCs w:val="21"/>
          <w:highlight w:val="none"/>
        </w:rPr>
      </w:pPr>
    </w:p>
    <w:p>
      <w:pPr>
        <w:tabs>
          <w:tab w:val="left" w:pos="1418"/>
        </w:tabs>
        <w:snapToGrid w:val="0"/>
        <w:spacing w:before="50" w:after="50"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项目名称：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项目编号：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rPr>
            </w:pPr>
            <w:r>
              <w:rPr>
                <w:rFonts w:hint="eastAsia" w:ascii="宋体" w:hAnsi="宋体" w:cs="宋体"/>
                <w:color w:val="auto"/>
                <w:szCs w:val="21"/>
                <w:highlight w:val="none"/>
                <w:lang w:val="en-US" w:eastAsia="zh-CN"/>
              </w:rPr>
              <w:t>采购</w:t>
            </w:r>
            <w:r>
              <w:rPr>
                <w:rFonts w:ascii="宋体" w:hAnsi="宋体" w:cs="宋体"/>
                <w:color w:val="auto"/>
                <w:szCs w:val="21"/>
                <w:highlight w:val="none"/>
              </w:rPr>
              <w:t>文件要求</w:t>
            </w:r>
          </w:p>
        </w:tc>
        <w:tc>
          <w:tcPr>
            <w:tcW w:w="20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rPr>
            </w:pPr>
            <w:r>
              <w:rPr>
                <w:rFonts w:hint="eastAsia" w:ascii="宋体" w:hAnsi="宋体" w:cs="宋体"/>
                <w:color w:val="auto"/>
                <w:szCs w:val="21"/>
                <w:highlight w:val="none"/>
                <w:lang w:val="en-US" w:eastAsia="zh-CN"/>
              </w:rPr>
              <w:t>响应</w:t>
            </w:r>
            <w:r>
              <w:rPr>
                <w:rFonts w:ascii="宋体" w:hAnsi="宋体" w:cs="宋体"/>
                <w:color w:val="auto"/>
                <w:szCs w:val="21"/>
                <w:highlight w:val="none"/>
              </w:rPr>
              <w:t xml:space="preserve">文件响应 </w:t>
            </w: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rPr>
            </w:pPr>
            <w:r>
              <w:rPr>
                <w:rFonts w:ascii="宋体" w:hAnsi="宋体" w:cs="宋体"/>
                <w:color w:val="auto"/>
                <w:szCs w:val="21"/>
                <w:highlight w:val="none"/>
              </w:rPr>
              <w:t>偏离</w:t>
            </w:r>
          </w:p>
        </w:tc>
        <w:tc>
          <w:tcPr>
            <w:tcW w:w="24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color w:val="auto"/>
                <w:szCs w:val="21"/>
                <w:highlight w:val="none"/>
              </w:rPr>
            </w:pPr>
            <w:r>
              <w:rPr>
                <w:rFonts w:ascii="宋体" w:hAns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color w:val="auto"/>
                <w:szCs w:val="21"/>
                <w:highlight w:val="none"/>
              </w:rPr>
            </w:pPr>
          </w:p>
        </w:tc>
        <w:tc>
          <w:tcPr>
            <w:tcW w:w="20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color w:val="auto"/>
                <w:szCs w:val="21"/>
                <w:highlight w:val="none"/>
              </w:rPr>
            </w:pPr>
          </w:p>
        </w:tc>
        <w:tc>
          <w:tcPr>
            <w:tcW w:w="211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color w:val="auto"/>
                <w:szCs w:val="21"/>
                <w:highlight w:val="none"/>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color w:val="auto"/>
                <w:szCs w:val="21"/>
                <w:highlight w:val="none"/>
              </w:rPr>
            </w:pPr>
          </w:p>
        </w:tc>
        <w:tc>
          <w:tcPr>
            <w:tcW w:w="20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color w:val="auto"/>
                <w:szCs w:val="21"/>
                <w:highlight w:val="none"/>
              </w:rPr>
            </w:pPr>
          </w:p>
        </w:tc>
        <w:tc>
          <w:tcPr>
            <w:tcW w:w="211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color w:val="auto"/>
                <w:szCs w:val="21"/>
                <w:highlight w:val="none"/>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color w:val="auto"/>
                <w:szCs w:val="21"/>
                <w:highlight w:val="none"/>
              </w:rPr>
            </w:pPr>
          </w:p>
        </w:tc>
        <w:tc>
          <w:tcPr>
            <w:tcW w:w="20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color w:val="auto"/>
                <w:szCs w:val="21"/>
                <w:highlight w:val="none"/>
              </w:rPr>
            </w:pPr>
          </w:p>
        </w:tc>
        <w:tc>
          <w:tcPr>
            <w:tcW w:w="211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color w:val="auto"/>
                <w:szCs w:val="21"/>
                <w:highlight w:val="none"/>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ascii="宋体" w:hAnsi="宋体" w:cs="宋体"/>
                <w:color w:val="auto"/>
                <w:szCs w:val="21"/>
                <w:highlight w:val="none"/>
              </w:rPr>
            </w:pPr>
          </w:p>
        </w:tc>
      </w:tr>
    </w:tbl>
    <w:p>
      <w:pPr>
        <w:pStyle w:val="17"/>
        <w:spacing w:before="158" w:after="158" w:line="460" w:lineRule="atLeast"/>
        <w:ind w:right="-105" w:rightChars="-50"/>
        <w:rPr>
          <w:rFonts w:hAnsi="宋体" w:cs="宋体"/>
          <w:color w:val="auto"/>
          <w:spacing w:val="-10"/>
          <w:sz w:val="21"/>
          <w:szCs w:val="21"/>
          <w:highlight w:val="none"/>
        </w:rPr>
      </w:pPr>
      <w:r>
        <w:rPr>
          <w:rFonts w:hint="eastAsia" w:hAnsi="宋体" w:cs="宋体"/>
          <w:color w:val="auto"/>
          <w:spacing w:val="-10"/>
          <w:sz w:val="21"/>
          <w:szCs w:val="21"/>
          <w:highlight w:val="none"/>
        </w:rPr>
        <w:t>备注：1、</w:t>
      </w:r>
      <w:r>
        <w:rPr>
          <w:rFonts w:hint="eastAsia" w:hAnsi="宋体" w:cs="宋体"/>
          <w:color w:val="auto"/>
          <w:spacing w:val="-10"/>
          <w:sz w:val="21"/>
          <w:szCs w:val="21"/>
          <w:highlight w:val="none"/>
          <w:lang w:val="en-US" w:eastAsia="zh-CN"/>
        </w:rPr>
        <w:t>供应商</w:t>
      </w:r>
      <w:r>
        <w:rPr>
          <w:rFonts w:hint="eastAsia" w:hAnsi="宋体" w:cs="宋体"/>
          <w:color w:val="auto"/>
          <w:spacing w:val="-10"/>
          <w:sz w:val="21"/>
          <w:szCs w:val="21"/>
          <w:highlight w:val="none"/>
        </w:rPr>
        <w:t>须如实填写上表，并按要求提供证明材料，提供虚假材料一律的按虚假应标处理；</w:t>
      </w:r>
      <w:r>
        <w:rPr>
          <w:rFonts w:hint="eastAsia" w:hAnsi="宋体" w:cs="宋体"/>
          <w:color w:val="auto"/>
          <w:spacing w:val="-10"/>
          <w:sz w:val="21"/>
          <w:szCs w:val="21"/>
          <w:highlight w:val="none"/>
          <w:lang w:val="en-US" w:eastAsia="zh-CN"/>
        </w:rPr>
        <w:t>2</w:t>
      </w:r>
      <w:r>
        <w:rPr>
          <w:rFonts w:hint="eastAsia" w:hAnsi="宋体" w:cs="宋体"/>
          <w:color w:val="auto"/>
          <w:spacing w:val="-10"/>
          <w:sz w:val="21"/>
          <w:szCs w:val="21"/>
          <w:highlight w:val="none"/>
        </w:rPr>
        <w:t>、“偏离情况”栏填写：“正偏离”或“负偏离”或“无偏离”。</w:t>
      </w:r>
      <w:r>
        <w:rPr>
          <w:rFonts w:hint="eastAsia" w:hAnsi="宋体" w:cs="宋体"/>
          <w:color w:val="auto"/>
          <w:spacing w:val="-10"/>
          <w:sz w:val="21"/>
          <w:szCs w:val="21"/>
          <w:highlight w:val="none"/>
          <w:lang w:val="en-US" w:eastAsia="zh-CN"/>
        </w:rPr>
        <w:t>3</w:t>
      </w:r>
      <w:r>
        <w:rPr>
          <w:rFonts w:hint="eastAsia" w:hAnsi="宋体" w:cs="宋体"/>
          <w:color w:val="auto"/>
          <w:spacing w:val="-10"/>
          <w:sz w:val="21"/>
          <w:szCs w:val="21"/>
          <w:highlight w:val="none"/>
        </w:rPr>
        <w:t>、如果未完整填写本表的各项内容则视作</w:t>
      </w:r>
      <w:r>
        <w:rPr>
          <w:rFonts w:hint="eastAsia" w:hAnsi="宋体" w:cs="宋体"/>
          <w:color w:val="auto"/>
          <w:spacing w:val="-10"/>
          <w:sz w:val="21"/>
          <w:szCs w:val="21"/>
          <w:highlight w:val="none"/>
          <w:lang w:val="en-US" w:eastAsia="zh-CN"/>
        </w:rPr>
        <w:t>供应商</w:t>
      </w:r>
      <w:r>
        <w:rPr>
          <w:rFonts w:hint="eastAsia" w:hAnsi="宋体" w:cs="宋体"/>
          <w:color w:val="auto"/>
          <w:spacing w:val="-10"/>
          <w:sz w:val="21"/>
          <w:szCs w:val="21"/>
          <w:highlight w:val="none"/>
        </w:rPr>
        <w:t>已经对</w:t>
      </w:r>
      <w:r>
        <w:rPr>
          <w:rFonts w:hint="eastAsia" w:hAnsi="宋体" w:cs="宋体"/>
          <w:color w:val="auto"/>
          <w:spacing w:val="-10"/>
          <w:sz w:val="21"/>
          <w:szCs w:val="21"/>
          <w:highlight w:val="none"/>
          <w:lang w:val="en-US" w:eastAsia="zh-CN"/>
        </w:rPr>
        <w:t>采购</w:t>
      </w:r>
      <w:r>
        <w:rPr>
          <w:rFonts w:hint="eastAsia" w:hAnsi="宋体" w:cs="宋体"/>
          <w:color w:val="auto"/>
          <w:spacing w:val="-10"/>
          <w:sz w:val="21"/>
          <w:szCs w:val="21"/>
          <w:highlight w:val="none"/>
        </w:rPr>
        <w:t>文件相关要求和内容完全理解并同意，视为完全响应，“无偏离”。</w:t>
      </w:r>
    </w:p>
    <w:p>
      <w:pPr>
        <w:pStyle w:val="13"/>
        <w:rPr>
          <w:color w:val="auto"/>
          <w:highlight w:val="none"/>
        </w:rPr>
      </w:pPr>
    </w:p>
    <w:p>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lang w:val="zh-CN"/>
        </w:rPr>
        <w:t>电子签名/公章</w:t>
      </w:r>
      <w:r>
        <w:rPr>
          <w:rFonts w:hint="eastAsia" w:ascii="宋体" w:hAnsi="宋体" w:eastAsia="宋体" w:cs="宋体"/>
          <w:color w:val="auto"/>
          <w:kern w:val="0"/>
          <w:sz w:val="21"/>
          <w:szCs w:val="21"/>
          <w:highlight w:val="none"/>
        </w:rPr>
        <w:t>） ：</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     年  月  日</w:t>
      </w:r>
    </w:p>
    <w:p>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br w:type="page"/>
      </w:r>
    </w:p>
    <w:p>
      <w:pPr>
        <w:numPr>
          <w:ilvl w:val="0"/>
          <w:numId w:val="0"/>
        </w:numPr>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6、同类项目业绩表</w:t>
      </w:r>
    </w:p>
    <w:p>
      <w:pPr>
        <w:pStyle w:val="12"/>
        <w:numPr>
          <w:ilvl w:val="0"/>
          <w:numId w:val="0"/>
        </w:numPr>
        <w:rPr>
          <w:rFonts w:hint="default"/>
          <w:color w:val="auto"/>
          <w:highlight w:val="none"/>
          <w:lang w:val="en-US" w:eastAsia="zh-CN"/>
        </w:rPr>
      </w:pPr>
    </w:p>
    <w:p>
      <w:pPr>
        <w:pStyle w:val="13"/>
        <w:rPr>
          <w:rFonts w:hint="default"/>
          <w:color w:val="auto"/>
          <w:highlight w:val="none"/>
          <w:lang w:val="en-US" w:eastAsia="zh-CN"/>
        </w:rPr>
      </w:pPr>
    </w:p>
    <w:p>
      <w:pPr>
        <w:pStyle w:val="14"/>
        <w:jc w:val="center"/>
        <w:rPr>
          <w:rFonts w:hint="default"/>
          <w:color w:val="auto"/>
          <w:highlight w:val="none"/>
          <w:lang w:val="en-US" w:eastAsia="zh-CN"/>
        </w:rPr>
      </w:pPr>
      <w:r>
        <w:rPr>
          <w:rStyle w:val="80"/>
          <w:rFonts w:ascii="Times New Roman" w:hAnsi="Times New Roman"/>
          <w:b/>
          <w:color w:val="auto"/>
          <w:sz w:val="32"/>
          <w:szCs w:val="32"/>
          <w:highlight w:val="none"/>
        </w:rPr>
        <w:t>同类项目业绩表</w:t>
      </w:r>
    </w:p>
    <w:p>
      <w:pPr>
        <w:rPr>
          <w:rFonts w:hint="default"/>
          <w:color w:val="auto"/>
          <w:highlight w:val="none"/>
          <w:lang w:val="en-US" w:eastAsia="zh-CN"/>
        </w:rPr>
      </w:pPr>
    </w:p>
    <w:p>
      <w:pPr>
        <w:snapToGrid w:val="0"/>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06"/>
        <w:gridCol w:w="1557"/>
        <w:gridCol w:w="1900"/>
        <w:gridCol w:w="14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8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0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57"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采购单位</w:t>
            </w:r>
          </w:p>
        </w:tc>
        <w:tc>
          <w:tcPr>
            <w:tcW w:w="190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140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180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06" w:type="dxa"/>
            <w:noWrap w:val="0"/>
            <w:vAlign w:val="center"/>
          </w:tcPr>
          <w:p>
            <w:pPr>
              <w:rPr>
                <w:rFonts w:hint="eastAsia" w:ascii="宋体" w:hAnsi="宋体" w:eastAsia="宋体" w:cs="宋体"/>
                <w:color w:val="auto"/>
                <w:sz w:val="21"/>
                <w:szCs w:val="21"/>
                <w:highlight w:val="none"/>
              </w:rPr>
            </w:pPr>
          </w:p>
        </w:tc>
        <w:tc>
          <w:tcPr>
            <w:tcW w:w="1557" w:type="dxa"/>
            <w:noWrap w:val="0"/>
            <w:vAlign w:val="center"/>
          </w:tcPr>
          <w:p>
            <w:pPr>
              <w:rPr>
                <w:rFonts w:hint="eastAsia" w:ascii="宋体" w:hAnsi="宋体" w:eastAsia="宋体" w:cs="宋体"/>
                <w:color w:val="auto"/>
                <w:sz w:val="21"/>
                <w:szCs w:val="21"/>
                <w:highlight w:val="none"/>
              </w:rPr>
            </w:pPr>
          </w:p>
        </w:tc>
        <w:tc>
          <w:tcPr>
            <w:tcW w:w="1900" w:type="dxa"/>
            <w:noWrap w:val="0"/>
            <w:vAlign w:val="center"/>
          </w:tcPr>
          <w:p>
            <w:pPr>
              <w:rPr>
                <w:rFonts w:hint="eastAsia" w:ascii="宋体" w:hAnsi="宋体" w:eastAsia="宋体" w:cs="宋体"/>
                <w:color w:val="auto"/>
                <w:sz w:val="21"/>
                <w:szCs w:val="21"/>
                <w:highlight w:val="none"/>
              </w:rPr>
            </w:pPr>
          </w:p>
        </w:tc>
        <w:tc>
          <w:tcPr>
            <w:tcW w:w="1400" w:type="dxa"/>
            <w:noWrap w:val="0"/>
            <w:vAlign w:val="center"/>
          </w:tcPr>
          <w:p>
            <w:pPr>
              <w:rPr>
                <w:rFonts w:hint="eastAsia" w:ascii="宋体" w:hAnsi="宋体" w:eastAsia="宋体" w:cs="宋体"/>
                <w:color w:val="auto"/>
                <w:sz w:val="21"/>
                <w:szCs w:val="21"/>
                <w:highlight w:val="none"/>
              </w:rPr>
            </w:pPr>
          </w:p>
        </w:tc>
        <w:tc>
          <w:tcPr>
            <w:tcW w:w="1800" w:type="dxa"/>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06" w:type="dxa"/>
            <w:noWrap w:val="0"/>
            <w:vAlign w:val="center"/>
          </w:tcPr>
          <w:p>
            <w:pPr>
              <w:rPr>
                <w:rFonts w:hint="eastAsia" w:ascii="宋体" w:hAnsi="宋体" w:eastAsia="宋体" w:cs="宋体"/>
                <w:color w:val="auto"/>
                <w:sz w:val="21"/>
                <w:szCs w:val="21"/>
                <w:highlight w:val="none"/>
              </w:rPr>
            </w:pPr>
          </w:p>
        </w:tc>
        <w:tc>
          <w:tcPr>
            <w:tcW w:w="1557" w:type="dxa"/>
            <w:noWrap w:val="0"/>
            <w:vAlign w:val="center"/>
          </w:tcPr>
          <w:p>
            <w:pPr>
              <w:rPr>
                <w:rFonts w:hint="eastAsia" w:ascii="宋体" w:hAnsi="宋体" w:eastAsia="宋体" w:cs="宋体"/>
                <w:color w:val="auto"/>
                <w:sz w:val="21"/>
                <w:szCs w:val="21"/>
                <w:highlight w:val="none"/>
              </w:rPr>
            </w:pPr>
          </w:p>
        </w:tc>
        <w:tc>
          <w:tcPr>
            <w:tcW w:w="1900" w:type="dxa"/>
            <w:noWrap w:val="0"/>
            <w:vAlign w:val="center"/>
          </w:tcPr>
          <w:p>
            <w:pPr>
              <w:rPr>
                <w:rFonts w:hint="eastAsia" w:ascii="宋体" w:hAnsi="宋体" w:eastAsia="宋体" w:cs="宋体"/>
                <w:color w:val="auto"/>
                <w:sz w:val="21"/>
                <w:szCs w:val="21"/>
                <w:highlight w:val="none"/>
              </w:rPr>
            </w:pPr>
          </w:p>
        </w:tc>
        <w:tc>
          <w:tcPr>
            <w:tcW w:w="1400" w:type="dxa"/>
            <w:noWrap w:val="0"/>
            <w:vAlign w:val="center"/>
          </w:tcPr>
          <w:p>
            <w:pPr>
              <w:rPr>
                <w:rFonts w:hint="eastAsia" w:ascii="宋体" w:hAnsi="宋体" w:eastAsia="宋体" w:cs="宋体"/>
                <w:color w:val="auto"/>
                <w:sz w:val="21"/>
                <w:szCs w:val="21"/>
                <w:highlight w:val="none"/>
              </w:rPr>
            </w:pPr>
          </w:p>
        </w:tc>
        <w:tc>
          <w:tcPr>
            <w:tcW w:w="1800" w:type="dxa"/>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06" w:type="dxa"/>
            <w:noWrap w:val="0"/>
            <w:vAlign w:val="center"/>
          </w:tcPr>
          <w:p>
            <w:pPr>
              <w:rPr>
                <w:rFonts w:hint="eastAsia" w:ascii="宋体" w:hAnsi="宋体" w:eastAsia="宋体" w:cs="宋体"/>
                <w:color w:val="auto"/>
                <w:sz w:val="21"/>
                <w:szCs w:val="21"/>
                <w:highlight w:val="none"/>
              </w:rPr>
            </w:pPr>
          </w:p>
        </w:tc>
        <w:tc>
          <w:tcPr>
            <w:tcW w:w="1557" w:type="dxa"/>
            <w:noWrap w:val="0"/>
            <w:vAlign w:val="center"/>
          </w:tcPr>
          <w:p>
            <w:pPr>
              <w:rPr>
                <w:rFonts w:hint="eastAsia" w:ascii="宋体" w:hAnsi="宋体" w:eastAsia="宋体" w:cs="宋体"/>
                <w:color w:val="auto"/>
                <w:sz w:val="21"/>
                <w:szCs w:val="21"/>
                <w:highlight w:val="none"/>
              </w:rPr>
            </w:pPr>
          </w:p>
        </w:tc>
        <w:tc>
          <w:tcPr>
            <w:tcW w:w="1900" w:type="dxa"/>
            <w:noWrap w:val="0"/>
            <w:vAlign w:val="center"/>
          </w:tcPr>
          <w:p>
            <w:pPr>
              <w:rPr>
                <w:rFonts w:hint="eastAsia" w:ascii="宋体" w:hAnsi="宋体" w:eastAsia="宋体" w:cs="宋体"/>
                <w:color w:val="auto"/>
                <w:sz w:val="21"/>
                <w:szCs w:val="21"/>
                <w:highlight w:val="none"/>
              </w:rPr>
            </w:pPr>
          </w:p>
        </w:tc>
        <w:tc>
          <w:tcPr>
            <w:tcW w:w="1400" w:type="dxa"/>
            <w:noWrap w:val="0"/>
            <w:vAlign w:val="center"/>
          </w:tcPr>
          <w:p>
            <w:pPr>
              <w:rPr>
                <w:rFonts w:hint="eastAsia" w:ascii="宋体" w:hAnsi="宋体" w:eastAsia="宋体" w:cs="宋体"/>
                <w:color w:val="auto"/>
                <w:sz w:val="21"/>
                <w:szCs w:val="21"/>
                <w:highlight w:val="none"/>
              </w:rPr>
            </w:pPr>
          </w:p>
        </w:tc>
        <w:tc>
          <w:tcPr>
            <w:tcW w:w="1800" w:type="dxa"/>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06" w:type="dxa"/>
            <w:noWrap w:val="0"/>
            <w:vAlign w:val="center"/>
          </w:tcPr>
          <w:p>
            <w:pPr>
              <w:rPr>
                <w:rFonts w:hint="eastAsia" w:ascii="宋体" w:hAnsi="宋体" w:eastAsia="宋体" w:cs="宋体"/>
                <w:color w:val="auto"/>
                <w:sz w:val="21"/>
                <w:szCs w:val="21"/>
                <w:highlight w:val="none"/>
              </w:rPr>
            </w:pPr>
          </w:p>
        </w:tc>
        <w:tc>
          <w:tcPr>
            <w:tcW w:w="1557" w:type="dxa"/>
            <w:noWrap w:val="0"/>
            <w:vAlign w:val="center"/>
          </w:tcPr>
          <w:p>
            <w:pPr>
              <w:rPr>
                <w:rFonts w:hint="eastAsia" w:ascii="宋体" w:hAnsi="宋体" w:eastAsia="宋体" w:cs="宋体"/>
                <w:color w:val="auto"/>
                <w:sz w:val="21"/>
                <w:szCs w:val="21"/>
                <w:highlight w:val="none"/>
              </w:rPr>
            </w:pPr>
          </w:p>
        </w:tc>
        <w:tc>
          <w:tcPr>
            <w:tcW w:w="1900" w:type="dxa"/>
            <w:noWrap w:val="0"/>
            <w:vAlign w:val="center"/>
          </w:tcPr>
          <w:p>
            <w:pPr>
              <w:rPr>
                <w:rFonts w:hint="eastAsia" w:ascii="宋体" w:hAnsi="宋体" w:eastAsia="宋体" w:cs="宋体"/>
                <w:color w:val="auto"/>
                <w:sz w:val="21"/>
                <w:szCs w:val="21"/>
                <w:highlight w:val="none"/>
              </w:rPr>
            </w:pPr>
          </w:p>
        </w:tc>
        <w:tc>
          <w:tcPr>
            <w:tcW w:w="1400" w:type="dxa"/>
            <w:noWrap w:val="0"/>
            <w:vAlign w:val="center"/>
          </w:tcPr>
          <w:p>
            <w:pPr>
              <w:rPr>
                <w:rFonts w:hint="eastAsia" w:ascii="宋体" w:hAnsi="宋体" w:eastAsia="宋体" w:cs="宋体"/>
                <w:color w:val="auto"/>
                <w:sz w:val="21"/>
                <w:szCs w:val="21"/>
                <w:highlight w:val="none"/>
              </w:rPr>
            </w:pPr>
          </w:p>
        </w:tc>
        <w:tc>
          <w:tcPr>
            <w:tcW w:w="1800" w:type="dxa"/>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06" w:type="dxa"/>
            <w:noWrap w:val="0"/>
            <w:vAlign w:val="center"/>
          </w:tcPr>
          <w:p>
            <w:pPr>
              <w:rPr>
                <w:rFonts w:hint="eastAsia" w:ascii="宋体" w:hAnsi="宋体" w:eastAsia="宋体" w:cs="宋体"/>
                <w:color w:val="auto"/>
                <w:sz w:val="21"/>
                <w:szCs w:val="21"/>
                <w:highlight w:val="none"/>
              </w:rPr>
            </w:pPr>
          </w:p>
        </w:tc>
        <w:tc>
          <w:tcPr>
            <w:tcW w:w="1557" w:type="dxa"/>
            <w:noWrap w:val="0"/>
            <w:vAlign w:val="center"/>
          </w:tcPr>
          <w:p>
            <w:pPr>
              <w:rPr>
                <w:rFonts w:hint="eastAsia" w:ascii="宋体" w:hAnsi="宋体" w:eastAsia="宋体" w:cs="宋体"/>
                <w:color w:val="auto"/>
                <w:sz w:val="21"/>
                <w:szCs w:val="21"/>
                <w:highlight w:val="none"/>
              </w:rPr>
            </w:pPr>
          </w:p>
        </w:tc>
        <w:tc>
          <w:tcPr>
            <w:tcW w:w="1900" w:type="dxa"/>
            <w:noWrap w:val="0"/>
            <w:vAlign w:val="center"/>
          </w:tcPr>
          <w:p>
            <w:pPr>
              <w:rPr>
                <w:rFonts w:hint="eastAsia" w:ascii="宋体" w:hAnsi="宋体" w:eastAsia="宋体" w:cs="宋体"/>
                <w:color w:val="auto"/>
                <w:sz w:val="21"/>
                <w:szCs w:val="21"/>
                <w:highlight w:val="none"/>
              </w:rPr>
            </w:pPr>
          </w:p>
        </w:tc>
        <w:tc>
          <w:tcPr>
            <w:tcW w:w="1400" w:type="dxa"/>
            <w:noWrap w:val="0"/>
            <w:vAlign w:val="center"/>
          </w:tcPr>
          <w:p>
            <w:pPr>
              <w:rPr>
                <w:rFonts w:hint="eastAsia" w:ascii="宋体" w:hAnsi="宋体" w:eastAsia="宋体" w:cs="宋体"/>
                <w:color w:val="auto"/>
                <w:sz w:val="21"/>
                <w:szCs w:val="21"/>
                <w:highlight w:val="none"/>
              </w:rPr>
            </w:pPr>
          </w:p>
        </w:tc>
        <w:tc>
          <w:tcPr>
            <w:tcW w:w="1800" w:type="dxa"/>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06" w:type="dxa"/>
            <w:noWrap w:val="0"/>
            <w:vAlign w:val="center"/>
          </w:tcPr>
          <w:p>
            <w:pPr>
              <w:rPr>
                <w:rFonts w:hint="eastAsia" w:ascii="宋体" w:hAnsi="宋体" w:eastAsia="宋体" w:cs="宋体"/>
                <w:color w:val="auto"/>
                <w:sz w:val="21"/>
                <w:szCs w:val="21"/>
                <w:highlight w:val="none"/>
              </w:rPr>
            </w:pPr>
          </w:p>
        </w:tc>
        <w:tc>
          <w:tcPr>
            <w:tcW w:w="1557" w:type="dxa"/>
            <w:noWrap w:val="0"/>
            <w:vAlign w:val="center"/>
          </w:tcPr>
          <w:p>
            <w:pPr>
              <w:rPr>
                <w:rFonts w:hint="eastAsia" w:ascii="宋体" w:hAnsi="宋体" w:eastAsia="宋体" w:cs="宋体"/>
                <w:color w:val="auto"/>
                <w:sz w:val="21"/>
                <w:szCs w:val="21"/>
                <w:highlight w:val="none"/>
              </w:rPr>
            </w:pPr>
          </w:p>
        </w:tc>
        <w:tc>
          <w:tcPr>
            <w:tcW w:w="1900" w:type="dxa"/>
            <w:noWrap w:val="0"/>
            <w:vAlign w:val="center"/>
          </w:tcPr>
          <w:p>
            <w:pPr>
              <w:rPr>
                <w:rFonts w:hint="eastAsia" w:ascii="宋体" w:hAnsi="宋体" w:eastAsia="宋体" w:cs="宋体"/>
                <w:color w:val="auto"/>
                <w:sz w:val="21"/>
                <w:szCs w:val="21"/>
                <w:highlight w:val="none"/>
              </w:rPr>
            </w:pPr>
          </w:p>
        </w:tc>
        <w:tc>
          <w:tcPr>
            <w:tcW w:w="1400" w:type="dxa"/>
            <w:noWrap w:val="0"/>
            <w:vAlign w:val="center"/>
          </w:tcPr>
          <w:p>
            <w:pPr>
              <w:rPr>
                <w:rFonts w:hint="eastAsia" w:ascii="宋体" w:hAnsi="宋体" w:eastAsia="宋体" w:cs="宋体"/>
                <w:color w:val="auto"/>
                <w:sz w:val="21"/>
                <w:szCs w:val="21"/>
                <w:highlight w:val="none"/>
              </w:rPr>
            </w:pPr>
          </w:p>
        </w:tc>
        <w:tc>
          <w:tcPr>
            <w:tcW w:w="1800" w:type="dxa"/>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06" w:type="dxa"/>
            <w:noWrap w:val="0"/>
            <w:vAlign w:val="center"/>
          </w:tcPr>
          <w:p>
            <w:pPr>
              <w:rPr>
                <w:rFonts w:hint="eastAsia" w:ascii="宋体" w:hAnsi="宋体" w:eastAsia="宋体" w:cs="宋体"/>
                <w:color w:val="auto"/>
                <w:sz w:val="21"/>
                <w:szCs w:val="21"/>
                <w:highlight w:val="none"/>
              </w:rPr>
            </w:pPr>
          </w:p>
        </w:tc>
        <w:tc>
          <w:tcPr>
            <w:tcW w:w="1557" w:type="dxa"/>
            <w:noWrap w:val="0"/>
            <w:vAlign w:val="center"/>
          </w:tcPr>
          <w:p>
            <w:pPr>
              <w:rPr>
                <w:rFonts w:hint="eastAsia" w:ascii="宋体" w:hAnsi="宋体" w:eastAsia="宋体" w:cs="宋体"/>
                <w:color w:val="auto"/>
                <w:sz w:val="21"/>
                <w:szCs w:val="21"/>
                <w:highlight w:val="none"/>
              </w:rPr>
            </w:pPr>
          </w:p>
        </w:tc>
        <w:tc>
          <w:tcPr>
            <w:tcW w:w="1900" w:type="dxa"/>
            <w:noWrap w:val="0"/>
            <w:vAlign w:val="center"/>
          </w:tcPr>
          <w:p>
            <w:pPr>
              <w:rPr>
                <w:rFonts w:hint="eastAsia" w:ascii="宋体" w:hAnsi="宋体" w:eastAsia="宋体" w:cs="宋体"/>
                <w:color w:val="auto"/>
                <w:sz w:val="21"/>
                <w:szCs w:val="21"/>
                <w:highlight w:val="none"/>
              </w:rPr>
            </w:pPr>
          </w:p>
        </w:tc>
        <w:tc>
          <w:tcPr>
            <w:tcW w:w="1400" w:type="dxa"/>
            <w:noWrap w:val="0"/>
            <w:vAlign w:val="center"/>
          </w:tcPr>
          <w:p>
            <w:pPr>
              <w:rPr>
                <w:rFonts w:hint="eastAsia" w:ascii="宋体" w:hAnsi="宋体" w:eastAsia="宋体" w:cs="宋体"/>
                <w:color w:val="auto"/>
                <w:sz w:val="21"/>
                <w:szCs w:val="21"/>
                <w:highlight w:val="none"/>
              </w:rPr>
            </w:pPr>
          </w:p>
        </w:tc>
        <w:tc>
          <w:tcPr>
            <w:tcW w:w="1800" w:type="dxa"/>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06" w:type="dxa"/>
            <w:noWrap w:val="0"/>
            <w:vAlign w:val="center"/>
          </w:tcPr>
          <w:p>
            <w:pPr>
              <w:rPr>
                <w:rFonts w:hint="eastAsia" w:ascii="宋体" w:hAnsi="宋体" w:eastAsia="宋体" w:cs="宋体"/>
                <w:color w:val="auto"/>
                <w:sz w:val="21"/>
                <w:szCs w:val="21"/>
                <w:highlight w:val="none"/>
              </w:rPr>
            </w:pPr>
          </w:p>
        </w:tc>
        <w:tc>
          <w:tcPr>
            <w:tcW w:w="1557" w:type="dxa"/>
            <w:noWrap w:val="0"/>
            <w:vAlign w:val="center"/>
          </w:tcPr>
          <w:p>
            <w:pPr>
              <w:rPr>
                <w:rFonts w:hint="eastAsia" w:ascii="宋体" w:hAnsi="宋体" w:eastAsia="宋体" w:cs="宋体"/>
                <w:color w:val="auto"/>
                <w:sz w:val="21"/>
                <w:szCs w:val="21"/>
                <w:highlight w:val="none"/>
              </w:rPr>
            </w:pPr>
          </w:p>
        </w:tc>
        <w:tc>
          <w:tcPr>
            <w:tcW w:w="1900" w:type="dxa"/>
            <w:noWrap w:val="0"/>
            <w:vAlign w:val="center"/>
          </w:tcPr>
          <w:p>
            <w:pPr>
              <w:rPr>
                <w:rFonts w:hint="eastAsia" w:ascii="宋体" w:hAnsi="宋体" w:eastAsia="宋体" w:cs="宋体"/>
                <w:color w:val="auto"/>
                <w:sz w:val="21"/>
                <w:szCs w:val="21"/>
                <w:highlight w:val="none"/>
              </w:rPr>
            </w:pPr>
          </w:p>
        </w:tc>
        <w:tc>
          <w:tcPr>
            <w:tcW w:w="1400" w:type="dxa"/>
            <w:noWrap w:val="0"/>
            <w:vAlign w:val="center"/>
          </w:tcPr>
          <w:p>
            <w:pPr>
              <w:rPr>
                <w:rFonts w:hint="eastAsia" w:ascii="宋体" w:hAnsi="宋体" w:eastAsia="宋体" w:cs="宋体"/>
                <w:color w:val="auto"/>
                <w:sz w:val="21"/>
                <w:szCs w:val="21"/>
                <w:highlight w:val="none"/>
              </w:rPr>
            </w:pPr>
          </w:p>
        </w:tc>
        <w:tc>
          <w:tcPr>
            <w:tcW w:w="1800" w:type="dxa"/>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06" w:type="dxa"/>
            <w:noWrap w:val="0"/>
            <w:vAlign w:val="center"/>
          </w:tcPr>
          <w:p>
            <w:pPr>
              <w:rPr>
                <w:rFonts w:hint="eastAsia" w:ascii="宋体" w:hAnsi="宋体" w:eastAsia="宋体" w:cs="宋体"/>
                <w:color w:val="auto"/>
                <w:sz w:val="21"/>
                <w:szCs w:val="21"/>
                <w:highlight w:val="none"/>
              </w:rPr>
            </w:pPr>
          </w:p>
        </w:tc>
        <w:tc>
          <w:tcPr>
            <w:tcW w:w="1557" w:type="dxa"/>
            <w:noWrap w:val="0"/>
            <w:vAlign w:val="center"/>
          </w:tcPr>
          <w:p>
            <w:pPr>
              <w:rPr>
                <w:rFonts w:hint="eastAsia" w:ascii="宋体" w:hAnsi="宋体" w:eastAsia="宋体" w:cs="宋体"/>
                <w:color w:val="auto"/>
                <w:sz w:val="21"/>
                <w:szCs w:val="21"/>
                <w:highlight w:val="none"/>
              </w:rPr>
            </w:pPr>
          </w:p>
        </w:tc>
        <w:tc>
          <w:tcPr>
            <w:tcW w:w="1900" w:type="dxa"/>
            <w:noWrap w:val="0"/>
            <w:vAlign w:val="center"/>
          </w:tcPr>
          <w:p>
            <w:pPr>
              <w:rPr>
                <w:rFonts w:hint="eastAsia" w:ascii="宋体" w:hAnsi="宋体" w:eastAsia="宋体" w:cs="宋体"/>
                <w:color w:val="auto"/>
                <w:sz w:val="21"/>
                <w:szCs w:val="21"/>
                <w:highlight w:val="none"/>
              </w:rPr>
            </w:pPr>
          </w:p>
        </w:tc>
        <w:tc>
          <w:tcPr>
            <w:tcW w:w="1400" w:type="dxa"/>
            <w:noWrap w:val="0"/>
            <w:vAlign w:val="center"/>
          </w:tcPr>
          <w:p>
            <w:pPr>
              <w:rPr>
                <w:rFonts w:hint="eastAsia" w:ascii="宋体" w:hAnsi="宋体" w:eastAsia="宋体" w:cs="宋体"/>
                <w:color w:val="auto"/>
                <w:sz w:val="21"/>
                <w:szCs w:val="21"/>
                <w:highlight w:val="none"/>
              </w:rPr>
            </w:pPr>
          </w:p>
        </w:tc>
        <w:tc>
          <w:tcPr>
            <w:tcW w:w="1800" w:type="dxa"/>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06" w:type="dxa"/>
            <w:noWrap w:val="0"/>
            <w:vAlign w:val="center"/>
          </w:tcPr>
          <w:p>
            <w:pPr>
              <w:rPr>
                <w:rFonts w:hint="eastAsia" w:ascii="宋体" w:hAnsi="宋体" w:eastAsia="宋体" w:cs="宋体"/>
                <w:color w:val="auto"/>
                <w:sz w:val="21"/>
                <w:szCs w:val="21"/>
                <w:highlight w:val="none"/>
              </w:rPr>
            </w:pPr>
          </w:p>
        </w:tc>
        <w:tc>
          <w:tcPr>
            <w:tcW w:w="1557" w:type="dxa"/>
            <w:noWrap w:val="0"/>
            <w:vAlign w:val="center"/>
          </w:tcPr>
          <w:p>
            <w:pPr>
              <w:rPr>
                <w:rFonts w:hint="eastAsia" w:ascii="宋体" w:hAnsi="宋体" w:eastAsia="宋体" w:cs="宋体"/>
                <w:color w:val="auto"/>
                <w:sz w:val="21"/>
                <w:szCs w:val="21"/>
                <w:highlight w:val="none"/>
              </w:rPr>
            </w:pPr>
          </w:p>
        </w:tc>
        <w:tc>
          <w:tcPr>
            <w:tcW w:w="1900" w:type="dxa"/>
            <w:noWrap w:val="0"/>
            <w:vAlign w:val="center"/>
          </w:tcPr>
          <w:p>
            <w:pPr>
              <w:rPr>
                <w:rFonts w:hint="eastAsia" w:ascii="宋体" w:hAnsi="宋体" w:eastAsia="宋体" w:cs="宋体"/>
                <w:color w:val="auto"/>
                <w:sz w:val="21"/>
                <w:szCs w:val="21"/>
                <w:highlight w:val="none"/>
              </w:rPr>
            </w:pPr>
          </w:p>
        </w:tc>
        <w:tc>
          <w:tcPr>
            <w:tcW w:w="1400" w:type="dxa"/>
            <w:noWrap w:val="0"/>
            <w:vAlign w:val="center"/>
          </w:tcPr>
          <w:p>
            <w:pPr>
              <w:rPr>
                <w:rFonts w:hint="eastAsia" w:ascii="宋体" w:hAnsi="宋体" w:eastAsia="宋体" w:cs="宋体"/>
                <w:color w:val="auto"/>
                <w:sz w:val="21"/>
                <w:szCs w:val="21"/>
                <w:highlight w:val="none"/>
              </w:rPr>
            </w:pPr>
          </w:p>
        </w:tc>
        <w:tc>
          <w:tcPr>
            <w:tcW w:w="1800" w:type="dxa"/>
            <w:noWrap w:val="0"/>
            <w:vAlign w:val="center"/>
          </w:tcPr>
          <w:p>
            <w:pPr>
              <w:rPr>
                <w:rFonts w:hint="eastAsia" w:ascii="宋体" w:hAnsi="宋体" w:eastAsia="宋体" w:cs="宋体"/>
                <w:color w:val="auto"/>
                <w:sz w:val="21"/>
                <w:szCs w:val="21"/>
                <w:highlight w:val="none"/>
              </w:rPr>
            </w:pPr>
          </w:p>
        </w:tc>
      </w:tr>
    </w:tbl>
    <w:p>
      <w:pPr>
        <w:pStyle w:val="17"/>
        <w:spacing w:before="0" w:beforeLines="0" w:after="0" w:afterLines="0"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注：表中所列的业绩，以提供合同的复印件等证明材料为准</w:t>
      </w:r>
      <w:r>
        <w:rPr>
          <w:rFonts w:hint="eastAsia" w:ascii="宋体" w:hAnsi="宋体" w:eastAsia="宋体" w:cs="宋体"/>
          <w:b/>
          <w:bCs/>
          <w:color w:val="auto"/>
          <w:sz w:val="21"/>
          <w:szCs w:val="21"/>
          <w:highlight w:val="none"/>
        </w:rPr>
        <w:t>。</w:t>
      </w:r>
    </w:p>
    <w:p>
      <w:pPr>
        <w:pStyle w:val="17"/>
        <w:spacing w:before="0" w:beforeLines="0" w:after="0" w:afterLines="0" w:line="360" w:lineRule="auto"/>
        <w:ind w:firstLine="422" w:firstLineChars="200"/>
        <w:rPr>
          <w:rFonts w:hint="eastAsia" w:ascii="宋体" w:hAnsi="宋体" w:eastAsia="宋体" w:cs="宋体"/>
          <w:b/>
          <w:bCs/>
          <w:color w:val="auto"/>
          <w:sz w:val="21"/>
          <w:szCs w:val="21"/>
          <w:highlight w:val="none"/>
        </w:rPr>
      </w:pPr>
    </w:p>
    <w:p>
      <w:pPr>
        <w:snapToGrid w:val="0"/>
        <w:spacing w:line="360" w:lineRule="auto"/>
        <w:rPr>
          <w:rFonts w:hint="eastAsia" w:ascii="宋体" w:hAnsi="宋体" w:eastAsia="宋体" w:cs="宋体"/>
          <w:color w:val="auto"/>
          <w:spacing w:val="20"/>
          <w:sz w:val="21"/>
          <w:szCs w:val="21"/>
          <w:highlight w:val="none"/>
          <w:u w:val="single"/>
        </w:rPr>
      </w:pPr>
    </w:p>
    <w:p>
      <w:pPr>
        <w:widowControl/>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lang w:val="zh-CN"/>
        </w:rPr>
        <w:t>电子签名/公章</w:t>
      </w:r>
      <w:r>
        <w:rPr>
          <w:rFonts w:hint="eastAsia" w:ascii="宋体" w:hAnsi="宋体" w:eastAsia="宋体" w:cs="宋体"/>
          <w:color w:val="auto"/>
          <w:kern w:val="0"/>
          <w:sz w:val="21"/>
          <w:szCs w:val="21"/>
          <w:highlight w:val="none"/>
        </w:rPr>
        <w:t>） ：</w:t>
      </w:r>
    </w:p>
    <w:p>
      <w:pPr>
        <w:widowControl/>
        <w:adjustRightInd w:val="0"/>
        <w:snapToGri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     年  月  日</w:t>
      </w:r>
    </w:p>
    <w:p>
      <w:pPr>
        <w:rPr>
          <w:rFonts w:hint="default" w:ascii="宋体" w:hAnsi="宋体" w:cs="Times New Roman"/>
          <w:color w:val="auto"/>
          <w:sz w:val="21"/>
          <w:szCs w:val="21"/>
          <w:highlight w:val="none"/>
          <w:lang w:val="en-US" w:eastAsia="zh-CN"/>
        </w:rPr>
      </w:pPr>
      <w:r>
        <w:rPr>
          <w:rFonts w:hint="eastAsia" w:ascii="宋体" w:hAnsi="宋体" w:cs="宋体"/>
          <w:b/>
          <w:color w:val="auto"/>
          <w:szCs w:val="21"/>
          <w:highlight w:val="none"/>
          <w:lang w:val="en-US" w:eastAsia="zh-CN"/>
        </w:rPr>
        <w:t>7、</w:t>
      </w:r>
      <w:r>
        <w:rPr>
          <w:rFonts w:hint="eastAsia" w:ascii="宋体" w:hAnsi="宋体" w:eastAsia="宋体" w:cs="宋体"/>
          <w:b/>
          <w:color w:val="auto"/>
          <w:szCs w:val="21"/>
          <w:highlight w:val="none"/>
          <w:lang w:val="en-US" w:eastAsia="zh-CN"/>
        </w:rPr>
        <w:t>技术开发服务大纲、方案</w:t>
      </w:r>
      <w:r>
        <w:rPr>
          <w:rFonts w:hint="eastAsia" w:ascii="宋体" w:hAnsi="宋体" w:cs="Times New Roman"/>
          <w:color w:val="auto"/>
          <w:sz w:val="21"/>
          <w:szCs w:val="21"/>
          <w:highlight w:val="none"/>
          <w:lang w:val="en-US" w:eastAsia="zh-CN"/>
        </w:rPr>
        <w:t>；</w:t>
      </w:r>
    </w:p>
    <w:p>
      <w:pPr>
        <w:numPr>
          <w:ilvl w:val="0"/>
          <w:numId w:val="0"/>
        </w:numPr>
        <w:rPr>
          <w:rFonts w:hint="eastAsia" w:ascii="宋体" w:hAnsi="宋体" w:cs="宋体"/>
          <w:b/>
          <w:color w:val="auto"/>
          <w:szCs w:val="21"/>
          <w:highlight w:val="none"/>
          <w:lang w:val="en-US" w:eastAsia="zh-CN"/>
        </w:rPr>
      </w:pPr>
    </w:p>
    <w:p>
      <w:pPr>
        <w:numPr>
          <w:ilvl w:val="0"/>
          <w:numId w:val="0"/>
        </w:numPr>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8、</w:t>
      </w:r>
      <w:r>
        <w:rPr>
          <w:rFonts w:hint="eastAsia" w:ascii="宋体" w:hAnsi="宋体" w:eastAsia="宋体" w:cs="宋体"/>
          <w:b/>
          <w:color w:val="auto"/>
          <w:szCs w:val="21"/>
          <w:highlight w:val="none"/>
          <w:lang w:val="en-US" w:eastAsia="zh-CN"/>
        </w:rPr>
        <w:t>供应商提供合理化建议</w:t>
      </w:r>
    </w:p>
    <w:p>
      <w:pPr>
        <w:numPr>
          <w:ilvl w:val="0"/>
          <w:numId w:val="0"/>
        </w:numPr>
        <w:rPr>
          <w:rFonts w:hint="eastAsia" w:ascii="宋体" w:hAnsi="宋体" w:cs="宋体"/>
          <w:b/>
          <w:color w:val="auto"/>
          <w:szCs w:val="21"/>
          <w:highlight w:val="none"/>
          <w:lang w:val="en-US" w:eastAsia="zh-CN"/>
        </w:rPr>
      </w:pPr>
    </w:p>
    <w:p>
      <w:pPr>
        <w:numPr>
          <w:ilvl w:val="0"/>
          <w:numId w:val="0"/>
        </w:numPr>
        <w:rPr>
          <w:rFonts w:hint="eastAsia"/>
        </w:rPr>
      </w:pPr>
      <w:r>
        <w:rPr>
          <w:rFonts w:hint="eastAsia" w:ascii="宋体" w:hAnsi="宋体" w:cs="宋体"/>
          <w:b/>
          <w:color w:val="auto"/>
          <w:szCs w:val="21"/>
          <w:highlight w:val="none"/>
          <w:lang w:val="en-US" w:eastAsia="zh-CN"/>
        </w:rPr>
        <w:t>9、</w:t>
      </w:r>
      <w:r>
        <w:rPr>
          <w:rFonts w:hint="eastAsia" w:ascii="宋体" w:hAnsi="宋体" w:eastAsia="宋体" w:cs="宋体"/>
          <w:b/>
          <w:color w:val="auto"/>
          <w:szCs w:val="21"/>
          <w:highlight w:val="none"/>
          <w:lang w:val="en-US" w:eastAsia="zh-CN"/>
        </w:rPr>
        <w:t>供应商认为有必要提供的其它文件</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附件1</w:t>
      </w:r>
    </w:p>
    <w:p>
      <w:pPr>
        <w:ind w:left="420"/>
        <w:rPr>
          <w:rFonts w:ascii="宋体" w:hAnsi="宋体" w:cs="宋体"/>
          <w:color w:val="auto"/>
          <w:highlight w:val="none"/>
        </w:rPr>
      </w:pPr>
    </w:p>
    <w:p>
      <w:pPr>
        <w:pStyle w:val="68"/>
        <w:spacing w:line="500" w:lineRule="exact"/>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p>
    <w:p>
      <w:pPr>
        <w:pStyle w:val="68"/>
        <w:adjustRightInd w:val="0"/>
        <w:spacing w:line="360" w:lineRule="auto"/>
        <w:jc w:val="both"/>
        <w:rPr>
          <w:rFonts w:ascii="宋体" w:hAnsi="宋体" w:eastAsia="宋体" w:cs="宋体"/>
          <w:color w:val="auto"/>
          <w:kern w:val="0"/>
          <w:szCs w:val="21"/>
          <w:highlight w:val="none"/>
          <w:u w:val="single"/>
        </w:rPr>
      </w:pPr>
    </w:p>
    <w:p>
      <w:pPr>
        <w:pStyle w:val="68"/>
        <w:adjustRightInd w:val="0"/>
        <w:spacing w:line="360" w:lineRule="auto"/>
        <w:ind w:firstLine="2730" w:firstLineChars="1300"/>
        <w:jc w:val="both"/>
        <w:rPr>
          <w:rFonts w:ascii="宋体" w:hAnsi="宋体" w:eastAsia="宋体" w:cs="宋体"/>
          <w:b/>
          <w:color w:val="auto"/>
          <w:szCs w:val="21"/>
          <w:highlight w:val="none"/>
        </w:rPr>
      </w:pPr>
      <w:r>
        <w:rPr>
          <w:rFonts w:hint="eastAsia" w:ascii="宋体" w:hAnsi="宋体" w:eastAsia="宋体" w:cs="宋体"/>
          <w:color w:val="auto"/>
          <w:kern w:val="0"/>
          <w:szCs w:val="21"/>
          <w:highlight w:val="none"/>
        </w:rPr>
        <w:t>：</w:t>
      </w:r>
    </w:p>
    <w:p>
      <w:pPr>
        <w:pStyle w:val="68"/>
        <w:adjustRightInd w:val="0"/>
        <w:spacing w:line="360" w:lineRule="auto"/>
        <w:ind w:firstLine="444" w:firstLineChars="200"/>
        <w:jc w:val="both"/>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本人经由</w:t>
      </w:r>
      <w:r>
        <w:rPr>
          <w:rFonts w:hint="eastAsia" w:ascii="宋体" w:hAnsi="宋体" w:eastAsia="宋体" w:cs="宋体"/>
          <w:color w:val="auto"/>
          <w:spacing w:val="6"/>
          <w:szCs w:val="21"/>
          <w:highlight w:val="none"/>
          <w:u w:val="single"/>
        </w:rPr>
        <w:t xml:space="preserve">              （单位）</w:t>
      </w:r>
      <w:r>
        <w:rPr>
          <w:rFonts w:hint="eastAsia" w:ascii="宋体" w:hAnsi="宋体" w:eastAsia="宋体" w:cs="宋体"/>
          <w:color w:val="auto"/>
          <w:spacing w:val="6"/>
          <w:szCs w:val="21"/>
          <w:highlight w:val="none"/>
        </w:rPr>
        <w:t>负责人</w:t>
      </w:r>
      <w:r>
        <w:rPr>
          <w:rFonts w:hint="eastAsia" w:ascii="宋体" w:hAnsi="宋体" w:eastAsia="宋体" w:cs="宋体"/>
          <w:color w:val="auto"/>
          <w:spacing w:val="6"/>
          <w:szCs w:val="21"/>
          <w:highlight w:val="none"/>
          <w:u w:val="single"/>
        </w:rPr>
        <w:t xml:space="preserve">      （姓名）</w:t>
      </w:r>
      <w:r>
        <w:rPr>
          <w:rFonts w:hint="eastAsia" w:ascii="宋体" w:hAnsi="宋体" w:eastAsia="宋体" w:cs="宋体"/>
          <w:color w:val="auto"/>
          <w:spacing w:val="6"/>
          <w:szCs w:val="21"/>
          <w:highlight w:val="none"/>
        </w:rPr>
        <w:t>合法授权参加项目</w:t>
      </w:r>
      <w:r>
        <w:rPr>
          <w:rFonts w:hint="eastAsia" w:ascii="宋体" w:hAnsi="宋体" w:eastAsia="宋体" w:cs="宋体"/>
          <w:color w:val="auto"/>
          <w:spacing w:val="6"/>
          <w:szCs w:val="21"/>
          <w:highlight w:val="none"/>
          <w:u w:val="single"/>
        </w:rPr>
        <w:t>（编号：    ）</w:t>
      </w:r>
      <w:r>
        <w:rPr>
          <w:rFonts w:hint="eastAsia" w:ascii="宋体" w:hAnsi="宋体" w:eastAsia="宋体" w:cs="宋体"/>
          <w:color w:val="auto"/>
          <w:spacing w:val="6"/>
          <w:szCs w:val="21"/>
          <w:highlight w:val="none"/>
        </w:rPr>
        <w:t xml:space="preserve">政府采购活动，经与本单位法人代表（负责人）联系确认，现就有关公平竞争事项郑重声明如下： </w:t>
      </w:r>
    </w:p>
    <w:p>
      <w:pPr>
        <w:pStyle w:val="69"/>
        <w:widowControl/>
        <w:numPr>
          <w:ilvl w:val="0"/>
          <w:numId w:val="9"/>
        </w:numPr>
        <w:adjustRightInd w:val="0"/>
        <w:snapToGrid w:val="0"/>
        <w:spacing w:line="360" w:lineRule="auto"/>
        <w:ind w:firstLine="396" w:firstLineChars="189"/>
        <w:rPr>
          <w:rFonts w:hint="default"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p>
    <w:p>
      <w:pPr>
        <w:pStyle w:val="69"/>
        <w:widowControl/>
        <w:adjustRightInd w:val="0"/>
        <w:snapToGrid w:val="0"/>
        <w:spacing w:line="360" w:lineRule="auto"/>
        <w:ind w:firstLine="200"/>
        <w:rPr>
          <w:rFonts w:hint="default"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69"/>
        <w:widowControl/>
        <w:adjustRightInd w:val="0"/>
        <w:snapToGrid w:val="0"/>
        <w:spacing w:line="360" w:lineRule="auto"/>
        <w:ind w:firstLine="200"/>
        <w:rPr>
          <w:rFonts w:hint="default"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69"/>
        <w:widowControl/>
        <w:adjustRightInd w:val="0"/>
        <w:snapToGrid w:val="0"/>
        <w:spacing w:line="360" w:lineRule="auto"/>
        <w:ind w:firstLine="200"/>
        <w:rPr>
          <w:rFonts w:hint="default"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p>
    <w:p>
      <w:pPr>
        <w:pStyle w:val="68"/>
        <w:adjustRightInd w:val="0"/>
        <w:spacing w:line="360" w:lineRule="auto"/>
        <w:ind w:firstLine="200"/>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A.法定代表人或负责人或实际控制人是同一人</w:t>
      </w:r>
    </w:p>
    <w:p>
      <w:pPr>
        <w:pStyle w:val="68"/>
        <w:adjustRightInd w:val="0"/>
        <w:spacing w:line="360" w:lineRule="auto"/>
        <w:ind w:firstLine="200"/>
        <w:jc w:val="both"/>
        <w:rPr>
          <w:rFonts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B.法定代表人或负责人或实际控制人是夫妻关系</w:t>
      </w:r>
    </w:p>
    <w:p>
      <w:pPr>
        <w:pStyle w:val="68"/>
        <w:adjustRightInd w:val="0"/>
        <w:spacing w:line="360" w:lineRule="auto"/>
        <w:ind w:firstLine="200"/>
        <w:jc w:val="both"/>
        <w:rPr>
          <w:rFonts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C.法定代表人或负责人或实际控制人是直系血亲关系</w:t>
      </w:r>
    </w:p>
    <w:p>
      <w:pPr>
        <w:pStyle w:val="68"/>
        <w:adjustRightInd w:val="0"/>
        <w:spacing w:line="360" w:lineRule="auto"/>
        <w:ind w:firstLine="200"/>
        <w:jc w:val="both"/>
        <w:rPr>
          <w:rFonts w:ascii="宋体" w:hAnsi="宋体" w:eastAsia="宋体" w:cs="宋体"/>
          <w:color w:val="auto"/>
          <w:spacing w:val="6"/>
          <w:szCs w:val="21"/>
          <w:highlight w:val="none"/>
        </w:rPr>
      </w:pPr>
      <w:r>
        <w:rPr>
          <w:rFonts w:hint="eastAsia" w:ascii="宋体" w:hAnsi="宋体" w:eastAsia="宋体" w:cs="宋体"/>
          <w:color w:val="auto"/>
          <w:kern w:val="0"/>
          <w:szCs w:val="21"/>
          <w:highlight w:val="none"/>
        </w:rPr>
        <w:t xml:space="preserve">  D.法定代表人或负责人或实际控制人存在三代以内旁系血亲关系</w:t>
      </w:r>
    </w:p>
    <w:p>
      <w:pPr>
        <w:pStyle w:val="68"/>
        <w:adjustRightInd w:val="0"/>
        <w:spacing w:line="360" w:lineRule="auto"/>
        <w:ind w:firstLine="200"/>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E.法定代表人或负责人或实际控制人存在近姻亲关系</w:t>
      </w:r>
    </w:p>
    <w:p>
      <w:pPr>
        <w:pStyle w:val="68"/>
        <w:adjustRightInd w:val="0"/>
        <w:spacing w:line="360" w:lineRule="auto"/>
        <w:ind w:firstLine="200"/>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F.法定代表人或负责人或实际控制人存在股份控制或实际控制关系</w:t>
      </w:r>
    </w:p>
    <w:p>
      <w:pPr>
        <w:pStyle w:val="68"/>
        <w:adjustRightInd w:val="0"/>
        <w:spacing w:line="360" w:lineRule="auto"/>
        <w:ind w:firstLine="200"/>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G.存在共同直接或间接投资设立子公司、联营企业和合营企业情况</w:t>
      </w:r>
    </w:p>
    <w:p>
      <w:pPr>
        <w:pStyle w:val="68"/>
        <w:adjustRightInd w:val="0"/>
        <w:spacing w:line="360" w:lineRule="auto"/>
        <w:ind w:firstLine="200"/>
        <w:jc w:val="both"/>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H.存在分级代理或代销关系、同一生产制造商关系、</w:t>
      </w:r>
      <w:r>
        <w:rPr>
          <w:rFonts w:hint="eastAsia" w:ascii="宋体" w:hAnsi="宋体" w:eastAsia="宋体" w:cs="宋体"/>
          <w:color w:val="auto"/>
          <w:szCs w:val="21"/>
          <w:highlight w:val="none"/>
        </w:rPr>
        <w:t>管理关系、重要业务（占主营业务收入50%以上）或重要财务往来关系（如融资）等其他实质性控制关系</w:t>
      </w:r>
    </w:p>
    <w:p>
      <w:pPr>
        <w:pStyle w:val="68"/>
        <w:adjustRightInd w:val="0"/>
        <w:spacing w:line="360" w:lineRule="auto"/>
        <w:ind w:firstLine="200"/>
        <w:jc w:val="both"/>
        <w:rPr>
          <w:rFonts w:ascii="宋体" w:hAnsi="宋体" w:eastAsia="宋体" w:cs="宋体"/>
          <w:color w:val="auto"/>
          <w:spacing w:val="6"/>
          <w:szCs w:val="21"/>
          <w:highlight w:val="none"/>
        </w:rPr>
      </w:pPr>
      <w:r>
        <w:rPr>
          <w:rFonts w:hint="eastAsia" w:ascii="宋体" w:hAnsi="宋体" w:eastAsia="宋体" w:cs="宋体"/>
          <w:color w:val="auto"/>
          <w:szCs w:val="21"/>
          <w:highlight w:val="none"/>
        </w:rPr>
        <w:t xml:space="preserve">   I</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其他利害关系情况</w:t>
      </w:r>
      <w:r>
        <w:rPr>
          <w:rFonts w:hint="eastAsia" w:ascii="宋体" w:hAnsi="宋体" w:eastAsia="宋体" w:cs="宋体"/>
          <w:color w:val="auto"/>
          <w:kern w:val="0"/>
          <w:szCs w:val="21"/>
          <w:highlight w:val="none"/>
        </w:rPr>
        <w:t>。</w:t>
      </w:r>
    </w:p>
    <w:p>
      <w:pPr>
        <w:pStyle w:val="69"/>
        <w:widowControl/>
        <w:numPr>
          <w:ilvl w:val="0"/>
          <w:numId w:val="10"/>
        </w:numPr>
        <w:adjustRightInd w:val="0"/>
        <w:snapToGrid w:val="0"/>
        <w:spacing w:line="360" w:lineRule="auto"/>
        <w:ind w:firstLine="396" w:firstLineChars="189"/>
        <w:rPr>
          <w:rFonts w:hint="default"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69"/>
        <w:widowControl/>
        <w:numPr>
          <w:ilvl w:val="0"/>
          <w:numId w:val="10"/>
        </w:numPr>
        <w:adjustRightInd w:val="0"/>
        <w:snapToGrid w:val="0"/>
        <w:spacing w:line="360" w:lineRule="auto"/>
        <w:ind w:firstLine="396" w:firstLineChars="189"/>
        <w:rPr>
          <w:rFonts w:hint="default" w:ascii="宋体" w:hAnsi="宋体" w:cs="宋体"/>
          <w:color w:val="auto"/>
          <w:kern w:val="0"/>
          <w:szCs w:val="21"/>
          <w:highlight w:val="none"/>
        </w:rPr>
      </w:pPr>
      <w:r>
        <w:rPr>
          <w:rFonts w:ascii="宋体" w:hAnsi="宋体" w:cs="宋体"/>
          <w:color w:val="auto"/>
          <w:kern w:val="0"/>
          <w:szCs w:val="21"/>
          <w:highlight w:val="none"/>
        </w:rPr>
        <w:t>我发现供应商之间存在或可能存在上述第二条第项利害关系。</w:t>
      </w:r>
    </w:p>
    <w:p>
      <w:pPr>
        <w:pStyle w:val="69"/>
        <w:widowControl/>
        <w:adjustRightInd w:val="0"/>
        <w:snapToGrid w:val="0"/>
        <w:spacing w:line="360" w:lineRule="auto"/>
        <w:rPr>
          <w:rFonts w:hint="default" w:ascii="宋体" w:hAnsi="宋体" w:cs="宋体"/>
          <w:color w:val="auto"/>
          <w:kern w:val="0"/>
          <w:szCs w:val="21"/>
          <w:highlight w:val="none"/>
        </w:rPr>
      </w:pPr>
    </w:p>
    <w:p>
      <w:pPr>
        <w:pStyle w:val="69"/>
        <w:widowControl/>
        <w:adjustRightInd w:val="0"/>
        <w:snapToGrid w:val="0"/>
        <w:spacing w:line="360" w:lineRule="auto"/>
        <w:rPr>
          <w:rFonts w:hint="default" w:ascii="宋体" w:hAnsi="宋体" w:cs="宋体"/>
          <w:color w:val="auto"/>
          <w:kern w:val="0"/>
          <w:szCs w:val="21"/>
          <w:highlight w:val="none"/>
        </w:rPr>
      </w:pPr>
    </w:p>
    <w:p>
      <w:pPr>
        <w:pStyle w:val="68"/>
        <w:adjustRightInd w:val="0"/>
        <w:spacing w:line="360" w:lineRule="auto"/>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（供应商代表签名）</w:t>
      </w:r>
    </w:p>
    <w:p>
      <w:pPr>
        <w:adjustRightInd w:val="0"/>
        <w:snapToGrid w:val="0"/>
        <w:spacing w:line="360" w:lineRule="auto"/>
        <w:jc w:val="right"/>
        <w:rPr>
          <w:rFonts w:ascii="宋体" w:hAnsi="宋体" w:cs="宋体"/>
          <w:color w:val="auto"/>
          <w:highlight w:val="none"/>
        </w:rPr>
      </w:pP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pPr>
        <w:pStyle w:val="43"/>
        <w:snapToGrid w:val="0"/>
        <w:spacing w:line="360" w:lineRule="auto"/>
        <w:ind w:left="0" w:leftChars="0" w:firstLine="0" w:firstLineChars="0"/>
        <w:rPr>
          <w:rFonts w:ascii="宋体" w:hAnsi="宋体" w:cs="宋体"/>
          <w:color w:val="auto"/>
          <w:sz w:val="24"/>
          <w:highlight w:val="none"/>
        </w:rPr>
      </w:pPr>
    </w:p>
    <w:sectPr>
      <w:type w:val="continuous"/>
      <w:pgSz w:w="11906" w:h="16838"/>
      <w:pgMar w:top="1440" w:right="1474" w:bottom="1440" w:left="147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8000012" w:usb3="00000000" w:csb0="4002009F" w:csb1="DFD70000"/>
  </w:font>
  <w:font w:name="微软雅黑">
    <w:panose1 w:val="020B0503020204020204"/>
    <w:charset w:val="86"/>
    <w:family w:val="swiss"/>
    <w:pitch w:val="default"/>
    <w:sig w:usb0="A0000287" w:usb1="28CF3C52" w:usb2="00000016" w:usb3="00000000" w:csb0="0004001F"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rPr>
      <w:t>第</w:t>
    </w:r>
    <w:r>
      <w:fldChar w:fldCharType="begin"/>
    </w:r>
    <w:r>
      <w:instrText xml:space="preserve"> PAGE   \* MERGEFORMAT </w:instrText>
    </w:r>
    <w:r>
      <w:fldChar w:fldCharType="separate"/>
    </w:r>
    <w:r>
      <w:rPr>
        <w:lang w:val="zh-CN"/>
      </w:rPr>
      <w:t>23</w:t>
    </w:r>
    <w:r>
      <w:rPr>
        <w:lang w:val="zh-CN"/>
      </w:rPr>
      <w:fldChar w:fldCharType="end"/>
    </w:r>
    <w:r>
      <w:rPr>
        <w:rFonts w:hint="eastAsia"/>
      </w:rPr>
      <w:t>页，共</w:t>
    </w:r>
    <w:r>
      <w:fldChar w:fldCharType="begin"/>
    </w:r>
    <w:r>
      <w:instrText xml:space="preserve"> NUMPAGES   \* MERGEFORMAT </w:instrText>
    </w:r>
    <w:r>
      <w:fldChar w:fldCharType="separate"/>
    </w:r>
    <w:r>
      <w:t>64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67435" cy="17272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067435" cy="172720"/>
                      </a:xfrm>
                      <a:prstGeom prst="rect">
                        <a:avLst/>
                      </a:prstGeom>
                      <a:noFill/>
                      <a:ln>
                        <a:noFill/>
                      </a:ln>
                      <a:effectLst/>
                    </wps:spPr>
                    <wps:txbx>
                      <w:txbxContent>
                        <w:p>
                          <w:pPr>
                            <w:rPr>
                              <w:sz w:val="18"/>
                              <w:szCs w:val="18"/>
                            </w:rPr>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25</w:t>
                          </w:r>
                          <w:r>
                            <w:rPr>
                              <w:sz w:val="18"/>
                              <w:szCs w:val="18"/>
                            </w:rPr>
                            <w:fldChar w:fldCharType="end"/>
                          </w:r>
                          <w:r>
                            <w:rPr>
                              <w:sz w:val="18"/>
                              <w:szCs w:val="18"/>
                            </w:rPr>
                            <w:t xml:space="preserve"> 页</w:t>
                          </w:r>
                        </w:p>
                      </w:txbxContent>
                    </wps:txbx>
                    <wps:bodyPr wrap="none" lIns="0" tIns="0" rIns="0" bIns="0">
                      <a:spAutoFit/>
                    </wps:bodyPr>
                  </wps:wsp>
                </a:graphicData>
              </a:graphic>
            </wp:anchor>
          </w:drawing>
        </mc:Choice>
        <mc:Fallback>
          <w:pict>
            <v:shape id="文本框 2049" o:spid="_x0000_s1026" o:spt="202" type="#_x0000_t202" style="position:absolute;left:0pt;margin-top:0pt;height:13.6pt;width:84.05pt;mso-position-horizontal:center;mso-position-horizontal-relative:margin;mso-wrap-style:none;z-index:251659264;mso-width-relative:page;mso-height-relative:page;" filled="f" stroked="f" coordsize="21600,21600" o:gfxdata="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y0uPRAAAABAEAAA8AAAAAAAAAAQAgAAAAIgAAAGRycy9k&#10;b3ducmV2LnhtbFBLAQIUABQAAAAIAIdO4kDMbIgw0AEAAJ0DAAAOAAAAAAAAAAEAIAAAACABAABk&#10;cnMvZTJvRG9jLnhtbFBLBQYAAAAABgAGAFkBAABiBQAAAAA=&#10;">
              <v:fill on="f" focussize="0,0"/>
              <v:stroke on="f"/>
              <v:imagedata o:title=""/>
              <o:lock v:ext="edit" aspectratio="f"/>
              <v:textbox inset="0mm,0mm,0mm,0mm" style="mso-fit-shape-to-text:t;">
                <w:txbxContent>
                  <w:p>
                    <w:pPr>
                      <w:rPr>
                        <w:sz w:val="18"/>
                        <w:szCs w:val="18"/>
                      </w:rPr>
                    </w:pPr>
                    <w:r>
                      <w:rPr>
                        <w:sz w:val="18"/>
                        <w:szCs w:val="18"/>
                      </w:rPr>
                      <w:t xml:space="preserve">第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页 共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25</w:t>
                    </w:r>
                    <w:r>
                      <w:rPr>
                        <w:sz w:val="18"/>
                        <w:szCs w:val="18"/>
                      </w:rPr>
                      <w:fldChar w:fldCharType="end"/>
                    </w:r>
                    <w:r>
                      <w:rPr>
                        <w:sz w:val="18"/>
                        <w:szCs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9ED21"/>
    <w:multiLevelType w:val="singleLevel"/>
    <w:tmpl w:val="8319ED21"/>
    <w:lvl w:ilvl="0" w:tentative="0">
      <w:start w:val="1"/>
      <w:numFmt w:val="chineseCounting"/>
      <w:suff w:val="nothing"/>
      <w:lvlText w:val="%1、"/>
      <w:lvlJc w:val="left"/>
      <w:rPr>
        <w:rFonts w:hint="eastAsia"/>
      </w:rPr>
    </w:lvl>
  </w:abstractNum>
  <w:abstractNum w:abstractNumId="1">
    <w:nsid w:val="84184D70"/>
    <w:multiLevelType w:val="singleLevel"/>
    <w:tmpl w:val="84184D70"/>
    <w:lvl w:ilvl="0" w:tentative="0">
      <w:start w:val="1"/>
      <w:numFmt w:val="decimal"/>
      <w:lvlText w:val="(%1)"/>
      <w:lvlJc w:val="left"/>
      <w:pPr>
        <w:ind w:left="425" w:hanging="425"/>
      </w:pPr>
      <w:rPr>
        <w:rFonts w:hint="default"/>
      </w:rPr>
    </w:lvl>
  </w:abstractNum>
  <w:abstractNum w:abstractNumId="2">
    <w:nsid w:val="8A4BE809"/>
    <w:multiLevelType w:val="singleLevel"/>
    <w:tmpl w:val="8A4BE809"/>
    <w:lvl w:ilvl="0" w:tentative="0">
      <w:start w:val="1"/>
      <w:numFmt w:val="decimal"/>
      <w:lvlText w:val="(%1)"/>
      <w:lvlJc w:val="left"/>
      <w:pPr>
        <w:ind w:left="425" w:hanging="425"/>
      </w:pPr>
      <w:rPr>
        <w:rFonts w:hint="default"/>
      </w:rPr>
    </w:lvl>
  </w:abstractNum>
  <w:abstractNum w:abstractNumId="3">
    <w:nsid w:val="DCEE1479"/>
    <w:multiLevelType w:val="singleLevel"/>
    <w:tmpl w:val="DCEE1479"/>
    <w:lvl w:ilvl="0" w:tentative="0">
      <w:start w:val="2"/>
      <w:numFmt w:val="decimal"/>
      <w:suff w:val="nothing"/>
      <w:lvlText w:val="（%1）"/>
      <w:lvlJc w:val="left"/>
    </w:lvl>
  </w:abstractNum>
  <w:abstractNum w:abstractNumId="4">
    <w:nsid w:val="2A03E092"/>
    <w:multiLevelType w:val="singleLevel"/>
    <w:tmpl w:val="2A03E092"/>
    <w:lvl w:ilvl="0" w:tentative="0">
      <w:start w:val="4"/>
      <w:numFmt w:val="chineseCounting"/>
      <w:suff w:val="space"/>
      <w:lvlText w:val="第%1部分"/>
      <w:lvlJc w:val="left"/>
      <w:rPr>
        <w:rFonts w:hint="eastAsia"/>
      </w:rPr>
    </w:lvl>
  </w:abstractNum>
  <w:abstractNum w:abstractNumId="5">
    <w:nsid w:val="501FE93E"/>
    <w:multiLevelType w:val="singleLevel"/>
    <w:tmpl w:val="501FE93E"/>
    <w:lvl w:ilvl="0" w:tentative="0">
      <w:start w:val="5"/>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5CE5A7A"/>
    <w:multiLevelType w:val="singleLevel"/>
    <w:tmpl w:val="55CE5A7A"/>
    <w:lvl w:ilvl="0" w:tentative="0">
      <w:start w:val="1"/>
      <w:numFmt w:val="decimal"/>
      <w:suff w:val="nothing"/>
      <w:lvlText w:val="（%1）"/>
      <w:lvlJc w:val="left"/>
    </w:lvl>
  </w:abstractNum>
  <w:abstractNum w:abstractNumId="9">
    <w:nsid w:val="5D7B9E01"/>
    <w:multiLevelType w:val="singleLevel"/>
    <w:tmpl w:val="5D7B9E01"/>
    <w:lvl w:ilvl="0" w:tentative="0">
      <w:start w:val="22"/>
      <w:numFmt w:val="decimal"/>
      <w:suff w:val="space"/>
      <w:lvlText w:val="%1."/>
      <w:lvlJc w:val="left"/>
    </w:lvl>
  </w:abstractNum>
  <w:num w:numId="1">
    <w:abstractNumId w:val="0"/>
  </w:num>
  <w:num w:numId="2">
    <w:abstractNumId w:val="5"/>
  </w:num>
  <w:num w:numId="3">
    <w:abstractNumId w:val="3"/>
  </w:num>
  <w:num w:numId="4">
    <w:abstractNumId w:val="8"/>
  </w:num>
  <w:num w:numId="5">
    <w:abstractNumId w:val="9"/>
  </w:num>
  <w:num w:numId="6">
    <w:abstractNumId w:val="1"/>
  </w:num>
  <w:num w:numId="7">
    <w:abstractNumId w:val="2"/>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YTc2MWZhYThkZjUwYWZkNWY3YTAxZWY1ODMzN2MifQ=="/>
  </w:docVars>
  <w:rsids>
    <w:rsidRoot w:val="00172A27"/>
    <w:rsid w:val="00004734"/>
    <w:rsid w:val="000364EC"/>
    <w:rsid w:val="00067867"/>
    <w:rsid w:val="00071320"/>
    <w:rsid w:val="000759B9"/>
    <w:rsid w:val="00084815"/>
    <w:rsid w:val="000927C6"/>
    <w:rsid w:val="00095F84"/>
    <w:rsid w:val="000A74BA"/>
    <w:rsid w:val="000B6743"/>
    <w:rsid w:val="000C0B70"/>
    <w:rsid w:val="000D1925"/>
    <w:rsid w:val="000D35FE"/>
    <w:rsid w:val="000E6F99"/>
    <w:rsid w:val="000F28BF"/>
    <w:rsid w:val="000F33B6"/>
    <w:rsid w:val="001045D4"/>
    <w:rsid w:val="00107F3A"/>
    <w:rsid w:val="00110646"/>
    <w:rsid w:val="001171F7"/>
    <w:rsid w:val="00123E1F"/>
    <w:rsid w:val="001348B2"/>
    <w:rsid w:val="00134B0F"/>
    <w:rsid w:val="00145142"/>
    <w:rsid w:val="00164FC5"/>
    <w:rsid w:val="00170734"/>
    <w:rsid w:val="00172A27"/>
    <w:rsid w:val="00187541"/>
    <w:rsid w:val="00196909"/>
    <w:rsid w:val="001A1572"/>
    <w:rsid w:val="001A5570"/>
    <w:rsid w:val="001B4307"/>
    <w:rsid w:val="001B477B"/>
    <w:rsid w:val="001B75AA"/>
    <w:rsid w:val="001B7742"/>
    <w:rsid w:val="001C63BB"/>
    <w:rsid w:val="002143FD"/>
    <w:rsid w:val="002204E1"/>
    <w:rsid w:val="00256E33"/>
    <w:rsid w:val="00281692"/>
    <w:rsid w:val="002822B9"/>
    <w:rsid w:val="0028722B"/>
    <w:rsid w:val="002921AA"/>
    <w:rsid w:val="00296A2E"/>
    <w:rsid w:val="002A2E79"/>
    <w:rsid w:val="002A3D37"/>
    <w:rsid w:val="002A51CE"/>
    <w:rsid w:val="002B1AFD"/>
    <w:rsid w:val="002B60A5"/>
    <w:rsid w:val="002C6300"/>
    <w:rsid w:val="002D69B4"/>
    <w:rsid w:val="002F3BF8"/>
    <w:rsid w:val="00300D1A"/>
    <w:rsid w:val="00303033"/>
    <w:rsid w:val="00322999"/>
    <w:rsid w:val="00327CB3"/>
    <w:rsid w:val="00331F26"/>
    <w:rsid w:val="003464F3"/>
    <w:rsid w:val="00350FBC"/>
    <w:rsid w:val="003673D8"/>
    <w:rsid w:val="00377487"/>
    <w:rsid w:val="0038226B"/>
    <w:rsid w:val="0038576C"/>
    <w:rsid w:val="00392364"/>
    <w:rsid w:val="003A264E"/>
    <w:rsid w:val="003A4A73"/>
    <w:rsid w:val="003B2948"/>
    <w:rsid w:val="003C4D93"/>
    <w:rsid w:val="003D003B"/>
    <w:rsid w:val="003D7935"/>
    <w:rsid w:val="003E0569"/>
    <w:rsid w:val="003E687D"/>
    <w:rsid w:val="003F47AF"/>
    <w:rsid w:val="003F5325"/>
    <w:rsid w:val="003F64D8"/>
    <w:rsid w:val="003F7F48"/>
    <w:rsid w:val="00414937"/>
    <w:rsid w:val="00416998"/>
    <w:rsid w:val="0042001A"/>
    <w:rsid w:val="00432A33"/>
    <w:rsid w:val="00432AA8"/>
    <w:rsid w:val="004362C1"/>
    <w:rsid w:val="0043696D"/>
    <w:rsid w:val="00444991"/>
    <w:rsid w:val="004455C2"/>
    <w:rsid w:val="0045277E"/>
    <w:rsid w:val="00460BA8"/>
    <w:rsid w:val="00463405"/>
    <w:rsid w:val="0047791F"/>
    <w:rsid w:val="00481497"/>
    <w:rsid w:val="004B5245"/>
    <w:rsid w:val="004C2D4F"/>
    <w:rsid w:val="004C662A"/>
    <w:rsid w:val="004C7111"/>
    <w:rsid w:val="004D6575"/>
    <w:rsid w:val="004E7D09"/>
    <w:rsid w:val="004F5188"/>
    <w:rsid w:val="004F603C"/>
    <w:rsid w:val="00510DEA"/>
    <w:rsid w:val="00516C33"/>
    <w:rsid w:val="005176A0"/>
    <w:rsid w:val="00524002"/>
    <w:rsid w:val="0053221C"/>
    <w:rsid w:val="0054004F"/>
    <w:rsid w:val="00540D90"/>
    <w:rsid w:val="005417E1"/>
    <w:rsid w:val="005447FC"/>
    <w:rsid w:val="00545347"/>
    <w:rsid w:val="00554AE1"/>
    <w:rsid w:val="00573CC1"/>
    <w:rsid w:val="00574C52"/>
    <w:rsid w:val="00586F8C"/>
    <w:rsid w:val="00591CA5"/>
    <w:rsid w:val="0059539D"/>
    <w:rsid w:val="00597389"/>
    <w:rsid w:val="005B6AD0"/>
    <w:rsid w:val="005C1FA7"/>
    <w:rsid w:val="005C2ABF"/>
    <w:rsid w:val="005C5DCC"/>
    <w:rsid w:val="005C7FFB"/>
    <w:rsid w:val="005D343B"/>
    <w:rsid w:val="005E541B"/>
    <w:rsid w:val="00600139"/>
    <w:rsid w:val="0061509D"/>
    <w:rsid w:val="00616658"/>
    <w:rsid w:val="00622D5C"/>
    <w:rsid w:val="00634201"/>
    <w:rsid w:val="00642195"/>
    <w:rsid w:val="0064283B"/>
    <w:rsid w:val="00653494"/>
    <w:rsid w:val="006553B8"/>
    <w:rsid w:val="00671CE5"/>
    <w:rsid w:val="00680C88"/>
    <w:rsid w:val="00681AE3"/>
    <w:rsid w:val="006874AE"/>
    <w:rsid w:val="006918A4"/>
    <w:rsid w:val="006A1D8E"/>
    <w:rsid w:val="006B6C9B"/>
    <w:rsid w:val="006C44FB"/>
    <w:rsid w:val="006D75AB"/>
    <w:rsid w:val="00712BEA"/>
    <w:rsid w:val="007141CD"/>
    <w:rsid w:val="00722EF7"/>
    <w:rsid w:val="00723624"/>
    <w:rsid w:val="00743376"/>
    <w:rsid w:val="0074477D"/>
    <w:rsid w:val="007476FB"/>
    <w:rsid w:val="00757AE7"/>
    <w:rsid w:val="00763B5F"/>
    <w:rsid w:val="00767F8E"/>
    <w:rsid w:val="00775E86"/>
    <w:rsid w:val="007816BD"/>
    <w:rsid w:val="00782ACA"/>
    <w:rsid w:val="00783D68"/>
    <w:rsid w:val="007865E0"/>
    <w:rsid w:val="00797211"/>
    <w:rsid w:val="007A005E"/>
    <w:rsid w:val="007B4FA5"/>
    <w:rsid w:val="007D1D69"/>
    <w:rsid w:val="007D608F"/>
    <w:rsid w:val="007D675C"/>
    <w:rsid w:val="007F1FC3"/>
    <w:rsid w:val="0080379E"/>
    <w:rsid w:val="00814A1A"/>
    <w:rsid w:val="008151C9"/>
    <w:rsid w:val="00820B04"/>
    <w:rsid w:val="00833358"/>
    <w:rsid w:val="008420E3"/>
    <w:rsid w:val="00844555"/>
    <w:rsid w:val="008467FD"/>
    <w:rsid w:val="00847409"/>
    <w:rsid w:val="00856C80"/>
    <w:rsid w:val="00862438"/>
    <w:rsid w:val="00865C12"/>
    <w:rsid w:val="0088482D"/>
    <w:rsid w:val="00885748"/>
    <w:rsid w:val="00892CEA"/>
    <w:rsid w:val="0089769B"/>
    <w:rsid w:val="008B14BC"/>
    <w:rsid w:val="008B385A"/>
    <w:rsid w:val="008B6F40"/>
    <w:rsid w:val="008C2B8C"/>
    <w:rsid w:val="008C5FAF"/>
    <w:rsid w:val="008F118E"/>
    <w:rsid w:val="008F388F"/>
    <w:rsid w:val="008F465A"/>
    <w:rsid w:val="008F6CB8"/>
    <w:rsid w:val="008F7251"/>
    <w:rsid w:val="00902498"/>
    <w:rsid w:val="00904EC6"/>
    <w:rsid w:val="00911982"/>
    <w:rsid w:val="009226C8"/>
    <w:rsid w:val="00926A8B"/>
    <w:rsid w:val="009436BA"/>
    <w:rsid w:val="0095086C"/>
    <w:rsid w:val="00956546"/>
    <w:rsid w:val="0096093D"/>
    <w:rsid w:val="00974B24"/>
    <w:rsid w:val="00976AFD"/>
    <w:rsid w:val="00980B3A"/>
    <w:rsid w:val="009850F5"/>
    <w:rsid w:val="009B156C"/>
    <w:rsid w:val="009B3DFA"/>
    <w:rsid w:val="009B5351"/>
    <w:rsid w:val="009C12A6"/>
    <w:rsid w:val="009C2D67"/>
    <w:rsid w:val="009E7C40"/>
    <w:rsid w:val="009F0610"/>
    <w:rsid w:val="009F0D98"/>
    <w:rsid w:val="009F2F99"/>
    <w:rsid w:val="009F577F"/>
    <w:rsid w:val="00A01BF4"/>
    <w:rsid w:val="00A06296"/>
    <w:rsid w:val="00A31E39"/>
    <w:rsid w:val="00A32E7A"/>
    <w:rsid w:val="00A351A2"/>
    <w:rsid w:val="00A3657D"/>
    <w:rsid w:val="00A479F2"/>
    <w:rsid w:val="00A537CE"/>
    <w:rsid w:val="00A53C5C"/>
    <w:rsid w:val="00A55BFC"/>
    <w:rsid w:val="00A63373"/>
    <w:rsid w:val="00A72E42"/>
    <w:rsid w:val="00A810F4"/>
    <w:rsid w:val="00A82CAA"/>
    <w:rsid w:val="00A874F4"/>
    <w:rsid w:val="00A8781E"/>
    <w:rsid w:val="00AA6D30"/>
    <w:rsid w:val="00AA7FEF"/>
    <w:rsid w:val="00AC4C44"/>
    <w:rsid w:val="00AE2FA8"/>
    <w:rsid w:val="00AE33B5"/>
    <w:rsid w:val="00AF1CB8"/>
    <w:rsid w:val="00AF27CE"/>
    <w:rsid w:val="00B03EE5"/>
    <w:rsid w:val="00B05CB6"/>
    <w:rsid w:val="00B12C8F"/>
    <w:rsid w:val="00B25C7F"/>
    <w:rsid w:val="00B316E1"/>
    <w:rsid w:val="00B32882"/>
    <w:rsid w:val="00B4527C"/>
    <w:rsid w:val="00B52D3D"/>
    <w:rsid w:val="00B70942"/>
    <w:rsid w:val="00B762EB"/>
    <w:rsid w:val="00B82EF0"/>
    <w:rsid w:val="00B863A2"/>
    <w:rsid w:val="00B8742A"/>
    <w:rsid w:val="00B93C1D"/>
    <w:rsid w:val="00B95967"/>
    <w:rsid w:val="00BA6D14"/>
    <w:rsid w:val="00BB12E2"/>
    <w:rsid w:val="00BB1372"/>
    <w:rsid w:val="00BB324E"/>
    <w:rsid w:val="00BD3D2F"/>
    <w:rsid w:val="00BD3DEF"/>
    <w:rsid w:val="00BD717A"/>
    <w:rsid w:val="00BE2713"/>
    <w:rsid w:val="00BE4DD3"/>
    <w:rsid w:val="00BE5996"/>
    <w:rsid w:val="00BF7878"/>
    <w:rsid w:val="00C06499"/>
    <w:rsid w:val="00C13C83"/>
    <w:rsid w:val="00C20AC9"/>
    <w:rsid w:val="00C274B9"/>
    <w:rsid w:val="00C476C9"/>
    <w:rsid w:val="00C74202"/>
    <w:rsid w:val="00C80D1B"/>
    <w:rsid w:val="00C82B2C"/>
    <w:rsid w:val="00C863AC"/>
    <w:rsid w:val="00C948C3"/>
    <w:rsid w:val="00C94E1D"/>
    <w:rsid w:val="00CB5DB4"/>
    <w:rsid w:val="00CB774F"/>
    <w:rsid w:val="00CC42D6"/>
    <w:rsid w:val="00CD5D21"/>
    <w:rsid w:val="00CE04BC"/>
    <w:rsid w:val="00CE4126"/>
    <w:rsid w:val="00CE593E"/>
    <w:rsid w:val="00CF7E2D"/>
    <w:rsid w:val="00D074D3"/>
    <w:rsid w:val="00D13ED1"/>
    <w:rsid w:val="00D15812"/>
    <w:rsid w:val="00D15F7C"/>
    <w:rsid w:val="00D16A2A"/>
    <w:rsid w:val="00D24C36"/>
    <w:rsid w:val="00D300ED"/>
    <w:rsid w:val="00D342F5"/>
    <w:rsid w:val="00D35DC1"/>
    <w:rsid w:val="00D47F3E"/>
    <w:rsid w:val="00D51DBC"/>
    <w:rsid w:val="00D70183"/>
    <w:rsid w:val="00D70942"/>
    <w:rsid w:val="00D76077"/>
    <w:rsid w:val="00D806E1"/>
    <w:rsid w:val="00D83775"/>
    <w:rsid w:val="00D86086"/>
    <w:rsid w:val="00DA0022"/>
    <w:rsid w:val="00DB4C9C"/>
    <w:rsid w:val="00DB7DC3"/>
    <w:rsid w:val="00DC1285"/>
    <w:rsid w:val="00DC7587"/>
    <w:rsid w:val="00DE4FF2"/>
    <w:rsid w:val="00DF168E"/>
    <w:rsid w:val="00DF5834"/>
    <w:rsid w:val="00DF60A4"/>
    <w:rsid w:val="00E0023C"/>
    <w:rsid w:val="00E11AB5"/>
    <w:rsid w:val="00E12C1C"/>
    <w:rsid w:val="00E35FF1"/>
    <w:rsid w:val="00E419E7"/>
    <w:rsid w:val="00E421EC"/>
    <w:rsid w:val="00E56430"/>
    <w:rsid w:val="00E737C0"/>
    <w:rsid w:val="00E75DD3"/>
    <w:rsid w:val="00E82881"/>
    <w:rsid w:val="00E96815"/>
    <w:rsid w:val="00EA4D48"/>
    <w:rsid w:val="00EB524A"/>
    <w:rsid w:val="00EC7686"/>
    <w:rsid w:val="00EC78CF"/>
    <w:rsid w:val="00EE53A2"/>
    <w:rsid w:val="00EE57A5"/>
    <w:rsid w:val="00EF3BF0"/>
    <w:rsid w:val="00F01EE3"/>
    <w:rsid w:val="00F02F4B"/>
    <w:rsid w:val="00F1056F"/>
    <w:rsid w:val="00F11D9F"/>
    <w:rsid w:val="00F14D1B"/>
    <w:rsid w:val="00F156DB"/>
    <w:rsid w:val="00F33CBB"/>
    <w:rsid w:val="00F34FD1"/>
    <w:rsid w:val="00F50507"/>
    <w:rsid w:val="00F50CEA"/>
    <w:rsid w:val="00F77B7D"/>
    <w:rsid w:val="00F9600D"/>
    <w:rsid w:val="00FB6553"/>
    <w:rsid w:val="00FD18FD"/>
    <w:rsid w:val="00FE00AD"/>
    <w:rsid w:val="00FE1D12"/>
    <w:rsid w:val="00FE25C4"/>
    <w:rsid w:val="00FF6E41"/>
    <w:rsid w:val="01423F24"/>
    <w:rsid w:val="0165714A"/>
    <w:rsid w:val="016F68C5"/>
    <w:rsid w:val="019853F7"/>
    <w:rsid w:val="01A56033"/>
    <w:rsid w:val="01D80D46"/>
    <w:rsid w:val="01FA6B5C"/>
    <w:rsid w:val="0209362A"/>
    <w:rsid w:val="020D4761"/>
    <w:rsid w:val="021A4886"/>
    <w:rsid w:val="021F26CF"/>
    <w:rsid w:val="021F2CA5"/>
    <w:rsid w:val="025F480D"/>
    <w:rsid w:val="026634DC"/>
    <w:rsid w:val="0299330B"/>
    <w:rsid w:val="02CB7F49"/>
    <w:rsid w:val="02E34262"/>
    <w:rsid w:val="030F3F72"/>
    <w:rsid w:val="03237D85"/>
    <w:rsid w:val="035A28EF"/>
    <w:rsid w:val="036C7CCE"/>
    <w:rsid w:val="036F0B74"/>
    <w:rsid w:val="03744955"/>
    <w:rsid w:val="037643CD"/>
    <w:rsid w:val="03837C82"/>
    <w:rsid w:val="03B85085"/>
    <w:rsid w:val="03C87E21"/>
    <w:rsid w:val="03CE407A"/>
    <w:rsid w:val="03F40A20"/>
    <w:rsid w:val="04106133"/>
    <w:rsid w:val="044C7C22"/>
    <w:rsid w:val="04BF39A8"/>
    <w:rsid w:val="04D10A4A"/>
    <w:rsid w:val="04F76DD4"/>
    <w:rsid w:val="0554560E"/>
    <w:rsid w:val="05D610DF"/>
    <w:rsid w:val="06164AF9"/>
    <w:rsid w:val="06294610"/>
    <w:rsid w:val="06711DA1"/>
    <w:rsid w:val="068B2F78"/>
    <w:rsid w:val="06B01A43"/>
    <w:rsid w:val="06B62CBE"/>
    <w:rsid w:val="06C10522"/>
    <w:rsid w:val="06C6516F"/>
    <w:rsid w:val="06E0127B"/>
    <w:rsid w:val="071214F2"/>
    <w:rsid w:val="072110B5"/>
    <w:rsid w:val="075044AC"/>
    <w:rsid w:val="07590995"/>
    <w:rsid w:val="076B31DA"/>
    <w:rsid w:val="078D1C71"/>
    <w:rsid w:val="07A200A1"/>
    <w:rsid w:val="07D048E7"/>
    <w:rsid w:val="07D524BF"/>
    <w:rsid w:val="07F87CFE"/>
    <w:rsid w:val="085D556B"/>
    <w:rsid w:val="08663850"/>
    <w:rsid w:val="087D3A94"/>
    <w:rsid w:val="088A4E2E"/>
    <w:rsid w:val="089F443E"/>
    <w:rsid w:val="08B74A64"/>
    <w:rsid w:val="08C727F0"/>
    <w:rsid w:val="08D76591"/>
    <w:rsid w:val="08DD60BF"/>
    <w:rsid w:val="08E17ACF"/>
    <w:rsid w:val="09016E32"/>
    <w:rsid w:val="09153CCC"/>
    <w:rsid w:val="092A1D77"/>
    <w:rsid w:val="09475EBF"/>
    <w:rsid w:val="09557CF2"/>
    <w:rsid w:val="09846155"/>
    <w:rsid w:val="09950EA6"/>
    <w:rsid w:val="09EB2F2C"/>
    <w:rsid w:val="0A1326A3"/>
    <w:rsid w:val="0A18367D"/>
    <w:rsid w:val="0A1E592A"/>
    <w:rsid w:val="0A2F2679"/>
    <w:rsid w:val="0A3616A9"/>
    <w:rsid w:val="0A36214C"/>
    <w:rsid w:val="0A735B07"/>
    <w:rsid w:val="0A91725E"/>
    <w:rsid w:val="0A9C12B8"/>
    <w:rsid w:val="0ACA06AE"/>
    <w:rsid w:val="0ACB20AB"/>
    <w:rsid w:val="0AD60521"/>
    <w:rsid w:val="0AF14EA1"/>
    <w:rsid w:val="0AF77559"/>
    <w:rsid w:val="0B074539"/>
    <w:rsid w:val="0B4C694E"/>
    <w:rsid w:val="0B681FBF"/>
    <w:rsid w:val="0B6F1031"/>
    <w:rsid w:val="0B7A2B21"/>
    <w:rsid w:val="0B8C6DF9"/>
    <w:rsid w:val="0B8D75A6"/>
    <w:rsid w:val="0BD100F8"/>
    <w:rsid w:val="0BDD1529"/>
    <w:rsid w:val="0BE61D1B"/>
    <w:rsid w:val="0BF749FD"/>
    <w:rsid w:val="0C2740A2"/>
    <w:rsid w:val="0C3B1467"/>
    <w:rsid w:val="0C5E4584"/>
    <w:rsid w:val="0C7B16AC"/>
    <w:rsid w:val="0C816F69"/>
    <w:rsid w:val="0CC85909"/>
    <w:rsid w:val="0CDA2D97"/>
    <w:rsid w:val="0CDE7756"/>
    <w:rsid w:val="0CF63E15"/>
    <w:rsid w:val="0D1F42A1"/>
    <w:rsid w:val="0D3D4D95"/>
    <w:rsid w:val="0D467F55"/>
    <w:rsid w:val="0D4B5AF9"/>
    <w:rsid w:val="0D4E6A52"/>
    <w:rsid w:val="0D775CAC"/>
    <w:rsid w:val="0D846F10"/>
    <w:rsid w:val="0D880188"/>
    <w:rsid w:val="0D9E22FC"/>
    <w:rsid w:val="0DAA59D8"/>
    <w:rsid w:val="0DE230F8"/>
    <w:rsid w:val="0DF86F00"/>
    <w:rsid w:val="0E134507"/>
    <w:rsid w:val="0E1D6178"/>
    <w:rsid w:val="0E2C0108"/>
    <w:rsid w:val="0E2D1202"/>
    <w:rsid w:val="0E4E1508"/>
    <w:rsid w:val="0EA12902"/>
    <w:rsid w:val="0EF04211"/>
    <w:rsid w:val="0F012321"/>
    <w:rsid w:val="0F3A5023"/>
    <w:rsid w:val="0F414B07"/>
    <w:rsid w:val="0F591568"/>
    <w:rsid w:val="0F5F7692"/>
    <w:rsid w:val="0F7303B0"/>
    <w:rsid w:val="0F925E63"/>
    <w:rsid w:val="0FAB02D0"/>
    <w:rsid w:val="0FB376F0"/>
    <w:rsid w:val="0FD94280"/>
    <w:rsid w:val="0FDE394D"/>
    <w:rsid w:val="0FE51973"/>
    <w:rsid w:val="0FEB18D7"/>
    <w:rsid w:val="0FEB1D6F"/>
    <w:rsid w:val="100174C5"/>
    <w:rsid w:val="10054FFB"/>
    <w:rsid w:val="10A975EF"/>
    <w:rsid w:val="10DC2023"/>
    <w:rsid w:val="110B3874"/>
    <w:rsid w:val="110D6797"/>
    <w:rsid w:val="11490B15"/>
    <w:rsid w:val="11625667"/>
    <w:rsid w:val="116B1F19"/>
    <w:rsid w:val="11737AC3"/>
    <w:rsid w:val="1191023F"/>
    <w:rsid w:val="1193615D"/>
    <w:rsid w:val="11AA0FB5"/>
    <w:rsid w:val="121121CD"/>
    <w:rsid w:val="12126943"/>
    <w:rsid w:val="12407B3F"/>
    <w:rsid w:val="12476487"/>
    <w:rsid w:val="12650510"/>
    <w:rsid w:val="1267001C"/>
    <w:rsid w:val="127F7A4D"/>
    <w:rsid w:val="12850556"/>
    <w:rsid w:val="12A85D6B"/>
    <w:rsid w:val="12F93435"/>
    <w:rsid w:val="130B0211"/>
    <w:rsid w:val="130B5189"/>
    <w:rsid w:val="131607E6"/>
    <w:rsid w:val="133B7FAB"/>
    <w:rsid w:val="136965BC"/>
    <w:rsid w:val="13737D2E"/>
    <w:rsid w:val="139B11DE"/>
    <w:rsid w:val="13EE271D"/>
    <w:rsid w:val="13FD017F"/>
    <w:rsid w:val="140674F8"/>
    <w:rsid w:val="143342B5"/>
    <w:rsid w:val="147D3956"/>
    <w:rsid w:val="14AE0463"/>
    <w:rsid w:val="14C62C53"/>
    <w:rsid w:val="15053916"/>
    <w:rsid w:val="151F6699"/>
    <w:rsid w:val="15633B16"/>
    <w:rsid w:val="161114EA"/>
    <w:rsid w:val="161765AA"/>
    <w:rsid w:val="164D2E35"/>
    <w:rsid w:val="1651030E"/>
    <w:rsid w:val="16562A9F"/>
    <w:rsid w:val="166A5AA2"/>
    <w:rsid w:val="1672148B"/>
    <w:rsid w:val="167E5776"/>
    <w:rsid w:val="16942329"/>
    <w:rsid w:val="16B24C13"/>
    <w:rsid w:val="16C26A69"/>
    <w:rsid w:val="16CE6AAB"/>
    <w:rsid w:val="16F86885"/>
    <w:rsid w:val="1726068E"/>
    <w:rsid w:val="174560B2"/>
    <w:rsid w:val="175F7A20"/>
    <w:rsid w:val="176166EE"/>
    <w:rsid w:val="17645543"/>
    <w:rsid w:val="176A259A"/>
    <w:rsid w:val="179077AA"/>
    <w:rsid w:val="179230B5"/>
    <w:rsid w:val="17A54136"/>
    <w:rsid w:val="17A96653"/>
    <w:rsid w:val="17AA3630"/>
    <w:rsid w:val="17B21D81"/>
    <w:rsid w:val="17DF7A18"/>
    <w:rsid w:val="17E164A9"/>
    <w:rsid w:val="17EA58D2"/>
    <w:rsid w:val="17ED2798"/>
    <w:rsid w:val="182D0F11"/>
    <w:rsid w:val="183E5F4E"/>
    <w:rsid w:val="18816E3D"/>
    <w:rsid w:val="188E3DFC"/>
    <w:rsid w:val="18C608E6"/>
    <w:rsid w:val="18D551B0"/>
    <w:rsid w:val="192009F5"/>
    <w:rsid w:val="19480EF8"/>
    <w:rsid w:val="1968374A"/>
    <w:rsid w:val="19734691"/>
    <w:rsid w:val="19834F6B"/>
    <w:rsid w:val="1985743E"/>
    <w:rsid w:val="198C0F3B"/>
    <w:rsid w:val="19915F2B"/>
    <w:rsid w:val="199D3F96"/>
    <w:rsid w:val="19B03B06"/>
    <w:rsid w:val="19D96F0B"/>
    <w:rsid w:val="1A232B86"/>
    <w:rsid w:val="1A714CF0"/>
    <w:rsid w:val="1A814CA1"/>
    <w:rsid w:val="1AAD7038"/>
    <w:rsid w:val="1ADD26D3"/>
    <w:rsid w:val="1AFE6CB6"/>
    <w:rsid w:val="1B4F4D9F"/>
    <w:rsid w:val="1B615B0E"/>
    <w:rsid w:val="1B685826"/>
    <w:rsid w:val="1B7E75C7"/>
    <w:rsid w:val="1B9F5E4F"/>
    <w:rsid w:val="1BAD330A"/>
    <w:rsid w:val="1BDC36F2"/>
    <w:rsid w:val="1C2414F4"/>
    <w:rsid w:val="1C2D5AE3"/>
    <w:rsid w:val="1C3071BD"/>
    <w:rsid w:val="1C67349F"/>
    <w:rsid w:val="1C7A0918"/>
    <w:rsid w:val="1C810093"/>
    <w:rsid w:val="1CA22BE9"/>
    <w:rsid w:val="1CA94568"/>
    <w:rsid w:val="1CA968CD"/>
    <w:rsid w:val="1CBA6C0D"/>
    <w:rsid w:val="1CC730D8"/>
    <w:rsid w:val="1CD6400C"/>
    <w:rsid w:val="1CF0262F"/>
    <w:rsid w:val="1CFA0FA2"/>
    <w:rsid w:val="1D240A6A"/>
    <w:rsid w:val="1D2B389C"/>
    <w:rsid w:val="1D385B0F"/>
    <w:rsid w:val="1D4320AC"/>
    <w:rsid w:val="1D5F39E6"/>
    <w:rsid w:val="1DBB6CC6"/>
    <w:rsid w:val="1DD956F5"/>
    <w:rsid w:val="1E560912"/>
    <w:rsid w:val="1E586CDC"/>
    <w:rsid w:val="1EC11D51"/>
    <w:rsid w:val="1ED33E41"/>
    <w:rsid w:val="1F05596F"/>
    <w:rsid w:val="1F210B6A"/>
    <w:rsid w:val="1F222BF7"/>
    <w:rsid w:val="1F2671B1"/>
    <w:rsid w:val="1F51312D"/>
    <w:rsid w:val="1F526D55"/>
    <w:rsid w:val="1F7076AD"/>
    <w:rsid w:val="1F885013"/>
    <w:rsid w:val="1FD75351"/>
    <w:rsid w:val="20050785"/>
    <w:rsid w:val="2012006D"/>
    <w:rsid w:val="204E38FE"/>
    <w:rsid w:val="206F2772"/>
    <w:rsid w:val="209B0B03"/>
    <w:rsid w:val="209E6880"/>
    <w:rsid w:val="20AB14B4"/>
    <w:rsid w:val="20B534FB"/>
    <w:rsid w:val="20CF22D2"/>
    <w:rsid w:val="20D26716"/>
    <w:rsid w:val="20E50CB0"/>
    <w:rsid w:val="21142177"/>
    <w:rsid w:val="212E40DA"/>
    <w:rsid w:val="213A5ECC"/>
    <w:rsid w:val="217B0AF2"/>
    <w:rsid w:val="217C494B"/>
    <w:rsid w:val="218B7F63"/>
    <w:rsid w:val="21C829EF"/>
    <w:rsid w:val="21D5153C"/>
    <w:rsid w:val="21F91072"/>
    <w:rsid w:val="22153FB8"/>
    <w:rsid w:val="22467D6B"/>
    <w:rsid w:val="22625D7D"/>
    <w:rsid w:val="227534CC"/>
    <w:rsid w:val="228E7CE1"/>
    <w:rsid w:val="22CD623B"/>
    <w:rsid w:val="23526096"/>
    <w:rsid w:val="238A6AD1"/>
    <w:rsid w:val="23962B7F"/>
    <w:rsid w:val="23A906E2"/>
    <w:rsid w:val="23CC652E"/>
    <w:rsid w:val="24052EC6"/>
    <w:rsid w:val="240C743C"/>
    <w:rsid w:val="242205DF"/>
    <w:rsid w:val="2424430F"/>
    <w:rsid w:val="24380146"/>
    <w:rsid w:val="243879CA"/>
    <w:rsid w:val="24407CF2"/>
    <w:rsid w:val="24456CEE"/>
    <w:rsid w:val="249653BF"/>
    <w:rsid w:val="24971C81"/>
    <w:rsid w:val="24DC3FB1"/>
    <w:rsid w:val="24EE6F91"/>
    <w:rsid w:val="24FE4F80"/>
    <w:rsid w:val="252E7808"/>
    <w:rsid w:val="25536A4A"/>
    <w:rsid w:val="2585725A"/>
    <w:rsid w:val="2595159B"/>
    <w:rsid w:val="25BD2084"/>
    <w:rsid w:val="25CE25A7"/>
    <w:rsid w:val="26037349"/>
    <w:rsid w:val="26180518"/>
    <w:rsid w:val="26323949"/>
    <w:rsid w:val="265B3884"/>
    <w:rsid w:val="26621519"/>
    <w:rsid w:val="26722E4A"/>
    <w:rsid w:val="268C3224"/>
    <w:rsid w:val="26B563D5"/>
    <w:rsid w:val="26DB1683"/>
    <w:rsid w:val="26E3420A"/>
    <w:rsid w:val="26F91541"/>
    <w:rsid w:val="26FE46B2"/>
    <w:rsid w:val="271D20B1"/>
    <w:rsid w:val="27344DAC"/>
    <w:rsid w:val="273A5675"/>
    <w:rsid w:val="274912C3"/>
    <w:rsid w:val="27685787"/>
    <w:rsid w:val="276B56D3"/>
    <w:rsid w:val="276E0B16"/>
    <w:rsid w:val="27733467"/>
    <w:rsid w:val="278E44AA"/>
    <w:rsid w:val="279A222A"/>
    <w:rsid w:val="27BF1CB1"/>
    <w:rsid w:val="27C941A8"/>
    <w:rsid w:val="27CF188E"/>
    <w:rsid w:val="27ED2CF2"/>
    <w:rsid w:val="280676DE"/>
    <w:rsid w:val="28241632"/>
    <w:rsid w:val="28341AE7"/>
    <w:rsid w:val="28672470"/>
    <w:rsid w:val="28BB337B"/>
    <w:rsid w:val="28BE589A"/>
    <w:rsid w:val="28D217D4"/>
    <w:rsid w:val="28E05903"/>
    <w:rsid w:val="29152D0A"/>
    <w:rsid w:val="2921517C"/>
    <w:rsid w:val="293D2112"/>
    <w:rsid w:val="29413716"/>
    <w:rsid w:val="295E434F"/>
    <w:rsid w:val="29601DA3"/>
    <w:rsid w:val="29754832"/>
    <w:rsid w:val="2987256D"/>
    <w:rsid w:val="29BB507A"/>
    <w:rsid w:val="29CE5939"/>
    <w:rsid w:val="29D645DC"/>
    <w:rsid w:val="2A1B0928"/>
    <w:rsid w:val="2A1F27A5"/>
    <w:rsid w:val="2A591F7E"/>
    <w:rsid w:val="2A7739C7"/>
    <w:rsid w:val="2A793CAF"/>
    <w:rsid w:val="2AA211B9"/>
    <w:rsid w:val="2AD2569A"/>
    <w:rsid w:val="2AD71E0A"/>
    <w:rsid w:val="2AEC6B2B"/>
    <w:rsid w:val="2AF73D16"/>
    <w:rsid w:val="2B510A87"/>
    <w:rsid w:val="2B576555"/>
    <w:rsid w:val="2B6F0678"/>
    <w:rsid w:val="2B9D427C"/>
    <w:rsid w:val="2B9D6077"/>
    <w:rsid w:val="2BA06146"/>
    <w:rsid w:val="2BCD4D24"/>
    <w:rsid w:val="2BF4207C"/>
    <w:rsid w:val="2C0B34FA"/>
    <w:rsid w:val="2C0F5E16"/>
    <w:rsid w:val="2C554CD9"/>
    <w:rsid w:val="2C66471F"/>
    <w:rsid w:val="2C6819C3"/>
    <w:rsid w:val="2C7D20DA"/>
    <w:rsid w:val="2C963707"/>
    <w:rsid w:val="2C9B31BC"/>
    <w:rsid w:val="2CAA35C4"/>
    <w:rsid w:val="2CB60934"/>
    <w:rsid w:val="2CDB616F"/>
    <w:rsid w:val="2CEC72A3"/>
    <w:rsid w:val="2CF81051"/>
    <w:rsid w:val="2D024941"/>
    <w:rsid w:val="2D1F3FC6"/>
    <w:rsid w:val="2D230631"/>
    <w:rsid w:val="2D2B2200"/>
    <w:rsid w:val="2D4157A6"/>
    <w:rsid w:val="2D465F06"/>
    <w:rsid w:val="2D48799E"/>
    <w:rsid w:val="2D505AFB"/>
    <w:rsid w:val="2D75015B"/>
    <w:rsid w:val="2DBF7A31"/>
    <w:rsid w:val="2DD67F48"/>
    <w:rsid w:val="2DD85145"/>
    <w:rsid w:val="2E100DC0"/>
    <w:rsid w:val="2E3524C8"/>
    <w:rsid w:val="2E3A672A"/>
    <w:rsid w:val="2E7F08CB"/>
    <w:rsid w:val="2E897842"/>
    <w:rsid w:val="2E8B2E8B"/>
    <w:rsid w:val="2EBD1298"/>
    <w:rsid w:val="2F162970"/>
    <w:rsid w:val="2F390BC0"/>
    <w:rsid w:val="2F457DAF"/>
    <w:rsid w:val="2F462C36"/>
    <w:rsid w:val="2F624E5B"/>
    <w:rsid w:val="2F851376"/>
    <w:rsid w:val="2FAD422F"/>
    <w:rsid w:val="2FDB73C6"/>
    <w:rsid w:val="2FF06AEE"/>
    <w:rsid w:val="2FFF629D"/>
    <w:rsid w:val="30086D8F"/>
    <w:rsid w:val="301804B5"/>
    <w:rsid w:val="3043681D"/>
    <w:rsid w:val="30463938"/>
    <w:rsid w:val="30901D07"/>
    <w:rsid w:val="30B00A80"/>
    <w:rsid w:val="30D26BBC"/>
    <w:rsid w:val="310E21D2"/>
    <w:rsid w:val="31232DD5"/>
    <w:rsid w:val="31B17371"/>
    <w:rsid w:val="31FE2313"/>
    <w:rsid w:val="32004E40"/>
    <w:rsid w:val="3263496B"/>
    <w:rsid w:val="326C1BC8"/>
    <w:rsid w:val="326F2A9A"/>
    <w:rsid w:val="327F1B3F"/>
    <w:rsid w:val="32831738"/>
    <w:rsid w:val="329C1328"/>
    <w:rsid w:val="329F03F7"/>
    <w:rsid w:val="32BF1280"/>
    <w:rsid w:val="32BF4DBA"/>
    <w:rsid w:val="32D84EB5"/>
    <w:rsid w:val="32E123A2"/>
    <w:rsid w:val="3323456B"/>
    <w:rsid w:val="332F0109"/>
    <w:rsid w:val="333A5757"/>
    <w:rsid w:val="334555F9"/>
    <w:rsid w:val="33492A61"/>
    <w:rsid w:val="33866157"/>
    <w:rsid w:val="338E62A6"/>
    <w:rsid w:val="33A40695"/>
    <w:rsid w:val="33AF10BE"/>
    <w:rsid w:val="33B55247"/>
    <w:rsid w:val="33D36D20"/>
    <w:rsid w:val="33D4621B"/>
    <w:rsid w:val="33DA1E6F"/>
    <w:rsid w:val="33F111AB"/>
    <w:rsid w:val="340F7747"/>
    <w:rsid w:val="345C0B7C"/>
    <w:rsid w:val="34611671"/>
    <w:rsid w:val="347E6B85"/>
    <w:rsid w:val="349D62DF"/>
    <w:rsid w:val="34A37623"/>
    <w:rsid w:val="34B61C84"/>
    <w:rsid w:val="34BE6897"/>
    <w:rsid w:val="34C870CF"/>
    <w:rsid w:val="34F0372F"/>
    <w:rsid w:val="353B1039"/>
    <w:rsid w:val="354E1DDD"/>
    <w:rsid w:val="35643762"/>
    <w:rsid w:val="35A0162C"/>
    <w:rsid w:val="35AE3F9B"/>
    <w:rsid w:val="35B9597A"/>
    <w:rsid w:val="35E7490B"/>
    <w:rsid w:val="35EC25CA"/>
    <w:rsid w:val="35F764FF"/>
    <w:rsid w:val="35FD38BD"/>
    <w:rsid w:val="36071256"/>
    <w:rsid w:val="364D3C97"/>
    <w:rsid w:val="36755949"/>
    <w:rsid w:val="36880D03"/>
    <w:rsid w:val="36C26001"/>
    <w:rsid w:val="36F30B34"/>
    <w:rsid w:val="37246703"/>
    <w:rsid w:val="372937B8"/>
    <w:rsid w:val="372A4537"/>
    <w:rsid w:val="374B753B"/>
    <w:rsid w:val="37735EDE"/>
    <w:rsid w:val="37753A3E"/>
    <w:rsid w:val="37865535"/>
    <w:rsid w:val="379B72C3"/>
    <w:rsid w:val="37A600D9"/>
    <w:rsid w:val="37CE6FD5"/>
    <w:rsid w:val="37D36066"/>
    <w:rsid w:val="37DD0E0A"/>
    <w:rsid w:val="37F105C5"/>
    <w:rsid w:val="37FD794D"/>
    <w:rsid w:val="380312A8"/>
    <w:rsid w:val="38123D2F"/>
    <w:rsid w:val="381979D3"/>
    <w:rsid w:val="383265D5"/>
    <w:rsid w:val="38A02D03"/>
    <w:rsid w:val="38A32C49"/>
    <w:rsid w:val="38C3109C"/>
    <w:rsid w:val="38C93E61"/>
    <w:rsid w:val="38F94F64"/>
    <w:rsid w:val="393771B2"/>
    <w:rsid w:val="39521898"/>
    <w:rsid w:val="396875FD"/>
    <w:rsid w:val="3986644A"/>
    <w:rsid w:val="399E09C8"/>
    <w:rsid w:val="39A2602A"/>
    <w:rsid w:val="39AD3F79"/>
    <w:rsid w:val="39B44E00"/>
    <w:rsid w:val="39B46C15"/>
    <w:rsid w:val="39D476C7"/>
    <w:rsid w:val="39D53A19"/>
    <w:rsid w:val="39E60110"/>
    <w:rsid w:val="3A2623C2"/>
    <w:rsid w:val="3A437DEA"/>
    <w:rsid w:val="3A463062"/>
    <w:rsid w:val="3A4C526C"/>
    <w:rsid w:val="3A536EA3"/>
    <w:rsid w:val="3A5E432A"/>
    <w:rsid w:val="3A6775DB"/>
    <w:rsid w:val="3ABE2FEF"/>
    <w:rsid w:val="3AC03CA8"/>
    <w:rsid w:val="3AC32CD9"/>
    <w:rsid w:val="3AFC3255"/>
    <w:rsid w:val="3B0F799F"/>
    <w:rsid w:val="3B2D189F"/>
    <w:rsid w:val="3B7A783B"/>
    <w:rsid w:val="3B7B1CA2"/>
    <w:rsid w:val="3BA53B32"/>
    <w:rsid w:val="3BA96372"/>
    <w:rsid w:val="3BBE3157"/>
    <w:rsid w:val="3C065573"/>
    <w:rsid w:val="3C0D65A5"/>
    <w:rsid w:val="3C7929EB"/>
    <w:rsid w:val="3C930AD6"/>
    <w:rsid w:val="3C945731"/>
    <w:rsid w:val="3CBE57E4"/>
    <w:rsid w:val="3CC37F2F"/>
    <w:rsid w:val="3CCF105E"/>
    <w:rsid w:val="3D1C1ACB"/>
    <w:rsid w:val="3D450E66"/>
    <w:rsid w:val="3D6836B5"/>
    <w:rsid w:val="3D6A71F6"/>
    <w:rsid w:val="3DB16FED"/>
    <w:rsid w:val="3DB46E9A"/>
    <w:rsid w:val="3DD403BC"/>
    <w:rsid w:val="3DED0EF6"/>
    <w:rsid w:val="3E161ECB"/>
    <w:rsid w:val="3E1A7AB5"/>
    <w:rsid w:val="3E21784F"/>
    <w:rsid w:val="3E360670"/>
    <w:rsid w:val="3E44649A"/>
    <w:rsid w:val="3E5871FB"/>
    <w:rsid w:val="3E641AD9"/>
    <w:rsid w:val="3E9A57E2"/>
    <w:rsid w:val="3EA923F0"/>
    <w:rsid w:val="3EAB301F"/>
    <w:rsid w:val="3ECB02B0"/>
    <w:rsid w:val="3EFC3727"/>
    <w:rsid w:val="3F0C42E6"/>
    <w:rsid w:val="3F3C0C82"/>
    <w:rsid w:val="3F556DF4"/>
    <w:rsid w:val="3F56004B"/>
    <w:rsid w:val="3F687A8A"/>
    <w:rsid w:val="3F6954F3"/>
    <w:rsid w:val="3F697CA7"/>
    <w:rsid w:val="3F9570A5"/>
    <w:rsid w:val="3F9D7666"/>
    <w:rsid w:val="3FA1384F"/>
    <w:rsid w:val="3FC23567"/>
    <w:rsid w:val="401E3262"/>
    <w:rsid w:val="403A6402"/>
    <w:rsid w:val="404A1383"/>
    <w:rsid w:val="405A2FCF"/>
    <w:rsid w:val="406D492B"/>
    <w:rsid w:val="40945AE1"/>
    <w:rsid w:val="40F55357"/>
    <w:rsid w:val="41024A85"/>
    <w:rsid w:val="410302D3"/>
    <w:rsid w:val="411A16FA"/>
    <w:rsid w:val="41206D85"/>
    <w:rsid w:val="4126702E"/>
    <w:rsid w:val="413211FF"/>
    <w:rsid w:val="416F5A8F"/>
    <w:rsid w:val="420B2206"/>
    <w:rsid w:val="421F7A2F"/>
    <w:rsid w:val="42984A4B"/>
    <w:rsid w:val="42A13F75"/>
    <w:rsid w:val="42A42425"/>
    <w:rsid w:val="42A762D8"/>
    <w:rsid w:val="42B95262"/>
    <w:rsid w:val="43223F7B"/>
    <w:rsid w:val="433C165A"/>
    <w:rsid w:val="433D34E8"/>
    <w:rsid w:val="434E5060"/>
    <w:rsid w:val="438925E7"/>
    <w:rsid w:val="43923B90"/>
    <w:rsid w:val="43984C88"/>
    <w:rsid w:val="43A93A11"/>
    <w:rsid w:val="43AC6679"/>
    <w:rsid w:val="43DA0BC1"/>
    <w:rsid w:val="43DD2F66"/>
    <w:rsid w:val="44122CDB"/>
    <w:rsid w:val="44155990"/>
    <w:rsid w:val="44954DF9"/>
    <w:rsid w:val="44B90275"/>
    <w:rsid w:val="44C14826"/>
    <w:rsid w:val="44D42F35"/>
    <w:rsid w:val="44F52B95"/>
    <w:rsid w:val="45127A01"/>
    <w:rsid w:val="451C4040"/>
    <w:rsid w:val="45413EB1"/>
    <w:rsid w:val="45763E74"/>
    <w:rsid w:val="45896CF6"/>
    <w:rsid w:val="459B2399"/>
    <w:rsid w:val="45A234C5"/>
    <w:rsid w:val="45A36441"/>
    <w:rsid w:val="45EB4816"/>
    <w:rsid w:val="45F56C73"/>
    <w:rsid w:val="46431CB9"/>
    <w:rsid w:val="46875747"/>
    <w:rsid w:val="468C573F"/>
    <w:rsid w:val="469A4229"/>
    <w:rsid w:val="46A43EC2"/>
    <w:rsid w:val="46AD7A5C"/>
    <w:rsid w:val="46B32903"/>
    <w:rsid w:val="46DD1F2A"/>
    <w:rsid w:val="46F905A8"/>
    <w:rsid w:val="470D2023"/>
    <w:rsid w:val="47192335"/>
    <w:rsid w:val="47332171"/>
    <w:rsid w:val="473C453F"/>
    <w:rsid w:val="475A7BF2"/>
    <w:rsid w:val="47686111"/>
    <w:rsid w:val="476B05A1"/>
    <w:rsid w:val="478A1BBC"/>
    <w:rsid w:val="47B24801"/>
    <w:rsid w:val="47F62507"/>
    <w:rsid w:val="48050DD4"/>
    <w:rsid w:val="4805365E"/>
    <w:rsid w:val="48111808"/>
    <w:rsid w:val="48145615"/>
    <w:rsid w:val="48404786"/>
    <w:rsid w:val="484F3DFE"/>
    <w:rsid w:val="485F79BF"/>
    <w:rsid w:val="48625D9D"/>
    <w:rsid w:val="4875388B"/>
    <w:rsid w:val="48767635"/>
    <w:rsid w:val="487D25BC"/>
    <w:rsid w:val="487F6509"/>
    <w:rsid w:val="48837D83"/>
    <w:rsid w:val="48D369AC"/>
    <w:rsid w:val="48D4251C"/>
    <w:rsid w:val="494003BA"/>
    <w:rsid w:val="49C1296B"/>
    <w:rsid w:val="49ED38CE"/>
    <w:rsid w:val="49EE3793"/>
    <w:rsid w:val="4A017B23"/>
    <w:rsid w:val="4A0C1B1F"/>
    <w:rsid w:val="4A2E6A4A"/>
    <w:rsid w:val="4A3E133F"/>
    <w:rsid w:val="4A513812"/>
    <w:rsid w:val="4A7F5A75"/>
    <w:rsid w:val="4A83412E"/>
    <w:rsid w:val="4A95555B"/>
    <w:rsid w:val="4AAA778D"/>
    <w:rsid w:val="4AD20BDA"/>
    <w:rsid w:val="4ADC507E"/>
    <w:rsid w:val="4AEB7295"/>
    <w:rsid w:val="4B00342D"/>
    <w:rsid w:val="4B121A12"/>
    <w:rsid w:val="4B3A7CE1"/>
    <w:rsid w:val="4B837D85"/>
    <w:rsid w:val="4B977F95"/>
    <w:rsid w:val="4BA80CF1"/>
    <w:rsid w:val="4BC7393A"/>
    <w:rsid w:val="4BC90193"/>
    <w:rsid w:val="4BD56381"/>
    <w:rsid w:val="4BE32C32"/>
    <w:rsid w:val="4C027A88"/>
    <w:rsid w:val="4C177611"/>
    <w:rsid w:val="4C2A441A"/>
    <w:rsid w:val="4C491841"/>
    <w:rsid w:val="4C504C94"/>
    <w:rsid w:val="4C8D36E7"/>
    <w:rsid w:val="4C986833"/>
    <w:rsid w:val="4C9B4D41"/>
    <w:rsid w:val="4C9D15DC"/>
    <w:rsid w:val="4CB90DC7"/>
    <w:rsid w:val="4CC726EB"/>
    <w:rsid w:val="4CFF682F"/>
    <w:rsid w:val="4D0E74C0"/>
    <w:rsid w:val="4D1C5957"/>
    <w:rsid w:val="4D2174CF"/>
    <w:rsid w:val="4D4A49E0"/>
    <w:rsid w:val="4D951FB6"/>
    <w:rsid w:val="4D97316F"/>
    <w:rsid w:val="4DCB12EF"/>
    <w:rsid w:val="4DCC4493"/>
    <w:rsid w:val="4DD31BCA"/>
    <w:rsid w:val="4DEE735D"/>
    <w:rsid w:val="4E1F3F3D"/>
    <w:rsid w:val="4E215F34"/>
    <w:rsid w:val="4E2852C8"/>
    <w:rsid w:val="4E4E7624"/>
    <w:rsid w:val="4E603C24"/>
    <w:rsid w:val="4E6D1805"/>
    <w:rsid w:val="4E8244AF"/>
    <w:rsid w:val="4E9D21EE"/>
    <w:rsid w:val="4EA83CEB"/>
    <w:rsid w:val="4EF37391"/>
    <w:rsid w:val="4F0330E5"/>
    <w:rsid w:val="4F1C492D"/>
    <w:rsid w:val="4F3C18B2"/>
    <w:rsid w:val="4F573A4F"/>
    <w:rsid w:val="4F9A33CF"/>
    <w:rsid w:val="4FAE6BD2"/>
    <w:rsid w:val="4FBC3957"/>
    <w:rsid w:val="4FF57980"/>
    <w:rsid w:val="500E0296"/>
    <w:rsid w:val="5023542A"/>
    <w:rsid w:val="502B5623"/>
    <w:rsid w:val="5032662A"/>
    <w:rsid w:val="50566671"/>
    <w:rsid w:val="510140C9"/>
    <w:rsid w:val="510475E0"/>
    <w:rsid w:val="510574A1"/>
    <w:rsid w:val="510C0841"/>
    <w:rsid w:val="511B4B59"/>
    <w:rsid w:val="5128339F"/>
    <w:rsid w:val="514B6505"/>
    <w:rsid w:val="51532C25"/>
    <w:rsid w:val="516D38E3"/>
    <w:rsid w:val="51883D8E"/>
    <w:rsid w:val="51940C61"/>
    <w:rsid w:val="51AB5175"/>
    <w:rsid w:val="51E1640E"/>
    <w:rsid w:val="51F22754"/>
    <w:rsid w:val="51F824BB"/>
    <w:rsid w:val="520A5DFB"/>
    <w:rsid w:val="52687CDC"/>
    <w:rsid w:val="526F2713"/>
    <w:rsid w:val="5283057B"/>
    <w:rsid w:val="52A3597D"/>
    <w:rsid w:val="52BB7C58"/>
    <w:rsid w:val="52E071BC"/>
    <w:rsid w:val="530E2443"/>
    <w:rsid w:val="53187C7A"/>
    <w:rsid w:val="5323640D"/>
    <w:rsid w:val="53270B28"/>
    <w:rsid w:val="533649B7"/>
    <w:rsid w:val="533F1E53"/>
    <w:rsid w:val="53453779"/>
    <w:rsid w:val="536856CA"/>
    <w:rsid w:val="536A5F90"/>
    <w:rsid w:val="53813EA6"/>
    <w:rsid w:val="53904BB1"/>
    <w:rsid w:val="53AA438D"/>
    <w:rsid w:val="53EB2EA8"/>
    <w:rsid w:val="53FF492A"/>
    <w:rsid w:val="540F5178"/>
    <w:rsid w:val="54113B65"/>
    <w:rsid w:val="54390BFE"/>
    <w:rsid w:val="546D7F23"/>
    <w:rsid w:val="549A0232"/>
    <w:rsid w:val="54AA3A8C"/>
    <w:rsid w:val="54B95EC5"/>
    <w:rsid w:val="54CB0723"/>
    <w:rsid w:val="54DF05FB"/>
    <w:rsid w:val="55182F81"/>
    <w:rsid w:val="55320D2F"/>
    <w:rsid w:val="554B7D0A"/>
    <w:rsid w:val="55501E7E"/>
    <w:rsid w:val="55784B1B"/>
    <w:rsid w:val="55BA1D79"/>
    <w:rsid w:val="55CB4D49"/>
    <w:rsid w:val="55F76A1D"/>
    <w:rsid w:val="563706ED"/>
    <w:rsid w:val="56413EA5"/>
    <w:rsid w:val="56712969"/>
    <w:rsid w:val="56884E98"/>
    <w:rsid w:val="56924991"/>
    <w:rsid w:val="56C63740"/>
    <w:rsid w:val="56C91A68"/>
    <w:rsid w:val="56CD6408"/>
    <w:rsid w:val="56FB4CDC"/>
    <w:rsid w:val="56FC7D63"/>
    <w:rsid w:val="570A4F0F"/>
    <w:rsid w:val="575624C8"/>
    <w:rsid w:val="575E605E"/>
    <w:rsid w:val="576311BA"/>
    <w:rsid w:val="576740A7"/>
    <w:rsid w:val="57D7775E"/>
    <w:rsid w:val="57EE40DE"/>
    <w:rsid w:val="57F917D3"/>
    <w:rsid w:val="58196CEC"/>
    <w:rsid w:val="582F73D2"/>
    <w:rsid w:val="5840238B"/>
    <w:rsid w:val="586D2AC3"/>
    <w:rsid w:val="58765C5B"/>
    <w:rsid w:val="589E0E93"/>
    <w:rsid w:val="58A730D8"/>
    <w:rsid w:val="58B4661C"/>
    <w:rsid w:val="590B5B1F"/>
    <w:rsid w:val="591666E5"/>
    <w:rsid w:val="59176660"/>
    <w:rsid w:val="59926240"/>
    <w:rsid w:val="59930866"/>
    <w:rsid w:val="59A25B0F"/>
    <w:rsid w:val="59A8546F"/>
    <w:rsid w:val="59B40AA8"/>
    <w:rsid w:val="59B55BC8"/>
    <w:rsid w:val="59FB201F"/>
    <w:rsid w:val="5A21067D"/>
    <w:rsid w:val="5A402DA1"/>
    <w:rsid w:val="5A6F1F91"/>
    <w:rsid w:val="5A8347E3"/>
    <w:rsid w:val="5ABD472B"/>
    <w:rsid w:val="5AE35843"/>
    <w:rsid w:val="5AEF4361"/>
    <w:rsid w:val="5AF52110"/>
    <w:rsid w:val="5B1204F1"/>
    <w:rsid w:val="5B194CD3"/>
    <w:rsid w:val="5B2030B3"/>
    <w:rsid w:val="5B834AED"/>
    <w:rsid w:val="5BDB3ECE"/>
    <w:rsid w:val="5BE675EC"/>
    <w:rsid w:val="5C1817C0"/>
    <w:rsid w:val="5C3B4476"/>
    <w:rsid w:val="5C5114DC"/>
    <w:rsid w:val="5C7B4C4B"/>
    <w:rsid w:val="5CA2774F"/>
    <w:rsid w:val="5CAC5787"/>
    <w:rsid w:val="5CB32AB9"/>
    <w:rsid w:val="5CFD6460"/>
    <w:rsid w:val="5D18743D"/>
    <w:rsid w:val="5D2033B6"/>
    <w:rsid w:val="5D331D0C"/>
    <w:rsid w:val="5D5A52EE"/>
    <w:rsid w:val="5DAB2616"/>
    <w:rsid w:val="5DDD4FFC"/>
    <w:rsid w:val="5DF529AC"/>
    <w:rsid w:val="5E0D5D5F"/>
    <w:rsid w:val="5E7B45C1"/>
    <w:rsid w:val="5E8354A3"/>
    <w:rsid w:val="5E952B8C"/>
    <w:rsid w:val="5EAD0960"/>
    <w:rsid w:val="5EBD1ABC"/>
    <w:rsid w:val="5EE65895"/>
    <w:rsid w:val="5EF63E6D"/>
    <w:rsid w:val="5EF84D97"/>
    <w:rsid w:val="5F1A3A18"/>
    <w:rsid w:val="5F322664"/>
    <w:rsid w:val="5F3D4855"/>
    <w:rsid w:val="5F6244B3"/>
    <w:rsid w:val="5F8403D9"/>
    <w:rsid w:val="5F9C623F"/>
    <w:rsid w:val="5FA748FE"/>
    <w:rsid w:val="5FEF76B3"/>
    <w:rsid w:val="60246F68"/>
    <w:rsid w:val="60314542"/>
    <w:rsid w:val="604374AD"/>
    <w:rsid w:val="605D29DA"/>
    <w:rsid w:val="606F64C1"/>
    <w:rsid w:val="60B31A82"/>
    <w:rsid w:val="60B45B7B"/>
    <w:rsid w:val="60DD5FF3"/>
    <w:rsid w:val="60E63C33"/>
    <w:rsid w:val="61113C82"/>
    <w:rsid w:val="612C0C42"/>
    <w:rsid w:val="613E6B33"/>
    <w:rsid w:val="61507D97"/>
    <w:rsid w:val="615C7039"/>
    <w:rsid w:val="615D0A39"/>
    <w:rsid w:val="619012B7"/>
    <w:rsid w:val="61915576"/>
    <w:rsid w:val="61942389"/>
    <w:rsid w:val="61B52159"/>
    <w:rsid w:val="61C96995"/>
    <w:rsid w:val="61D07906"/>
    <w:rsid w:val="61FF3DA0"/>
    <w:rsid w:val="6205072F"/>
    <w:rsid w:val="622000EE"/>
    <w:rsid w:val="62443D64"/>
    <w:rsid w:val="624E55A7"/>
    <w:rsid w:val="62CF71F9"/>
    <w:rsid w:val="62E05B1A"/>
    <w:rsid w:val="62F87114"/>
    <w:rsid w:val="62FE2E0A"/>
    <w:rsid w:val="62FF7D00"/>
    <w:rsid w:val="630A2C35"/>
    <w:rsid w:val="630A4761"/>
    <w:rsid w:val="63416F57"/>
    <w:rsid w:val="637745AC"/>
    <w:rsid w:val="63782BD8"/>
    <w:rsid w:val="63A40D7B"/>
    <w:rsid w:val="63B04FD9"/>
    <w:rsid w:val="64067FA2"/>
    <w:rsid w:val="6418197E"/>
    <w:rsid w:val="641C0268"/>
    <w:rsid w:val="642E137A"/>
    <w:rsid w:val="643B49CF"/>
    <w:rsid w:val="646769AA"/>
    <w:rsid w:val="647B02FD"/>
    <w:rsid w:val="64EF3851"/>
    <w:rsid w:val="64F7065E"/>
    <w:rsid w:val="64F71F4E"/>
    <w:rsid w:val="65192323"/>
    <w:rsid w:val="651A0203"/>
    <w:rsid w:val="654F6076"/>
    <w:rsid w:val="658874BF"/>
    <w:rsid w:val="659D459B"/>
    <w:rsid w:val="65C14135"/>
    <w:rsid w:val="65D9769B"/>
    <w:rsid w:val="65DE2E35"/>
    <w:rsid w:val="664D5842"/>
    <w:rsid w:val="66694806"/>
    <w:rsid w:val="668E558C"/>
    <w:rsid w:val="668F38C9"/>
    <w:rsid w:val="66A15F8C"/>
    <w:rsid w:val="66D40957"/>
    <w:rsid w:val="66E736EF"/>
    <w:rsid w:val="66E91464"/>
    <w:rsid w:val="66EA59CC"/>
    <w:rsid w:val="66FD62DF"/>
    <w:rsid w:val="66FF3893"/>
    <w:rsid w:val="670A6EF9"/>
    <w:rsid w:val="670B79C8"/>
    <w:rsid w:val="674D643B"/>
    <w:rsid w:val="67765C6D"/>
    <w:rsid w:val="677E1BB2"/>
    <w:rsid w:val="679940EF"/>
    <w:rsid w:val="67BE6269"/>
    <w:rsid w:val="67E26D07"/>
    <w:rsid w:val="680416B1"/>
    <w:rsid w:val="681D5FEE"/>
    <w:rsid w:val="686D47D1"/>
    <w:rsid w:val="687234C5"/>
    <w:rsid w:val="6892330A"/>
    <w:rsid w:val="689E221B"/>
    <w:rsid w:val="68A609B4"/>
    <w:rsid w:val="68AF11C7"/>
    <w:rsid w:val="68E6306A"/>
    <w:rsid w:val="68E70185"/>
    <w:rsid w:val="68EE258F"/>
    <w:rsid w:val="68F360D7"/>
    <w:rsid w:val="68F91369"/>
    <w:rsid w:val="691E7C52"/>
    <w:rsid w:val="694A3F6A"/>
    <w:rsid w:val="69595686"/>
    <w:rsid w:val="696B2113"/>
    <w:rsid w:val="698E432E"/>
    <w:rsid w:val="698F7F71"/>
    <w:rsid w:val="69982030"/>
    <w:rsid w:val="69992087"/>
    <w:rsid w:val="69AE0348"/>
    <w:rsid w:val="6A6178C5"/>
    <w:rsid w:val="6A794558"/>
    <w:rsid w:val="6A7E1356"/>
    <w:rsid w:val="6A826A16"/>
    <w:rsid w:val="6A8553A6"/>
    <w:rsid w:val="6A9D79A6"/>
    <w:rsid w:val="6ABD487E"/>
    <w:rsid w:val="6AC46303"/>
    <w:rsid w:val="6AC95AE7"/>
    <w:rsid w:val="6AD272FC"/>
    <w:rsid w:val="6ADB088E"/>
    <w:rsid w:val="6ADC53BD"/>
    <w:rsid w:val="6ADC5A6A"/>
    <w:rsid w:val="6AF905A1"/>
    <w:rsid w:val="6B010A92"/>
    <w:rsid w:val="6B1465D4"/>
    <w:rsid w:val="6B3A0B47"/>
    <w:rsid w:val="6B6D15B6"/>
    <w:rsid w:val="6B6E6FC2"/>
    <w:rsid w:val="6BC622F7"/>
    <w:rsid w:val="6C4B55FE"/>
    <w:rsid w:val="6C536C92"/>
    <w:rsid w:val="6C943D56"/>
    <w:rsid w:val="6D0B69C9"/>
    <w:rsid w:val="6D33191C"/>
    <w:rsid w:val="6D5362F6"/>
    <w:rsid w:val="6DBD5B53"/>
    <w:rsid w:val="6DED4E30"/>
    <w:rsid w:val="6E150720"/>
    <w:rsid w:val="6E574078"/>
    <w:rsid w:val="6E7D5CCE"/>
    <w:rsid w:val="6E822886"/>
    <w:rsid w:val="6ED96009"/>
    <w:rsid w:val="6EE739A2"/>
    <w:rsid w:val="6EEE6670"/>
    <w:rsid w:val="6F126316"/>
    <w:rsid w:val="6F1674AC"/>
    <w:rsid w:val="6F1B1208"/>
    <w:rsid w:val="6F2C5D3A"/>
    <w:rsid w:val="6F2D5266"/>
    <w:rsid w:val="6F6D20B0"/>
    <w:rsid w:val="6F7B1890"/>
    <w:rsid w:val="6F7B388D"/>
    <w:rsid w:val="6FAA4F01"/>
    <w:rsid w:val="6FAA6F01"/>
    <w:rsid w:val="6FB95B0B"/>
    <w:rsid w:val="6FBB4DFF"/>
    <w:rsid w:val="6FC53B42"/>
    <w:rsid w:val="6FE109BE"/>
    <w:rsid w:val="6FE473BF"/>
    <w:rsid w:val="70005458"/>
    <w:rsid w:val="702E0619"/>
    <w:rsid w:val="703557D0"/>
    <w:rsid w:val="706C6A24"/>
    <w:rsid w:val="70C47306"/>
    <w:rsid w:val="70F6048D"/>
    <w:rsid w:val="70F63FC9"/>
    <w:rsid w:val="7132597E"/>
    <w:rsid w:val="71352066"/>
    <w:rsid w:val="7145521E"/>
    <w:rsid w:val="71665B90"/>
    <w:rsid w:val="716A529F"/>
    <w:rsid w:val="717E2EDA"/>
    <w:rsid w:val="71AA0173"/>
    <w:rsid w:val="71AA6C18"/>
    <w:rsid w:val="71B23FCD"/>
    <w:rsid w:val="71DA6D20"/>
    <w:rsid w:val="71DD7C5B"/>
    <w:rsid w:val="7256744C"/>
    <w:rsid w:val="72583B66"/>
    <w:rsid w:val="726A5CB7"/>
    <w:rsid w:val="726D5B10"/>
    <w:rsid w:val="728D417C"/>
    <w:rsid w:val="72CE407D"/>
    <w:rsid w:val="72D330A6"/>
    <w:rsid w:val="72DE0766"/>
    <w:rsid w:val="73025D8D"/>
    <w:rsid w:val="73187C51"/>
    <w:rsid w:val="73217FC1"/>
    <w:rsid w:val="732C1A50"/>
    <w:rsid w:val="732C7D50"/>
    <w:rsid w:val="733E745C"/>
    <w:rsid w:val="7357572F"/>
    <w:rsid w:val="73865F71"/>
    <w:rsid w:val="739566DA"/>
    <w:rsid w:val="739E5A62"/>
    <w:rsid w:val="73B71809"/>
    <w:rsid w:val="73BC72EA"/>
    <w:rsid w:val="74266B54"/>
    <w:rsid w:val="74767E7F"/>
    <w:rsid w:val="749D628C"/>
    <w:rsid w:val="74E225C9"/>
    <w:rsid w:val="7513594C"/>
    <w:rsid w:val="75172F05"/>
    <w:rsid w:val="753A7BAE"/>
    <w:rsid w:val="75412B9C"/>
    <w:rsid w:val="754A2052"/>
    <w:rsid w:val="75665467"/>
    <w:rsid w:val="756A2CCD"/>
    <w:rsid w:val="757C3038"/>
    <w:rsid w:val="75D55155"/>
    <w:rsid w:val="76956DE9"/>
    <w:rsid w:val="76AC6402"/>
    <w:rsid w:val="76C059AC"/>
    <w:rsid w:val="76CB58A5"/>
    <w:rsid w:val="76E93735"/>
    <w:rsid w:val="76F555A3"/>
    <w:rsid w:val="77083859"/>
    <w:rsid w:val="77203C9A"/>
    <w:rsid w:val="7728263E"/>
    <w:rsid w:val="777121EE"/>
    <w:rsid w:val="777F6EA5"/>
    <w:rsid w:val="779D7E32"/>
    <w:rsid w:val="77DA10F9"/>
    <w:rsid w:val="77F44DF9"/>
    <w:rsid w:val="77FD5BCE"/>
    <w:rsid w:val="780753B3"/>
    <w:rsid w:val="781951CD"/>
    <w:rsid w:val="782C7B34"/>
    <w:rsid w:val="78386EAA"/>
    <w:rsid w:val="783F1588"/>
    <w:rsid w:val="784254D8"/>
    <w:rsid w:val="78455757"/>
    <w:rsid w:val="78476C5D"/>
    <w:rsid w:val="784A21E6"/>
    <w:rsid w:val="78626FA7"/>
    <w:rsid w:val="78651557"/>
    <w:rsid w:val="787313AE"/>
    <w:rsid w:val="788D668F"/>
    <w:rsid w:val="789655F3"/>
    <w:rsid w:val="789926C4"/>
    <w:rsid w:val="78C80EDF"/>
    <w:rsid w:val="78E827A9"/>
    <w:rsid w:val="78FE1BD2"/>
    <w:rsid w:val="792C1D97"/>
    <w:rsid w:val="79663965"/>
    <w:rsid w:val="797C5869"/>
    <w:rsid w:val="797E1F36"/>
    <w:rsid w:val="798476A8"/>
    <w:rsid w:val="798C22C8"/>
    <w:rsid w:val="79AA7E9C"/>
    <w:rsid w:val="79C0507A"/>
    <w:rsid w:val="79DF6906"/>
    <w:rsid w:val="7A19629D"/>
    <w:rsid w:val="7A1F6F77"/>
    <w:rsid w:val="7A3745DC"/>
    <w:rsid w:val="7A490BC9"/>
    <w:rsid w:val="7A812A54"/>
    <w:rsid w:val="7A8C172A"/>
    <w:rsid w:val="7A996417"/>
    <w:rsid w:val="7B0836FF"/>
    <w:rsid w:val="7B1E128A"/>
    <w:rsid w:val="7B2715D6"/>
    <w:rsid w:val="7B340AAD"/>
    <w:rsid w:val="7B377F3A"/>
    <w:rsid w:val="7B916A17"/>
    <w:rsid w:val="7BBD4959"/>
    <w:rsid w:val="7BEE0EE2"/>
    <w:rsid w:val="7BEE5628"/>
    <w:rsid w:val="7C580611"/>
    <w:rsid w:val="7C606BB1"/>
    <w:rsid w:val="7C8718BD"/>
    <w:rsid w:val="7C90293E"/>
    <w:rsid w:val="7CD21C1C"/>
    <w:rsid w:val="7D041F52"/>
    <w:rsid w:val="7D34594F"/>
    <w:rsid w:val="7D6B007F"/>
    <w:rsid w:val="7D6F3D4F"/>
    <w:rsid w:val="7D756768"/>
    <w:rsid w:val="7D7A1872"/>
    <w:rsid w:val="7D7D7B35"/>
    <w:rsid w:val="7D9121E7"/>
    <w:rsid w:val="7DB62B57"/>
    <w:rsid w:val="7E02215E"/>
    <w:rsid w:val="7E2339C1"/>
    <w:rsid w:val="7EE86212"/>
    <w:rsid w:val="7F0843CD"/>
    <w:rsid w:val="7F1255AA"/>
    <w:rsid w:val="7F52665E"/>
    <w:rsid w:val="7F8F7296"/>
    <w:rsid w:val="7F9721A4"/>
    <w:rsid w:val="7FAF2DF8"/>
    <w:rsid w:val="7FC20D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3">
    <w:name w:val="heading 1"/>
    <w:basedOn w:val="1"/>
    <w:next w:val="1"/>
    <w:link w:val="45"/>
    <w:qFormat/>
    <w:uiPriority w:val="0"/>
    <w:pPr>
      <w:keepNext/>
      <w:keepLines/>
      <w:adjustRightInd w:val="0"/>
      <w:spacing w:line="360" w:lineRule="auto"/>
      <w:jc w:val="center"/>
      <w:outlineLvl w:val="0"/>
    </w:pPr>
    <w:rPr>
      <w:rFonts w:eastAsia="黑体"/>
      <w:b/>
      <w:snapToGrid/>
      <w:kern w:val="44"/>
      <w:sz w:val="36"/>
    </w:rPr>
  </w:style>
  <w:style w:type="paragraph" w:styleId="4">
    <w:name w:val="heading 2"/>
    <w:basedOn w:val="1"/>
    <w:next w:val="1"/>
    <w:qFormat/>
    <w:uiPriority w:val="0"/>
    <w:pPr>
      <w:keepNext/>
      <w:keepLines/>
      <w:spacing w:line="413" w:lineRule="auto"/>
      <w:outlineLvl w:val="1"/>
    </w:pPr>
    <w:rPr>
      <w:rFonts w:ascii="Arial" w:hAnsi="Arial" w:eastAsia="黑体"/>
      <w:sz w:val="28"/>
    </w:rPr>
  </w:style>
  <w:style w:type="paragraph" w:styleId="5">
    <w:name w:val="heading 3"/>
    <w:basedOn w:val="1"/>
    <w:next w:val="1"/>
    <w:link w:val="151"/>
    <w:qFormat/>
    <w:uiPriority w:val="0"/>
    <w:pPr>
      <w:keepNext/>
      <w:tabs>
        <w:tab w:val="left" w:pos="1275"/>
      </w:tabs>
      <w:spacing w:line="216" w:lineRule="auto"/>
      <w:ind w:left="1275" w:hanging="720"/>
      <w:outlineLvl w:val="2"/>
    </w:pPr>
    <w:rPr>
      <w:rFonts w:ascii="宋体"/>
      <w:b/>
      <w:snapToGrid/>
      <w:kern w:val="2"/>
      <w:sz w:val="28"/>
    </w:rPr>
  </w:style>
  <w:style w:type="paragraph" w:styleId="6">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7">
    <w:name w:val="heading 5"/>
    <w:basedOn w:val="1"/>
    <w:next w:val="1"/>
    <w:qFormat/>
    <w:uiPriority w:val="0"/>
    <w:pPr>
      <w:keepNext/>
      <w:keepLines/>
      <w:spacing w:line="376" w:lineRule="auto"/>
      <w:outlineLvl w:val="4"/>
    </w:pPr>
    <w:rPr>
      <w:b/>
      <w:bCs/>
      <w:sz w:val="28"/>
      <w:szCs w:val="28"/>
    </w:rPr>
  </w:style>
  <w:style w:type="character" w:default="1" w:styleId="36">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adjustRightInd w:val="0"/>
      <w:spacing w:line="360" w:lineRule="auto"/>
      <w:ind w:firstLine="490"/>
      <w:jc w:val="left"/>
    </w:pPr>
    <w:rPr>
      <w:rFonts w:hint="eastAsia" w:ascii="宋体" w:hAnsi="宋体"/>
      <w:sz w:val="24"/>
    </w:rPr>
  </w:style>
  <w:style w:type="paragraph" w:styleId="8">
    <w:name w:val="Normal Indent"/>
    <w:basedOn w:val="1"/>
    <w:next w:val="1"/>
    <w:link w:val="47"/>
    <w:qFormat/>
    <w:uiPriority w:val="0"/>
    <w:pPr>
      <w:ind w:firstLine="420"/>
    </w:pPr>
    <w:rPr>
      <w:snapToGrid/>
      <w:kern w:val="2"/>
    </w:rPr>
  </w:style>
  <w:style w:type="paragraph" w:styleId="9">
    <w:name w:val="Document Map"/>
    <w:basedOn w:val="1"/>
    <w:qFormat/>
    <w:uiPriority w:val="0"/>
    <w:pPr>
      <w:shd w:val="clear" w:color="auto" w:fill="000080"/>
    </w:pPr>
  </w:style>
  <w:style w:type="paragraph" w:styleId="10">
    <w:name w:val="annotation text"/>
    <w:basedOn w:val="1"/>
    <w:link w:val="48"/>
    <w:qFormat/>
    <w:uiPriority w:val="0"/>
    <w:pPr>
      <w:jc w:val="left"/>
    </w:pPr>
    <w:rPr>
      <w:snapToGrid/>
      <w:kern w:val="2"/>
    </w:rPr>
  </w:style>
  <w:style w:type="paragraph" w:styleId="11">
    <w:name w:val="Body Text 3"/>
    <w:basedOn w:val="1"/>
    <w:qFormat/>
    <w:uiPriority w:val="0"/>
    <w:pPr>
      <w:spacing w:line="480" w:lineRule="exact"/>
    </w:pPr>
    <w:rPr>
      <w:snapToGrid/>
      <w:kern w:val="2"/>
      <w:sz w:val="16"/>
    </w:rPr>
  </w:style>
  <w:style w:type="paragraph" w:styleId="12">
    <w:name w:val="Body Text"/>
    <w:basedOn w:val="1"/>
    <w:next w:val="13"/>
    <w:link w:val="49"/>
    <w:qFormat/>
    <w:uiPriority w:val="0"/>
    <w:rPr>
      <w:snapToGrid/>
    </w:rPr>
  </w:style>
  <w:style w:type="paragraph" w:styleId="13">
    <w:name w:val="Body Text First Indent"/>
    <w:basedOn w:val="1"/>
    <w:next w:val="14"/>
    <w:link w:val="54"/>
    <w:qFormat/>
    <w:uiPriority w:val="0"/>
    <w:pPr>
      <w:ind w:firstLine="420" w:firstLineChars="100"/>
    </w:pPr>
  </w:style>
  <w:style w:type="paragraph" w:styleId="14">
    <w:name w:val="toc 6"/>
    <w:basedOn w:val="1"/>
    <w:next w:val="1"/>
    <w:qFormat/>
    <w:uiPriority w:val="0"/>
    <w:pPr>
      <w:ind w:left="1050"/>
      <w:jc w:val="left"/>
    </w:pPr>
    <w:rPr>
      <w:rFonts w:ascii="Arial" w:hAnsi="Arial"/>
      <w:snapToGrid/>
      <w:kern w:val="2"/>
      <w:sz w:val="18"/>
      <w:szCs w:val="18"/>
    </w:rPr>
  </w:style>
  <w:style w:type="paragraph" w:styleId="15">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16">
    <w:name w:val="toc 3"/>
    <w:basedOn w:val="1"/>
    <w:next w:val="1"/>
    <w:qFormat/>
    <w:uiPriority w:val="0"/>
    <w:pPr>
      <w:ind w:left="840" w:leftChars="400"/>
    </w:pPr>
  </w:style>
  <w:style w:type="paragraph" w:styleId="17">
    <w:name w:val="Plain Text"/>
    <w:basedOn w:val="1"/>
    <w:next w:val="1"/>
    <w:link w:val="46"/>
    <w:qFormat/>
    <w:uiPriority w:val="0"/>
    <w:rPr>
      <w:rFonts w:ascii="宋体" w:hAnsi="Courier New"/>
      <w:snapToGrid/>
      <w:sz w:val="18"/>
    </w:rPr>
  </w:style>
  <w:style w:type="paragraph" w:styleId="18">
    <w:name w:val="Date"/>
    <w:basedOn w:val="1"/>
    <w:next w:val="1"/>
    <w:qFormat/>
    <w:uiPriority w:val="0"/>
    <w:pPr>
      <w:ind w:left="2500" w:leftChars="2500"/>
    </w:pPr>
    <w:rPr>
      <w:rFonts w:hint="eastAsia" w:ascii="宋体" w:hAnsi="宋体"/>
      <w:snapToGrid/>
      <w:kern w:val="2"/>
      <w:sz w:val="24"/>
    </w:rPr>
  </w:style>
  <w:style w:type="paragraph" w:styleId="19">
    <w:name w:val="Body Text Indent 2"/>
    <w:basedOn w:val="1"/>
    <w:next w:val="20"/>
    <w:qFormat/>
    <w:uiPriority w:val="0"/>
    <w:pPr>
      <w:spacing w:line="480" w:lineRule="auto"/>
      <w:ind w:left="420" w:leftChars="200"/>
    </w:pPr>
    <w:rPr>
      <w:snapToGrid/>
      <w:kern w:val="2"/>
    </w:rPr>
  </w:style>
  <w:style w:type="paragraph" w:customStyle="1" w:styleId="20">
    <w:name w:val="z正文"/>
    <w:basedOn w:val="17"/>
    <w:qFormat/>
    <w:uiPriority w:val="99"/>
    <w:pPr>
      <w:tabs>
        <w:tab w:val="left" w:pos="525"/>
      </w:tabs>
      <w:snapToGrid w:val="0"/>
    </w:pPr>
    <w:rPr>
      <w:rFonts w:ascii="Times New Roman" w:hAnsi="宋体" w:cs="Times New Roman" w:eastAsiaTheme="minorEastAsia"/>
    </w:rPr>
  </w:style>
  <w:style w:type="paragraph" w:styleId="21">
    <w:name w:val="Balloon Text"/>
    <w:basedOn w:val="1"/>
    <w:qFormat/>
    <w:uiPriority w:val="0"/>
    <w:rPr>
      <w:sz w:val="18"/>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link w:val="50"/>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0"/>
    <w:pPr>
      <w:spacing w:line="360" w:lineRule="atLeast"/>
      <w:ind w:firstLine="100" w:firstLineChars="50"/>
      <w:jc w:val="center"/>
    </w:pPr>
    <w:rPr>
      <w:rFonts w:ascii="宋体" w:hAnsi="宋体"/>
      <w:caps/>
      <w:sz w:val="20"/>
    </w:rPr>
  </w:style>
  <w:style w:type="paragraph" w:styleId="25">
    <w:name w:val="Subtitle"/>
    <w:basedOn w:val="1"/>
    <w:next w:val="1"/>
    <w:qFormat/>
    <w:uiPriority w:val="0"/>
    <w:pPr>
      <w:spacing w:line="312" w:lineRule="auto"/>
      <w:jc w:val="center"/>
      <w:outlineLvl w:val="1"/>
    </w:pPr>
    <w:rPr>
      <w:rFonts w:ascii="Cambria" w:hAnsi="Cambria"/>
      <w:b/>
      <w:bCs/>
      <w:kern w:val="28"/>
      <w:sz w:val="32"/>
      <w:szCs w:val="32"/>
    </w:rPr>
  </w:style>
  <w:style w:type="paragraph" w:styleId="26">
    <w:name w:val="Body Text Indent 3"/>
    <w:basedOn w:val="1"/>
    <w:qFormat/>
    <w:uiPriority w:val="0"/>
    <w:pPr>
      <w:ind w:left="420" w:leftChars="200"/>
    </w:pPr>
    <w:rPr>
      <w:sz w:val="16"/>
    </w:rPr>
  </w:style>
  <w:style w:type="paragraph" w:styleId="27">
    <w:name w:val="toc 2"/>
    <w:basedOn w:val="1"/>
    <w:next w:val="1"/>
    <w:qFormat/>
    <w:uiPriority w:val="0"/>
    <w:pPr>
      <w:ind w:left="420" w:leftChars="200"/>
    </w:pPr>
  </w:style>
  <w:style w:type="paragraph" w:styleId="28">
    <w:name w:val="Body Text 2"/>
    <w:basedOn w:val="1"/>
    <w:link w:val="51"/>
    <w:qFormat/>
    <w:uiPriority w:val="0"/>
    <w:pPr>
      <w:spacing w:line="120" w:lineRule="atLeast"/>
    </w:pPr>
    <w:rPr>
      <w:snapToGrid/>
      <w:kern w:val="2"/>
      <w:sz w:val="24"/>
    </w:rPr>
  </w:style>
  <w:style w:type="paragraph" w:styleId="29">
    <w:name w:val="Normal (Web)"/>
    <w:basedOn w:val="1"/>
    <w:link w:val="52"/>
    <w:qFormat/>
    <w:uiPriority w:val="0"/>
    <w:pPr>
      <w:widowControl/>
      <w:spacing w:beforeAutospacing="1" w:afterAutospacing="1"/>
      <w:jc w:val="left"/>
    </w:pPr>
    <w:rPr>
      <w:rFonts w:ascii="宋体" w:hAnsi="宋体"/>
      <w:snapToGrid/>
      <w:sz w:val="24"/>
    </w:rPr>
  </w:style>
  <w:style w:type="paragraph" w:styleId="30">
    <w:name w:val="Title"/>
    <w:basedOn w:val="1"/>
    <w:next w:val="1"/>
    <w:qFormat/>
    <w:uiPriority w:val="0"/>
    <w:pPr>
      <w:jc w:val="center"/>
    </w:pPr>
    <w:rPr>
      <w:kern w:val="2"/>
      <w:sz w:val="30"/>
      <w:szCs w:val="24"/>
    </w:rPr>
  </w:style>
  <w:style w:type="paragraph" w:styleId="31">
    <w:name w:val="annotation subject"/>
    <w:basedOn w:val="10"/>
    <w:next w:val="10"/>
    <w:link w:val="53"/>
    <w:qFormat/>
    <w:uiPriority w:val="0"/>
    <w:rPr>
      <w:b/>
      <w:bCs/>
    </w:rPr>
  </w:style>
  <w:style w:type="paragraph" w:styleId="32">
    <w:name w:val="Body Text First Indent 2"/>
    <w:basedOn w:val="2"/>
    <w:next w:val="19"/>
    <w:unhideWhenUsed/>
    <w:qFormat/>
    <w:uiPriority w:val="0"/>
    <w:pPr>
      <w:autoSpaceDE/>
      <w:autoSpaceDN/>
      <w:snapToGrid/>
      <w:spacing w:before="0" w:after="120" w:line="276" w:lineRule="auto"/>
      <w:ind w:left="420" w:leftChars="200" w:firstLine="200" w:firstLineChars="200"/>
      <w:jc w:val="left"/>
      <w:textAlignment w:val="auto"/>
    </w:pPr>
    <w:rPr>
      <w:rFonts w:ascii="Calibri" w:hAnsi="Calibri"/>
      <w:sz w:val="22"/>
      <w:szCs w:val="22"/>
      <w:lang w:eastAsia="en-US" w:bidi="en-US"/>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Elegant"/>
    <w:basedOn w:val="33"/>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7">
    <w:name w:val="Strong"/>
    <w:qFormat/>
    <w:uiPriority w:val="0"/>
    <w:rPr>
      <w:b/>
    </w:rPr>
  </w:style>
  <w:style w:type="character" w:styleId="38">
    <w:name w:val="page number"/>
    <w:basedOn w:val="36"/>
    <w:qFormat/>
    <w:uiPriority w:val="0"/>
    <w:rPr>
      <w:rFonts w:ascii="Times New Roman" w:hAnsi="Times New Roman" w:eastAsia="Arial" w:cs="Times New Roman"/>
    </w:rPr>
  </w:style>
  <w:style w:type="character" w:styleId="39">
    <w:name w:val="Emphasis"/>
    <w:basedOn w:val="36"/>
    <w:qFormat/>
    <w:uiPriority w:val="20"/>
    <w:rPr>
      <w:i/>
    </w:rPr>
  </w:style>
  <w:style w:type="character" w:styleId="40">
    <w:name w:val="Hyperlink"/>
    <w:qFormat/>
    <w:uiPriority w:val="0"/>
    <w:rPr>
      <w:color w:val="0000FF"/>
      <w:u w:val="single"/>
    </w:rPr>
  </w:style>
  <w:style w:type="character" w:styleId="41">
    <w:name w:val="annotation reference"/>
    <w:basedOn w:val="36"/>
    <w:qFormat/>
    <w:uiPriority w:val="0"/>
    <w:rPr>
      <w:sz w:val="21"/>
      <w:szCs w:val="21"/>
    </w:rPr>
  </w:style>
  <w:style w:type="character" w:styleId="42">
    <w:name w:val="HTML Sample"/>
    <w:basedOn w:val="36"/>
    <w:semiHidden/>
    <w:unhideWhenUsed/>
    <w:qFormat/>
    <w:uiPriority w:val="99"/>
    <w:rPr>
      <w:rFonts w:ascii="Courier New" w:hAnsi="Courier New"/>
    </w:rPr>
  </w:style>
  <w:style w:type="paragraph" w:customStyle="1" w:styleId="43">
    <w:name w:val="样式1"/>
    <w:basedOn w:val="1"/>
    <w:next w:val="1"/>
    <w:link w:val="78"/>
    <w:qFormat/>
    <w:uiPriority w:val="0"/>
    <w:pPr>
      <w:spacing w:line="360" w:lineRule="exact"/>
      <w:ind w:firstLine="200" w:firstLineChars="200"/>
    </w:pPr>
    <w:rPr>
      <w:rFonts w:ascii="Arial" w:hAnsi="Arial"/>
      <w:snapToGrid/>
      <w:kern w:val="2"/>
      <w:szCs w:val="24"/>
    </w:rPr>
  </w:style>
  <w:style w:type="character" w:customStyle="1" w:styleId="44">
    <w:name w:val="标题 1 Char"/>
    <w:qFormat/>
    <w:uiPriority w:val="0"/>
    <w:rPr>
      <w:rFonts w:eastAsia="黑体"/>
      <w:b/>
      <w:snapToGrid w:val="0"/>
      <w:kern w:val="44"/>
      <w:sz w:val="36"/>
      <w:lang w:val="en-US" w:eastAsia="zh-CN"/>
    </w:rPr>
  </w:style>
  <w:style w:type="character" w:customStyle="1" w:styleId="45">
    <w:name w:val="标题 1 字符"/>
    <w:link w:val="3"/>
    <w:qFormat/>
    <w:uiPriority w:val="0"/>
    <w:rPr>
      <w:rFonts w:eastAsia="黑体"/>
      <w:b/>
      <w:kern w:val="44"/>
      <w:sz w:val="36"/>
    </w:rPr>
  </w:style>
  <w:style w:type="character" w:customStyle="1" w:styleId="46">
    <w:name w:val="纯文本 字符1"/>
    <w:link w:val="17"/>
    <w:qFormat/>
    <w:uiPriority w:val="0"/>
    <w:rPr>
      <w:rFonts w:ascii="宋体" w:hAnsi="Courier New"/>
      <w:snapToGrid/>
      <w:sz w:val="18"/>
    </w:rPr>
  </w:style>
  <w:style w:type="character" w:customStyle="1" w:styleId="47">
    <w:name w:val="正文缩进 字符"/>
    <w:link w:val="8"/>
    <w:qFormat/>
    <w:uiPriority w:val="0"/>
    <w:rPr>
      <w:rFonts w:eastAsia="宋体"/>
      <w:kern w:val="2"/>
      <w:sz w:val="21"/>
      <w:lang w:val="en-US" w:eastAsia="zh-CN"/>
    </w:rPr>
  </w:style>
  <w:style w:type="character" w:customStyle="1" w:styleId="48">
    <w:name w:val="批注文字 字符"/>
    <w:link w:val="10"/>
    <w:qFormat/>
    <w:uiPriority w:val="0"/>
    <w:rPr>
      <w:kern w:val="2"/>
      <w:sz w:val="21"/>
    </w:rPr>
  </w:style>
  <w:style w:type="character" w:customStyle="1" w:styleId="49">
    <w:name w:val="正文文本 字符"/>
    <w:link w:val="12"/>
    <w:qFormat/>
    <w:uiPriority w:val="0"/>
    <w:rPr>
      <w:snapToGrid/>
      <w:sz w:val="21"/>
    </w:rPr>
  </w:style>
  <w:style w:type="character" w:customStyle="1" w:styleId="50">
    <w:name w:val="页眉 字符"/>
    <w:link w:val="23"/>
    <w:qFormat/>
    <w:uiPriority w:val="0"/>
    <w:rPr>
      <w:rFonts w:eastAsia="宋体"/>
      <w:snapToGrid w:val="0"/>
      <w:sz w:val="18"/>
      <w:lang w:val="en-US" w:eastAsia="zh-CN"/>
    </w:rPr>
  </w:style>
  <w:style w:type="character" w:customStyle="1" w:styleId="51">
    <w:name w:val="正文文本 2 字符"/>
    <w:link w:val="28"/>
    <w:qFormat/>
    <w:uiPriority w:val="0"/>
    <w:rPr>
      <w:rFonts w:eastAsia="宋体"/>
      <w:kern w:val="2"/>
      <w:sz w:val="24"/>
      <w:lang w:val="en-US" w:eastAsia="zh-CN"/>
    </w:rPr>
  </w:style>
  <w:style w:type="character" w:customStyle="1" w:styleId="52">
    <w:name w:val="普通(网站) 字符"/>
    <w:link w:val="29"/>
    <w:qFormat/>
    <w:uiPriority w:val="0"/>
    <w:rPr>
      <w:rFonts w:ascii="宋体" w:hAnsi="宋体"/>
      <w:sz w:val="24"/>
    </w:rPr>
  </w:style>
  <w:style w:type="character" w:customStyle="1" w:styleId="53">
    <w:name w:val="批注主题 字符"/>
    <w:link w:val="31"/>
    <w:qFormat/>
    <w:uiPriority w:val="0"/>
    <w:rPr>
      <w:b/>
      <w:bCs/>
      <w:snapToGrid/>
      <w:kern w:val="2"/>
      <w:sz w:val="21"/>
    </w:rPr>
  </w:style>
  <w:style w:type="character" w:customStyle="1" w:styleId="54">
    <w:name w:val="正文文本首行缩进 字符"/>
    <w:basedOn w:val="49"/>
    <w:link w:val="13"/>
    <w:qFormat/>
    <w:uiPriority w:val="0"/>
    <w:rPr>
      <w:snapToGrid/>
      <w:sz w:val="21"/>
    </w:rPr>
  </w:style>
  <w:style w:type="character" w:customStyle="1" w:styleId="55">
    <w:name w:val="纯文本 字符"/>
    <w:qFormat/>
    <w:uiPriority w:val="0"/>
    <w:rPr>
      <w:rFonts w:ascii="宋体" w:hAnsi="Courier New" w:eastAsia="宋体"/>
      <w:kern w:val="2"/>
      <w:sz w:val="21"/>
      <w:lang w:val="en-US" w:eastAsia="zh-CN" w:bidi="ar-SA"/>
    </w:rPr>
  </w:style>
  <w:style w:type="character" w:customStyle="1" w:styleId="56">
    <w:name w:val="正文段 Char Char"/>
    <w:link w:val="57"/>
    <w:qFormat/>
    <w:uiPriority w:val="0"/>
    <w:rPr>
      <w:sz w:val="24"/>
    </w:rPr>
  </w:style>
  <w:style w:type="paragraph" w:customStyle="1" w:styleId="57">
    <w:name w:val="正文段"/>
    <w:basedOn w:val="1"/>
    <w:link w:val="56"/>
    <w:qFormat/>
    <w:uiPriority w:val="0"/>
    <w:pPr>
      <w:widowControl/>
      <w:snapToGrid w:val="0"/>
      <w:spacing w:afterLines="50"/>
      <w:ind w:firstLine="200" w:firstLineChars="200"/>
    </w:pPr>
    <w:rPr>
      <w:snapToGrid/>
      <w:sz w:val="24"/>
    </w:rPr>
  </w:style>
  <w:style w:type="character" w:customStyle="1" w:styleId="58">
    <w:name w:val="font21"/>
    <w:qFormat/>
    <w:uiPriority w:val="0"/>
    <w:rPr>
      <w:rFonts w:hint="eastAsia" w:ascii="宋体" w:hAnsi="宋体" w:eastAsia="宋体" w:cs="宋体"/>
      <w:b/>
      <w:color w:val="000000"/>
      <w:sz w:val="20"/>
      <w:szCs w:val="20"/>
      <w:u w:val="none"/>
    </w:rPr>
  </w:style>
  <w:style w:type="character" w:customStyle="1" w:styleId="59">
    <w:name w:val="font41"/>
    <w:qFormat/>
    <w:uiPriority w:val="0"/>
    <w:rPr>
      <w:rFonts w:hint="default" w:ascii="Times New Roman" w:hAnsi="Times New Roman" w:cs="Times New Roman"/>
      <w:b/>
      <w:color w:val="000000"/>
      <w:sz w:val="20"/>
      <w:szCs w:val="20"/>
      <w:u w:val="none"/>
    </w:rPr>
  </w:style>
  <w:style w:type="character" w:customStyle="1" w:styleId="60">
    <w:name w:val="列出段落 Char"/>
    <w:link w:val="61"/>
    <w:qFormat/>
    <w:uiPriority w:val="0"/>
    <w:rPr>
      <w:rFonts w:eastAsia="宋体"/>
      <w:kern w:val="2"/>
      <w:sz w:val="21"/>
      <w:szCs w:val="24"/>
      <w:lang w:val="en-US" w:eastAsia="zh-CN" w:bidi="ar-SA"/>
    </w:rPr>
  </w:style>
  <w:style w:type="paragraph" w:customStyle="1" w:styleId="61">
    <w:name w:val="列出段落1"/>
    <w:basedOn w:val="1"/>
    <w:link w:val="60"/>
    <w:qFormat/>
    <w:uiPriority w:val="0"/>
    <w:pPr>
      <w:ind w:firstLine="420" w:firstLineChars="200"/>
    </w:pPr>
    <w:rPr>
      <w:snapToGrid/>
      <w:kern w:val="2"/>
      <w:szCs w:val="24"/>
    </w:rPr>
  </w:style>
  <w:style w:type="character" w:customStyle="1" w:styleId="62">
    <w:name w:val="自定义正文 Char Char"/>
    <w:link w:val="63"/>
    <w:qFormat/>
    <w:uiPriority w:val="0"/>
    <w:rPr>
      <w:rFonts w:ascii="仿宋_GB2312" w:eastAsia="仿宋_GB2312"/>
      <w:kern w:val="2"/>
      <w:sz w:val="24"/>
      <w:szCs w:val="24"/>
      <w:lang w:bidi="ar-SA"/>
    </w:rPr>
  </w:style>
  <w:style w:type="paragraph" w:customStyle="1" w:styleId="63">
    <w:name w:val="自定义正文"/>
    <w:basedOn w:val="1"/>
    <w:link w:val="62"/>
    <w:qFormat/>
    <w:uiPriority w:val="0"/>
    <w:pPr>
      <w:spacing w:line="400" w:lineRule="exact"/>
      <w:ind w:firstLine="200" w:firstLineChars="200"/>
      <w:jc w:val="left"/>
    </w:pPr>
    <w:rPr>
      <w:rFonts w:ascii="仿宋_GB2312" w:eastAsia="仿宋_GB2312"/>
      <w:snapToGrid/>
      <w:kern w:val="2"/>
      <w:sz w:val="24"/>
      <w:szCs w:val="24"/>
    </w:rPr>
  </w:style>
  <w:style w:type="character" w:customStyle="1" w:styleId="64">
    <w:name w:val="纯文本 Char Char Char Char Char Char Char Char Char Char Char Char Char Char3"/>
    <w:qFormat/>
    <w:uiPriority w:val="0"/>
    <w:rPr>
      <w:rFonts w:ascii="宋体" w:hAnsi="Courier New"/>
      <w:snapToGrid/>
      <w:sz w:val="18"/>
    </w:rPr>
  </w:style>
  <w:style w:type="character" w:customStyle="1" w:styleId="65">
    <w:name w:val="font11"/>
    <w:qFormat/>
    <w:uiPriority w:val="0"/>
    <w:rPr>
      <w:rFonts w:hint="default" w:ascii="Times New Roman" w:hAnsi="Times New Roman" w:cs="Times New Roman"/>
      <w:color w:val="000000"/>
      <w:sz w:val="20"/>
      <w:szCs w:val="20"/>
      <w:u w:val="none"/>
    </w:rPr>
  </w:style>
  <w:style w:type="character" w:customStyle="1" w:styleId="66">
    <w:name w:val="ziti11"/>
    <w:qFormat/>
    <w:uiPriority w:val="0"/>
    <w:rPr>
      <w:rFonts w:hint="default" w:ascii="ˎ̥" w:hAnsi="ˎ̥"/>
      <w:color w:val="000000"/>
      <w:sz w:val="18"/>
    </w:rPr>
  </w:style>
  <w:style w:type="character" w:customStyle="1" w:styleId="67">
    <w:name w:val="纯文本 Char Char"/>
    <w:link w:val="68"/>
    <w:qFormat/>
    <w:uiPriority w:val="0"/>
    <w:rPr>
      <w:rFonts w:ascii="Century Gothic" w:hAnsi="楷体_GB2312" w:eastAsia="Century Gothic"/>
      <w:kern w:val="2"/>
      <w:sz w:val="21"/>
      <w:lang w:bidi="ar-SA"/>
    </w:rPr>
  </w:style>
  <w:style w:type="paragraph" w:customStyle="1" w:styleId="68">
    <w:name w:val="纯文本1"/>
    <w:basedOn w:val="69"/>
    <w:link w:val="67"/>
    <w:qFormat/>
    <w:uiPriority w:val="0"/>
    <w:pPr>
      <w:snapToGrid w:val="0"/>
      <w:jc w:val="left"/>
    </w:pPr>
    <w:rPr>
      <w:rFonts w:hint="default" w:ascii="Century Gothic" w:hAnsi="楷体_GB2312" w:eastAsia="Century Gothic"/>
    </w:rPr>
  </w:style>
  <w:style w:type="paragraph" w:customStyle="1" w:styleId="6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70">
    <w:name w:val="text5"/>
    <w:qFormat/>
    <w:uiPriority w:val="0"/>
    <w:rPr>
      <w:rFonts w:ascii="_x000B__x000C_" w:hAnsi="_x000B__x000C_"/>
      <w:color w:val="000066"/>
      <w:spacing w:val="0"/>
      <w:sz w:val="18"/>
    </w:rPr>
  </w:style>
  <w:style w:type="character" w:customStyle="1" w:styleId="71">
    <w:name w:val="htd0"/>
    <w:basedOn w:val="36"/>
    <w:qFormat/>
    <w:uiPriority w:val="0"/>
  </w:style>
  <w:style w:type="character" w:customStyle="1" w:styleId="72">
    <w:name w:val="正文标准 Char Char"/>
    <w:link w:val="73"/>
    <w:qFormat/>
    <w:uiPriority w:val="0"/>
    <w:rPr>
      <w:kern w:val="2"/>
      <w:sz w:val="24"/>
      <w:szCs w:val="21"/>
    </w:rPr>
  </w:style>
  <w:style w:type="paragraph" w:customStyle="1" w:styleId="73">
    <w:name w:val="正文标准"/>
    <w:basedOn w:val="1"/>
    <w:link w:val="72"/>
    <w:qFormat/>
    <w:uiPriority w:val="0"/>
    <w:pPr>
      <w:spacing w:beforeLines="50"/>
      <w:ind w:firstLine="200" w:firstLineChars="200"/>
    </w:pPr>
    <w:rPr>
      <w:snapToGrid/>
      <w:kern w:val="2"/>
      <w:sz w:val="24"/>
      <w:szCs w:val="21"/>
    </w:rPr>
  </w:style>
  <w:style w:type="character" w:customStyle="1" w:styleId="74">
    <w:name w:val="字元 字元1"/>
    <w:qFormat/>
    <w:uiPriority w:val="0"/>
    <w:rPr>
      <w:rFonts w:ascii="Arial" w:hAnsi="Arial" w:eastAsia="Times New Roman" w:cs="Times New Roman"/>
      <w:b/>
      <w:bCs/>
      <w:lang w:val="en-GB"/>
    </w:rPr>
  </w:style>
  <w:style w:type="character" w:customStyle="1" w:styleId="75">
    <w:name w:val="Comment Text Char"/>
    <w:qFormat/>
    <w:uiPriority w:val="0"/>
    <w:rPr>
      <w:rFonts w:ascii="Calibri" w:hAnsi="Calibri" w:cs="Times New Roman"/>
      <w:kern w:val="2"/>
      <w:sz w:val="24"/>
      <w:szCs w:val="24"/>
    </w:rPr>
  </w:style>
  <w:style w:type="character" w:customStyle="1" w:styleId="76">
    <w:name w:val="Char Char24"/>
    <w:qFormat/>
    <w:uiPriority w:val="0"/>
    <w:rPr>
      <w:rFonts w:ascii="宋体" w:hAnsi="Courier New" w:eastAsia="宋体"/>
      <w:kern w:val="2"/>
      <w:sz w:val="21"/>
      <w:lang w:val="en-US" w:eastAsia="zh-CN" w:bidi="ar-SA"/>
    </w:rPr>
  </w:style>
  <w:style w:type="character" w:customStyle="1" w:styleId="77">
    <w:name w:val="页脚 Char Char"/>
    <w:qFormat/>
    <w:uiPriority w:val="0"/>
    <w:rPr>
      <w:rFonts w:eastAsia="宋体"/>
      <w:snapToGrid w:val="0"/>
      <w:sz w:val="18"/>
      <w:lang w:val="en-US" w:eastAsia="zh-CN"/>
    </w:rPr>
  </w:style>
  <w:style w:type="character" w:customStyle="1" w:styleId="78">
    <w:name w:val="样式1 Char Char"/>
    <w:link w:val="43"/>
    <w:qFormat/>
    <w:uiPriority w:val="0"/>
    <w:rPr>
      <w:rFonts w:ascii="Arial" w:hAnsi="Arial"/>
      <w:kern w:val="2"/>
      <w:sz w:val="21"/>
      <w:szCs w:val="24"/>
    </w:rPr>
  </w:style>
  <w:style w:type="character" w:customStyle="1" w:styleId="79">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80">
    <w:name w:val="NormalCharacter"/>
    <w:qFormat/>
    <w:uiPriority w:val="0"/>
  </w:style>
  <w:style w:type="character" w:customStyle="1" w:styleId="81">
    <w:name w:val="new1"/>
    <w:qFormat/>
    <w:uiPriority w:val="0"/>
    <w:rPr>
      <w:sz w:val="21"/>
      <w:szCs w:val="21"/>
    </w:rPr>
  </w:style>
  <w:style w:type="character" w:customStyle="1" w:styleId="82">
    <w:name w:val="font31"/>
    <w:qFormat/>
    <w:uiPriority w:val="0"/>
    <w:rPr>
      <w:rFonts w:hint="eastAsia" w:ascii="宋体" w:hAnsi="宋体" w:eastAsia="宋体" w:cs="宋体"/>
      <w:color w:val="000000"/>
      <w:sz w:val="20"/>
      <w:szCs w:val="20"/>
      <w:u w:val="none"/>
    </w:rPr>
  </w:style>
  <w:style w:type="paragraph" w:styleId="83">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5">
    <w:name w:val="默认段落字体 Para Char Char Char Char Char Char Char Char Char1 Char Char Char Char"/>
    <w:basedOn w:val="1"/>
    <w:qFormat/>
    <w:uiPriority w:val="0"/>
    <w:rPr>
      <w:rFonts w:ascii="Tahoma" w:hAnsi="Tahoma"/>
      <w:snapToGrid/>
      <w:kern w:val="2"/>
      <w:sz w:val="24"/>
    </w:rPr>
  </w:style>
  <w:style w:type="paragraph" w:customStyle="1" w:styleId="86">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87">
    <w:name w:val="Char3 Char Char Char Char Char Char"/>
    <w:basedOn w:val="1"/>
    <w:qFormat/>
    <w:uiPriority w:val="0"/>
    <w:pPr>
      <w:widowControl/>
      <w:spacing w:line="240" w:lineRule="exact"/>
      <w:jc w:val="left"/>
    </w:pPr>
    <w:rPr>
      <w:rFonts w:ascii="Verdana" w:hAnsi="Verdana"/>
      <w:snapToGrid/>
      <w:sz w:val="18"/>
      <w:lang w:eastAsia="en-US"/>
    </w:rPr>
  </w:style>
  <w:style w:type="paragraph" w:customStyle="1" w:styleId="88">
    <w:name w:val="默认段落字体 Para Char Char Char Char Char Char Char"/>
    <w:basedOn w:val="1"/>
    <w:qFormat/>
    <w:uiPriority w:val="0"/>
    <w:rPr>
      <w:snapToGrid/>
      <w:kern w:val="2"/>
    </w:rPr>
  </w:style>
  <w:style w:type="paragraph" w:customStyle="1" w:styleId="89">
    <w:name w:val="正文－恩普"/>
    <w:basedOn w:val="8"/>
    <w:qFormat/>
    <w:uiPriority w:val="0"/>
    <w:pPr>
      <w:widowControl/>
      <w:spacing w:afterLines="50" w:line="360" w:lineRule="auto"/>
      <w:ind w:firstLine="480" w:firstLineChars="200"/>
      <w:jc w:val="left"/>
    </w:pPr>
    <w:rPr>
      <w:kern w:val="0"/>
      <w:sz w:val="24"/>
    </w:rPr>
  </w:style>
  <w:style w:type="paragraph" w:customStyle="1" w:styleId="90">
    <w:name w:val="正文文字"/>
    <w:basedOn w:val="1"/>
    <w:qFormat/>
    <w:uiPriority w:val="0"/>
    <w:pPr>
      <w:widowControl/>
      <w:spacing w:line="952" w:lineRule="atLeast"/>
      <w:ind w:firstLine="419"/>
      <w:textAlignment w:val="baseline"/>
    </w:pPr>
    <w:rPr>
      <w:b/>
      <w:snapToGrid/>
      <w:color w:val="000000"/>
      <w:sz w:val="44"/>
      <w:u w:color="000000"/>
    </w:rPr>
  </w:style>
  <w:style w:type="paragraph" w:customStyle="1" w:styleId="91">
    <w:name w:val="Char Char1 Char Char Char Char Char Char"/>
    <w:basedOn w:val="1"/>
    <w:qFormat/>
    <w:uiPriority w:val="0"/>
    <w:pPr>
      <w:widowControl/>
      <w:spacing w:line="240" w:lineRule="exact"/>
      <w:jc w:val="left"/>
    </w:pPr>
  </w:style>
  <w:style w:type="paragraph" w:customStyle="1" w:styleId="92">
    <w:name w:val="List Paragraph_23fe4057-0b61-4cc6-8901-e2d1d58ffaab"/>
    <w:basedOn w:val="1"/>
    <w:qFormat/>
    <w:uiPriority w:val="0"/>
    <w:pPr>
      <w:ind w:firstLine="420" w:firstLineChars="200"/>
    </w:pPr>
    <w:rPr>
      <w:rFonts w:ascii="Calibri" w:hAnsi="Calibri"/>
      <w:snapToGrid/>
      <w:kern w:val="2"/>
      <w:szCs w:val="22"/>
    </w:rPr>
  </w:style>
  <w:style w:type="paragraph" w:customStyle="1" w:styleId="93">
    <w:name w:val="普通(网站)1"/>
    <w:basedOn w:val="1"/>
    <w:qFormat/>
    <w:uiPriority w:val="0"/>
    <w:pPr>
      <w:widowControl/>
      <w:spacing w:beforeAutospacing="1" w:afterAutospacing="1"/>
      <w:jc w:val="left"/>
    </w:pPr>
    <w:rPr>
      <w:rFonts w:ascii="宋体" w:hAnsi="宋体" w:cs="宋体"/>
      <w:sz w:val="24"/>
    </w:rPr>
  </w:style>
  <w:style w:type="paragraph" w:customStyle="1" w:styleId="94">
    <w:name w:val="Char1"/>
    <w:basedOn w:val="1"/>
    <w:qFormat/>
    <w:uiPriority w:val="0"/>
    <w:pPr>
      <w:widowControl/>
      <w:spacing w:line="360" w:lineRule="auto"/>
      <w:ind w:firstLine="200" w:firstLineChars="200"/>
      <w:jc w:val="left"/>
    </w:pPr>
    <w:rPr>
      <w:rFonts w:ascii="Verdana" w:hAnsi="Verdana" w:eastAsia="黑体"/>
      <w:snapToGrid/>
      <w:lang w:eastAsia="en-US"/>
    </w:rPr>
  </w:style>
  <w:style w:type="paragraph" w:customStyle="1" w:styleId="95">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96">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8">
    <w:name w:val="正文文本 21"/>
    <w:basedOn w:val="1"/>
    <w:qFormat/>
    <w:uiPriority w:val="0"/>
    <w:pPr>
      <w:adjustRightInd w:val="0"/>
      <w:spacing w:line="300" w:lineRule="auto"/>
      <w:jc w:val="center"/>
    </w:pPr>
    <w:rPr>
      <w:rFonts w:hint="eastAsia" w:ascii="宋体" w:hAnsi="宋体"/>
      <w:sz w:val="24"/>
    </w:rPr>
  </w:style>
  <w:style w:type="paragraph" w:customStyle="1" w:styleId="99">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100">
    <w:name w:val="Bullets"/>
    <w:basedOn w:val="1"/>
    <w:qFormat/>
    <w:uiPriority w:val="0"/>
    <w:pPr>
      <w:widowControl/>
    </w:pPr>
    <w:rPr>
      <w:rFonts w:ascii="Arial" w:hAnsi="Arial" w:eastAsia="MS Mincho"/>
      <w:snapToGrid/>
      <w:sz w:val="24"/>
      <w:lang w:eastAsia="de-DE"/>
    </w:rPr>
  </w:style>
  <w:style w:type="paragraph" w:customStyle="1" w:styleId="101">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102">
    <w:name w:val="Char Char4 Char Char"/>
    <w:basedOn w:val="1"/>
    <w:qFormat/>
    <w:uiPriority w:val="0"/>
    <w:pPr>
      <w:adjustRightInd w:val="0"/>
    </w:pPr>
    <w:rPr>
      <w:rFonts w:ascii="仿宋_GB2312" w:eastAsia="仿宋_GB2312"/>
      <w:b/>
      <w:snapToGrid/>
      <w:kern w:val="2"/>
      <w:sz w:val="32"/>
      <w:szCs w:val="32"/>
    </w:rPr>
  </w:style>
  <w:style w:type="paragraph" w:customStyle="1" w:styleId="103">
    <w:name w:val="标书-正文"/>
    <w:basedOn w:val="1"/>
    <w:qFormat/>
    <w:uiPriority w:val="0"/>
    <w:pPr>
      <w:spacing w:line="360" w:lineRule="auto"/>
      <w:ind w:firstLine="200" w:firstLineChars="200"/>
    </w:pPr>
    <w:rPr>
      <w:rFonts w:ascii="Arial" w:hAnsi="Arial"/>
      <w:sz w:val="24"/>
    </w:rPr>
  </w:style>
  <w:style w:type="paragraph" w:customStyle="1" w:styleId="104">
    <w:name w:val="Char"/>
    <w:basedOn w:val="1"/>
    <w:qFormat/>
    <w:uiPriority w:val="0"/>
    <w:pPr>
      <w:spacing w:line="360" w:lineRule="auto"/>
      <w:ind w:firstLine="420" w:firstLineChars="200"/>
    </w:pPr>
    <w:rPr>
      <w:rFonts w:ascii="宋体" w:hAnsi="宋体"/>
      <w:snapToGrid/>
      <w:kern w:val="2"/>
    </w:rPr>
  </w:style>
  <w:style w:type="paragraph" w:customStyle="1" w:styleId="105">
    <w:name w:val="表格内"/>
    <w:basedOn w:val="1"/>
    <w:qFormat/>
    <w:uiPriority w:val="0"/>
    <w:rPr>
      <w:rFonts w:cs="宋体"/>
    </w:rPr>
  </w:style>
  <w:style w:type="paragraph" w:customStyle="1" w:styleId="106">
    <w:name w:val="Char2"/>
    <w:basedOn w:val="1"/>
    <w:qFormat/>
    <w:uiPriority w:val="0"/>
    <w:rPr>
      <w:sz w:val="18"/>
    </w:rPr>
  </w:style>
  <w:style w:type="paragraph" w:customStyle="1" w:styleId="107">
    <w:name w:val="软著正文"/>
    <w:basedOn w:val="1"/>
    <w:qFormat/>
    <w:uiPriority w:val="0"/>
    <w:pPr>
      <w:spacing w:line="360" w:lineRule="auto"/>
      <w:ind w:firstLine="200" w:firstLineChars="200"/>
    </w:pPr>
    <w:rPr>
      <w:sz w:val="24"/>
    </w:rPr>
  </w:style>
  <w:style w:type="paragraph" w:customStyle="1" w:styleId="108">
    <w:name w:val="p0"/>
    <w:basedOn w:val="1"/>
    <w:qFormat/>
    <w:uiPriority w:val="0"/>
    <w:pPr>
      <w:widowControl/>
    </w:pPr>
    <w:rPr>
      <w:rFonts w:ascii="Calibri" w:hAnsi="Calibri" w:cs="宋体"/>
      <w:snapToGrid/>
      <w:szCs w:val="21"/>
    </w:rPr>
  </w:style>
  <w:style w:type="paragraph" w:customStyle="1" w:styleId="109">
    <w:name w:val="Char Char Char Char Char Char Char Char Char Char Char Char Char Char Char Char Char Char Char Char Char Char"/>
    <w:basedOn w:val="1"/>
    <w:qFormat/>
    <w:uiPriority w:val="0"/>
    <w:rPr>
      <w:rFonts w:ascii="Tahoma" w:hAnsi="Tahoma"/>
      <w:snapToGrid/>
      <w:kern w:val="2"/>
      <w:sz w:val="24"/>
    </w:rPr>
  </w:style>
  <w:style w:type="paragraph" w:customStyle="1" w:styleId="110">
    <w:name w:val="xl46"/>
    <w:basedOn w:val="1"/>
    <w:qFormat/>
    <w:uiPriority w:val="0"/>
    <w:pPr>
      <w:widowControl/>
      <w:pBdr>
        <w:top w:val="single" w:color="auto" w:sz="8" w:space="0"/>
        <w:bottom w:val="single" w:color="auto" w:sz="8" w:space="0"/>
        <w:right w:val="single" w:color="000000" w:sz="8" w:space="0"/>
      </w:pBdr>
      <w:spacing w:beforeAutospacing="1" w:afterAutospacing="1"/>
      <w:jc w:val="center"/>
      <w:textAlignment w:val="center"/>
    </w:pPr>
    <w:rPr>
      <w:rFonts w:ascii="宋体" w:hAnsi="宋体" w:cs="宋体"/>
      <w:snapToGrid/>
      <w:sz w:val="18"/>
      <w:szCs w:val="18"/>
    </w:rPr>
  </w:style>
  <w:style w:type="paragraph" w:styleId="111">
    <w:name w:val="List Paragraph"/>
    <w:basedOn w:val="1"/>
    <w:qFormat/>
    <w:uiPriority w:val="0"/>
    <w:pPr>
      <w:ind w:firstLine="420" w:firstLineChars="200"/>
    </w:pPr>
    <w:rPr>
      <w:rFonts w:ascii="Calibri" w:hAnsi="Calibri"/>
      <w:snapToGrid/>
      <w:kern w:val="2"/>
    </w:rPr>
  </w:style>
  <w:style w:type="paragraph" w:customStyle="1" w:styleId="112">
    <w:name w:val="Char3 Char Char Char"/>
    <w:basedOn w:val="1"/>
    <w:qFormat/>
    <w:uiPriority w:val="0"/>
    <w:pPr>
      <w:widowControl/>
      <w:spacing w:line="240" w:lineRule="exact"/>
      <w:jc w:val="left"/>
    </w:pPr>
    <w:rPr>
      <w:snapToGrid/>
      <w:kern w:val="2"/>
    </w:rPr>
  </w:style>
  <w:style w:type="paragraph" w:customStyle="1" w:styleId="113">
    <w:name w:val="Default"/>
    <w:next w:val="114"/>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5">
    <w:name w:val="List Paragraph1"/>
    <w:basedOn w:val="1"/>
    <w:qFormat/>
    <w:uiPriority w:val="0"/>
    <w:pPr>
      <w:ind w:firstLine="420" w:firstLineChars="200"/>
    </w:pPr>
    <w:rPr>
      <w:snapToGrid/>
      <w:kern w:val="2"/>
      <w:szCs w:val="24"/>
    </w:rPr>
  </w:style>
  <w:style w:type="paragraph" w:customStyle="1" w:styleId="116">
    <w:name w:val="样式 首行缩进:  0.77 厘米 行距: 1.5 倍行距"/>
    <w:basedOn w:val="1"/>
    <w:qFormat/>
    <w:uiPriority w:val="0"/>
    <w:pPr>
      <w:spacing w:line="360" w:lineRule="auto"/>
      <w:ind w:firstLine="420"/>
    </w:pPr>
    <w:rPr>
      <w:rFonts w:cs="宋体"/>
      <w:snapToGrid/>
      <w:kern w:val="2"/>
    </w:rPr>
  </w:style>
  <w:style w:type="paragraph" w:customStyle="1" w:styleId="117">
    <w:name w:val="一级标题"/>
    <w:basedOn w:val="17"/>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1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Char Char Char"/>
    <w:basedOn w:val="1"/>
    <w:qFormat/>
    <w:uiPriority w:val="0"/>
    <w:rPr>
      <w:rFonts w:ascii="Tahoma" w:hAnsi="Tahoma"/>
      <w:snapToGrid/>
      <w:kern w:val="2"/>
      <w:sz w:val="24"/>
    </w:rPr>
  </w:style>
  <w:style w:type="paragraph" w:customStyle="1" w:styleId="120">
    <w:name w:val="style1"/>
    <w:basedOn w:val="1"/>
    <w:next w:val="1"/>
    <w:qFormat/>
    <w:uiPriority w:val="0"/>
    <w:pPr>
      <w:tabs>
        <w:tab w:val="left" w:pos="845"/>
      </w:tabs>
      <w:adjustRightInd w:val="0"/>
      <w:spacing w:line="264" w:lineRule="auto"/>
      <w:ind w:left="840" w:hanging="420"/>
      <w:textAlignment w:val="baseline"/>
      <w:outlineLvl w:val="1"/>
    </w:pPr>
    <w:rPr>
      <w:b/>
      <w:snapToGrid/>
      <w:sz w:val="28"/>
    </w:rPr>
  </w:style>
  <w:style w:type="character" w:styleId="121">
    <w:name w:val="Placeholder Text"/>
    <w:basedOn w:val="36"/>
    <w:semiHidden/>
    <w:qFormat/>
    <w:uiPriority w:val="99"/>
    <w:rPr>
      <w:color w:val="808080"/>
    </w:rPr>
  </w:style>
  <w:style w:type="paragraph" w:customStyle="1" w:styleId="122">
    <w:name w:val="修订1"/>
    <w:hidden/>
    <w:semiHidden/>
    <w:qFormat/>
    <w:uiPriority w:val="99"/>
    <w:rPr>
      <w:rFonts w:ascii="Times New Roman" w:hAnsi="Times New Roman" w:eastAsia="宋体" w:cs="Times New Roman"/>
      <w:snapToGrid w:val="0"/>
      <w:sz w:val="21"/>
      <w:lang w:val="en-US" w:eastAsia="zh-CN" w:bidi="ar-SA"/>
    </w:rPr>
  </w:style>
  <w:style w:type="table" w:customStyle="1" w:styleId="123">
    <w:name w:val="Table Normal"/>
    <w:unhideWhenUsed/>
    <w:qFormat/>
    <w:uiPriority w:val="2"/>
    <w:tblPr>
      <w:tblCellMar>
        <w:top w:w="0" w:type="dxa"/>
        <w:left w:w="0" w:type="dxa"/>
        <w:bottom w:w="0" w:type="dxa"/>
        <w:right w:w="0" w:type="dxa"/>
      </w:tblCellMar>
    </w:tblPr>
  </w:style>
  <w:style w:type="paragraph" w:customStyle="1" w:styleId="124">
    <w:name w:val="Table Paragraph"/>
    <w:basedOn w:val="1"/>
    <w:qFormat/>
    <w:uiPriority w:val="1"/>
    <w:pPr>
      <w:autoSpaceDE w:val="0"/>
      <w:autoSpaceDN w:val="0"/>
      <w:spacing w:line="246" w:lineRule="exact"/>
      <w:jc w:val="center"/>
    </w:pPr>
    <w:rPr>
      <w:rFonts w:ascii="微软雅黑" w:hAnsi="微软雅黑" w:eastAsia="微软雅黑" w:cs="微软雅黑"/>
      <w:sz w:val="22"/>
      <w:szCs w:val="22"/>
      <w:lang w:val="zh-CN" w:bidi="zh-CN"/>
    </w:rPr>
  </w:style>
  <w:style w:type="paragraph" w:customStyle="1" w:styleId="125">
    <w:name w:val="正文（缩进）"/>
    <w:basedOn w:val="1"/>
    <w:qFormat/>
    <w:uiPriority w:val="0"/>
    <w:pPr>
      <w:spacing w:before="50" w:after="50"/>
      <w:ind w:firstLine="200"/>
    </w:pPr>
    <w:rPr>
      <w:rFonts w:ascii="Calibri" w:hAnsi="Calibri"/>
    </w:rPr>
  </w:style>
  <w:style w:type="paragraph" w:customStyle="1" w:styleId="126">
    <w:name w:val="表格"/>
    <w:basedOn w:val="1"/>
    <w:next w:val="1"/>
    <w:qFormat/>
    <w:uiPriority w:val="0"/>
    <w:pPr>
      <w:spacing w:line="360" w:lineRule="auto"/>
      <w:jc w:val="center"/>
    </w:pPr>
    <w:rPr>
      <w:rFonts w:eastAsia="黑体"/>
      <w:snapToGrid/>
      <w:kern w:val="2"/>
      <w:sz w:val="24"/>
      <w:szCs w:val="24"/>
    </w:rPr>
  </w:style>
  <w:style w:type="character" w:customStyle="1" w:styleId="127">
    <w:name w:val="font122"/>
    <w:basedOn w:val="36"/>
    <w:qFormat/>
    <w:uiPriority w:val="0"/>
    <w:rPr>
      <w:rFonts w:hint="eastAsia" w:ascii="宋体" w:hAnsi="宋体" w:eastAsia="宋体" w:cs="宋体"/>
      <w:color w:val="000000"/>
      <w:sz w:val="20"/>
      <w:szCs w:val="20"/>
      <w:u w:val="none"/>
    </w:rPr>
  </w:style>
  <w:style w:type="character" w:customStyle="1" w:styleId="128">
    <w:name w:val="font131"/>
    <w:basedOn w:val="36"/>
    <w:qFormat/>
    <w:uiPriority w:val="0"/>
    <w:rPr>
      <w:rFonts w:hint="default" w:ascii="Arial" w:hAnsi="Arial" w:cs="Arial"/>
      <w:color w:val="000000"/>
      <w:sz w:val="20"/>
      <w:szCs w:val="20"/>
      <w:u w:val="none"/>
    </w:rPr>
  </w:style>
  <w:style w:type="character" w:customStyle="1" w:styleId="129">
    <w:name w:val="font61"/>
    <w:basedOn w:val="36"/>
    <w:qFormat/>
    <w:uiPriority w:val="0"/>
    <w:rPr>
      <w:rFonts w:hint="eastAsia" w:ascii="宋体" w:hAnsi="宋体" w:eastAsia="宋体" w:cs="宋体"/>
      <w:color w:val="000000"/>
      <w:sz w:val="20"/>
      <w:szCs w:val="20"/>
      <w:u w:val="none"/>
    </w:rPr>
  </w:style>
  <w:style w:type="character" w:customStyle="1" w:styleId="130">
    <w:name w:val="font01"/>
    <w:basedOn w:val="36"/>
    <w:qFormat/>
    <w:uiPriority w:val="0"/>
    <w:rPr>
      <w:rFonts w:hint="default" w:ascii="Arial" w:hAnsi="Arial" w:cs="Arial"/>
      <w:color w:val="000000"/>
      <w:sz w:val="20"/>
      <w:szCs w:val="20"/>
      <w:u w:val="none"/>
    </w:rPr>
  </w:style>
  <w:style w:type="character" w:customStyle="1" w:styleId="131">
    <w:name w:val="font141"/>
    <w:basedOn w:val="36"/>
    <w:qFormat/>
    <w:uiPriority w:val="0"/>
    <w:rPr>
      <w:rFonts w:hint="default" w:ascii="Arial" w:hAnsi="Arial" w:cs="Arial"/>
      <w:color w:val="000000"/>
      <w:sz w:val="20"/>
      <w:szCs w:val="20"/>
      <w:u w:val="none"/>
    </w:rPr>
  </w:style>
  <w:style w:type="character" w:customStyle="1" w:styleId="132">
    <w:name w:val="font12"/>
    <w:basedOn w:val="36"/>
    <w:qFormat/>
    <w:uiPriority w:val="0"/>
    <w:rPr>
      <w:rFonts w:hint="eastAsia" w:ascii="宋体" w:hAnsi="宋体" w:eastAsia="宋体" w:cs="宋体"/>
      <w:color w:val="000000"/>
      <w:sz w:val="20"/>
      <w:szCs w:val="20"/>
      <w:u w:val="none"/>
    </w:rPr>
  </w:style>
  <w:style w:type="character" w:customStyle="1" w:styleId="133">
    <w:name w:val="font151"/>
    <w:basedOn w:val="36"/>
    <w:qFormat/>
    <w:uiPriority w:val="0"/>
    <w:rPr>
      <w:rFonts w:hint="eastAsia" w:ascii="宋体" w:hAnsi="宋体" w:eastAsia="宋体" w:cs="宋体"/>
      <w:color w:val="000000"/>
      <w:sz w:val="20"/>
      <w:szCs w:val="20"/>
      <w:u w:val="none"/>
    </w:rPr>
  </w:style>
  <w:style w:type="character" w:customStyle="1" w:styleId="134">
    <w:name w:val="font101"/>
    <w:basedOn w:val="36"/>
    <w:qFormat/>
    <w:uiPriority w:val="0"/>
    <w:rPr>
      <w:rFonts w:hint="default" w:ascii="Arial" w:hAnsi="Arial" w:cs="Arial"/>
      <w:color w:val="000000"/>
      <w:sz w:val="20"/>
      <w:szCs w:val="20"/>
      <w:u w:val="none"/>
    </w:rPr>
  </w:style>
  <w:style w:type="character" w:customStyle="1" w:styleId="135">
    <w:name w:val="font111"/>
    <w:basedOn w:val="36"/>
    <w:qFormat/>
    <w:uiPriority w:val="0"/>
    <w:rPr>
      <w:rFonts w:ascii="Batang" w:hAnsi="Batang" w:eastAsia="Batang" w:cs="Batang"/>
      <w:color w:val="000000"/>
      <w:sz w:val="21"/>
      <w:szCs w:val="21"/>
      <w:u w:val="none"/>
    </w:rPr>
  </w:style>
  <w:style w:type="character" w:customStyle="1" w:styleId="136">
    <w:name w:val="font161"/>
    <w:basedOn w:val="36"/>
    <w:qFormat/>
    <w:uiPriority w:val="0"/>
    <w:rPr>
      <w:rFonts w:hint="eastAsia" w:ascii="宋体" w:hAnsi="宋体" w:eastAsia="宋体" w:cs="宋体"/>
      <w:color w:val="000000"/>
      <w:sz w:val="21"/>
      <w:szCs w:val="21"/>
      <w:u w:val="none"/>
    </w:rPr>
  </w:style>
  <w:style w:type="paragraph" w:customStyle="1" w:styleId="137">
    <w:name w:val="Body text|1"/>
    <w:basedOn w:val="1"/>
    <w:qFormat/>
    <w:uiPriority w:val="0"/>
    <w:pPr>
      <w:spacing w:line="442" w:lineRule="auto"/>
      <w:ind w:firstLine="400"/>
    </w:pPr>
    <w:rPr>
      <w:rFonts w:ascii="宋体" w:hAnsi="宋体" w:cs="宋体"/>
      <w:sz w:val="22"/>
      <w:szCs w:val="22"/>
      <w:lang w:val="zh-TW" w:eastAsia="zh-TW"/>
    </w:rPr>
  </w:style>
  <w:style w:type="paragraph" w:customStyle="1" w:styleId="138">
    <w:name w:val="正文_0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普通(网站)_0"/>
    <w:basedOn w:val="141"/>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41">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标题 3_0"/>
    <w:basedOn w:val="143"/>
    <w:next w:val="143"/>
    <w:qFormat/>
    <w:uiPriority w:val="0"/>
    <w:pPr>
      <w:keepNext/>
      <w:keepLines/>
      <w:spacing w:line="360" w:lineRule="auto"/>
      <w:outlineLvl w:val="2"/>
    </w:pPr>
    <w:rPr>
      <w:rFonts w:ascii="Calibri" w:hAnsi="Calibri"/>
      <w:b/>
      <w:bCs/>
      <w:kern w:val="0"/>
      <w:sz w:val="24"/>
      <w:szCs w:val="32"/>
    </w:rPr>
  </w:style>
  <w:style w:type="paragraph" w:customStyle="1" w:styleId="14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标题 4_0"/>
    <w:basedOn w:val="143"/>
    <w:next w:val="145"/>
    <w:qFormat/>
    <w:uiPriority w:val="0"/>
    <w:pPr>
      <w:keepNext/>
      <w:keepLines/>
      <w:spacing w:before="280" w:after="290" w:line="376" w:lineRule="auto"/>
      <w:outlineLvl w:val="3"/>
    </w:pPr>
    <w:rPr>
      <w:rFonts w:ascii="Arial" w:hAnsi="Arial" w:eastAsia="黑体"/>
      <w:b/>
      <w:bCs/>
      <w:sz w:val="28"/>
      <w:szCs w:val="28"/>
    </w:rPr>
  </w:style>
  <w:style w:type="paragraph" w:customStyle="1" w:styleId="145">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Revision"/>
    <w:hidden/>
    <w:unhideWhenUsed/>
    <w:qFormat/>
    <w:uiPriority w:val="99"/>
    <w:rPr>
      <w:rFonts w:ascii="Times New Roman" w:hAnsi="Times New Roman" w:eastAsia="宋体" w:cs="Times New Roman"/>
      <w:snapToGrid w:val="0"/>
      <w:sz w:val="21"/>
      <w:lang w:val="en-US" w:eastAsia="zh-CN" w:bidi="ar-SA"/>
    </w:rPr>
  </w:style>
  <w:style w:type="paragraph" w:customStyle="1" w:styleId="147">
    <w:name w:val="zbggmain"/>
    <w:basedOn w:val="1"/>
    <w:qFormat/>
    <w:uiPriority w:val="0"/>
    <w:pPr>
      <w:widowControl/>
      <w:spacing w:before="100" w:beforeAutospacing="1" w:after="100" w:afterAutospacing="1" w:line="360" w:lineRule="auto"/>
      <w:jc w:val="left"/>
    </w:pPr>
    <w:rPr>
      <w:rFonts w:ascii="_x000B__x000C_" w:hAnsi="_x000B__x000C_"/>
      <w:color w:val="000000"/>
      <w:kern w:val="0"/>
      <w:sz w:val="24"/>
    </w:rPr>
  </w:style>
  <w:style w:type="paragraph" w:customStyle="1" w:styleId="148">
    <w:name w:val="_Style 2"/>
    <w:basedOn w:val="1"/>
    <w:qFormat/>
    <w:uiPriority w:val="34"/>
    <w:pPr>
      <w:ind w:firstLine="420" w:firstLineChars="200"/>
    </w:pPr>
    <w:rPr>
      <w:rFonts w:ascii="Calibri" w:hAnsi="Calibri"/>
      <w:szCs w:val="22"/>
    </w:rPr>
  </w:style>
  <w:style w:type="paragraph" w:customStyle="1" w:styleId="14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CM14"/>
    <w:basedOn w:val="113"/>
    <w:next w:val="113"/>
    <w:unhideWhenUsed/>
    <w:qFormat/>
    <w:uiPriority w:val="99"/>
    <w:pPr>
      <w:spacing w:beforeLines="0" w:afterLines="0" w:line="546" w:lineRule="atLeast"/>
    </w:pPr>
    <w:rPr>
      <w:rFonts w:hint="eastAsia"/>
      <w:sz w:val="24"/>
    </w:rPr>
  </w:style>
  <w:style w:type="character" w:customStyle="1" w:styleId="151">
    <w:name w:val="标题 3 字符"/>
    <w:link w:val="5"/>
    <w:qFormat/>
    <w:uiPriority w:val="0"/>
    <w:rPr>
      <w:rFonts w:ascii="宋体"/>
      <w:b/>
      <w:snapToGrid/>
      <w:kern w:val="2"/>
      <w:sz w:val="28"/>
    </w:rPr>
  </w:style>
  <w:style w:type="paragraph" w:customStyle="1" w:styleId="152">
    <w:name w:val="[Normal]"/>
    <w:qFormat/>
    <w:uiPriority w:val="0"/>
    <w:rPr>
      <w:rFonts w:ascii="宋体" w:hAnsi="宋体" w:eastAsia="宋体" w:cs="Times New Roman"/>
      <w:sz w:val="24"/>
      <w:lang w:val="en-US" w:eastAsia="en-US" w:bidi="ar-SA"/>
    </w:rPr>
  </w:style>
  <w:style w:type="paragraph" w:customStyle="1" w:styleId="15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20F24-596C-48E6-B92F-370AA8D401DD}">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35</Pages>
  <Words>50215</Words>
  <Characters>52883</Characters>
  <Lines>414</Lines>
  <Paragraphs>116</Paragraphs>
  <TotalTime>80</TotalTime>
  <ScaleCrop>false</ScaleCrop>
  <LinksUpToDate>false</LinksUpToDate>
  <CharactersWithSpaces>56656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2022-09-27T06:00:00Z</dcterms:created>
  <dc:creator>黎似玖</dc:creator>
  <cp:lastModifiedBy>情不知所起、一往而深</cp:lastModifiedBy>
  <cp:lastPrinted>2022-06-06T05:49:00Z</cp:lastPrinted>
  <dcterms:modified xsi:type="dcterms:W3CDTF">2024-09-13T06:19:25Z</dcterms:modified>
  <dc:title>开发区环境监测站部分仪器采购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2C4B725A1B02417BB100F3328113976C_13</vt:lpwstr>
  </property>
  <property fmtid="{D5CDD505-2E9C-101B-9397-08002B2CF9AE}" pid="4" name="commondata">
    <vt:lpwstr>eyJoZGlkIjoiMzEyNDE3ZTQ1MDc1YTkwN2MxZjdkNDZlOWQwZjJlNzcifQ==</vt:lpwstr>
  </property>
</Properties>
</file>