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bCs/>
          <w:color w:val="auto"/>
          <w:sz w:val="44"/>
          <w:highlight w:val="none"/>
        </w:rPr>
      </w:pPr>
      <w:bookmarkStart w:id="36" w:name="_GoBack"/>
      <w:bookmarkEnd w:id="36"/>
    </w:p>
    <w:p>
      <w:pPr>
        <w:snapToGrid w:val="0"/>
        <w:spacing w:line="360" w:lineRule="auto"/>
        <w:jc w:val="center"/>
        <w:rPr>
          <w:rFonts w:hint="eastAsia" w:ascii="宋体" w:hAnsi="宋体" w:cs="宋体"/>
          <w:b/>
          <w:bCs/>
          <w:color w:val="auto"/>
          <w:sz w:val="44"/>
          <w:highlight w:val="none"/>
        </w:rPr>
      </w:pPr>
    </w:p>
    <w:p>
      <w:pPr>
        <w:snapToGrid w:val="0"/>
        <w:spacing w:line="360" w:lineRule="auto"/>
        <w:jc w:val="center"/>
        <w:rPr>
          <w:rFonts w:hint="eastAsia" w:eastAsia="宋体"/>
          <w:color w:val="auto"/>
          <w:highlight w:val="none"/>
          <w:lang w:eastAsia="zh-CN"/>
        </w:rPr>
      </w:pPr>
      <w:r>
        <w:rPr>
          <w:rFonts w:hint="eastAsia" w:ascii="宋体" w:hAnsi="宋体"/>
          <w:b/>
          <w:bCs/>
          <w:color w:val="auto"/>
          <w:sz w:val="48"/>
          <w:szCs w:val="44"/>
          <w:highlight w:val="none"/>
          <w:lang w:eastAsia="zh-CN"/>
        </w:rPr>
        <w:t>杭州机场高铁有限公司2025-2026年非招标方式采购项目代理服务单位</w:t>
      </w:r>
    </w:p>
    <w:p>
      <w:pPr>
        <w:snapToGrid w:val="0"/>
        <w:spacing w:line="360" w:lineRule="auto"/>
        <w:jc w:val="center"/>
        <w:rPr>
          <w:rFonts w:hint="eastAsia" w:ascii="宋体" w:hAnsi="宋体" w:cs="宋体"/>
          <w:bCs/>
          <w:snapToGrid w:val="0"/>
          <w:color w:val="auto"/>
          <w:kern w:val="0"/>
          <w:sz w:val="24"/>
          <w:highlight w:val="none"/>
          <w:u w:val="single"/>
        </w:rPr>
      </w:pPr>
    </w:p>
    <w:p>
      <w:pPr>
        <w:snapToGrid w:val="0"/>
        <w:spacing w:line="360" w:lineRule="auto"/>
        <w:jc w:val="center"/>
        <w:rPr>
          <w:rFonts w:hint="eastAsia" w:ascii="宋体" w:hAnsi="宋体" w:cs="宋体"/>
          <w:bCs/>
          <w:snapToGrid w:val="0"/>
          <w:color w:val="auto"/>
          <w:kern w:val="0"/>
          <w:sz w:val="24"/>
          <w:highlight w:val="none"/>
          <w:u w:val="single"/>
        </w:rPr>
      </w:pPr>
    </w:p>
    <w:p>
      <w:pPr>
        <w:spacing w:before="360" w:after="240" w:afterLines="100" w:line="360" w:lineRule="auto"/>
        <w:jc w:val="center"/>
        <w:rPr>
          <w:rFonts w:hint="eastAsia" w:ascii="宋体" w:hAnsi="宋体" w:cs="宋体"/>
          <w:b/>
          <w:bCs/>
          <w:color w:val="auto"/>
          <w:sz w:val="104"/>
          <w:szCs w:val="104"/>
          <w:highlight w:val="none"/>
        </w:rPr>
      </w:pPr>
      <w:r>
        <w:rPr>
          <w:rFonts w:hint="eastAsia" w:ascii="宋体" w:hAnsi="宋体" w:cs="宋体"/>
          <w:b/>
          <w:bCs/>
          <w:color w:val="auto"/>
          <w:sz w:val="104"/>
          <w:szCs w:val="104"/>
          <w:highlight w:val="none"/>
        </w:rPr>
        <w:t>公开竞标</w:t>
      </w:r>
    </w:p>
    <w:p>
      <w:pPr>
        <w:spacing w:before="360" w:after="240" w:afterLines="100" w:line="360" w:lineRule="auto"/>
        <w:jc w:val="center"/>
        <w:rPr>
          <w:rFonts w:hint="eastAsia" w:ascii="宋体" w:hAnsi="宋体" w:cs="宋体"/>
          <w:b/>
          <w:bCs/>
          <w:color w:val="auto"/>
          <w:sz w:val="104"/>
          <w:szCs w:val="104"/>
          <w:highlight w:val="none"/>
        </w:rPr>
      </w:pPr>
      <w:r>
        <w:rPr>
          <w:rFonts w:hint="eastAsia" w:ascii="宋体" w:hAnsi="宋体" w:cs="宋体"/>
          <w:b/>
          <w:bCs/>
          <w:color w:val="auto"/>
          <w:sz w:val="104"/>
          <w:szCs w:val="104"/>
          <w:highlight w:val="none"/>
        </w:rPr>
        <w:t>采购文件</w:t>
      </w:r>
    </w:p>
    <w:p>
      <w:pPr>
        <w:tabs>
          <w:tab w:val="left" w:pos="0"/>
        </w:tabs>
        <w:spacing w:before="50" w:after="5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采购编号：JT-XM-C-2025-0038</w:t>
      </w:r>
    </w:p>
    <w:p>
      <w:pPr>
        <w:spacing w:line="360" w:lineRule="auto"/>
        <w:jc w:val="center"/>
        <w:rPr>
          <w:rFonts w:hint="eastAsia" w:ascii="宋体" w:hAnsi="宋体" w:cs="宋体"/>
          <w:b/>
          <w:bCs/>
          <w:color w:val="auto"/>
          <w:sz w:val="84"/>
          <w:highlight w:val="none"/>
        </w:rPr>
      </w:pPr>
    </w:p>
    <w:p>
      <w:pPr>
        <w:spacing w:line="360" w:lineRule="auto"/>
        <w:ind w:firstLine="1269" w:firstLineChars="395"/>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采购单位：</w:t>
      </w:r>
      <w:permStart w:id="0" w:edGrp="everyone"/>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u w:val="single"/>
        </w:rPr>
        <w:t>杭州</w:t>
      </w:r>
      <w:r>
        <w:rPr>
          <w:rFonts w:hint="eastAsia" w:ascii="宋体" w:hAnsi="宋体" w:cs="宋体"/>
          <w:b/>
          <w:bCs/>
          <w:color w:val="auto"/>
          <w:sz w:val="32"/>
          <w:szCs w:val="32"/>
          <w:highlight w:val="none"/>
          <w:u w:val="single"/>
          <w:lang w:val="en-US" w:eastAsia="zh-CN"/>
        </w:rPr>
        <w:t>机场高铁</w:t>
      </w:r>
      <w:r>
        <w:rPr>
          <w:rFonts w:hint="eastAsia" w:ascii="宋体" w:hAnsi="宋体" w:cs="宋体"/>
          <w:b/>
          <w:bCs/>
          <w:color w:val="auto"/>
          <w:sz w:val="32"/>
          <w:szCs w:val="32"/>
          <w:highlight w:val="none"/>
          <w:u w:val="single"/>
        </w:rPr>
        <w:t>有限公司</w:t>
      </w:r>
      <w:r>
        <w:rPr>
          <w:rFonts w:ascii="宋体" w:hAnsi="宋体" w:cs="宋体"/>
          <w:b/>
          <w:bCs/>
          <w:color w:val="auto"/>
          <w:sz w:val="32"/>
          <w:szCs w:val="32"/>
          <w:highlight w:val="none"/>
          <w:u w:val="single"/>
        </w:rPr>
        <w:t xml:space="preserve"> </w:t>
      </w:r>
      <w:permEnd w:id="0"/>
    </w:p>
    <w:p>
      <w:pPr>
        <w:spacing w:line="360" w:lineRule="auto"/>
        <w:jc w:val="center"/>
        <w:rPr>
          <w:rFonts w:hint="eastAsia" w:ascii="宋体" w:hAnsi="宋体" w:cs="宋体"/>
          <w:b/>
          <w:bCs/>
          <w:color w:val="auto"/>
          <w:sz w:val="36"/>
          <w:highlight w:val="none"/>
        </w:rPr>
        <w:sectPr>
          <w:footerReference r:id="rId6" w:type="first"/>
          <w:headerReference r:id="rId3" w:type="default"/>
          <w:footerReference r:id="rId4" w:type="default"/>
          <w:footerReference r:id="rId5" w:type="even"/>
          <w:pgSz w:w="11906" w:h="16838"/>
          <w:pgMar w:top="1236" w:right="1134" w:bottom="1134" w:left="1134" w:header="680" w:footer="260" w:gutter="0"/>
          <w:pgNumType w:fmt="numberInDash"/>
          <w:cols w:space="720" w:num="1"/>
          <w:docGrid w:linePitch="312" w:charSpace="0"/>
        </w:sectPr>
      </w:pPr>
      <w:r>
        <w:rPr>
          <w:rFonts w:ascii="宋体" w:hAnsi="宋体" w:cs="宋体"/>
          <w:b/>
          <w:bCs/>
          <w:color w:val="auto"/>
          <w:sz w:val="32"/>
          <w:szCs w:val="32"/>
          <w:highlight w:val="none"/>
        </w:rPr>
        <w:t>202</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 xml:space="preserve"> 年</w:t>
      </w:r>
      <w:r>
        <w:rPr>
          <w:rFonts w:hint="eastAsia" w:ascii="宋体" w:hAnsi="宋体" w:cs="宋体"/>
          <w:b/>
          <w:bCs/>
          <w:color w:val="auto"/>
          <w:sz w:val="32"/>
          <w:szCs w:val="32"/>
          <w:highlight w:val="none"/>
          <w:lang w:val="en-US" w:eastAsia="zh-CN"/>
        </w:rPr>
        <w:t xml:space="preserve"> 2 </w:t>
      </w:r>
      <w:r>
        <w:rPr>
          <w:rFonts w:hint="eastAsia" w:ascii="宋体" w:hAnsi="宋体" w:cs="宋体"/>
          <w:b/>
          <w:bCs/>
          <w:color w:val="auto"/>
          <w:sz w:val="32"/>
          <w:szCs w:val="32"/>
          <w:highlight w:val="none"/>
        </w:rPr>
        <w:t>月</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none"/>
        </w:rPr>
      </w:pPr>
      <w:bookmarkStart w:id="0" w:name="_Toc129714672"/>
      <w:r>
        <w:rPr>
          <w:rFonts w:hint="eastAsia"/>
          <w:color w:val="auto"/>
          <w:highlight w:val="none"/>
        </w:rPr>
        <w:t xml:space="preserve">第一章 </w:t>
      </w:r>
      <w:bookmarkEnd w:id="0"/>
      <w:r>
        <w:rPr>
          <w:rFonts w:hint="eastAsia"/>
          <w:color w:val="auto"/>
          <w:highlight w:val="none"/>
        </w:rPr>
        <w:t>采购公告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杭州</w:t>
      </w:r>
      <w:r>
        <w:rPr>
          <w:rFonts w:hint="eastAsia" w:asciiTheme="majorEastAsia" w:hAnsiTheme="majorEastAsia" w:eastAsiaTheme="majorEastAsia" w:cstheme="majorEastAsia"/>
          <w:color w:val="auto"/>
          <w:sz w:val="24"/>
          <w:szCs w:val="24"/>
          <w:highlight w:val="none"/>
          <w:u w:val="single"/>
          <w:lang w:val="en-US" w:eastAsia="zh-CN"/>
        </w:rPr>
        <w:t>机场高铁</w:t>
      </w:r>
      <w:r>
        <w:rPr>
          <w:rFonts w:hint="eastAsia" w:asciiTheme="majorEastAsia" w:hAnsiTheme="majorEastAsia" w:eastAsiaTheme="majorEastAsia" w:cstheme="majorEastAsia"/>
          <w:color w:val="auto"/>
          <w:sz w:val="24"/>
          <w:szCs w:val="24"/>
          <w:highlight w:val="none"/>
          <w:u w:val="single"/>
        </w:rPr>
        <w:t xml:space="preserve">有限公司 </w:t>
      </w:r>
      <w:r>
        <w:rPr>
          <w:rFonts w:hint="eastAsia" w:asciiTheme="majorEastAsia" w:hAnsiTheme="majorEastAsia" w:eastAsiaTheme="majorEastAsia" w:cstheme="majorEastAsia"/>
          <w:color w:val="auto"/>
          <w:sz w:val="24"/>
          <w:szCs w:val="24"/>
          <w:highlight w:val="none"/>
        </w:rPr>
        <w:t>对</w:t>
      </w:r>
      <w:r>
        <w:rPr>
          <w:rFonts w:hint="eastAsia" w:asciiTheme="majorEastAsia" w:hAnsiTheme="majorEastAsia" w:eastAsiaTheme="majorEastAsia" w:cstheme="majorEastAsia"/>
          <w:color w:val="auto"/>
          <w:sz w:val="24"/>
          <w:szCs w:val="24"/>
          <w:highlight w:val="none"/>
          <w:u w:val="single"/>
          <w:lang w:eastAsia="zh-CN"/>
        </w:rPr>
        <w:t>杭州机场高铁有限公司2025-2026年非招标方式采购项目代理服务单位</w:t>
      </w:r>
      <w:r>
        <w:rPr>
          <w:rFonts w:hint="eastAsia" w:asciiTheme="majorEastAsia" w:hAnsiTheme="majorEastAsia" w:eastAsiaTheme="majorEastAsia" w:cstheme="majorEastAsia"/>
          <w:color w:val="auto"/>
          <w:sz w:val="24"/>
          <w:szCs w:val="24"/>
          <w:highlight w:val="none"/>
        </w:rPr>
        <w:t>进行国内公开竞标。本次采购采用资格后审的方法确定合格供应商，</w:t>
      </w:r>
      <w:r>
        <w:rPr>
          <w:rFonts w:hint="eastAsia" w:asciiTheme="majorEastAsia" w:hAnsiTheme="majorEastAsia" w:eastAsiaTheme="majorEastAsia" w:cstheme="majorEastAsia"/>
          <w:color w:val="auto"/>
          <w:sz w:val="24"/>
          <w:szCs w:val="24"/>
          <w:highlight w:val="none"/>
          <w:lang w:val="zh-CN"/>
        </w:rPr>
        <w:t>欢迎对本项目有兴趣并</w:t>
      </w:r>
      <w:r>
        <w:rPr>
          <w:rFonts w:hint="eastAsia" w:asciiTheme="majorEastAsia" w:hAnsiTheme="majorEastAsia" w:eastAsiaTheme="majorEastAsia" w:cstheme="majorEastAsia"/>
          <w:color w:val="auto"/>
          <w:sz w:val="24"/>
          <w:szCs w:val="24"/>
          <w:highlight w:val="none"/>
        </w:rPr>
        <w:t>符合</w:t>
      </w:r>
      <w:r>
        <w:rPr>
          <w:rFonts w:hint="eastAsia" w:asciiTheme="majorEastAsia" w:hAnsiTheme="majorEastAsia" w:eastAsiaTheme="majorEastAsia" w:cstheme="majorEastAsia"/>
          <w:color w:val="auto"/>
          <w:sz w:val="24"/>
          <w:szCs w:val="24"/>
          <w:highlight w:val="none"/>
          <w:lang w:val="en-US" w:eastAsia="zh-CN"/>
        </w:rPr>
        <w:t>供应商</w:t>
      </w:r>
      <w:r>
        <w:rPr>
          <w:rFonts w:hint="eastAsia" w:asciiTheme="majorEastAsia" w:hAnsiTheme="majorEastAsia" w:eastAsiaTheme="majorEastAsia" w:cstheme="majorEastAsia"/>
          <w:color w:val="auto"/>
          <w:sz w:val="24"/>
          <w:szCs w:val="24"/>
          <w:highlight w:val="none"/>
        </w:rPr>
        <w:t>资格条件</w:t>
      </w:r>
      <w:r>
        <w:rPr>
          <w:rFonts w:hint="eastAsia" w:asciiTheme="majorEastAsia" w:hAnsiTheme="majorEastAsia" w:eastAsiaTheme="majorEastAsia" w:cstheme="majorEastAsia"/>
          <w:color w:val="auto"/>
          <w:sz w:val="24"/>
          <w:szCs w:val="24"/>
          <w:highlight w:val="none"/>
          <w:lang w:val="zh-CN"/>
        </w:rPr>
        <w:t>的</w:t>
      </w:r>
      <w:r>
        <w:rPr>
          <w:rFonts w:hint="eastAsia" w:asciiTheme="majorEastAsia" w:hAnsiTheme="majorEastAsia" w:eastAsiaTheme="majorEastAsia" w:cstheme="majorEastAsia"/>
          <w:color w:val="auto"/>
          <w:sz w:val="24"/>
          <w:szCs w:val="24"/>
          <w:highlight w:val="none"/>
          <w:lang w:val="en-US" w:eastAsia="zh-CN"/>
        </w:rPr>
        <w:t>供应商</w:t>
      </w:r>
      <w:r>
        <w:rPr>
          <w:rFonts w:hint="eastAsia" w:asciiTheme="majorEastAsia" w:hAnsiTheme="majorEastAsia" w:eastAsiaTheme="majorEastAsia" w:cstheme="majorEastAsia"/>
          <w:color w:val="auto"/>
          <w:sz w:val="24"/>
          <w:szCs w:val="24"/>
          <w:highlight w:val="none"/>
          <w:lang w:val="zh-CN"/>
        </w:rPr>
        <w:t>参加投标</w:t>
      </w:r>
      <w:r>
        <w:rPr>
          <w:rFonts w:hint="eastAsia" w:asciiTheme="majorEastAsia" w:hAnsiTheme="majorEastAsia" w:eastAsiaTheme="majorEastAsia" w:cstheme="majorEastAsia"/>
          <w:color w:val="auto"/>
          <w:sz w:val="24"/>
          <w:szCs w:val="24"/>
          <w:highlight w:val="none"/>
        </w:rPr>
        <w:t>。本项目是非政府采购。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一.采购编号：</w:t>
      </w:r>
      <w:r>
        <w:rPr>
          <w:rFonts w:hint="eastAsia" w:asciiTheme="majorEastAsia" w:hAnsiTheme="majorEastAsia" w:eastAsiaTheme="majorEastAsia" w:cstheme="majorEastAsia"/>
          <w:color w:val="auto"/>
          <w:sz w:val="24"/>
          <w:szCs w:val="24"/>
          <w:highlight w:val="none"/>
          <w:lang w:val="en-US" w:eastAsia="zh-CN"/>
        </w:rPr>
        <w:t xml:space="preserve">JT-XM-C-2025-0038 </w:t>
      </w:r>
      <w:r>
        <w:rPr>
          <w:rFonts w:hint="eastAsia" w:asciiTheme="majorEastAsia" w:hAnsiTheme="majorEastAsia" w:eastAsiaTheme="majorEastAsia" w:cstheme="majorEastAsia"/>
          <w:b/>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b/>
          <w:bCs/>
          <w:color w:val="auto"/>
          <w:sz w:val="24"/>
          <w:szCs w:val="24"/>
          <w:highlight w:val="none"/>
        </w:rPr>
        <w:t>二.采购内容：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eastAsia="zh-CN"/>
        </w:rPr>
        <w:t>本次采购内容为杭州机场高铁有限公司2025-2026年非招标方式采购项目代理服务，</w:t>
      </w:r>
      <w:r>
        <w:rPr>
          <w:rFonts w:hint="eastAsia" w:asciiTheme="majorEastAsia" w:hAnsiTheme="majorEastAsia" w:eastAsiaTheme="majorEastAsia" w:cstheme="majorEastAsia"/>
          <w:color w:val="auto"/>
          <w:sz w:val="24"/>
          <w:szCs w:val="24"/>
          <w:highlight w:val="none"/>
          <w:u w:val="single"/>
          <w:lang w:val="en-US" w:eastAsia="zh-CN"/>
        </w:rPr>
        <w:t>包括公开竞标、邀请竞标、竞争性谈判（或磋商）采购、询价采购等</w:t>
      </w:r>
      <w:r>
        <w:rPr>
          <w:rFonts w:hint="eastAsia" w:asciiTheme="majorEastAsia" w:hAnsiTheme="majorEastAsia" w:eastAsiaTheme="majorEastAsia" w:cstheme="majorEastAsia"/>
          <w:color w:val="auto"/>
          <w:sz w:val="24"/>
          <w:szCs w:val="24"/>
          <w:highlight w:val="none"/>
          <w:u w:val="single"/>
          <w:lang w:eastAsia="zh-CN"/>
        </w:rPr>
        <w:t>。服务类采购项目投资额超过</w:t>
      </w:r>
      <w:r>
        <w:rPr>
          <w:rFonts w:hint="eastAsia" w:asciiTheme="majorEastAsia" w:hAnsiTheme="majorEastAsia" w:eastAsiaTheme="majorEastAsia" w:cstheme="majorEastAsia"/>
          <w:color w:val="auto"/>
          <w:sz w:val="24"/>
          <w:szCs w:val="24"/>
          <w:highlight w:val="none"/>
          <w:u w:val="single"/>
          <w:lang w:val="en-US" w:eastAsia="zh-CN"/>
        </w:rPr>
        <w:t>10</w:t>
      </w:r>
      <w:r>
        <w:rPr>
          <w:rFonts w:hint="eastAsia" w:asciiTheme="majorEastAsia" w:hAnsiTheme="majorEastAsia" w:eastAsiaTheme="majorEastAsia" w:cstheme="majorEastAsia"/>
          <w:color w:val="auto"/>
          <w:sz w:val="24"/>
          <w:szCs w:val="24"/>
          <w:highlight w:val="none"/>
          <w:u w:val="single"/>
          <w:lang w:eastAsia="zh-CN"/>
        </w:rPr>
        <w:t>0万元（含）的、货物类采购项目投资额超过200万元（含）的、工程类采购项目投资额超过400万元（含）的、采用直接委托方式的采购项目，以及所有工程类项目控制价、清单编制及审核的服务内容均不包含在本次采购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三.采购单位：</w:t>
      </w:r>
      <w:r>
        <w:rPr>
          <w:rFonts w:hint="eastAsia" w:asciiTheme="majorEastAsia" w:hAnsiTheme="majorEastAsia" w:eastAsiaTheme="majorEastAsia" w:cstheme="majorEastAsia"/>
          <w:b/>
          <w:bCs/>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杭州</w:t>
      </w:r>
      <w:r>
        <w:rPr>
          <w:rFonts w:hint="eastAsia" w:asciiTheme="majorEastAsia" w:hAnsiTheme="majorEastAsia" w:eastAsiaTheme="majorEastAsia" w:cstheme="majorEastAsia"/>
          <w:color w:val="auto"/>
          <w:sz w:val="24"/>
          <w:szCs w:val="24"/>
          <w:highlight w:val="none"/>
          <w:u w:val="single"/>
          <w:lang w:val="en-US" w:eastAsia="zh-CN"/>
        </w:rPr>
        <w:t>机场高铁</w:t>
      </w:r>
      <w:r>
        <w:rPr>
          <w:rFonts w:hint="eastAsia" w:asciiTheme="majorEastAsia" w:hAnsiTheme="majorEastAsia" w:eastAsiaTheme="majorEastAsia" w:cstheme="majorEastAsia"/>
          <w:color w:val="auto"/>
          <w:sz w:val="24"/>
          <w:szCs w:val="24"/>
          <w:highlight w:val="none"/>
          <w:u w:val="single"/>
        </w:rPr>
        <w:t>有限公司</w:t>
      </w: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四.采购代理：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五.供应商资格条件：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ajorEastAsia" w:hAnsiTheme="majorEastAsia" w:eastAsiaTheme="majorEastAsia" w:cstheme="majorEastAsia"/>
          <w:b/>
          <w:bCs/>
          <w:color w:val="auto"/>
          <w:sz w:val="24"/>
          <w:szCs w:val="24"/>
          <w:highlight w:val="none"/>
          <w:u w:val="single"/>
          <w:lang w:val="en-US" w:eastAsia="zh-CN"/>
        </w:rPr>
      </w:pPr>
      <w:r>
        <w:rPr>
          <w:rFonts w:hint="eastAsia" w:asciiTheme="majorEastAsia" w:hAnsiTheme="majorEastAsia" w:eastAsiaTheme="majorEastAsia" w:cstheme="majorEastAsia"/>
          <w:b/>
          <w:bCs/>
          <w:color w:val="auto"/>
          <w:sz w:val="24"/>
          <w:szCs w:val="24"/>
          <w:highlight w:val="none"/>
          <w:u w:val="single"/>
          <w:lang w:val="en-US" w:eastAsia="zh-CN"/>
        </w:rPr>
        <w:t xml:space="preserve">供应商在中华人民共和国境内注册，具有独立法人资格；【证明材料：营业执照复制件】。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ajorEastAsia" w:hAnsiTheme="majorEastAsia" w:eastAsiaTheme="majorEastAsia" w:cstheme="majorEastAsia"/>
          <w:b/>
          <w:bCs/>
          <w:color w:val="auto"/>
          <w:sz w:val="24"/>
          <w:szCs w:val="24"/>
          <w:highlight w:val="none"/>
          <w:u w:val="single"/>
          <w:lang w:val="en-US" w:eastAsia="zh-CN"/>
        </w:rPr>
      </w:pPr>
      <w:r>
        <w:rPr>
          <w:rFonts w:hint="eastAsia" w:asciiTheme="majorEastAsia" w:hAnsiTheme="majorEastAsia" w:eastAsiaTheme="majorEastAsia" w:cstheme="majorEastAsia"/>
          <w:b/>
          <w:bCs/>
          <w:color w:val="auto"/>
          <w:sz w:val="24"/>
          <w:szCs w:val="24"/>
          <w:highlight w:val="none"/>
          <w:u w:val="single"/>
          <w:lang w:val="en-US" w:eastAsia="zh-CN"/>
        </w:rPr>
        <w:t>单位负责人为同一人或者存在控股、管理关系的不同单位，不得同时参加本项目投标；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Theme="majorEastAsia" w:hAnsiTheme="majorEastAsia" w:eastAsiaTheme="majorEastAsia" w:cstheme="majorEastAsia"/>
          <w:b/>
          <w:bCs/>
          <w:color w:val="auto"/>
          <w:sz w:val="24"/>
          <w:szCs w:val="24"/>
          <w:highlight w:val="none"/>
          <w:u w:val="single"/>
        </w:rPr>
      </w:pPr>
      <w:r>
        <w:rPr>
          <w:rFonts w:hint="eastAsia" w:asciiTheme="majorEastAsia" w:hAnsiTheme="majorEastAsia" w:eastAsiaTheme="majorEastAsia" w:cstheme="majorEastAsia"/>
          <w:b/>
          <w:bCs/>
          <w:color w:val="auto"/>
          <w:sz w:val="24"/>
          <w:szCs w:val="24"/>
          <w:highlight w:val="none"/>
          <w:u w:val="single"/>
          <w:lang w:val="en-US" w:eastAsia="zh-CN"/>
        </w:rPr>
        <w:t xml:space="preserve">本项目不接受联合体投标。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注：上述证明材料中复制件须加盖供应商公章（电子章或物理章），否则不予认可。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六.采购文件价格</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rPr>
        <w:t xml:space="preserve">    /  元人民币</w:t>
      </w:r>
      <w:r>
        <w:rPr>
          <w:rFonts w:hint="eastAsia" w:asciiTheme="majorEastAsia" w:hAnsiTheme="majorEastAsia" w:eastAsiaTheme="majorEastAsia" w:cstheme="majorEastAsia"/>
          <w:color w:val="auto"/>
          <w:sz w:val="24"/>
          <w:szCs w:val="24"/>
          <w:highlight w:val="none"/>
        </w:rPr>
        <w:t>，售后恕不退还。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七.采购文件获取：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1.时间： 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 xml:space="preserve"> 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日至 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28</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lang w:val="en-US" w:eastAsia="zh-CN"/>
        </w:rPr>
        <w:t xml:space="preserve"> 10</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lang w:val="en-US" w:eastAsia="zh-CN"/>
        </w:rPr>
        <w:t>00</w:t>
      </w:r>
      <w:r>
        <w:rPr>
          <w:rFonts w:hint="eastAsia" w:asciiTheme="majorEastAsia" w:hAnsiTheme="majorEastAsia" w:eastAsiaTheme="majorEastAsia" w:cstheme="major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2.地点（网址）：杭州交投集中采购平台（http://cg.zjhzjtjt.com/）；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3.方式：供应商登陆杭州交投集中采购平台，在线申请获取采购文件（进入“项目采购”应用，在获取采购文件菜单中选择项目，申请获取采购文件，采购文件请至公告附件处下载，获取前缴纳采购文件工本费</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注：请供应商按上述要求获取采购文件，如未在“杭州交投集中采购平台”系统内完成相关流程，或未完成报名手续，引起的投标无效责任自负。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4.响应供应商对采购文件有疑问的，通过“电子交易平台”提交。提交疑问截止日为202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 xml:space="preserve"> 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 xml:space="preserve">日 </w:t>
      </w:r>
      <w:r>
        <w:rPr>
          <w:rFonts w:hint="eastAsia" w:asciiTheme="majorEastAsia" w:hAnsiTheme="majorEastAsia" w:eastAsiaTheme="majorEastAsia" w:cstheme="majorEastAsia"/>
          <w:color w:val="auto"/>
          <w:sz w:val="24"/>
          <w:szCs w:val="24"/>
          <w:highlight w:val="none"/>
          <w:lang w:val="en-US" w:eastAsia="zh-CN"/>
        </w:rPr>
        <w:t>17</w:t>
      </w:r>
      <w:r>
        <w:rPr>
          <w:rFonts w:hint="eastAsia" w:asciiTheme="majorEastAsia" w:hAnsiTheme="majorEastAsia" w:eastAsiaTheme="majorEastAsia" w:cstheme="majorEastAsia"/>
          <w:color w:val="auto"/>
          <w:sz w:val="24"/>
          <w:szCs w:val="24"/>
          <w:highlight w:val="none"/>
        </w:rPr>
        <w:t xml:space="preserve"> 时00分。采购单位将于 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24</w:t>
      </w:r>
      <w:r>
        <w:rPr>
          <w:rFonts w:hint="eastAsia" w:asciiTheme="majorEastAsia" w:hAnsiTheme="majorEastAsia" w:eastAsiaTheme="majorEastAsia" w:cstheme="majorEastAsia"/>
          <w:color w:val="auto"/>
          <w:sz w:val="24"/>
          <w:szCs w:val="24"/>
          <w:highlight w:val="none"/>
        </w:rPr>
        <w:t>日 17 时00分前在网上发布澄清。响应供应商应自行关注“电子交易平台”，采购单位不再一一通知。因供应商自身贻误行为导致成交失败的，责任自负。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八.投标截止时间：</w:t>
      </w:r>
      <w:r>
        <w:rPr>
          <w:rFonts w:hint="eastAsia" w:asciiTheme="majorEastAsia" w:hAnsiTheme="majorEastAsia" w:eastAsiaTheme="majorEastAsia" w:cstheme="majorEastAsia"/>
          <w:color w:val="auto"/>
          <w:sz w:val="24"/>
          <w:szCs w:val="24"/>
          <w:highlight w:val="none"/>
        </w:rPr>
        <w:t xml:space="preserve"> 202</w:t>
      </w:r>
      <w:r>
        <w:rPr>
          <w:rFonts w:hint="eastAsia" w:asciiTheme="majorEastAsia" w:hAnsiTheme="majorEastAsia" w:eastAsiaTheme="majorEastAsia" w:cstheme="majorEastAsia"/>
          <w:color w:val="auto"/>
          <w:sz w:val="24"/>
          <w:szCs w:val="24"/>
          <w:highlight w:val="none"/>
          <w:lang w:val="en-US" w:eastAsia="zh-CN"/>
        </w:rPr>
        <w:t xml:space="preserve">5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28</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00</w:t>
      </w:r>
      <w:r>
        <w:rPr>
          <w:rFonts w:hint="eastAsia" w:asciiTheme="majorEastAsia" w:hAnsiTheme="majorEastAsia" w:eastAsiaTheme="majorEastAsia" w:cstheme="majorEastAsia"/>
          <w:color w:val="auto"/>
          <w:sz w:val="24"/>
          <w:szCs w:val="24"/>
          <w:highlight w:val="none"/>
        </w:rPr>
        <w:t xml:space="preserve">（北京时间）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九</w:t>
      </w:r>
      <w:bookmarkStart w:id="1" w:name="_Toc248058806"/>
      <w:bookmarkStart w:id="2" w:name="_Toc248227187"/>
      <w:bookmarkStart w:id="3" w:name="_Toc248228501"/>
      <w:bookmarkStart w:id="4" w:name="_Toc248215368"/>
      <w:bookmarkStart w:id="5" w:name="_Toc250967068"/>
      <w:bookmarkStart w:id="6" w:name="_Toc248212179"/>
      <w:r>
        <w:rPr>
          <w:rFonts w:hint="eastAsia" w:asciiTheme="majorEastAsia" w:hAnsiTheme="majorEastAsia" w:eastAsiaTheme="majorEastAsia" w:cstheme="majorEastAsia"/>
          <w:b/>
          <w:bCs/>
          <w:color w:val="auto"/>
          <w:sz w:val="24"/>
          <w:szCs w:val="24"/>
          <w:highlight w:val="none"/>
        </w:rPr>
        <w:t>.投标地点：</w:t>
      </w:r>
      <w:bookmarkEnd w:id="1"/>
      <w:bookmarkEnd w:id="2"/>
      <w:bookmarkEnd w:id="3"/>
      <w:bookmarkEnd w:id="4"/>
      <w:bookmarkEnd w:id="5"/>
      <w:bookmarkEnd w:id="6"/>
      <w:r>
        <w:rPr>
          <w:rFonts w:hint="eastAsia" w:asciiTheme="majorEastAsia" w:hAnsiTheme="majorEastAsia" w:eastAsiaTheme="majorEastAsia" w:cstheme="majorEastAsia"/>
          <w:color w:val="auto"/>
          <w:sz w:val="24"/>
          <w:szCs w:val="24"/>
          <w:highlight w:val="none"/>
        </w:rPr>
        <w:t>通过“杭州交投集中采购平台”实行在线投标响应</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十.开标时间：</w:t>
      </w:r>
      <w:r>
        <w:rPr>
          <w:rFonts w:hint="eastAsia" w:asciiTheme="majorEastAsia" w:hAnsiTheme="majorEastAsia" w:eastAsiaTheme="majorEastAsia" w:cstheme="majorEastAsia"/>
          <w:color w:val="auto"/>
          <w:sz w:val="24"/>
          <w:szCs w:val="24"/>
          <w:highlight w:val="none"/>
        </w:rPr>
        <w:t xml:space="preserve"> 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 xml:space="preserve"> 年</w:t>
      </w:r>
      <w:r>
        <w:rPr>
          <w:rFonts w:hint="eastAsia" w:asciiTheme="majorEastAsia" w:hAnsiTheme="majorEastAsia" w:eastAsiaTheme="majorEastAsia" w:cstheme="majorEastAsia"/>
          <w:color w:val="auto"/>
          <w:sz w:val="24"/>
          <w:szCs w:val="24"/>
          <w:highlight w:val="none"/>
          <w:lang w:val="en-US" w:eastAsia="zh-CN"/>
        </w:rPr>
        <w:t>2月28日10: 00</w:t>
      </w:r>
      <w:r>
        <w:rPr>
          <w:rFonts w:hint="eastAsia" w:asciiTheme="majorEastAsia" w:hAnsiTheme="majorEastAsia" w:eastAsiaTheme="majorEastAsia" w:cstheme="majorEastAsia"/>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十一.开标地点</w:t>
      </w:r>
      <w:r>
        <w:rPr>
          <w:rFonts w:hint="eastAsia" w:asciiTheme="majorEastAsia" w:hAnsiTheme="majorEastAsia" w:eastAsiaTheme="majorEastAsia" w:cstheme="majorEastAsia"/>
          <w:color w:val="auto"/>
          <w:sz w:val="24"/>
          <w:szCs w:val="24"/>
          <w:highlight w:val="none"/>
        </w:rPr>
        <w:t>：通过“杭州交投集中采购平台”进行在线评标</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十二.响应保证金：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响应保证金：</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十三.在线投标响应（电子投标）说明：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投标客户端”请自行前往“杭州交投集中采购平台-帮助中心-帮助文档”进行下载；电子投标具体操作流程详见《供应商操作手册》；通过“杭州交投集中采购平台”参与在线投标时如遇平台技术问题详询客服热线95763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为确保网上操作合法、有效和安全，投标供应商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w:t>
      </w:r>
      <w:r>
        <w:rPr>
          <w:rFonts w:hint="eastAsia" w:asciiTheme="majorEastAsia" w:hAnsiTheme="majorEastAsia" w:eastAsiaTheme="majorEastAsia" w:cstheme="majorEastAsia"/>
          <w:color w:val="auto"/>
          <w:sz w:val="24"/>
          <w:szCs w:val="24"/>
          <w:highlight w:val="none"/>
          <w:lang w:val="zh-CN"/>
        </w:rPr>
        <w:t>-CA管理-CA证书申领-CA驱动和申领流程</w:t>
      </w:r>
      <w:r>
        <w:rPr>
          <w:rFonts w:hint="eastAsia" w:asciiTheme="majorEastAsia" w:hAnsiTheme="majorEastAsia" w:eastAsiaTheme="majorEastAsia" w:cstheme="majorEastAsia"/>
          <w:color w:val="auto"/>
          <w:sz w:val="24"/>
          <w:szCs w:val="24"/>
          <w:highlight w:val="none"/>
        </w:rPr>
        <w:t>”进行查阅；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3.投标供应商应当在投标截止时间前，将生成的“电子加密投标响应文件”上传递交至“杭州交投集中采购平台”。投标截止时间以后上传递交的投标响应文件将被“杭州交投集中采购平台”拒收。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备份投标响应文件递交邮箱为：</w:t>
      </w:r>
      <w:r>
        <w:rPr>
          <w:rFonts w:hint="eastAsia" w:asciiTheme="majorEastAsia" w:hAnsiTheme="majorEastAsia" w:eastAsiaTheme="majorEastAsia" w:cstheme="majorEastAsia"/>
          <w:color w:val="auto"/>
          <w:sz w:val="24"/>
          <w:szCs w:val="24"/>
          <w:highlight w:val="none"/>
          <w:lang w:val="en-US" w:eastAsia="zh-CN"/>
        </w:rPr>
        <w:t>353714641@qq.com</w:t>
      </w:r>
      <w:r>
        <w:rPr>
          <w:rFonts w:hint="eastAsia" w:asciiTheme="majorEastAsia" w:hAnsiTheme="majorEastAsia" w:eastAsiaTheme="majorEastAsia" w:cstheme="majorEastAsia"/>
          <w:color w:val="auto"/>
          <w:sz w:val="24"/>
          <w:szCs w:val="24"/>
          <w:highlight w:val="none"/>
        </w:rPr>
        <w:t>。备份投标响应文件递交截止时间与投标截止时间一致。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十四.联系方法：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采 购 人：杭州机场高铁有限公司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地    址：浙江省杭州市滨江区月明路33号A座13楼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联 系 人：王工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电    话：13588252608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监 督 人</w:t>
      </w:r>
      <w:r>
        <w:rPr>
          <w:rFonts w:hint="eastAsia" w:asciiTheme="majorEastAsia" w:hAnsiTheme="majorEastAsia" w:eastAsiaTheme="majorEastAsia" w:cstheme="majorEastAsia"/>
          <w:color w:val="auto"/>
          <w:sz w:val="24"/>
          <w:szCs w:val="24"/>
          <w:highlight w:val="none"/>
        </w:rPr>
        <w:t>：励工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电    话：</w:t>
      </w:r>
      <w:r>
        <w:rPr>
          <w:rFonts w:hint="eastAsia" w:asciiTheme="majorEastAsia" w:hAnsiTheme="majorEastAsia" w:eastAsiaTheme="majorEastAsia" w:cstheme="majorEastAsia"/>
          <w:color w:val="auto"/>
          <w:sz w:val="24"/>
          <w:szCs w:val="24"/>
          <w:highlight w:val="none"/>
          <w:lang w:val="en-US" w:eastAsia="zh-CN"/>
        </w:rPr>
        <w:t>0571-88187897</w:t>
      </w:r>
    </w:p>
    <w:p>
      <w:pPr>
        <w:pStyle w:val="42"/>
        <w:ind w:left="0" w:leftChars="0" w:firstLine="0" w:firstLineChars="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杭州</w:t>
      </w:r>
      <w:r>
        <w:rPr>
          <w:rFonts w:hint="eastAsia" w:asciiTheme="majorEastAsia" w:hAnsiTheme="majorEastAsia" w:eastAsiaTheme="majorEastAsia" w:cstheme="majorEastAsia"/>
          <w:color w:val="auto"/>
          <w:sz w:val="24"/>
          <w:szCs w:val="24"/>
          <w:highlight w:val="none"/>
          <w:lang w:val="en-US" w:eastAsia="zh-CN"/>
        </w:rPr>
        <w:t>机场高铁</w:t>
      </w:r>
      <w:r>
        <w:rPr>
          <w:rFonts w:hint="eastAsia" w:asciiTheme="majorEastAsia" w:hAnsiTheme="majorEastAsia" w:eastAsiaTheme="majorEastAsia" w:cstheme="majorEastAsia"/>
          <w:color w:val="auto"/>
          <w:sz w:val="24"/>
          <w:szCs w:val="24"/>
          <w:highlight w:val="none"/>
          <w:lang w:val="zh-CN" w:eastAsia="zh-CN"/>
        </w:rPr>
        <w:t>有限公司</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2025年2月20日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asciiTheme="majorEastAsia" w:hAnsiTheme="majorEastAsia" w:eastAsiaTheme="majorEastAsia" w:cstheme="majorEastAsia"/>
          <w:color w:val="auto"/>
          <w:sz w:val="24"/>
          <w:szCs w:val="24"/>
          <w:highlight w:val="none"/>
        </w:rPr>
        <w:br w:type="page"/>
      </w:r>
      <w:bookmarkStart w:id="7" w:name="_Toc49597785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Style w:val="51"/>
          <w:rFonts w:hint="eastAsia" w:ascii="Times New Roman" w:hAnsi="Times New Roman" w:eastAsia="宋体" w:cs="Times New Roman"/>
          <w:b/>
          <w:color w:val="auto"/>
          <w:szCs w:val="24"/>
          <w:highlight w:val="none"/>
          <w:lang w:val="en-US" w:eastAsia="zh-CN" w:bidi="ar-SA"/>
        </w:rPr>
      </w:pPr>
      <w:r>
        <w:rPr>
          <w:rStyle w:val="51"/>
          <w:rFonts w:hint="eastAsia" w:ascii="Times New Roman" w:hAnsi="Times New Roman" w:eastAsia="宋体" w:cs="Times New Roman"/>
          <w:b/>
          <w:color w:val="auto"/>
          <w:szCs w:val="24"/>
          <w:highlight w:val="none"/>
          <w:lang w:val="en-US" w:eastAsia="zh-CN" w:bidi="ar-SA"/>
        </w:rPr>
        <w:t>第二章  响应须知及前附表</w:t>
      </w:r>
    </w:p>
    <w:p>
      <w:pPr>
        <w:pStyle w:val="2"/>
        <w:pageBreakBefore w:val="0"/>
        <w:kinsoku/>
        <w:wordWrap/>
        <w:overflowPunct/>
        <w:topLinePunct w:val="0"/>
        <w:autoSpaceDE/>
        <w:autoSpaceDN/>
        <w:bidi w:val="0"/>
        <w:spacing w:beforeLines="0" w:afterLines="0"/>
        <w:textAlignment w:val="auto"/>
        <w:rPr>
          <w:rFonts w:hint="eastAsia"/>
          <w:color w:val="auto"/>
          <w:highlight w:val="none"/>
          <w:lang w:val="zh-CN"/>
        </w:rPr>
      </w:pPr>
      <w:r>
        <w:rPr>
          <w:rFonts w:hint="eastAsia"/>
          <w:color w:val="auto"/>
          <w:highlight w:val="none"/>
        </w:rPr>
        <w:t>一、响应</w:t>
      </w:r>
      <w:r>
        <w:rPr>
          <w:rFonts w:hint="eastAsia"/>
          <w:color w:val="auto"/>
          <w:highlight w:val="none"/>
          <w:lang w:val="zh-CN"/>
        </w:rPr>
        <w:t>须知前附表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7"/>
        <w:gridCol w:w="2037"/>
        <w:gridCol w:w="7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序号</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项  目</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采购内容</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杭州机场高铁有限公司2025-2026年非招标方式采购项目代理服务单位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1"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项目实施地点</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杭州市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1"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资金来源</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6"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供应商资格条件</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详见第一部分采购公告中“五、供应商资格条件”。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5</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响应保证金</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金额：人民币</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6</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履约保证金</w:t>
            </w:r>
          </w:p>
        </w:tc>
        <w:tc>
          <w:tcPr>
            <w:tcW w:w="76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履约保证金的形式：转账支票或电汇或银行汇票或无条件见索即付不可撤销银行保函形式。</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eastAsia="zh-CN"/>
              </w:rPr>
              <w:t>履约保证金的金额：</w:t>
            </w:r>
            <w:r>
              <w:rPr>
                <w:rFonts w:hint="eastAsia" w:asciiTheme="majorEastAsia" w:hAnsiTheme="majorEastAsia" w:eastAsiaTheme="majorEastAsia" w:cstheme="majorEastAsia"/>
                <w:color w:val="auto"/>
                <w:sz w:val="24"/>
                <w:szCs w:val="24"/>
                <w:highlight w:val="none"/>
                <w:lang w:val="en-US" w:eastAsia="zh-CN"/>
              </w:rPr>
              <w:t>10000元整。</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履约保证金递交时间：中标通知书发出之日起14 个工作日内且在合同签订前。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3"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7</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是否接受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联合体投标</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8</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质量保证金</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9</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现场勘探</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3"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10</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投标有效期</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从投标截止日起</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0天内有效。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2"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11</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服务期</w:t>
            </w:r>
          </w:p>
        </w:tc>
        <w:tc>
          <w:tcPr>
            <w:tcW w:w="76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合同签订之日起</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年，时间从合同约定生效之日起算（若存在合同期满但仍未完成采购人已委托的项目，供应商须将该项目的工作完成）；若累计服务费金额超过</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0万元（含）但服务期未满</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年，则</w:t>
            </w:r>
            <w:r>
              <w:rPr>
                <w:rFonts w:hint="eastAsia" w:asciiTheme="majorEastAsia" w:hAnsiTheme="majorEastAsia" w:eastAsiaTheme="majorEastAsia" w:cstheme="majorEastAsia"/>
                <w:color w:val="auto"/>
                <w:sz w:val="24"/>
                <w:szCs w:val="24"/>
                <w:highlight w:val="none"/>
                <w:lang w:val="en-US" w:eastAsia="zh-CN"/>
              </w:rPr>
              <w:t>合同</w:t>
            </w:r>
            <w:r>
              <w:rPr>
                <w:rFonts w:hint="eastAsia" w:asciiTheme="majorEastAsia" w:hAnsiTheme="majorEastAsia" w:eastAsiaTheme="majorEastAsia" w:cstheme="majorEastAsia"/>
                <w:color w:val="auto"/>
                <w:sz w:val="24"/>
                <w:szCs w:val="24"/>
                <w:highlight w:val="none"/>
                <w:lang w:eastAsia="zh-CN"/>
              </w:rPr>
              <w:t>提前终止。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13</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响应文件份数</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本项目实行网上投标，供应商应准备以下响应文件：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（1）供应商于“电子投标客户端”上提供电子加密响应文件。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“电子加密响应文件”是指通过“电子投标客户端”完成响应文件编制后生成并加密的数据电文形式的响应文件（后缀格式为.jmbs）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14</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采购单位书面澄清或修改的时间</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采购文件的澄清将以书面形式发给所有</w:t>
            </w:r>
            <w:r>
              <w:rPr>
                <w:rFonts w:hint="eastAsia" w:asciiTheme="majorEastAsia" w:hAnsiTheme="majorEastAsia" w:eastAsiaTheme="majorEastAsia" w:cstheme="majorEastAsia"/>
                <w:color w:val="auto"/>
                <w:sz w:val="24"/>
                <w:szCs w:val="24"/>
                <w:highlight w:val="none"/>
                <w:lang w:val="en-US" w:eastAsia="zh-CN"/>
              </w:rPr>
              <w:t>获取</w:t>
            </w:r>
            <w:r>
              <w:rPr>
                <w:rFonts w:hint="eastAsia" w:asciiTheme="majorEastAsia" w:hAnsiTheme="majorEastAsia" w:eastAsiaTheme="majorEastAsia" w:cstheme="majorEastAsia"/>
                <w:color w:val="auto"/>
                <w:sz w:val="24"/>
                <w:szCs w:val="24"/>
                <w:highlight w:val="none"/>
              </w:rPr>
              <w:t>采购文件的供应商，但不指明澄清问题的来源。如果澄清发出的时间距投标截止时间不足三天，相应延长投标截止时间。采购文件修改的内容可能影响到响应文件编制的，采购单位将在投标截止时间3天前以书面形式发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15</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采购答疑</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响应供应商对采购文件有疑问的，通过“电子交易平台”提交。提交疑问截止日为202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 xml:space="preserve"> 年</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 xml:space="preserve">日 </w:t>
            </w:r>
            <w:r>
              <w:rPr>
                <w:rFonts w:hint="eastAsia" w:asciiTheme="majorEastAsia" w:hAnsiTheme="majorEastAsia" w:eastAsiaTheme="majorEastAsia" w:cstheme="majorEastAsia"/>
                <w:color w:val="auto"/>
                <w:sz w:val="24"/>
                <w:szCs w:val="24"/>
                <w:highlight w:val="none"/>
                <w:lang w:val="en-US" w:eastAsia="zh-CN"/>
              </w:rPr>
              <w:t>17</w:t>
            </w:r>
            <w:r>
              <w:rPr>
                <w:rFonts w:hint="eastAsia" w:asciiTheme="majorEastAsia" w:hAnsiTheme="majorEastAsia" w:eastAsiaTheme="majorEastAsia" w:cstheme="majorEastAsia"/>
                <w:color w:val="auto"/>
                <w:sz w:val="24"/>
                <w:szCs w:val="24"/>
                <w:highlight w:val="none"/>
              </w:rPr>
              <w:t xml:space="preserve"> 时00分。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采购单位仅对供应商提出的合理疑问进行答复。供应商在</w:t>
            </w:r>
            <w:r>
              <w:rPr>
                <w:rFonts w:hint="eastAsia" w:asciiTheme="majorEastAsia" w:hAnsiTheme="majorEastAsia" w:eastAsiaTheme="majorEastAsia" w:cstheme="majorEastAsia"/>
                <w:color w:val="auto"/>
                <w:sz w:val="24"/>
                <w:szCs w:val="24"/>
                <w:highlight w:val="none"/>
                <w:lang w:val="en-US" w:eastAsia="zh-CN"/>
              </w:rPr>
              <w:t>提疑</w:t>
            </w:r>
            <w:r>
              <w:rPr>
                <w:rFonts w:hint="eastAsia" w:asciiTheme="majorEastAsia" w:hAnsiTheme="majorEastAsia" w:eastAsiaTheme="majorEastAsia" w:cstheme="majorEastAsia"/>
                <w:color w:val="auto"/>
                <w:sz w:val="24"/>
                <w:szCs w:val="24"/>
                <w:highlight w:val="none"/>
              </w:rPr>
              <w:t>时间截止以后提出的</w:t>
            </w:r>
            <w:r>
              <w:rPr>
                <w:rFonts w:hint="eastAsia" w:asciiTheme="majorEastAsia" w:hAnsiTheme="majorEastAsia" w:eastAsiaTheme="majorEastAsia" w:cstheme="majorEastAsia"/>
                <w:color w:val="auto"/>
                <w:sz w:val="24"/>
                <w:szCs w:val="24"/>
                <w:highlight w:val="none"/>
                <w:lang w:val="en-US" w:eastAsia="zh-CN"/>
              </w:rPr>
              <w:t>疑问</w:t>
            </w:r>
            <w:r>
              <w:rPr>
                <w:rFonts w:hint="eastAsia" w:asciiTheme="majorEastAsia" w:hAnsiTheme="majorEastAsia" w:eastAsiaTheme="majorEastAsia" w:cstheme="majorEastAsia"/>
                <w:color w:val="auto"/>
                <w:sz w:val="24"/>
                <w:szCs w:val="24"/>
                <w:highlight w:val="none"/>
              </w:rPr>
              <w:t>，采购单位可以拒绝受理。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16</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响应文件的上传和递交</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2.投标供应商应当在投标截止时间前，将生成的“电子加密投标响应文件”上传递交至“杭州交投集中采购平台”。投标截止时间以后上传递交的投标响应文件将被“杭州交投集中采购平台”拒收。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备份投标响应文件递交截止时间与投标截止时间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17</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开标时间</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202</w:t>
            </w:r>
            <w:r>
              <w:rPr>
                <w:rFonts w:hint="eastAsia" w:asciiTheme="majorEastAsia" w:hAnsiTheme="majorEastAsia" w:eastAsiaTheme="majorEastAsia" w:cstheme="majorEastAsia"/>
                <w:b/>
                <w:bCs/>
                <w:color w:val="auto"/>
                <w:sz w:val="24"/>
                <w:szCs w:val="24"/>
                <w:highlight w:val="none"/>
                <w:lang w:val="en-US" w:eastAsia="zh-CN"/>
              </w:rPr>
              <w:t>5</w:t>
            </w:r>
            <w:r>
              <w:rPr>
                <w:rFonts w:hint="eastAsia" w:asciiTheme="majorEastAsia" w:hAnsiTheme="majorEastAsia" w:eastAsiaTheme="majorEastAsia" w:cstheme="majorEastAsia"/>
                <w:b/>
                <w:bCs/>
                <w:color w:val="auto"/>
                <w:sz w:val="24"/>
                <w:szCs w:val="24"/>
                <w:highlight w:val="none"/>
              </w:rPr>
              <w:t>年</w:t>
            </w:r>
            <w:r>
              <w:rPr>
                <w:rFonts w:hint="eastAsia" w:asciiTheme="majorEastAsia" w:hAnsiTheme="majorEastAsia" w:eastAsiaTheme="majorEastAsia" w:cstheme="majorEastAsia"/>
                <w:b/>
                <w:bCs/>
                <w:color w:val="auto"/>
                <w:sz w:val="24"/>
                <w:szCs w:val="24"/>
                <w:highlight w:val="none"/>
                <w:lang w:val="en-US" w:eastAsia="zh-CN"/>
              </w:rPr>
              <w:t>2</w:t>
            </w:r>
            <w:r>
              <w:rPr>
                <w:rFonts w:hint="eastAsia" w:asciiTheme="majorEastAsia" w:hAnsiTheme="majorEastAsia" w:eastAsiaTheme="majorEastAsia" w:cstheme="majorEastAsia"/>
                <w:b/>
                <w:bCs/>
                <w:color w:val="auto"/>
                <w:sz w:val="24"/>
                <w:szCs w:val="24"/>
                <w:highlight w:val="none"/>
              </w:rPr>
              <w:t>月</w:t>
            </w:r>
            <w:r>
              <w:rPr>
                <w:rFonts w:hint="eastAsia" w:asciiTheme="majorEastAsia" w:hAnsiTheme="majorEastAsia" w:eastAsiaTheme="majorEastAsia" w:cstheme="majorEastAsia"/>
                <w:b/>
                <w:bCs/>
                <w:color w:val="auto"/>
                <w:sz w:val="24"/>
                <w:szCs w:val="24"/>
                <w:highlight w:val="none"/>
                <w:lang w:val="en-US" w:eastAsia="zh-CN"/>
              </w:rPr>
              <w:t>28</w:t>
            </w:r>
            <w:r>
              <w:rPr>
                <w:rFonts w:hint="eastAsia" w:asciiTheme="majorEastAsia" w:hAnsiTheme="majorEastAsia" w:eastAsiaTheme="majorEastAsia" w:cstheme="majorEastAsia"/>
                <w:b/>
                <w:bCs/>
                <w:color w:val="auto"/>
                <w:sz w:val="24"/>
                <w:szCs w:val="24"/>
                <w:highlight w:val="none"/>
              </w:rPr>
              <w:t>日</w:t>
            </w:r>
            <w:r>
              <w:rPr>
                <w:rFonts w:hint="eastAsia" w:asciiTheme="majorEastAsia" w:hAnsiTheme="majorEastAsia" w:eastAsiaTheme="majorEastAsia" w:cstheme="majorEastAsia"/>
                <w:b/>
                <w:bCs/>
                <w:color w:val="auto"/>
                <w:sz w:val="24"/>
                <w:szCs w:val="24"/>
                <w:highlight w:val="none"/>
                <w:lang w:val="en-US" w:eastAsia="zh-CN"/>
              </w:rPr>
              <w:t>10</w:t>
            </w:r>
            <w:r>
              <w:rPr>
                <w:rFonts w:hint="eastAsia" w:asciiTheme="majorEastAsia" w:hAnsiTheme="majorEastAsia" w:eastAsiaTheme="majorEastAsia" w:cstheme="majorEastAsia"/>
                <w:b/>
                <w:bCs/>
                <w:color w:val="auto"/>
                <w:sz w:val="24"/>
                <w:szCs w:val="24"/>
                <w:highlight w:val="none"/>
              </w:rPr>
              <w:t xml:space="preserve">时 </w:t>
            </w:r>
            <w:r>
              <w:rPr>
                <w:rFonts w:hint="eastAsia" w:asciiTheme="majorEastAsia" w:hAnsiTheme="majorEastAsia" w:eastAsiaTheme="majorEastAsia" w:cstheme="majorEastAsia"/>
                <w:b/>
                <w:bCs/>
                <w:color w:val="auto"/>
                <w:sz w:val="24"/>
                <w:szCs w:val="24"/>
                <w:highlight w:val="none"/>
                <w:lang w:val="en-US" w:eastAsia="zh-CN"/>
              </w:rPr>
              <w:t>00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b/>
                <w:bCs/>
                <w:color w:val="auto"/>
                <w:sz w:val="24"/>
                <w:szCs w:val="24"/>
                <w:highlight w:val="none"/>
                <w:lang w:val="en-US" w:eastAsia="zh-CN"/>
              </w:rPr>
              <w:t>00秒</w:t>
            </w:r>
            <w:r>
              <w:rPr>
                <w:rFonts w:hint="eastAsia" w:asciiTheme="majorEastAsia" w:hAnsiTheme="majorEastAsia" w:eastAsiaTheme="majorEastAsia" w:cstheme="majorEastAsia"/>
                <w:b/>
                <w:bCs/>
                <w:color w:val="auto"/>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18</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开标程序</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1.采购方开启解密流程，供应商应在30分钟内完成解密。供应商在规定的时间内都已完成解密，则系统自动结束解密；供应商超过解密时限，默认自动放弃；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2.解密不成功时，如投标供应商已按规定递交了“备份响应文件”的，采购方对备份响应文件上传解密；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3.采购方开启标书成功后进入开评标流程。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4.当电子评标无法正常进行时，即转为线下评标。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19</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评标委员会</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评标委员会由采购单位依法组建，人数为</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人以上单数,其中采购单位代表不超过三分之一。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20</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是否述标</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21</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评标办法</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综合评标法；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2"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22</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最高限价</w:t>
            </w:r>
          </w:p>
        </w:tc>
        <w:tc>
          <w:tcPr>
            <w:tcW w:w="765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lang w:val="en-US" w:eastAsia="zh-CN"/>
              </w:rPr>
              <w:t>本次采购服务费单价以（7000元/个）为取费标准，在0%（含）-100%（含）范围内报价，商务报价高于100%为无效报价，作废标处理。风险控制价：为防止投标人低价抢标，最高投标限价的80％作为风险控制价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2"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23</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公告网站</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杭州交投集中采购平台（cg.zjhzjtjt.com/）；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6"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24</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中标候选人数</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评标委员会推荐的中标候选人数： 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25</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采购代理服务费</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26</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质疑、投诉</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1.供应商质疑</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 xml:space="preserve">    供应商认为采购文件、采购过程和中标结果使自己的权益受到损害的，可以在知道其权益受到损害之日起七个工作日内，以书面形式向采购方提出质疑。</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对采购公告信息（含供应商资格条件）提出质疑的，质疑期限自采购公告发布之日起计算。</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对采购结果提出质疑的，质疑期限自采购结果公告（包括公示.预公告.结果变更公告等）之日起计算。</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2.供应商提交质疑书需一式三份，由法定代表人签字（或盖章）并加盖单位公</w:t>
            </w:r>
            <w:r>
              <w:rPr>
                <w:rFonts w:hint="eastAsia" w:asciiTheme="majorEastAsia" w:hAnsiTheme="majorEastAsia" w:eastAsiaTheme="majorEastAsia" w:cstheme="majorEastAsia"/>
                <w:color w:val="auto"/>
                <w:sz w:val="24"/>
                <w:szCs w:val="24"/>
                <w:highlight w:val="none"/>
                <w:lang w:val="en-US" w:eastAsia="zh-CN"/>
              </w:rPr>
              <w:t>章，</w:t>
            </w:r>
            <w:r>
              <w:rPr>
                <w:rFonts w:hint="eastAsia" w:asciiTheme="majorEastAsia" w:hAnsiTheme="majorEastAsia" w:eastAsiaTheme="majorEastAsia" w:cstheme="majorEastAsia"/>
                <w:color w:val="auto"/>
                <w:sz w:val="24"/>
                <w:szCs w:val="24"/>
                <w:highlight w:val="none"/>
              </w:rPr>
              <w:t>质疑书至少应包括下列主要内容：</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（1）质疑人的名称、地址、邮政编码、联系人、联系电话，以及被质疑人名称及联系方式。</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 xml:space="preserve">（2）被质疑采购项目名称、编号及采购内容。                                                                                                                                                                                                                                                                                                                                                                                                                                                                                                                                                                                                                                                                                                                                                                                                                                                                                                                                                                                                                                                                                                  </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（3）具体的质疑事项及事实依据。</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（4）认为自己合法权益受到损害或可能受到损害的相关证据材料。</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（5）提出质疑的日期。</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3.采购方应当在收到供应商的书面质疑后七个工作日内作出答复，并以书面形式通知质疑供应商和其他与质疑处理结果有利害关系的采购当事人，但答复的内容不得涉及商业秘密。</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4.投诉</w:t>
            </w:r>
            <w:r>
              <w:rPr>
                <w:rFonts w:hint="eastAsia" w:asciiTheme="majorEastAsia" w:hAnsiTheme="majorEastAsia" w:eastAsiaTheme="majorEastAsia" w:cstheme="majorEastAsia"/>
                <w:color w:val="auto"/>
                <w:sz w:val="24"/>
                <w:szCs w:val="24"/>
                <w:highlight w:val="none"/>
              </w:rPr>
              <w:br w:type="textWrapping"/>
            </w:r>
            <w:r>
              <w:rPr>
                <w:rFonts w:hint="eastAsia" w:asciiTheme="majorEastAsia" w:hAnsiTheme="majorEastAsia" w:eastAsiaTheme="majorEastAsia" w:cstheme="majorEastAsia"/>
                <w:color w:val="auto"/>
                <w:sz w:val="24"/>
                <w:szCs w:val="24"/>
                <w:highlight w:val="none"/>
              </w:rPr>
              <w:t>供应商对采购方的答复不满意或者采购方未在规定的时间内作出答复的，可以在答复期满后十五个工作日内向杭州</w:t>
            </w:r>
            <w:r>
              <w:rPr>
                <w:rFonts w:hint="eastAsia" w:asciiTheme="majorEastAsia" w:hAnsiTheme="majorEastAsia" w:eastAsiaTheme="majorEastAsia" w:cstheme="majorEastAsia"/>
                <w:color w:val="auto"/>
                <w:sz w:val="24"/>
                <w:szCs w:val="24"/>
                <w:highlight w:val="none"/>
                <w:lang w:val="en-US" w:eastAsia="zh-CN"/>
              </w:rPr>
              <w:t>机场高铁</w:t>
            </w:r>
            <w:r>
              <w:rPr>
                <w:rFonts w:hint="eastAsia" w:asciiTheme="majorEastAsia" w:hAnsiTheme="majorEastAsia" w:eastAsiaTheme="majorEastAsia" w:cstheme="majorEastAsia"/>
                <w:color w:val="auto"/>
                <w:sz w:val="24"/>
                <w:szCs w:val="24"/>
                <w:highlight w:val="none"/>
              </w:rPr>
              <w:t>有限公司监管部门提出投诉。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27</w:t>
            </w:r>
          </w:p>
        </w:tc>
        <w:tc>
          <w:tcPr>
            <w:tcW w:w="203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注意事项</w:t>
            </w:r>
          </w:p>
        </w:tc>
        <w:tc>
          <w:tcPr>
            <w:tcW w:w="76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1.供应商须知具体内容如与本前附表不一致的，以本前附表为准。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2.响应文件编制时需根据采购文件资格要求和评分细则提供资料，并与响应文件目录或索引对应。</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3.本采购文件所述的“供应商</w:t>
            </w:r>
            <w:r>
              <w:rPr>
                <w:rFonts w:hint="eastAsia" w:asciiTheme="majorEastAsia" w:hAnsiTheme="majorEastAsia" w:eastAsiaTheme="majorEastAsia" w:cstheme="majorEastAsia"/>
                <w:color w:val="auto"/>
                <w:sz w:val="24"/>
                <w:szCs w:val="24"/>
                <w:highlight w:val="none"/>
                <w:lang w:val="en-US" w:eastAsia="zh-CN"/>
              </w:rPr>
              <w:t>盖</w:t>
            </w:r>
            <w:r>
              <w:rPr>
                <w:rFonts w:hint="eastAsia" w:asciiTheme="majorEastAsia" w:hAnsiTheme="majorEastAsia" w:eastAsiaTheme="majorEastAsia" w:cstheme="majorEastAsia"/>
                <w:color w:val="auto"/>
                <w:sz w:val="24"/>
                <w:szCs w:val="24"/>
                <w:highlight w:val="none"/>
              </w:rPr>
              <w:t>公章”指的是加盖供应商法定名称章，本次采购不接受加盖投标专用章</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合同专用章等企业专用章的投标。</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4特别提示：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4.2如供应商对采购文件中技术和资信部分选择性提供资料，可能存在被评标委认定为有围标串标嫌疑的风险。”</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lang w:val="en-US" w:eastAsia="zh-CN"/>
              </w:rPr>
              <w:t>本次</w:t>
            </w:r>
            <w:r>
              <w:rPr>
                <w:rFonts w:hint="eastAsia" w:asciiTheme="majorEastAsia" w:hAnsiTheme="majorEastAsia" w:eastAsiaTheme="majorEastAsia" w:cstheme="majorEastAsia"/>
                <w:b/>
                <w:bCs/>
                <w:color w:val="auto"/>
                <w:sz w:val="24"/>
                <w:highlight w:val="none"/>
                <w:lang w:val="en-US" w:eastAsia="zh-CN"/>
              </w:rPr>
              <w:t>评标</w:t>
            </w:r>
            <w:r>
              <w:rPr>
                <w:rFonts w:hint="eastAsia" w:asciiTheme="majorEastAsia" w:hAnsiTheme="majorEastAsia" w:eastAsiaTheme="majorEastAsia" w:cstheme="majorEastAsia"/>
                <w:b/>
                <w:bCs/>
                <w:color w:val="auto"/>
                <w:sz w:val="24"/>
                <w:highlight w:val="none"/>
              </w:rPr>
              <w:t>专家服务费由中标人支付，中标人与采购单位签订合同（协议）前一次性完成专家服务费支付。</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本采购文件由采购单位负责解释。</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zh-CN"/>
        </w:rPr>
      </w:pPr>
    </w:p>
    <w:p>
      <w:pPr>
        <w:pStyle w:val="2"/>
        <w:spacing w:before="480" w:after="120"/>
        <w:rPr>
          <w:rFonts w:hint="default" w:ascii="宋体" w:hAnsi="宋体" w:eastAsia="宋体" w:cs="宋体"/>
          <w:b w:val="0"/>
          <w:bCs/>
          <w:color w:val="auto"/>
          <w:sz w:val="30"/>
          <w:szCs w:val="30"/>
          <w:highlight w:val="none"/>
          <w:lang w:val="en-US" w:eastAsia="zh-CN"/>
        </w:rPr>
      </w:pPr>
      <w:r>
        <w:rPr>
          <w:rFonts w:hint="eastAsia" w:ascii="仿宋_GB2312" w:hAnsi="仿宋_GB2312" w:eastAsia="仿宋_GB2312" w:cs="仿宋_GB2312"/>
          <w:color w:val="auto"/>
          <w:sz w:val="24"/>
          <w:szCs w:val="24"/>
          <w:highlight w:val="none"/>
        </w:rPr>
        <w:br w:type="page"/>
      </w:r>
      <w:bookmarkStart w:id="8" w:name="_Toc6473"/>
      <w:bookmarkStart w:id="9" w:name="_Toc3158"/>
      <w:r>
        <w:rPr>
          <w:rFonts w:hint="eastAsia" w:ascii="宋体" w:hAnsi="宋体" w:cs="宋体"/>
          <w:b w:val="0"/>
          <w:bCs/>
          <w:color w:val="auto"/>
          <w:sz w:val="30"/>
          <w:szCs w:val="30"/>
          <w:highlight w:val="none"/>
        </w:rPr>
        <w:t>（一）</w:t>
      </w:r>
      <w:r>
        <w:rPr>
          <w:rFonts w:hint="eastAsia" w:ascii="宋体" w:hAnsi="宋体" w:cs="宋体"/>
          <w:b w:val="0"/>
          <w:bCs/>
          <w:color w:val="auto"/>
          <w:sz w:val="30"/>
          <w:szCs w:val="30"/>
          <w:highlight w:val="none"/>
          <w:lang w:val="en-US" w:eastAsia="zh-CN"/>
        </w:rPr>
        <w:t>响应</w:t>
      </w:r>
      <w:bookmarkEnd w:id="8"/>
      <w:bookmarkEnd w:id="9"/>
      <w:r>
        <w:rPr>
          <w:rFonts w:hint="eastAsia" w:ascii="宋体" w:hAnsi="宋体" w:cs="宋体"/>
          <w:b w:val="0"/>
          <w:bCs/>
          <w:color w:val="auto"/>
          <w:sz w:val="30"/>
          <w:szCs w:val="30"/>
          <w:highlight w:val="none"/>
          <w:lang w:val="en-US" w:eastAsia="zh-CN"/>
        </w:rPr>
        <w:t>须知</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文件仅适用于本次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采购所叙述的服务。</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2.项目概况</w:t>
      </w:r>
    </w:p>
    <w:p>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lang w:eastAsia="zh-CN"/>
        </w:rPr>
        <w:t>本次采购内容为杭州机场高铁有限公司2025-2026年非招标方式采购项目代理服务，</w:t>
      </w:r>
      <w:r>
        <w:rPr>
          <w:rFonts w:hint="eastAsia" w:ascii="宋体" w:hAnsi="宋体" w:cs="宋体"/>
          <w:color w:val="auto"/>
          <w:sz w:val="24"/>
          <w:highlight w:val="none"/>
          <w:lang w:val="en-US" w:eastAsia="zh-CN"/>
        </w:rPr>
        <w:t>包括公开竞标、邀请竞标、竞争性谈判（或磋商）采购、询价采购等。</w:t>
      </w:r>
      <w:r>
        <w:rPr>
          <w:rFonts w:hint="eastAsia" w:ascii="宋体" w:hAnsi="宋体" w:cs="宋体"/>
          <w:color w:val="auto"/>
          <w:sz w:val="24"/>
          <w:highlight w:val="none"/>
          <w:lang w:eastAsia="zh-CN"/>
        </w:rPr>
        <w:t>服务类采购项目投资额超过</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0万元（含）的、货物类采购项目投资额超过200万元（含）的、工程类采购项目投资额超过400万元（含）的、采用直接委托方式的采购项目，以及所有工程类项目控制价、清单编制及审核的服务内容均不包含在本次采购范围内。</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3.定义</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”系指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杭州机场高铁有限公司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”系指受</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委托组织本次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”系指响应本次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、参加本次投标竞争的法人或者其他组织。</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代表”系指全权代表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参加本次投标活动并签署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的人，如果</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代表不是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的法定代表人，须持有《法定代表人授权书》。</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3.5“货物”系指</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文件规定，须向</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提供的一切产品及其它有关技术资料和材料。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3.6“服务”系指</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为完成全部合同义务须承担的高低压设施维保维修服务以及其他类似的义务。</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4.投标费用</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应承担所有与编写和提交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有关的费用，不论投标的结果如何，</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代理机构在任何情况下均无义务和责任承担这些费用。</w:t>
      </w:r>
    </w:p>
    <w:p>
      <w:pPr>
        <w:pStyle w:val="2"/>
        <w:spacing w:before="480" w:after="120"/>
        <w:rPr>
          <w:rFonts w:hint="eastAsia" w:ascii="宋体" w:hAnsi="宋体" w:cs="宋体"/>
          <w:b w:val="0"/>
          <w:bCs/>
          <w:color w:val="auto"/>
          <w:sz w:val="30"/>
          <w:szCs w:val="30"/>
          <w:highlight w:val="none"/>
        </w:rPr>
      </w:pPr>
      <w:bookmarkStart w:id="10" w:name="_Toc495977855"/>
      <w:bookmarkStart w:id="11" w:name="_Toc25208"/>
      <w:bookmarkStart w:id="12" w:name="_Toc22048"/>
      <w:r>
        <w:rPr>
          <w:rFonts w:hint="eastAsia" w:ascii="宋体" w:hAnsi="宋体" w:cs="宋体"/>
          <w:b w:val="0"/>
          <w:bCs/>
          <w:color w:val="auto"/>
          <w:sz w:val="30"/>
          <w:szCs w:val="30"/>
          <w:highlight w:val="none"/>
        </w:rPr>
        <w:t>（二）</w:t>
      </w:r>
      <w:r>
        <w:rPr>
          <w:rFonts w:hint="eastAsia" w:ascii="宋体" w:hAnsi="宋体" w:cs="宋体"/>
          <w:b w:val="0"/>
          <w:bCs/>
          <w:color w:val="auto"/>
          <w:sz w:val="30"/>
          <w:szCs w:val="30"/>
          <w:highlight w:val="none"/>
          <w:lang w:eastAsia="zh-CN"/>
        </w:rPr>
        <w:t>采购</w:t>
      </w:r>
      <w:r>
        <w:rPr>
          <w:rFonts w:hint="eastAsia" w:ascii="宋体" w:hAnsi="宋体" w:cs="宋体"/>
          <w:b w:val="0"/>
          <w:bCs/>
          <w:color w:val="auto"/>
          <w:sz w:val="30"/>
          <w:szCs w:val="30"/>
          <w:highlight w:val="none"/>
        </w:rPr>
        <w:t>文件</w:t>
      </w:r>
      <w:bookmarkEnd w:id="10"/>
      <w:r>
        <w:rPr>
          <w:rFonts w:hint="eastAsia" w:ascii="宋体" w:hAnsi="宋体" w:cs="宋体"/>
          <w:b w:val="0"/>
          <w:bCs/>
          <w:color w:val="auto"/>
          <w:sz w:val="30"/>
          <w:szCs w:val="30"/>
          <w:highlight w:val="none"/>
        </w:rPr>
        <w:t>说明</w:t>
      </w:r>
      <w:bookmarkEnd w:id="11"/>
      <w:bookmarkEnd w:id="12"/>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文件构成</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5.1</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文件”由下述部分组成：</w:t>
      </w:r>
    </w:p>
    <w:p>
      <w:p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第一章   </w:t>
      </w:r>
      <w:r>
        <w:rPr>
          <w:rFonts w:hint="eastAsia" w:ascii="宋体" w:hAnsi="宋体" w:cs="宋体"/>
          <w:bCs/>
          <w:color w:val="auto"/>
          <w:sz w:val="24"/>
          <w:highlight w:val="none"/>
          <w:lang w:eastAsia="zh-CN"/>
        </w:rPr>
        <w:t>采购公告</w:t>
      </w:r>
    </w:p>
    <w:p>
      <w:pPr>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第二章   </w:t>
      </w:r>
      <w:r>
        <w:rPr>
          <w:rFonts w:hint="eastAsia" w:ascii="宋体" w:hAnsi="宋体" w:cs="宋体"/>
          <w:bCs/>
          <w:color w:val="auto"/>
          <w:sz w:val="24"/>
          <w:highlight w:val="none"/>
          <w:lang w:eastAsia="zh-CN"/>
        </w:rPr>
        <w:t>响应须知及前附表</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第三章   </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内容</w:t>
      </w:r>
      <w:r>
        <w:rPr>
          <w:rFonts w:hint="eastAsia" w:ascii="宋体" w:hAnsi="宋体" w:cs="宋体"/>
          <w:bCs/>
          <w:color w:val="auto"/>
          <w:sz w:val="24"/>
          <w:highlight w:val="none"/>
          <w:lang w:val="en-US" w:eastAsia="zh-CN"/>
        </w:rPr>
        <w:t>及</w:t>
      </w:r>
      <w:r>
        <w:rPr>
          <w:rFonts w:hint="eastAsia" w:ascii="宋体" w:hAnsi="宋体" w:cs="宋体"/>
          <w:bCs/>
          <w:color w:val="auto"/>
          <w:sz w:val="24"/>
          <w:highlight w:val="none"/>
        </w:rPr>
        <w:t>要求</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第四章   合同条款</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第五章   评标办法</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第六章   </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格式</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5.2</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应认真审阅</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文件所有的内容，如果</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的</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不符合</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文件要求，责任由</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自负。</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文件的澄清</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6.1</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对</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文件如有疑问，可在规定的截止时间前，</w:t>
      </w:r>
      <w:r>
        <w:rPr>
          <w:rFonts w:hint="eastAsia" w:ascii="宋体" w:hAnsi="宋体" w:cs="宋体"/>
          <w:bCs/>
          <w:color w:val="auto"/>
          <w:sz w:val="24"/>
          <w:highlight w:val="none"/>
          <w:lang w:eastAsia="zh-CN"/>
        </w:rPr>
        <w:t>按</w:t>
      </w:r>
      <w:r>
        <w:rPr>
          <w:rFonts w:hint="eastAsia" w:ascii="宋体" w:hAnsi="宋体" w:cs="宋体"/>
          <w:bCs/>
          <w:color w:val="auto"/>
          <w:sz w:val="24"/>
          <w:highlight w:val="none"/>
          <w:lang w:val="en-US" w:eastAsia="zh-CN"/>
        </w:rPr>
        <w:t>采购公告规定的方式</w:t>
      </w:r>
      <w:r>
        <w:rPr>
          <w:rFonts w:hint="eastAsia" w:ascii="宋体" w:hAnsi="宋体" w:cs="宋体"/>
          <w:bCs/>
          <w:color w:val="auto"/>
          <w:sz w:val="24"/>
          <w:highlight w:val="none"/>
        </w:rPr>
        <w:t>向</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lang w:val="en-US" w:eastAsia="zh-CN"/>
        </w:rPr>
        <w:t>单位</w:t>
      </w:r>
      <w:r>
        <w:rPr>
          <w:rFonts w:hint="eastAsia" w:ascii="宋体" w:hAnsi="宋体" w:cs="宋体"/>
          <w:bCs/>
          <w:color w:val="auto"/>
          <w:sz w:val="24"/>
          <w:highlight w:val="none"/>
        </w:rPr>
        <w:t>反馈意见。</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6.2对于</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提出的问题，代理机构或</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将视情况采用适当方式在规定时间前予以答复</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此答复文件将构成</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文件的一部分，对</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有约束力。</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文件的修改</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7.1</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文件发出后，在提交</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截止时间</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日前，</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可对</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文件进行必要的修改。</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7.2</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可主动地或依据</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要求澄清的问题而修改</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7.3为使</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在准备</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时有合理的时间考虑</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文件的修改，</w:t>
      </w:r>
      <w:r>
        <w:rPr>
          <w:rFonts w:hint="eastAsia" w:ascii="宋体" w:hAnsi="宋体" w:cs="宋体"/>
          <w:bCs/>
          <w:color w:val="auto"/>
          <w:sz w:val="24"/>
          <w:highlight w:val="none"/>
          <w:lang w:eastAsia="zh-CN"/>
        </w:rPr>
        <w:t>采购单位</w:t>
      </w:r>
      <w:r>
        <w:rPr>
          <w:rFonts w:hint="eastAsia" w:ascii="宋体" w:hAnsi="宋体" w:cs="宋体"/>
          <w:bCs/>
          <w:color w:val="auto"/>
          <w:sz w:val="24"/>
          <w:highlight w:val="none"/>
        </w:rPr>
        <w:t>可酌情推迟投标截止时间和开标时间。</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7.4</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文件的修改书将构成</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文件的一部分，对</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有约束力。</w:t>
      </w:r>
    </w:p>
    <w:p>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7.5</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文件及</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文件的修改、澄清之间就同一内容相互矛盾的，以最后发出的加盖公章的书面文件为准。</w:t>
      </w:r>
    </w:p>
    <w:p>
      <w:pPr>
        <w:pStyle w:val="2"/>
        <w:spacing w:before="480" w:after="120"/>
        <w:rPr>
          <w:rFonts w:hint="eastAsia" w:ascii="宋体" w:hAnsi="宋体" w:cs="宋体"/>
          <w:b w:val="0"/>
          <w:bCs/>
          <w:color w:val="auto"/>
          <w:sz w:val="30"/>
          <w:szCs w:val="30"/>
          <w:highlight w:val="none"/>
        </w:rPr>
      </w:pPr>
      <w:bookmarkStart w:id="13" w:name="_Toc5110"/>
      <w:bookmarkStart w:id="14" w:name="_Toc3278"/>
      <w:r>
        <w:rPr>
          <w:rFonts w:hint="eastAsia" w:ascii="宋体" w:hAnsi="宋体" w:cs="宋体"/>
          <w:b w:val="0"/>
          <w:bCs/>
          <w:color w:val="auto"/>
          <w:sz w:val="30"/>
          <w:szCs w:val="30"/>
          <w:highlight w:val="none"/>
        </w:rPr>
        <w:t>（三）</w:t>
      </w:r>
      <w:r>
        <w:rPr>
          <w:rFonts w:hint="eastAsia" w:ascii="宋体" w:hAnsi="宋体" w:cs="宋体"/>
          <w:b w:val="0"/>
          <w:bCs/>
          <w:color w:val="auto"/>
          <w:sz w:val="30"/>
          <w:szCs w:val="30"/>
          <w:highlight w:val="none"/>
          <w:lang w:eastAsia="zh-CN"/>
        </w:rPr>
        <w:t>响应文件</w:t>
      </w:r>
      <w:r>
        <w:rPr>
          <w:rFonts w:hint="eastAsia" w:ascii="宋体" w:hAnsi="宋体" w:cs="宋体"/>
          <w:b w:val="0"/>
          <w:bCs/>
          <w:color w:val="auto"/>
          <w:sz w:val="30"/>
          <w:szCs w:val="30"/>
          <w:highlight w:val="none"/>
        </w:rPr>
        <w:t>的编制</w:t>
      </w:r>
      <w:bookmarkEnd w:id="13"/>
      <w:bookmarkEnd w:id="14"/>
    </w:p>
    <w:p>
      <w:pPr>
        <w:snapToGrid w:val="0"/>
        <w:spacing w:line="360" w:lineRule="auto"/>
        <w:ind w:firstLine="482" w:firstLineChars="200"/>
        <w:rPr>
          <w:rFonts w:hint="eastAsia" w:ascii="宋体" w:hAnsi="宋体" w:cs="宋体"/>
          <w:b/>
          <w:color w:val="auto"/>
          <w:sz w:val="24"/>
          <w:highlight w:val="none"/>
        </w:rPr>
      </w:pPr>
      <w:bookmarkStart w:id="15" w:name="_Toc24336358"/>
      <w:bookmarkStart w:id="16" w:name="_Toc52592037"/>
      <w:r>
        <w:rPr>
          <w:rFonts w:hint="eastAsia" w:ascii="宋体" w:hAnsi="宋体" w:cs="宋体"/>
          <w:b/>
          <w:color w:val="auto"/>
          <w:sz w:val="24"/>
          <w:highlight w:val="none"/>
        </w:rPr>
        <w:t>8.投标要求</w:t>
      </w:r>
      <w:bookmarkEnd w:id="15"/>
      <w:bookmarkEnd w:id="16"/>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应仔细阅读</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文件的所有内容，按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文件的要求编制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，并保证所提供的全部资料的真实性，以使其投标对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文件实质性要求作出完全响应，否则，其投标可能被拒绝。任何对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文件的忽略或误解不能作为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没有完全响应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文件的有效理由。</w:t>
      </w:r>
    </w:p>
    <w:p>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的语言和计量单位</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和与投标有关的所有文件均应使用汉语。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可以提交用其他语言印制的资料，但与投标实质性内容有关的段落必须译成中文，在有差异和矛盾时以中文为准。</w:t>
      </w:r>
    </w:p>
    <w:p>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9.2除在技术规格中另有规定外，</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使用的度量衡单位，均采用中华人民共和国法定计量单位。</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的构成</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10.1</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由</w:t>
      </w:r>
      <w:r>
        <w:rPr>
          <w:rFonts w:hint="eastAsia" w:ascii="宋体" w:hAnsi="宋体" w:cs="宋体"/>
          <w:b/>
          <w:color w:val="auto"/>
          <w:sz w:val="24"/>
          <w:highlight w:val="none"/>
          <w:lang w:val="en-US" w:eastAsia="zh-CN"/>
        </w:rPr>
        <w:t>资格、</w:t>
      </w:r>
      <w:r>
        <w:rPr>
          <w:rFonts w:hint="eastAsia" w:ascii="宋体" w:hAnsi="宋体" w:cs="宋体"/>
          <w:b/>
          <w:color w:val="auto"/>
          <w:sz w:val="24"/>
          <w:highlight w:val="none"/>
        </w:rPr>
        <w:t>商务和</w:t>
      </w:r>
      <w:r>
        <w:rPr>
          <w:rFonts w:hint="eastAsia" w:ascii="宋体" w:hAnsi="宋体" w:cs="宋体"/>
          <w:b/>
          <w:color w:val="auto"/>
          <w:sz w:val="24"/>
          <w:highlight w:val="none"/>
          <w:lang w:val="en-US" w:eastAsia="zh-CN"/>
        </w:rPr>
        <w:t>资信</w:t>
      </w:r>
      <w:r>
        <w:rPr>
          <w:rFonts w:hint="eastAsia" w:ascii="宋体" w:hAnsi="宋体" w:cs="宋体"/>
          <w:b/>
          <w:color w:val="auto"/>
          <w:sz w:val="24"/>
          <w:highlight w:val="none"/>
        </w:rPr>
        <w:t>技术</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部分组成，</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编制时需根据</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文件资格要求及评分细则提供资料，并与</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目录或索引对应。</w:t>
      </w:r>
    </w:p>
    <w:p>
      <w:pPr>
        <w:adjustRightInd w:val="0"/>
        <w:snapToGrid w:val="0"/>
        <w:spacing w:line="360" w:lineRule="auto"/>
        <w:ind w:firstLine="482" w:firstLineChars="200"/>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资格文件</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1、营业执照</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eastAsia="zh-CN"/>
        </w:rPr>
      </w:pPr>
      <w:r>
        <w:rPr>
          <w:rFonts w:hint="eastAsia" w:asciiTheme="majorEastAsia" w:hAnsiTheme="majorEastAsia" w:eastAsiaTheme="majorEastAsia" w:cstheme="majorEastAsia"/>
          <w:snapToGrid w:val="0"/>
          <w:color w:val="auto"/>
          <w:kern w:val="0"/>
          <w:sz w:val="24"/>
          <w:szCs w:val="24"/>
          <w:highlight w:val="none"/>
        </w:rPr>
        <w:t>2、其他资格条件证明材料</w:t>
      </w:r>
      <w:r>
        <w:rPr>
          <w:rFonts w:hint="eastAsia" w:asciiTheme="majorEastAsia" w:hAnsiTheme="majorEastAsia" w:eastAsiaTheme="majorEastAsia" w:cstheme="majorEastAsia"/>
          <w:snapToGrid w:val="0"/>
          <w:color w:val="auto"/>
          <w:kern w:val="0"/>
          <w:sz w:val="24"/>
          <w:szCs w:val="24"/>
          <w:highlight w:val="none"/>
          <w:lang w:eastAsia="zh-CN"/>
        </w:rPr>
        <w:t>。</w:t>
      </w:r>
    </w:p>
    <w:p>
      <w:pPr>
        <w:adjustRightInd w:val="0"/>
        <w:snapToGrid w:val="0"/>
        <w:spacing w:line="360" w:lineRule="auto"/>
        <w:ind w:firstLine="482" w:firstLineChars="200"/>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商务文件</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1、投标函</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2、投标报价明细表</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3、法定代表人身份证明或附有法定代表和授权代表身份证明的授权委托书</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4、优惠条件及特殊承诺</w:t>
      </w:r>
    </w:p>
    <w:p>
      <w:pPr>
        <w:adjustRightInd w:val="0"/>
        <w:snapToGrid w:val="0"/>
        <w:spacing w:line="360" w:lineRule="auto"/>
        <w:ind w:firstLine="482" w:firstLineChars="200"/>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资信技术文件</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w:t>
      </w:r>
      <w:r>
        <w:rPr>
          <w:rFonts w:hint="eastAsia" w:asciiTheme="majorEastAsia" w:hAnsiTheme="majorEastAsia" w:eastAsiaTheme="majorEastAsia" w:cstheme="majorEastAsia"/>
          <w:snapToGrid w:val="0"/>
          <w:color w:val="auto"/>
          <w:kern w:val="0"/>
          <w:sz w:val="24"/>
          <w:szCs w:val="24"/>
          <w:highlight w:val="none"/>
          <w:lang w:eastAsia="zh-CN"/>
        </w:rPr>
        <w:t>供应商</w:t>
      </w:r>
      <w:r>
        <w:rPr>
          <w:rFonts w:hint="eastAsia" w:asciiTheme="majorEastAsia" w:hAnsiTheme="majorEastAsia" w:eastAsiaTheme="majorEastAsia" w:cstheme="majorEastAsia"/>
          <w:snapToGrid w:val="0"/>
          <w:color w:val="auto"/>
          <w:kern w:val="0"/>
          <w:sz w:val="24"/>
          <w:szCs w:val="24"/>
          <w:highlight w:val="none"/>
        </w:rPr>
        <w:t>基本情况表</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w:t>
      </w:r>
      <w:r>
        <w:rPr>
          <w:rFonts w:hint="eastAsia" w:asciiTheme="majorEastAsia" w:hAnsiTheme="majorEastAsia" w:eastAsiaTheme="majorEastAsia" w:cstheme="majorEastAsia"/>
          <w:snapToGrid w:val="0"/>
          <w:color w:val="auto"/>
          <w:kern w:val="0"/>
          <w:sz w:val="24"/>
          <w:szCs w:val="24"/>
          <w:highlight w:val="none"/>
          <w:lang w:eastAsia="zh-CN"/>
        </w:rPr>
        <w:t>供应商</w:t>
      </w:r>
      <w:r>
        <w:rPr>
          <w:rFonts w:hint="eastAsia" w:asciiTheme="majorEastAsia" w:hAnsiTheme="majorEastAsia" w:eastAsiaTheme="majorEastAsia" w:cstheme="majorEastAsia"/>
          <w:snapToGrid w:val="0"/>
          <w:color w:val="auto"/>
          <w:kern w:val="0"/>
          <w:sz w:val="24"/>
          <w:szCs w:val="24"/>
          <w:highlight w:val="none"/>
        </w:rPr>
        <w:t>20</w:t>
      </w:r>
      <w:r>
        <w:rPr>
          <w:rFonts w:hint="eastAsia" w:asciiTheme="majorEastAsia" w:hAnsiTheme="majorEastAsia" w:eastAsiaTheme="majorEastAsia" w:cstheme="majorEastAsia"/>
          <w:snapToGrid w:val="0"/>
          <w:color w:val="auto"/>
          <w:kern w:val="0"/>
          <w:sz w:val="24"/>
          <w:szCs w:val="24"/>
          <w:highlight w:val="none"/>
          <w:lang w:val="en-US" w:eastAsia="zh-CN"/>
        </w:rPr>
        <w:t>22</w:t>
      </w:r>
      <w:r>
        <w:rPr>
          <w:rFonts w:hint="eastAsia" w:asciiTheme="majorEastAsia" w:hAnsiTheme="majorEastAsia" w:eastAsiaTheme="majorEastAsia" w:cstheme="majorEastAsia"/>
          <w:snapToGrid w:val="0"/>
          <w:color w:val="auto"/>
          <w:kern w:val="0"/>
          <w:sz w:val="24"/>
          <w:szCs w:val="24"/>
          <w:highlight w:val="none"/>
        </w:rPr>
        <w:t>年1月1日以来类似业绩情况表</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3、拟投入本项目的主要人员组成表</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4、主要项目成员情况表</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rPr>
        <w:t>5</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eastAsia="zh-CN"/>
        </w:rPr>
        <w:t>供应商</w:t>
      </w:r>
      <w:r>
        <w:rPr>
          <w:rFonts w:hint="eastAsia" w:asciiTheme="majorEastAsia" w:hAnsiTheme="majorEastAsia" w:eastAsiaTheme="majorEastAsia" w:cstheme="majorEastAsia"/>
          <w:snapToGrid w:val="0"/>
          <w:color w:val="auto"/>
          <w:kern w:val="0"/>
          <w:sz w:val="24"/>
          <w:szCs w:val="24"/>
          <w:highlight w:val="none"/>
        </w:rPr>
        <w:t>承诺书</w:t>
      </w:r>
    </w:p>
    <w:p>
      <w:pPr>
        <w:adjustRightInd w:val="0"/>
        <w:snapToGrid w:val="0"/>
        <w:spacing w:line="360" w:lineRule="auto"/>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r>
        <w:rPr>
          <w:rFonts w:hint="eastAsia" w:asciiTheme="majorEastAsia" w:hAnsiTheme="majorEastAsia" w:eastAsiaTheme="majorEastAsia" w:cstheme="majorEastAsia"/>
          <w:snapToGrid w:val="0"/>
          <w:color w:val="auto"/>
          <w:kern w:val="0"/>
          <w:sz w:val="24"/>
          <w:szCs w:val="24"/>
          <w:highlight w:val="none"/>
          <w:lang w:val="en-US" w:eastAsia="zh-CN"/>
        </w:rPr>
        <w:t>6</w:t>
      </w:r>
      <w:r>
        <w:rPr>
          <w:rFonts w:hint="eastAsia" w:asciiTheme="majorEastAsia" w:hAnsiTheme="majorEastAsia" w:eastAsiaTheme="majorEastAsia" w:cstheme="majorEastAsia"/>
          <w:snapToGrid w:val="0"/>
          <w:color w:val="auto"/>
          <w:kern w:val="0"/>
          <w:sz w:val="24"/>
          <w:szCs w:val="24"/>
          <w:highlight w:val="none"/>
        </w:rPr>
        <w:t>、技术与服务解决方案</w:t>
      </w:r>
    </w:p>
    <w:p>
      <w:pPr>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rPr>
        <w:t>7</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eastAsia="zh-CN"/>
        </w:rPr>
        <w:t>供应商</w:t>
      </w:r>
      <w:r>
        <w:rPr>
          <w:rFonts w:hint="eastAsia" w:asciiTheme="majorEastAsia" w:hAnsiTheme="majorEastAsia" w:eastAsiaTheme="majorEastAsia" w:cstheme="majorEastAsia"/>
          <w:snapToGrid w:val="0"/>
          <w:color w:val="auto"/>
          <w:kern w:val="0"/>
          <w:sz w:val="24"/>
          <w:szCs w:val="24"/>
          <w:highlight w:val="none"/>
        </w:rPr>
        <w:t>认为有必要的其他内容（包括与评分细则有关的内容）</w:t>
      </w:r>
    </w:p>
    <w:p>
      <w:pPr>
        <w:snapToGrid w:val="0"/>
        <w:spacing w:line="360" w:lineRule="auto"/>
        <w:ind w:firstLine="482" w:firstLineChars="200"/>
        <w:jc w:val="left"/>
        <w:rPr>
          <w:rFonts w:hint="eastAsia" w:asciiTheme="majorEastAsia" w:hAnsiTheme="majorEastAsia" w:eastAsiaTheme="majorEastAsia" w:cstheme="majorEastAsia"/>
          <w:b/>
          <w:color w:val="auto"/>
          <w:sz w:val="24"/>
          <w:highlight w:val="none"/>
          <w:u w:val="single"/>
        </w:rPr>
      </w:pPr>
      <w:r>
        <w:rPr>
          <w:rFonts w:hint="eastAsia" w:asciiTheme="majorEastAsia" w:hAnsiTheme="majorEastAsia" w:eastAsiaTheme="majorEastAsia" w:cstheme="majorEastAsia"/>
          <w:b/>
          <w:color w:val="auto"/>
          <w:sz w:val="24"/>
          <w:highlight w:val="none"/>
        </w:rPr>
        <w:t>以上所需的各种证书、证明、营业执照若系复印件，需在复印件上盖上有效的公章。</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10.2</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资格的证明材料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必须提交证明其有资格进行投标和有能力履行合同的资格证明文件，作为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的一部分。其中：</w:t>
      </w:r>
    </w:p>
    <w:p>
      <w:pPr>
        <w:snapToGrid w:val="0"/>
        <w:spacing w:line="360" w:lineRule="auto"/>
        <w:ind w:firstLine="480" w:firstLineChars="200"/>
        <w:rPr>
          <w:rFonts w:hint="eastAsia" w:ascii="宋体" w:hAnsi="宋体" w:cs="宋体"/>
          <w:color w:val="auto"/>
          <w:sz w:val="24"/>
          <w:highlight w:val="none"/>
        </w:rPr>
      </w:pPr>
      <w:bookmarkStart w:id="17" w:name="_Toc177186255"/>
      <w:r>
        <w:rPr>
          <w:rFonts w:hint="eastAsia" w:ascii="宋体" w:hAnsi="宋体" w:cs="宋体"/>
          <w:color w:val="auto"/>
          <w:sz w:val="24"/>
          <w:highlight w:val="none"/>
        </w:rPr>
        <w:t>（1）</w:t>
      </w:r>
      <w:bookmarkEnd w:id="17"/>
      <w:bookmarkStart w:id="18" w:name="_Toc177186256"/>
      <w:r>
        <w:rPr>
          <w:rFonts w:hint="eastAsia" w:ascii="宋体" w:hAnsi="宋体" w:cs="宋体"/>
          <w:color w:val="auto"/>
          <w:sz w:val="24"/>
          <w:highlight w:val="none"/>
          <w:lang w:eastAsia="zh-CN"/>
        </w:rPr>
        <w:t>供应商</w:t>
      </w:r>
      <w:r>
        <w:rPr>
          <w:rFonts w:hint="eastAsia" w:ascii="宋体" w:hAnsi="宋体" w:cs="宋体"/>
          <w:color w:val="auto"/>
          <w:sz w:val="24"/>
          <w:highlight w:val="none"/>
        </w:rPr>
        <w:t>必须具备法人资格，提供企业营业执照（复印件加盖公章）等；</w:t>
      </w:r>
    </w:p>
    <w:bookmarkEnd w:id="18"/>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格式</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文件中所提出的格式</w:t>
      </w:r>
      <w:r>
        <w:rPr>
          <w:rFonts w:hint="eastAsia" w:ascii="宋体" w:hAnsi="宋体" w:cs="宋体"/>
          <w:color w:val="auto"/>
          <w:sz w:val="24"/>
          <w:highlight w:val="none"/>
          <w:lang w:eastAsia="zh-CN"/>
        </w:rPr>
        <w:t>、</w:t>
      </w:r>
      <w:r>
        <w:rPr>
          <w:rFonts w:hint="eastAsia" w:ascii="宋体" w:hAnsi="宋体" w:cs="宋体"/>
          <w:color w:val="auto"/>
          <w:sz w:val="24"/>
          <w:highlight w:val="none"/>
        </w:rPr>
        <w:t>内容编写。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可以根据需要增加说明或描述性文字。</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11.2投标函为在开标仪式上唱标的内容，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需按格式填写，统一规范，不得自行增减内容。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需按项目要求的投标内容详细编制</w:t>
      </w:r>
      <w:r>
        <w:rPr>
          <w:rFonts w:hint="eastAsia" w:ascii="宋体" w:hAnsi="宋体" w:cs="宋体"/>
          <w:color w:val="auto"/>
          <w:sz w:val="24"/>
          <w:highlight w:val="none"/>
          <w:lang w:val="en-US" w:eastAsia="zh-CN"/>
        </w:rPr>
        <w:t>服务方案</w:t>
      </w:r>
      <w:r>
        <w:rPr>
          <w:rFonts w:hint="eastAsia" w:ascii="宋体" w:hAnsi="宋体" w:cs="宋体"/>
          <w:color w:val="auto"/>
          <w:sz w:val="24"/>
          <w:highlight w:val="none"/>
        </w:rPr>
        <w:t>。</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12.投标报价</w:t>
      </w:r>
    </w:p>
    <w:p>
      <w:pPr>
        <w:snapToGrid w:val="0"/>
        <w:spacing w:line="360" w:lineRule="auto"/>
        <w:ind w:firstLine="480" w:firstLineChars="200"/>
        <w:rPr>
          <w:rFonts w:hint="eastAsia" w:hAnsi="宋体"/>
          <w:b/>
          <w:color w:val="auto"/>
          <w:sz w:val="24"/>
          <w:highlight w:val="none"/>
        </w:rPr>
      </w:pPr>
      <w:r>
        <w:rPr>
          <w:rFonts w:hint="eastAsia" w:ascii="宋体" w:hAnsi="宋体" w:cs="宋体"/>
          <w:color w:val="auto"/>
          <w:sz w:val="24"/>
          <w:highlight w:val="none"/>
        </w:rPr>
        <w:t>12.1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应该用</w:t>
      </w:r>
      <w:r>
        <w:rPr>
          <w:rFonts w:hint="eastAsia" w:hAnsi="宋体"/>
          <w:b/>
          <w:bCs/>
          <w:color w:val="auto"/>
          <w:sz w:val="24"/>
          <w:highlight w:val="none"/>
          <w:u w:val="single"/>
          <w:lang w:val="en-US" w:eastAsia="zh-CN"/>
        </w:rPr>
        <w:t>费率进行报价</w:t>
      </w:r>
      <w:r>
        <w:rPr>
          <w:rFonts w:hint="eastAsia" w:hAnsi="宋体"/>
          <w:b/>
          <w:bCs/>
          <w:color w:val="auto"/>
          <w:sz w:val="24"/>
          <w:highlight w:val="none"/>
          <w:u w:val="single"/>
        </w:rPr>
        <w:t>，保留</w:t>
      </w:r>
      <w:r>
        <w:rPr>
          <w:rFonts w:hint="eastAsia" w:hAnsi="宋体"/>
          <w:b/>
          <w:bCs/>
          <w:color w:val="auto"/>
          <w:sz w:val="24"/>
          <w:highlight w:val="none"/>
          <w:u w:val="single"/>
          <w:lang w:val="en-US" w:eastAsia="zh-CN"/>
        </w:rPr>
        <w:t>2位</w:t>
      </w:r>
      <w:r>
        <w:rPr>
          <w:rFonts w:hint="eastAsia" w:hAnsi="宋体"/>
          <w:b/>
          <w:bCs/>
          <w:color w:val="auto"/>
          <w:sz w:val="24"/>
          <w:highlight w:val="none"/>
          <w:u w:val="single"/>
        </w:rPr>
        <w:t>小数</w:t>
      </w:r>
      <w:r>
        <w:rPr>
          <w:rFonts w:hint="eastAsia" w:hAnsi="宋体"/>
          <w:color w:val="auto"/>
          <w:sz w:val="24"/>
          <w:highlight w:val="none"/>
        </w:rPr>
        <w:t>。须包括完成</w:t>
      </w:r>
      <w:r>
        <w:rPr>
          <w:rFonts w:hint="eastAsia" w:hAnsi="宋体"/>
          <w:color w:val="auto"/>
          <w:sz w:val="24"/>
          <w:highlight w:val="none"/>
          <w:lang w:eastAsia="zh-CN"/>
        </w:rPr>
        <w:t>采购</w:t>
      </w:r>
      <w:r>
        <w:rPr>
          <w:rFonts w:hint="eastAsia" w:hAnsi="宋体"/>
          <w:color w:val="auto"/>
          <w:sz w:val="24"/>
          <w:highlight w:val="none"/>
        </w:rPr>
        <w:t>服务工作所需的一切费用。</w:t>
      </w:r>
      <w:r>
        <w:rPr>
          <w:rFonts w:hint="eastAsia" w:hAnsi="宋体"/>
          <w:b/>
          <w:bCs/>
          <w:color w:val="auto"/>
          <w:sz w:val="24"/>
          <w:highlight w:val="none"/>
          <w:lang w:eastAsia="zh-CN"/>
        </w:rPr>
        <w:t>供应商</w:t>
      </w:r>
      <w:r>
        <w:rPr>
          <w:rFonts w:hint="eastAsia" w:hAnsi="宋体"/>
          <w:b/>
          <w:bCs/>
          <w:color w:val="auto"/>
          <w:sz w:val="24"/>
          <w:highlight w:val="none"/>
        </w:rPr>
        <w:t>所报的</w:t>
      </w:r>
      <w:r>
        <w:rPr>
          <w:rFonts w:hint="eastAsia" w:hAnsi="宋体"/>
          <w:b/>
          <w:bCs/>
          <w:color w:val="auto"/>
          <w:sz w:val="24"/>
          <w:highlight w:val="none"/>
          <w:lang w:val="en-US" w:eastAsia="zh-CN"/>
        </w:rPr>
        <w:t>费率</w:t>
      </w:r>
      <w:r>
        <w:rPr>
          <w:rFonts w:hint="eastAsia" w:hAnsi="宋体"/>
          <w:b/>
          <w:bCs/>
          <w:color w:val="auto"/>
          <w:sz w:val="24"/>
          <w:highlight w:val="none"/>
        </w:rPr>
        <w:t>，在该合同执行过程中是固定的。</w:t>
      </w:r>
      <w:r>
        <w:rPr>
          <w:rFonts w:hint="eastAsia" w:hAnsi="宋体"/>
          <w:b/>
          <w:bCs/>
          <w:color w:val="auto"/>
          <w:sz w:val="24"/>
          <w:highlight w:val="none"/>
          <w:lang w:eastAsia="zh-CN"/>
        </w:rPr>
        <w:t>供应商</w:t>
      </w:r>
      <w:r>
        <w:rPr>
          <w:rFonts w:hint="eastAsia" w:hAnsi="宋体"/>
          <w:b/>
          <w:bCs/>
          <w:color w:val="auto"/>
          <w:sz w:val="24"/>
          <w:highlight w:val="none"/>
        </w:rPr>
        <w:t>在投标报价时应充分考虑上述原则。</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13.投标有效期</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13.1投标有效期见本须知前附表第10项所规定的期限，在此期限内，凡符合本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均保持有效。</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13.2在特殊情况下，</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在原定投标有效期内，可以根据需要以书面形式向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提出延长投标有效期的要求，对此要求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须以书面形式予以答复。</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可以拒绝</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这种要求，而并收回</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。同意延长投标有效期的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既不能要求也不允许修改其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，但需要相应的延长</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的有效期，在延长的投标有效期内本须知关于</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的退还与不退还的规定仍然适用。</w:t>
      </w:r>
    </w:p>
    <w:p>
      <w:pPr>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14.</w:t>
      </w:r>
      <w:r>
        <w:rPr>
          <w:rFonts w:hint="eastAsia" w:ascii="宋体" w:hAnsi="宋体" w:cs="宋体"/>
          <w:b/>
          <w:color w:val="auto"/>
          <w:sz w:val="24"/>
          <w:highlight w:val="none"/>
          <w:lang w:eastAsia="zh-CN"/>
        </w:rPr>
        <w:t>响应保证金（</w:t>
      </w:r>
      <w:r>
        <w:rPr>
          <w:rFonts w:hint="eastAsia" w:ascii="宋体" w:hAnsi="宋体" w:cs="宋体"/>
          <w:b/>
          <w:color w:val="auto"/>
          <w:sz w:val="24"/>
          <w:highlight w:val="none"/>
          <w:lang w:val="en-US" w:eastAsia="zh-CN"/>
        </w:rPr>
        <w:t>本项目不适用</w:t>
      </w:r>
      <w:r>
        <w:rPr>
          <w:rFonts w:hint="eastAsia" w:ascii="宋体" w:hAnsi="宋体" w:cs="宋体"/>
          <w:b/>
          <w:color w:val="auto"/>
          <w:sz w:val="24"/>
          <w:highlight w:val="none"/>
          <w:lang w:eastAsia="zh-CN"/>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的同时，按本须知前附表第5项所规定的方式.数额提交</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，并作为其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的一部分。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14.2对于未能按要求提交</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的投标，</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将视为不响应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文件而予以拒绝。</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14.3除</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文件规定不予退还保证金的情形外，自中标通知书发出后5日内退还未中标</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（含银行同期存款利息）；中标人的</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，自合同签订完成后的5日内退还（含银行同期存款利息）。</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发生下列情况之一时，</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将不予退还：</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在投标有效期内撤回其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拒绝接受</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中已确认的承诺或条款；</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（3）中标人未能在规定期限内签订合同协议；</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（4）以他人名义投标或者以其他方式弄虚作假，骗取中标的。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.其他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或者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恶意串通的。</w:t>
      </w:r>
    </w:p>
    <w:p>
      <w:pPr>
        <w:spacing w:line="360" w:lineRule="auto"/>
        <w:ind w:firstLine="482" w:firstLineChars="200"/>
        <w:rPr>
          <w:rFonts w:hint="eastAsia"/>
          <w:b/>
          <w:bCs/>
          <w:color w:val="auto"/>
          <w:sz w:val="24"/>
          <w:highlight w:val="none"/>
        </w:rPr>
      </w:pPr>
      <w:r>
        <w:rPr>
          <w:rFonts w:hint="eastAsia"/>
          <w:b/>
          <w:bCs/>
          <w:color w:val="auto"/>
          <w:sz w:val="24"/>
          <w:highlight w:val="none"/>
        </w:rPr>
        <w:t>15.</w:t>
      </w:r>
      <w:r>
        <w:rPr>
          <w:rFonts w:hint="eastAsia"/>
          <w:b/>
          <w:bCs/>
          <w:color w:val="auto"/>
          <w:sz w:val="24"/>
          <w:highlight w:val="none"/>
          <w:lang w:eastAsia="zh-CN"/>
        </w:rPr>
        <w:t>响应文件</w:t>
      </w:r>
      <w:r>
        <w:rPr>
          <w:rFonts w:hint="eastAsia"/>
          <w:b/>
          <w:bCs/>
          <w:color w:val="auto"/>
          <w:sz w:val="24"/>
          <w:highlight w:val="none"/>
        </w:rPr>
        <w:t>的式样和签署</w:t>
      </w:r>
    </w:p>
    <w:p>
      <w:pPr>
        <w:spacing w:line="360" w:lineRule="auto"/>
        <w:ind w:firstLine="482" w:firstLineChars="200"/>
        <w:rPr>
          <w:rFonts w:hint="eastAsia"/>
          <w:b/>
          <w:bCs/>
          <w:color w:val="auto"/>
          <w:sz w:val="24"/>
          <w:highlight w:val="none"/>
        </w:rPr>
      </w:pPr>
      <w:r>
        <w:rPr>
          <w:rFonts w:hint="eastAsia"/>
          <w:b/>
          <w:bCs/>
          <w:color w:val="auto"/>
          <w:sz w:val="24"/>
          <w:highlight w:val="none"/>
        </w:rPr>
        <w:t>15.1本项目实行网上</w:t>
      </w:r>
      <w:r>
        <w:rPr>
          <w:rFonts w:hint="eastAsia"/>
          <w:b/>
          <w:bCs/>
          <w:color w:val="auto"/>
          <w:sz w:val="24"/>
          <w:highlight w:val="none"/>
          <w:lang w:val="en-US" w:eastAsia="zh-CN"/>
        </w:rPr>
        <w:t>响应</w:t>
      </w:r>
      <w:r>
        <w:rPr>
          <w:rFonts w:hint="eastAsia"/>
          <w:b/>
          <w:bCs/>
          <w:color w:val="auto"/>
          <w:sz w:val="24"/>
          <w:highlight w:val="none"/>
        </w:rPr>
        <w:t>。</w:t>
      </w:r>
    </w:p>
    <w:p>
      <w:pPr>
        <w:spacing w:line="360" w:lineRule="auto"/>
        <w:ind w:firstLine="482" w:firstLineChars="200"/>
        <w:rPr>
          <w:rFonts w:hint="eastAsia"/>
          <w:b/>
          <w:bCs/>
          <w:color w:val="auto"/>
          <w:sz w:val="24"/>
          <w:highlight w:val="none"/>
        </w:rPr>
      </w:pPr>
      <w:r>
        <w:rPr>
          <w:rFonts w:hint="eastAsia"/>
          <w:b/>
          <w:bCs/>
          <w:color w:val="auto"/>
          <w:sz w:val="24"/>
          <w:highlight w:val="none"/>
        </w:rPr>
        <w:t>15.2 供应商应准备以下形式的</w:t>
      </w:r>
      <w:r>
        <w:rPr>
          <w:rFonts w:hint="eastAsia"/>
          <w:b/>
          <w:bCs/>
          <w:color w:val="auto"/>
          <w:sz w:val="24"/>
          <w:highlight w:val="none"/>
          <w:lang w:eastAsia="zh-CN"/>
        </w:rPr>
        <w:t>响应文件</w:t>
      </w:r>
      <w:r>
        <w:rPr>
          <w:rFonts w:hint="eastAsia"/>
          <w:b/>
          <w:bCs/>
          <w:color w:val="auto"/>
          <w:sz w:val="24"/>
          <w:highlight w:val="none"/>
        </w:rPr>
        <w:t>：电子加密</w:t>
      </w:r>
      <w:r>
        <w:rPr>
          <w:rFonts w:hint="eastAsia"/>
          <w:b/>
          <w:bCs/>
          <w:color w:val="auto"/>
          <w:sz w:val="24"/>
          <w:highlight w:val="none"/>
          <w:lang w:eastAsia="zh-CN"/>
        </w:rPr>
        <w:t>响应文件</w:t>
      </w:r>
      <w:r>
        <w:rPr>
          <w:rFonts w:hint="eastAsia"/>
          <w:b/>
          <w:bCs/>
          <w:color w:val="auto"/>
          <w:sz w:val="24"/>
          <w:highlight w:val="none"/>
        </w:rPr>
        <w:t>。</w:t>
      </w:r>
    </w:p>
    <w:p>
      <w:pPr>
        <w:spacing w:line="360" w:lineRule="auto"/>
        <w:ind w:firstLine="482" w:firstLineChars="200"/>
        <w:rPr>
          <w:rFonts w:hint="eastAsia"/>
          <w:b/>
          <w:bCs/>
          <w:color w:val="auto"/>
          <w:sz w:val="24"/>
          <w:highlight w:val="none"/>
        </w:rPr>
      </w:pPr>
      <w:r>
        <w:rPr>
          <w:rFonts w:hint="eastAsia"/>
          <w:b/>
          <w:bCs/>
          <w:color w:val="auto"/>
          <w:sz w:val="24"/>
          <w:highlight w:val="none"/>
          <w:lang w:eastAsia="zh-CN"/>
        </w:rPr>
        <w:t>响应文件</w:t>
      </w:r>
      <w:r>
        <w:rPr>
          <w:rFonts w:hint="eastAsia"/>
          <w:b/>
          <w:bCs/>
          <w:color w:val="auto"/>
          <w:sz w:val="24"/>
          <w:highlight w:val="none"/>
        </w:rPr>
        <w:t>均由</w:t>
      </w:r>
      <w:r>
        <w:rPr>
          <w:rFonts w:hint="eastAsia" w:ascii="宋体" w:hAnsi="宋体" w:cs="宋体"/>
          <w:b/>
          <w:color w:val="auto"/>
          <w:sz w:val="24"/>
          <w:highlight w:val="none"/>
          <w:lang w:val="en-US" w:eastAsia="zh-CN"/>
        </w:rPr>
        <w:t>资格、</w:t>
      </w:r>
      <w:r>
        <w:rPr>
          <w:rFonts w:hint="eastAsia" w:ascii="宋体" w:hAnsi="宋体" w:cs="宋体"/>
          <w:b/>
          <w:color w:val="auto"/>
          <w:sz w:val="24"/>
          <w:highlight w:val="none"/>
        </w:rPr>
        <w:t>商务和</w:t>
      </w:r>
      <w:r>
        <w:rPr>
          <w:rFonts w:hint="eastAsia" w:ascii="宋体" w:hAnsi="宋体" w:cs="宋体"/>
          <w:b/>
          <w:color w:val="auto"/>
          <w:sz w:val="24"/>
          <w:highlight w:val="none"/>
          <w:lang w:val="en-US" w:eastAsia="zh-CN"/>
        </w:rPr>
        <w:t>资信</w:t>
      </w:r>
      <w:r>
        <w:rPr>
          <w:rFonts w:hint="eastAsia" w:ascii="宋体" w:hAnsi="宋体" w:cs="宋体"/>
          <w:b/>
          <w:color w:val="auto"/>
          <w:sz w:val="24"/>
          <w:highlight w:val="none"/>
        </w:rPr>
        <w:t>技术</w:t>
      </w:r>
      <w:r>
        <w:rPr>
          <w:rFonts w:hint="eastAsia"/>
          <w:b/>
          <w:bCs/>
          <w:color w:val="auto"/>
          <w:sz w:val="24"/>
          <w:highlight w:val="none"/>
        </w:rPr>
        <w:t>文件组成。</w:t>
      </w:r>
    </w:p>
    <w:p>
      <w:pPr>
        <w:spacing w:line="360" w:lineRule="auto"/>
        <w:ind w:firstLine="482" w:firstLineChars="200"/>
        <w:rPr>
          <w:rFonts w:hint="eastAsia"/>
          <w:b/>
          <w:bCs/>
          <w:color w:val="auto"/>
          <w:sz w:val="24"/>
          <w:highlight w:val="none"/>
        </w:rPr>
      </w:pPr>
      <w:r>
        <w:rPr>
          <w:rFonts w:hint="eastAsia"/>
          <w:b/>
          <w:bCs/>
          <w:color w:val="auto"/>
          <w:sz w:val="24"/>
          <w:highlight w:val="none"/>
        </w:rPr>
        <w:t>（1）“电子加密</w:t>
      </w:r>
      <w:r>
        <w:rPr>
          <w:rFonts w:hint="eastAsia"/>
          <w:b/>
          <w:bCs/>
          <w:color w:val="auto"/>
          <w:sz w:val="24"/>
          <w:highlight w:val="none"/>
          <w:lang w:eastAsia="zh-CN"/>
        </w:rPr>
        <w:t>响应文件</w:t>
      </w:r>
      <w:r>
        <w:rPr>
          <w:rFonts w:hint="eastAsia"/>
          <w:b/>
          <w:bCs/>
          <w:color w:val="auto"/>
          <w:sz w:val="24"/>
          <w:highlight w:val="none"/>
        </w:rPr>
        <w:t>”是指通过“</w:t>
      </w:r>
      <w:r>
        <w:rPr>
          <w:rFonts w:hint="eastAsia"/>
          <w:b/>
          <w:bCs/>
          <w:color w:val="auto"/>
          <w:sz w:val="24"/>
          <w:highlight w:val="none"/>
          <w:lang w:eastAsia="zh-CN"/>
        </w:rPr>
        <w:t>电子投标客户端</w:t>
      </w:r>
      <w:r>
        <w:rPr>
          <w:rFonts w:hint="eastAsia"/>
          <w:b/>
          <w:bCs/>
          <w:color w:val="auto"/>
          <w:sz w:val="24"/>
          <w:highlight w:val="none"/>
        </w:rPr>
        <w:t>”完成</w:t>
      </w:r>
      <w:r>
        <w:rPr>
          <w:rFonts w:hint="eastAsia"/>
          <w:b/>
          <w:bCs/>
          <w:color w:val="auto"/>
          <w:sz w:val="24"/>
          <w:highlight w:val="none"/>
          <w:lang w:eastAsia="zh-CN"/>
        </w:rPr>
        <w:t>响应文件</w:t>
      </w:r>
      <w:r>
        <w:rPr>
          <w:rFonts w:hint="eastAsia"/>
          <w:b/>
          <w:bCs/>
          <w:color w:val="auto"/>
          <w:sz w:val="24"/>
          <w:highlight w:val="none"/>
        </w:rPr>
        <w:t>编制后生成并加密的数据电文形式的</w:t>
      </w:r>
      <w:r>
        <w:rPr>
          <w:rFonts w:hint="eastAsia"/>
          <w:b/>
          <w:bCs/>
          <w:color w:val="auto"/>
          <w:sz w:val="24"/>
          <w:highlight w:val="none"/>
          <w:lang w:eastAsia="zh-CN"/>
        </w:rPr>
        <w:t>响应文件</w:t>
      </w:r>
      <w:r>
        <w:rPr>
          <w:rFonts w:hint="eastAsia"/>
          <w:b/>
          <w:bCs/>
          <w:color w:val="auto"/>
          <w:sz w:val="24"/>
          <w:highlight w:val="none"/>
        </w:rPr>
        <w:t>（后缀格式为.jmbs）。</w:t>
      </w:r>
    </w:p>
    <w:p>
      <w:pPr>
        <w:spacing w:line="360" w:lineRule="auto"/>
        <w:ind w:firstLine="482" w:firstLineChars="200"/>
        <w:rPr>
          <w:rFonts w:hint="eastAsia"/>
          <w:b/>
          <w:bCs/>
          <w:color w:val="auto"/>
          <w:sz w:val="24"/>
          <w:highlight w:val="none"/>
        </w:rPr>
      </w:pPr>
      <w:r>
        <w:rPr>
          <w:rFonts w:hint="eastAsia"/>
          <w:b/>
          <w:bCs/>
          <w:color w:val="auto"/>
          <w:sz w:val="24"/>
          <w:highlight w:val="none"/>
        </w:rPr>
        <w:t>（2）“备份</w:t>
      </w:r>
      <w:r>
        <w:rPr>
          <w:rFonts w:hint="eastAsia"/>
          <w:b/>
          <w:bCs/>
          <w:color w:val="auto"/>
          <w:sz w:val="24"/>
          <w:highlight w:val="none"/>
          <w:lang w:eastAsia="zh-CN"/>
        </w:rPr>
        <w:t>响应文件</w:t>
      </w:r>
      <w:r>
        <w:rPr>
          <w:rFonts w:hint="eastAsia"/>
          <w:b/>
          <w:bCs/>
          <w:color w:val="auto"/>
          <w:sz w:val="24"/>
          <w:highlight w:val="none"/>
        </w:rPr>
        <w:t>”是指与“电子加密</w:t>
      </w:r>
      <w:r>
        <w:rPr>
          <w:rFonts w:hint="eastAsia"/>
          <w:b/>
          <w:bCs/>
          <w:color w:val="auto"/>
          <w:sz w:val="24"/>
          <w:highlight w:val="none"/>
          <w:lang w:eastAsia="zh-CN"/>
        </w:rPr>
        <w:t>响应文件</w:t>
      </w:r>
      <w:r>
        <w:rPr>
          <w:rFonts w:hint="eastAsia"/>
          <w:b/>
          <w:bCs/>
          <w:color w:val="auto"/>
          <w:sz w:val="24"/>
          <w:highlight w:val="none"/>
        </w:rPr>
        <w:t>”同时生成的数据电文形式的电子文件（备份</w:t>
      </w:r>
      <w:r>
        <w:rPr>
          <w:rFonts w:hint="eastAsia"/>
          <w:b/>
          <w:bCs/>
          <w:color w:val="auto"/>
          <w:sz w:val="24"/>
          <w:highlight w:val="none"/>
          <w:lang w:eastAsia="zh-CN"/>
        </w:rPr>
        <w:t>响应文件</w:t>
      </w:r>
      <w:r>
        <w:rPr>
          <w:rFonts w:hint="eastAsia"/>
          <w:b/>
          <w:bCs/>
          <w:color w:val="auto"/>
          <w:sz w:val="24"/>
          <w:highlight w:val="none"/>
        </w:rPr>
        <w:t>，用于供应商电子加密</w:t>
      </w:r>
      <w:r>
        <w:rPr>
          <w:rFonts w:hint="eastAsia"/>
          <w:b/>
          <w:bCs/>
          <w:color w:val="auto"/>
          <w:sz w:val="24"/>
          <w:highlight w:val="none"/>
          <w:lang w:eastAsia="zh-CN"/>
        </w:rPr>
        <w:t>响应文件</w:t>
      </w:r>
      <w:r>
        <w:rPr>
          <w:rFonts w:hint="eastAsia"/>
          <w:b/>
          <w:bCs/>
          <w:color w:val="auto"/>
          <w:sz w:val="24"/>
          <w:highlight w:val="none"/>
        </w:rPr>
        <w:t>解密异常时应急使用），其他方式编制的备份</w:t>
      </w:r>
      <w:r>
        <w:rPr>
          <w:rFonts w:hint="eastAsia"/>
          <w:b/>
          <w:bCs/>
          <w:color w:val="auto"/>
          <w:sz w:val="24"/>
          <w:highlight w:val="none"/>
          <w:lang w:eastAsia="zh-CN"/>
        </w:rPr>
        <w:t>响应文件</w:t>
      </w:r>
      <w:r>
        <w:rPr>
          <w:rFonts w:hint="eastAsia"/>
          <w:b/>
          <w:bCs/>
          <w:color w:val="auto"/>
          <w:sz w:val="24"/>
          <w:highlight w:val="none"/>
        </w:rPr>
        <w:t>视为无效备份</w:t>
      </w:r>
      <w:r>
        <w:rPr>
          <w:rFonts w:hint="eastAsia"/>
          <w:b/>
          <w:bCs/>
          <w:color w:val="auto"/>
          <w:sz w:val="24"/>
          <w:highlight w:val="none"/>
          <w:lang w:eastAsia="zh-CN"/>
        </w:rPr>
        <w:t>响应文件</w:t>
      </w:r>
      <w:r>
        <w:rPr>
          <w:rFonts w:hint="eastAsia"/>
          <w:b/>
          <w:bCs/>
          <w:color w:val="auto"/>
          <w:sz w:val="24"/>
          <w:highlight w:val="none"/>
        </w:rPr>
        <w:t>。备份</w:t>
      </w:r>
      <w:r>
        <w:rPr>
          <w:rFonts w:hint="eastAsia"/>
          <w:b/>
          <w:bCs/>
          <w:color w:val="auto"/>
          <w:sz w:val="24"/>
          <w:highlight w:val="none"/>
          <w:lang w:eastAsia="zh-CN"/>
        </w:rPr>
        <w:t>响应文件</w:t>
      </w:r>
      <w:r>
        <w:rPr>
          <w:rFonts w:hint="eastAsia"/>
          <w:b/>
          <w:bCs/>
          <w:color w:val="auto"/>
          <w:sz w:val="24"/>
          <w:highlight w:val="none"/>
        </w:rPr>
        <w:t>（后缀格式为.bfbs）以</w:t>
      </w:r>
      <w:r>
        <w:rPr>
          <w:rFonts w:hint="eastAsia"/>
          <w:b/>
          <w:bCs/>
          <w:color w:val="auto"/>
          <w:sz w:val="24"/>
          <w:highlight w:val="none"/>
          <w:lang w:val="en-US" w:eastAsia="zh-CN"/>
        </w:rPr>
        <w:t>邮箱</w:t>
      </w:r>
      <w:r>
        <w:rPr>
          <w:rFonts w:hint="eastAsia"/>
          <w:b/>
          <w:bCs/>
          <w:color w:val="auto"/>
          <w:sz w:val="24"/>
          <w:highlight w:val="none"/>
        </w:rPr>
        <w:t>形式提供。</w:t>
      </w:r>
    </w:p>
    <w:p>
      <w:pPr>
        <w:spacing w:line="360" w:lineRule="auto"/>
        <w:ind w:firstLine="482" w:firstLineChars="200"/>
        <w:rPr>
          <w:b/>
          <w:bCs/>
          <w:color w:val="auto"/>
          <w:sz w:val="24"/>
          <w:highlight w:val="none"/>
        </w:rPr>
      </w:pPr>
      <w:r>
        <w:rPr>
          <w:rFonts w:hint="eastAsia"/>
          <w:b/>
          <w:bCs/>
          <w:color w:val="auto"/>
          <w:sz w:val="24"/>
          <w:highlight w:val="none"/>
        </w:rPr>
        <w:t>15.3</w:t>
      </w:r>
      <w:r>
        <w:rPr>
          <w:rFonts w:hint="eastAsia"/>
          <w:b/>
          <w:bCs/>
          <w:color w:val="auto"/>
          <w:sz w:val="24"/>
          <w:highlight w:val="none"/>
          <w:lang w:eastAsia="zh-CN"/>
        </w:rPr>
        <w:t>响应文件</w:t>
      </w:r>
      <w:r>
        <w:rPr>
          <w:rFonts w:hint="eastAsia"/>
          <w:b/>
          <w:bCs/>
          <w:color w:val="auto"/>
          <w:sz w:val="24"/>
          <w:highlight w:val="none"/>
        </w:rPr>
        <w:t>须按照采购文件要求加盖供应商公章（除此之外的投标专用章.合同章等均视为无效）.法定代表人或其委托代理人签字或盖章。</w:t>
      </w:r>
    </w:p>
    <w:p>
      <w:pPr>
        <w:spacing w:line="360" w:lineRule="auto"/>
        <w:ind w:firstLine="482" w:firstLineChars="200"/>
        <w:rPr>
          <w:rFonts w:hint="eastAsia"/>
          <w:b/>
          <w:bCs/>
          <w:color w:val="auto"/>
          <w:sz w:val="24"/>
          <w:highlight w:val="none"/>
        </w:rPr>
      </w:pPr>
      <w:r>
        <w:rPr>
          <w:rFonts w:hint="eastAsia"/>
          <w:b/>
          <w:bCs/>
          <w:color w:val="auto"/>
          <w:sz w:val="24"/>
          <w:highlight w:val="none"/>
        </w:rPr>
        <w:t>15.4</w:t>
      </w:r>
      <w:r>
        <w:rPr>
          <w:rFonts w:hint="eastAsia"/>
          <w:b/>
          <w:bCs/>
          <w:color w:val="auto"/>
          <w:sz w:val="24"/>
          <w:highlight w:val="none"/>
          <w:lang w:eastAsia="zh-CN"/>
        </w:rPr>
        <w:t>供应商</w:t>
      </w:r>
      <w:r>
        <w:rPr>
          <w:rFonts w:hint="eastAsia"/>
          <w:b/>
          <w:bCs/>
          <w:color w:val="auto"/>
          <w:sz w:val="24"/>
          <w:highlight w:val="none"/>
        </w:rPr>
        <w:t>应根据</w:t>
      </w:r>
      <w:r>
        <w:rPr>
          <w:rFonts w:hint="eastAsia"/>
          <w:b/>
          <w:bCs/>
          <w:color w:val="auto"/>
          <w:sz w:val="24"/>
          <w:highlight w:val="none"/>
          <w:lang w:eastAsia="zh-CN"/>
        </w:rPr>
        <w:t>杭州交投集中采购平台</w:t>
      </w:r>
      <w:r>
        <w:rPr>
          <w:rFonts w:hint="eastAsia"/>
          <w:b/>
          <w:bCs/>
          <w:color w:val="auto"/>
          <w:sz w:val="24"/>
          <w:highlight w:val="none"/>
        </w:rPr>
        <w:t>操作手册及本</w:t>
      </w:r>
      <w:r>
        <w:rPr>
          <w:rFonts w:hint="eastAsia"/>
          <w:b/>
          <w:bCs/>
          <w:color w:val="auto"/>
          <w:sz w:val="24"/>
          <w:highlight w:val="none"/>
          <w:lang w:eastAsia="zh-CN"/>
        </w:rPr>
        <w:t>采购</w:t>
      </w:r>
      <w:r>
        <w:rPr>
          <w:rFonts w:hint="eastAsia"/>
          <w:b/>
          <w:bCs/>
          <w:color w:val="auto"/>
          <w:sz w:val="24"/>
          <w:highlight w:val="none"/>
        </w:rPr>
        <w:t>文件规定编制电子</w:t>
      </w:r>
      <w:r>
        <w:rPr>
          <w:rFonts w:hint="eastAsia"/>
          <w:b/>
          <w:bCs/>
          <w:color w:val="auto"/>
          <w:sz w:val="24"/>
          <w:highlight w:val="none"/>
          <w:lang w:eastAsia="zh-CN"/>
        </w:rPr>
        <w:t>响应文件</w:t>
      </w:r>
      <w:r>
        <w:rPr>
          <w:rFonts w:hint="eastAsia"/>
          <w:b/>
          <w:bCs/>
          <w:color w:val="auto"/>
          <w:sz w:val="24"/>
          <w:highlight w:val="none"/>
        </w:rPr>
        <w:t>并进行关联定位，以便评标委员会在评标时，点击评分项，可直接定位到该评分项内容。</w:t>
      </w:r>
    </w:p>
    <w:p>
      <w:pPr>
        <w:spacing w:line="360" w:lineRule="auto"/>
        <w:ind w:firstLine="482" w:firstLineChars="200"/>
        <w:rPr>
          <w:rFonts w:hint="eastAsia"/>
          <w:b/>
          <w:bCs/>
          <w:color w:val="auto"/>
          <w:sz w:val="24"/>
          <w:highlight w:val="none"/>
        </w:rPr>
      </w:pPr>
      <w:r>
        <w:rPr>
          <w:rFonts w:hint="eastAsia"/>
          <w:b/>
          <w:bCs/>
          <w:color w:val="auto"/>
          <w:sz w:val="24"/>
          <w:highlight w:val="none"/>
        </w:rPr>
        <w:t>如对</w:t>
      </w:r>
      <w:r>
        <w:rPr>
          <w:rFonts w:hint="eastAsia"/>
          <w:b/>
          <w:bCs/>
          <w:color w:val="auto"/>
          <w:sz w:val="24"/>
          <w:highlight w:val="none"/>
          <w:lang w:eastAsia="zh-CN"/>
        </w:rPr>
        <w:t>采购</w:t>
      </w:r>
      <w:r>
        <w:rPr>
          <w:rFonts w:hint="eastAsia"/>
          <w:b/>
          <w:bCs/>
          <w:color w:val="auto"/>
          <w:sz w:val="24"/>
          <w:highlight w:val="none"/>
        </w:rPr>
        <w:t>文件的某项要求，</w:t>
      </w:r>
      <w:r>
        <w:rPr>
          <w:rFonts w:hint="eastAsia"/>
          <w:b/>
          <w:bCs/>
          <w:color w:val="auto"/>
          <w:sz w:val="24"/>
          <w:highlight w:val="none"/>
          <w:lang w:eastAsia="zh-CN"/>
        </w:rPr>
        <w:t>供应商</w:t>
      </w:r>
      <w:r>
        <w:rPr>
          <w:rFonts w:hint="eastAsia"/>
          <w:b/>
          <w:bCs/>
          <w:color w:val="auto"/>
          <w:sz w:val="24"/>
          <w:highlight w:val="none"/>
        </w:rPr>
        <w:t>的投标响应文件未能提供相应的内容与其对应，则评标委员会在评审时会提示</w:t>
      </w:r>
      <w:r>
        <w:rPr>
          <w:rFonts w:hint="eastAsia"/>
          <w:b/>
          <w:bCs/>
          <w:color w:val="auto"/>
          <w:sz w:val="24"/>
          <w:highlight w:val="none"/>
          <w:lang w:eastAsia="zh-CN"/>
        </w:rPr>
        <w:t>供应商</w:t>
      </w:r>
      <w:r>
        <w:rPr>
          <w:rFonts w:hint="eastAsia"/>
          <w:b/>
          <w:bCs/>
          <w:color w:val="auto"/>
          <w:sz w:val="24"/>
          <w:highlight w:val="none"/>
        </w:rPr>
        <w:t>未对此项</w:t>
      </w:r>
      <w:r>
        <w:rPr>
          <w:rFonts w:hint="eastAsia"/>
          <w:b/>
          <w:bCs/>
          <w:color w:val="auto"/>
          <w:sz w:val="24"/>
          <w:highlight w:val="none"/>
          <w:lang w:eastAsia="zh-CN"/>
        </w:rPr>
        <w:t>采购</w:t>
      </w:r>
      <w:r>
        <w:rPr>
          <w:rFonts w:hint="eastAsia"/>
          <w:b/>
          <w:bCs/>
          <w:color w:val="auto"/>
          <w:sz w:val="24"/>
          <w:highlight w:val="none"/>
        </w:rPr>
        <w:t>要求提供相应内容。由此产生的评分影响由</w:t>
      </w:r>
      <w:r>
        <w:rPr>
          <w:rFonts w:hint="eastAsia"/>
          <w:b/>
          <w:bCs/>
          <w:color w:val="auto"/>
          <w:sz w:val="24"/>
          <w:highlight w:val="none"/>
          <w:lang w:eastAsia="zh-CN"/>
        </w:rPr>
        <w:t>供应商</w:t>
      </w:r>
      <w:r>
        <w:rPr>
          <w:rFonts w:hint="eastAsia"/>
          <w:b/>
          <w:bCs/>
          <w:color w:val="auto"/>
          <w:sz w:val="24"/>
          <w:highlight w:val="none"/>
        </w:rPr>
        <w:t>自行承担。</w:t>
      </w:r>
    </w:p>
    <w:p>
      <w:pPr>
        <w:spacing w:line="360" w:lineRule="auto"/>
        <w:ind w:firstLine="482" w:firstLineChars="200"/>
        <w:rPr>
          <w:rFonts w:hint="eastAsia" w:ascii="宋体" w:hAnsi="宋体" w:cs="宋体"/>
          <w:b/>
          <w:bCs/>
          <w:color w:val="auto"/>
          <w:sz w:val="24"/>
          <w:highlight w:val="none"/>
        </w:rPr>
      </w:pPr>
      <w:r>
        <w:rPr>
          <w:rFonts w:hint="eastAsia"/>
          <w:b/>
          <w:bCs/>
          <w:color w:val="auto"/>
          <w:sz w:val="24"/>
          <w:highlight w:val="none"/>
        </w:rPr>
        <w:t>15.5</w:t>
      </w:r>
      <w:r>
        <w:rPr>
          <w:b/>
          <w:bCs/>
          <w:color w:val="auto"/>
          <w:sz w:val="24"/>
          <w:highlight w:val="none"/>
        </w:rPr>
        <w:t>除</w:t>
      </w:r>
      <w:r>
        <w:rPr>
          <w:rFonts w:hint="eastAsia"/>
          <w:b/>
          <w:bCs/>
          <w:color w:val="auto"/>
          <w:sz w:val="24"/>
          <w:highlight w:val="none"/>
          <w:lang w:eastAsia="zh-CN"/>
        </w:rPr>
        <w:t>供应商</w:t>
      </w:r>
      <w:r>
        <w:rPr>
          <w:b/>
          <w:bCs/>
          <w:color w:val="auto"/>
          <w:sz w:val="24"/>
          <w:highlight w:val="none"/>
        </w:rPr>
        <w:t>对错误处须修改外，全套</w:t>
      </w:r>
      <w:r>
        <w:rPr>
          <w:rFonts w:hint="eastAsia"/>
          <w:b/>
          <w:bCs/>
          <w:color w:val="auto"/>
          <w:sz w:val="24"/>
          <w:highlight w:val="none"/>
          <w:lang w:eastAsia="zh-CN"/>
        </w:rPr>
        <w:t>响应文件</w:t>
      </w:r>
      <w:r>
        <w:rPr>
          <w:b/>
          <w:bCs/>
          <w:color w:val="auto"/>
          <w:sz w:val="24"/>
          <w:highlight w:val="none"/>
        </w:rPr>
        <w:t>应无涂改或行间插字和增删。如有修改，修改处应由</w:t>
      </w:r>
      <w:r>
        <w:rPr>
          <w:rFonts w:hint="eastAsia"/>
          <w:b/>
          <w:bCs/>
          <w:color w:val="auto"/>
          <w:sz w:val="24"/>
          <w:highlight w:val="none"/>
          <w:lang w:eastAsia="zh-CN"/>
        </w:rPr>
        <w:t>供应商</w:t>
      </w:r>
      <w:r>
        <w:rPr>
          <w:b/>
          <w:bCs/>
          <w:color w:val="auto"/>
          <w:sz w:val="24"/>
          <w:highlight w:val="none"/>
        </w:rPr>
        <w:t>加盖</w:t>
      </w:r>
      <w:r>
        <w:rPr>
          <w:rFonts w:hint="eastAsia"/>
          <w:b/>
          <w:bCs/>
          <w:color w:val="auto"/>
          <w:sz w:val="24"/>
          <w:highlight w:val="none"/>
          <w:lang w:eastAsia="zh-CN"/>
        </w:rPr>
        <w:t>供应商</w:t>
      </w:r>
      <w:r>
        <w:rPr>
          <w:b/>
          <w:bCs/>
          <w:color w:val="auto"/>
          <w:sz w:val="24"/>
          <w:highlight w:val="none"/>
        </w:rPr>
        <w:t>的印章或由</w:t>
      </w:r>
      <w:r>
        <w:rPr>
          <w:rFonts w:hint="eastAsia"/>
          <w:b/>
          <w:bCs/>
          <w:color w:val="auto"/>
          <w:sz w:val="24"/>
          <w:highlight w:val="none"/>
          <w:lang w:eastAsia="zh-CN"/>
        </w:rPr>
        <w:t>响应文件</w:t>
      </w:r>
      <w:r>
        <w:rPr>
          <w:b/>
          <w:bCs/>
          <w:color w:val="auto"/>
          <w:sz w:val="24"/>
          <w:highlight w:val="none"/>
        </w:rPr>
        <w:t>签字人签字或盖章。</w:t>
      </w:r>
    </w:p>
    <w:p>
      <w:pPr>
        <w:pStyle w:val="2"/>
        <w:spacing w:before="480" w:after="120"/>
        <w:rPr>
          <w:rFonts w:hint="eastAsia" w:ascii="宋体" w:hAnsi="宋体" w:cs="宋体"/>
          <w:b w:val="0"/>
          <w:bCs/>
          <w:color w:val="auto"/>
          <w:sz w:val="30"/>
          <w:szCs w:val="30"/>
          <w:highlight w:val="none"/>
        </w:rPr>
      </w:pPr>
      <w:bookmarkStart w:id="19" w:name="_Toc29331"/>
      <w:bookmarkStart w:id="20" w:name="_Toc495977857"/>
      <w:bookmarkStart w:id="21" w:name="_Toc17227"/>
      <w:r>
        <w:rPr>
          <w:rFonts w:hint="eastAsia" w:ascii="宋体" w:hAnsi="宋体" w:cs="宋体"/>
          <w:b w:val="0"/>
          <w:bCs/>
          <w:color w:val="auto"/>
          <w:sz w:val="30"/>
          <w:szCs w:val="30"/>
          <w:highlight w:val="none"/>
        </w:rPr>
        <w:t>（四）</w:t>
      </w:r>
      <w:r>
        <w:rPr>
          <w:rFonts w:hint="eastAsia" w:ascii="宋体" w:hAnsi="宋体" w:cs="宋体"/>
          <w:b w:val="0"/>
          <w:bCs/>
          <w:color w:val="auto"/>
          <w:sz w:val="30"/>
          <w:szCs w:val="30"/>
          <w:highlight w:val="none"/>
          <w:lang w:eastAsia="zh-CN"/>
        </w:rPr>
        <w:t>响应文件</w:t>
      </w:r>
      <w:r>
        <w:rPr>
          <w:rFonts w:hint="eastAsia" w:ascii="宋体" w:hAnsi="宋体" w:cs="宋体"/>
          <w:b w:val="0"/>
          <w:bCs/>
          <w:color w:val="auto"/>
          <w:sz w:val="30"/>
          <w:szCs w:val="30"/>
          <w:highlight w:val="none"/>
        </w:rPr>
        <w:t>的递交</w:t>
      </w:r>
      <w:bookmarkEnd w:id="19"/>
      <w:bookmarkEnd w:id="20"/>
      <w:bookmarkEnd w:id="21"/>
    </w:p>
    <w:p>
      <w:pPr>
        <w:snapToGrid w:val="0"/>
        <w:spacing w:line="360" w:lineRule="auto"/>
        <w:ind w:firstLine="482" w:firstLineChars="200"/>
        <w:rPr>
          <w:rFonts w:hint="eastAsia" w:ascii="宋体" w:hAnsi="宋体" w:eastAsia="宋体"/>
          <w:b/>
          <w:color w:val="auto"/>
          <w:sz w:val="24"/>
          <w:highlight w:val="none"/>
          <w:lang w:val="en-US" w:eastAsia="zh-CN"/>
        </w:rPr>
      </w:pPr>
      <w:r>
        <w:rPr>
          <w:rFonts w:hint="eastAsia" w:ascii="宋体" w:hAnsi="宋体" w:cs="宋体"/>
          <w:b/>
          <w:color w:val="auto"/>
          <w:sz w:val="24"/>
          <w:highlight w:val="none"/>
        </w:rPr>
        <w:t>16.</w:t>
      </w:r>
      <w:r>
        <w:rPr>
          <w:rFonts w:hint="eastAsia" w:ascii="宋体" w:hAnsi="宋体"/>
          <w:b/>
          <w:color w:val="auto"/>
          <w:sz w:val="24"/>
          <w:highlight w:val="none"/>
        </w:rPr>
        <w:t>备份</w:t>
      </w:r>
      <w:r>
        <w:rPr>
          <w:rFonts w:hint="eastAsia" w:ascii="宋体" w:hAnsi="宋体"/>
          <w:b/>
          <w:color w:val="auto"/>
          <w:sz w:val="24"/>
          <w:highlight w:val="none"/>
          <w:lang w:eastAsia="zh-CN"/>
        </w:rPr>
        <w:t>响应文件</w:t>
      </w:r>
      <w:r>
        <w:rPr>
          <w:rFonts w:ascii="宋体" w:hAnsi="宋体"/>
          <w:b/>
          <w:color w:val="auto"/>
          <w:sz w:val="24"/>
          <w:highlight w:val="none"/>
        </w:rPr>
        <w:t>的</w:t>
      </w:r>
      <w:r>
        <w:rPr>
          <w:rFonts w:hint="eastAsia" w:ascii="宋体" w:hAnsi="宋体"/>
          <w:b/>
          <w:color w:val="auto"/>
          <w:sz w:val="24"/>
          <w:highlight w:val="none"/>
          <w:lang w:val="en-US" w:eastAsia="zh-CN"/>
        </w:rPr>
        <w:t>要求</w:t>
      </w:r>
    </w:p>
    <w:p>
      <w:pPr>
        <w:adjustRightInd w:val="0"/>
        <w:snapToGrid w:val="0"/>
        <w:spacing w:line="360" w:lineRule="auto"/>
        <w:ind w:firstLine="482" w:firstLineChars="200"/>
        <w:jc w:val="left"/>
        <w:rPr>
          <w:rFonts w:ascii="宋体" w:hAnsi="宋体"/>
          <w:b/>
          <w:bCs/>
          <w:snapToGrid w:val="0"/>
          <w:color w:val="auto"/>
          <w:kern w:val="0"/>
          <w:sz w:val="24"/>
          <w:highlight w:val="none"/>
        </w:rPr>
      </w:pPr>
      <w:r>
        <w:rPr>
          <w:rFonts w:hint="eastAsia" w:ascii="宋体" w:hAnsi="宋体" w:cs="宋体"/>
          <w:b/>
          <w:bCs/>
          <w:snapToGrid w:val="0"/>
          <w:color w:val="auto"/>
          <w:kern w:val="0"/>
          <w:sz w:val="24"/>
          <w:highlight w:val="none"/>
        </w:rPr>
        <w:t>▲</w:t>
      </w:r>
      <w:r>
        <w:rPr>
          <w:rFonts w:ascii="宋体" w:hAnsi="宋体"/>
          <w:b/>
          <w:bCs/>
          <w:snapToGrid w:val="0"/>
          <w:color w:val="auto"/>
          <w:kern w:val="0"/>
          <w:sz w:val="24"/>
          <w:highlight w:val="none"/>
        </w:rPr>
        <w:t>仅提供备份响应文件的，投标无效。</w:t>
      </w:r>
    </w:p>
    <w:p>
      <w:pPr>
        <w:adjustRightInd w:val="0"/>
        <w:snapToGrid w:val="0"/>
        <w:spacing w:line="360" w:lineRule="auto"/>
        <w:ind w:firstLine="482" w:firstLineChars="200"/>
        <w:jc w:val="left"/>
        <w:rPr>
          <w:rFonts w:ascii="宋体" w:hAnsi="宋体"/>
          <w:b/>
          <w:bCs/>
          <w:snapToGrid w:val="0"/>
          <w:color w:val="auto"/>
          <w:kern w:val="0"/>
          <w:sz w:val="24"/>
          <w:highlight w:val="none"/>
        </w:rPr>
      </w:pPr>
      <w:r>
        <w:rPr>
          <w:rFonts w:hint="eastAsia" w:ascii="宋体" w:hAnsi="宋体" w:cs="宋体"/>
          <w:b/>
          <w:bCs/>
          <w:snapToGrid w:val="0"/>
          <w:color w:val="auto"/>
          <w:kern w:val="0"/>
          <w:sz w:val="24"/>
          <w:highlight w:val="none"/>
        </w:rPr>
        <w:t>▲</w:t>
      </w:r>
      <w:r>
        <w:rPr>
          <w:rFonts w:hint="eastAsia" w:ascii="宋体" w:hAnsi="宋体"/>
          <w:b/>
          <w:bCs/>
          <w:snapToGrid w:val="0"/>
          <w:color w:val="auto"/>
          <w:kern w:val="0"/>
          <w:sz w:val="24"/>
          <w:highlight w:val="none"/>
        </w:rPr>
        <w:t>不</w:t>
      </w:r>
      <w:r>
        <w:rPr>
          <w:rFonts w:ascii="宋体" w:hAnsi="宋体"/>
          <w:b/>
          <w:bCs/>
          <w:snapToGrid w:val="0"/>
          <w:color w:val="auto"/>
          <w:kern w:val="0"/>
          <w:sz w:val="24"/>
          <w:highlight w:val="none"/>
        </w:rPr>
        <w:t>提供备份响应文件，造成项目开评标活动无法进行下去的，投标无效，相关风险由供应商自行承担。</w:t>
      </w:r>
    </w:p>
    <w:p>
      <w:pPr>
        <w:adjustRightInd w:val="0"/>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17.</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的提交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应按本须知前附表第16项所规定的地点，于截止时间前提交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18.</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提交的截止时间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的截止时间见本须知前附表第16项规定。</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18.2因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文件的修改推迟投标截止时间时，则按</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修改通知规定的时间递交。</w:t>
      </w:r>
    </w:p>
    <w:p>
      <w:pPr>
        <w:snapToGrid w:val="0"/>
        <w:spacing w:line="360" w:lineRule="auto"/>
        <w:ind w:firstLine="42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19.迟交的</w:t>
      </w:r>
      <w:r>
        <w:rPr>
          <w:rFonts w:hint="eastAsia" w:ascii="宋体" w:hAnsi="宋体" w:cs="宋体"/>
          <w:b/>
          <w:color w:val="auto"/>
          <w:sz w:val="24"/>
          <w:highlight w:val="none"/>
          <w:lang w:eastAsia="zh-CN"/>
        </w:rPr>
        <w:t>响应文件</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在本须知第16条规定的投标截止时间以后收到的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，将被拒绝并退回给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napToGrid w:val="0"/>
        <w:spacing w:line="360" w:lineRule="auto"/>
        <w:ind w:firstLine="420"/>
        <w:rPr>
          <w:rFonts w:hint="eastAsia" w:ascii="宋体" w:hAnsi="宋体" w:cs="宋体"/>
          <w:b/>
          <w:color w:val="auto"/>
          <w:sz w:val="24"/>
          <w:highlight w:val="none"/>
        </w:rPr>
      </w:pPr>
      <w:r>
        <w:rPr>
          <w:rFonts w:hint="eastAsia" w:ascii="宋体" w:hAnsi="宋体" w:cs="宋体"/>
          <w:b/>
          <w:color w:val="auto"/>
          <w:sz w:val="24"/>
          <w:highlight w:val="none"/>
        </w:rPr>
        <w:t>20.</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的补充、修改与撤回</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20.1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以后，在规定的投标截止时间之前，可以书面形式补充修改或撤回已提交的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，并以书面形式通知</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。补充、修改的内容为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的组成部分。</w:t>
      </w:r>
    </w:p>
    <w:p>
      <w:pPr>
        <w:snapToGrid w:val="0"/>
        <w:spacing w:line="360" w:lineRule="auto"/>
        <w:ind w:firstLine="420"/>
        <w:rPr>
          <w:rFonts w:ascii="宋体" w:hAnsi="宋体"/>
          <w:snapToGrid w:val="0"/>
          <w:color w:val="auto"/>
          <w:kern w:val="0"/>
          <w:sz w:val="24"/>
          <w:highlight w:val="none"/>
        </w:rPr>
      </w:pPr>
      <w:r>
        <w:rPr>
          <w:rFonts w:hint="eastAsia" w:ascii="宋体" w:hAnsi="宋体" w:cs="宋体"/>
          <w:color w:val="auto"/>
          <w:sz w:val="24"/>
          <w:highlight w:val="none"/>
        </w:rPr>
        <w:t>20.2</w:t>
      </w:r>
      <w:r>
        <w:rPr>
          <w:rFonts w:ascii="宋体" w:hAnsi="宋体" w:cs="Arial"/>
          <w:color w:val="auto"/>
          <w:sz w:val="24"/>
          <w:highlight w:val="none"/>
        </w:rPr>
        <w:t>在投标截止时间至投标有效期满之前，</w:t>
      </w:r>
      <w:r>
        <w:rPr>
          <w:rFonts w:hint="eastAsia" w:ascii="宋体" w:hAnsi="宋体" w:cs="Arial"/>
          <w:color w:val="auto"/>
          <w:sz w:val="24"/>
          <w:highlight w:val="none"/>
          <w:lang w:eastAsia="zh-CN"/>
        </w:rPr>
        <w:t>供应商</w:t>
      </w:r>
      <w:r>
        <w:rPr>
          <w:rFonts w:ascii="宋体" w:hAnsi="宋体" w:cs="Arial"/>
          <w:color w:val="auto"/>
          <w:sz w:val="24"/>
          <w:highlight w:val="none"/>
        </w:rPr>
        <w:t>不得撤回其</w:t>
      </w:r>
      <w:r>
        <w:rPr>
          <w:rFonts w:hint="eastAsia" w:ascii="宋体" w:hAnsi="宋体" w:cs="Arial"/>
          <w:color w:val="auto"/>
          <w:sz w:val="24"/>
          <w:highlight w:val="none"/>
          <w:lang w:eastAsia="zh-CN"/>
        </w:rPr>
        <w:t>响应文件</w:t>
      </w:r>
      <w:r>
        <w:rPr>
          <w:rFonts w:ascii="宋体" w:hAnsi="宋体" w:cs="Arial"/>
          <w:color w:val="auto"/>
          <w:sz w:val="24"/>
          <w:highlight w:val="none"/>
        </w:rPr>
        <w:t>，否则其</w:t>
      </w:r>
      <w:r>
        <w:rPr>
          <w:rFonts w:hint="eastAsia" w:ascii="宋体" w:hAnsi="宋体" w:cs="Arial"/>
          <w:color w:val="auto"/>
          <w:sz w:val="24"/>
          <w:highlight w:val="none"/>
          <w:lang w:eastAsia="zh-CN"/>
        </w:rPr>
        <w:t>响应保证金</w:t>
      </w:r>
      <w:r>
        <w:rPr>
          <w:rFonts w:ascii="宋体" w:hAnsi="宋体" w:cs="Arial"/>
          <w:color w:val="auto"/>
          <w:sz w:val="24"/>
          <w:highlight w:val="none"/>
        </w:rPr>
        <w:t>将</w:t>
      </w:r>
      <w:r>
        <w:rPr>
          <w:rFonts w:hint="eastAsia" w:ascii="宋体" w:hAnsi="宋体" w:cs="Arial"/>
          <w:color w:val="auto"/>
          <w:sz w:val="24"/>
          <w:highlight w:val="none"/>
        </w:rPr>
        <w:t>不予退还</w:t>
      </w:r>
      <w:r>
        <w:rPr>
          <w:rFonts w:ascii="宋体" w:hAnsi="宋体" w:cs="Arial"/>
          <w:color w:val="auto"/>
          <w:sz w:val="24"/>
          <w:highlight w:val="none"/>
        </w:rPr>
        <w:t>。</w:t>
      </w:r>
      <w:r>
        <w:rPr>
          <w:rFonts w:ascii="宋体" w:hAnsi="宋体"/>
          <w:snapToGrid w:val="0"/>
          <w:color w:val="auto"/>
          <w:kern w:val="0"/>
          <w:sz w:val="24"/>
          <w:highlight w:val="none"/>
        </w:rPr>
        <w:t>供应商应当在投标截止时间前完成</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响应文件的上传</w:t>
      </w:r>
      <w:r>
        <w:rPr>
          <w:rFonts w:hint="eastAsia" w:ascii="宋体" w:hAnsi="宋体"/>
          <w:snapToGrid w:val="0"/>
          <w:color w:val="auto"/>
          <w:kern w:val="0"/>
          <w:sz w:val="24"/>
          <w:highlight w:val="none"/>
        </w:rPr>
        <w:t>、</w:t>
      </w:r>
      <w:r>
        <w:rPr>
          <w:rFonts w:ascii="宋体" w:hAnsi="宋体"/>
          <w:snapToGrid w:val="0"/>
          <w:color w:val="auto"/>
          <w:kern w:val="0"/>
          <w:sz w:val="24"/>
          <w:highlight w:val="none"/>
        </w:rPr>
        <w:t>递交，并可以补充</w:t>
      </w:r>
      <w:r>
        <w:rPr>
          <w:rFonts w:hint="eastAsia" w:ascii="宋体" w:hAnsi="宋体"/>
          <w:snapToGrid w:val="0"/>
          <w:color w:val="auto"/>
          <w:kern w:val="0"/>
          <w:sz w:val="24"/>
          <w:highlight w:val="none"/>
        </w:rPr>
        <w:t>、</w:t>
      </w:r>
      <w:r>
        <w:rPr>
          <w:rFonts w:ascii="宋体" w:hAnsi="宋体"/>
          <w:snapToGrid w:val="0"/>
          <w:color w:val="auto"/>
          <w:kern w:val="0"/>
          <w:sz w:val="24"/>
          <w:highlight w:val="none"/>
        </w:rPr>
        <w:t>修改或者撤回</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响应文件。补充或者修改</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响应文件的，应当先行撤回原文件，补充</w:t>
      </w:r>
      <w:r>
        <w:rPr>
          <w:rFonts w:hint="eastAsia" w:ascii="宋体" w:hAnsi="宋体"/>
          <w:snapToGrid w:val="0"/>
          <w:color w:val="auto"/>
          <w:kern w:val="0"/>
          <w:sz w:val="24"/>
          <w:highlight w:val="none"/>
        </w:rPr>
        <w:t>、</w:t>
      </w:r>
      <w:r>
        <w:rPr>
          <w:rFonts w:ascii="宋体" w:hAnsi="宋体"/>
          <w:snapToGrid w:val="0"/>
          <w:color w:val="auto"/>
          <w:kern w:val="0"/>
          <w:sz w:val="24"/>
          <w:highlight w:val="none"/>
        </w:rPr>
        <w:t>修改后重新上传</w:t>
      </w:r>
      <w:r>
        <w:rPr>
          <w:rFonts w:hint="eastAsia" w:ascii="宋体" w:hAnsi="宋体"/>
          <w:snapToGrid w:val="0"/>
          <w:color w:val="auto"/>
          <w:kern w:val="0"/>
          <w:sz w:val="24"/>
          <w:highlight w:val="none"/>
        </w:rPr>
        <w:t>、</w:t>
      </w:r>
      <w:r>
        <w:rPr>
          <w:rFonts w:ascii="宋体" w:hAnsi="宋体"/>
          <w:snapToGrid w:val="0"/>
          <w:color w:val="auto"/>
          <w:kern w:val="0"/>
          <w:sz w:val="24"/>
          <w:highlight w:val="none"/>
        </w:rPr>
        <w:t>递交。投标截止时间前未完成上传</w:t>
      </w:r>
      <w:r>
        <w:rPr>
          <w:rFonts w:hint="eastAsia" w:ascii="宋体" w:hAnsi="宋体"/>
          <w:snapToGrid w:val="0"/>
          <w:color w:val="auto"/>
          <w:kern w:val="0"/>
          <w:sz w:val="24"/>
          <w:highlight w:val="none"/>
        </w:rPr>
        <w:t>、</w:t>
      </w:r>
      <w:r>
        <w:rPr>
          <w:rFonts w:ascii="宋体" w:hAnsi="宋体"/>
          <w:snapToGrid w:val="0"/>
          <w:color w:val="auto"/>
          <w:kern w:val="0"/>
          <w:sz w:val="24"/>
          <w:highlight w:val="none"/>
        </w:rPr>
        <w:t>递交的，视为撤回</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响应文件。</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响应截止时间后递交的</w:t>
      </w:r>
      <w:r>
        <w:rPr>
          <w:rFonts w:hint="eastAsia" w:ascii="宋体" w:hAnsi="宋体"/>
          <w:snapToGrid w:val="0"/>
          <w:color w:val="auto"/>
          <w:kern w:val="0"/>
          <w:sz w:val="24"/>
          <w:highlight w:val="none"/>
        </w:rPr>
        <w:t>投标</w:t>
      </w:r>
      <w:r>
        <w:rPr>
          <w:rFonts w:ascii="宋体" w:hAnsi="宋体"/>
          <w:snapToGrid w:val="0"/>
          <w:color w:val="auto"/>
          <w:kern w:val="0"/>
          <w:sz w:val="24"/>
          <w:highlight w:val="none"/>
        </w:rPr>
        <w:t>响应文件，“</w:t>
      </w:r>
      <w:r>
        <w:rPr>
          <w:rFonts w:hint="eastAsia" w:ascii="宋体" w:hAnsi="宋体"/>
          <w:snapToGrid w:val="0"/>
          <w:color w:val="auto"/>
          <w:kern w:val="0"/>
          <w:sz w:val="24"/>
          <w:highlight w:val="none"/>
          <w:lang w:eastAsia="zh-CN"/>
        </w:rPr>
        <w:t>杭州交投集中采购平台</w:t>
      </w:r>
      <w:r>
        <w:rPr>
          <w:rFonts w:ascii="宋体" w:hAnsi="宋体"/>
          <w:snapToGrid w:val="0"/>
          <w:color w:val="auto"/>
          <w:kern w:val="0"/>
          <w:sz w:val="24"/>
          <w:highlight w:val="none"/>
        </w:rPr>
        <w:t>”将予以拒收。</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20.3在投标截止时间之后，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不得补充、修改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20.4在投标截止时间至投标有效期满之前，</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不得撤回其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，否则其</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将不予退还。</w:t>
      </w:r>
    </w:p>
    <w:p>
      <w:pPr>
        <w:snapToGrid w:val="0"/>
        <w:spacing w:line="360" w:lineRule="auto"/>
        <w:ind w:firstLine="420"/>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有下列情形之一的，</w:t>
      </w:r>
      <w:r>
        <w:rPr>
          <w:rFonts w:hint="eastAsia" w:ascii="宋体" w:hAnsi="宋体" w:cs="宋体"/>
          <w:b/>
          <w:color w:val="auto"/>
          <w:sz w:val="24"/>
          <w:highlight w:val="none"/>
          <w:lang w:eastAsia="zh-CN"/>
        </w:rPr>
        <w:t>采购单位</w:t>
      </w:r>
      <w:r>
        <w:rPr>
          <w:rFonts w:hint="eastAsia" w:ascii="宋体" w:hAnsi="宋体" w:cs="宋体"/>
          <w:b/>
          <w:color w:val="auto"/>
          <w:sz w:val="24"/>
          <w:highlight w:val="none"/>
        </w:rPr>
        <w:t>不予受理：</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21.1逾期递交或者未按要求在网上递交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p>
    <w:p>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21.2未办理投标报名手续的。</w:t>
      </w:r>
    </w:p>
    <w:p>
      <w:pPr>
        <w:pStyle w:val="2"/>
        <w:spacing w:before="480" w:after="120"/>
        <w:rPr>
          <w:rFonts w:hint="eastAsia" w:ascii="宋体" w:hAnsi="宋体" w:cs="宋体"/>
          <w:b w:val="0"/>
          <w:bCs/>
          <w:color w:val="auto"/>
          <w:sz w:val="30"/>
          <w:szCs w:val="30"/>
          <w:highlight w:val="none"/>
        </w:rPr>
      </w:pPr>
      <w:bookmarkStart w:id="22" w:name="_Toc3145"/>
      <w:bookmarkStart w:id="23" w:name="_Toc495977858"/>
      <w:bookmarkStart w:id="24" w:name="_Toc28371"/>
      <w:r>
        <w:rPr>
          <w:rFonts w:hint="eastAsia" w:ascii="宋体" w:hAnsi="宋体" w:cs="宋体"/>
          <w:b w:val="0"/>
          <w:bCs/>
          <w:color w:val="auto"/>
          <w:sz w:val="30"/>
          <w:szCs w:val="30"/>
          <w:highlight w:val="none"/>
        </w:rPr>
        <w:t>（五）开标</w:t>
      </w:r>
      <w:bookmarkEnd w:id="22"/>
      <w:bookmarkEnd w:id="23"/>
      <w:bookmarkEnd w:id="24"/>
    </w:p>
    <w:p>
      <w:pPr>
        <w:snapToGrid w:val="0"/>
        <w:spacing w:line="360" w:lineRule="auto"/>
        <w:ind w:firstLine="482" w:firstLineChars="200"/>
        <w:rPr>
          <w:rFonts w:hint="eastAsia" w:ascii="宋体" w:hAnsi="宋体"/>
          <w:b/>
          <w:color w:val="auto"/>
          <w:sz w:val="24"/>
          <w:highlight w:val="none"/>
        </w:rPr>
      </w:pPr>
      <w:r>
        <w:rPr>
          <w:rFonts w:hint="eastAsia" w:ascii="宋体" w:hAnsi="宋体" w:cs="宋体"/>
          <w:b/>
          <w:color w:val="auto"/>
          <w:sz w:val="24"/>
          <w:highlight w:val="none"/>
        </w:rPr>
        <w:t>22.</w:t>
      </w:r>
      <w:r>
        <w:rPr>
          <w:rFonts w:ascii="宋体" w:hAnsi="宋体"/>
          <w:b/>
          <w:color w:val="auto"/>
          <w:sz w:val="24"/>
          <w:highlight w:val="none"/>
        </w:rPr>
        <w:t>开标</w:t>
      </w:r>
    </w:p>
    <w:p>
      <w:pPr>
        <w:pStyle w:val="117"/>
        <w:spacing w:line="360" w:lineRule="auto"/>
        <w:ind w:firstLine="412"/>
        <w:outlineLvl w:val="9"/>
        <w:rPr>
          <w:rFonts w:hint="eastAsia" w:ascii="宋体" w:hAnsi="宋体" w:cs="Arial"/>
          <w:color w:val="auto"/>
          <w:sz w:val="24"/>
          <w:szCs w:val="24"/>
          <w:highlight w:val="none"/>
        </w:rPr>
      </w:pPr>
      <w:bookmarkStart w:id="25" w:name="_Toc12736"/>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代理机构将按照</w:t>
      </w:r>
      <w:r>
        <w:rPr>
          <w:rFonts w:hint="eastAsia" w:ascii="宋体" w:hAnsi="宋体" w:cs="Arial"/>
          <w:color w:val="auto"/>
          <w:sz w:val="24"/>
          <w:szCs w:val="24"/>
          <w:highlight w:val="none"/>
          <w:lang w:eastAsia="zh-CN"/>
        </w:rPr>
        <w:t>采购</w:t>
      </w:r>
      <w:r>
        <w:rPr>
          <w:rFonts w:hint="eastAsia" w:ascii="宋体" w:hAnsi="宋体" w:cs="Arial"/>
          <w:color w:val="auto"/>
          <w:sz w:val="24"/>
          <w:szCs w:val="24"/>
          <w:highlight w:val="none"/>
        </w:rPr>
        <w:t>文件规定的时间通过</w:t>
      </w:r>
      <w:r>
        <w:rPr>
          <w:rFonts w:hint="eastAsia" w:ascii="宋体" w:hAnsi="宋体" w:cs="Arial"/>
          <w:color w:val="auto"/>
          <w:sz w:val="24"/>
          <w:szCs w:val="24"/>
          <w:highlight w:val="none"/>
          <w:lang w:eastAsia="zh-CN"/>
        </w:rPr>
        <w:t>杭州交投集中采购平台</w:t>
      </w:r>
      <w:r>
        <w:rPr>
          <w:rFonts w:hint="eastAsia" w:ascii="宋体" w:hAnsi="宋体" w:cs="Arial"/>
          <w:color w:val="auto"/>
          <w:sz w:val="24"/>
          <w:szCs w:val="24"/>
          <w:highlight w:val="none"/>
        </w:rPr>
        <w:t>组织开标、开启电子加密</w:t>
      </w:r>
      <w:r>
        <w:rPr>
          <w:rFonts w:hint="eastAsia" w:ascii="宋体" w:hAnsi="宋体" w:cs="Arial"/>
          <w:color w:val="auto"/>
          <w:sz w:val="24"/>
          <w:szCs w:val="24"/>
          <w:highlight w:val="none"/>
          <w:lang w:eastAsia="zh-CN"/>
        </w:rPr>
        <w:t>响应文件</w:t>
      </w:r>
      <w:r>
        <w:rPr>
          <w:rFonts w:hint="eastAsia" w:ascii="宋体" w:hAnsi="宋体" w:cs="Arial"/>
          <w:color w:val="auto"/>
          <w:sz w:val="24"/>
          <w:szCs w:val="24"/>
          <w:highlight w:val="none"/>
        </w:rPr>
        <w:t>，所有供应商均应当准时在线参加。供应商如不参加开标大会的，视同认可开标结果，事后不得对采购相关人员、开标过程和开标结果提出异议，同时供应商因未在线参加开标而导致电子加密</w:t>
      </w:r>
      <w:r>
        <w:rPr>
          <w:rFonts w:hint="eastAsia" w:ascii="宋体" w:hAnsi="宋体" w:cs="Arial"/>
          <w:color w:val="auto"/>
          <w:sz w:val="24"/>
          <w:szCs w:val="24"/>
          <w:highlight w:val="none"/>
          <w:lang w:eastAsia="zh-CN"/>
        </w:rPr>
        <w:t>响应文件</w:t>
      </w:r>
      <w:r>
        <w:rPr>
          <w:rFonts w:hint="eastAsia" w:ascii="宋体" w:hAnsi="宋体" w:cs="Arial"/>
          <w:color w:val="auto"/>
          <w:sz w:val="24"/>
          <w:szCs w:val="24"/>
          <w:highlight w:val="none"/>
        </w:rPr>
        <w:t>无法按时解密等一切后果由供应商自己承担。</w:t>
      </w:r>
      <w:bookmarkEnd w:id="25"/>
    </w:p>
    <w:p>
      <w:pPr>
        <w:spacing w:line="360"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至投标截止时间，递交</w:t>
      </w:r>
      <w:r>
        <w:rPr>
          <w:rFonts w:hint="eastAsia" w:ascii="宋体" w:hAnsi="宋体" w:cs="Arial"/>
          <w:b/>
          <w:color w:val="auto"/>
          <w:sz w:val="24"/>
          <w:highlight w:val="none"/>
          <w:lang w:eastAsia="zh-CN"/>
        </w:rPr>
        <w:t>响应文件</w:t>
      </w:r>
      <w:r>
        <w:rPr>
          <w:rFonts w:hint="eastAsia" w:ascii="宋体" w:hAnsi="宋体" w:cs="Arial"/>
          <w:b/>
          <w:color w:val="auto"/>
          <w:sz w:val="24"/>
          <w:highlight w:val="none"/>
        </w:rPr>
        <w:t>的</w:t>
      </w:r>
      <w:r>
        <w:rPr>
          <w:rFonts w:hint="eastAsia" w:ascii="宋体" w:hAnsi="宋体" w:cs="Arial"/>
          <w:b/>
          <w:color w:val="auto"/>
          <w:sz w:val="24"/>
          <w:highlight w:val="none"/>
          <w:lang w:eastAsia="zh-CN"/>
        </w:rPr>
        <w:t>供应商</w:t>
      </w:r>
      <w:r>
        <w:rPr>
          <w:rFonts w:hint="eastAsia" w:ascii="宋体" w:hAnsi="宋体" w:cs="Arial"/>
          <w:b/>
          <w:color w:val="auto"/>
          <w:sz w:val="24"/>
          <w:highlight w:val="none"/>
        </w:rPr>
        <w:t>少于三个的，</w:t>
      </w:r>
      <w:r>
        <w:rPr>
          <w:rFonts w:hint="eastAsia" w:ascii="宋体" w:hAnsi="宋体" w:cs="Arial"/>
          <w:b/>
          <w:color w:val="auto"/>
          <w:sz w:val="24"/>
          <w:highlight w:val="none"/>
          <w:lang w:eastAsia="zh-CN"/>
        </w:rPr>
        <w:t>采购单位</w:t>
      </w:r>
      <w:r>
        <w:rPr>
          <w:rFonts w:hint="eastAsia" w:ascii="宋体" w:hAnsi="宋体" w:cs="Arial"/>
          <w:b/>
          <w:color w:val="auto"/>
          <w:sz w:val="24"/>
          <w:highlight w:val="none"/>
        </w:rPr>
        <w:t>将停止开标，重新组织</w:t>
      </w:r>
      <w:r>
        <w:rPr>
          <w:rFonts w:hint="eastAsia" w:ascii="宋体" w:hAnsi="宋体" w:cs="Arial"/>
          <w:b/>
          <w:color w:val="auto"/>
          <w:sz w:val="24"/>
          <w:highlight w:val="none"/>
          <w:lang w:eastAsia="zh-CN"/>
        </w:rPr>
        <w:t>采购</w:t>
      </w:r>
      <w:r>
        <w:rPr>
          <w:rFonts w:hint="eastAsia" w:ascii="宋体" w:hAnsi="宋体" w:cs="Arial"/>
          <w:b/>
          <w:color w:val="auto"/>
          <w:sz w:val="24"/>
          <w:highlight w:val="none"/>
        </w:rPr>
        <w:t>。</w:t>
      </w:r>
    </w:p>
    <w:p>
      <w:pPr>
        <w:spacing w:line="360" w:lineRule="auto"/>
        <w:ind w:firstLine="482" w:firstLineChars="200"/>
        <w:rPr>
          <w:b/>
          <w:color w:val="auto"/>
          <w:sz w:val="24"/>
          <w:highlight w:val="none"/>
        </w:rPr>
      </w:pPr>
      <w:r>
        <w:rPr>
          <w:rFonts w:hint="eastAsia" w:ascii="宋体" w:hAnsi="宋体" w:cs="Arial"/>
          <w:b/>
          <w:color w:val="auto"/>
          <w:sz w:val="24"/>
          <w:highlight w:val="none"/>
        </w:rPr>
        <w:t>23.</w:t>
      </w:r>
      <w:r>
        <w:rPr>
          <w:b/>
          <w:color w:val="auto"/>
          <w:sz w:val="24"/>
          <w:highlight w:val="none"/>
        </w:rPr>
        <w:t>开标程序</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（1）向各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发出电子加密</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【开始解密】通知，由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文件规定的时间内自行进行</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在规定的时间内无法完成已递交的“电子加密</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”解密的，如已按规定递交了备份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的，将由采购组织机构按“</w:t>
      </w:r>
      <w:r>
        <w:rPr>
          <w:rFonts w:hint="eastAsia" w:ascii="宋体" w:hAnsi="宋体" w:cs="宋体"/>
          <w:color w:val="auto"/>
          <w:sz w:val="24"/>
          <w:highlight w:val="none"/>
          <w:lang w:eastAsia="zh-CN"/>
        </w:rPr>
        <w:t>杭州交投集中采购平台</w:t>
      </w:r>
      <w:r>
        <w:rPr>
          <w:rFonts w:hint="eastAsia" w:ascii="宋体" w:hAnsi="宋体" w:cs="宋体"/>
          <w:color w:val="auto"/>
          <w:sz w:val="24"/>
          <w:highlight w:val="none"/>
        </w:rPr>
        <w:t>”操作规范将备份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上传至“</w:t>
      </w:r>
      <w:r>
        <w:rPr>
          <w:rFonts w:hint="eastAsia" w:ascii="宋体" w:hAnsi="宋体" w:cs="宋体"/>
          <w:color w:val="auto"/>
          <w:sz w:val="24"/>
          <w:highlight w:val="none"/>
          <w:lang w:eastAsia="zh-CN"/>
        </w:rPr>
        <w:t>杭州交投集中采购平台</w:t>
      </w:r>
      <w:r>
        <w:rPr>
          <w:rFonts w:hint="eastAsia" w:ascii="宋体" w:hAnsi="宋体" w:cs="宋体"/>
          <w:color w:val="auto"/>
          <w:sz w:val="24"/>
          <w:highlight w:val="none"/>
        </w:rPr>
        <w:t>”，上传成功后，“电子加密</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”自动失效；</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解密结束，开启</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，点击“开启签字时段”，供应商对开标纪录进行在线签字确认（不予确认的应说明理由，否则视为无异议）；</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（3）进行资格审查、符合性审查、商务技术评审、报价评审等各项评审；</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（4）评审结束后，在线公布中标（成交）候选供应商名单，及</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最终确定中标或成交供应商名单的时间和公告方式等。</w:t>
      </w:r>
    </w:p>
    <w:p>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（5）如遇“</w:t>
      </w:r>
      <w:r>
        <w:rPr>
          <w:rFonts w:hint="eastAsia" w:ascii="宋体" w:hAnsi="宋体" w:cs="宋体"/>
          <w:color w:val="auto"/>
          <w:sz w:val="24"/>
          <w:highlight w:val="none"/>
          <w:lang w:eastAsia="zh-CN"/>
        </w:rPr>
        <w:t>杭州交投集中采购平台</w:t>
      </w:r>
      <w:r>
        <w:rPr>
          <w:rFonts w:hint="eastAsia" w:ascii="宋体" w:hAnsi="宋体" w:cs="宋体"/>
          <w:color w:val="auto"/>
          <w:sz w:val="24"/>
          <w:highlight w:val="none"/>
        </w:rPr>
        <w:t>”电子化开标或评审程序调整的，或者系统提供数据电文交互功能的，按其规定执行。</w:t>
      </w:r>
    </w:p>
    <w:p>
      <w:pPr>
        <w:tabs>
          <w:tab w:val="left" w:pos="600"/>
        </w:tabs>
        <w:spacing w:line="360" w:lineRule="auto"/>
        <w:ind w:left="51" w:firstLine="482" w:firstLineChars="200"/>
        <w:rPr>
          <w:rFonts w:hint="eastAsia" w:ascii="宋体" w:hAnsi="宋体" w:cs="宋体"/>
          <w:b/>
          <w:bCs/>
          <w:color w:val="auto"/>
          <w:sz w:val="24"/>
          <w:highlight w:val="none"/>
        </w:rPr>
      </w:pPr>
      <w:r>
        <w:rPr>
          <w:rFonts w:hint="eastAsia" w:hAnsi="宋体"/>
          <w:b/>
          <w:color w:val="auto"/>
          <w:sz w:val="24"/>
          <w:highlight w:val="none"/>
        </w:rPr>
        <w:t>（6）投标</w:t>
      </w:r>
      <w:r>
        <w:rPr>
          <w:rFonts w:hAnsi="宋体"/>
          <w:b/>
          <w:color w:val="auto"/>
          <w:sz w:val="24"/>
          <w:highlight w:val="none"/>
        </w:rPr>
        <w:t>响应文件中投标函内容与开标一览表内容不一致的，以开标一览表为准。</w:t>
      </w:r>
    </w:p>
    <w:p>
      <w:pPr>
        <w:pStyle w:val="2"/>
        <w:spacing w:before="480" w:after="120"/>
        <w:rPr>
          <w:rFonts w:hint="eastAsia" w:ascii="宋体" w:hAnsi="宋体" w:cs="宋体"/>
          <w:b w:val="0"/>
          <w:bCs/>
          <w:color w:val="auto"/>
          <w:sz w:val="30"/>
          <w:szCs w:val="30"/>
          <w:highlight w:val="none"/>
        </w:rPr>
      </w:pPr>
      <w:bookmarkStart w:id="26" w:name="_Toc1312"/>
      <w:bookmarkStart w:id="27" w:name="_Toc20604"/>
      <w:r>
        <w:rPr>
          <w:rFonts w:hint="eastAsia" w:ascii="宋体" w:hAnsi="宋体" w:cs="宋体"/>
          <w:b w:val="0"/>
          <w:bCs/>
          <w:color w:val="auto"/>
          <w:sz w:val="30"/>
          <w:szCs w:val="30"/>
          <w:highlight w:val="none"/>
        </w:rPr>
        <w:t>（六）评标</w:t>
      </w:r>
      <w:bookmarkEnd w:id="26"/>
      <w:bookmarkEnd w:id="27"/>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24.评标委员会与评标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24.1评标委员会由</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依法组建，负责评标活动。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24.2评标采用保密方式进行。</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25.1开标后，直至授予中标人合同为止，凡属于对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的审查.澄清.评价和比较的有关资料以及候选中标人的推荐情况，与评标有关的其他任何情况均严格保密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的评审和比较.候选中标人推荐以及授予合同的过程中，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向</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和评标委员会施加影响的任何行为，都将会导致其投标被拒绝。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25.3中标人确定后，</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不对未中标人就评标过程以及未能中标原因作出任何解释。未中标人不得向评标委员会组成人员或其他有关人员索问评标过程的情况和材料。</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26.</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的澄清</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为有助于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的审查.评价和比较，评标委员会可以书面形式要求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含义不明确的内容作必要的澄清或说明，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应采用书面形式进行澄清或说明，但不得超出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的范围或改变</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的实质性内容。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27.</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的初步评审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27.1开标后，评标委员会首先对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进行符合性审查，符合性审查未通过的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不进入后续评审。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27.2评标委员会将评定每份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是否在实质上响应了</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文件的要求。所谓实质上响应，是指</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应与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文件的所有实质性条款、条件和要求相符，无显著差异或保留，或者对合同中约定的</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的权利和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的义务方面造成重大的限制，纠正这些显著差异或保留将会对其他实质上响应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的竞争地位产生不公正的影响。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27.3如果</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实质上不响应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文件的各项要求，评标委员会将予以拒绝，并且不允许</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通过修改或撤销其不符合要求的差异或保留，使之成为具有响应性的投标。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28.</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计算错误的修正</w:t>
      </w:r>
    </w:p>
    <w:p>
      <w:pPr>
        <w:spacing w:line="360" w:lineRule="auto"/>
        <w:ind w:left="142"/>
        <w:rPr>
          <w:rFonts w:hint="eastAsia" w:ascii="宋体" w:hAnsi="宋体" w:cs="宋体"/>
          <w:color w:val="auto"/>
          <w:sz w:val="24"/>
          <w:highlight w:val="none"/>
        </w:rPr>
      </w:pPr>
      <w:r>
        <w:rPr>
          <w:rFonts w:hint="eastAsia" w:ascii="宋体" w:hAnsi="宋体" w:cs="宋体"/>
          <w:color w:val="auto"/>
          <w:sz w:val="24"/>
          <w:highlight w:val="none"/>
        </w:rPr>
        <w:t xml:space="preserve">   28.1评标委员会将对确定为实质上响应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进行校核，看其是否有计算或表达上的错误，修正错误的原则如下：</w:t>
      </w:r>
    </w:p>
    <w:p>
      <w:pPr>
        <w:spacing w:line="360" w:lineRule="auto"/>
        <w:ind w:left="142"/>
        <w:rPr>
          <w:rFonts w:hint="eastAsia" w:ascii="宋体" w:hAnsi="宋体" w:cs="宋体"/>
          <w:color w:val="auto"/>
          <w:sz w:val="24"/>
          <w:highlight w:val="none"/>
        </w:rPr>
      </w:pPr>
      <w:r>
        <w:rPr>
          <w:rFonts w:hint="eastAsia" w:ascii="宋体" w:hAnsi="宋体" w:cs="宋体"/>
          <w:color w:val="auto"/>
          <w:sz w:val="24"/>
          <w:highlight w:val="none"/>
        </w:rPr>
        <w:t xml:space="preserve">  （1）如果数字表示的金额和用文字表示的金额不一致时，一律以文字表示的金额为准。</w:t>
      </w:r>
    </w:p>
    <w:p>
      <w:pPr>
        <w:spacing w:line="360" w:lineRule="auto"/>
        <w:ind w:left="14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）当单价与数量的乘积与合价不一致时，以单价为准，除非评标委员会认为单价有明显的小数点错误，此时应以标出的合价为准，并修改单价。</w:t>
      </w:r>
    </w:p>
    <w:p>
      <w:pPr>
        <w:spacing w:line="360" w:lineRule="auto"/>
        <w:ind w:left="142" w:firstLine="480" w:firstLineChars="200"/>
        <w:rPr>
          <w:rFonts w:hint="eastAsia" w:ascii="宋体" w:hAnsi="宋体" w:cs="宋体"/>
          <w:color w:val="auto"/>
          <w:sz w:val="24"/>
          <w:highlight w:val="none"/>
        </w:rPr>
      </w:pPr>
      <w:r>
        <w:rPr>
          <w:rFonts w:hint="eastAsia" w:ascii="宋体" w:hAnsi="宋体" w:cs="宋体"/>
          <w:color w:val="auto"/>
          <w:sz w:val="24"/>
          <w:highlight w:val="none"/>
        </w:rPr>
        <w:t>按上述修正错误的原则及方法由评标委员会调整或修正</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的投标报价，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同意后，调整后的投标报价为参与评标的最终报价，并对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起约束作用。如果</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不接受修正后的报价，则其投标将被拒绝，按废标处理，并且其</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也将不予退还，并不影响评标工作。</w:t>
      </w:r>
    </w:p>
    <w:p>
      <w:pPr>
        <w:spacing w:line="360" w:lineRule="auto"/>
        <w:ind w:left="142"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29.</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的评审、比较和否决</w:t>
      </w:r>
    </w:p>
    <w:p>
      <w:pPr>
        <w:spacing w:line="360" w:lineRule="auto"/>
        <w:ind w:left="142" w:firstLine="480" w:firstLineChars="200"/>
        <w:rPr>
          <w:rFonts w:hint="eastAsia" w:ascii="宋体" w:hAnsi="宋体" w:cs="宋体"/>
          <w:color w:val="auto"/>
          <w:sz w:val="24"/>
          <w:highlight w:val="none"/>
        </w:rPr>
      </w:pPr>
      <w:r>
        <w:rPr>
          <w:rFonts w:hint="eastAsia" w:ascii="宋体" w:hAnsi="宋体" w:cs="宋体"/>
          <w:color w:val="auto"/>
          <w:sz w:val="24"/>
          <w:highlight w:val="none"/>
        </w:rPr>
        <w:t>29.1评标委员会将按照本须知规定，仅对在实质上响应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进行评估和比较。</w:t>
      </w:r>
    </w:p>
    <w:p>
      <w:pPr>
        <w:spacing w:line="360" w:lineRule="auto"/>
        <w:ind w:left="142" w:firstLine="480" w:firstLineChars="200"/>
        <w:rPr>
          <w:rFonts w:hint="eastAsia" w:ascii="宋体" w:hAnsi="宋体" w:cs="宋体"/>
          <w:color w:val="auto"/>
          <w:sz w:val="24"/>
          <w:highlight w:val="none"/>
        </w:rPr>
      </w:pPr>
      <w:r>
        <w:rPr>
          <w:rFonts w:hint="eastAsia" w:ascii="宋体" w:hAnsi="宋体" w:cs="宋体"/>
          <w:color w:val="auto"/>
          <w:sz w:val="24"/>
          <w:highlight w:val="none"/>
        </w:rPr>
        <w:t>29.2在评审过程中，评标委员会可以书面形式要求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就</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中含义不明确的内容进行书面说明并提供相关材料。</w:t>
      </w:r>
    </w:p>
    <w:p>
      <w:pPr>
        <w:spacing w:line="360" w:lineRule="auto"/>
        <w:ind w:left="142" w:firstLine="480" w:firstLineChars="200"/>
        <w:rPr>
          <w:rFonts w:hint="eastAsia" w:ascii="宋体" w:hAnsi="宋体" w:cs="宋体"/>
          <w:b/>
          <w:color w:val="auto"/>
          <w:sz w:val="24"/>
          <w:highlight w:val="none"/>
        </w:rPr>
      </w:pPr>
      <w:r>
        <w:rPr>
          <w:rFonts w:hint="eastAsia" w:ascii="宋体" w:hAnsi="宋体" w:cs="宋体"/>
          <w:color w:val="auto"/>
          <w:sz w:val="24"/>
          <w:highlight w:val="none"/>
        </w:rPr>
        <w:t>29.3评标委员会依据本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章评标办法的规定，对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进行评审和比较，向</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提出书面评标报告，标明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综合得分排列顺序。</w:t>
      </w:r>
    </w:p>
    <w:p>
      <w:pPr>
        <w:pStyle w:val="2"/>
        <w:spacing w:before="480" w:after="120"/>
        <w:rPr>
          <w:rFonts w:hint="eastAsia" w:ascii="宋体" w:hAnsi="宋体" w:cs="宋体"/>
          <w:b w:val="0"/>
          <w:bCs/>
          <w:color w:val="auto"/>
          <w:sz w:val="30"/>
          <w:szCs w:val="30"/>
          <w:highlight w:val="none"/>
        </w:rPr>
      </w:pPr>
      <w:bookmarkStart w:id="28" w:name="_Toc3127"/>
      <w:bookmarkStart w:id="29" w:name="_Toc5014"/>
      <w:r>
        <w:rPr>
          <w:rFonts w:hint="eastAsia" w:ascii="宋体" w:hAnsi="宋体" w:cs="宋体"/>
          <w:b w:val="0"/>
          <w:bCs/>
          <w:color w:val="auto"/>
          <w:sz w:val="30"/>
          <w:szCs w:val="30"/>
          <w:highlight w:val="none"/>
        </w:rPr>
        <w:t>（七）合同授予</w:t>
      </w:r>
      <w:bookmarkEnd w:id="28"/>
      <w:bookmarkEnd w:id="29"/>
    </w:p>
    <w:p>
      <w:pPr>
        <w:snapToGrid w:val="0"/>
        <w:spacing w:line="360" w:lineRule="auto"/>
        <w:ind w:right="-21" w:rightChars="-1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30.资格最终审查</w:t>
      </w:r>
    </w:p>
    <w:p>
      <w:pPr>
        <w:snapToGrid w:val="0"/>
        <w:spacing w:line="360" w:lineRule="auto"/>
        <w:ind w:right="-21" w:rightChars="-10" w:firstLine="480"/>
        <w:rPr>
          <w:rFonts w:hint="eastAsia" w:ascii="宋体" w:hAnsi="宋体" w:cs="宋体"/>
          <w:color w:val="auto"/>
          <w:sz w:val="24"/>
          <w:highlight w:val="none"/>
        </w:rPr>
      </w:pP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将审查中标人的资质.服务能力及信誉，确定其是否能圆满地履行合同。</w:t>
      </w:r>
    </w:p>
    <w:p>
      <w:pPr>
        <w:snapToGrid w:val="0"/>
        <w:spacing w:line="360" w:lineRule="auto"/>
        <w:ind w:right="-21" w:rightChars="-10" w:firstLine="480"/>
        <w:rPr>
          <w:rFonts w:hint="eastAsia" w:ascii="宋体" w:hAnsi="宋体" w:cs="宋体"/>
          <w:b/>
          <w:color w:val="auto"/>
          <w:sz w:val="24"/>
          <w:highlight w:val="none"/>
        </w:rPr>
      </w:pPr>
      <w:r>
        <w:rPr>
          <w:rFonts w:hint="eastAsia" w:ascii="宋体" w:hAnsi="宋体" w:cs="宋体"/>
          <w:b/>
          <w:color w:val="auto"/>
          <w:sz w:val="24"/>
          <w:highlight w:val="none"/>
        </w:rPr>
        <w:t>31.接受和拒绝任何或所有投标的权利</w:t>
      </w:r>
    </w:p>
    <w:p>
      <w:pPr>
        <w:spacing w:line="360" w:lineRule="auto"/>
        <w:ind w:right="-21" w:rightChars="-10" w:firstLine="480" w:firstLineChars="200"/>
        <w:rPr>
          <w:rFonts w:hint="eastAsia" w:ascii="宋体" w:hAnsi="宋体" w:cs="宋体"/>
          <w:color w:val="auto"/>
          <w:sz w:val="24"/>
          <w:highlight w:val="none"/>
        </w:rPr>
      </w:pPr>
      <w:r>
        <w:rPr>
          <w:rFonts w:hint="eastAsia" w:ascii="宋体" w:hAnsi="宋体" w:cs="宋体"/>
          <w:color w:val="auto"/>
          <w:sz w:val="24"/>
          <w:highlight w:val="none"/>
        </w:rPr>
        <w:t>为维护国家利益，</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在授予合同之前仍有选择或拒绝任何或全部投标的权利，并对所采取的行为不作任何解释。</w:t>
      </w:r>
    </w:p>
    <w:p>
      <w:pPr>
        <w:spacing w:line="360" w:lineRule="auto"/>
        <w:ind w:right="-21" w:rightChars="-1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32.中标通知书</w:t>
      </w:r>
    </w:p>
    <w:p>
      <w:pPr>
        <w:spacing w:line="360" w:lineRule="auto"/>
        <w:ind w:right="-21" w:rightChars="-10" w:firstLine="480"/>
        <w:rPr>
          <w:rFonts w:hint="eastAsia" w:ascii="宋体" w:hAnsi="宋体" w:cs="宋体"/>
          <w:color w:val="auto"/>
          <w:sz w:val="24"/>
          <w:highlight w:val="none"/>
        </w:rPr>
      </w:pPr>
      <w:r>
        <w:rPr>
          <w:rFonts w:hint="eastAsia" w:ascii="宋体" w:hAnsi="宋体" w:cs="宋体"/>
          <w:color w:val="auto"/>
          <w:sz w:val="24"/>
          <w:highlight w:val="none"/>
        </w:rPr>
        <w:t>32.1评标结束</w:t>
      </w:r>
      <w:r>
        <w:rPr>
          <w:rFonts w:hint="eastAsia" w:ascii="宋体" w:hAnsi="宋体" w:cs="宋体"/>
          <w:color w:val="auto"/>
          <w:sz w:val="24"/>
          <w:highlight w:val="none"/>
          <w:lang w:val="en-US" w:eastAsia="zh-CN"/>
        </w:rPr>
        <w:t>后</w:t>
      </w:r>
      <w:r>
        <w:rPr>
          <w:rFonts w:hint="eastAsia" w:ascii="宋体" w:hAnsi="宋体" w:cs="宋体"/>
          <w:color w:val="auto"/>
          <w:sz w:val="24"/>
          <w:highlight w:val="none"/>
        </w:rPr>
        <w:t>，将以书面形式发出《中标通知书》，但发出时间不超过投标有效期。《中标通知书》一经发出即发生法律效力。</w:t>
      </w:r>
    </w:p>
    <w:p>
      <w:pPr>
        <w:spacing w:line="360" w:lineRule="auto"/>
        <w:ind w:right="-21" w:rightChars="-10" w:firstLine="420"/>
        <w:rPr>
          <w:rFonts w:hint="eastAsia" w:ascii="宋体" w:hAnsi="宋体" w:cs="宋体"/>
          <w:color w:val="auto"/>
          <w:sz w:val="24"/>
          <w:highlight w:val="none"/>
        </w:rPr>
      </w:pPr>
      <w:r>
        <w:rPr>
          <w:rFonts w:hint="eastAsia" w:ascii="宋体" w:hAnsi="宋体" w:cs="宋体"/>
          <w:color w:val="auto"/>
          <w:sz w:val="24"/>
          <w:highlight w:val="none"/>
        </w:rPr>
        <w:t>32.2 《中标通知书》将作为签订中标协议的依据。</w:t>
      </w:r>
    </w:p>
    <w:p>
      <w:pPr>
        <w:spacing w:line="360" w:lineRule="auto"/>
        <w:ind w:right="-21" w:rightChars="-10" w:firstLine="420"/>
        <w:rPr>
          <w:rFonts w:hint="eastAsia" w:ascii="宋体" w:hAnsi="宋体" w:cs="宋体"/>
          <w:b/>
          <w:color w:val="auto"/>
          <w:sz w:val="24"/>
          <w:highlight w:val="none"/>
        </w:rPr>
      </w:pPr>
      <w:r>
        <w:rPr>
          <w:rFonts w:hint="eastAsia" w:ascii="宋体" w:hAnsi="宋体" w:cs="宋体"/>
          <w:b/>
          <w:color w:val="auto"/>
          <w:sz w:val="24"/>
          <w:highlight w:val="none"/>
        </w:rPr>
        <w:t>33.授予中标协议时变更数量的权力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采购单位</w:t>
      </w:r>
      <w:r>
        <w:rPr>
          <w:rFonts w:hint="eastAsia" w:ascii="宋体" w:hAnsi="宋体" w:cs="宋体"/>
          <w:color w:val="auto"/>
          <w:sz w:val="24"/>
          <w:highlight w:val="none"/>
        </w:rPr>
        <w:t>在授予子合同时有权对“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内容及要求”中的货物数量和服务予以增加或减少。</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34.签订合同（协议）</w:t>
      </w:r>
    </w:p>
    <w:p>
      <w:pPr>
        <w:spacing w:line="360" w:lineRule="auto"/>
        <w:ind w:right="-21" w:rightChars="-10" w:firstLine="480"/>
        <w:rPr>
          <w:rFonts w:hint="eastAsia" w:ascii="宋体" w:hAnsi="宋体" w:cs="宋体"/>
          <w:bCs/>
          <w:color w:val="auto"/>
          <w:sz w:val="24"/>
          <w:highlight w:val="none"/>
        </w:rPr>
      </w:pPr>
      <w:r>
        <w:rPr>
          <w:rFonts w:hint="eastAsia" w:ascii="宋体" w:hAnsi="宋体" w:cs="宋体"/>
          <w:color w:val="auto"/>
          <w:sz w:val="24"/>
          <w:highlight w:val="none"/>
        </w:rPr>
        <w:t>34.1</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和中标人应当自中标通知书发出之日起三十日内签订</w:t>
      </w:r>
      <w:r>
        <w:rPr>
          <w:rFonts w:hint="eastAsia" w:ascii="宋体" w:hAnsi="宋体" w:cs="宋体"/>
          <w:bCs/>
          <w:color w:val="auto"/>
          <w:sz w:val="24"/>
          <w:highlight w:val="none"/>
        </w:rPr>
        <w:t>合同（协议）</w:t>
      </w:r>
    </w:p>
    <w:p>
      <w:pPr>
        <w:spacing w:line="360" w:lineRule="auto"/>
        <w:ind w:right="-21" w:rightChars="-10" w:firstLine="480" w:firstLineChars="0"/>
        <w:rPr>
          <w:rFonts w:hint="eastAsia"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文件、中标人的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及其澄清文件等，均为签订</w:t>
      </w:r>
      <w:r>
        <w:rPr>
          <w:rFonts w:hint="eastAsia" w:ascii="宋体" w:hAnsi="宋体" w:cs="宋体"/>
          <w:bCs/>
          <w:color w:val="auto"/>
          <w:sz w:val="24"/>
          <w:highlight w:val="none"/>
        </w:rPr>
        <w:t>合同（协议）</w:t>
      </w:r>
      <w:r>
        <w:rPr>
          <w:rFonts w:hint="eastAsia" w:ascii="宋体" w:hAnsi="宋体" w:cs="宋体"/>
          <w:color w:val="auto"/>
          <w:sz w:val="24"/>
          <w:highlight w:val="none"/>
        </w:rPr>
        <w:t>的依据。</w:t>
      </w:r>
    </w:p>
    <w:p>
      <w:pPr>
        <w:spacing w:line="360" w:lineRule="auto"/>
        <w:ind w:right="-21" w:rightChars="-10" w:firstLine="420"/>
        <w:rPr>
          <w:rFonts w:hint="eastAsia" w:ascii="宋体" w:hAnsi="宋体" w:cs="宋体"/>
          <w:color w:val="auto"/>
          <w:sz w:val="24"/>
          <w:highlight w:val="none"/>
        </w:rPr>
      </w:pPr>
      <w:r>
        <w:rPr>
          <w:rFonts w:hint="eastAsia" w:ascii="宋体" w:hAnsi="宋体" w:cs="宋体"/>
          <w:color w:val="auto"/>
          <w:sz w:val="24"/>
          <w:highlight w:val="none"/>
        </w:rPr>
        <w:t>34.3中标人不遵守</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文件或</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的要约、承诺，擅自修改报价或在中标通知书发出后30天内，借故拖延、拒签协议的，</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将不予退还</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，同时取消该中标人的中标权，并将依法另选其它</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中标或重新组织</w:t>
      </w:r>
      <w:r>
        <w:rPr>
          <w:rFonts w:hint="eastAsia" w:ascii="宋体" w:hAnsi="宋体" w:cs="宋体"/>
          <w:color w:val="auto"/>
          <w:sz w:val="24"/>
          <w:highlight w:val="none"/>
          <w:lang w:eastAsia="zh-CN"/>
        </w:rPr>
        <w:t>采购</w:t>
      </w:r>
      <w:r>
        <w:rPr>
          <w:rFonts w:hint="eastAsia" w:ascii="宋体" w:hAnsi="宋体" w:cs="宋体"/>
          <w:color w:val="auto"/>
          <w:sz w:val="24"/>
          <w:highlight w:val="none"/>
        </w:rPr>
        <w:t>。</w:t>
      </w:r>
    </w:p>
    <w:p>
      <w:pPr>
        <w:snapToGrid w:val="0"/>
        <w:spacing w:line="360" w:lineRule="auto"/>
        <w:ind w:right="-21" w:rightChars="-10" w:firstLine="480"/>
        <w:rPr>
          <w:rFonts w:hint="eastAsia" w:ascii="宋体" w:hAnsi="宋体" w:cs="宋体"/>
          <w:color w:val="auto"/>
          <w:sz w:val="24"/>
          <w:highlight w:val="none"/>
        </w:rPr>
      </w:pPr>
      <w:r>
        <w:rPr>
          <w:rFonts w:hint="eastAsia" w:ascii="宋体" w:hAnsi="宋体" w:cs="宋体"/>
          <w:color w:val="auto"/>
          <w:sz w:val="24"/>
          <w:highlight w:val="none"/>
        </w:rPr>
        <w:t>34.4签订</w:t>
      </w:r>
      <w:r>
        <w:rPr>
          <w:rFonts w:hint="eastAsia" w:ascii="宋体" w:hAnsi="宋体" w:cs="宋体"/>
          <w:bCs/>
          <w:color w:val="auto"/>
          <w:sz w:val="24"/>
          <w:highlight w:val="none"/>
        </w:rPr>
        <w:t>合同（协议）</w:t>
      </w:r>
      <w:r>
        <w:rPr>
          <w:rFonts w:hint="eastAsia" w:ascii="宋体" w:hAnsi="宋体" w:cs="宋体"/>
          <w:color w:val="auto"/>
          <w:sz w:val="24"/>
          <w:highlight w:val="none"/>
        </w:rPr>
        <w:t>后即为</w:t>
      </w:r>
      <w:r>
        <w:rPr>
          <w:rFonts w:hint="eastAsia" w:ascii="宋体" w:hAnsi="宋体" w:cs="宋体"/>
          <w:color w:val="auto"/>
          <w:sz w:val="24"/>
          <w:highlight w:val="none"/>
          <w:lang w:eastAsia="zh-CN"/>
        </w:rPr>
        <w:t>采购</w:t>
      </w:r>
      <w:r>
        <w:rPr>
          <w:rFonts w:hint="eastAsia" w:ascii="宋体" w:hAnsi="宋体" w:cs="宋体"/>
          <w:color w:val="auto"/>
          <w:sz w:val="24"/>
          <w:highlight w:val="none"/>
        </w:rPr>
        <w:t>结束。</w:t>
      </w:r>
    </w:p>
    <w:p>
      <w:pPr>
        <w:snapToGrid w:val="0"/>
        <w:spacing w:line="360" w:lineRule="auto"/>
        <w:ind w:right="-21" w:rightChars="-10" w:firstLine="480"/>
        <w:rPr>
          <w:rFonts w:hint="eastAsia" w:ascii="宋体" w:hAnsi="宋体" w:cs="宋体"/>
          <w:b/>
          <w:color w:val="auto"/>
          <w:sz w:val="24"/>
          <w:highlight w:val="none"/>
        </w:rPr>
      </w:pPr>
      <w:r>
        <w:rPr>
          <w:rFonts w:hint="eastAsia" w:ascii="宋体" w:hAnsi="宋体" w:cs="宋体"/>
          <w:b/>
          <w:color w:val="auto"/>
          <w:sz w:val="24"/>
          <w:highlight w:val="none"/>
        </w:rPr>
        <w:t>35.履约保证金（</w:t>
      </w:r>
      <w:r>
        <w:rPr>
          <w:rFonts w:hint="eastAsia" w:ascii="宋体" w:hAnsi="宋体" w:cs="宋体"/>
          <w:b/>
          <w:color w:val="auto"/>
          <w:sz w:val="24"/>
          <w:highlight w:val="none"/>
          <w:u w:val="single"/>
        </w:rPr>
        <w:t>见投标须知前附表第6项</w:t>
      </w:r>
      <w:r>
        <w:rPr>
          <w:rFonts w:hint="eastAsia" w:ascii="宋体" w:hAnsi="宋体" w:cs="宋体"/>
          <w:b/>
          <w:color w:val="auto"/>
          <w:sz w:val="24"/>
          <w:highlight w:val="none"/>
        </w:rPr>
        <w:t>）</w:t>
      </w:r>
    </w:p>
    <w:p>
      <w:pPr>
        <w:spacing w:line="360" w:lineRule="auto"/>
        <w:ind w:right="-21" w:rightChars="-10" w:firstLine="470" w:firstLineChars="196"/>
        <w:rPr>
          <w:rFonts w:hint="eastAsia" w:ascii="宋体" w:hAnsi="宋体" w:cs="宋体"/>
          <w:color w:val="auto"/>
          <w:sz w:val="24"/>
          <w:highlight w:val="none"/>
        </w:rPr>
      </w:pPr>
      <w:r>
        <w:rPr>
          <w:rFonts w:hint="eastAsia" w:ascii="宋体" w:hAnsi="宋体" w:cs="宋体"/>
          <w:color w:val="auto"/>
          <w:sz w:val="24"/>
          <w:highlight w:val="none"/>
          <w:lang w:eastAsia="zh-CN"/>
        </w:rPr>
        <w:t>采购单位</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缴纳履约保证金</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,若中标人拒交履约保证金的，</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将取消其中标资格，并不予退还其</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w:t>
      </w:r>
    </w:p>
    <w:p>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6、</w:t>
      </w:r>
      <w:r>
        <w:rPr>
          <w:rFonts w:hint="eastAsia" w:ascii="宋体" w:hAnsi="宋体"/>
          <w:b/>
          <w:color w:val="auto"/>
          <w:sz w:val="24"/>
          <w:highlight w:val="none"/>
          <w:lang w:eastAsia="zh-CN"/>
        </w:rPr>
        <w:t>采购</w:t>
      </w:r>
      <w:r>
        <w:rPr>
          <w:rFonts w:ascii="宋体" w:hAnsi="宋体"/>
          <w:b/>
          <w:color w:val="auto"/>
          <w:sz w:val="24"/>
          <w:highlight w:val="none"/>
        </w:rPr>
        <w:t>代理服务费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□中标人□采购单位</w:t>
      </w:r>
      <w:r>
        <w:rPr>
          <w:rFonts w:hint="eastAsia" w:ascii="宋体" w:hAnsi="宋体"/>
          <w:color w:val="auto"/>
          <w:sz w:val="24"/>
          <w:highlight w:val="none"/>
        </w:rPr>
        <w:t>支付。如由</w:t>
      </w:r>
      <w:r>
        <w:rPr>
          <w:rFonts w:hint="eastAsia" w:ascii="宋体" w:hAnsi="宋体"/>
          <w:color w:val="auto"/>
          <w:sz w:val="24"/>
          <w:highlight w:val="none"/>
          <w:lang w:eastAsia="zh-CN"/>
        </w:rPr>
        <w:t>中标人</w:t>
      </w:r>
      <w:r>
        <w:rPr>
          <w:rFonts w:hint="eastAsia" w:ascii="宋体" w:hAnsi="宋体"/>
          <w:color w:val="auto"/>
          <w:sz w:val="24"/>
          <w:highlight w:val="none"/>
        </w:rPr>
        <w:t>支付，由</w:t>
      </w:r>
      <w:r>
        <w:rPr>
          <w:rFonts w:hint="eastAsia" w:ascii="宋体" w:hAnsi="宋体"/>
          <w:color w:val="auto"/>
          <w:sz w:val="24"/>
          <w:highlight w:val="none"/>
          <w:lang w:eastAsia="zh-CN"/>
        </w:rPr>
        <w:t>中标人</w:t>
      </w:r>
      <w:r>
        <w:rPr>
          <w:rFonts w:hint="eastAsia" w:ascii="宋体" w:hAnsi="宋体"/>
          <w:color w:val="auto"/>
          <w:sz w:val="24"/>
          <w:highlight w:val="none"/>
        </w:rPr>
        <w:t>与</w:t>
      </w:r>
      <w:r>
        <w:rPr>
          <w:rFonts w:hint="eastAsia" w:ascii="宋体" w:hAnsi="宋体"/>
          <w:color w:val="auto"/>
          <w:sz w:val="24"/>
          <w:highlight w:val="none"/>
          <w:lang w:eastAsia="zh-CN"/>
        </w:rPr>
        <w:t>采购单位</w:t>
      </w:r>
      <w:r>
        <w:rPr>
          <w:rFonts w:hint="eastAsia" w:ascii="宋体" w:hAnsi="宋体"/>
          <w:color w:val="auto"/>
          <w:sz w:val="24"/>
          <w:highlight w:val="none"/>
        </w:rPr>
        <w:t>签订合同（协议）后七个工作日内向</w:t>
      </w:r>
      <w:r>
        <w:rPr>
          <w:rFonts w:hint="eastAsia" w:ascii="宋体" w:hAnsi="宋体"/>
          <w:color w:val="auto"/>
          <w:sz w:val="24"/>
          <w:highlight w:val="none"/>
          <w:lang w:eastAsia="zh-CN"/>
        </w:rPr>
        <w:t>采购</w:t>
      </w:r>
      <w:r>
        <w:rPr>
          <w:rFonts w:hint="eastAsia" w:ascii="宋体" w:hAnsi="宋体"/>
          <w:color w:val="auto"/>
          <w:sz w:val="24"/>
          <w:highlight w:val="none"/>
        </w:rPr>
        <w:t>代理机构一次性缴纳。</w:t>
      </w:r>
    </w:p>
    <w:bookmarkEnd w:id="7"/>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宋体"/>
          <w:color w:val="auto"/>
          <w:highlight w:val="none"/>
          <w:lang w:val="en-US" w:eastAsia="zh-CN"/>
        </w:rPr>
      </w:pPr>
      <w:bookmarkStart w:id="30" w:name="_Toc396"/>
      <w:r>
        <w:rPr>
          <w:rFonts w:hint="eastAsia"/>
          <w:color w:val="auto"/>
          <w:highlight w:val="none"/>
        </w:rPr>
        <w:br w:type="page"/>
      </w:r>
      <w:r>
        <w:rPr>
          <w:rFonts w:hint="eastAsia"/>
          <w:color w:val="auto"/>
          <w:highlight w:val="none"/>
        </w:rPr>
        <w:t>第三章、采购内容</w:t>
      </w:r>
      <w:r>
        <w:rPr>
          <w:rFonts w:hint="eastAsia"/>
          <w:color w:val="auto"/>
          <w:highlight w:val="none"/>
          <w:lang w:val="en-US" w:eastAsia="zh-CN"/>
        </w:rPr>
        <w:t>及要求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第一条  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本次采购内容为杭州机场高铁有限公司2025-2026年非招标方式采购项目代理服务，包括公开竞标、邀请竞标、竞争性谈判（或磋商）采购、询价采购等；服务类采购项目投资额超过100万元（含）的、货物类采购项目投资额超过200万元（含）的、工程类采购项目投资额超过400万元（含）的、采用直接委托方式的采购项目，以及所有工程类项目控制价、清单编制及审核的服务内容均不包含在本次采购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第二条</w:t>
      </w:r>
      <w:r>
        <w:rPr>
          <w:rFonts w:hint="eastAsia" w:asciiTheme="majorEastAsia" w:hAnsiTheme="majorEastAsia" w:eastAsiaTheme="majorEastAsia" w:cstheme="majorEastAsia"/>
          <w:b/>
          <w:bCs/>
          <w:color w:val="auto"/>
          <w:sz w:val="24"/>
          <w:szCs w:val="24"/>
          <w:highlight w:val="none"/>
        </w:rPr>
        <w:t xml:space="preserve"> </w:t>
      </w:r>
      <w:r>
        <w:rPr>
          <w:rFonts w:hint="eastAsia" w:asciiTheme="majorEastAsia" w:hAnsiTheme="majorEastAsia" w:eastAsiaTheme="majorEastAsia" w:cstheme="majorEastAsia"/>
          <w:b/>
          <w:bCs/>
          <w:color w:val="auto"/>
          <w:sz w:val="24"/>
          <w:szCs w:val="24"/>
          <w:highlight w:val="none"/>
          <w:lang w:val="en-US" w:eastAsia="zh-CN"/>
        </w:rPr>
        <w:t>服务</w:t>
      </w:r>
      <w:r>
        <w:rPr>
          <w:rFonts w:hint="eastAsia" w:asciiTheme="majorEastAsia" w:hAnsiTheme="majorEastAsia" w:eastAsiaTheme="majorEastAsia" w:cstheme="majorEastAsia"/>
          <w:b/>
          <w:bCs/>
          <w:color w:val="auto"/>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1、根据采购人要求开展采购代理工作；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2、根据采购人要求编制项目采购文件、发布采购公告；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3、组织开标、评标和定标；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4、开、评标后将所有投标文件及时移交给采购人；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5、协助采购合同的签订；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highlight w:val="none"/>
          <w:lang w:val="en-US" w:eastAsia="zh-CN"/>
        </w:rPr>
        <w:t>编制采购</w:t>
      </w:r>
      <w:r>
        <w:rPr>
          <w:rFonts w:hint="eastAsia" w:asciiTheme="majorEastAsia" w:hAnsiTheme="majorEastAsia" w:eastAsiaTheme="majorEastAsia" w:cstheme="majorEastAsia"/>
          <w:color w:val="auto"/>
          <w:sz w:val="24"/>
          <w:highlight w:val="none"/>
        </w:rPr>
        <w:t xml:space="preserve">书面情况报告；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7、完成采购资料整理归档；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8、与采购有关的其他事项。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第三条  成果文件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每个标项目完成采购后，提交完整的采购书面情况报告一式二份。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 xml:space="preserve">第四条  </w:t>
      </w:r>
      <w:r>
        <w:rPr>
          <w:rFonts w:hint="eastAsia" w:asciiTheme="majorEastAsia" w:hAnsiTheme="majorEastAsia" w:eastAsiaTheme="majorEastAsia" w:cstheme="majorEastAsia"/>
          <w:b/>
          <w:bCs/>
          <w:color w:val="auto"/>
          <w:sz w:val="24"/>
          <w:highlight w:val="none"/>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符合杭州市交通投资集团有限公司及杭州机场高铁有限公司相关采购制度要求。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 xml:space="preserve">第五条  </w:t>
      </w:r>
      <w:r>
        <w:rPr>
          <w:rFonts w:hint="eastAsia" w:asciiTheme="majorEastAsia" w:hAnsiTheme="majorEastAsia" w:eastAsiaTheme="majorEastAsia" w:cstheme="majorEastAsia"/>
          <w:b/>
          <w:bCs/>
          <w:color w:val="auto"/>
          <w:sz w:val="24"/>
          <w:highlight w:val="none"/>
        </w:rPr>
        <w:t>服务</w:t>
      </w:r>
      <w:r>
        <w:rPr>
          <w:rFonts w:hint="eastAsia" w:asciiTheme="majorEastAsia" w:hAnsiTheme="majorEastAsia" w:eastAsiaTheme="majorEastAsia" w:cstheme="majorEastAsia"/>
          <w:b/>
          <w:bCs/>
          <w:color w:val="auto"/>
          <w:sz w:val="24"/>
          <w:highlight w:val="none"/>
          <w:lang w:val="en-US" w:eastAsia="zh-CN"/>
        </w:rPr>
        <w:t>期限</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cstheme="majorEastAsia"/>
          <w:b w:val="0"/>
          <w:bCs w:val="0"/>
          <w:snapToGrid w:val="0"/>
          <w:color w:val="auto"/>
          <w:kern w:val="0"/>
          <w:sz w:val="24"/>
          <w:szCs w:val="24"/>
          <w:highlight w:val="none"/>
          <w:lang w:eastAsia="zh-CN" w:bidi="zh-CN"/>
        </w:rPr>
      </w:pPr>
      <w:r>
        <w:rPr>
          <w:rFonts w:hint="eastAsia" w:asciiTheme="majorEastAsia" w:hAnsiTheme="majorEastAsia" w:eastAsiaTheme="majorEastAsia" w:cstheme="majorEastAsia"/>
          <w:b w:val="0"/>
          <w:bCs w:val="0"/>
          <w:color w:val="auto"/>
          <w:sz w:val="24"/>
          <w:highlight w:val="none"/>
          <w:lang w:eastAsia="zh-CN"/>
        </w:rPr>
        <w:t>合同签订之日起</w:t>
      </w:r>
      <w:r>
        <w:rPr>
          <w:rFonts w:hint="eastAsia" w:asciiTheme="majorEastAsia" w:hAnsiTheme="majorEastAsia" w:eastAsiaTheme="majorEastAsia" w:cstheme="majorEastAsia"/>
          <w:b w:val="0"/>
          <w:bCs w:val="0"/>
          <w:color w:val="auto"/>
          <w:sz w:val="24"/>
          <w:highlight w:val="none"/>
          <w:lang w:val="en-US" w:eastAsia="zh-CN"/>
        </w:rPr>
        <w:t>2</w:t>
      </w:r>
      <w:r>
        <w:rPr>
          <w:rFonts w:hint="eastAsia" w:asciiTheme="majorEastAsia" w:hAnsiTheme="majorEastAsia" w:eastAsiaTheme="majorEastAsia" w:cstheme="majorEastAsia"/>
          <w:b w:val="0"/>
          <w:bCs w:val="0"/>
          <w:color w:val="auto"/>
          <w:sz w:val="24"/>
          <w:highlight w:val="none"/>
          <w:lang w:eastAsia="zh-CN"/>
        </w:rPr>
        <w:t>年，时间从合同约定生效之日起算（若存在合同期满但仍未完成采购人已委托的项目，供应商须将该项目的工作完成）；若累计服务费金额超过</w:t>
      </w:r>
      <w:r>
        <w:rPr>
          <w:rFonts w:hint="eastAsia" w:asciiTheme="majorEastAsia" w:hAnsiTheme="majorEastAsia" w:eastAsiaTheme="majorEastAsia" w:cstheme="majorEastAsia"/>
          <w:b w:val="0"/>
          <w:bCs w:val="0"/>
          <w:color w:val="auto"/>
          <w:sz w:val="24"/>
          <w:highlight w:val="none"/>
          <w:lang w:val="en-US" w:eastAsia="zh-CN"/>
        </w:rPr>
        <w:t>50</w:t>
      </w:r>
      <w:r>
        <w:rPr>
          <w:rFonts w:hint="eastAsia" w:asciiTheme="majorEastAsia" w:hAnsiTheme="majorEastAsia" w:eastAsiaTheme="majorEastAsia" w:cstheme="majorEastAsia"/>
          <w:b w:val="0"/>
          <w:bCs w:val="0"/>
          <w:color w:val="auto"/>
          <w:sz w:val="24"/>
          <w:highlight w:val="none"/>
          <w:lang w:eastAsia="zh-CN"/>
        </w:rPr>
        <w:t>万元（含）但服务期未满</w:t>
      </w:r>
      <w:r>
        <w:rPr>
          <w:rFonts w:hint="eastAsia" w:asciiTheme="majorEastAsia" w:hAnsiTheme="majorEastAsia" w:eastAsiaTheme="majorEastAsia" w:cstheme="majorEastAsia"/>
          <w:b w:val="0"/>
          <w:bCs w:val="0"/>
          <w:color w:val="auto"/>
          <w:sz w:val="24"/>
          <w:highlight w:val="none"/>
          <w:lang w:val="en-US" w:eastAsia="zh-CN"/>
        </w:rPr>
        <w:t>2</w:t>
      </w:r>
      <w:r>
        <w:rPr>
          <w:rFonts w:hint="eastAsia" w:asciiTheme="majorEastAsia" w:hAnsiTheme="majorEastAsia" w:eastAsiaTheme="majorEastAsia" w:cstheme="majorEastAsia"/>
          <w:b w:val="0"/>
          <w:bCs w:val="0"/>
          <w:color w:val="auto"/>
          <w:sz w:val="24"/>
          <w:highlight w:val="none"/>
          <w:lang w:eastAsia="zh-CN"/>
        </w:rPr>
        <w:t>年，则服务期提前终止。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第六条  投标报价</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1.本次采购服务费单价以（7000元/个）为取费标准，在0%（含）-100%（含）范围内报价，商务报价高于100%为无效报价，作废标处理。</w:t>
      </w:r>
      <w:r>
        <w:rPr>
          <w:rFonts w:hint="eastAsia" w:asciiTheme="majorEastAsia" w:hAnsiTheme="majorEastAsia" w:eastAsiaTheme="majorEastAsia" w:cstheme="majorEastAsia"/>
          <w:b/>
          <w:bCs/>
          <w:color w:val="auto"/>
          <w:sz w:val="24"/>
          <w:highlight w:val="none"/>
          <w:lang w:val="en-US" w:eastAsia="zh-CN"/>
        </w:rPr>
        <w:t>（风险控制价：为防止投标人低价抢标，最高投标限价的80％作为风险控制价。）</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24"/>
          <w:highlight w:val="none"/>
          <w:lang w:val="en-US" w:eastAsia="zh-CN"/>
        </w:rPr>
        <w:t>3.投标供应商结合单位自身情况，综合考虑报价，该费用包括完成本采购文件规定的工作内容所发生的一切费用均包含在该费用中，包括人员工资、设备费用、通信费、采购文件印刷费、组织开标、评标、定标，专家评审费、管理费、利润、税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 xml:space="preserve">第七条  </w:t>
      </w:r>
      <w:r>
        <w:rPr>
          <w:rFonts w:hint="eastAsia" w:asciiTheme="majorEastAsia" w:hAnsiTheme="majorEastAsia" w:eastAsiaTheme="majorEastAsia" w:cstheme="majorEastAsia"/>
          <w:b/>
          <w:bCs/>
          <w:color w:val="auto"/>
          <w:sz w:val="24"/>
          <w:szCs w:val="24"/>
          <w:highlight w:val="none"/>
          <w:lang w:val="en-US" w:eastAsia="zh-CN"/>
        </w:rPr>
        <w:t>其他</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bidi="ar-SA"/>
        </w:rPr>
        <w:t>1.</w:t>
      </w:r>
      <w:r>
        <w:rPr>
          <w:rFonts w:hint="eastAsia" w:asciiTheme="majorEastAsia" w:hAnsiTheme="majorEastAsia" w:eastAsiaTheme="majorEastAsia" w:cstheme="majorEastAsia"/>
          <w:color w:val="auto"/>
          <w:sz w:val="24"/>
          <w:highlight w:val="none"/>
          <w:lang w:val="en-US" w:eastAsia="zh-CN"/>
        </w:rPr>
        <w:t>非招标方式采购</w:t>
      </w:r>
      <w:r>
        <w:rPr>
          <w:rFonts w:hint="eastAsia" w:asciiTheme="majorEastAsia" w:hAnsiTheme="majorEastAsia" w:eastAsiaTheme="majorEastAsia" w:cstheme="majorEastAsia"/>
          <w:color w:val="auto"/>
          <w:sz w:val="24"/>
          <w:highlight w:val="none"/>
        </w:rPr>
        <w:t>包括公开竞标、邀请竞标、竞争性谈判（或磋商）采购、</w:t>
      </w:r>
      <w:r>
        <w:rPr>
          <w:rFonts w:hint="eastAsia" w:asciiTheme="majorEastAsia" w:hAnsiTheme="majorEastAsia" w:eastAsiaTheme="majorEastAsia" w:cstheme="majorEastAsia"/>
          <w:color w:val="auto"/>
          <w:sz w:val="24"/>
          <w:highlight w:val="none"/>
          <w:lang w:val="en-US" w:eastAsia="zh-CN"/>
        </w:rPr>
        <w:t>询价</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采购</w:t>
      </w:r>
      <w:r>
        <w:rPr>
          <w:rFonts w:hint="eastAsia" w:asciiTheme="majorEastAsia" w:hAnsiTheme="majorEastAsia" w:eastAsiaTheme="majorEastAsia" w:cstheme="majorEastAsia"/>
          <w:color w:val="auto"/>
          <w:sz w:val="24"/>
          <w:highlight w:val="none"/>
          <w:lang w:val="en-US" w:eastAsia="zh-CN"/>
        </w:rPr>
        <w:t>等</w:t>
      </w:r>
      <w:r>
        <w:rPr>
          <w:rFonts w:hint="eastAsia" w:asciiTheme="majorEastAsia" w:hAnsiTheme="majorEastAsia" w:eastAsiaTheme="majorEastAsia" w:cstheme="majorEastAsia"/>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b w:val="0"/>
          <w:bCs w:val="0"/>
          <w:snapToGrid w:val="0"/>
          <w:color w:val="auto"/>
          <w:kern w:val="0"/>
          <w:sz w:val="24"/>
          <w:szCs w:val="24"/>
          <w:highlight w:val="none"/>
          <w:lang w:bidi="zh-CN"/>
        </w:rPr>
      </w:pPr>
      <w:r>
        <w:rPr>
          <w:rFonts w:hint="eastAsia" w:asciiTheme="majorEastAsia" w:hAnsiTheme="majorEastAsia" w:eastAsiaTheme="majorEastAsia" w:cstheme="majorEastAsia"/>
          <w:b w:val="0"/>
          <w:bCs w:val="0"/>
          <w:snapToGrid w:val="0"/>
          <w:color w:val="auto"/>
          <w:kern w:val="0"/>
          <w:sz w:val="24"/>
          <w:szCs w:val="24"/>
          <w:highlight w:val="none"/>
          <w:lang w:val="en-US" w:bidi="zh-CN"/>
        </w:rPr>
        <w:t>2.</w:t>
      </w:r>
      <w:r>
        <w:rPr>
          <w:rFonts w:hint="eastAsia" w:asciiTheme="majorEastAsia" w:hAnsiTheme="majorEastAsia" w:eastAsiaTheme="majorEastAsia" w:cstheme="majorEastAsia"/>
          <w:color w:val="auto"/>
          <w:sz w:val="24"/>
          <w:highlight w:val="none"/>
        </w:rPr>
        <w:t>服务类采购项目投资额超过</w:t>
      </w: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rPr>
        <w:t>0万元（含）的、货物类采购项目投资额超过</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00万元（含）</w:t>
      </w:r>
      <w:r>
        <w:rPr>
          <w:rFonts w:hint="eastAsia" w:asciiTheme="majorEastAsia" w:hAnsiTheme="majorEastAsia" w:eastAsiaTheme="majorEastAsia" w:cstheme="majorEastAsia"/>
          <w:color w:val="auto"/>
          <w:sz w:val="24"/>
          <w:highlight w:val="none"/>
          <w:lang w:eastAsia="zh-CN"/>
        </w:rPr>
        <w:t>的、</w:t>
      </w:r>
      <w:r>
        <w:rPr>
          <w:rFonts w:hint="eastAsia" w:asciiTheme="majorEastAsia" w:hAnsiTheme="majorEastAsia" w:eastAsiaTheme="majorEastAsia" w:cstheme="majorEastAsia"/>
          <w:color w:val="auto"/>
          <w:sz w:val="24"/>
          <w:highlight w:val="none"/>
        </w:rPr>
        <w:t>工程类采购项目投资额超过</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00万元（含）的</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采用直接委托方式的采购项目</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以及所有工程类</w:t>
      </w:r>
      <w:r>
        <w:rPr>
          <w:rFonts w:hint="eastAsia" w:asciiTheme="majorEastAsia" w:hAnsiTheme="majorEastAsia" w:eastAsiaTheme="majorEastAsia" w:cstheme="majorEastAsia"/>
          <w:color w:val="auto"/>
          <w:sz w:val="24"/>
          <w:highlight w:val="none"/>
        </w:rPr>
        <w:t>项目控制价、清单编制及审核</w:t>
      </w:r>
      <w:r>
        <w:rPr>
          <w:rFonts w:hint="eastAsia" w:asciiTheme="majorEastAsia" w:hAnsiTheme="majorEastAsia" w:eastAsiaTheme="majorEastAsia" w:cstheme="majorEastAsia"/>
          <w:color w:val="auto"/>
          <w:sz w:val="24"/>
          <w:highlight w:val="none"/>
          <w:lang w:eastAsia="zh-CN"/>
        </w:rPr>
        <w:t>的</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内容均不包含在本次采购范围内</w:t>
      </w:r>
      <w:r>
        <w:rPr>
          <w:rFonts w:hint="eastAsia" w:asciiTheme="majorEastAsia" w:hAnsiTheme="majorEastAsia" w:eastAsiaTheme="majorEastAsia" w:cstheme="majorEastAsia"/>
          <w:b w:val="0"/>
          <w:bCs w:val="0"/>
          <w:snapToGrid w:val="0"/>
          <w:color w:val="auto"/>
          <w:kern w:val="0"/>
          <w:sz w:val="24"/>
          <w:szCs w:val="24"/>
          <w:highlight w:val="none"/>
          <w:lang w:bidi="zh-CN"/>
        </w:rPr>
        <w:t>。</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cstheme="majorEastAsia"/>
          <w:b w:val="0"/>
          <w:bCs w:val="0"/>
          <w:snapToGrid w:val="0"/>
          <w:color w:val="auto"/>
          <w:kern w:val="0"/>
          <w:sz w:val="24"/>
          <w:szCs w:val="24"/>
          <w:highlight w:val="none"/>
          <w:lang w:bidi="zh-CN"/>
        </w:rPr>
      </w:pPr>
      <w:r>
        <w:rPr>
          <w:rFonts w:hint="eastAsia" w:asciiTheme="majorEastAsia" w:hAnsiTheme="majorEastAsia" w:eastAsiaTheme="majorEastAsia" w:cstheme="majorEastAsia"/>
          <w:b w:val="0"/>
          <w:bCs w:val="0"/>
          <w:snapToGrid w:val="0"/>
          <w:color w:val="auto"/>
          <w:kern w:val="0"/>
          <w:sz w:val="24"/>
          <w:szCs w:val="24"/>
          <w:highlight w:val="none"/>
          <w:lang w:val="en-US" w:bidi="zh-CN"/>
        </w:rPr>
        <w:t>3</w:t>
      </w:r>
      <w:r>
        <w:rPr>
          <w:rFonts w:hint="eastAsia" w:asciiTheme="majorEastAsia" w:hAnsiTheme="majorEastAsia" w:eastAsiaTheme="majorEastAsia" w:cstheme="majorEastAsia"/>
          <w:b w:val="0"/>
          <w:bCs w:val="0"/>
          <w:snapToGrid w:val="0"/>
          <w:color w:val="auto"/>
          <w:kern w:val="0"/>
          <w:sz w:val="24"/>
          <w:szCs w:val="24"/>
          <w:highlight w:val="none"/>
          <w:lang w:bidi="zh-CN"/>
        </w:rPr>
        <w:t>.本次</w:t>
      </w:r>
      <w:r>
        <w:rPr>
          <w:rFonts w:hint="eastAsia" w:asciiTheme="majorEastAsia" w:hAnsiTheme="majorEastAsia" w:eastAsiaTheme="majorEastAsia" w:cstheme="majorEastAsia"/>
          <w:b w:val="0"/>
          <w:bCs w:val="0"/>
          <w:snapToGrid w:val="0"/>
          <w:color w:val="auto"/>
          <w:kern w:val="0"/>
          <w:sz w:val="24"/>
          <w:szCs w:val="24"/>
          <w:highlight w:val="none"/>
          <w:lang w:val="en-US" w:bidi="zh-CN"/>
        </w:rPr>
        <w:t>评标</w:t>
      </w:r>
      <w:r>
        <w:rPr>
          <w:rFonts w:hint="eastAsia" w:asciiTheme="majorEastAsia" w:hAnsiTheme="majorEastAsia" w:eastAsiaTheme="majorEastAsia" w:cstheme="majorEastAsia"/>
          <w:b w:val="0"/>
          <w:bCs w:val="0"/>
          <w:snapToGrid w:val="0"/>
          <w:color w:val="auto"/>
          <w:kern w:val="0"/>
          <w:sz w:val="24"/>
          <w:szCs w:val="24"/>
          <w:highlight w:val="none"/>
          <w:lang w:bidi="zh-CN"/>
        </w:rPr>
        <w:t>专家服务费由中标人支付，中标人与采购单位签订合同（协议）前一次性完成专家服务费支付。</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四</w:t>
      </w:r>
      <w:r>
        <w:rPr>
          <w:rFonts w:hint="eastAsia"/>
          <w:color w:val="auto"/>
          <w:highlight w:val="none"/>
        </w:rPr>
        <w:t>章 合同条款</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32"/>
          <w:szCs w:val="32"/>
          <w:highlight w:val="none"/>
        </w:rPr>
      </w:pPr>
      <w:r>
        <w:rPr>
          <w:rFonts w:ascii="宋体" w:hAnsi="宋体" w:eastAsia="宋体" w:cs="宋体"/>
          <w:b/>
          <w:bCs/>
          <w:color w:val="auto"/>
          <w:kern w:val="0"/>
          <w:sz w:val="32"/>
          <w:szCs w:val="32"/>
          <w:highlight w:val="none"/>
          <w:lang w:val="en-US" w:eastAsia="zh-CN" w:bidi="ar"/>
        </w:rPr>
        <w:t>合同</w:t>
      </w:r>
      <w:r>
        <w:rPr>
          <w:rFonts w:hint="eastAsia" w:ascii="宋体" w:hAnsi="宋体" w:cs="宋体"/>
          <w:b/>
          <w:bCs/>
          <w:color w:val="auto"/>
          <w:kern w:val="0"/>
          <w:sz w:val="32"/>
          <w:szCs w:val="32"/>
          <w:highlight w:val="none"/>
          <w:lang w:val="en-US" w:eastAsia="zh-CN" w:bidi="ar"/>
        </w:rPr>
        <w:t>协议书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委托方（甲方）： </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杭州机场高铁有限公司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u w:val="single"/>
          <w:lang w:val="en-US"/>
        </w:rPr>
      </w:pPr>
      <w:r>
        <w:rPr>
          <w:rFonts w:hint="eastAsia" w:asciiTheme="majorEastAsia" w:hAnsiTheme="majorEastAsia" w:eastAsiaTheme="majorEastAsia" w:cstheme="majorEastAsia"/>
          <w:color w:val="auto"/>
          <w:kern w:val="0"/>
          <w:sz w:val="24"/>
          <w:szCs w:val="24"/>
          <w:highlight w:val="none"/>
          <w:lang w:val="en-US" w:eastAsia="zh-CN" w:bidi="ar"/>
        </w:rPr>
        <w:t>受托方（乙方）：</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因项目采购需要，甲方委托乙方承担非招标方式采购的代理服务，经双方共同协商，现签订合同如下：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一 、 委托事宜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1、委托项目：</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杭州机场高铁有限公司2025-2026年非招标方式采购项目代理服务单位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2、服务类型：非招标方式采购代理服务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服务期：合同签订之日起2年，时间从合同约定生效之日起算。（若存在合同期满但仍未完成甲方已委托的采购项目，乙方须将该项目的采购工作完成）；若累计服务费金额超过50万元（含）但服务期未满2年，则服务期提前终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二 、 委托工作范围</w:t>
      </w:r>
    </w:p>
    <w:p>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本次采购内容为杭州机场高铁有限公司2025-2026年非招标方式采购项目代理服务，</w:t>
      </w:r>
      <w:r>
        <w:rPr>
          <w:rFonts w:hint="eastAsia" w:asciiTheme="majorEastAsia" w:hAnsiTheme="majorEastAsia" w:eastAsiaTheme="majorEastAsia" w:cstheme="majorEastAsia"/>
          <w:color w:val="auto"/>
          <w:sz w:val="24"/>
          <w:highlight w:val="none"/>
        </w:rPr>
        <w:t>包括公开竞标、邀请竞标、竞争性谈判（或磋商）采购、</w:t>
      </w:r>
      <w:r>
        <w:rPr>
          <w:rFonts w:hint="eastAsia" w:asciiTheme="majorEastAsia" w:hAnsiTheme="majorEastAsia" w:eastAsiaTheme="majorEastAsia" w:cstheme="majorEastAsia"/>
          <w:color w:val="auto"/>
          <w:sz w:val="24"/>
          <w:highlight w:val="none"/>
          <w:lang w:val="en-US" w:eastAsia="zh-CN"/>
        </w:rPr>
        <w:t>询价</w:t>
      </w:r>
      <w:r>
        <w:rPr>
          <w:rFonts w:hint="eastAsia" w:asciiTheme="majorEastAsia" w:hAnsiTheme="majorEastAsia" w:eastAsiaTheme="majorEastAsia" w:cstheme="majorEastAsia"/>
          <w:color w:val="auto"/>
          <w:sz w:val="24"/>
          <w:highlight w:val="none"/>
        </w:rPr>
        <w:t>采购</w:t>
      </w:r>
      <w:r>
        <w:rPr>
          <w:rFonts w:hint="eastAsia" w:asciiTheme="majorEastAsia" w:hAnsiTheme="majorEastAsia" w:eastAsiaTheme="majorEastAsia" w:cstheme="majorEastAsia"/>
          <w:color w:val="auto"/>
          <w:sz w:val="24"/>
          <w:highlight w:val="none"/>
          <w:lang w:val="en-US" w:eastAsia="zh-CN"/>
        </w:rPr>
        <w:t>等</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 xml:space="preserve">服务类采购项目投资额超过100万元（含）的、货物类采购项目投资额超过200万元（含）的、工程类采购项目投资额超过400万元（含）的、采用直接委托方式的采购项目，以及所有工程类项目控制价、清单编制及审核的服务内容均不包含在本次采购范围内。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合同价款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单个项目代理服务报酬（含税）为人民币：7000元/个的【】%，即【】元/个。</w:t>
      </w:r>
      <w:r>
        <w:rPr>
          <w:rFonts w:hint="eastAsia" w:asciiTheme="majorEastAsia" w:hAnsiTheme="majorEastAsia" w:eastAsiaTheme="majorEastAsia" w:cstheme="majorEastAsia"/>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四、组成本合同的文件：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1、本合同履行过程中双方以书面形式签署的补充和修正文件；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2、本合同协议书；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3、本合同专用条款；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4、本合同通用条款。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5、本协议书中的有关词语定义与本合同《通用条款》中分别赋予它们的定义相同。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五、争议解决方法：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在合同履行过程中发生争议，双方应当协商解决，当事人不愿协商、调解解决或者协商、调解不成的，应向甲方所在地人民法院起诉。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六、其它：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1、委托方将对受托方按项目及年度进行严格的考评：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（1）单个项目考核若有部门评价总分在 70 分以下，委托方有权要求受托方更换服务人员；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（2）如发生两次单个项目考核有部门评价总分在 70 分以下，委托方有权终止合同；</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（3）如年度考核各部门评价平均分在 90 分及以上的，委托方有权可根据年度考核结果续签合同。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2、如委托范围需要调整，受托方须无条件服从委托方安排，根据实际完成工作量按合同相应条款结算。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3、委托人保留因部分项目特殊（如专业、政策、行业主管部门要求等原因）而将该部分项目另行委托给其它单位的权利。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4、本合同一式拾份，甲方执陆份，乙方肆份，本合同自签订之日起生效，未尽事宜由双方协商解决。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委托方（盖章）：                           受托方（盖章）：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法定代表人或                               法定代表人</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授权委托人（签字或盖章）：                 授权委托人（签字或盖章）：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r>
        <w:rPr>
          <w:rFonts w:ascii="宋体" w:hAnsi="宋体" w:eastAsia="宋体" w:cs="宋体"/>
          <w:b/>
          <w:bCs/>
          <w:color w:val="auto"/>
          <w:kern w:val="0"/>
          <w:sz w:val="32"/>
          <w:szCs w:val="32"/>
          <w:highlight w:val="none"/>
          <w:lang w:val="en-US" w:eastAsia="zh-CN" w:bidi="ar"/>
        </w:rPr>
        <w:t>第一部分</w:t>
      </w:r>
      <w:r>
        <w:rPr>
          <w:rFonts w:hint="eastAsia" w:ascii="宋体" w:hAnsi="宋体" w:eastAsia="宋体" w:cs="宋体"/>
          <w:b/>
          <w:bCs/>
          <w:color w:val="auto"/>
          <w:kern w:val="0"/>
          <w:sz w:val="32"/>
          <w:szCs w:val="32"/>
          <w:highlight w:val="none"/>
          <w:lang w:val="en-US" w:eastAsia="zh-CN" w:bidi="ar"/>
        </w:rPr>
        <w:t xml:space="preserve">  </w:t>
      </w:r>
      <w:r>
        <w:rPr>
          <w:rFonts w:ascii="宋体" w:hAnsi="宋体" w:eastAsia="宋体" w:cs="宋体"/>
          <w:b/>
          <w:bCs/>
          <w:color w:val="auto"/>
          <w:kern w:val="0"/>
          <w:sz w:val="32"/>
          <w:szCs w:val="32"/>
          <w:highlight w:val="none"/>
          <w:lang w:val="en-US" w:eastAsia="zh-CN" w:bidi="ar"/>
        </w:rPr>
        <w:t>通用条款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一、词语定义和适用法律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1、词语定义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下列词语除本合同专用条款另有约定外，应具有本条款所赋予的定义：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l.1 采购代理合同：委托方将项目采购工作委托给具有相应采购代理资质的受托方，实施采购活动签订的委托合同，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l.2 通用条款：是根据有关法律、行政法规和工程建设项目采购代理的需要所订立，通用于各类工程建设项目采购代理的条款。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 专用条款：是委托方与受托方根据有关法律、行政法规规定，结合具体工程建设项目采购代理的实际，经协商达成一致意见的条款，是对通用条款的具体化、补充或修改。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l.4 委托方：指在合同中约定的，具有建设项目采购委托主体资格的当事人，以及取得该当事人资格的合法继承人。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1.5受托方：指在合同中约定的，被委托方接受的具有建设项目采购代理主体资格的当事人，以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及取得该当事人资格的合法继承人。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1.6采购代理项目负责人：指受托方在专用条款中指定的负责合同履行的代表。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1.7工程建设项目：指由委托方和受托方在合同中约定的委托代理采购的工程。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1.8 采购代理业务：委托方委托受托方代理实施工程建设项目采购的工作内容。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1.9 附加服务：指委托方和受托方在本合同通用条款 4.1 款和专用条款 4.1 款中双方约定工作范围之外的附加工作。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1.10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代理报酬：委托方和受托方在合同中约定的，受托方按照约定应收取的代理报酬总额。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1.11 图纸：指由委托方提供的满足采购需要的所有图纸、计算书、配套说明以及相关的技术资料。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1.12 书面形式：指具有公章、法定代表人或授权代理人签字的合同书、信件和数据电文（包括电报、电传、传真）等可以有形地表现所载内容的形式。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1.13 违约责任：指合同一方不履行合同义务或履行合同义务不符合约定所应承担的责任。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1.14 索赔：指在合同履行过程中，对于并非自己的过错，而是应由对方承担责任的情况造成的实际损失，向对方提出经济补偿或其他的要求。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1.15 不可抗力：指双方无法控制和不可预见的事件，但不包括双方的违约或疏忽。这些事件包括但不限于战争、严重火灾、洪水、台风、地震，或其他双方一致认为属于不可抗力的事件。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1.16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 24 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2、合同文件及解释顺序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2.l合同文件应能互相解释，互为说明。除本合同专用条款另有约定外，组成本合同的文件及优先解释顺序如下：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（1）本合同履行过程中双方以书面形式签署的补充和修正文件；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（2）本合同协议书：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（3）本合同专用条款；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（4）本合同通用条款。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2.2当合同文件内容出现含糊不清或不相一致时，应在不影响采购代理业务正常进行的情况下，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由委托方和受托方协商解决。双方协商不成时，按本合同通用条款第 12 条关于争议的约定处理。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3、语言文字和适用法律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3.1语言文字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除本合同专用条款中另有约定，本合同文件使用汉语语言文字书写、解释和说明。如本合同专用条款约定使用两种以上（含两种）语言文字时，汉语应为解释和说明本合同的标准语言文字。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3.2 适用法律和行政法规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本合同文件适用有关法律和行政法规。需要明示的法律和行政法规，双方可在本合同专用条款中约定。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二、双方一般权利和义务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4、委托方的义务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4.1 委托方将委托采购代理工作的具体范围和内容在本合同专用条款中约定。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4.2 委托方按本合同专用条款约定的内容和时间完成下列工作：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（1）向受托方提供本工程采购代理业务应具备的相关工程前期资料（如立项批准手续规划许可、报建证等）及资金落实情况资料；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（2）向受托方提供完成本工程采购代理业务所需的全部技术资料和图纸，需要交底的须向受托方详细交底，并对提供资料的真实性、完整性、准确性负责；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（3）向受托方提供保证采购工作顺利完成的条件，提供的条件在本合同专用条款内约定；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（4）指定专人与受托方联系，指定人员的姓名、职务、职称在本合同专用条款内约定；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（5）根据需要，作好与第三方的协调工作；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（6）按本合同专用条款的约定支付代理报酬；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（7）依法应尽的其他义务，双方在本合同专用条款内约定。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4.3 受托方在履行采购代理业务过程中，提出的超出采购代理范围的合理化建议，经委托方同意并取得经济效益，委托方应向受托方支付一定的经济奖励。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4.4 委托方负有对受托方为本合同提供的技术服务进行知识产权保护的责任。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4.5 委托方未能履行以上各项义务，给受托方造成损失的，应当赔偿受托方的有关损失。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5、受托方的义务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5.1 受托方应根据本合同专用条款中约定的委托采购代理业务的工作范围和内容，选择有足够经验的专职技术经济人员担任采购代理项目负责人。采购代理项目负责人的姓名、身份证号在专用条款内写明。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5.2 受托方按本合同专用条款约定的内容和时间完成下列工作：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（1）依法按照公开、公平、公正和诚实信用原则， 组织采购工作，维护各方的合法权益；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（2）应用专业技术与技能为委托方提供完成采购工作相关的咨询服务；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（3）向委托方宣传有关工程采购的法律、行政法规和规章，解释合理的采购程序，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以便得到委托方的支持和配合；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（4）依法应尽的其他义务，双方在本合同专用条款内约定。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5.3 受托方应对采购工作中受托方所出具有关数据的计算、技术经济资料等的科学性和准确性负责。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5.4 受托方不得接受与本合同工程建设项目中委托采购范围之内的相关的投标咨询业务。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5.5 受托方为本合同提供技术服务的知识产权应属受托方专有。任何第三方如果提出侵权指控，受托方须与第三方交涉并承担由此而引起的一切法律责任和费用。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5.6 未经委托方同意，受托方不得分包或转让本合同的任何权利和义务。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5.7 受托方不得接受所有供应商的礼品、宴请和任何其它好处，不得泄露采购、评标、定标过程中依法需要保密的内容。合同终止后，未经委托方同意，受托方不得泄漏与本合同工程相关的任何采购资料和情况。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5.8 受托方未能履行以上各项义务，给委托方造成损失的，应当赔偿委托方的有关损失。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6、委托方的权利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6.1 委托方拥有下列权利：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（1）按合同约定，接收采购代理成果；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（2）向受托方询问本合同工程采购工作进展情况和相关内容或提出不违反法律、行政法规的建议；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（3）审查受托方为本合同工程编制的各种文件，并提出修正意见；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（4）要求受托方提交采购代理业务工作报告；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（5）与受托方协商，建议更换其不称职的采购代理从业人员；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（6）依法选择中标人；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（7）本合同履行期间，由于受托方不履行合同约定的内容，给委托方造成损失或影响采购工作正常进行的，委托方有权终止本合同，并依法向受托方追索经济赔偿，直至追究法律责任；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（8）依法享有的其他权利，双方在本合同专用条款内约定。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7、受托方的权利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7.1 受托方拥有下列权利：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（1）按合同约定收取委托代理报酬；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（2）对采购过程中应由委托方做出的决定，受托方有权提出建议；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（3）当委托方提供的资料不足或不明确时，有权要求委托方补足资料或作出明确的答复；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（4）拒绝委托方提出的违反法律、行政法规的要求，并向委托方作出解释；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（5）有权参加委托方组织的涉及采购工作的所有会议和活动；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（6）对于为本合同工程编制的所有文件拥有知识产权，委托方仅有使用或复制的权利；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（7）依法享有的其他权利，双方在本合同专用条款内约定。</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三、委托代理报酬与收取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8、委托代理报酬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8.1 双方按照本合同约定的采购代理业务范围，在本合同专用条款内约定委托代理报酬的计算方法、金额、币种、汇率和支付方式、支付时间。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8.2 受托方对所承接的采购代理业务需要出外考察的，其外出人员数量和费用，经委托方同意后，向委托方实报实销。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8.3 在采购代理业务范围内所发生的费用（如：评标会务费、评标专家的差旅费、劳务费、公证费等），由委托方与受托方在补充条款中约定。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9、委托代理报酬的收取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9.1 由委托方支付代理报酬的，具体额度（或比例）双方在专用条款内约定。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由中标人或委托方支付代理报酬的，将本合同约定的全部委托代理报酬一次性支付给受托方。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9.2 受托方完成委托方委托的采购代理工作范围以外的工作，为附加服务项目，应收取的报酬由双方协商，签订补充协议。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9.3 委托方在本合同专用条款约定的支付时间内，未能如期支付代理预付费用，自应支付之日起，按同期银行贷款利率，计算支付代理预付费用的利息。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9.4 委托方在本合同专用条款约定的支付时间内，未能如期支付代理报酬，除应承担违约责任外，还应按同期银行贷款利率，计算支付应付代理报酬的利息。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9.5 委托代理报酬应由委托方按本合同专用条款约定的支付方法和时间，直接向受托方支付；或受托方按照约定直接向中标人收取。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四、违约、索赔和争议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10、违约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10.1 委托方违约。 当发生下列情况时：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（1）本合同通用条款第 4.2 -（3）款提到的委托方未按本合同专用条款的约定向委托方提供为保证采购工作顺利完成的条件，致使采购工作无法进行；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（2）本合同通用条款第 4.2 -（6）款提到的委托方未按本合同专用条款的约定向受托方支付委托代理报酬；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（3）委托方不履行合同义务或不按合同约定履行义务的其他情况。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委托方承担违约责任，赔偿因其违约给受托方造成的直接经济损失，双方在本合同专用条款内约定委托方赔偿受托方损失的计算方法或委托方应当支付违约金的数额或计算方法。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10.2 受托方违约。 当发生下列情况时：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（1）本合同通用条款第 5.2 -（2）款提到的受托方未按本合同专用条款的约定，向委托方提供为完成采购工作的咨询服务；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（2）本合同通用条款第 5.4 款提到的受托方未按本合同专用条款的约定，接受了与本合同工程建设项目有关的投标咨询业务；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（3）本合同通用条款第 5.7 款提到的受托方未按本合同专用条款的约定，泄露了与本合同工程相关的任何采购资料和情况；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（4）受托方不履行合同义务或不按合同约定履行义务的其他情况。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受托方承担违约责任，赔偿因其违约给委托方造成的经济损失，双方在本合同专用条款内约定受托方赔偿委托方损失的计算方法或受托方应当支付违约金的数额或计算方法。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10.3第三方违约。如果一方的违约被认定为是与第三方共同造成的，则应由合同双方中有违约的一方先行向另一方承担全部违约责任，再由承担违约责任的一方向第三方追索。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11、索赔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11.1 当事人一方向另一方提出索赔时，要有正当的索赔理由，且有索赔事件发生时的有效证据。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11.2 委托方未能按合同约定履行自己的各项义务，或者发生应由委托方承担责任的其他情况，给受托方造成损失，受托方可按下列程序以书面形式向委托方索赔：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（1）索赔事件发生后 7 天内，向委托方发出索赔报告及有关资料；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（2）委托方收到受托方的索赔报告及有关资料后，于 7 天内给予答复，或要求受托方进一步补充索赔理由和证据；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（3）委托方在收到受托方送交的索赔报告和有关资料后 7 天内未予答复，或未对受托方作进一步要求，视为该项索赔已经认可。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11.3 受托方未能按合同约定履行自己的各项义务，或者发生应由受托方承担责任的其他情况，给委托方造成经济损失，委托方可按 11.2 款确定的时限和程序向受托方提出索赔。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12、争议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12.1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委托方和受托方履行合同时发生争议，可以和解或者向有关部门或机构申请调解。当事人不愿和解、调解或者和解、调解不成的，双方可以在本合同专用条款约定以下一种方式解决争议：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（1）双方达成仲裁协议，向约定的仲裁委员会申请仲裁；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（2）向有管辖权的人民法院起诉。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五、合同变更、生效与终止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13、合同变更或解除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13.1 本合同签订后，由于委托方原因，使得受托方不能持续履行采购代理业务时，委托方应及时通知受托方暂停采购代理业务。当需要恢复采购代理业务时，应当在正式恢复前 7 天通知受托方。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若暂停时间超过六个月，当需要恢复采购代理业务时，委托方应支付重新启动该采购代理工作一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定的补偿费用，具体计算方式经双方协商以补充协议确定。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13.2 本合同签订后，如因法律、行政法规发生变化或由于任何后续新颁布的法律、行政法规导致服务所需的成本或时间发生改变，则本合同约定的服务报酬和服务期限由双方签订补充协议进行相应调整。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13.3 本合同当事人一方要求变更或解除合同时，除法律、行政法规另有规定外，应与对方当事人协商一致并达成书面协议。未达成书面协议的，本合同依然有效。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13.4 因解除合同使当事人一放遭受损失的，除依法可以免除责任外，应由责任方负责赔偿对方的损失，赔偿方法与金额由双方在协议书约定。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14、合同生效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14.1 除生效条件双方在协议书中另有约定外，本合同自双方签字盖章之日起生效。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15、合同终止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15.1 受托方完成委托方全部委托采购代理业务，且委托方或中标人支付了全部代理报酬（含附加服务的报酬）后本合同终止。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15.2 本合同终止并不影响各方应有的权利和应承担的义务。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方应付给受托方已完成工作的报酬外，各自承担相应的损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15.4 本合同的权利和义务终止后，委托方和受托方应当遵循诚实信用原则，履行通知、协助、保密等义务。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六、其他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16、合同的份数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16.1 本合同正本一式两份，委托方和受托方各执一份。副本根据双方需要在本合同专用条款内约定。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17、补充条款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双方根据有关法律、行政法规规定，结合本合同采购工程实际，经协商一致后，可对本合同通用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条款未涉及的内容进行补充。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
          <w:bCs/>
          <w:color w:val="auto"/>
          <w:kern w:val="0"/>
          <w:sz w:val="21"/>
          <w:szCs w:val="21"/>
          <w:highlight w:val="none"/>
          <w:lang w:val="en-US" w:eastAsia="zh-CN" w:bidi="ar"/>
        </w:rPr>
      </w:pPr>
      <w:r>
        <w:rPr>
          <w:rFonts w:ascii="宋体" w:hAnsi="宋体" w:eastAsia="宋体" w:cs="宋体"/>
          <w:b/>
          <w:bCs/>
          <w:color w:val="auto"/>
          <w:kern w:val="0"/>
          <w:sz w:val="21"/>
          <w:szCs w:val="21"/>
          <w:highlight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宋体" w:hAnsi="宋体" w:eastAsia="宋体" w:cs="宋体"/>
          <w:b/>
          <w:bCs/>
          <w:color w:val="auto"/>
          <w:kern w:val="0"/>
          <w:sz w:val="32"/>
          <w:szCs w:val="32"/>
          <w:highlight w:val="none"/>
          <w:lang w:val="en-US" w:eastAsia="zh-CN" w:bidi="ar"/>
        </w:rPr>
      </w:pPr>
      <w:r>
        <w:rPr>
          <w:rFonts w:ascii="宋体" w:hAnsi="宋体" w:eastAsia="宋体" w:cs="宋体"/>
          <w:b/>
          <w:bCs/>
          <w:color w:val="auto"/>
          <w:kern w:val="0"/>
          <w:sz w:val="32"/>
          <w:szCs w:val="32"/>
          <w:highlight w:val="none"/>
          <w:lang w:val="en-US" w:eastAsia="zh-CN" w:bidi="ar"/>
        </w:rPr>
        <w:t>第二部分</w:t>
      </w:r>
      <w:r>
        <w:rPr>
          <w:rFonts w:hint="eastAsia" w:ascii="宋体" w:hAnsi="宋体" w:eastAsia="宋体" w:cs="宋体"/>
          <w:b/>
          <w:bCs/>
          <w:color w:val="auto"/>
          <w:kern w:val="0"/>
          <w:sz w:val="32"/>
          <w:szCs w:val="32"/>
          <w:highlight w:val="none"/>
          <w:lang w:val="en-US" w:eastAsia="zh-CN" w:bidi="ar"/>
        </w:rPr>
        <w:t xml:space="preserve"> </w:t>
      </w:r>
      <w:r>
        <w:rPr>
          <w:rFonts w:ascii="宋体" w:hAnsi="宋体" w:eastAsia="宋体" w:cs="宋体"/>
          <w:b/>
          <w:bCs/>
          <w:color w:val="auto"/>
          <w:kern w:val="0"/>
          <w:sz w:val="32"/>
          <w:szCs w:val="32"/>
          <w:highlight w:val="none"/>
          <w:lang w:val="en-US" w:eastAsia="zh-CN" w:bidi="ar"/>
        </w:rPr>
        <w:t>专用条款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一、词语定义和适用法律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2、合同文件及解释顺序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2.1 合同文件及解释顺序：1、合同履行过程中双方以书面形式签署的补充和修正文件 2、本合同协议书 3、合同专用条款 4、合同通用条款 5、采购文件及投标文件。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3、语言文字和适用法律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3.1 语言文字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本合同采用的文字为：汉语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3.2 本合同需要明示的法律、行政法规：《中华人民共和国民法典》等。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二、双方一般权利和义务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4、委托方的义务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4.1 委托采购代理工作的具体范围和内容：详见合同协议书。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4.2 委托方应按约定的时间和要求完成下列工作：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（1）向受托方提供本采购代理业务应具备的相关工作前期资料（如立项批准手续、规划许可、报建证等）及资金落实情况资料的时间：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（2）向受托方提供完全代理采购业务所需的全部资料时间：根据项目情况及时提供。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（3）向受托方提供保证采购工作顺利完成的条件：相关外部协调工作。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（4）指定的与受托方联系的人员。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（5）需要与第三方协调的工作：根据需要做好与第三方及外部相关的协调工作。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（6）协助采购过程中与有关管理部门的协调，尽可能向受托方提供便利条件，以保证采购工作顺利完成。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5、受托方的义务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5.1 根据项目进程，委托方需要项目组人员驻场时，须无条件响应，该部分费用已包括在合同价中。 （采购代理项目负责人姓名：【    】，身份证号：【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5.2 受托方应按约定的时间和要求完成下列工作：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（1）组织采购工作的内容：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1、根据采购人要求开展采购代理工作；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2、根据采购人要求编制项目采购文件、发布采购公告；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3、组织开标、评标和定标；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4、开、评标后将所有投标文件及时移交给采购人；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5、协助采购合同的签订；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6、编制采购书面情况报告；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7、完成采购资料整理归档；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8、与采购有关的其他事项。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（2）承担采购代理业务过程中，应由受托方支付的费用：人工费、专家评审费等。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（3）应尽的其他义务： 严格执行《中华人民共和国采购投标法》、《采购投标管理办法》、《建设工程项目采购代理暂行办法》、杭州机场高铁有限公司的规章制度等规定的相关义务。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6、委托方的权利：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6.1 委托方在采购代理工程中拥有的权利： 按采购代理合同通用条款 6.1 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7、受托方的权利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7.1 受托方在采购代理工程中拥有的权利： 按采购代理合同通用条款 7.1 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三、委托代理报酬与收取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8、委托代理报酬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8.1 代理报酬的计算方法：每个采购项目代理服务费按投合同费率7000元/个（含税）*【】%结算，即 【】元/个（含税）。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由于非委托方原因造成的流标或重招，供应商不足三家，未组织评标的，不支付采购代理费；对于经专家评审认为对采购文件实质性响应的供应商不足三家而进行二次重招的，支付开、评标场地费、专家费作为该项目本次采购代理费，重招成功后，受托人移交两次采购的所有资料后，支付代理费；</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kern w:val="0"/>
          <w:sz w:val="24"/>
          <w:szCs w:val="24"/>
          <w:highlight w:val="none"/>
          <w:lang w:val="en-US" w:eastAsia="zh-CN" w:bidi="ar"/>
        </w:rPr>
        <w:t>代理报酬的币种：</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人民币 </w:t>
      </w:r>
      <w:r>
        <w:rPr>
          <w:rFonts w:hint="eastAsia" w:asciiTheme="majorEastAsia" w:hAnsiTheme="majorEastAsia" w:eastAsiaTheme="majorEastAsia" w:cstheme="majorEastAsia"/>
          <w:color w:val="auto"/>
          <w:kern w:val="0"/>
          <w:sz w:val="24"/>
          <w:szCs w:val="24"/>
          <w:highlight w:val="none"/>
          <w:lang w:val="en-US" w:eastAsia="zh-CN" w:bidi="ar"/>
        </w:rPr>
        <w:t xml:space="preserve">  汇率：</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9、委托代理报酬的收取</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9.1 根据已完成的任务，委托方或中标人向受托方支付每个已完成项目的服务费。付款前，受托方须提供相应金额的增值税专用发票，否则委托方或中标人有权拒绝付款并且不负任何责任（包括但不限于延期付款的责任），开票错误的责任由受托方自行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四、违约、索赔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10、违约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10.1 本合同关于委托方违约的具体责任：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（1）双方约定的委托方的其他违约责任：/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 xml:space="preserve">10.2 本合同关于受托方违约的具体责任：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（1）受托方未按照本合同通用条款第 5.2－（2）款的约定，向委托方提供为完成采购工作的咨询服务应承担的责任：因受托方原因致使采购工作无法进行或无法完成咨询服务，受托方给予委托方赔偿；每发生一次，赔偿金额一般为项目代理费的 30%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（2）受托方支付的违约金不足以弥补委托方损失的，委托方有权向受托方追偿。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3）受托方违反本合同通用条款第5.6款的约定，未经委托方同意，受托方不得分包或转让本合同的任何权利和义务，否则委托方有权单方解除合同，受托方应当支付代理服务费20%的违约金。由于受托方不当代理或未经委托方同意但对第三方形成的表见代理而致委托方遭受损失的，受托方应当赔偿委托方因此而受到的全部损失。</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12、争议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 xml:space="preserve">12.1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委托方和受托方履行合同时发生争议，可以和解或者向有关部门或机构申请调解。当事人不愿和解、调解或者和解、调解不成的，任何一方有权选择以下第</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1  </w:t>
      </w:r>
      <w:r>
        <w:rPr>
          <w:rFonts w:hint="eastAsia" w:asciiTheme="majorEastAsia" w:hAnsiTheme="majorEastAsia" w:eastAsiaTheme="majorEastAsia" w:cstheme="majorEastAsia"/>
          <w:color w:val="auto"/>
          <w:kern w:val="0"/>
          <w:sz w:val="24"/>
          <w:szCs w:val="24"/>
          <w:highlight w:val="none"/>
          <w:lang w:val="en-US" w:eastAsia="zh-CN" w:bidi="ar"/>
        </w:rPr>
        <w:t>种方式解决争议：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1.向甲方所在地人民法院提起诉讼。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2.向工程当地仲裁委员会提起仲裁。</w:t>
      </w: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sectPr>
          <w:footerReference r:id="rId7" w:type="default"/>
          <w:pgSz w:w="11906" w:h="16838"/>
          <w:pgMar w:top="2098" w:right="1474" w:bottom="1984" w:left="1587" w:header="851" w:footer="992" w:gutter="0"/>
          <w:pgNumType w:fmt="numberInDash" w:start="1"/>
          <w:cols w:space="720" w:num="1"/>
          <w:docGrid w:type="lines" w:linePitch="312" w:charSpace="0"/>
        </w:sectPr>
      </w:pPr>
      <w:r>
        <w:rPr>
          <w:rFonts w:hint="eastAsia" w:asciiTheme="majorEastAsia" w:hAnsiTheme="majorEastAsia" w:eastAsiaTheme="majorEastAsia" w:cstheme="majorEastAsia"/>
          <w:color w:val="auto"/>
          <w:kern w:val="0"/>
          <w:sz w:val="24"/>
          <w:szCs w:val="24"/>
          <w:highlight w:val="none"/>
          <w:lang w:val="en-US" w:eastAsia="zh-CN" w:bidi="ar"/>
        </w:rPr>
        <w:t>附件一：廉政协议</w:t>
      </w:r>
    </w:p>
    <w:p>
      <w:pPr>
        <w:ind w:firstLine="0" w:firstLineChars="0"/>
        <w:rPr>
          <w:rFonts w:hint="eastAsia" w:ascii="Calibri" w:hAnsi="Calibri" w:eastAsia="宋体" w:cs="Times New Roman"/>
          <w:color w:val="auto"/>
          <w:highlight w:val="none"/>
        </w:rPr>
      </w:pPr>
    </w:p>
    <w:p>
      <w:pPr>
        <w:spacing w:line="360" w:lineRule="auto"/>
        <w:ind w:firstLine="0" w:firstLineChars="0"/>
        <w:rPr>
          <w:rFonts w:hint="eastAsia" w:ascii="仿宋" w:hAnsi="仿宋" w:eastAsia="仿宋" w:cs="仿宋"/>
          <w:color w:val="auto"/>
          <w:sz w:val="32"/>
          <w:szCs w:val="32"/>
          <w:highlight w:val="none"/>
        </w:rPr>
      </w:pPr>
      <w:r>
        <w:rPr>
          <w:rFonts w:hint="eastAsia" w:ascii="仿宋" w:hAnsi="仿宋" w:eastAsia="仿宋" w:cs="仿宋"/>
          <w:color w:val="auto"/>
          <w:spacing w:val="20"/>
          <w:sz w:val="32"/>
          <w:szCs w:val="32"/>
          <w:highlight w:val="none"/>
        </w:rPr>
        <w:t>附件一： 廉政协议</w:t>
      </w:r>
    </w:p>
    <w:p>
      <w:pPr>
        <w:pStyle w:val="17"/>
        <w:spacing w:line="249" w:lineRule="auto"/>
        <w:rPr>
          <w:color w:val="auto"/>
          <w:highlight w:val="none"/>
          <w:lang w:eastAsia="zh-CN"/>
        </w:rPr>
      </w:pPr>
    </w:p>
    <w:p>
      <w:pPr>
        <w:tabs>
          <w:tab w:val="left" w:pos="2996"/>
        </w:tabs>
        <w:spacing w:line="440" w:lineRule="exact"/>
        <w:ind w:left="13" w:firstLine="42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廉政协议</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right="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甲方：杭州机场高铁有限公司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right="84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b/>
                <w:bCs/>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right="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甲方项目负责人：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9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right="3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乙方项目负责人：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ind w:right="8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监督部门联系人：                  电话： </w:t>
            </w:r>
          </w:p>
        </w:tc>
      </w:tr>
    </w:tbl>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第一条</w:t>
      </w:r>
      <w:r>
        <w:rPr>
          <w:rFonts w:hint="eastAsia" w:ascii="宋体" w:hAnsi="宋体" w:eastAsia="宋体" w:cs="宋体"/>
          <w:color w:val="auto"/>
          <w:highlight w:val="none"/>
        </w:rPr>
        <w:t xml:space="preserve"> 甲、乙双方约定</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（一）甲、乙双方应共同严格遵守国家和省市以及招标人主管部门关于市场准入、项目招标投标、市场经济活动等有关法律、法规和相关政策，以及项目廉政建设的各项规定。</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（二）甲、乙双方应认真执行双方签订的合同文件，自觉按合同约定履行责任。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（三）甲、乙双方的业务活动必须坚持公开、公平、公正、诚信、透明的原则（除法律法规另有规定者外）。不得为获取不正当的利益，损害国家、集体和对方利益；不得违反管理相关规章制度。</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（四）甲、乙双方有对本方人员开展廉政告知、廉政教育和职业道德教育的义务。</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（五）甲、乙双方应加强对本方人员廉政监督，建立健全廉政制度，认真严肃查处本方人员违法违纪行为。</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（六）甲、乙双方如发现对方人员在业务活动中有违规、违纪、违法行为的，应及时提醒对方并督促其纠正，或直接向对方法人代表、纪检监察部门及检察机关如实反映情况。</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第二条</w:t>
      </w:r>
      <w:r>
        <w:rPr>
          <w:rFonts w:hint="eastAsia" w:ascii="宋体" w:hAnsi="宋体" w:eastAsia="宋体" w:cs="宋体"/>
          <w:color w:val="auto"/>
          <w:highlight w:val="none"/>
        </w:rPr>
        <w:t xml:space="preserve"> 甲方（含甲方人员）廉政责任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（三）不得利用职务便利向乙方介绍或指定工程分包单位（或个人）、物资供应商；不得利用职务便利向乙方推销或指定使用物资设备等。</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（四）不得接受乙方购置的或长期提供的通信工具、交通工具等。</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（五）对无法拒绝的乙方及其个人所送的钱物，受礼者自收受之日起一个月内上交至甲方监察审计部门。</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（六）对乙方提供的有关信息，应及时调查处理并反馈结果。</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第三条</w:t>
      </w:r>
      <w:r>
        <w:rPr>
          <w:rFonts w:hint="eastAsia" w:ascii="宋体" w:hAnsi="宋体" w:eastAsia="宋体" w:cs="宋体"/>
          <w:color w:val="auto"/>
          <w:highlight w:val="none"/>
        </w:rPr>
        <w:t xml:space="preserve"> 乙方（含乙方人员）廉政责任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（一）不得以任何形式向甲方行贿；不得向甲方送礼金、礼品和各种有价证券、支付凭证及其他贵重物品；不得以任何名义向甲方及其工作人员支付回扣、好处费、感谢费或其他经济利益。 </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（三）不得接受甲方介绍或指定的工程分包单位和物资供应商；不得接受甲方推销或指定使用的物资设备。</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（四）不得以任何理由为甲方及其工作人员购置或长期提供通信工具、交通工具等。</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（五）对甲方及其个人索要钱物、介绍或指定工程分包单位和物资供应商、推销或指定使用物资设备、借用占用车辆等行为予以拒绝，并及时主动向乙方上级纪检监察组织报告。</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（六）对甲方提供的乙方（含乙方人员）违纪违规有关信息，应及时调查处理并反馈结果。</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（七）乙方不得以任何理由为甲方及其工作人员组织有可能影响公正执行公务的宴请和各类休闲娱乐等活动。</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（八）乙方及其工作人员必须严格按照有关规程办事，不得与其他单位互相串通，损害甲方利益。</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第四条</w:t>
      </w:r>
      <w:r>
        <w:rPr>
          <w:rFonts w:hint="eastAsia" w:ascii="宋体" w:hAnsi="宋体" w:eastAsia="宋体" w:cs="宋体"/>
          <w:color w:val="auto"/>
          <w:highlight w:val="none"/>
        </w:rPr>
        <w:t xml:space="preserve"> 违约责任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甲乙双方不履行各自义务，构成犯罪和违纪的，由司法机关和有关纪检监察部门按管辖依法依纪处理，所认定的事实和处理结果作为承担下列约定违约责任的依据。</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（二）乙方贿赂甲方人员的，被纪检监察部门或检察机关立案查处的，甲方有权中止项目合同，由此造成甲方的损失以及一切费用均由乙方承担。</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（三）甲乙方双方不履行协议约定义务的，应将责任人调离本项目并按规定予以处理，且双方有义务将有关责任人的责任追究情况通报对方。</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（五）由于甲乙双方单位或工作人员个人行为造成违约的，双方承担上述违约责任。</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（六）甲乙双方在履行协议中发生争议，一方有权向对方上级单位主管部门和纪检监察部门反映情况并要求帮助解决争议。</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第五条</w:t>
      </w:r>
      <w:r>
        <w:rPr>
          <w:rFonts w:hint="eastAsia" w:ascii="宋体" w:hAnsi="宋体" w:eastAsia="宋体" w:cs="宋体"/>
          <w:color w:val="auto"/>
          <w:highlight w:val="none"/>
        </w:rPr>
        <w:t xml:space="preserve"> 本协议有效期为双方签署之日起至双方权利义务履行完毕为止。有效期内发生的违约事实，有效期后发现的适用本协议。</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甲方单位：杭州机场高铁有限公司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乙方单位（盖章）： </w:t>
      </w:r>
    </w:p>
    <w:p>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甲方代表（签字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highlight w:val="none"/>
        </w:rPr>
        <w:t>）：                       乙方代表（签字</w:t>
      </w:r>
      <w:r>
        <w:rPr>
          <w:rFonts w:hint="eastAsia" w:ascii="宋体" w:hAnsi="宋体" w:eastAsia="宋体" w:cs="宋体"/>
          <w:color w:val="auto"/>
          <w:highlight w:val="none"/>
          <w:lang w:val="en-US" w:eastAsia="zh-CN"/>
        </w:rPr>
        <w:t>或盖章</w:t>
      </w:r>
      <w:r>
        <w:rPr>
          <w:rFonts w:hint="eastAsia" w:ascii="宋体" w:hAnsi="宋体" w:eastAsia="宋体" w:cs="宋体"/>
          <w:color w:val="auto"/>
          <w:highlight w:val="none"/>
        </w:rPr>
        <w:t>）：</w:t>
      </w:r>
    </w:p>
    <w:p>
      <w:pPr>
        <w:pStyle w:val="136"/>
        <w:spacing w:before="178" w:line="185" w:lineRule="auto"/>
        <w:ind w:left="1080"/>
        <w:rPr>
          <w:rFonts w:ascii="宋体" w:hAnsi="宋体" w:cs="宋体"/>
          <w:color w:val="auto"/>
          <w:spacing w:val="-9"/>
          <w:sz w:val="24"/>
          <w:szCs w:val="24"/>
          <w:highlight w:val="none"/>
        </w:rPr>
      </w:pPr>
    </w:p>
    <w:p>
      <w:pPr>
        <w:pStyle w:val="136"/>
        <w:spacing w:before="178" w:line="185" w:lineRule="auto"/>
        <w:ind w:left="1080"/>
        <w:rPr>
          <w:rFonts w:ascii="宋体" w:hAnsi="宋体" w:cs="宋体"/>
          <w:color w:val="auto"/>
          <w:spacing w:val="-9"/>
          <w:sz w:val="24"/>
          <w:szCs w:val="24"/>
          <w:highlight w:val="none"/>
        </w:rPr>
      </w:pPr>
    </w:p>
    <w:p>
      <w:pPr>
        <w:pStyle w:val="136"/>
        <w:spacing w:before="178" w:line="185" w:lineRule="auto"/>
        <w:ind w:left="1080"/>
        <w:rPr>
          <w:rFonts w:ascii="宋体" w:hAnsi="宋体" w:cs="宋体"/>
          <w:color w:val="auto"/>
          <w:spacing w:val="-9"/>
          <w:sz w:val="24"/>
          <w:szCs w:val="24"/>
          <w:highlight w:val="none"/>
        </w:rPr>
      </w:pPr>
    </w:p>
    <w:p>
      <w:pPr>
        <w:rPr>
          <w:rFonts w:ascii="宋体" w:hAnsi="宋体" w:cs="宋体"/>
          <w:color w:val="auto"/>
          <w:spacing w:val="6"/>
          <w:sz w:val="27"/>
          <w:szCs w:val="27"/>
          <w:highlight w:val="none"/>
        </w:rPr>
      </w:pPr>
      <w:r>
        <w:rPr>
          <w:rFonts w:ascii="宋体" w:hAnsi="宋体" w:cs="宋体"/>
          <w:color w:val="auto"/>
          <w:spacing w:val="6"/>
          <w:sz w:val="27"/>
          <w:szCs w:val="27"/>
          <w:highlight w:val="none"/>
        </w:rPr>
        <w:br w:type="page"/>
      </w:r>
    </w:p>
    <w:p>
      <w:pPr>
        <w:pStyle w:val="3"/>
        <w:keepNext/>
        <w:keepLines/>
        <w:pageBreakBefore w:val="0"/>
        <w:kinsoku/>
        <w:wordWrap/>
        <w:overflowPunct/>
        <w:topLinePunct w:val="0"/>
        <w:autoSpaceDE/>
        <w:autoSpaceDN/>
        <w:bidi w:val="0"/>
        <w:spacing w:before="0" w:after="0" w:line="360" w:lineRule="auto"/>
        <w:textAlignment w:val="auto"/>
        <w:rPr>
          <w:rFonts w:hint="eastAsia"/>
          <w:color w:val="auto"/>
          <w:highlight w:val="none"/>
        </w:rPr>
      </w:pPr>
      <w:r>
        <w:rPr>
          <w:rFonts w:hint="eastAsia"/>
          <w:color w:val="auto"/>
          <w:highlight w:val="none"/>
        </w:rPr>
        <w:t>第</w:t>
      </w:r>
      <w:r>
        <w:rPr>
          <w:rFonts w:hint="eastAsia"/>
          <w:color w:val="auto"/>
          <w:highlight w:val="none"/>
          <w:lang w:val="en-US" w:eastAsia="zh-CN"/>
        </w:rPr>
        <w:t>五</w:t>
      </w:r>
      <w:r>
        <w:rPr>
          <w:rFonts w:hint="eastAsia"/>
          <w:color w:val="auto"/>
          <w:highlight w:val="none"/>
        </w:rPr>
        <w:t>章 评标办法</w:t>
      </w:r>
    </w:p>
    <w:p>
      <w:pPr>
        <w:tabs>
          <w:tab w:val="left" w:pos="88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为规范本次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的评标工作，根据《中华人民共和国</w:t>
      </w:r>
      <w:r>
        <w:rPr>
          <w:rFonts w:hint="eastAsia" w:ascii="宋体" w:hAnsi="宋体" w:cs="宋体"/>
          <w:color w:val="auto"/>
          <w:sz w:val="24"/>
          <w:highlight w:val="none"/>
          <w:lang w:eastAsia="zh-CN"/>
        </w:rPr>
        <w:t>采购</w:t>
      </w:r>
      <w:r>
        <w:rPr>
          <w:rFonts w:hint="eastAsia" w:ascii="宋体" w:hAnsi="宋体" w:cs="宋体"/>
          <w:color w:val="auto"/>
          <w:sz w:val="24"/>
          <w:highlight w:val="none"/>
        </w:rPr>
        <w:t>投标法》、《中华人民共和国</w:t>
      </w:r>
      <w:r>
        <w:rPr>
          <w:rFonts w:hint="eastAsia" w:ascii="宋体" w:hAnsi="宋体" w:cs="宋体"/>
          <w:color w:val="auto"/>
          <w:sz w:val="24"/>
          <w:highlight w:val="none"/>
          <w:lang w:eastAsia="zh-CN"/>
        </w:rPr>
        <w:t>采购</w:t>
      </w:r>
      <w:r>
        <w:rPr>
          <w:rFonts w:hint="eastAsia" w:ascii="宋体" w:hAnsi="宋体" w:cs="宋体"/>
          <w:color w:val="auto"/>
          <w:sz w:val="24"/>
          <w:highlight w:val="none"/>
        </w:rPr>
        <w:t>投标法实施条例》等国家、地方政府有关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投标的法律、法规、规章和规定，制定本办法。</w:t>
      </w:r>
    </w:p>
    <w:p>
      <w:pPr>
        <w:pStyle w:val="2"/>
        <w:spacing w:before="120" w:beforeLines="50" w:after="120"/>
        <w:ind w:firstLine="482"/>
        <w:jc w:val="left"/>
        <w:rPr>
          <w:rFonts w:hint="eastAsia" w:ascii="宋体" w:hAnsi="宋体" w:cs="宋体"/>
          <w:bCs/>
          <w:color w:val="auto"/>
          <w:sz w:val="24"/>
          <w:highlight w:val="none"/>
        </w:rPr>
      </w:pPr>
      <w:r>
        <w:rPr>
          <w:rFonts w:hint="eastAsia" w:ascii="宋体" w:hAnsi="宋体" w:cs="宋体"/>
          <w:bCs/>
          <w:color w:val="auto"/>
          <w:sz w:val="24"/>
          <w:highlight w:val="none"/>
        </w:rPr>
        <w:t>1.评标总则</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评标应遵循公平、公正、科学、择优的原则。</w:t>
      </w:r>
    </w:p>
    <w:p>
      <w:pPr>
        <w:pStyle w:val="2"/>
        <w:spacing w:before="120" w:beforeLines="50" w:after="120"/>
        <w:ind w:firstLine="482"/>
        <w:jc w:val="left"/>
        <w:rPr>
          <w:rFonts w:hint="eastAsia" w:ascii="宋体" w:hAnsi="宋体" w:cs="宋体"/>
          <w:bCs/>
          <w:color w:val="auto"/>
          <w:sz w:val="24"/>
          <w:highlight w:val="none"/>
        </w:rPr>
      </w:pPr>
      <w:r>
        <w:rPr>
          <w:rFonts w:hint="eastAsia" w:ascii="宋体" w:hAnsi="宋体" w:cs="宋体"/>
          <w:bCs/>
          <w:color w:val="auto"/>
          <w:sz w:val="24"/>
          <w:highlight w:val="none"/>
        </w:rPr>
        <w:t>2.评标组织</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评标工作由</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依法组建，人数为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人以上单数, 其中</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代表不超过三分之一，与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有利益或隶属关系的专家不能担任评委。评标委员会对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作出的评审结论，应当符合有关法律、法规、规章和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w:t>
      </w:r>
    </w:p>
    <w:p>
      <w:pPr>
        <w:pStyle w:val="2"/>
        <w:spacing w:before="120" w:beforeLines="50" w:after="120"/>
        <w:ind w:firstLine="482"/>
        <w:jc w:val="left"/>
        <w:rPr>
          <w:rFonts w:hint="eastAsia" w:ascii="宋体" w:hAnsi="宋体" w:cs="宋体"/>
          <w:bCs/>
          <w:color w:val="auto"/>
          <w:sz w:val="24"/>
          <w:highlight w:val="none"/>
        </w:rPr>
      </w:pPr>
      <w:r>
        <w:rPr>
          <w:rFonts w:hint="eastAsia" w:ascii="宋体" w:hAnsi="宋体" w:cs="宋体"/>
          <w:bCs/>
          <w:color w:val="auto"/>
          <w:sz w:val="24"/>
          <w:highlight w:val="none"/>
        </w:rPr>
        <w:t>3.评标纪律</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  评标活动遵循公平、公正、科学和择优的原则。</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  评标委员会及其成员的权利、义务和评标纪律：</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3.2.1 评标委员会成员享有依据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文件规定的评标办法和标准对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进行评审、充分发表自己的评审意见或保留自己的评审意见的权利，但</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文件没有规定的评标办法和标准，不得作为评标依据。</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3.2.2 评标委员会主任与评标委员会其他成员享有同等的表决权。</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3.2.3 评标委员会成员应在评标前认真审阅</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3.2.4 评标委员会对同一</w:t>
      </w:r>
      <w:r>
        <w:rPr>
          <w:rFonts w:hint="eastAsia" w:ascii="宋体" w:hAnsi="宋体" w:cs="宋体"/>
          <w:color w:val="auto"/>
          <w:sz w:val="24"/>
          <w:highlight w:val="none"/>
          <w:lang w:eastAsia="zh-CN"/>
        </w:rPr>
        <w:t>采购</w:t>
      </w:r>
      <w:r>
        <w:rPr>
          <w:rFonts w:hint="eastAsia" w:ascii="宋体" w:hAnsi="宋体" w:cs="宋体"/>
          <w:color w:val="auto"/>
          <w:sz w:val="24"/>
          <w:highlight w:val="none"/>
        </w:rPr>
        <w:t>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3.2.5 评标委员会成员应当客观公正地履行职责，遵守职业道德，并对所提出的评审意见承担个人责任。</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3.2.6 评标委员会成员不得与任何</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或者与</w:t>
      </w:r>
      <w:r>
        <w:rPr>
          <w:rFonts w:hint="eastAsia" w:ascii="宋体" w:hAnsi="宋体" w:cs="宋体"/>
          <w:color w:val="auto"/>
          <w:sz w:val="24"/>
          <w:highlight w:val="none"/>
          <w:lang w:eastAsia="zh-CN"/>
        </w:rPr>
        <w:t>采购</w:t>
      </w:r>
      <w:r>
        <w:rPr>
          <w:rFonts w:hint="eastAsia" w:ascii="宋体" w:hAnsi="宋体" w:cs="宋体"/>
          <w:color w:val="auto"/>
          <w:sz w:val="24"/>
          <w:highlight w:val="none"/>
        </w:rPr>
        <w:t>结果有利害关系的人进行私下接触，不得收受</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、中介人、其他利害关系人的财物或者其他好处。  </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3.2.7 评标委员会成员以及与评标活动有关的工作人员不得对外透露评标委员会对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的评审和比较情况、中标候选人的推荐情况以及与评标有关的其他情况。</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3.2.8 评标委员会成员在评标过程中不得擅离职守影响评标程序正常进行，评审活动未结束，无正当理由不得中途退出评标委员会。</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3.2.9 评标委员会及其成员还享有并应遵守有关法律、法规、规章等政策法规文件规定的权力、义务和评标纪律。</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3.2.10 评标委员会成员有违反以上行为的，将由违反者承担道德、纪律或法律责任。</w:t>
      </w:r>
    </w:p>
    <w:p>
      <w:pPr>
        <w:pStyle w:val="2"/>
        <w:spacing w:before="120" w:beforeLines="50" w:after="120"/>
        <w:ind w:firstLine="482"/>
        <w:jc w:val="left"/>
        <w:rPr>
          <w:rFonts w:hint="eastAsia" w:ascii="宋体" w:hAnsi="宋体" w:cs="宋体"/>
          <w:bCs/>
          <w:color w:val="auto"/>
          <w:sz w:val="24"/>
          <w:highlight w:val="none"/>
        </w:rPr>
      </w:pPr>
      <w:r>
        <w:rPr>
          <w:rFonts w:hint="eastAsia" w:ascii="宋体" w:hAnsi="宋体" w:cs="宋体"/>
          <w:bCs/>
          <w:color w:val="auto"/>
          <w:sz w:val="24"/>
          <w:highlight w:val="none"/>
        </w:rPr>
        <w:t>4.评标程序和内容</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4.1 评标前准备工作</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4.1.1 评标委员会成员在评标前至少应了解和熟悉本</w:t>
      </w:r>
      <w:r>
        <w:rPr>
          <w:rFonts w:hint="eastAsia" w:ascii="宋体" w:hAnsi="宋体" w:cs="宋体"/>
          <w:color w:val="auto"/>
          <w:sz w:val="24"/>
          <w:highlight w:val="none"/>
          <w:lang w:eastAsia="zh-CN"/>
        </w:rPr>
        <w:t>采购</w:t>
      </w:r>
      <w:r>
        <w:rPr>
          <w:rFonts w:hint="eastAsia" w:ascii="宋体" w:hAnsi="宋体" w:cs="宋体"/>
          <w:color w:val="auto"/>
          <w:sz w:val="24"/>
          <w:highlight w:val="none"/>
        </w:rPr>
        <w:t>项目的目的.性质.范围和主要的技术要求.标准和商务条款，以及评标定标程序.标准.方法等内容，以及了解作为评标委员会成员的权利.义务和评标纪律。</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4.1.2 </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应当负责评标会的事务性工作，向评标委员会提供评标所需要的重要信息.数据以及辅助工作人员.设备等，必要时将由</w:t>
      </w:r>
      <w:r>
        <w:rPr>
          <w:rFonts w:hint="eastAsia" w:ascii="宋体" w:hAnsi="宋体" w:cs="宋体"/>
          <w:color w:val="auto"/>
          <w:sz w:val="24"/>
          <w:highlight w:val="none"/>
          <w:lang w:eastAsia="zh-CN"/>
        </w:rPr>
        <w:t>采购单位</w:t>
      </w:r>
      <w:r>
        <w:rPr>
          <w:rFonts w:hint="eastAsia" w:ascii="宋体" w:hAnsi="宋体" w:cs="宋体"/>
          <w:color w:val="auto"/>
          <w:sz w:val="24"/>
          <w:highlight w:val="none"/>
        </w:rPr>
        <w:t>代表介绍</w:t>
      </w:r>
      <w:r>
        <w:rPr>
          <w:rFonts w:hint="eastAsia" w:ascii="宋体" w:hAnsi="宋体" w:cs="宋体"/>
          <w:color w:val="auto"/>
          <w:sz w:val="24"/>
          <w:highlight w:val="none"/>
          <w:lang w:eastAsia="zh-CN"/>
        </w:rPr>
        <w:t>采购</w:t>
      </w:r>
      <w:r>
        <w:rPr>
          <w:rFonts w:hint="eastAsia" w:ascii="宋体" w:hAnsi="宋体" w:cs="宋体"/>
          <w:color w:val="auto"/>
          <w:sz w:val="24"/>
          <w:highlight w:val="none"/>
        </w:rPr>
        <w:t>项目的基本情况。</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4.2 初步评审</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4.2.1 资格审查</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评标委员会将按照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文件投标须知第4条“</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合格条件”规定对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进行资格审查，以确定是否为符合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文件规定要求的合格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，同时，评标委员会将依据</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提供的资格证明文件审查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的法人资格、营业范围、财务、技术和生产能力，以确定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是否有资格履行合同。经上述资格审查合格的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进入下一程序的评审，经上述资格审查不合格的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按照废标处理。</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4.2.2 </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的符合性检查和响应性确定</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4.2.2.1 在详细评标之前，评标委员会将确定每一投标是否对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文件的要求作出了实质性响应，而没有重大偏离。实质性响应的投标是指投标符合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文件的所有条款、条件和规定且没有重大偏离或保留。重大偏离或保留系指影响到</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文件规定的供货范围和关键的质量和性能，或限制了买方的权力，或保留、反对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的义务的规定，而纠正这些偏离将影响到其它提交实质性响应投标的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的公平竞争地位。</w:t>
      </w:r>
    </w:p>
    <w:p>
      <w:pPr>
        <w:tabs>
          <w:tab w:val="left" w:pos="8820"/>
        </w:tabs>
        <w:spacing w:line="360" w:lineRule="auto"/>
        <w:ind w:firstLine="480"/>
        <w:rPr>
          <w:rFonts w:hint="eastAsia" w:ascii="宋体" w:hAnsi="宋体" w:cs="宋体"/>
          <w:color w:val="auto"/>
          <w:sz w:val="24"/>
          <w:highlight w:val="none"/>
        </w:rPr>
      </w:pPr>
      <w:bookmarkStart w:id="31" w:name="_Toc177186441"/>
      <w:r>
        <w:rPr>
          <w:rFonts w:hint="eastAsia" w:ascii="宋体" w:hAnsi="宋体" w:cs="宋体"/>
          <w:color w:val="auto"/>
          <w:sz w:val="24"/>
          <w:highlight w:val="none"/>
        </w:rPr>
        <w:t>4.2.2.2 评标委员会判断</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的响应性仅基于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本身而不靠外部证据。评标委员会将拒绝被确定为非实质性响应的投标，</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不能通过修正或撤销不符之处而使其投标成为实质性响应的投标。</w:t>
      </w:r>
      <w:bookmarkEnd w:id="31"/>
    </w:p>
    <w:p>
      <w:pPr>
        <w:tabs>
          <w:tab w:val="left" w:pos="8820"/>
        </w:tabs>
        <w:spacing w:line="360" w:lineRule="auto"/>
        <w:ind w:firstLine="480"/>
        <w:rPr>
          <w:rFonts w:hint="eastAsia" w:ascii="宋体" w:hAnsi="宋体" w:cs="宋体"/>
          <w:color w:val="auto"/>
          <w:sz w:val="24"/>
          <w:highlight w:val="none"/>
        </w:rPr>
      </w:pPr>
      <w:bookmarkStart w:id="32" w:name="_Toc177186442"/>
      <w:r>
        <w:rPr>
          <w:rFonts w:hint="eastAsia" w:ascii="宋体" w:hAnsi="宋体" w:cs="宋体"/>
          <w:color w:val="auto"/>
          <w:sz w:val="24"/>
          <w:highlight w:val="none"/>
        </w:rPr>
        <w:t>凡有下列情况之一者，</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视为未实质性响应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文件要求，按废标处理，不得进入下一步的详细评审：</w:t>
      </w:r>
      <w:bookmarkEnd w:id="32"/>
    </w:p>
    <w:p>
      <w:pPr>
        <w:tabs>
          <w:tab w:val="left" w:pos="8820"/>
        </w:tabs>
        <w:spacing w:line="360" w:lineRule="auto"/>
        <w:ind w:firstLine="480"/>
        <w:rPr>
          <w:rFonts w:hint="eastAsia" w:ascii="宋体" w:hAnsi="宋体" w:cs="宋体"/>
          <w:color w:val="auto"/>
          <w:sz w:val="24"/>
          <w:highlight w:val="none"/>
        </w:rPr>
      </w:pPr>
      <w:bookmarkStart w:id="33" w:name="_Toc177186452"/>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）资格证明文件不全或不满足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文件要求加盖公章的，或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代表未按</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文件要求签字（或盖章），或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代表无有效的委托授权书；</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）投标有效期不足的；</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）投标内容严重偏离</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文件要求的，或不满足技术要求▲条款；</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）投标报价低于成本价且</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无法提供合理理由说明的；</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）投标报价超出最高投标限价的；</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）不符合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文件规定的其它实质性要求的；</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）存在法律、法规、规章规定的其它无效投标情形。</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4.2.2.3 评标委员会将允许修改投标中不构成重大偏离的微小的、非正规、不一致或不规则的地方，但这种允许不能损害或影响任何</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的相对排序。</w:t>
      </w:r>
      <w:bookmarkEnd w:id="33"/>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4.3  </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的澄清</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4.3.1 为了有助于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的审查.评价和比较，根据需要，可以要求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含义不明确的内容作必要的澄清或说明。有关澄清的要求与答复应采用书面形式，但不应寻求.提出或允许更改投标价格或</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的实质性内容。按照本评标细则第</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.3.2款的规定对评标委员会在评标时发现的错误所进行的核实修正除外。</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4.3.2  </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的投标报价的算术性错误修正</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4.3.2.1 评标委员会将对确定为实质上响应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的投标报价进行算术性错误修正，算术性错误修正的原则如下：</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（1）如果</w:t>
      </w:r>
      <w:r>
        <w:rPr>
          <w:rFonts w:hint="eastAsia" w:ascii="宋体" w:hAnsi="宋体" w:cs="宋体"/>
          <w:color w:val="auto"/>
          <w:sz w:val="24"/>
          <w:highlight w:val="none"/>
          <w:lang w:val="en-US" w:eastAsia="zh-CN"/>
        </w:rPr>
        <w:t>投标函</w:t>
      </w:r>
      <w:r>
        <w:rPr>
          <w:rFonts w:hint="eastAsia" w:ascii="宋体" w:hAnsi="宋体" w:cs="宋体"/>
          <w:color w:val="auto"/>
          <w:sz w:val="24"/>
          <w:highlight w:val="none"/>
        </w:rPr>
        <w:t>中的投标价格与投标</w:t>
      </w:r>
      <w:r>
        <w:rPr>
          <w:rFonts w:hint="eastAsia" w:ascii="宋体" w:hAnsi="宋体" w:cs="宋体"/>
          <w:color w:val="auto"/>
          <w:sz w:val="24"/>
          <w:highlight w:val="none"/>
          <w:lang w:val="en-US" w:eastAsia="zh-CN"/>
        </w:rPr>
        <w:t>报价明细</w:t>
      </w:r>
      <w:r>
        <w:rPr>
          <w:rFonts w:hint="eastAsia" w:ascii="宋体" w:hAnsi="宋体" w:cs="宋体"/>
          <w:color w:val="auto"/>
          <w:sz w:val="24"/>
          <w:highlight w:val="none"/>
        </w:rPr>
        <w:t>表上的投标价格有出入，以</w:t>
      </w:r>
      <w:r>
        <w:rPr>
          <w:rFonts w:hint="eastAsia" w:ascii="宋体" w:hAnsi="宋体" w:cs="宋体"/>
          <w:color w:val="auto"/>
          <w:sz w:val="24"/>
          <w:highlight w:val="none"/>
          <w:lang w:val="en-US" w:eastAsia="zh-CN"/>
        </w:rPr>
        <w:t>投标函</w:t>
      </w:r>
      <w:r>
        <w:rPr>
          <w:rFonts w:hint="eastAsia" w:ascii="宋体" w:hAnsi="宋体" w:cs="宋体"/>
          <w:color w:val="auto"/>
          <w:sz w:val="24"/>
          <w:highlight w:val="none"/>
        </w:rPr>
        <w:t>中的投标价格为准。</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4.3.2.2  按上述4.3.2.1款算术性错误修正的原则及方法调整</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的投标报价，经</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同意后，调整后的报价对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起约束作用。如果</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不接受改正后的投标报价则其投标将被拒绝，其</w:t>
      </w:r>
      <w:r>
        <w:rPr>
          <w:rFonts w:hint="eastAsia" w:ascii="宋体" w:hAnsi="宋体" w:cs="宋体"/>
          <w:color w:val="auto"/>
          <w:sz w:val="24"/>
          <w:highlight w:val="none"/>
          <w:lang w:eastAsia="zh-CN"/>
        </w:rPr>
        <w:t>响应保证金</w:t>
      </w:r>
      <w:r>
        <w:rPr>
          <w:rFonts w:hint="eastAsia" w:ascii="宋体" w:hAnsi="宋体" w:cs="宋体"/>
          <w:color w:val="auto"/>
          <w:sz w:val="24"/>
          <w:highlight w:val="none"/>
        </w:rPr>
        <w:t>将不予退还，并不影响评标工作。</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4.4  详细评审</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4.4.1 评标委员会将仅对通过初步评审和</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，进行详细评审。</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4.4.2 评委会将根据以下评标办法和标准，对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进行评审和比较：</w:t>
      </w:r>
    </w:p>
    <w:p>
      <w:pPr>
        <w:tabs>
          <w:tab w:val="left" w:pos="8820"/>
        </w:tabs>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（1）评标采用综合评分法，评标委员会将对通过资格及实质响应性审查的各合格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，按评标细则的规定和要求进行评审。计算出各合格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的综合得分，综合得分从高到低依次排序，排</w:t>
      </w:r>
      <w:r>
        <w:rPr>
          <w:rFonts w:hint="eastAsia" w:ascii="宋体" w:hAnsi="宋体" w:cs="宋体"/>
          <w:color w:val="auto"/>
          <w:sz w:val="24"/>
          <w:highlight w:val="none"/>
          <w:lang w:val="en-US" w:eastAsia="zh-CN"/>
        </w:rPr>
        <w:t>名第一</w:t>
      </w:r>
      <w:r>
        <w:rPr>
          <w:rFonts w:hint="eastAsia" w:ascii="宋体" w:hAnsi="宋体" w:cs="宋体"/>
          <w:color w:val="auto"/>
          <w:sz w:val="24"/>
          <w:highlight w:val="none"/>
        </w:rPr>
        <w:t>为中标候选人。若有相同得分，则其中投标总价低的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将被排序在前。</w:t>
      </w:r>
    </w:p>
    <w:p>
      <w:pPr>
        <w:pStyle w:val="2"/>
        <w:spacing w:before="120" w:beforeLines="50" w:after="120"/>
        <w:ind w:firstLine="482"/>
        <w:jc w:val="left"/>
        <w:rPr>
          <w:rFonts w:hint="eastAsia" w:ascii="宋体" w:hAnsi="宋体" w:cs="宋体"/>
          <w:bCs/>
          <w:color w:val="auto"/>
          <w:sz w:val="24"/>
          <w:highlight w:val="none"/>
        </w:rPr>
      </w:pPr>
      <w:r>
        <w:rPr>
          <w:rFonts w:hint="eastAsia" w:ascii="宋体" w:hAnsi="宋体" w:cs="宋体"/>
          <w:bCs/>
          <w:color w:val="auto"/>
          <w:sz w:val="24"/>
          <w:highlight w:val="none"/>
        </w:rPr>
        <w:t>5.评标细则</w:t>
      </w:r>
    </w:p>
    <w:p>
      <w:pPr>
        <w:tabs>
          <w:tab w:val="left" w:pos="8820"/>
        </w:tabs>
        <w:spacing w:line="360" w:lineRule="auto"/>
        <w:ind w:firstLine="480" w:firstLineChars="200"/>
        <w:rPr>
          <w:rFonts w:hint="eastAsia" w:ascii="宋体" w:hAnsi="宋体" w:cs="Arial"/>
          <w:b/>
          <w:bCs/>
          <w:color w:val="auto"/>
          <w:sz w:val="24"/>
          <w:highlight w:val="none"/>
        </w:rPr>
      </w:pPr>
      <w:r>
        <w:rPr>
          <w:rFonts w:hint="eastAsia" w:ascii="宋体" w:hAnsi="宋体" w:cs="Arial"/>
          <w:color w:val="auto"/>
          <w:sz w:val="24"/>
          <w:highlight w:val="none"/>
        </w:rPr>
        <w:t>评标委员会对通过初步评审的有效标的投标文件按如下“评分细则”进行详细评审：</w:t>
      </w:r>
      <w:r>
        <w:rPr>
          <w:rFonts w:hint="eastAsia" w:ascii="宋体" w:hAnsi="宋体" w:cs="Arial"/>
          <w:b/>
          <w:bCs/>
          <w:color w:val="auto"/>
          <w:sz w:val="24"/>
          <w:highlight w:val="none"/>
        </w:rPr>
        <w:t>各</w:t>
      </w:r>
      <w:r>
        <w:rPr>
          <w:rFonts w:hint="eastAsia" w:ascii="宋体" w:hAnsi="宋体" w:cs="Arial"/>
          <w:b/>
          <w:bCs/>
          <w:color w:val="auto"/>
          <w:sz w:val="24"/>
          <w:highlight w:val="none"/>
          <w:lang w:val="en-US" w:eastAsia="zh-CN"/>
        </w:rPr>
        <w:t>供应商</w:t>
      </w:r>
      <w:r>
        <w:rPr>
          <w:rFonts w:hint="eastAsia" w:ascii="宋体" w:hAnsi="宋体" w:cs="Arial"/>
          <w:b/>
          <w:bCs/>
          <w:color w:val="auto"/>
          <w:sz w:val="24"/>
          <w:highlight w:val="none"/>
        </w:rPr>
        <w:t>的综合得分=资信标得分+技术标得分+商务标得分，总分为100分，其中：资信标最高10分，技术标最高30分，商务标最高60分。评标内容及标准如下：</w:t>
      </w:r>
    </w:p>
    <w:p>
      <w:pPr>
        <w:adjustRightInd/>
        <w:snapToGrid/>
        <w:spacing w:line="360" w:lineRule="auto"/>
        <w:ind w:firstLine="482" w:firstLineChars="200"/>
        <w:rPr>
          <w:rFonts w:hint="default" w:ascii="宋体" w:hAnsi="宋体" w:eastAsia="宋体" w:cs="Arial"/>
          <w:b/>
          <w:bCs/>
          <w:color w:val="auto"/>
          <w:sz w:val="24"/>
          <w:szCs w:val="24"/>
          <w:highlight w:val="none"/>
        </w:rPr>
      </w:pPr>
      <w:r>
        <w:rPr>
          <w:rFonts w:ascii="宋体" w:hAnsi="宋体" w:cs="Arial"/>
          <w:b/>
          <w:bCs/>
          <w:color w:val="auto"/>
          <w:sz w:val="24"/>
          <w:highlight w:val="none"/>
        </w:rPr>
        <w:t>如</w:t>
      </w:r>
      <w:r>
        <w:rPr>
          <w:rFonts w:hint="eastAsia" w:ascii="宋体" w:hAnsi="宋体" w:cs="Arial"/>
          <w:b/>
          <w:bCs/>
          <w:color w:val="auto"/>
          <w:sz w:val="24"/>
          <w:highlight w:val="none"/>
          <w:lang w:eastAsia="zh-CN"/>
        </w:rPr>
        <w:t>供应商</w:t>
      </w:r>
      <w:r>
        <w:rPr>
          <w:rFonts w:ascii="宋体" w:hAnsi="宋体" w:cs="Arial"/>
          <w:b/>
          <w:bCs/>
          <w:color w:val="auto"/>
          <w:sz w:val="24"/>
          <w:highlight w:val="none"/>
        </w:rPr>
        <w:t>对</w:t>
      </w:r>
      <w:r>
        <w:rPr>
          <w:rFonts w:hint="eastAsia" w:ascii="宋体" w:hAnsi="宋体" w:cs="Arial"/>
          <w:b/>
          <w:bCs/>
          <w:color w:val="auto"/>
          <w:sz w:val="24"/>
          <w:highlight w:val="none"/>
          <w:lang w:eastAsia="zh-CN"/>
        </w:rPr>
        <w:t>采购</w:t>
      </w:r>
      <w:r>
        <w:rPr>
          <w:rFonts w:ascii="宋体" w:hAnsi="宋体" w:cs="Arial"/>
          <w:b/>
          <w:bCs/>
          <w:color w:val="auto"/>
          <w:sz w:val="24"/>
          <w:highlight w:val="none"/>
        </w:rPr>
        <w:t>文件中技术和资信部分选择性提供资料，可能存在被评标委认定为有围标串标嫌疑的风险。</w:t>
      </w:r>
      <w:r>
        <w:rPr>
          <w:rFonts w:hint="default" w:ascii="宋体" w:hAnsi="宋体" w:eastAsia="宋体" w:cs="Arial"/>
          <w:b/>
          <w:bCs/>
          <w:color w:val="auto"/>
          <w:sz w:val="24"/>
          <w:szCs w:val="24"/>
          <w:highlight w:val="none"/>
        </w:rPr>
        <w:t>评标内容及标准如下：</w:t>
      </w:r>
    </w:p>
    <w:tbl>
      <w:tblPr>
        <w:tblStyle w:val="44"/>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1134"/>
        <w:gridCol w:w="720"/>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因素</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分值</w:t>
            </w:r>
          </w:p>
        </w:tc>
        <w:tc>
          <w:tcPr>
            <w:tcW w:w="69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（10分）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Cs w:val="21"/>
                <w:highlight w:val="none"/>
              </w:rPr>
              <w:t>企业业绩</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rPr>
              <w:t>0-</w:t>
            </w:r>
            <w:r>
              <w:rPr>
                <w:rFonts w:hint="eastAsia" w:ascii="宋体" w:hAnsi="宋体" w:eastAsia="宋体" w:cs="宋体"/>
                <w:snapToGrid w:val="0"/>
                <w:color w:val="auto"/>
                <w:kern w:val="0"/>
                <w:szCs w:val="21"/>
                <w:highlight w:val="none"/>
                <w:lang w:val="en-US" w:eastAsia="zh-CN"/>
              </w:rPr>
              <w:t>8</w:t>
            </w:r>
          </w:p>
        </w:tc>
        <w:tc>
          <w:tcPr>
            <w:tcW w:w="698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105" w:leftChars="50" w:right="105" w:rightChars="50"/>
              <w:textAlignment w:val="auto"/>
              <w:rPr>
                <w:rFonts w:hint="eastAsia" w:ascii="宋体" w:hAnsi="宋体" w:eastAsia="宋体" w:cs="宋体"/>
                <w:b w:val="0"/>
                <w:bCs w:val="0"/>
                <w:caps w:val="0"/>
                <w:color w:val="auto"/>
                <w:sz w:val="21"/>
                <w:szCs w:val="21"/>
                <w:highlight w:val="none"/>
              </w:rPr>
            </w:pPr>
            <w:r>
              <w:rPr>
                <w:rFonts w:hint="eastAsia" w:ascii="宋体" w:hAnsi="宋体" w:eastAsia="宋体" w:cs="宋体"/>
                <w:b w:val="0"/>
                <w:bCs w:val="0"/>
                <w:color w:val="auto"/>
                <w:sz w:val="21"/>
                <w:szCs w:val="21"/>
                <w:highlight w:val="none"/>
              </w:rPr>
              <w:t>自</w:t>
            </w:r>
            <w:r>
              <w:rPr>
                <w:rFonts w:hint="eastAsia" w:ascii="宋体" w:hAnsi="宋体" w:eastAsia="宋体" w:cs="宋体"/>
                <w:b w:val="0"/>
                <w:bCs w:val="0"/>
                <w:snapToGrid w:val="0"/>
                <w:color w:val="auto"/>
                <w:kern w:val="0"/>
                <w:sz w:val="21"/>
                <w:szCs w:val="21"/>
                <w:highlight w:val="none"/>
                <w:lang w:eastAsia="zh-CN"/>
              </w:rPr>
              <w:t>20</w:t>
            </w:r>
            <w:r>
              <w:rPr>
                <w:rFonts w:hint="eastAsia" w:ascii="宋体" w:hAnsi="宋体" w:cs="宋体"/>
                <w:b w:val="0"/>
                <w:bCs w:val="0"/>
                <w:snapToGrid w:val="0"/>
                <w:color w:val="auto"/>
                <w:kern w:val="0"/>
                <w:sz w:val="21"/>
                <w:szCs w:val="21"/>
                <w:highlight w:val="none"/>
                <w:lang w:val="en-US" w:eastAsia="zh-CN"/>
              </w:rPr>
              <w:t>22</w:t>
            </w:r>
            <w:r>
              <w:rPr>
                <w:rFonts w:hint="eastAsia" w:ascii="宋体" w:hAnsi="宋体" w:eastAsia="宋体" w:cs="宋体"/>
                <w:b w:val="0"/>
                <w:bCs w:val="0"/>
                <w:snapToGrid w:val="0"/>
                <w:color w:val="auto"/>
                <w:kern w:val="0"/>
                <w:sz w:val="21"/>
                <w:szCs w:val="21"/>
                <w:highlight w:val="none"/>
                <w:lang w:eastAsia="zh-CN"/>
              </w:rPr>
              <w:t>年1月1日</w:t>
            </w:r>
            <w:r>
              <w:rPr>
                <w:rFonts w:hint="eastAsia" w:ascii="宋体" w:hAnsi="宋体" w:eastAsia="宋体" w:cs="宋体"/>
                <w:b w:val="0"/>
                <w:bCs w:val="0"/>
                <w:color w:val="auto"/>
                <w:sz w:val="21"/>
                <w:szCs w:val="21"/>
                <w:highlight w:val="none"/>
              </w:rPr>
              <w:t>以来（以</w:t>
            </w:r>
            <w:r>
              <w:rPr>
                <w:rFonts w:hint="eastAsia" w:ascii="宋体" w:hAnsi="宋体" w:eastAsia="宋体" w:cs="宋体"/>
                <w:b w:val="0"/>
                <w:bCs w:val="0"/>
                <w:color w:val="auto"/>
                <w:sz w:val="21"/>
                <w:szCs w:val="21"/>
                <w:highlight w:val="none"/>
                <w:lang w:eastAsia="zh-CN"/>
              </w:rPr>
              <w:t>合同或协议</w:t>
            </w:r>
            <w:r>
              <w:rPr>
                <w:rFonts w:hint="eastAsia" w:ascii="宋体" w:hAnsi="宋体" w:eastAsia="宋体" w:cs="宋体"/>
                <w:b w:val="0"/>
                <w:bCs w:val="0"/>
                <w:color w:val="auto"/>
                <w:sz w:val="21"/>
                <w:szCs w:val="21"/>
                <w:highlight w:val="none"/>
              </w:rPr>
              <w:t>签订日期为准）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snapToGrid w:val="0"/>
                <w:color w:val="auto"/>
                <w:kern w:val="0"/>
                <w:sz w:val="21"/>
                <w:szCs w:val="21"/>
                <w:highlight w:val="none"/>
              </w:rPr>
              <w:t>承</w:t>
            </w:r>
            <w:r>
              <w:rPr>
                <w:rFonts w:hint="eastAsia" w:ascii="宋体" w:hAnsi="宋体" w:eastAsia="宋体" w:cs="宋体"/>
                <w:b w:val="0"/>
                <w:bCs w:val="0"/>
                <w:snapToGrid w:val="0"/>
                <w:color w:val="auto"/>
                <w:kern w:val="0"/>
                <w:sz w:val="21"/>
                <w:szCs w:val="21"/>
                <w:highlight w:val="none"/>
                <w:lang w:val="en-US" w:eastAsia="zh-CN"/>
              </w:rPr>
              <w:t>接</w:t>
            </w:r>
            <w:r>
              <w:rPr>
                <w:rFonts w:hint="eastAsia" w:ascii="宋体" w:hAnsi="宋体" w:eastAsia="宋体" w:cs="宋体"/>
                <w:b w:val="0"/>
                <w:bCs w:val="0"/>
                <w:snapToGrid w:val="0"/>
                <w:color w:val="auto"/>
                <w:kern w:val="0"/>
                <w:sz w:val="21"/>
                <w:szCs w:val="21"/>
                <w:highlight w:val="none"/>
              </w:rPr>
              <w:t>过</w:t>
            </w:r>
            <w:r>
              <w:rPr>
                <w:rFonts w:hint="eastAsia" w:ascii="宋体" w:hAnsi="宋体" w:eastAsia="宋体" w:cs="宋体"/>
                <w:b w:val="0"/>
                <w:bCs w:val="0"/>
                <w:snapToGrid w:val="0"/>
                <w:color w:val="auto"/>
                <w:kern w:val="0"/>
                <w:sz w:val="21"/>
                <w:szCs w:val="21"/>
                <w:highlight w:val="none"/>
                <w:lang w:val="en-US" w:eastAsia="zh-CN"/>
              </w:rPr>
              <w:t>采购</w:t>
            </w:r>
            <w:r>
              <w:rPr>
                <w:rFonts w:hint="eastAsia" w:ascii="宋体" w:hAnsi="宋体" w:eastAsia="宋体" w:cs="宋体"/>
                <w:color w:val="auto"/>
                <w:szCs w:val="21"/>
                <w:highlight w:val="none"/>
              </w:rPr>
              <w:t>代理服务的业绩</w:t>
            </w:r>
            <w:r>
              <w:rPr>
                <w:rFonts w:hint="eastAsia" w:ascii="宋体" w:hAnsi="宋体" w:eastAsia="宋体" w:cs="宋体"/>
                <w:b w:val="0"/>
                <w:bCs w:val="0"/>
                <w:snapToGrid w:val="0"/>
                <w:color w:val="auto"/>
                <w:kern w:val="0"/>
                <w:sz w:val="21"/>
                <w:szCs w:val="21"/>
                <w:highlight w:val="none"/>
              </w:rPr>
              <w:t>，</w:t>
            </w:r>
            <w:r>
              <w:rPr>
                <w:rFonts w:hint="eastAsia" w:ascii="宋体" w:hAnsi="宋体" w:eastAsia="宋体" w:cs="宋体"/>
                <w:b w:val="0"/>
                <w:bCs w:val="0"/>
                <w:color w:val="auto"/>
                <w:sz w:val="21"/>
                <w:szCs w:val="21"/>
                <w:highlight w:val="none"/>
              </w:rPr>
              <w:t>每有一个得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本项</w:t>
            </w:r>
            <w:r>
              <w:rPr>
                <w:rFonts w:hint="eastAsia" w:ascii="宋体" w:hAnsi="宋体" w:eastAsia="宋体" w:cs="宋体"/>
                <w:b w:val="0"/>
                <w:bCs w:val="0"/>
                <w:color w:val="auto"/>
                <w:sz w:val="21"/>
                <w:szCs w:val="21"/>
                <w:highlight w:val="none"/>
              </w:rPr>
              <w:t>最多得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bCs/>
                <w:snapToGrid w:val="0"/>
                <w:color w:val="auto"/>
                <w:sz w:val="21"/>
                <w:szCs w:val="21"/>
                <w:highlight w:val="none"/>
              </w:rPr>
              <w:t>证明材料：提供</w:t>
            </w:r>
            <w:r>
              <w:rPr>
                <w:rFonts w:hint="eastAsia" w:ascii="宋体" w:hAnsi="宋体" w:eastAsia="宋体" w:cs="宋体"/>
                <w:b/>
                <w:bCs/>
                <w:snapToGrid w:val="0"/>
                <w:color w:val="auto"/>
                <w:sz w:val="21"/>
                <w:szCs w:val="21"/>
                <w:highlight w:val="none"/>
                <w:lang w:eastAsia="zh-CN"/>
              </w:rPr>
              <w:t>合同或协议</w:t>
            </w:r>
            <w:r>
              <w:rPr>
                <w:rFonts w:hint="eastAsia" w:ascii="宋体" w:hAnsi="宋体" w:eastAsia="宋体" w:cs="宋体"/>
                <w:b/>
                <w:bCs/>
                <w:snapToGrid w:val="0"/>
                <w:color w:val="auto"/>
                <w:sz w:val="21"/>
                <w:szCs w:val="21"/>
                <w:highlight w:val="none"/>
                <w:lang w:val="en-US" w:eastAsia="zh-CN"/>
              </w:rPr>
              <w:t>的扫描件</w:t>
            </w:r>
            <w:r>
              <w:rPr>
                <w:rFonts w:hint="eastAsia" w:ascii="宋体" w:hAnsi="宋体" w:eastAsia="宋体" w:cs="宋体"/>
                <w:b/>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6"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lang w:val="en-US" w:eastAsia="zh-CN"/>
              </w:rPr>
              <w:t>团队配备</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rPr>
              <w:t>0-</w:t>
            </w:r>
            <w:r>
              <w:rPr>
                <w:rFonts w:hint="eastAsia" w:ascii="宋体" w:hAnsi="宋体" w:eastAsia="宋体" w:cs="宋体"/>
                <w:snapToGrid w:val="0"/>
                <w:color w:val="auto"/>
                <w:kern w:val="0"/>
                <w:szCs w:val="21"/>
                <w:highlight w:val="none"/>
                <w:lang w:val="en-US" w:eastAsia="zh-CN"/>
              </w:rPr>
              <w:t>2</w:t>
            </w:r>
          </w:p>
        </w:tc>
        <w:tc>
          <w:tcPr>
            <w:tcW w:w="69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拟派团队</w:t>
            </w:r>
            <w:r>
              <w:rPr>
                <w:rFonts w:hint="eastAsia" w:ascii="宋体" w:hAnsi="宋体" w:eastAsia="宋体" w:cs="宋体"/>
                <w:snapToGrid w:val="0"/>
                <w:color w:val="auto"/>
                <w:kern w:val="0"/>
                <w:szCs w:val="21"/>
                <w:highlight w:val="none"/>
              </w:rPr>
              <w:t>配备</w:t>
            </w:r>
            <w:r>
              <w:rPr>
                <w:rFonts w:hint="eastAsia" w:ascii="宋体" w:hAnsi="宋体" w:eastAsia="宋体" w:cs="宋体"/>
                <w:snapToGrid w:val="0"/>
                <w:color w:val="auto"/>
                <w:kern w:val="0"/>
                <w:szCs w:val="21"/>
                <w:highlight w:val="none"/>
                <w:lang w:val="en-US" w:eastAsia="zh-CN"/>
              </w:rPr>
              <w:t>4名及以上代理服务人员的得2分，每少一人扣0.5分，扣完为止。本项最多得2分。</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lef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bCs/>
                <w:snapToGrid w:val="0"/>
                <w:color w:val="auto"/>
                <w:sz w:val="21"/>
                <w:szCs w:val="21"/>
                <w:highlight w:val="none"/>
              </w:rPr>
              <w:t>证明材料：</w:t>
            </w:r>
            <w:r>
              <w:rPr>
                <w:rFonts w:hint="eastAsia" w:ascii="宋体" w:hAnsi="宋体" w:eastAsia="宋体" w:cs="宋体"/>
                <w:b/>
                <w:bCs/>
                <w:snapToGrid w:val="0"/>
                <w:color w:val="auto"/>
                <w:kern w:val="0"/>
                <w:sz w:val="21"/>
                <w:szCs w:val="21"/>
                <w:highlight w:val="none"/>
                <w:lang w:val="en-US" w:eastAsia="zh-CN" w:bidi="ar"/>
              </w:rPr>
              <w:t>提供①投标截止月上溯3个月（含投标截止日当月，共4个月）中任意连续2个月的社保缴纳证明（加盖投标人所属社保机构印章）、②与投标人签订的劳动合同复制件。①②缺一不可，否则不予认可。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（30分）</w:t>
            </w:r>
          </w:p>
        </w:tc>
        <w:tc>
          <w:tcPr>
            <w:tcW w:w="1134" w:type="dxa"/>
            <w:noWrap w:val="0"/>
            <w:vAlign w:val="center"/>
          </w:tcPr>
          <w:p>
            <w:pPr>
              <w:widowControl/>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服务</w:t>
            </w:r>
          </w:p>
          <w:p>
            <w:pPr>
              <w:widowControl/>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大纲</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highlight w:val="none"/>
                <w:lang w:eastAsia="zh-CN"/>
              </w:rPr>
            </w:pPr>
            <w:r>
              <w:rPr>
                <w:rFonts w:hint="eastAsia" w:eastAsia="宋体" w:cs="宋体"/>
                <w:color w:val="auto"/>
                <w:sz w:val="21"/>
                <w:highlight w:val="none"/>
                <w:lang w:val="en-US" w:eastAsia="zh-CN"/>
              </w:rPr>
              <w:t>3-5</w:t>
            </w:r>
          </w:p>
        </w:tc>
        <w:tc>
          <w:tcPr>
            <w:tcW w:w="6987"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采购代理服务大纲内容的全面性、合理性、科学性。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widowControl/>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服务方案</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highlight w:val="none"/>
                <w:lang w:eastAsia="zh-CN"/>
              </w:rPr>
            </w:pPr>
            <w:r>
              <w:rPr>
                <w:rFonts w:hint="eastAsia" w:eastAsia="宋体" w:cs="宋体"/>
                <w:color w:val="auto"/>
                <w:sz w:val="21"/>
                <w:highlight w:val="none"/>
                <w:lang w:val="en-US" w:eastAsia="zh-CN"/>
              </w:rPr>
              <w:t>3-5</w:t>
            </w:r>
          </w:p>
        </w:tc>
        <w:tc>
          <w:tcPr>
            <w:tcW w:w="6987"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服务方案的可行性、科学性。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进度保证措</w:t>
            </w:r>
          </w:p>
          <w:p>
            <w:pPr>
              <w:widowControl/>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eastAsia="宋体" w:cs="宋体"/>
                <w:color w:val="auto"/>
                <w:sz w:val="21"/>
                <w:highlight w:val="none"/>
                <w:lang w:val="en-US" w:eastAsia="zh-CN"/>
              </w:rPr>
            </w:pPr>
            <w:r>
              <w:rPr>
                <w:rFonts w:hint="eastAsia" w:eastAsia="宋体" w:cs="宋体"/>
                <w:color w:val="auto"/>
                <w:sz w:val="21"/>
                <w:highlight w:val="none"/>
                <w:lang w:val="en-US" w:eastAsia="zh-CN"/>
              </w:rPr>
              <w:t>2-3</w:t>
            </w:r>
          </w:p>
        </w:tc>
        <w:tc>
          <w:tcPr>
            <w:tcW w:w="6987" w:type="dxa"/>
            <w:noWrap w:val="0"/>
            <w:vAlign w:val="center"/>
          </w:tcPr>
          <w:p>
            <w:pPr>
              <w:widowControl/>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color w:val="auto"/>
                <w:kern w:val="0"/>
                <w:szCs w:val="21"/>
                <w:highlight w:val="none"/>
                <w:lang w:bidi="ar"/>
              </w:rPr>
              <w:t>代理工作进度（工期）科学合理性及保证措施</w:t>
            </w:r>
            <w:r>
              <w:rPr>
                <w:rFonts w:hint="eastAsia" w:ascii="宋体" w:hAnsi="宋体" w:eastAsia="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组织协调能</w:t>
            </w:r>
          </w:p>
          <w:p>
            <w:pPr>
              <w:widowControl/>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力</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highlight w:val="none"/>
              </w:rPr>
            </w:pPr>
            <w:r>
              <w:rPr>
                <w:rFonts w:hint="eastAsia" w:eastAsia="宋体" w:cs="宋体"/>
                <w:color w:val="auto"/>
                <w:sz w:val="21"/>
                <w:highlight w:val="none"/>
                <w:lang w:val="en-US" w:eastAsia="zh-CN"/>
              </w:rPr>
              <w:t>2-3</w:t>
            </w:r>
          </w:p>
        </w:tc>
        <w:tc>
          <w:tcPr>
            <w:tcW w:w="6987" w:type="dxa"/>
            <w:noWrap w:val="0"/>
            <w:vAlign w:val="center"/>
          </w:tcPr>
          <w:p>
            <w:pPr>
              <w:widowControl/>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采购代理过程中与各方的沟通措施。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廉政建设及</w:t>
            </w:r>
          </w:p>
          <w:p>
            <w:pPr>
              <w:widowControl/>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保密制度</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highlight w:val="none"/>
                <w:lang w:eastAsia="zh-CN"/>
              </w:rPr>
            </w:pPr>
            <w:r>
              <w:rPr>
                <w:rFonts w:hint="eastAsia" w:eastAsia="宋体" w:cs="宋体"/>
                <w:color w:val="auto"/>
                <w:sz w:val="21"/>
                <w:highlight w:val="none"/>
                <w:lang w:val="en-US" w:eastAsia="zh-CN"/>
              </w:rPr>
              <w:t>1-2</w:t>
            </w:r>
          </w:p>
        </w:tc>
        <w:tc>
          <w:tcPr>
            <w:tcW w:w="6987" w:type="dxa"/>
            <w:noWrap w:val="0"/>
            <w:vAlign w:val="center"/>
          </w:tcPr>
          <w:p>
            <w:pPr>
              <w:widowControl/>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 w:val="21"/>
                <w:szCs w:val="21"/>
                <w:highlight w:val="none"/>
                <w:lang w:val="en-US" w:eastAsia="zh-CN" w:bidi="ar"/>
              </w:rPr>
              <w:t>确保采购代理从业人员廉政建设及保密制度的保证措施。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组织机构和</w:t>
            </w:r>
          </w:p>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人员配备情</w:t>
            </w:r>
          </w:p>
          <w:p>
            <w:pPr>
              <w:widowControl/>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况</w:t>
            </w:r>
          </w:p>
        </w:tc>
        <w:tc>
          <w:tcPr>
            <w:tcW w:w="720" w:type="dxa"/>
            <w:noWrap w:val="0"/>
            <w:vAlign w:val="center"/>
          </w:tcPr>
          <w:p>
            <w:pPr>
              <w:pStyle w:val="133"/>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 w:val="21"/>
                <w:highlight w:val="none"/>
              </w:rPr>
            </w:pPr>
            <w:r>
              <w:rPr>
                <w:rFonts w:hint="eastAsia" w:eastAsia="宋体" w:cs="宋体"/>
                <w:color w:val="auto"/>
                <w:sz w:val="21"/>
                <w:highlight w:val="none"/>
                <w:lang w:val="en-US" w:eastAsia="zh-CN"/>
              </w:rPr>
              <w:t>3-4</w:t>
            </w:r>
          </w:p>
        </w:tc>
        <w:tc>
          <w:tcPr>
            <w:tcW w:w="69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针对采购代理力量的投入及保证措施（人力、物力等资源）。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内部质量控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制管理规定</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6987" w:type="dxa"/>
            <w:noWrap w:val="0"/>
            <w:vAlign w:val="center"/>
          </w:tcPr>
          <w:p>
            <w:pPr>
              <w:keepNext w:val="0"/>
              <w:keepLines w:val="0"/>
              <w:widowControl/>
              <w:suppressLineNumbers w:val="0"/>
              <w:jc w:val="left"/>
              <w:rPr>
                <w:rFonts w:hint="eastAsia" w:ascii="宋体" w:hAnsi="宋体" w:eastAsia="宋体" w:cs="宋体"/>
                <w:color w:val="auto"/>
                <w:w w:val="100"/>
                <w:kern w:val="0"/>
                <w:szCs w:val="21"/>
                <w:highlight w:val="none"/>
                <w:lang w:bidi="ar"/>
              </w:rPr>
            </w:pPr>
            <w:r>
              <w:rPr>
                <w:rFonts w:hint="eastAsia" w:ascii="宋体" w:hAnsi="宋体" w:eastAsia="宋体" w:cs="宋体"/>
                <w:color w:val="auto"/>
                <w:kern w:val="0"/>
                <w:sz w:val="21"/>
                <w:szCs w:val="21"/>
                <w:highlight w:val="none"/>
                <w:lang w:val="en-US" w:eastAsia="zh-CN" w:bidi="ar"/>
              </w:rPr>
              <w:t>内部质量控制管理规定：编制、审核造价咨询的质量控制措施、质控重点与方法、质控体系、技术复核与管理</w:t>
            </w:r>
            <w:r>
              <w:rPr>
                <w:rFonts w:hint="eastAsia" w:ascii="宋体" w:hAnsi="宋体" w:cs="宋体"/>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成果文件编</w:t>
            </w:r>
          </w:p>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制深度和完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整度</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69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成果文件编制深度和完整度描述：成果文件编制深度和完整度能更好体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color w:val="auto"/>
                <w:w w:val="100"/>
                <w:kern w:val="0"/>
                <w:szCs w:val="21"/>
                <w:highlight w:val="none"/>
                <w:lang w:eastAsia="zh-CN" w:bidi="ar"/>
              </w:rPr>
            </w:pPr>
            <w:r>
              <w:rPr>
                <w:rFonts w:hint="eastAsia" w:ascii="宋体" w:hAnsi="宋体" w:eastAsia="宋体" w:cs="宋体"/>
                <w:color w:val="auto"/>
                <w:kern w:val="0"/>
                <w:szCs w:val="21"/>
                <w:highlight w:val="none"/>
                <w:lang w:bidi="ar"/>
              </w:rPr>
              <w:t>现审核质量、审核成果的积累和运用方式等</w:t>
            </w:r>
            <w:r>
              <w:rPr>
                <w:rFonts w:hint="eastAsia" w:ascii="宋体" w:hAnsi="宋体" w:cs="宋体"/>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p>
        </w:tc>
        <w:tc>
          <w:tcPr>
            <w:tcW w:w="1134" w:type="dxa"/>
            <w:noWrap w:val="0"/>
            <w:vAlign w:val="center"/>
          </w:tcPr>
          <w:p>
            <w:pPr>
              <w:keepNext w:val="0"/>
              <w:keepLines w:val="0"/>
              <w:widowControl/>
              <w:suppressLineNumbers w:val="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采购文件的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1"/>
                <w:highlight w:val="none"/>
                <w:lang w:val="en-US" w:eastAsia="zh-CN" w:bidi="ar"/>
              </w:rPr>
              <w:t>编制</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w w:val="80"/>
                <w:kern w:val="24"/>
                <w:szCs w:val="21"/>
                <w:highlight w:val="none"/>
              </w:rPr>
            </w:pPr>
            <w:r>
              <w:rPr>
                <w:rFonts w:hint="eastAsia" w:ascii="宋体" w:hAnsi="宋体" w:eastAsia="宋体" w:cs="宋体"/>
                <w:color w:val="auto"/>
                <w:szCs w:val="21"/>
                <w:highlight w:val="none"/>
                <w:lang w:val="en-US" w:eastAsia="zh-CN"/>
              </w:rPr>
              <w:t>1-2</w:t>
            </w:r>
          </w:p>
        </w:tc>
        <w:tc>
          <w:tcPr>
            <w:tcW w:w="69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color w:val="auto"/>
                <w:w w:val="100"/>
                <w:kern w:val="0"/>
                <w:szCs w:val="21"/>
                <w:highlight w:val="none"/>
                <w:lang w:bidi="ar"/>
              </w:rPr>
            </w:pPr>
            <w:r>
              <w:rPr>
                <w:rFonts w:hint="eastAsia" w:ascii="宋体" w:hAnsi="宋体" w:eastAsia="宋体" w:cs="宋体"/>
                <w:color w:val="auto"/>
                <w:kern w:val="0"/>
                <w:sz w:val="21"/>
                <w:szCs w:val="21"/>
                <w:highlight w:val="none"/>
                <w:lang w:val="en-US" w:eastAsia="zh-CN" w:bidi="ar"/>
              </w:rPr>
              <w:t>采购文件的编制的规范性、完整性及装订质量。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（60分）</w:t>
            </w:r>
          </w:p>
        </w:tc>
        <w:tc>
          <w:tcPr>
            <w:tcW w:w="18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6987" w:type="dxa"/>
            <w:noWrap w:val="0"/>
            <w:vAlign w:val="center"/>
          </w:tcPr>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（1）评标价：通过资格审查和初步评审的有效投标报价。</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（2）评标基准价：</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所有有效投标人投标价的算术平均值（有效</w:t>
            </w:r>
            <w:r>
              <w:rPr>
                <w:rFonts w:hint="eastAsia" w:hAnsi="宋体" w:cs="宋体"/>
                <w:color w:val="auto"/>
                <w:highlight w:val="none"/>
                <w:lang w:val="en-US" w:eastAsia="zh-CN"/>
              </w:rPr>
              <w:t>供应商</w:t>
            </w:r>
            <w:r>
              <w:rPr>
                <w:rFonts w:hint="eastAsia" w:ascii="宋体" w:hAnsi="宋体" w:eastAsia="宋体" w:cs="宋体"/>
                <w:color w:val="auto"/>
                <w:highlight w:val="none"/>
              </w:rPr>
              <w:t>的投标价少于5个（不含），全部进入计算；有效</w:t>
            </w:r>
            <w:r>
              <w:rPr>
                <w:rFonts w:hint="eastAsia" w:hAnsi="宋体" w:cs="宋体"/>
                <w:color w:val="auto"/>
                <w:highlight w:val="none"/>
                <w:lang w:val="en-US" w:eastAsia="zh-CN"/>
              </w:rPr>
              <w:t>供应商</w:t>
            </w:r>
            <w:r>
              <w:rPr>
                <w:rFonts w:hint="eastAsia" w:ascii="宋体" w:hAnsi="宋体" w:eastAsia="宋体" w:cs="宋体"/>
                <w:color w:val="auto"/>
                <w:highlight w:val="none"/>
              </w:rPr>
              <w:t>的投标价在5个（含）至7个（含）时，去除一个最高价和一个最低价；有效</w:t>
            </w:r>
            <w:r>
              <w:rPr>
                <w:rFonts w:hint="eastAsia" w:hAnsi="宋体" w:cs="宋体"/>
                <w:color w:val="auto"/>
                <w:highlight w:val="none"/>
                <w:lang w:val="en-US" w:eastAsia="zh-CN"/>
              </w:rPr>
              <w:t>供应商</w:t>
            </w:r>
            <w:r>
              <w:rPr>
                <w:rFonts w:hint="eastAsia" w:ascii="宋体" w:hAnsi="宋体" w:eastAsia="宋体" w:cs="宋体"/>
                <w:color w:val="auto"/>
                <w:highlight w:val="none"/>
              </w:rPr>
              <w:t>的投标价在8个（含）及以上时，去除一个最高、次高价和一个最低、次低价）作为评标基准价。</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算术平均值低于风险控制价，则以风险控制价作为评标基准价</w:t>
            </w:r>
            <w:r>
              <w:rPr>
                <w:rFonts w:hint="eastAsia" w:hAnsi="宋体" w:cs="宋体"/>
                <w:b/>
                <w:bCs/>
                <w:color w:val="auto"/>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（3）报价得分计算方法如下：</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a. 当有效</w:t>
            </w:r>
            <w:r>
              <w:rPr>
                <w:rFonts w:hint="eastAsia" w:hAnsi="宋体" w:cs="宋体"/>
                <w:color w:val="auto"/>
                <w:highlight w:val="none"/>
                <w:lang w:val="en-US" w:eastAsia="zh-CN"/>
              </w:rPr>
              <w:t>供应商</w:t>
            </w:r>
            <w:r>
              <w:rPr>
                <w:rFonts w:hint="eastAsia" w:ascii="宋体" w:hAnsi="宋体" w:eastAsia="宋体" w:cs="宋体"/>
                <w:color w:val="auto"/>
                <w:highlight w:val="none"/>
              </w:rPr>
              <w:t>的投标价高于或等于评标基准价时，计算方式为：</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投标报价得分=</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-（有效投标价-评标基准价）*</w:t>
            </w:r>
            <w:r>
              <w:rPr>
                <w:rFonts w:hint="eastAsia" w:hAnsi="宋体" w:cs="宋体"/>
                <w:color w:val="auto"/>
                <w:highlight w:val="none"/>
                <w:lang w:val="en-US" w:eastAsia="zh-CN"/>
              </w:rPr>
              <w:t>0.8</w:t>
            </w:r>
            <w:r>
              <w:rPr>
                <w:rFonts w:hint="eastAsia" w:ascii="宋体" w:hAnsi="宋体" w:eastAsia="宋体" w:cs="宋体"/>
                <w:color w:val="auto"/>
                <w:highlight w:val="none"/>
              </w:rPr>
              <w:t>*100；</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b. 当有效</w:t>
            </w:r>
            <w:r>
              <w:rPr>
                <w:rFonts w:hint="eastAsia" w:hAnsi="宋体" w:cs="宋体"/>
                <w:color w:val="auto"/>
                <w:highlight w:val="none"/>
                <w:lang w:val="en-US" w:eastAsia="zh-CN"/>
              </w:rPr>
              <w:t>供应商</w:t>
            </w:r>
            <w:r>
              <w:rPr>
                <w:rFonts w:hint="eastAsia" w:ascii="宋体" w:hAnsi="宋体" w:eastAsia="宋体" w:cs="宋体"/>
                <w:color w:val="auto"/>
                <w:highlight w:val="none"/>
              </w:rPr>
              <w:t>的投标价低于评标基准价时，计算方式为：</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投标报价得分=</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-（评标基准价-有效投标价）*0.</w:t>
            </w:r>
            <w:r>
              <w:rPr>
                <w:rFonts w:hint="eastAsia" w:hAnsi="宋体" w:cs="宋体"/>
                <w:color w:val="auto"/>
                <w:highlight w:val="none"/>
                <w:lang w:val="en-US" w:eastAsia="zh-CN"/>
              </w:rPr>
              <w:t>4</w:t>
            </w:r>
            <w:r>
              <w:rPr>
                <w:rFonts w:hint="eastAsia" w:ascii="宋体" w:hAnsi="宋体" w:eastAsia="宋体" w:cs="宋体"/>
                <w:color w:val="auto"/>
                <w:highlight w:val="none"/>
              </w:rPr>
              <w:t>*100。</w:t>
            </w:r>
          </w:p>
          <w:p>
            <w:pPr>
              <w:pStyle w:val="24"/>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最低得 0 分</w:t>
            </w:r>
            <w:r>
              <w:rPr>
                <w:rFonts w:hint="eastAsia" w:hAnsi="宋体" w:cs="宋体"/>
                <w:color w:val="auto"/>
                <w:highlight w:val="none"/>
                <w:lang w:eastAsia="zh-CN"/>
              </w:rPr>
              <w:t>，</w:t>
            </w:r>
            <w:r>
              <w:rPr>
                <w:rFonts w:hint="eastAsia" w:ascii="宋体" w:hAnsi="宋体" w:eastAsia="宋体" w:cs="宋体"/>
                <w:color w:val="auto"/>
                <w:highlight w:val="none"/>
              </w:rPr>
              <w:t>评分保留二位小数，第三位四舍五入。</w:t>
            </w:r>
          </w:p>
        </w:tc>
      </w:tr>
    </w:tbl>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auto"/>
          <w:highlight w:val="none"/>
        </w:rPr>
      </w:pPr>
    </w:p>
    <w:p>
      <w:pPr>
        <w:tabs>
          <w:tab w:val="left" w:pos="8820"/>
        </w:tabs>
        <w:spacing w:line="360" w:lineRule="auto"/>
        <w:ind w:firstLine="480"/>
        <w:rPr>
          <w:rFonts w:hint="eastAsia" w:cs="Arial"/>
          <w:color w:val="auto"/>
          <w:sz w:val="24"/>
          <w:highlight w:val="none"/>
        </w:rPr>
      </w:pPr>
      <w:r>
        <w:rPr>
          <w:rFonts w:hint="eastAsia" w:cs="Arial"/>
          <w:color w:val="auto"/>
          <w:sz w:val="24"/>
          <w:highlight w:val="none"/>
        </w:rPr>
        <w:t>注：①上述证明材料中的复制件须加盖</w:t>
      </w:r>
      <w:r>
        <w:rPr>
          <w:rFonts w:hint="eastAsia" w:cs="Arial"/>
          <w:color w:val="auto"/>
          <w:sz w:val="24"/>
          <w:highlight w:val="none"/>
          <w:lang w:eastAsia="zh-CN"/>
        </w:rPr>
        <w:t>供应商</w:t>
      </w:r>
      <w:r>
        <w:rPr>
          <w:rFonts w:hint="eastAsia" w:cs="Arial"/>
          <w:color w:val="auto"/>
          <w:sz w:val="24"/>
          <w:highlight w:val="none"/>
        </w:rPr>
        <w:t>公章，否则不予得分；</w:t>
      </w:r>
    </w:p>
    <w:p>
      <w:pPr>
        <w:tabs>
          <w:tab w:val="left" w:pos="8820"/>
        </w:tabs>
        <w:spacing w:line="360" w:lineRule="auto"/>
        <w:ind w:firstLine="480"/>
        <w:rPr>
          <w:rFonts w:hint="eastAsia" w:cs="Arial"/>
          <w:color w:val="auto"/>
          <w:sz w:val="24"/>
          <w:highlight w:val="none"/>
        </w:rPr>
      </w:pPr>
      <w:r>
        <w:rPr>
          <w:rFonts w:hint="eastAsia" w:cs="Arial"/>
          <w:color w:val="auto"/>
          <w:sz w:val="24"/>
          <w:highlight w:val="none"/>
          <w:lang w:val="en-US" w:eastAsia="zh-CN"/>
        </w:rPr>
        <w:t>②</w:t>
      </w:r>
      <w:r>
        <w:rPr>
          <w:rFonts w:hint="eastAsia" w:cs="Arial"/>
          <w:color w:val="auto"/>
          <w:sz w:val="24"/>
          <w:highlight w:val="none"/>
        </w:rPr>
        <w:t>技术标评分由评标成员每人一份评分表，在分值范围内各自独立打分并签名。</w:t>
      </w:r>
      <w:r>
        <w:rPr>
          <w:rFonts w:hint="eastAsia" w:cs="Arial"/>
          <w:color w:val="auto"/>
          <w:sz w:val="24"/>
          <w:highlight w:val="none"/>
          <w:lang w:eastAsia="zh-CN"/>
        </w:rPr>
        <w:t>供应商</w:t>
      </w:r>
      <w:r>
        <w:rPr>
          <w:rFonts w:hint="eastAsia" w:cs="Arial"/>
          <w:color w:val="auto"/>
          <w:sz w:val="24"/>
          <w:highlight w:val="none"/>
        </w:rPr>
        <w:t>技术得分为评标委员会各成员的有效评分的算术平均值（保留二位小数，第三位四舍五入）；</w:t>
      </w:r>
    </w:p>
    <w:p>
      <w:pPr>
        <w:tabs>
          <w:tab w:val="left" w:pos="8820"/>
        </w:tabs>
        <w:spacing w:line="360" w:lineRule="auto"/>
        <w:ind w:firstLine="480"/>
        <w:rPr>
          <w:rFonts w:hint="eastAsia" w:cs="Arial"/>
          <w:color w:val="auto"/>
          <w:sz w:val="24"/>
          <w:highlight w:val="none"/>
        </w:rPr>
      </w:pPr>
      <w:r>
        <w:rPr>
          <w:rFonts w:hint="eastAsia" w:cs="Arial"/>
          <w:color w:val="auto"/>
          <w:sz w:val="24"/>
          <w:highlight w:val="none"/>
          <w:lang w:val="en-US" w:eastAsia="zh-CN"/>
        </w:rPr>
        <w:t>③</w:t>
      </w:r>
      <w:r>
        <w:rPr>
          <w:rFonts w:hint="eastAsia" w:cs="Arial"/>
          <w:color w:val="auto"/>
          <w:sz w:val="24"/>
          <w:highlight w:val="none"/>
        </w:rPr>
        <w:t>资信标及商务标由评标委员会按评审标准统一评分；</w:t>
      </w:r>
    </w:p>
    <w:p>
      <w:pPr>
        <w:tabs>
          <w:tab w:val="left" w:pos="8820"/>
        </w:tabs>
        <w:spacing w:line="360" w:lineRule="auto"/>
        <w:ind w:firstLine="480"/>
        <w:rPr>
          <w:rFonts w:hint="eastAsia" w:cs="Arial"/>
          <w:color w:val="auto"/>
          <w:sz w:val="24"/>
          <w:highlight w:val="none"/>
        </w:rPr>
      </w:pPr>
      <w:r>
        <w:rPr>
          <w:rFonts w:hint="eastAsia" w:cs="Arial"/>
          <w:color w:val="auto"/>
          <w:sz w:val="24"/>
          <w:highlight w:val="none"/>
          <w:lang w:val="en-US" w:eastAsia="zh-CN"/>
        </w:rPr>
        <w:t>④</w:t>
      </w:r>
      <w:r>
        <w:rPr>
          <w:rFonts w:hint="eastAsia" w:cs="Arial"/>
          <w:color w:val="auto"/>
          <w:sz w:val="24"/>
          <w:highlight w:val="none"/>
          <w:lang w:eastAsia="zh-CN"/>
        </w:rPr>
        <w:t>供应商</w:t>
      </w:r>
      <w:r>
        <w:rPr>
          <w:rFonts w:hint="eastAsia" w:cs="Arial"/>
          <w:color w:val="auto"/>
          <w:sz w:val="24"/>
          <w:highlight w:val="none"/>
        </w:rPr>
        <w:t>的投标文件中，技术标评审内容项严重缺失的，该项不得分。</w:t>
      </w:r>
    </w:p>
    <w:p>
      <w:pPr>
        <w:widowControl/>
        <w:spacing w:line="360"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综合得分相同时，按投标报价由低到高顺序</w:t>
      </w:r>
      <w:r>
        <w:rPr>
          <w:rFonts w:hint="eastAsia" w:ascii="宋体" w:hAnsi="宋体" w:cs="Arial"/>
          <w:b/>
          <w:color w:val="auto"/>
          <w:sz w:val="24"/>
          <w:highlight w:val="none"/>
          <w:lang w:val="en-US" w:eastAsia="zh-CN"/>
        </w:rPr>
        <w:t>排名</w:t>
      </w:r>
      <w:r>
        <w:rPr>
          <w:rFonts w:hint="eastAsia" w:ascii="宋体" w:hAnsi="宋体" w:cs="Arial"/>
          <w:b/>
          <w:color w:val="auto"/>
          <w:sz w:val="24"/>
          <w:highlight w:val="none"/>
        </w:rPr>
        <w:t>；综合得分且投标报价相同的，按照技术得分由高到低</w:t>
      </w:r>
      <w:r>
        <w:rPr>
          <w:rFonts w:hint="eastAsia" w:ascii="宋体" w:hAnsi="宋体" w:cs="Arial"/>
          <w:b/>
          <w:color w:val="auto"/>
          <w:sz w:val="24"/>
          <w:highlight w:val="none"/>
          <w:lang w:val="en-US" w:eastAsia="zh-CN"/>
        </w:rPr>
        <w:t>排名</w:t>
      </w:r>
      <w:r>
        <w:rPr>
          <w:rFonts w:hint="eastAsia" w:ascii="宋体" w:hAnsi="宋体" w:cs="Arial"/>
          <w:b/>
          <w:color w:val="auto"/>
          <w:sz w:val="24"/>
          <w:highlight w:val="none"/>
        </w:rPr>
        <w:t>；综合得分且投标报价且技术分相同，由评委表决确定（评委不得弃权）。</w:t>
      </w:r>
    </w:p>
    <w:p>
      <w:pPr>
        <w:widowControl/>
        <w:spacing w:line="360"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2"/>
        <w:spacing w:before="120" w:beforeLines="50" w:after="120"/>
        <w:ind w:firstLine="482"/>
        <w:jc w:val="lef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6. 其他</w:t>
      </w:r>
    </w:p>
    <w:p>
      <w:pPr>
        <w:tabs>
          <w:tab w:val="left" w:pos="8820"/>
        </w:tabs>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6.1 各位评标人员应认真﹑客观﹑公正对待每个</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，遵守评标纪律，不得泄漏任何评标信息，如违规违纪者，将严肃查处。</w:t>
      </w:r>
      <w:r>
        <w:rPr>
          <w:rFonts w:hint="eastAsia" w:asciiTheme="majorEastAsia" w:hAnsiTheme="majorEastAsia" w:eastAsiaTheme="majorEastAsia" w:cstheme="majorEastAsia"/>
          <w:b/>
          <w:color w:val="auto"/>
          <w:sz w:val="24"/>
          <w:szCs w:val="24"/>
          <w:highlight w:val="none"/>
        </w:rPr>
        <w:tab/>
      </w:r>
    </w:p>
    <w:p>
      <w:pPr>
        <w:tabs>
          <w:tab w:val="left" w:pos="8820"/>
        </w:tabs>
        <w:spacing w:line="360" w:lineRule="auto"/>
        <w:ind w:firstLine="48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6.2 评标中，评标委员会若发现</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的</w:t>
      </w:r>
      <w:r>
        <w:rPr>
          <w:rFonts w:hint="eastAsia" w:asciiTheme="majorEastAsia" w:hAnsiTheme="majorEastAsia" w:eastAsiaTheme="majorEastAsia" w:cstheme="majorEastAsia"/>
          <w:b/>
          <w:color w:val="auto"/>
          <w:sz w:val="24"/>
          <w:szCs w:val="24"/>
          <w:highlight w:val="none"/>
          <w:lang w:eastAsia="zh-CN"/>
        </w:rPr>
        <w:t>响应文件</w:t>
      </w:r>
      <w:r>
        <w:rPr>
          <w:rFonts w:hint="eastAsia" w:asciiTheme="majorEastAsia" w:hAnsiTheme="majorEastAsia" w:eastAsiaTheme="majorEastAsia" w:cstheme="majorEastAsia"/>
          <w:b/>
          <w:color w:val="auto"/>
          <w:sz w:val="24"/>
          <w:szCs w:val="24"/>
          <w:highlight w:val="none"/>
        </w:rPr>
        <w:t>明显缺乏竞争性而可能涉嫌与其他</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围标串标时，评标委员会将重点审核</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之间的股权关系及各</w:t>
      </w:r>
      <w:r>
        <w:rPr>
          <w:rFonts w:hint="eastAsia" w:asciiTheme="majorEastAsia" w:hAnsiTheme="majorEastAsia" w:eastAsiaTheme="majorEastAsia" w:cstheme="majorEastAsia"/>
          <w:b/>
          <w:color w:val="auto"/>
          <w:sz w:val="24"/>
          <w:szCs w:val="24"/>
          <w:highlight w:val="none"/>
          <w:lang w:eastAsia="zh-CN"/>
        </w:rPr>
        <w:t>响应文件</w:t>
      </w:r>
      <w:r>
        <w:rPr>
          <w:rFonts w:hint="eastAsia" w:asciiTheme="majorEastAsia" w:hAnsiTheme="majorEastAsia" w:eastAsiaTheme="majorEastAsia" w:cstheme="majorEastAsia"/>
          <w:b/>
          <w:color w:val="auto"/>
          <w:sz w:val="24"/>
          <w:szCs w:val="24"/>
          <w:highlight w:val="none"/>
        </w:rPr>
        <w:t>之间的形式.编排.内容等问题，一旦发现</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以他人的名义投标.串通投标.以行贿手段谋取中标或者以其他弄虚作假方式投标的，应当否决该</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的投标。出现上述情形时，不管最终是否界定为无效投标，评标委员会应在评标报告中如实记录相关情形及最终的认定结果。</w:t>
      </w:r>
    </w:p>
    <w:p>
      <w:pPr>
        <w:tabs>
          <w:tab w:val="left" w:pos="8820"/>
        </w:tabs>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6.3 评标中，如发现有二份及以上</w:t>
      </w:r>
      <w:r>
        <w:rPr>
          <w:rFonts w:hint="eastAsia" w:asciiTheme="majorEastAsia" w:hAnsiTheme="majorEastAsia" w:eastAsiaTheme="majorEastAsia" w:cstheme="majorEastAsia"/>
          <w:b/>
          <w:color w:val="auto"/>
          <w:sz w:val="24"/>
          <w:szCs w:val="24"/>
          <w:highlight w:val="none"/>
          <w:lang w:eastAsia="zh-CN"/>
        </w:rPr>
        <w:t>响应文件</w:t>
      </w:r>
      <w:r>
        <w:rPr>
          <w:rFonts w:hint="eastAsia" w:asciiTheme="majorEastAsia" w:hAnsiTheme="majorEastAsia" w:eastAsiaTheme="majorEastAsia" w:cstheme="majorEastAsia"/>
          <w:b/>
          <w:color w:val="auto"/>
          <w:sz w:val="24"/>
          <w:szCs w:val="24"/>
          <w:highlight w:val="none"/>
        </w:rPr>
        <w:t>的相互之间有特别相同或相似之处，且经询标澄清</w:t>
      </w:r>
      <w:r>
        <w:rPr>
          <w:rFonts w:hint="eastAsia" w:asciiTheme="majorEastAsia" w:hAnsiTheme="majorEastAsia" w:eastAsiaTheme="majorEastAsia" w:cstheme="majorEastAsia"/>
          <w:b/>
          <w:color w:val="auto"/>
          <w:sz w:val="24"/>
          <w:szCs w:val="24"/>
          <w:highlight w:val="none"/>
          <w:lang w:eastAsia="zh-CN"/>
        </w:rPr>
        <w:t>供应商</w:t>
      </w:r>
      <w:r>
        <w:rPr>
          <w:rFonts w:hint="eastAsia" w:asciiTheme="majorEastAsia" w:hAnsiTheme="majorEastAsia" w:eastAsiaTheme="majorEastAsia" w:cstheme="majorEastAsia"/>
          <w:b/>
          <w:color w:val="auto"/>
          <w:sz w:val="24"/>
          <w:szCs w:val="24"/>
          <w:highlight w:val="none"/>
        </w:rPr>
        <w:t>无令人信服的理由和可靠证据证明其合理性的，经评标委员会半数以上成员认定有串通投标嫌疑的，其</w:t>
      </w:r>
      <w:r>
        <w:rPr>
          <w:rFonts w:hint="eastAsia" w:asciiTheme="majorEastAsia" w:hAnsiTheme="majorEastAsia" w:eastAsiaTheme="majorEastAsia" w:cstheme="majorEastAsia"/>
          <w:b/>
          <w:color w:val="auto"/>
          <w:sz w:val="24"/>
          <w:szCs w:val="24"/>
          <w:highlight w:val="none"/>
          <w:lang w:eastAsia="zh-CN"/>
        </w:rPr>
        <w:t>响应文件</w:t>
      </w:r>
      <w:r>
        <w:rPr>
          <w:rFonts w:hint="eastAsia" w:asciiTheme="majorEastAsia" w:hAnsiTheme="majorEastAsia" w:eastAsiaTheme="majorEastAsia" w:cstheme="majorEastAsia"/>
          <w:b/>
          <w:color w:val="auto"/>
          <w:sz w:val="24"/>
          <w:szCs w:val="24"/>
          <w:highlight w:val="none"/>
        </w:rPr>
        <w:t>按无效标处理，予以废除，不再对其进行评审，也不影响</w:t>
      </w:r>
      <w:r>
        <w:rPr>
          <w:rFonts w:hint="eastAsia" w:asciiTheme="majorEastAsia" w:hAnsiTheme="majorEastAsia" w:eastAsiaTheme="majorEastAsia" w:cstheme="majorEastAsia"/>
          <w:b/>
          <w:color w:val="auto"/>
          <w:sz w:val="24"/>
          <w:szCs w:val="24"/>
          <w:highlight w:val="none"/>
          <w:lang w:eastAsia="zh-CN"/>
        </w:rPr>
        <w:t>采购</w:t>
      </w:r>
      <w:r>
        <w:rPr>
          <w:rFonts w:hint="eastAsia" w:asciiTheme="majorEastAsia" w:hAnsiTheme="majorEastAsia" w:eastAsiaTheme="majorEastAsia" w:cstheme="majorEastAsia"/>
          <w:b/>
          <w:color w:val="auto"/>
          <w:sz w:val="24"/>
          <w:szCs w:val="24"/>
          <w:highlight w:val="none"/>
        </w:rPr>
        <w:t xml:space="preserve">工作继续评标（不足三家除外）。 </w:t>
      </w:r>
    </w:p>
    <w:p>
      <w:pPr>
        <w:pStyle w:val="2"/>
        <w:spacing w:before="0" w:beforeLines="0" w:after="0" w:afterLines="0"/>
        <w:ind w:firstLine="480" w:firstLineChars="200"/>
        <w:jc w:val="left"/>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rPr>
        <w:t>7.定标</w:t>
      </w:r>
    </w:p>
    <w:p>
      <w:pPr>
        <w:widowControl/>
        <w:snapToGrid w:val="0"/>
        <w:spacing w:beforeLines="0" w:afterLines="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7.1 定标由</w:t>
      </w:r>
      <w:r>
        <w:rPr>
          <w:rFonts w:hint="eastAsia" w:asciiTheme="majorEastAsia" w:hAnsiTheme="majorEastAsia" w:eastAsiaTheme="majorEastAsia" w:cstheme="majorEastAsia"/>
          <w:color w:val="auto"/>
          <w:sz w:val="24"/>
          <w:szCs w:val="24"/>
          <w:highlight w:val="none"/>
          <w:lang w:eastAsia="zh-CN"/>
        </w:rPr>
        <w:t>采购单位</w:t>
      </w:r>
      <w:r>
        <w:rPr>
          <w:rFonts w:hint="eastAsia" w:asciiTheme="majorEastAsia" w:hAnsiTheme="majorEastAsia" w:eastAsiaTheme="majorEastAsia" w:cstheme="majorEastAsia"/>
          <w:color w:val="auto"/>
          <w:sz w:val="24"/>
          <w:szCs w:val="24"/>
          <w:highlight w:val="none"/>
        </w:rPr>
        <w:t>负责，</w:t>
      </w:r>
      <w:r>
        <w:rPr>
          <w:rFonts w:hint="eastAsia" w:asciiTheme="majorEastAsia" w:hAnsiTheme="majorEastAsia" w:eastAsiaTheme="majorEastAsia" w:cstheme="majorEastAsia"/>
          <w:color w:val="auto"/>
          <w:sz w:val="24"/>
          <w:szCs w:val="24"/>
          <w:highlight w:val="none"/>
          <w:lang w:eastAsia="zh-CN"/>
        </w:rPr>
        <w:t>采购单位</w:t>
      </w:r>
      <w:r>
        <w:rPr>
          <w:rFonts w:hint="eastAsia" w:asciiTheme="majorEastAsia" w:hAnsiTheme="majorEastAsia" w:eastAsiaTheme="majorEastAsia" w:cstheme="majorEastAsia"/>
          <w:color w:val="auto"/>
          <w:sz w:val="24"/>
          <w:szCs w:val="24"/>
          <w:highlight w:val="none"/>
        </w:rPr>
        <w:t>坚持综合得分排名第一的中标候选人为中标人的定标原则。</w:t>
      </w:r>
    </w:p>
    <w:p>
      <w:pPr>
        <w:widowControl/>
        <w:snapToGrid w:val="0"/>
        <w:spacing w:beforeLines="0" w:afterLines="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7.2 排名在前的中标候选人放弃中标.因不可抗力不能履行合同，或者被查实存在影响中标结果的违法行为等情形，不符合中标条件的，</w:t>
      </w:r>
      <w:r>
        <w:rPr>
          <w:rFonts w:hint="eastAsia" w:asciiTheme="majorEastAsia" w:hAnsiTheme="majorEastAsia" w:eastAsiaTheme="majorEastAsia" w:cstheme="majorEastAsia"/>
          <w:color w:val="auto"/>
          <w:sz w:val="24"/>
          <w:szCs w:val="24"/>
          <w:highlight w:val="none"/>
          <w:lang w:eastAsia="zh-CN"/>
        </w:rPr>
        <w:t>采购单位</w:t>
      </w:r>
      <w:r>
        <w:rPr>
          <w:rFonts w:hint="eastAsia" w:asciiTheme="majorEastAsia" w:hAnsiTheme="majorEastAsia" w:eastAsiaTheme="majorEastAsia" w:cstheme="majorEastAsia"/>
          <w:color w:val="auto"/>
          <w:sz w:val="24"/>
          <w:szCs w:val="24"/>
          <w:highlight w:val="none"/>
        </w:rPr>
        <w:t>可以按照评标委员会提出的中标候选人名单排序依次确定其他中标候选人为中标人，也可以重新</w:t>
      </w:r>
      <w:r>
        <w:rPr>
          <w:rFonts w:hint="eastAsia" w:asciiTheme="majorEastAsia" w:hAnsiTheme="majorEastAsia" w:eastAsiaTheme="majorEastAsia" w:cstheme="majorEastAsia"/>
          <w:color w:val="auto"/>
          <w:sz w:val="24"/>
          <w:szCs w:val="24"/>
          <w:highlight w:val="none"/>
          <w:lang w:eastAsia="zh-CN"/>
        </w:rPr>
        <w:t>采购</w:t>
      </w:r>
      <w:r>
        <w:rPr>
          <w:rFonts w:hint="eastAsia" w:asciiTheme="majorEastAsia" w:hAnsiTheme="majorEastAsia" w:eastAsiaTheme="majorEastAsia" w:cstheme="majorEastAsia"/>
          <w:color w:val="auto"/>
          <w:sz w:val="24"/>
          <w:szCs w:val="24"/>
          <w:highlight w:val="none"/>
        </w:rPr>
        <w:t>。</w:t>
      </w:r>
    </w:p>
    <w:p>
      <w:pPr>
        <w:spacing w:beforeLines="0" w:afterLines="0" w:line="360" w:lineRule="auto"/>
        <w:rPr>
          <w:rFonts w:hint="default"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    7.3 中标候选人因不可抗力之外的原因放弃中标权的，其</w:t>
      </w:r>
      <w:r>
        <w:rPr>
          <w:rFonts w:hint="eastAsia" w:asciiTheme="majorEastAsia" w:hAnsiTheme="majorEastAsia" w:eastAsiaTheme="majorEastAsia" w:cstheme="majorEastAsia"/>
          <w:color w:val="auto"/>
          <w:sz w:val="24"/>
          <w:szCs w:val="24"/>
          <w:highlight w:val="none"/>
          <w:lang w:eastAsia="zh-CN"/>
        </w:rPr>
        <w:t>响应保证金</w:t>
      </w:r>
      <w:r>
        <w:rPr>
          <w:rFonts w:hint="eastAsia" w:asciiTheme="majorEastAsia" w:hAnsiTheme="majorEastAsia" w:eastAsiaTheme="majorEastAsia" w:cstheme="majorEastAsia"/>
          <w:color w:val="auto"/>
          <w:sz w:val="24"/>
          <w:szCs w:val="24"/>
          <w:highlight w:val="none"/>
        </w:rPr>
        <w:t>不予退还，</w:t>
      </w:r>
      <w:r>
        <w:rPr>
          <w:rFonts w:hint="eastAsia" w:asciiTheme="majorEastAsia" w:hAnsiTheme="majorEastAsia" w:eastAsiaTheme="majorEastAsia" w:cstheme="majorEastAsia"/>
          <w:color w:val="auto"/>
          <w:sz w:val="24"/>
          <w:szCs w:val="24"/>
          <w:highlight w:val="none"/>
          <w:lang w:eastAsia="zh-CN"/>
        </w:rPr>
        <w:t>响应保证金</w:t>
      </w:r>
      <w:r>
        <w:rPr>
          <w:rFonts w:hint="eastAsia" w:asciiTheme="majorEastAsia" w:hAnsiTheme="majorEastAsia" w:eastAsiaTheme="majorEastAsia" w:cstheme="majorEastAsia"/>
          <w:color w:val="auto"/>
          <w:sz w:val="24"/>
          <w:szCs w:val="24"/>
          <w:highlight w:val="none"/>
        </w:rPr>
        <w:t>不能弥补由于其放弃中标权而给</w:t>
      </w:r>
      <w:r>
        <w:rPr>
          <w:rFonts w:hint="eastAsia" w:asciiTheme="majorEastAsia" w:hAnsiTheme="majorEastAsia" w:eastAsiaTheme="majorEastAsia" w:cstheme="majorEastAsia"/>
          <w:color w:val="auto"/>
          <w:sz w:val="24"/>
          <w:szCs w:val="24"/>
          <w:highlight w:val="none"/>
          <w:lang w:eastAsia="zh-CN"/>
        </w:rPr>
        <w:t>采购单位</w:t>
      </w:r>
      <w:r>
        <w:rPr>
          <w:rFonts w:hint="eastAsia" w:asciiTheme="majorEastAsia" w:hAnsiTheme="majorEastAsia" w:eastAsiaTheme="majorEastAsia" w:cstheme="majorEastAsia"/>
          <w:color w:val="auto"/>
          <w:sz w:val="24"/>
          <w:szCs w:val="24"/>
          <w:highlight w:val="none"/>
        </w:rPr>
        <w:t>造成报价得差额损失的，由放弃中标权的中</w:t>
      </w:r>
      <w:r>
        <w:rPr>
          <w:rFonts w:hint="eastAsia" w:asciiTheme="majorEastAsia" w:hAnsiTheme="majorEastAsia" w:eastAsiaTheme="majorEastAsia" w:cstheme="majorEastAsia"/>
          <w:color w:val="auto"/>
          <w:sz w:val="24"/>
          <w:szCs w:val="24"/>
          <w:highlight w:val="none"/>
          <w:lang w:val="en-US" w:eastAsia="zh-CN"/>
        </w:rPr>
        <w:t>标人支付。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Theme="majorEastAsia" w:hAnsiTheme="majorEastAsia" w:eastAsiaTheme="majorEastAsia" w:cstheme="majorEastAsia"/>
          <w:bCs/>
          <w:color w:val="auto"/>
          <w:sz w:val="24"/>
          <w:szCs w:val="24"/>
          <w:highlight w:val="none"/>
        </w:rPr>
        <w:br w:type="page"/>
      </w:r>
    </w:p>
    <w:p>
      <w:pPr>
        <w:snapToGrid w:val="0"/>
        <w:spacing w:line="360" w:lineRule="auto"/>
        <w:jc w:val="center"/>
        <w:outlineLvl w:val="0"/>
        <w:rPr>
          <w:rFonts w:hint="eastAsia" w:ascii="宋体" w:hAnsi="宋体"/>
          <w:b/>
          <w:color w:val="auto"/>
          <w:kern w:val="0"/>
          <w:sz w:val="36"/>
          <w:szCs w:val="20"/>
          <w:highlight w:val="none"/>
        </w:rPr>
      </w:pPr>
      <w:bookmarkStart w:id="34" w:name="_Toc129714677"/>
      <w:r>
        <w:rPr>
          <w:rFonts w:hint="eastAsia" w:ascii="宋体" w:hAnsi="宋体"/>
          <w:b/>
          <w:color w:val="auto"/>
          <w:kern w:val="0"/>
          <w:sz w:val="36"/>
          <w:szCs w:val="20"/>
          <w:highlight w:val="none"/>
        </w:rPr>
        <w:t xml:space="preserve">第六章  </w:t>
      </w:r>
      <w:r>
        <w:rPr>
          <w:rFonts w:hint="eastAsia" w:ascii="宋体" w:hAnsi="宋体"/>
          <w:b/>
          <w:color w:val="auto"/>
          <w:kern w:val="0"/>
          <w:sz w:val="36"/>
          <w:szCs w:val="20"/>
          <w:highlight w:val="none"/>
          <w:lang w:eastAsia="zh-CN"/>
        </w:rPr>
        <w:t>响应文件</w:t>
      </w:r>
      <w:r>
        <w:rPr>
          <w:rFonts w:hint="eastAsia" w:ascii="宋体" w:hAnsi="宋体"/>
          <w:b/>
          <w:color w:val="auto"/>
          <w:kern w:val="0"/>
          <w:sz w:val="36"/>
          <w:szCs w:val="20"/>
          <w:highlight w:val="none"/>
        </w:rPr>
        <w:t>格式</w:t>
      </w:r>
      <w:bookmarkEnd w:id="34"/>
    </w:p>
    <w:p>
      <w:pPr>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供应商</w:t>
      </w:r>
      <w:r>
        <w:rPr>
          <w:rFonts w:hint="eastAsia" w:ascii="宋体" w:hAnsi="宋体" w:cs="宋体"/>
          <w:snapToGrid w:val="0"/>
          <w:color w:val="auto"/>
          <w:kern w:val="0"/>
          <w:szCs w:val="21"/>
          <w:highlight w:val="none"/>
        </w:rPr>
        <w:t>按照以下格式编制投标文件，资格文件、商务文件、资信技术文件具体装订要求详见</w:t>
      </w:r>
      <w:r>
        <w:rPr>
          <w:rFonts w:hint="eastAsia" w:ascii="宋体" w:hAnsi="宋体" w:cs="宋体"/>
          <w:snapToGrid w:val="0"/>
          <w:color w:val="auto"/>
          <w:kern w:val="0"/>
          <w:szCs w:val="21"/>
          <w:highlight w:val="none"/>
          <w:lang w:eastAsia="zh-CN"/>
        </w:rPr>
        <w:t>供应商</w:t>
      </w:r>
      <w:r>
        <w:rPr>
          <w:rFonts w:hint="eastAsia" w:ascii="宋体" w:hAnsi="宋体" w:cs="宋体"/>
          <w:snapToGrid w:val="0"/>
          <w:color w:val="auto"/>
          <w:kern w:val="0"/>
          <w:szCs w:val="21"/>
          <w:highlight w:val="none"/>
        </w:rPr>
        <w:t>须知第3.4.3）</w:t>
      </w:r>
    </w:p>
    <w:p>
      <w:pPr>
        <w:adjustRightInd w:val="0"/>
        <w:snapToGrid w:val="0"/>
        <w:spacing w:line="360" w:lineRule="auto"/>
        <w:ind w:firstLine="422" w:firstLineChars="200"/>
        <w:rPr>
          <w:rFonts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投标文件封面（参考）</w:t>
      </w: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资格审查索引</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符合性审查索引</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详细评审索引</w:t>
      </w:r>
    </w:p>
    <w:p>
      <w:pPr>
        <w:adjustRightInd w:val="0"/>
        <w:snapToGrid w:val="0"/>
        <w:spacing w:line="360" w:lineRule="auto"/>
        <w:jc w:val="center"/>
        <w:rPr>
          <w:rFonts w:hint="eastAsia" w:ascii="宋体" w:hAnsi="宋体" w:cs="宋体"/>
          <w:snapToGrid w:val="0"/>
          <w:color w:val="auto"/>
          <w:kern w:val="0"/>
          <w:szCs w:val="21"/>
          <w:highlight w:val="none"/>
        </w:rPr>
      </w:pPr>
      <w:r>
        <w:rPr>
          <w:rFonts w:ascii="宋体" w:hAnsi="宋体"/>
          <w:color w:val="auto"/>
          <w:sz w:val="28"/>
          <w:szCs w:val="28"/>
          <w:highlight w:val="none"/>
        </w:rPr>
        <w:t>目   录</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第一部分、资格文件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1、营业执照</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2、其他资格条件证明材料</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第二部分、商务文件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2、投标报价明细表</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3、法定代表人身份证明或附有法定代表人和授权代表身份证明的授权委托书</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4、优惠条件及特殊承诺</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adjustRightInd w:val="0"/>
        <w:snapToGrid w:val="0"/>
        <w:spacing w:line="360" w:lineRule="auto"/>
        <w:ind w:firstLine="422" w:firstLineChars="200"/>
        <w:rPr>
          <w:rFonts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第三部分、资信技术文件</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eastAsia="zh-CN"/>
        </w:rPr>
        <w:t>供应商</w:t>
      </w:r>
      <w:r>
        <w:rPr>
          <w:rFonts w:hint="eastAsia" w:ascii="宋体" w:hAnsi="宋体" w:cs="宋体"/>
          <w:snapToGrid w:val="0"/>
          <w:color w:val="auto"/>
          <w:kern w:val="0"/>
          <w:szCs w:val="21"/>
          <w:highlight w:val="none"/>
        </w:rPr>
        <w:t>基本情况表</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szCs w:val="21"/>
          <w:highlight w:val="none"/>
          <w:lang w:eastAsia="zh-CN"/>
        </w:rPr>
        <w:t>供应商</w:t>
      </w:r>
      <w:r>
        <w:rPr>
          <w:rFonts w:hint="eastAsia" w:ascii="宋体" w:hAnsi="宋体" w:cs="宋体"/>
          <w:snapToGrid w:val="0"/>
          <w:color w:val="auto"/>
          <w:kern w:val="0"/>
          <w:szCs w:val="21"/>
          <w:highlight w:val="none"/>
        </w:rPr>
        <w:t>20</w:t>
      </w:r>
      <w:r>
        <w:rPr>
          <w:rFonts w:hint="eastAsia" w:ascii="宋体" w:hAnsi="宋体" w:cs="宋体"/>
          <w:snapToGrid w:val="0"/>
          <w:color w:val="auto"/>
          <w:kern w:val="0"/>
          <w:szCs w:val="21"/>
          <w:highlight w:val="none"/>
          <w:lang w:val="en-US" w:eastAsia="zh-CN"/>
        </w:rPr>
        <w:t>22</w:t>
      </w:r>
      <w:r>
        <w:rPr>
          <w:rFonts w:hint="eastAsia" w:ascii="宋体" w:hAnsi="宋体" w:cs="宋体"/>
          <w:snapToGrid w:val="0"/>
          <w:color w:val="auto"/>
          <w:kern w:val="0"/>
          <w:szCs w:val="21"/>
          <w:highlight w:val="none"/>
        </w:rPr>
        <w:t>年1月1日以来类似业绩情况表</w:t>
      </w:r>
    </w:p>
    <w:p>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3、拟投入本项目的主要人员组成表</w:t>
      </w:r>
    </w:p>
    <w:p>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cs="宋体"/>
          <w:snapToGrid w:val="0"/>
          <w:color w:val="auto"/>
          <w:kern w:val="0"/>
          <w:szCs w:val="21"/>
          <w:highlight w:val="none"/>
        </w:rPr>
        <w:t>主要项目成员情况表</w:t>
      </w:r>
    </w:p>
    <w:p>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承诺书</w:t>
      </w:r>
    </w:p>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w:t>
      </w:r>
      <w:r>
        <w:rPr>
          <w:rFonts w:hint="eastAsia" w:ascii="宋体" w:hAnsi="宋体"/>
          <w:snapToGrid w:val="0"/>
          <w:color w:val="auto"/>
          <w:kern w:val="0"/>
          <w:szCs w:val="21"/>
          <w:highlight w:val="none"/>
        </w:rPr>
        <w:t>技术与服务解决方案</w:t>
      </w:r>
    </w:p>
    <w:p>
      <w:pPr>
        <w:adjustRightInd w:val="0"/>
        <w:snapToGrid w:val="0"/>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7</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供应商</w:t>
      </w:r>
      <w:r>
        <w:rPr>
          <w:rFonts w:hint="eastAsia" w:ascii="宋体" w:hAnsi="宋体"/>
          <w:snapToGrid w:val="0"/>
          <w:color w:val="auto"/>
          <w:kern w:val="0"/>
          <w:szCs w:val="21"/>
          <w:highlight w:val="none"/>
        </w:rPr>
        <w:t>认为有必要的其他内容（包括与评分细则有关的内容）</w:t>
      </w:r>
    </w:p>
    <w:p>
      <w:pPr>
        <w:adjustRightInd w:val="0"/>
        <w:snapToGrid w:val="0"/>
        <w:spacing w:line="360" w:lineRule="auto"/>
        <w:jc w:val="right"/>
        <w:rPr>
          <w:rFonts w:ascii="宋体" w:hAnsi="宋体"/>
          <w:color w:val="auto"/>
          <w:highlight w:val="none"/>
        </w:rPr>
      </w:pPr>
      <w:r>
        <w:rPr>
          <w:rFonts w:ascii="宋体" w:hAnsi="宋体"/>
          <w:color w:val="auto"/>
          <w:highlight w:val="none"/>
        </w:rPr>
        <w:br w:type="page"/>
      </w:r>
    </w:p>
    <w:p>
      <w:pPr>
        <w:adjustRightInd w:val="0"/>
        <w:snapToGrid w:val="0"/>
        <w:spacing w:line="360" w:lineRule="auto"/>
        <w:rPr>
          <w:rFonts w:ascii="宋体" w:hAnsi="宋体"/>
          <w:color w:val="auto"/>
          <w:sz w:val="24"/>
          <w:highlight w:val="none"/>
          <w:u w:val="single"/>
        </w:rPr>
      </w:pPr>
      <w:r>
        <w:rPr>
          <w:rFonts w:ascii="宋体" w:hAnsi="宋体"/>
          <w:color w:val="auto"/>
          <w:highlight w:val="none"/>
        </w:rPr>
        <w:t>封面</w:t>
      </w:r>
    </w:p>
    <w:p>
      <w:pPr>
        <w:autoSpaceDE w:val="0"/>
        <w:autoSpaceDN w:val="0"/>
        <w:adjustRightInd w:val="0"/>
        <w:snapToGrid w:val="0"/>
        <w:spacing w:line="360" w:lineRule="auto"/>
        <w:jc w:val="center"/>
        <w:rPr>
          <w:rFonts w:hint="eastAsia" w:ascii="宋体" w:hAnsi="宋体"/>
          <w:color w:val="auto"/>
          <w:kern w:val="0"/>
          <w:sz w:val="36"/>
          <w:szCs w:val="52"/>
          <w:highlight w:val="none"/>
          <w:u w:val="single"/>
        </w:rPr>
      </w:pPr>
    </w:p>
    <w:p>
      <w:pPr>
        <w:autoSpaceDE w:val="0"/>
        <w:autoSpaceDN w:val="0"/>
        <w:adjustRightInd w:val="0"/>
        <w:snapToGrid w:val="0"/>
        <w:spacing w:line="360" w:lineRule="auto"/>
        <w:jc w:val="center"/>
        <w:rPr>
          <w:rFonts w:hint="eastAsia" w:ascii="宋体" w:hAnsi="宋体"/>
          <w:b/>
          <w:color w:val="auto"/>
          <w:spacing w:val="20"/>
          <w:kern w:val="0"/>
          <w:sz w:val="32"/>
          <w:szCs w:val="32"/>
          <w:highlight w:val="none"/>
        </w:rPr>
      </w:pPr>
      <w:r>
        <w:rPr>
          <w:rFonts w:hint="eastAsia" w:ascii="宋体" w:hAnsi="宋体"/>
          <w:b/>
          <w:color w:val="auto"/>
          <w:spacing w:val="20"/>
          <w:w w:val="80"/>
          <w:kern w:val="0"/>
          <w:sz w:val="32"/>
          <w:szCs w:val="32"/>
          <w:highlight w:val="none"/>
        </w:rPr>
        <w:t xml:space="preserve"> </w:t>
      </w:r>
      <w:r>
        <w:rPr>
          <w:rFonts w:hint="eastAsia" w:ascii="宋体" w:hAnsi="宋体"/>
          <w:b/>
          <w:color w:val="auto"/>
          <w:spacing w:val="20"/>
          <w:kern w:val="0"/>
          <w:sz w:val="32"/>
          <w:szCs w:val="32"/>
          <w:highlight w:val="none"/>
          <w:u w:val="single"/>
        </w:rPr>
        <w:t xml:space="preserve">                   </w:t>
      </w:r>
      <w:r>
        <w:rPr>
          <w:rFonts w:hint="eastAsia" w:ascii="宋体" w:hAnsi="宋体"/>
          <w:b/>
          <w:color w:val="auto"/>
          <w:spacing w:val="20"/>
          <w:kern w:val="0"/>
          <w:sz w:val="32"/>
          <w:szCs w:val="32"/>
          <w:highlight w:val="none"/>
        </w:rPr>
        <w:t>项目</w:t>
      </w:r>
    </w:p>
    <w:p>
      <w:pPr>
        <w:adjustRightInd w:val="0"/>
        <w:snapToGrid w:val="0"/>
        <w:spacing w:line="360" w:lineRule="auto"/>
        <w:ind w:firstLine="720" w:firstLineChars="200"/>
        <w:rPr>
          <w:rFonts w:hint="eastAsia" w:ascii="宋体" w:hAnsi="宋体"/>
          <w:color w:val="auto"/>
          <w:sz w:val="36"/>
          <w:szCs w:val="36"/>
          <w:highlight w:val="none"/>
        </w:rPr>
      </w:pPr>
      <w:r>
        <w:rPr>
          <w:rFonts w:ascii="宋体" w:hAnsi="宋体"/>
          <w:color w:val="auto"/>
          <w:sz w:val="36"/>
          <w:szCs w:val="36"/>
          <w:highlight w:val="none"/>
        </w:rPr>
        <w:t xml:space="preserve">         </w:t>
      </w:r>
      <w:r>
        <w:rPr>
          <w:rFonts w:hint="eastAsia" w:ascii="宋体" w:hAnsi="宋体"/>
          <w:color w:val="auto"/>
          <w:sz w:val="28"/>
          <w:szCs w:val="28"/>
          <w:highlight w:val="none"/>
        </w:rPr>
        <w:t>（</w:t>
      </w:r>
      <w:r>
        <w:rPr>
          <w:rFonts w:hint="eastAsia" w:cs="宋体"/>
          <w:b/>
          <w:bCs/>
          <w:color w:val="auto"/>
          <w:sz w:val="28"/>
          <w:szCs w:val="28"/>
          <w:highlight w:val="none"/>
          <w:lang w:val="en-US" w:eastAsia="zh-CN"/>
        </w:rPr>
        <w:t>采购</w:t>
      </w:r>
      <w:r>
        <w:rPr>
          <w:rFonts w:hint="eastAsia" w:cs="宋体"/>
          <w:b/>
          <w:bCs/>
          <w:color w:val="auto"/>
          <w:sz w:val="28"/>
          <w:szCs w:val="28"/>
          <w:highlight w:val="none"/>
        </w:rPr>
        <w:t>编号：</w:t>
      </w:r>
      <w:r>
        <w:rPr>
          <w:rFonts w:hint="eastAsia" w:cs="宋体"/>
          <w:bCs/>
          <w:color w:val="auto"/>
          <w:sz w:val="28"/>
          <w:szCs w:val="28"/>
          <w:highlight w:val="none"/>
          <w:u w:val="single"/>
        </w:rPr>
        <w:t xml:space="preserve">                </w:t>
      </w:r>
      <w:r>
        <w:rPr>
          <w:rFonts w:hint="eastAsia" w:ascii="宋体" w:hAnsi="宋体"/>
          <w:color w:val="auto"/>
          <w:sz w:val="28"/>
          <w:szCs w:val="28"/>
          <w:highlight w:val="none"/>
        </w:rPr>
        <w:t>）</w:t>
      </w:r>
    </w:p>
    <w:p>
      <w:pPr>
        <w:adjustRightInd w:val="0"/>
        <w:snapToGrid w:val="0"/>
        <w:spacing w:line="360" w:lineRule="auto"/>
        <w:ind w:firstLine="720" w:firstLineChars="200"/>
        <w:rPr>
          <w:rFonts w:hint="eastAsia" w:ascii="宋体" w:hAnsi="宋体"/>
          <w:color w:val="auto"/>
          <w:sz w:val="36"/>
          <w:szCs w:val="36"/>
          <w:highlight w:val="none"/>
        </w:rPr>
      </w:pPr>
    </w:p>
    <w:p>
      <w:pPr>
        <w:adjustRightInd w:val="0"/>
        <w:snapToGrid w:val="0"/>
        <w:spacing w:line="360" w:lineRule="auto"/>
        <w:ind w:firstLine="480" w:firstLineChars="200"/>
        <w:jc w:val="center"/>
        <w:rPr>
          <w:rFonts w:ascii="宋体" w:hAnsi="宋体"/>
          <w:color w:val="auto"/>
          <w:sz w:val="24"/>
          <w:highlight w:val="none"/>
        </w:rPr>
      </w:pPr>
    </w:p>
    <w:p>
      <w:pPr>
        <w:adjustRightInd w:val="0"/>
        <w:snapToGrid w:val="0"/>
        <w:spacing w:line="360" w:lineRule="auto"/>
        <w:rPr>
          <w:rFonts w:ascii="宋体" w:hAnsi="宋体"/>
          <w:color w:val="auto"/>
          <w:sz w:val="44"/>
          <w:szCs w:val="44"/>
          <w:highlight w:val="none"/>
        </w:rPr>
      </w:pPr>
    </w:p>
    <w:p>
      <w:pPr>
        <w:adjustRightInd w:val="0"/>
        <w:snapToGrid w:val="0"/>
        <w:spacing w:line="360" w:lineRule="auto"/>
        <w:jc w:val="center"/>
        <w:rPr>
          <w:rFonts w:ascii="宋体" w:hAnsi="宋体"/>
          <w:bCs/>
          <w:color w:val="auto"/>
          <w:sz w:val="84"/>
          <w:szCs w:val="84"/>
          <w:highlight w:val="none"/>
        </w:rPr>
      </w:pPr>
      <w:r>
        <w:rPr>
          <w:rFonts w:ascii="宋体" w:hAnsi="宋体"/>
          <w:bCs/>
          <w:color w:val="auto"/>
          <w:sz w:val="84"/>
          <w:szCs w:val="84"/>
          <w:highlight w:val="none"/>
        </w:rPr>
        <w:t>投</w:t>
      </w:r>
      <w:r>
        <w:rPr>
          <w:rFonts w:hint="eastAsia" w:ascii="宋体" w:hAnsi="宋体"/>
          <w:bCs/>
          <w:color w:val="auto"/>
          <w:sz w:val="84"/>
          <w:szCs w:val="84"/>
          <w:highlight w:val="none"/>
        </w:rPr>
        <w:t xml:space="preserve"> </w:t>
      </w:r>
      <w:r>
        <w:rPr>
          <w:rFonts w:ascii="宋体" w:hAnsi="宋体"/>
          <w:bCs/>
          <w:color w:val="auto"/>
          <w:sz w:val="84"/>
          <w:szCs w:val="84"/>
          <w:highlight w:val="none"/>
        </w:rPr>
        <w:t>标</w:t>
      </w:r>
      <w:r>
        <w:rPr>
          <w:rFonts w:hint="eastAsia" w:ascii="宋体" w:hAnsi="宋体"/>
          <w:bCs/>
          <w:color w:val="auto"/>
          <w:sz w:val="84"/>
          <w:szCs w:val="84"/>
          <w:highlight w:val="none"/>
        </w:rPr>
        <w:t xml:space="preserve"> </w:t>
      </w:r>
      <w:r>
        <w:rPr>
          <w:rFonts w:ascii="宋体" w:hAnsi="宋体"/>
          <w:bCs/>
          <w:color w:val="auto"/>
          <w:sz w:val="84"/>
          <w:szCs w:val="84"/>
          <w:highlight w:val="none"/>
        </w:rPr>
        <w:t>文</w:t>
      </w:r>
      <w:r>
        <w:rPr>
          <w:rFonts w:hint="eastAsia" w:ascii="宋体" w:hAnsi="宋体"/>
          <w:bCs/>
          <w:color w:val="auto"/>
          <w:sz w:val="84"/>
          <w:szCs w:val="84"/>
          <w:highlight w:val="none"/>
        </w:rPr>
        <w:t xml:space="preserve"> </w:t>
      </w:r>
      <w:r>
        <w:rPr>
          <w:rFonts w:ascii="宋体" w:hAnsi="宋体"/>
          <w:bCs/>
          <w:color w:val="auto"/>
          <w:sz w:val="84"/>
          <w:szCs w:val="84"/>
          <w:highlight w:val="none"/>
        </w:rPr>
        <w:t>件</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                  </w:t>
      </w: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jc w:val="center"/>
        <w:rPr>
          <w:rFonts w:ascii="宋体" w:hAnsi="宋体"/>
          <w:color w:val="auto"/>
          <w:sz w:val="24"/>
          <w:highlight w:val="none"/>
        </w:rPr>
      </w:pPr>
    </w:p>
    <w:p>
      <w:pPr>
        <w:adjustRightInd w:val="0"/>
        <w:snapToGrid w:val="0"/>
        <w:spacing w:line="360" w:lineRule="auto"/>
        <w:ind w:firstLine="480" w:firstLineChars="200"/>
        <w:jc w:val="center"/>
        <w:rPr>
          <w:rFonts w:hint="eastAsia" w:ascii="宋体" w:hAnsi="宋体"/>
          <w:color w:val="auto"/>
          <w:sz w:val="24"/>
          <w:highlight w:val="none"/>
        </w:rPr>
      </w:pPr>
    </w:p>
    <w:p>
      <w:pPr>
        <w:adjustRightInd w:val="0"/>
        <w:snapToGrid w:val="0"/>
        <w:spacing w:line="360" w:lineRule="auto"/>
        <w:ind w:firstLine="480" w:firstLineChars="200"/>
        <w:jc w:val="center"/>
        <w:rPr>
          <w:rFonts w:ascii="宋体" w:hAnsi="宋体"/>
          <w:color w:val="auto"/>
          <w:sz w:val="24"/>
          <w:highlight w:val="none"/>
        </w:rPr>
      </w:pPr>
    </w:p>
    <w:p>
      <w:pPr>
        <w:adjustRightInd w:val="0"/>
        <w:snapToGrid w:val="0"/>
        <w:spacing w:line="360" w:lineRule="auto"/>
        <w:ind w:firstLine="1400" w:firstLineChars="500"/>
        <w:rPr>
          <w:rFonts w:ascii="宋体" w:hAnsi="宋体"/>
          <w:snapToGrid w:val="0"/>
          <w:color w:val="auto"/>
          <w:kern w:val="0"/>
          <w:sz w:val="28"/>
          <w:szCs w:val="28"/>
          <w:highlight w:val="none"/>
          <w:u w:val="single"/>
        </w:rPr>
      </w:pPr>
      <w:r>
        <w:rPr>
          <w:rFonts w:hint="eastAsia" w:ascii="宋体" w:hAnsi="宋体"/>
          <w:snapToGrid w:val="0"/>
          <w:color w:val="auto"/>
          <w:kern w:val="0"/>
          <w:sz w:val="28"/>
          <w:szCs w:val="28"/>
          <w:highlight w:val="none"/>
          <w:lang w:eastAsia="zh-CN"/>
        </w:rPr>
        <w:t>供应商</w:t>
      </w:r>
      <w:r>
        <w:rPr>
          <w:rFonts w:ascii="宋体" w:hAnsi="宋体"/>
          <w:snapToGrid w:val="0"/>
          <w:color w:val="auto"/>
          <w:kern w:val="0"/>
          <w:sz w:val="28"/>
          <w:szCs w:val="28"/>
          <w:highlight w:val="none"/>
        </w:rPr>
        <w:t>：</w:t>
      </w: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rPr>
        <w:t>（</w:t>
      </w:r>
      <w:r>
        <w:rPr>
          <w:rFonts w:ascii="宋体" w:hAnsi="宋体"/>
          <w:snapToGrid w:val="0"/>
          <w:color w:val="auto"/>
          <w:kern w:val="0"/>
          <w:sz w:val="28"/>
          <w:szCs w:val="28"/>
          <w:highlight w:val="none"/>
          <w:u w:val="single"/>
        </w:rPr>
        <w:t>盖单位</w:t>
      </w:r>
      <w:r>
        <w:rPr>
          <w:rFonts w:hint="eastAsia" w:ascii="宋体" w:hAnsi="宋体"/>
          <w:snapToGrid w:val="0"/>
          <w:color w:val="auto"/>
          <w:kern w:val="0"/>
          <w:sz w:val="28"/>
          <w:szCs w:val="28"/>
          <w:highlight w:val="none"/>
          <w:u w:val="single"/>
        </w:rPr>
        <w:t>公</w:t>
      </w:r>
      <w:r>
        <w:rPr>
          <w:rFonts w:ascii="宋体" w:hAnsi="宋体"/>
          <w:snapToGrid w:val="0"/>
          <w:color w:val="auto"/>
          <w:kern w:val="0"/>
          <w:sz w:val="28"/>
          <w:szCs w:val="28"/>
          <w:highlight w:val="none"/>
          <w:u w:val="single"/>
        </w:rPr>
        <w:t>章）</w:t>
      </w:r>
    </w:p>
    <w:p>
      <w:pPr>
        <w:adjustRightInd w:val="0"/>
        <w:snapToGrid w:val="0"/>
        <w:spacing w:line="360" w:lineRule="auto"/>
        <w:ind w:firstLine="1400" w:firstLineChars="500"/>
        <w:rPr>
          <w:rFonts w:ascii="宋体" w:hAnsi="宋体"/>
          <w:snapToGrid w:val="0"/>
          <w:color w:val="auto"/>
          <w:kern w:val="0"/>
          <w:sz w:val="28"/>
          <w:szCs w:val="28"/>
          <w:highlight w:val="none"/>
        </w:rPr>
      </w:pPr>
      <w:r>
        <w:rPr>
          <w:rFonts w:ascii="宋体" w:hAnsi="宋体"/>
          <w:snapToGrid w:val="0"/>
          <w:color w:val="auto"/>
          <w:kern w:val="0"/>
          <w:sz w:val="28"/>
          <w:szCs w:val="28"/>
          <w:highlight w:val="none"/>
        </w:rPr>
        <w:t>法定代表人或其委托代理人：</w:t>
      </w: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u w:val="single"/>
        </w:rPr>
        <w:t xml:space="preserve"> （签字或盖章）</w:t>
      </w:r>
    </w:p>
    <w:p>
      <w:pPr>
        <w:adjustRightInd w:val="0"/>
        <w:snapToGrid w:val="0"/>
        <w:spacing w:line="360" w:lineRule="auto"/>
        <w:ind w:firstLine="1400" w:firstLineChars="500"/>
        <w:rPr>
          <w:rFonts w:ascii="宋体" w:hAnsi="宋体"/>
          <w:snapToGrid w:val="0"/>
          <w:color w:val="auto"/>
          <w:kern w:val="0"/>
          <w:sz w:val="28"/>
          <w:szCs w:val="28"/>
          <w:highlight w:val="none"/>
        </w:rPr>
      </w:pPr>
      <w:r>
        <w:rPr>
          <w:rFonts w:ascii="宋体" w:hAnsi="宋体"/>
          <w:snapToGrid w:val="0"/>
          <w:color w:val="auto"/>
          <w:kern w:val="0"/>
          <w:sz w:val="28"/>
          <w:szCs w:val="28"/>
          <w:highlight w:val="none"/>
        </w:rPr>
        <w:t>日  期：</w:t>
      </w:r>
      <w:r>
        <w:rPr>
          <w:rFonts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rPr>
        <w:t>年</w:t>
      </w:r>
      <w:r>
        <w:rPr>
          <w:rFonts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rPr>
        <w:t>月</w:t>
      </w:r>
      <w:r>
        <w:rPr>
          <w:rFonts w:ascii="宋体" w:hAnsi="宋体"/>
          <w:snapToGrid w:val="0"/>
          <w:color w:val="auto"/>
          <w:kern w:val="0"/>
          <w:sz w:val="28"/>
          <w:szCs w:val="28"/>
          <w:highlight w:val="none"/>
          <w:u w:val="single"/>
        </w:rPr>
        <w:t xml:space="preserve">    </w:t>
      </w:r>
      <w:r>
        <w:rPr>
          <w:rFonts w:ascii="宋体" w:hAnsi="宋体"/>
          <w:snapToGrid w:val="0"/>
          <w:color w:val="auto"/>
          <w:kern w:val="0"/>
          <w:sz w:val="28"/>
          <w:szCs w:val="28"/>
          <w:highlight w:val="none"/>
        </w:rPr>
        <w:t>日</w:t>
      </w:r>
    </w:p>
    <w:p>
      <w:pPr>
        <w:adjustRightInd w:val="0"/>
        <w:snapToGrid w:val="0"/>
        <w:spacing w:line="360" w:lineRule="auto"/>
        <w:jc w:val="center"/>
        <w:outlineLvl w:val="1"/>
        <w:rPr>
          <w:rFonts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资格审查索引</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5470"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审查内容</w:t>
            </w:r>
          </w:p>
        </w:tc>
        <w:tc>
          <w:tcPr>
            <w:tcW w:w="1276"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center"/>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bl>
    <w:p>
      <w:pPr>
        <w:spacing w:line="420" w:lineRule="exact"/>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供应商</w:t>
      </w:r>
      <w:r>
        <w:rPr>
          <w:rFonts w:hint="eastAsia" w:ascii="宋体" w:hAnsi="宋体"/>
          <w:color w:val="auto"/>
          <w:szCs w:val="21"/>
          <w:highlight w:val="none"/>
        </w:rPr>
        <w:t>根据</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w:t>
      </w:r>
      <w:r>
        <w:rPr>
          <w:rFonts w:hint="eastAsia" w:ascii="宋体" w:hAnsi="宋体"/>
          <w:color w:val="auto"/>
          <w:szCs w:val="21"/>
          <w:highlight w:val="none"/>
          <w:lang w:val="en-US" w:eastAsia="zh-CN"/>
        </w:rPr>
        <w:t>五</w:t>
      </w:r>
      <w:r>
        <w:rPr>
          <w:rFonts w:hint="eastAsia" w:ascii="宋体" w:hAnsi="宋体"/>
          <w:color w:val="auto"/>
          <w:szCs w:val="21"/>
          <w:highlight w:val="none"/>
        </w:rPr>
        <w:t>条“</w:t>
      </w:r>
      <w:r>
        <w:rPr>
          <w:rFonts w:hint="eastAsia" w:ascii="宋体" w:hAnsi="宋体" w:cs="宋体"/>
          <w:color w:val="auto"/>
          <w:szCs w:val="21"/>
          <w:highlight w:val="none"/>
          <w:lang w:val="zh-CN"/>
        </w:rPr>
        <w:t>供应商资格条件</w:t>
      </w:r>
      <w:r>
        <w:rPr>
          <w:rFonts w:hint="eastAsia" w:ascii="宋体" w:hAnsi="宋体"/>
          <w:color w:val="auto"/>
          <w:szCs w:val="21"/>
          <w:highlight w:val="none"/>
        </w:rPr>
        <w:t>”条款一一对应填写本表。</w:t>
      </w:r>
    </w:p>
    <w:p>
      <w:pPr>
        <w:spacing w:line="420" w:lineRule="exact"/>
        <w:jc w:val="center"/>
        <w:rPr>
          <w:rFonts w:ascii="宋体" w:hAnsi="宋体"/>
          <w:color w:val="auto"/>
          <w:sz w:val="36"/>
          <w:szCs w:val="36"/>
          <w:highlight w:val="none"/>
        </w:rPr>
      </w:pPr>
    </w:p>
    <w:p>
      <w:pPr>
        <w:spacing w:line="360" w:lineRule="auto"/>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符合性审查索引</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5470"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审查内容</w:t>
            </w:r>
          </w:p>
        </w:tc>
        <w:tc>
          <w:tcPr>
            <w:tcW w:w="1276" w:type="dxa"/>
            <w:noWrap w:val="0"/>
            <w:vAlign w:val="center"/>
          </w:tcPr>
          <w:p>
            <w:pPr>
              <w:snapToGrid w:val="0"/>
              <w:spacing w:line="360" w:lineRule="exact"/>
              <w:jc w:val="center"/>
              <w:rPr>
                <w:rFonts w:ascii="宋体" w:hAnsi="宋体"/>
                <w:b/>
                <w:color w:val="auto"/>
                <w:sz w:val="24"/>
                <w:highlight w:val="none"/>
              </w:rPr>
            </w:pPr>
            <w:r>
              <w:rPr>
                <w:rFonts w:hint="eastAsia" w:ascii="宋体" w:hAnsi="宋体"/>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center"/>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pPr>
              <w:snapToGrid w:val="0"/>
              <w:spacing w:line="360" w:lineRule="exact"/>
              <w:jc w:val="center"/>
              <w:rPr>
                <w:rFonts w:ascii="宋体" w:hAnsi="宋体"/>
                <w:color w:val="auto"/>
                <w:sz w:val="24"/>
                <w:highlight w:val="none"/>
              </w:rPr>
            </w:pPr>
          </w:p>
        </w:tc>
        <w:tc>
          <w:tcPr>
            <w:tcW w:w="5470" w:type="dxa"/>
            <w:noWrap w:val="0"/>
            <w:vAlign w:val="top"/>
          </w:tcPr>
          <w:p>
            <w:pPr>
              <w:snapToGrid w:val="0"/>
              <w:spacing w:line="360" w:lineRule="exact"/>
              <w:jc w:val="center"/>
              <w:rPr>
                <w:rFonts w:ascii="宋体" w:hAnsi="宋体"/>
                <w:color w:val="auto"/>
                <w:sz w:val="24"/>
                <w:highlight w:val="none"/>
              </w:rPr>
            </w:pPr>
          </w:p>
        </w:tc>
        <w:tc>
          <w:tcPr>
            <w:tcW w:w="1276" w:type="dxa"/>
            <w:noWrap w:val="0"/>
            <w:vAlign w:val="center"/>
          </w:tcPr>
          <w:p>
            <w:pPr>
              <w:snapToGrid w:val="0"/>
              <w:spacing w:line="360" w:lineRule="exact"/>
              <w:jc w:val="center"/>
              <w:rPr>
                <w:rFonts w:ascii="宋体" w:hAnsi="宋体"/>
                <w:b/>
                <w:color w:val="auto"/>
                <w:sz w:val="24"/>
                <w:highlight w:val="none"/>
              </w:rPr>
            </w:pPr>
          </w:p>
        </w:tc>
      </w:tr>
    </w:tbl>
    <w:p>
      <w:pPr>
        <w:spacing w:line="420" w:lineRule="exact"/>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供应商</w:t>
      </w:r>
      <w:r>
        <w:rPr>
          <w:rFonts w:hint="eastAsia" w:ascii="宋体" w:hAnsi="宋体"/>
          <w:color w:val="auto"/>
          <w:szCs w:val="21"/>
          <w:highlight w:val="none"/>
        </w:rPr>
        <w:t>根据评标方法和评价标准的“初步评审”中“</w:t>
      </w:r>
      <w:r>
        <w:rPr>
          <w:rFonts w:hint="eastAsia" w:ascii="宋体" w:hAnsi="宋体" w:cs="宋体"/>
          <w:color w:val="auto"/>
          <w:szCs w:val="21"/>
          <w:highlight w:val="none"/>
        </w:rPr>
        <w:t>符合性审查</w:t>
      </w:r>
      <w:r>
        <w:rPr>
          <w:rFonts w:hint="eastAsia" w:ascii="宋体" w:hAnsi="宋体"/>
          <w:color w:val="auto"/>
          <w:szCs w:val="21"/>
          <w:highlight w:val="none"/>
        </w:rPr>
        <w:t>”条款一一对应填写本表。</w:t>
      </w:r>
    </w:p>
    <w:p>
      <w:pPr>
        <w:spacing w:line="420" w:lineRule="exact"/>
        <w:jc w:val="center"/>
        <w:rPr>
          <w:rFonts w:ascii="宋体" w:hAnsi="宋体"/>
          <w:color w:val="auto"/>
          <w:sz w:val="36"/>
          <w:szCs w:val="36"/>
          <w:highlight w:val="none"/>
        </w:rPr>
      </w:pPr>
    </w:p>
    <w:p>
      <w:pPr>
        <w:spacing w:line="360" w:lineRule="auto"/>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详细评审索引</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adjustRightInd w:val="0"/>
              <w:snapToGrid w:val="0"/>
              <w:jc w:val="center"/>
              <w:rPr>
                <w:rFonts w:ascii="宋体" w:hAnsi="宋体"/>
                <w:b/>
                <w:color w:val="auto"/>
                <w:sz w:val="24"/>
                <w:highlight w:val="none"/>
              </w:rPr>
            </w:pPr>
            <w:r>
              <w:rPr>
                <w:rFonts w:ascii="宋体" w:hAnsi="宋体"/>
                <w:b/>
                <w:color w:val="auto"/>
                <w:sz w:val="24"/>
                <w:highlight w:val="none"/>
              </w:rPr>
              <w:t>序号</w:t>
            </w:r>
          </w:p>
        </w:tc>
        <w:tc>
          <w:tcPr>
            <w:tcW w:w="5356"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评分/评审细则</w:t>
            </w:r>
          </w:p>
        </w:tc>
        <w:tc>
          <w:tcPr>
            <w:tcW w:w="1276"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adjustRightInd w:val="0"/>
              <w:snapToGrid w:val="0"/>
              <w:jc w:val="center"/>
              <w:rPr>
                <w:rFonts w:ascii="宋体" w:hAnsi="宋体"/>
                <w:color w:val="auto"/>
                <w:sz w:val="24"/>
                <w:highlight w:val="none"/>
              </w:rPr>
            </w:pPr>
          </w:p>
        </w:tc>
        <w:tc>
          <w:tcPr>
            <w:tcW w:w="5356" w:type="dxa"/>
            <w:noWrap w:val="0"/>
            <w:vAlign w:val="center"/>
          </w:tcPr>
          <w:p>
            <w:pPr>
              <w:adjustRightInd w:val="0"/>
              <w:snapToGrid w:val="0"/>
              <w:rPr>
                <w:rFonts w:ascii="宋体" w:hAnsi="宋体"/>
                <w:color w:val="auto"/>
                <w:sz w:val="24"/>
                <w:highlight w:val="none"/>
              </w:rPr>
            </w:pPr>
          </w:p>
        </w:tc>
        <w:tc>
          <w:tcPr>
            <w:tcW w:w="1276" w:type="dxa"/>
            <w:noWrap w:val="0"/>
            <w:vAlign w:val="center"/>
          </w:tcPr>
          <w:p>
            <w:pPr>
              <w:adjustRightInd w:val="0"/>
              <w:snapToGrid w:val="0"/>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noWrap w:val="0"/>
            <w:vAlign w:val="center"/>
          </w:tcPr>
          <w:p>
            <w:pPr>
              <w:adjustRightInd w:val="0"/>
              <w:snapToGrid w:val="0"/>
              <w:jc w:val="center"/>
              <w:rPr>
                <w:rFonts w:ascii="宋体" w:hAnsi="宋体"/>
                <w:color w:val="auto"/>
                <w:sz w:val="24"/>
                <w:highlight w:val="none"/>
              </w:rPr>
            </w:pPr>
          </w:p>
        </w:tc>
        <w:tc>
          <w:tcPr>
            <w:tcW w:w="5356" w:type="dxa"/>
            <w:noWrap w:val="0"/>
            <w:vAlign w:val="center"/>
          </w:tcPr>
          <w:p>
            <w:pPr>
              <w:adjustRightInd w:val="0"/>
              <w:snapToGrid w:val="0"/>
              <w:rPr>
                <w:rFonts w:ascii="宋体" w:hAnsi="宋体"/>
                <w:color w:val="auto"/>
                <w:sz w:val="24"/>
                <w:highlight w:val="none"/>
              </w:rPr>
            </w:pPr>
          </w:p>
        </w:tc>
        <w:tc>
          <w:tcPr>
            <w:tcW w:w="1276" w:type="dxa"/>
            <w:noWrap w:val="0"/>
            <w:vAlign w:val="center"/>
          </w:tcPr>
          <w:p>
            <w:pPr>
              <w:adjustRightInd w:val="0"/>
              <w:snapToGrid w:val="0"/>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adjustRightInd w:val="0"/>
              <w:snapToGrid w:val="0"/>
              <w:jc w:val="center"/>
              <w:rPr>
                <w:rFonts w:ascii="宋体" w:hAnsi="宋体"/>
                <w:color w:val="auto"/>
                <w:sz w:val="24"/>
                <w:highlight w:val="none"/>
              </w:rPr>
            </w:pPr>
          </w:p>
        </w:tc>
        <w:tc>
          <w:tcPr>
            <w:tcW w:w="5356" w:type="dxa"/>
            <w:noWrap w:val="0"/>
            <w:vAlign w:val="center"/>
          </w:tcPr>
          <w:p>
            <w:pPr>
              <w:adjustRightInd w:val="0"/>
              <w:snapToGrid w:val="0"/>
              <w:rPr>
                <w:rFonts w:ascii="宋体" w:hAnsi="宋体"/>
                <w:color w:val="auto"/>
                <w:sz w:val="24"/>
                <w:highlight w:val="none"/>
              </w:rPr>
            </w:pPr>
          </w:p>
        </w:tc>
        <w:tc>
          <w:tcPr>
            <w:tcW w:w="1276" w:type="dxa"/>
            <w:noWrap w:val="0"/>
            <w:vAlign w:val="center"/>
          </w:tcPr>
          <w:p>
            <w:pPr>
              <w:adjustRightInd w:val="0"/>
              <w:snapToGrid w:val="0"/>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adjustRightInd w:val="0"/>
              <w:snapToGrid w:val="0"/>
              <w:jc w:val="center"/>
              <w:rPr>
                <w:rFonts w:ascii="宋体" w:hAnsi="宋体"/>
                <w:color w:val="auto"/>
                <w:sz w:val="24"/>
                <w:highlight w:val="none"/>
              </w:rPr>
            </w:pPr>
          </w:p>
        </w:tc>
        <w:tc>
          <w:tcPr>
            <w:tcW w:w="5356" w:type="dxa"/>
            <w:noWrap w:val="0"/>
            <w:vAlign w:val="center"/>
          </w:tcPr>
          <w:p>
            <w:pPr>
              <w:adjustRightInd w:val="0"/>
              <w:snapToGrid w:val="0"/>
              <w:rPr>
                <w:rFonts w:ascii="宋体" w:hAnsi="宋体"/>
                <w:color w:val="auto"/>
                <w:sz w:val="24"/>
                <w:highlight w:val="none"/>
              </w:rPr>
            </w:pPr>
          </w:p>
        </w:tc>
        <w:tc>
          <w:tcPr>
            <w:tcW w:w="1276" w:type="dxa"/>
            <w:noWrap w:val="0"/>
            <w:vAlign w:val="center"/>
          </w:tcPr>
          <w:p>
            <w:pPr>
              <w:adjustRightInd w:val="0"/>
              <w:snapToGrid w:val="0"/>
              <w:jc w:val="center"/>
              <w:rPr>
                <w:rFonts w:ascii="宋体" w:hAnsi="宋体"/>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pPr>
              <w:adjustRightInd w:val="0"/>
              <w:snapToGrid w:val="0"/>
              <w:jc w:val="center"/>
              <w:rPr>
                <w:rFonts w:ascii="宋体" w:hAnsi="宋体"/>
                <w:color w:val="auto"/>
                <w:sz w:val="24"/>
                <w:highlight w:val="none"/>
              </w:rPr>
            </w:pPr>
          </w:p>
        </w:tc>
        <w:tc>
          <w:tcPr>
            <w:tcW w:w="5356" w:type="dxa"/>
            <w:noWrap w:val="0"/>
            <w:vAlign w:val="center"/>
          </w:tcPr>
          <w:p>
            <w:pPr>
              <w:adjustRightInd w:val="0"/>
              <w:snapToGrid w:val="0"/>
              <w:ind w:left="-2" w:leftChars="-1" w:firstLine="2"/>
              <w:rPr>
                <w:rFonts w:ascii="宋体" w:hAnsi="宋体"/>
                <w:b/>
                <w:color w:val="auto"/>
                <w:sz w:val="24"/>
                <w:highlight w:val="none"/>
              </w:rPr>
            </w:pPr>
          </w:p>
        </w:tc>
        <w:tc>
          <w:tcPr>
            <w:tcW w:w="1276" w:type="dxa"/>
            <w:noWrap w:val="0"/>
            <w:vAlign w:val="center"/>
          </w:tcPr>
          <w:p>
            <w:pPr>
              <w:adjustRightInd w:val="0"/>
              <w:snapToGrid w:val="0"/>
              <w:jc w:val="center"/>
              <w:rPr>
                <w:rFonts w:ascii="宋体" w:hAnsi="宋体"/>
                <w:b/>
                <w:color w:val="auto"/>
                <w:sz w:val="24"/>
                <w:highlight w:val="none"/>
              </w:rPr>
            </w:pPr>
          </w:p>
        </w:tc>
      </w:tr>
    </w:tbl>
    <w:p>
      <w:pPr>
        <w:spacing w:line="440" w:lineRule="exact"/>
        <w:rPr>
          <w:rFonts w:hint="eastAsia" w:hAnsi="宋体" w:cs="宋体"/>
          <w:color w:val="auto"/>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供应商</w:t>
      </w:r>
      <w:r>
        <w:rPr>
          <w:rFonts w:hint="eastAsia" w:ascii="宋体" w:hAnsi="宋体"/>
          <w:color w:val="auto"/>
          <w:szCs w:val="21"/>
          <w:highlight w:val="none"/>
        </w:rPr>
        <w:t>根据评标方法及评价标准的“详细评审”条款一一对应填写本表。</w:t>
      </w:r>
    </w:p>
    <w:p>
      <w:pPr>
        <w:adjustRightInd w:val="0"/>
        <w:snapToGrid w:val="0"/>
        <w:spacing w:line="360" w:lineRule="auto"/>
        <w:jc w:val="left"/>
        <w:outlineLvl w:val="1"/>
        <w:rPr>
          <w:rFonts w:hint="eastAsia" w:ascii="宋体" w:hAnsi="宋体" w:cs="宋体"/>
          <w:snapToGrid w:val="0"/>
          <w:color w:val="auto"/>
          <w:kern w:val="0"/>
          <w:szCs w:val="21"/>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第一部分、资格文件</w:t>
      </w:r>
    </w:p>
    <w:p>
      <w:pPr>
        <w:adjustRightInd w:val="0"/>
        <w:snapToGrid w:val="0"/>
        <w:spacing w:line="360" w:lineRule="auto"/>
        <w:jc w:val="center"/>
        <w:outlineLvl w:val="1"/>
        <w:rPr>
          <w:rFonts w:ascii="宋体" w:hAnsi="宋体" w:cs="宋体"/>
          <w:b/>
          <w:color w:val="auto"/>
          <w:sz w:val="32"/>
          <w:szCs w:val="32"/>
          <w:highlight w:val="none"/>
        </w:rPr>
      </w:pPr>
      <w:r>
        <w:rPr>
          <w:rFonts w:ascii="宋体" w:hAnsi="宋体" w:cs="宋体"/>
          <w:b/>
          <w:color w:val="auto"/>
          <w:sz w:val="32"/>
          <w:szCs w:val="32"/>
          <w:highlight w:val="none"/>
          <w:lang w:val="zh-CN"/>
        </w:rPr>
        <w:t>一、</w:t>
      </w:r>
      <w:r>
        <w:rPr>
          <w:rFonts w:ascii="宋体" w:hAnsi="宋体"/>
          <w:b/>
          <w:color w:val="auto"/>
          <w:sz w:val="32"/>
          <w:szCs w:val="32"/>
          <w:highlight w:val="none"/>
        </w:rPr>
        <w:t>营业执照</w:t>
      </w:r>
      <w:r>
        <w:rPr>
          <w:rFonts w:ascii="宋体" w:hAnsi="宋体" w:cs="宋体"/>
          <w:b/>
          <w:color w:val="auto"/>
          <w:sz w:val="32"/>
          <w:szCs w:val="32"/>
          <w:highlight w:val="none"/>
        </w:rPr>
        <w:t>（</w:t>
      </w:r>
      <w:r>
        <w:rPr>
          <w:rFonts w:hint="eastAsia" w:ascii="宋体" w:hAnsi="宋体" w:cs="宋体"/>
          <w:b/>
          <w:color w:val="auto"/>
          <w:sz w:val="32"/>
          <w:szCs w:val="32"/>
          <w:highlight w:val="none"/>
        </w:rPr>
        <w:t>复制件</w:t>
      </w:r>
      <w:r>
        <w:rPr>
          <w:rFonts w:ascii="宋体" w:hAnsi="宋体" w:cs="宋体"/>
          <w:b/>
          <w:color w:val="auto"/>
          <w:sz w:val="32"/>
          <w:szCs w:val="32"/>
          <w:highlight w:val="none"/>
        </w:rPr>
        <w:t>加盖公章）</w:t>
      </w:r>
    </w:p>
    <w:p>
      <w:pPr>
        <w:spacing w:line="360" w:lineRule="auto"/>
        <w:jc w:val="center"/>
        <w:rPr>
          <w:rFonts w:hint="eastAsia" w:ascii="仿宋" w:hAnsi="仿宋" w:eastAsia="仿宋" w:cs="仿宋_GB2312"/>
          <w:b/>
          <w:color w:val="auto"/>
          <w:sz w:val="30"/>
          <w:szCs w:val="30"/>
          <w:highlight w:val="none"/>
        </w:rPr>
      </w:pPr>
    </w:p>
    <w:p>
      <w:pPr>
        <w:pStyle w:val="131"/>
        <w:rPr>
          <w:rFonts w:hint="eastAsia"/>
          <w:color w:val="auto"/>
          <w:highlight w:val="none"/>
        </w:rPr>
      </w:pPr>
    </w:p>
    <w:p>
      <w:pPr>
        <w:snapToGrid w:val="0"/>
        <w:spacing w:line="360" w:lineRule="auto"/>
        <w:ind w:right="480"/>
        <w:jc w:val="center"/>
        <w:rPr>
          <w:rFonts w:hint="eastAsia" w:ascii="仿宋" w:hAnsi="仿宋" w:eastAsia="仿宋" w:cs="仿宋_GB2312"/>
          <w:b/>
          <w:color w:val="auto"/>
          <w:kern w:val="0"/>
          <w:sz w:val="32"/>
          <w:szCs w:val="32"/>
          <w:highlight w:val="none"/>
          <w:lang w:val="zh-CN"/>
        </w:rPr>
      </w:pPr>
    </w:p>
    <w:p>
      <w:pPr>
        <w:pStyle w:val="131"/>
        <w:rPr>
          <w:rFonts w:hint="eastAsia"/>
          <w:color w:val="auto"/>
          <w:highlight w:val="none"/>
          <w:lang w:val="zh-CN"/>
        </w:rPr>
      </w:pPr>
    </w:p>
    <w:p>
      <w:pPr>
        <w:adjustRightInd w:val="0"/>
        <w:snapToGrid w:val="0"/>
        <w:spacing w:line="360" w:lineRule="auto"/>
        <w:jc w:val="center"/>
        <w:outlineLvl w:val="1"/>
        <w:rPr>
          <w:rFonts w:ascii="宋体" w:hAnsi="宋体"/>
          <w:b/>
          <w:color w:val="auto"/>
          <w:sz w:val="32"/>
          <w:szCs w:val="32"/>
          <w:highlight w:val="none"/>
          <w:lang w:val="zh-CN"/>
        </w:rPr>
      </w:pPr>
      <w:r>
        <w:rPr>
          <w:rFonts w:hint="eastAsia" w:ascii="宋体" w:hAnsi="宋体"/>
          <w:b/>
          <w:color w:val="auto"/>
          <w:sz w:val="32"/>
          <w:szCs w:val="32"/>
          <w:highlight w:val="none"/>
          <w:lang w:val="zh-CN"/>
        </w:rPr>
        <w:t>二</w:t>
      </w:r>
      <w:r>
        <w:rPr>
          <w:rFonts w:ascii="宋体" w:hAnsi="宋体"/>
          <w:b/>
          <w:color w:val="auto"/>
          <w:sz w:val="32"/>
          <w:szCs w:val="32"/>
          <w:highlight w:val="none"/>
          <w:lang w:val="zh-CN"/>
        </w:rPr>
        <w:t>、</w:t>
      </w:r>
      <w:r>
        <w:rPr>
          <w:rFonts w:hint="eastAsia" w:ascii="宋体" w:hAnsi="宋体"/>
          <w:b/>
          <w:color w:val="auto"/>
          <w:sz w:val="32"/>
          <w:szCs w:val="32"/>
          <w:highlight w:val="none"/>
          <w:lang w:val="zh-CN"/>
        </w:rPr>
        <w:t>其他资格条件证明材料</w:t>
      </w:r>
      <w:r>
        <w:rPr>
          <w:rFonts w:ascii="宋体" w:hAnsi="宋体"/>
          <w:b/>
          <w:color w:val="auto"/>
          <w:sz w:val="32"/>
          <w:szCs w:val="32"/>
          <w:highlight w:val="none"/>
          <w:lang w:val="zh-CN"/>
        </w:rPr>
        <w:t>（</w:t>
      </w:r>
      <w:r>
        <w:rPr>
          <w:rFonts w:hint="eastAsia" w:ascii="宋体" w:hAnsi="宋体"/>
          <w:b/>
          <w:color w:val="auto"/>
          <w:sz w:val="32"/>
          <w:szCs w:val="32"/>
          <w:highlight w:val="none"/>
          <w:lang w:val="zh-CN"/>
        </w:rPr>
        <w:t>复制件</w:t>
      </w:r>
      <w:r>
        <w:rPr>
          <w:rFonts w:ascii="宋体" w:hAnsi="宋体"/>
          <w:b/>
          <w:color w:val="auto"/>
          <w:sz w:val="32"/>
          <w:szCs w:val="32"/>
          <w:highlight w:val="none"/>
          <w:lang w:val="zh-CN"/>
        </w:rPr>
        <w:t>加盖公章）</w:t>
      </w:r>
    </w:p>
    <w:p>
      <w:pPr>
        <w:snapToGrid w:val="0"/>
        <w:spacing w:line="360" w:lineRule="auto"/>
        <w:ind w:right="480"/>
        <w:rPr>
          <w:rFonts w:ascii="仿宋" w:hAnsi="仿宋" w:eastAsia="仿宋" w:cs="仿宋_GB2312"/>
          <w:b/>
          <w:color w:val="auto"/>
          <w:kern w:val="0"/>
          <w:sz w:val="32"/>
          <w:szCs w:val="32"/>
          <w:highlight w:val="none"/>
        </w:rPr>
      </w:pPr>
    </w:p>
    <w:p>
      <w:pPr>
        <w:adjustRightInd w:val="0"/>
        <w:snapToGrid w:val="0"/>
        <w:spacing w:line="360" w:lineRule="auto"/>
        <w:jc w:val="left"/>
        <w:outlineLvl w:val="1"/>
        <w:rPr>
          <w:rFonts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第二部分、商务文件</w:t>
      </w:r>
    </w:p>
    <w:p>
      <w:pPr>
        <w:adjustRightInd w:val="0"/>
        <w:snapToGrid w:val="0"/>
        <w:spacing w:line="360" w:lineRule="auto"/>
        <w:jc w:val="center"/>
        <w:outlineLvl w:val="1"/>
        <w:rPr>
          <w:rFonts w:ascii="宋体" w:hAnsi="宋体"/>
          <w:b/>
          <w:color w:val="auto"/>
          <w:sz w:val="32"/>
          <w:szCs w:val="32"/>
          <w:highlight w:val="none"/>
        </w:rPr>
      </w:pPr>
      <w:r>
        <w:rPr>
          <w:rFonts w:ascii="宋体" w:hAnsi="宋体"/>
          <w:b/>
          <w:color w:val="auto"/>
          <w:sz w:val="32"/>
          <w:szCs w:val="32"/>
          <w:highlight w:val="none"/>
        </w:rPr>
        <w:t>一、投 标 函</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left="120" w:leftChars="57"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1．我方仔细研究了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）招标文件（包括招标补充文件）的全部内容，愿意以</w:t>
      </w:r>
      <w:r>
        <w:rPr>
          <w:rFonts w:hint="eastAsia" w:ascii="宋体" w:hAnsi="宋体" w:cs="宋体"/>
          <w:color w:val="auto"/>
          <w:szCs w:val="21"/>
          <w:highlight w:val="none"/>
          <w:u w:val="single"/>
          <w:lang w:val="en-US" w:eastAsia="zh-CN"/>
        </w:rPr>
        <w:t>7000</w:t>
      </w:r>
      <w:r>
        <w:rPr>
          <w:rFonts w:hint="eastAsia" w:ascii="宋体" w:hAnsi="宋体" w:cs="宋体"/>
          <w:color w:val="auto"/>
          <w:szCs w:val="21"/>
          <w:highlight w:val="none"/>
          <w:u w:val="single"/>
        </w:rPr>
        <w:t>元/个</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承担本项目的相关工作</w:t>
      </w:r>
      <w:r>
        <w:rPr>
          <w:rFonts w:hint="eastAsia" w:ascii="宋体" w:hAnsi="宋体" w:cs="宋体"/>
          <w:color w:val="auto"/>
          <w:szCs w:val="21"/>
          <w:highlight w:val="none"/>
        </w:rPr>
        <w:t>，服务期</w:t>
      </w:r>
      <w:r>
        <w:rPr>
          <w:rFonts w:hint="eastAsia" w:ascii="宋体" w:hAnsi="宋体" w:cs="宋体"/>
          <w:color w:val="auto"/>
          <w:szCs w:val="21"/>
          <w:highlight w:val="none"/>
          <w:u w:val="single"/>
        </w:rPr>
        <w:t xml:space="preserve"> 按</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 xml:space="preserve">文件要求 </w:t>
      </w:r>
      <w:r>
        <w:rPr>
          <w:rFonts w:hint="eastAsia" w:ascii="宋体" w:hAnsi="宋体" w:cs="宋体"/>
          <w:color w:val="auto"/>
          <w:szCs w:val="21"/>
          <w:highlight w:val="none"/>
        </w:rPr>
        <w:t>，项目负责人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2．我方承诺在投标有效期内（从投标截止日起</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日历天）不撤销投标文件。</w:t>
      </w:r>
    </w:p>
    <w:p>
      <w:pPr>
        <w:adjustRightInd w:val="0"/>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．我方已详细审查全部招标文件、包括修改文件(如需要修改)以及全部参考资料和有关附件。我们完全理解并同意放弃对这方面有不明及误解的权利。</w:t>
      </w:r>
    </w:p>
    <w:p>
      <w:pPr>
        <w:adjustRightInd w:val="0"/>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 我方同意按照招标人要求提供与其招标有关的一切数据和资料，完全理解招标人不一定接受最低价的投标或收到的任何投标。</w:t>
      </w:r>
    </w:p>
    <w:p>
      <w:pPr>
        <w:adjustRightInd w:val="0"/>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．如我方中标：</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（1）我方承诺收到中标通知书后，在中标通知书规定的期限内与你方签订合同。</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（2）我方承诺在合同约定的期限内完成所有工作内容。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6．我方在此声明，所递交的投标文件及有关资料内容完整、真实和准确。</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adjustRightInd w:val="0"/>
        <w:snapToGrid w:val="0"/>
        <w:spacing w:line="360" w:lineRule="auto"/>
        <w:ind w:firstLine="420" w:firstLineChars="200"/>
        <w:rPr>
          <w:rFonts w:hint="eastAsia" w:ascii="宋体" w:hAnsi="宋体" w:cs="宋体"/>
          <w:color w:val="auto"/>
          <w:szCs w:val="21"/>
          <w:highlight w:val="none"/>
        </w:rPr>
      </w:pPr>
    </w:p>
    <w:p>
      <w:pPr>
        <w:pStyle w:val="24"/>
        <w:snapToGrid w:val="0"/>
        <w:spacing w:line="360" w:lineRule="auto"/>
        <w:ind w:firstLine="3150" w:firstLineChars="1500"/>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ind w:firstLine="3150" w:firstLineChars="1500"/>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地    址：</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邮政编码：</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电    话：</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传    真：</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开户银行：</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账    号：</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    期：      年   月   日</w:t>
      </w:r>
    </w:p>
    <w:p>
      <w:pPr>
        <w:snapToGrid w:val="0"/>
        <w:spacing w:line="360" w:lineRule="auto"/>
        <w:jc w:val="center"/>
        <w:outlineLvl w:val="1"/>
        <w:rPr>
          <w:rFonts w:ascii="宋体" w:hAnsi="宋体"/>
          <w:b/>
          <w:bCs/>
          <w:color w:val="auto"/>
          <w:sz w:val="32"/>
          <w:szCs w:val="32"/>
          <w:highlight w:val="none"/>
        </w:rPr>
      </w:pPr>
      <w:r>
        <w:rPr>
          <w:rFonts w:hint="eastAsia" w:ascii="宋体" w:hAnsi="宋体" w:cs="宋体"/>
          <w:color w:val="auto"/>
          <w:szCs w:val="21"/>
          <w:highlight w:val="none"/>
        </w:rPr>
        <w:br w:type="page"/>
      </w:r>
      <w:r>
        <w:rPr>
          <w:rFonts w:hint="eastAsia" w:ascii="宋体" w:hAnsi="宋体"/>
          <w:b/>
          <w:bCs/>
          <w:color w:val="auto"/>
          <w:sz w:val="32"/>
          <w:szCs w:val="32"/>
          <w:highlight w:val="none"/>
        </w:rPr>
        <w:t>二</w:t>
      </w:r>
      <w:r>
        <w:rPr>
          <w:rFonts w:ascii="宋体" w:hAnsi="宋体"/>
          <w:b/>
          <w:bCs/>
          <w:color w:val="auto"/>
          <w:sz w:val="32"/>
          <w:szCs w:val="32"/>
          <w:highlight w:val="none"/>
        </w:rPr>
        <w:t>、</w:t>
      </w:r>
      <w:r>
        <w:rPr>
          <w:rFonts w:hint="eastAsia" w:ascii="宋体" w:hAnsi="宋体"/>
          <w:b/>
          <w:bCs/>
          <w:color w:val="auto"/>
          <w:sz w:val="32"/>
          <w:szCs w:val="32"/>
          <w:highlight w:val="none"/>
        </w:rPr>
        <w:t>投标报价明细表</w:t>
      </w:r>
    </w:p>
    <w:p>
      <w:pPr>
        <w:widowControl/>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idowControl/>
        <w:snapToGrid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编号：</w:t>
      </w:r>
      <w:r>
        <w:rPr>
          <w:rFonts w:hint="eastAsia" w:ascii="宋体" w:hAnsi="宋体" w:cs="宋体"/>
          <w:color w:val="auto"/>
          <w:szCs w:val="21"/>
          <w:highlight w:val="none"/>
          <w:u w:val="single"/>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85"/>
        <w:gridCol w:w="3585"/>
        <w:gridCol w:w="19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jc w:val="center"/>
        </w:trPr>
        <w:tc>
          <w:tcPr>
            <w:tcW w:w="796" w:type="dxa"/>
            <w:noWrap w:val="0"/>
            <w:vAlign w:val="center"/>
          </w:tcPr>
          <w:p>
            <w:pPr>
              <w:snapToGrid w:val="0"/>
              <w:jc w:val="center"/>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序号</w:t>
            </w:r>
          </w:p>
        </w:tc>
        <w:tc>
          <w:tcPr>
            <w:tcW w:w="2085" w:type="dxa"/>
            <w:noWrap w:val="0"/>
            <w:vAlign w:val="center"/>
          </w:tcPr>
          <w:p>
            <w:pPr>
              <w:snapToGrid w:val="0"/>
              <w:jc w:val="center"/>
              <w:textAlignment w:val="baseline"/>
              <w:rPr>
                <w:rFonts w:ascii="宋体" w:hAnsi="宋体" w:cs="Courier New"/>
                <w:snapToGrid w:val="0"/>
                <w:color w:val="auto"/>
                <w:kern w:val="0"/>
                <w:szCs w:val="21"/>
                <w:highlight w:val="none"/>
              </w:rPr>
            </w:pPr>
            <w:r>
              <w:rPr>
                <w:rFonts w:hint="eastAsia" w:ascii="宋体" w:hAnsi="宋体" w:cs="Courier New"/>
                <w:snapToGrid w:val="0"/>
                <w:color w:val="auto"/>
                <w:kern w:val="0"/>
                <w:szCs w:val="21"/>
                <w:highlight w:val="none"/>
              </w:rPr>
              <w:t>咨询服务内容</w:t>
            </w:r>
          </w:p>
        </w:tc>
        <w:tc>
          <w:tcPr>
            <w:tcW w:w="3585" w:type="dxa"/>
            <w:noWrap w:val="0"/>
            <w:vAlign w:val="center"/>
          </w:tcPr>
          <w:p>
            <w:pPr>
              <w:snapToGrid w:val="0"/>
              <w:jc w:val="center"/>
              <w:textAlignment w:val="baseline"/>
              <w:rPr>
                <w:rFonts w:ascii="宋体" w:hAnsi="宋体" w:cs="Courier New"/>
                <w:snapToGrid w:val="0"/>
                <w:color w:val="auto"/>
                <w:kern w:val="0"/>
                <w:szCs w:val="21"/>
                <w:highlight w:val="none"/>
              </w:rPr>
            </w:pPr>
            <w:r>
              <w:rPr>
                <w:rFonts w:hint="eastAsia" w:ascii="宋体" w:hAnsi="宋体" w:cs="Courier New"/>
                <w:snapToGrid w:val="0"/>
                <w:color w:val="auto"/>
                <w:kern w:val="0"/>
                <w:szCs w:val="21"/>
                <w:highlight w:val="none"/>
              </w:rPr>
              <w:t>服务费单价（取费标准）</w:t>
            </w:r>
          </w:p>
        </w:tc>
        <w:tc>
          <w:tcPr>
            <w:tcW w:w="1912" w:type="dxa"/>
            <w:noWrap w:val="0"/>
            <w:vAlign w:val="center"/>
          </w:tcPr>
          <w:p>
            <w:pPr>
              <w:snapToGrid w:val="0"/>
              <w:jc w:val="center"/>
              <w:textAlignment w:val="baseline"/>
              <w:rPr>
                <w:rFonts w:hint="eastAsia" w:ascii="宋体" w:hAnsi="宋体" w:eastAsia="宋体" w:cs="Courier New"/>
                <w:snapToGrid w:val="0"/>
                <w:color w:val="auto"/>
                <w:kern w:val="0"/>
                <w:szCs w:val="21"/>
                <w:highlight w:val="none"/>
                <w:lang w:eastAsia="zh-CN"/>
              </w:rPr>
            </w:pPr>
            <w:r>
              <w:rPr>
                <w:rFonts w:hint="eastAsia" w:ascii="宋体" w:hAnsi="宋体" w:cs="Courier New"/>
                <w:snapToGrid w:val="0"/>
                <w:color w:val="auto"/>
                <w:kern w:val="0"/>
                <w:szCs w:val="21"/>
                <w:highlight w:val="none"/>
              </w:rPr>
              <w:t>投标</w:t>
            </w:r>
            <w:r>
              <w:rPr>
                <w:rFonts w:hint="eastAsia" w:ascii="宋体" w:hAnsi="宋体" w:cs="Courier New"/>
                <w:snapToGrid w:val="0"/>
                <w:color w:val="auto"/>
                <w:kern w:val="0"/>
                <w:szCs w:val="21"/>
                <w:highlight w:val="none"/>
                <w:lang w:val="en-US" w:eastAsia="zh-CN"/>
              </w:rPr>
              <w:t>费率</w:t>
            </w:r>
          </w:p>
        </w:tc>
        <w:tc>
          <w:tcPr>
            <w:tcW w:w="1173" w:type="dxa"/>
            <w:noWrap w:val="0"/>
            <w:vAlign w:val="center"/>
          </w:tcPr>
          <w:p>
            <w:pPr>
              <w:snapToGrid w:val="0"/>
              <w:jc w:val="center"/>
              <w:textAlignment w:val="baseline"/>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796" w:type="dxa"/>
            <w:noWrap w:val="0"/>
            <w:vAlign w:val="center"/>
          </w:tcPr>
          <w:p>
            <w:pPr>
              <w:snapToGrid w:val="0"/>
              <w:jc w:val="center"/>
              <w:rPr>
                <w:rFonts w:ascii="宋体" w:hAnsi="宋体" w:cs="Courier New"/>
                <w:snapToGrid w:val="0"/>
                <w:color w:val="auto"/>
                <w:kern w:val="0"/>
                <w:szCs w:val="21"/>
                <w:highlight w:val="none"/>
              </w:rPr>
            </w:pPr>
            <w:r>
              <w:rPr>
                <w:rFonts w:ascii="宋体" w:hAnsi="宋体" w:cs="Courier New"/>
                <w:snapToGrid w:val="0"/>
                <w:color w:val="auto"/>
                <w:kern w:val="0"/>
                <w:szCs w:val="21"/>
                <w:highlight w:val="none"/>
              </w:rPr>
              <w:t>1</w:t>
            </w:r>
          </w:p>
        </w:tc>
        <w:tc>
          <w:tcPr>
            <w:tcW w:w="2085" w:type="dxa"/>
            <w:noWrap w:val="0"/>
            <w:vAlign w:val="center"/>
          </w:tcPr>
          <w:p>
            <w:pPr>
              <w:snapToGrid w:val="0"/>
              <w:jc w:val="center"/>
              <w:textAlignment w:val="baseline"/>
              <w:rPr>
                <w:rFonts w:hint="eastAsia" w:ascii="宋体" w:hAnsi="宋体" w:eastAsia="宋体" w:cs="Courier New"/>
                <w:snapToGrid w:val="0"/>
                <w:color w:val="auto"/>
                <w:kern w:val="0"/>
                <w:szCs w:val="21"/>
                <w:highlight w:val="none"/>
                <w:lang w:eastAsia="zh-CN"/>
              </w:rPr>
            </w:pPr>
            <w:r>
              <w:rPr>
                <w:rFonts w:hint="eastAsia" w:ascii="宋体" w:hAnsi="宋体" w:eastAsia="宋体" w:cs="Courier New"/>
                <w:snapToGrid w:val="0"/>
                <w:color w:val="auto"/>
                <w:kern w:val="0"/>
                <w:sz w:val="21"/>
                <w:szCs w:val="21"/>
                <w:highlight w:val="none"/>
              </w:rPr>
              <w:t>非</w:t>
            </w:r>
            <w:r>
              <w:rPr>
                <w:rFonts w:hint="eastAsia" w:ascii="宋体" w:hAnsi="宋体" w:eastAsia="宋体" w:cs="Courier New"/>
                <w:snapToGrid w:val="0"/>
                <w:color w:val="auto"/>
                <w:kern w:val="0"/>
                <w:sz w:val="21"/>
                <w:szCs w:val="21"/>
                <w:highlight w:val="none"/>
                <w:lang w:val="en-US" w:eastAsia="zh-CN"/>
              </w:rPr>
              <w:t>招标</w:t>
            </w:r>
            <w:r>
              <w:rPr>
                <w:rFonts w:hint="eastAsia" w:ascii="宋体" w:hAnsi="宋体" w:eastAsia="宋体" w:cs="Courier New"/>
                <w:snapToGrid w:val="0"/>
                <w:color w:val="auto"/>
                <w:kern w:val="0"/>
                <w:sz w:val="21"/>
                <w:szCs w:val="21"/>
                <w:highlight w:val="none"/>
              </w:rPr>
              <w:t>方式采购项目代理服务</w:t>
            </w:r>
            <w:r>
              <w:rPr>
                <w:rFonts w:hint="eastAsia" w:ascii="宋体" w:hAnsi="宋体" w:eastAsia="宋体" w:cs="Courier New"/>
                <w:snapToGrid w:val="0"/>
                <w:color w:val="auto"/>
                <w:kern w:val="0"/>
                <w:sz w:val="21"/>
                <w:szCs w:val="21"/>
                <w:highlight w:val="none"/>
                <w:lang w:eastAsia="zh-CN"/>
              </w:rPr>
              <w:t>（</w:t>
            </w:r>
            <w:r>
              <w:rPr>
                <w:rFonts w:hint="eastAsia" w:ascii="宋体" w:hAnsi="宋体" w:eastAsia="宋体" w:cs="Courier New"/>
                <w:snapToGrid w:val="0"/>
                <w:color w:val="auto"/>
                <w:kern w:val="0"/>
                <w:sz w:val="21"/>
                <w:szCs w:val="21"/>
                <w:highlight w:val="none"/>
                <w:lang w:val="en-US" w:eastAsia="zh-CN"/>
              </w:rPr>
              <w:t>不含直接委托方式</w:t>
            </w:r>
            <w:r>
              <w:rPr>
                <w:rFonts w:hint="eastAsia" w:ascii="宋体" w:hAnsi="宋体" w:eastAsia="宋体" w:cs="Courier New"/>
                <w:snapToGrid w:val="0"/>
                <w:color w:val="auto"/>
                <w:kern w:val="0"/>
                <w:sz w:val="21"/>
                <w:szCs w:val="21"/>
                <w:highlight w:val="none"/>
                <w:lang w:eastAsia="zh-CN"/>
              </w:rPr>
              <w:t>）</w:t>
            </w:r>
          </w:p>
        </w:tc>
        <w:tc>
          <w:tcPr>
            <w:tcW w:w="3585" w:type="dxa"/>
            <w:noWrap w:val="0"/>
            <w:vAlign w:val="center"/>
          </w:tcPr>
          <w:p>
            <w:pPr>
              <w:snapToGrid w:val="0"/>
              <w:jc w:val="center"/>
              <w:textAlignment w:val="baseline"/>
              <w:rPr>
                <w:rFonts w:hint="eastAsia" w:ascii="宋体" w:hAnsi="宋体" w:eastAsia="宋体" w:cs="Courier New"/>
                <w:snapToGrid w:val="0"/>
                <w:color w:val="auto"/>
                <w:kern w:val="0"/>
                <w:szCs w:val="21"/>
                <w:highlight w:val="none"/>
                <w:lang w:val="en-US" w:eastAsia="zh-CN"/>
              </w:rPr>
            </w:pPr>
            <w:r>
              <w:rPr>
                <w:rFonts w:hint="eastAsia" w:ascii="宋体" w:hAnsi="宋体" w:eastAsia="宋体" w:cs="Courier New"/>
                <w:snapToGrid w:val="0"/>
                <w:color w:val="auto"/>
                <w:kern w:val="0"/>
                <w:szCs w:val="21"/>
                <w:highlight w:val="none"/>
                <w:lang w:val="en-US" w:eastAsia="zh-CN"/>
              </w:rPr>
              <w:t>7000元/个</w:t>
            </w:r>
          </w:p>
        </w:tc>
        <w:tc>
          <w:tcPr>
            <w:tcW w:w="1912" w:type="dxa"/>
            <w:noWrap w:val="0"/>
            <w:vAlign w:val="center"/>
          </w:tcPr>
          <w:p>
            <w:pPr>
              <w:snapToGrid w:val="0"/>
              <w:jc w:val="center"/>
              <w:textAlignment w:val="baseline"/>
              <w:rPr>
                <w:rFonts w:ascii="宋体" w:hAnsi="宋体" w:cs="Courier New"/>
                <w:snapToGrid w:val="0"/>
                <w:color w:val="auto"/>
                <w:kern w:val="0"/>
                <w:szCs w:val="21"/>
                <w:highlight w:val="none"/>
              </w:rPr>
            </w:pPr>
            <w:r>
              <w:rPr>
                <w:rFonts w:hint="eastAsia" w:ascii="宋体" w:hAnsi="宋体" w:cs="Courier New"/>
                <w:snapToGrid w:val="0"/>
                <w:color w:val="auto"/>
                <w:kern w:val="0"/>
                <w:szCs w:val="21"/>
                <w:highlight w:val="none"/>
                <w:u w:val="single"/>
              </w:rPr>
              <w:t xml:space="preserve">      </w:t>
            </w:r>
            <w:r>
              <w:rPr>
                <w:rFonts w:hint="eastAsia" w:ascii="宋体" w:hAnsi="宋体" w:cs="Courier New"/>
                <w:snapToGrid w:val="0"/>
                <w:color w:val="auto"/>
                <w:kern w:val="0"/>
                <w:szCs w:val="21"/>
                <w:highlight w:val="none"/>
              </w:rPr>
              <w:t>%</w:t>
            </w:r>
          </w:p>
        </w:tc>
        <w:tc>
          <w:tcPr>
            <w:tcW w:w="1173" w:type="dxa"/>
            <w:noWrap w:val="0"/>
            <w:vAlign w:val="center"/>
          </w:tcPr>
          <w:p>
            <w:pPr>
              <w:snapToGrid w:val="0"/>
              <w:jc w:val="center"/>
              <w:textAlignment w:val="baseline"/>
              <w:rPr>
                <w:rFonts w:hint="default" w:ascii="宋体" w:hAnsi="宋体" w:eastAsia="宋体" w:cs="Courier New"/>
                <w:snapToGrid w:val="0"/>
                <w:color w:val="auto"/>
                <w:kern w:val="0"/>
                <w:szCs w:val="21"/>
                <w:highlight w:val="none"/>
                <w:lang w:val="en-US" w:eastAsia="zh-CN"/>
              </w:rPr>
            </w:pPr>
            <w:r>
              <w:rPr>
                <w:rFonts w:hint="eastAsia" w:ascii="宋体" w:hAnsi="宋体" w:cs="Courier New"/>
                <w:snapToGrid w:val="0"/>
                <w:color w:val="auto"/>
                <w:kern w:val="0"/>
                <w:szCs w:val="21"/>
                <w:highlight w:val="none"/>
                <w:lang w:val="en-US" w:eastAsia="zh-CN"/>
              </w:rPr>
              <w:t>保留两位小数</w:t>
            </w:r>
          </w:p>
        </w:tc>
      </w:tr>
    </w:tbl>
    <w:p>
      <w:pPr>
        <w:spacing w:line="360" w:lineRule="auto"/>
        <w:jc w:val="center"/>
        <w:rPr>
          <w:rFonts w:hint="eastAsia" w:ascii="仿宋" w:hAnsi="仿宋" w:eastAsia="仿宋" w:cs="仿宋_GB2312"/>
          <w:b/>
          <w:bCs/>
          <w:color w:val="auto"/>
          <w:sz w:val="32"/>
          <w:szCs w:val="32"/>
          <w:highlight w:val="none"/>
        </w:rPr>
      </w:pPr>
    </w:p>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snapToGrid w:val="0"/>
        <w:spacing w:before="120" w:beforeLines="50"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1、本表中“投标报价”指在各项目最高限价的基础上投标人承诺的</w:t>
      </w:r>
      <w:r>
        <w:rPr>
          <w:rFonts w:hint="eastAsia" w:ascii="宋体" w:hAnsi="宋体" w:cs="宋体"/>
          <w:color w:val="auto"/>
          <w:szCs w:val="21"/>
          <w:highlight w:val="none"/>
          <w:lang w:eastAsia="zh-CN"/>
        </w:rPr>
        <w:t>费率</w:t>
      </w:r>
      <w:r>
        <w:rPr>
          <w:rFonts w:hint="eastAsia" w:ascii="宋体" w:hAnsi="宋体" w:cs="宋体"/>
          <w:color w:val="auto"/>
          <w:szCs w:val="21"/>
          <w:highlight w:val="none"/>
        </w:rPr>
        <w:t>。结算时按照各项目的</w:t>
      </w:r>
      <w:r>
        <w:rPr>
          <w:rFonts w:hint="eastAsia" w:ascii="宋体" w:hAnsi="宋体" w:cs="宋体"/>
          <w:b/>
          <w:color w:val="auto"/>
          <w:szCs w:val="21"/>
          <w:highlight w:val="none"/>
        </w:rPr>
        <w:t>最高限价×</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lang w:eastAsia="zh-CN"/>
        </w:rPr>
        <w:t>费率</w:t>
      </w:r>
      <w:r>
        <w:rPr>
          <w:rFonts w:hint="eastAsia" w:ascii="宋体" w:hAnsi="宋体" w:cs="宋体"/>
          <w:b w:val="0"/>
          <w:bCs/>
          <w:color w:val="auto"/>
          <w:szCs w:val="21"/>
          <w:highlight w:val="none"/>
        </w:rPr>
        <w:t>结算</w:t>
      </w:r>
      <w:r>
        <w:rPr>
          <w:rFonts w:hint="eastAsia" w:ascii="宋体" w:hAnsi="宋体" w:cs="宋体"/>
          <w:color w:val="auto"/>
          <w:szCs w:val="21"/>
          <w:highlight w:val="none"/>
        </w:rPr>
        <w:t>。（投标人应充分考虑项目实施期间各类价格的风险、物价上涨因素、国家政策性调整等风险和自然条件，中标</w:t>
      </w:r>
      <w:r>
        <w:rPr>
          <w:rFonts w:hint="eastAsia" w:ascii="宋体" w:hAnsi="宋体" w:cs="宋体"/>
          <w:color w:val="auto"/>
          <w:szCs w:val="21"/>
          <w:highlight w:val="none"/>
          <w:lang w:eastAsia="zh-CN"/>
        </w:rPr>
        <w:t>费率</w:t>
      </w:r>
      <w:r>
        <w:rPr>
          <w:rFonts w:hint="eastAsia" w:ascii="宋体" w:hAnsi="宋体" w:cs="宋体"/>
          <w:color w:val="auto"/>
          <w:szCs w:val="21"/>
          <w:highlight w:val="none"/>
        </w:rPr>
        <w:t>一次性包干，今后不作调整。）</w:t>
      </w:r>
    </w:p>
    <w:p>
      <w:pPr>
        <w:snapToGrid w:val="0"/>
        <w:spacing w:before="120" w:beforeLines="50" w:line="360" w:lineRule="auto"/>
        <w:ind w:firstLine="482"/>
        <w:jc w:val="left"/>
        <w:rPr>
          <w:rFonts w:hint="eastAsia" w:ascii="宋体" w:hAnsi="宋体" w:cs="宋体"/>
          <w:color w:val="auto"/>
          <w:szCs w:val="21"/>
          <w:highlight w:val="none"/>
        </w:rPr>
      </w:pPr>
      <w:r>
        <w:rPr>
          <w:rFonts w:hint="eastAsia" w:ascii="宋体" w:hAnsi="宋体" w:cs="宋体"/>
          <w:color w:val="auto"/>
          <w:szCs w:val="21"/>
          <w:highlight w:val="none"/>
        </w:rPr>
        <w:t>2、报价一经涂改，应在涂改处加盖单位公章或者由法定代表人或授权委托人签字或盖章，否则其投标作无效标处理。</w:t>
      </w:r>
    </w:p>
    <w:p>
      <w:pPr>
        <w:spacing w:line="400" w:lineRule="exact"/>
        <w:ind w:firstLine="420" w:firstLineChars="200"/>
        <w:rPr>
          <w:rFonts w:hint="eastAsia" w:ascii="宋体" w:hAnsi="宋体" w:cs="宋体"/>
          <w:b/>
          <w:color w:val="auto"/>
          <w:highlight w:val="none"/>
          <w:u w:val="single"/>
        </w:rPr>
      </w:pPr>
      <w:r>
        <w:rPr>
          <w:rFonts w:hint="eastAsia" w:ascii="宋体" w:hAnsi="宋体" w:cs="宋体"/>
          <w:color w:val="auto"/>
          <w:szCs w:val="21"/>
          <w:highlight w:val="none"/>
        </w:rPr>
        <w:t>3、项目费用包括项目实施所需的一切费用。</w:t>
      </w:r>
    </w:p>
    <w:p>
      <w:pPr>
        <w:pStyle w:val="20"/>
        <w:rPr>
          <w:rFonts w:hint="eastAsia"/>
          <w:color w:val="auto"/>
          <w:highlight w:val="none"/>
        </w:rPr>
      </w:pPr>
    </w:p>
    <w:p>
      <w:pPr>
        <w:spacing w:line="360" w:lineRule="auto"/>
        <w:jc w:val="center"/>
        <w:rPr>
          <w:rFonts w:hint="eastAsia" w:ascii="仿宋" w:hAnsi="仿宋" w:eastAsia="仿宋" w:cs="仿宋_GB2312"/>
          <w:color w:val="auto"/>
          <w:sz w:val="18"/>
          <w:szCs w:val="18"/>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pStyle w:val="20"/>
        <w:ind w:left="0" w:firstLine="0"/>
        <w:rPr>
          <w:color w:val="auto"/>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p>
    <w:p>
      <w:pPr>
        <w:adjustRightInd w:val="0"/>
        <w:snapToGrid w:val="0"/>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br w:type="page"/>
      </w:r>
    </w:p>
    <w:p>
      <w:pPr>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三</w:t>
      </w:r>
      <w:r>
        <w:rPr>
          <w:rFonts w:ascii="宋体" w:hAnsi="宋体"/>
          <w:b/>
          <w:bCs/>
          <w:color w:val="auto"/>
          <w:sz w:val="32"/>
          <w:szCs w:val="32"/>
          <w:highlight w:val="none"/>
        </w:rPr>
        <w:t>、</w:t>
      </w:r>
      <w:r>
        <w:rPr>
          <w:rFonts w:hint="eastAsia" w:ascii="宋体" w:hAnsi="宋体"/>
          <w:b/>
          <w:bCs/>
          <w:color w:val="auto"/>
          <w:sz w:val="32"/>
          <w:szCs w:val="32"/>
          <w:highlight w:val="none"/>
        </w:rPr>
        <w:t>法定代表人身份证明或</w:t>
      </w:r>
    </w:p>
    <w:p>
      <w:pPr>
        <w:spacing w:line="360" w:lineRule="auto"/>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附有法定代表人和授权代表身份证明的授权委托书</w:t>
      </w:r>
    </w:p>
    <w:p>
      <w:pPr>
        <w:snapToGrid w:val="0"/>
        <w:spacing w:line="360" w:lineRule="auto"/>
        <w:jc w:val="center"/>
        <w:rPr>
          <w:rFonts w:hint="eastAsia" w:ascii="宋体" w:hAnsi="宋体"/>
          <w:b/>
          <w:bCs/>
          <w:color w:val="auto"/>
          <w:sz w:val="32"/>
          <w:szCs w:val="32"/>
          <w:highlight w:val="none"/>
        </w:rPr>
      </w:pPr>
    </w:p>
    <w:p>
      <w:pPr>
        <w:snapToGrid w:val="0"/>
        <w:spacing w:line="360" w:lineRule="auto"/>
        <w:jc w:val="center"/>
        <w:rPr>
          <w:rFonts w:ascii="宋体" w:hAnsi="宋体"/>
          <w:color w:val="auto"/>
          <w:sz w:val="24"/>
          <w:highlight w:val="none"/>
        </w:rPr>
      </w:pPr>
      <w:r>
        <w:rPr>
          <w:rFonts w:hint="eastAsia" w:ascii="宋体" w:hAnsi="宋体"/>
          <w:b/>
          <w:bCs/>
          <w:color w:val="auto"/>
          <w:sz w:val="32"/>
          <w:szCs w:val="32"/>
          <w:highlight w:val="none"/>
        </w:rPr>
        <w:t>法定代表人身份证明</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rPr>
        <w:t>单位性质：</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rPr>
        <w:t>地址：</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rPr>
        <w:t>成立时间：</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snapToGrid w:val="0"/>
        <w:spacing w:line="360" w:lineRule="auto"/>
        <w:rPr>
          <w:rFonts w:ascii="宋体" w:hAnsi="宋体"/>
          <w:color w:val="auto"/>
          <w:szCs w:val="21"/>
          <w:highlight w:val="none"/>
          <w:u w:val="single"/>
        </w:rPr>
      </w:pPr>
      <w:r>
        <w:rPr>
          <w:rFonts w:ascii="宋体" w:hAnsi="宋体"/>
          <w:color w:val="auto"/>
          <w:szCs w:val="21"/>
          <w:highlight w:val="none"/>
        </w:rPr>
        <w:t>经营期限：</w:t>
      </w:r>
    </w:p>
    <w:p>
      <w:pPr>
        <w:snapToGrid w:val="0"/>
        <w:spacing w:line="360" w:lineRule="auto"/>
        <w:rPr>
          <w:rFonts w:ascii="宋体" w:hAnsi="宋体"/>
          <w:color w:val="auto"/>
          <w:szCs w:val="21"/>
          <w:highlight w:val="none"/>
          <w:u w:val="single"/>
        </w:rPr>
      </w:pPr>
      <w:r>
        <w:rPr>
          <w:rFonts w:ascii="宋体" w:hAnsi="宋体"/>
          <w:color w:val="auto"/>
          <w:szCs w:val="21"/>
          <w:highlight w:val="none"/>
        </w:rPr>
        <w:t>姓名：</w:t>
      </w:r>
      <w:r>
        <w:rPr>
          <w:rFonts w:hint="eastAsia" w:ascii="宋体" w:hAnsi="宋体"/>
          <w:color w:val="auto"/>
          <w:szCs w:val="21"/>
          <w:highlight w:val="none"/>
          <w:u w:val="single"/>
        </w:rPr>
        <w:t xml:space="preserve">           </w:t>
      </w:r>
      <w:r>
        <w:rPr>
          <w:rFonts w:ascii="宋体" w:hAnsi="宋体"/>
          <w:color w:val="auto"/>
          <w:szCs w:val="21"/>
          <w:highlight w:val="none"/>
        </w:rPr>
        <w:t>性别：</w:t>
      </w:r>
      <w:r>
        <w:rPr>
          <w:rFonts w:hint="eastAsia" w:ascii="宋体" w:hAnsi="宋体"/>
          <w:color w:val="auto"/>
          <w:szCs w:val="21"/>
          <w:highlight w:val="none"/>
          <w:u w:val="single"/>
        </w:rPr>
        <w:t xml:space="preserve">          </w:t>
      </w:r>
      <w:r>
        <w:rPr>
          <w:rFonts w:ascii="宋体" w:hAnsi="宋体"/>
          <w:color w:val="auto"/>
          <w:szCs w:val="21"/>
          <w:highlight w:val="none"/>
        </w:rPr>
        <w:t>年龄：</w:t>
      </w:r>
      <w:r>
        <w:rPr>
          <w:rFonts w:hint="eastAsia" w:ascii="宋体" w:hAnsi="宋体"/>
          <w:color w:val="auto"/>
          <w:szCs w:val="21"/>
          <w:highlight w:val="none"/>
          <w:u w:val="single"/>
        </w:rPr>
        <w:t xml:space="preserve">             </w:t>
      </w:r>
      <w:r>
        <w:rPr>
          <w:rFonts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napToGrid w:val="0"/>
        <w:spacing w:line="360" w:lineRule="auto"/>
        <w:rPr>
          <w:rFonts w:ascii="宋体" w:hAnsi="宋体"/>
          <w:color w:val="auto"/>
          <w:szCs w:val="21"/>
          <w:highlight w:val="none"/>
        </w:rPr>
      </w:pPr>
      <w:r>
        <w:rPr>
          <w:rFonts w:ascii="宋体" w:hAnsi="宋体"/>
          <w:color w:val="auto"/>
          <w:szCs w:val="21"/>
          <w:highlight w:val="none"/>
        </w:rPr>
        <w:t>系</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lang w:eastAsia="zh-CN"/>
        </w:rPr>
        <w:t>供应商</w:t>
      </w:r>
      <w:r>
        <w:rPr>
          <w:rFonts w:ascii="宋体" w:hAnsi="宋体"/>
          <w:color w:val="auto"/>
          <w:szCs w:val="21"/>
          <w:highlight w:val="none"/>
          <w:u w:val="single"/>
        </w:rPr>
        <w:t>名称）</w:t>
      </w:r>
      <w:r>
        <w:rPr>
          <w:rFonts w:ascii="宋体" w:hAnsi="宋体"/>
          <w:color w:val="auto"/>
          <w:szCs w:val="21"/>
          <w:highlight w:val="none"/>
        </w:rPr>
        <w:t>的法定代表人。</w:t>
      </w:r>
    </w:p>
    <w:p>
      <w:pPr>
        <w:snapToGrid w:val="0"/>
        <w:spacing w:line="360" w:lineRule="auto"/>
        <w:ind w:firstLine="560"/>
        <w:rPr>
          <w:rFonts w:ascii="宋体" w:hAnsi="宋体"/>
          <w:color w:val="auto"/>
          <w:szCs w:val="21"/>
          <w:highlight w:val="none"/>
        </w:rPr>
      </w:pPr>
    </w:p>
    <w:p>
      <w:pPr>
        <w:snapToGrid w:val="0"/>
        <w:spacing w:line="360" w:lineRule="auto"/>
        <w:rPr>
          <w:rFonts w:ascii="宋体" w:hAnsi="宋体"/>
          <w:color w:val="auto"/>
          <w:szCs w:val="21"/>
          <w:highlight w:val="none"/>
        </w:rPr>
      </w:pPr>
      <w:r>
        <w:rPr>
          <w:rFonts w:ascii="宋体" w:hAnsi="宋体"/>
          <w:color w:val="auto"/>
          <w:szCs w:val="21"/>
          <w:highlight w:val="none"/>
        </w:rPr>
        <w:t>特此证明。</w:t>
      </w:r>
    </w:p>
    <w:p>
      <w:pPr>
        <w:snapToGrid w:val="0"/>
        <w:spacing w:line="360" w:lineRule="auto"/>
        <w:rPr>
          <w:rFonts w:hint="eastAsia" w:ascii="宋体" w:hAnsi="宋体"/>
          <w:color w:val="auto"/>
          <w:szCs w:val="21"/>
          <w:highlight w:val="none"/>
        </w:rPr>
      </w:pPr>
      <w:r>
        <w:rPr>
          <w:rFonts w:ascii="宋体" w:hAnsi="宋体"/>
          <w:color w:val="auto"/>
          <w:szCs w:val="21"/>
          <w:highlight w:val="none"/>
        </w:rPr>
        <w:t>附：法定代表人身份证</w:t>
      </w:r>
      <w:r>
        <w:rPr>
          <w:rFonts w:hint="eastAsia" w:ascii="宋体" w:hAnsi="宋体"/>
          <w:color w:val="auto"/>
          <w:szCs w:val="21"/>
          <w:highlight w:val="none"/>
        </w:rPr>
        <w:t>复制件</w:t>
      </w:r>
    </w:p>
    <w:p>
      <w:pPr>
        <w:snapToGrid w:val="0"/>
        <w:spacing w:line="360" w:lineRule="auto"/>
        <w:ind w:firstLine="6216" w:firstLineChars="2960"/>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 xml:space="preserve">章） </w:t>
      </w:r>
    </w:p>
    <w:p>
      <w:pPr>
        <w:snapToGrid w:val="0"/>
        <w:spacing w:line="360" w:lineRule="auto"/>
        <w:ind w:firstLine="6216" w:firstLineChars="296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rPr>
        <w:t xml:space="preserve">      </w:t>
      </w:r>
      <w:r>
        <w:rPr>
          <w:rFonts w:ascii="宋体" w:hAnsi="宋体"/>
          <w:color w:val="auto"/>
          <w:szCs w:val="21"/>
          <w:highlight w:val="none"/>
        </w:rPr>
        <w:t>年    月    日</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身份证复制件粘贴处（正、反面）</w:t>
            </w:r>
          </w:p>
        </w:tc>
      </w:tr>
    </w:tbl>
    <w:p>
      <w:pPr>
        <w:spacing w:after="120" w:afterLines="50" w:line="440" w:lineRule="exact"/>
        <w:jc w:val="center"/>
        <w:rPr>
          <w:rFonts w:ascii="宋体" w:hAnsi="宋体"/>
          <w:b/>
          <w:bCs/>
          <w:color w:val="auto"/>
          <w:sz w:val="32"/>
          <w:szCs w:val="32"/>
          <w:highlight w:val="none"/>
        </w:rPr>
      </w:pPr>
      <w:r>
        <w:rPr>
          <w:rFonts w:ascii="宋体" w:hAnsi="宋体"/>
          <w:color w:val="auto"/>
          <w:szCs w:val="21"/>
          <w:highlight w:val="none"/>
        </w:rPr>
        <w:br w:type="page"/>
      </w:r>
      <w:r>
        <w:rPr>
          <w:rFonts w:ascii="宋体" w:hAnsi="宋体"/>
          <w:b/>
          <w:bCs/>
          <w:color w:val="auto"/>
          <w:sz w:val="32"/>
          <w:szCs w:val="32"/>
          <w:highlight w:val="none"/>
        </w:rPr>
        <w:t>授权委托书</w:t>
      </w: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rPr>
        <w:t>（姓名）系</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lang w:eastAsia="zh-CN"/>
        </w:rPr>
        <w:t>供应商</w:t>
      </w:r>
      <w:r>
        <w:rPr>
          <w:rFonts w:ascii="宋体" w:hAnsi="宋体"/>
          <w:color w:val="auto"/>
          <w:szCs w:val="21"/>
          <w:highlight w:val="none"/>
          <w:u w:val="single"/>
        </w:rPr>
        <w:t>名称）</w:t>
      </w:r>
      <w:r>
        <w:rPr>
          <w:rFonts w:ascii="宋体" w:hAnsi="宋体"/>
          <w:color w:val="auto"/>
          <w:szCs w:val="21"/>
          <w:highlight w:val="none"/>
        </w:rPr>
        <w:t>的法定代表人，现委托</w:t>
      </w:r>
      <w:r>
        <w:rPr>
          <w:rFonts w:hint="eastAsia" w:ascii="宋体" w:hAnsi="宋体"/>
          <w:color w:val="auto"/>
          <w:szCs w:val="21"/>
          <w:highlight w:val="none"/>
          <w:u w:val="single"/>
        </w:rPr>
        <w:t xml:space="preserve">               </w:t>
      </w:r>
      <w:r>
        <w:rPr>
          <w:rFonts w:ascii="宋体" w:hAnsi="宋体"/>
          <w:color w:val="auto"/>
          <w:szCs w:val="21"/>
          <w:highlight w:val="none"/>
        </w:rPr>
        <w:t>（姓名）为我方代理人</w:t>
      </w: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。代理人根据授权，以我方名义签署、澄清、说明、补正、递交、撤回、修改</w:t>
      </w:r>
      <w:r>
        <w:rPr>
          <w:rFonts w:hint="eastAsia" w:ascii="宋体" w:hAnsi="宋体"/>
          <w:color w:val="auto"/>
          <w:szCs w:val="21"/>
          <w:highlight w:val="none"/>
          <w:u w:val="single"/>
        </w:rPr>
        <w:t xml:space="preserve">                       </w:t>
      </w:r>
      <w:r>
        <w:rPr>
          <w:rFonts w:ascii="宋体" w:hAnsi="宋体"/>
          <w:color w:val="auto"/>
          <w:szCs w:val="21"/>
          <w:highlight w:val="none"/>
          <w:u w:val="single"/>
        </w:rPr>
        <w:t>项目</w:t>
      </w:r>
      <w:r>
        <w:rPr>
          <w:rFonts w:hint="eastAsia" w:ascii="宋体" w:hAnsi="宋体"/>
          <w:color w:val="auto"/>
          <w:szCs w:val="21"/>
          <w:highlight w:val="none"/>
          <w:u w:val="single"/>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编号：</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rPr>
        <w:t>投标文件、签订合同和处理有关事宜，其法律后果由我方承担。</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代理人无转委托权。</w:t>
      </w:r>
    </w:p>
    <w:p>
      <w:pPr>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t>附：委托代理人身份证</w:t>
      </w:r>
      <w:r>
        <w:rPr>
          <w:rFonts w:hint="eastAsia" w:ascii="宋体" w:hAnsi="宋体"/>
          <w:color w:val="auto"/>
          <w:szCs w:val="21"/>
          <w:highlight w:val="none"/>
        </w:rPr>
        <w:t>复制件</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440" w:lineRule="exact"/>
        <w:rPr>
          <w:rFonts w:ascii="宋体" w:hAnsi="宋体"/>
          <w:color w:val="auto"/>
          <w:szCs w:val="21"/>
          <w:highlight w:val="none"/>
        </w:rPr>
      </w:pPr>
      <w:r>
        <w:rPr>
          <w:rFonts w:ascii="宋体" w:hAnsi="宋体"/>
          <w:color w:val="auto"/>
          <w:szCs w:val="21"/>
          <w:highlight w:val="none"/>
        </w:rPr>
        <w:t>法定代表人：（签字或盖章）</w:t>
      </w:r>
    </w:p>
    <w:p>
      <w:pPr>
        <w:spacing w:line="440" w:lineRule="exact"/>
        <w:rPr>
          <w:rFonts w:ascii="宋体" w:hAnsi="宋体"/>
          <w:color w:val="auto"/>
          <w:szCs w:val="21"/>
          <w:highlight w:val="none"/>
        </w:rPr>
      </w:pPr>
      <w:r>
        <w:rPr>
          <w:rFonts w:ascii="宋体" w:hAnsi="宋体"/>
          <w:color w:val="auto"/>
          <w:szCs w:val="21"/>
          <w:highlight w:val="none"/>
        </w:rPr>
        <w:t>身份证号码：</w:t>
      </w:r>
    </w:p>
    <w:p>
      <w:pPr>
        <w:spacing w:line="440" w:lineRule="exact"/>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委托的代理人：（签字或盖章）</w:t>
      </w:r>
    </w:p>
    <w:p>
      <w:pPr>
        <w:spacing w:line="440" w:lineRule="exact"/>
        <w:rPr>
          <w:rFonts w:ascii="宋体" w:hAnsi="宋体"/>
          <w:color w:val="auto"/>
          <w:szCs w:val="21"/>
          <w:highlight w:val="none"/>
        </w:rPr>
      </w:pPr>
      <w:r>
        <w:rPr>
          <w:rFonts w:ascii="宋体" w:hAnsi="宋体"/>
          <w:color w:val="auto"/>
          <w:szCs w:val="21"/>
          <w:highlight w:val="none"/>
        </w:rPr>
        <w:t>身份证号码：</w:t>
      </w:r>
    </w:p>
    <w:p>
      <w:pPr>
        <w:snapToGrid w:val="0"/>
        <w:spacing w:line="360" w:lineRule="auto"/>
        <w:ind w:firstLine="6216" w:firstLineChars="2960"/>
        <w:rPr>
          <w:rFonts w:hint="eastAsia" w:ascii="宋体" w:hAnsi="宋体"/>
          <w:color w:val="auto"/>
          <w:szCs w:val="21"/>
          <w:highlight w:val="none"/>
        </w:rPr>
      </w:pPr>
      <w:r>
        <w:rPr>
          <w:rFonts w:ascii="宋体" w:hAnsi="宋体"/>
          <w:color w:val="auto"/>
          <w:szCs w:val="21"/>
          <w:highlight w:val="none"/>
        </w:rPr>
        <w:t>日期：</w:t>
      </w:r>
      <w:r>
        <w:rPr>
          <w:rFonts w:hint="eastAsia" w:ascii="宋体" w:hAnsi="宋体"/>
          <w:color w:val="auto"/>
          <w:szCs w:val="21"/>
          <w:highlight w:val="none"/>
        </w:rPr>
        <w:t xml:space="preserve">      </w:t>
      </w:r>
      <w:r>
        <w:rPr>
          <w:rFonts w:ascii="宋体" w:hAnsi="宋体"/>
          <w:color w:val="auto"/>
          <w:szCs w:val="21"/>
          <w:highlight w:val="none"/>
        </w:rPr>
        <w:t>年    月    日</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r>
              <w:rPr>
                <w:rFonts w:hint="eastAsia" w:ascii="宋体" w:hAnsi="宋体"/>
                <w:color w:val="auto"/>
                <w:szCs w:val="21"/>
                <w:highlight w:val="none"/>
              </w:rPr>
              <w:t>身份证复制件粘贴处（正、反面）</w:t>
            </w:r>
          </w:p>
        </w:tc>
      </w:tr>
    </w:tbl>
    <w:p>
      <w:pPr>
        <w:snapToGrid w:val="0"/>
        <w:spacing w:line="440" w:lineRule="exact"/>
        <w:rPr>
          <w:rFonts w:ascii="宋体" w:hAnsi="宋体"/>
          <w:color w:val="auto"/>
          <w:szCs w:val="21"/>
          <w:highlight w:val="none"/>
        </w:rPr>
      </w:pPr>
    </w:p>
    <w:p>
      <w:pPr>
        <w:spacing w:line="440" w:lineRule="exact"/>
        <w:rPr>
          <w:rFonts w:hint="eastAsia" w:ascii="宋体" w:hAnsi="宋体"/>
          <w:b/>
          <w:color w:val="auto"/>
          <w:szCs w:val="21"/>
          <w:highlight w:val="none"/>
        </w:rPr>
      </w:pPr>
      <w:r>
        <w:rPr>
          <w:rFonts w:ascii="宋体" w:hAnsi="宋体"/>
          <w:b/>
          <w:color w:val="auto"/>
          <w:szCs w:val="21"/>
          <w:highlight w:val="none"/>
        </w:rPr>
        <w:t>注：如投标文件由委托代理人签字或盖章的，投标文件必须附此授权委托书</w:t>
      </w:r>
      <w:r>
        <w:rPr>
          <w:rFonts w:hint="eastAsia" w:ascii="宋体" w:hAnsi="宋体"/>
          <w:b/>
          <w:color w:val="auto"/>
          <w:szCs w:val="21"/>
          <w:highlight w:val="none"/>
        </w:rPr>
        <w:t>和法定代表人身份证明</w:t>
      </w:r>
      <w:r>
        <w:rPr>
          <w:rFonts w:ascii="宋体" w:hAnsi="宋体"/>
          <w:b/>
          <w:color w:val="auto"/>
          <w:szCs w:val="21"/>
          <w:highlight w:val="none"/>
        </w:rPr>
        <w:t>。</w:t>
      </w:r>
    </w:p>
    <w:p>
      <w:pPr>
        <w:adjustRightInd w:val="0"/>
        <w:snapToGrid w:val="0"/>
        <w:spacing w:line="360" w:lineRule="auto"/>
        <w:ind w:firstLine="422" w:firstLineChars="200"/>
        <w:jc w:val="left"/>
        <w:rPr>
          <w:rFonts w:hint="eastAsia" w:ascii="宋体" w:hAnsi="宋体"/>
          <w:b/>
          <w:color w:val="auto"/>
          <w:sz w:val="24"/>
          <w:highlight w:val="none"/>
        </w:rPr>
      </w:pPr>
      <w:r>
        <w:rPr>
          <w:rFonts w:ascii="宋体" w:hAnsi="宋体"/>
          <w:b/>
          <w:color w:val="auto"/>
          <w:kern w:val="0"/>
          <w:szCs w:val="21"/>
          <w:highlight w:val="none"/>
        </w:rPr>
        <w:br w:type="page"/>
      </w:r>
    </w:p>
    <w:p>
      <w:pPr>
        <w:snapToGrid w:val="0"/>
        <w:spacing w:line="360" w:lineRule="auto"/>
        <w:jc w:val="center"/>
        <w:outlineLvl w:val="1"/>
        <w:rPr>
          <w:rFonts w:ascii="宋体" w:hAnsi="宋体"/>
          <w:b/>
          <w:color w:val="auto"/>
          <w:sz w:val="32"/>
          <w:szCs w:val="32"/>
          <w:highlight w:val="none"/>
          <w:lang w:val="zh-CN"/>
        </w:rPr>
      </w:pPr>
      <w:r>
        <w:rPr>
          <w:rFonts w:hint="eastAsia" w:ascii="宋体" w:hAnsi="宋体"/>
          <w:b/>
          <w:bCs/>
          <w:color w:val="auto"/>
          <w:sz w:val="32"/>
          <w:szCs w:val="32"/>
          <w:highlight w:val="none"/>
          <w:lang w:val="en-US" w:eastAsia="zh-CN"/>
        </w:rPr>
        <w:t>四</w:t>
      </w:r>
      <w:r>
        <w:rPr>
          <w:rFonts w:ascii="宋体" w:hAnsi="宋体"/>
          <w:b/>
          <w:color w:val="auto"/>
          <w:sz w:val="32"/>
          <w:szCs w:val="32"/>
          <w:highlight w:val="none"/>
          <w:lang w:val="zh-CN"/>
        </w:rPr>
        <w:t>、优惠条件及特殊承诺</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需求自行编制）</w:t>
      </w:r>
    </w:p>
    <w:p>
      <w:pPr>
        <w:spacing w:line="360" w:lineRule="auto"/>
        <w:jc w:val="center"/>
        <w:rPr>
          <w:rFonts w:hint="eastAsia" w:ascii="仿宋" w:hAnsi="仿宋" w:eastAsia="仿宋" w:cs="仿宋_GB2312"/>
          <w:color w:val="auto"/>
          <w:sz w:val="18"/>
          <w:szCs w:val="18"/>
          <w:highlight w:val="none"/>
        </w:rPr>
      </w:pPr>
    </w:p>
    <w:p>
      <w:pPr>
        <w:pStyle w:val="131"/>
        <w:rPr>
          <w:rFonts w:hint="eastAsia" w:ascii="仿宋" w:hAnsi="仿宋" w:eastAsia="仿宋" w:cs="仿宋_GB2312"/>
          <w:color w:val="auto"/>
          <w:sz w:val="18"/>
          <w:szCs w:val="18"/>
          <w:highlight w:val="none"/>
        </w:rPr>
      </w:pPr>
    </w:p>
    <w:p>
      <w:pPr>
        <w:pStyle w:val="131"/>
        <w:rPr>
          <w:rFonts w:hint="eastAsia" w:ascii="仿宋" w:hAnsi="仿宋" w:eastAsia="仿宋" w:cs="仿宋_GB2312"/>
          <w:color w:val="auto"/>
          <w:sz w:val="18"/>
          <w:szCs w:val="18"/>
          <w:highlight w:val="none"/>
        </w:rPr>
      </w:pPr>
    </w:p>
    <w:p>
      <w:pPr>
        <w:pStyle w:val="131"/>
        <w:rPr>
          <w:rFonts w:hint="eastAsia" w:ascii="仿宋" w:hAnsi="仿宋" w:eastAsia="仿宋" w:cs="仿宋_GB2312"/>
          <w:color w:val="auto"/>
          <w:sz w:val="18"/>
          <w:szCs w:val="18"/>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adjustRightInd w:val="0"/>
        <w:snapToGrid w:val="0"/>
        <w:spacing w:line="360" w:lineRule="auto"/>
        <w:jc w:val="left"/>
        <w:outlineLvl w:val="1"/>
        <w:rPr>
          <w:rFonts w:ascii="宋体" w:hAnsi="宋体"/>
          <w:b/>
          <w:bCs/>
          <w:color w:val="auto"/>
          <w:sz w:val="28"/>
          <w:szCs w:val="28"/>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r>
        <w:rPr>
          <w:rFonts w:hAnsi="宋体"/>
          <w:color w:val="auto"/>
          <w:sz w:val="24"/>
          <w:highlight w:val="none"/>
        </w:rPr>
        <w:br w:type="page"/>
      </w:r>
      <w:r>
        <w:rPr>
          <w:rFonts w:hint="eastAsia" w:ascii="宋体" w:hAnsi="宋体"/>
          <w:b/>
          <w:bCs/>
          <w:color w:val="auto"/>
          <w:sz w:val="28"/>
          <w:szCs w:val="28"/>
          <w:highlight w:val="none"/>
        </w:rPr>
        <w:t>第三部分、资信技术文件</w:t>
      </w:r>
    </w:p>
    <w:p>
      <w:pPr>
        <w:snapToGrid w:val="0"/>
        <w:spacing w:line="360" w:lineRule="auto"/>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一、</w:t>
      </w: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rPr>
        <w:t>基本情况表</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供应商</w:t>
            </w:r>
            <w:r>
              <w:rPr>
                <w:rFonts w:hAnsi="宋体"/>
                <w:color w:val="auto"/>
                <w:sz w:val="21"/>
                <w:highlight w:val="none"/>
                <w:lang w:val="en-US" w:eastAsia="zh-CN"/>
              </w:rPr>
              <w:t>名称</w:t>
            </w:r>
          </w:p>
        </w:tc>
        <w:tc>
          <w:tcPr>
            <w:tcW w:w="7370" w:type="dxa"/>
            <w:gridSpan w:val="7"/>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134"/>
              <w:rPr>
                <w:rFonts w:hAnsi="宋体"/>
                <w:b/>
                <w:color w:val="auto"/>
                <w:sz w:val="21"/>
                <w:highlight w:val="none"/>
                <w:lang w:val="en-US" w:eastAsia="zh-CN"/>
              </w:rPr>
            </w:pPr>
            <w:r>
              <w:rPr>
                <w:rFonts w:hAnsi="宋体"/>
                <w:b/>
                <w:color w:val="auto"/>
                <w:sz w:val="21"/>
                <w:highlight w:val="none"/>
                <w:lang w:val="en-US" w:eastAsia="zh-CN"/>
              </w:rPr>
              <w:t>营业执照</w:t>
            </w:r>
            <w:r>
              <w:rPr>
                <w:rFonts w:hint="eastAsia" w:hAnsi="宋体"/>
                <w:b/>
                <w:color w:val="auto"/>
                <w:sz w:val="21"/>
                <w:highlight w:val="none"/>
                <w:lang w:val="en-US" w:eastAsia="zh-CN"/>
              </w:rPr>
              <w:t>（事业单位法人证书等）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统一社会信用代码</w:t>
            </w:r>
          </w:p>
        </w:tc>
        <w:tc>
          <w:tcPr>
            <w:tcW w:w="2697" w:type="dxa"/>
            <w:gridSpan w:val="3"/>
            <w:noWrap w:val="0"/>
            <w:vAlign w:val="center"/>
          </w:tcPr>
          <w:p>
            <w:pPr>
              <w:pStyle w:val="134"/>
              <w:rPr>
                <w:rFonts w:hAnsi="宋体"/>
                <w:color w:val="auto"/>
                <w:sz w:val="21"/>
                <w:highlight w:val="none"/>
                <w:lang w:val="en-US" w:eastAsia="zh-CN"/>
              </w:rPr>
            </w:pPr>
          </w:p>
        </w:tc>
        <w:tc>
          <w:tcPr>
            <w:tcW w:w="1803"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注册资</w:t>
            </w:r>
            <w:r>
              <w:rPr>
                <w:rFonts w:hint="eastAsia" w:hAnsi="宋体"/>
                <w:color w:val="auto"/>
                <w:sz w:val="21"/>
                <w:highlight w:val="none"/>
                <w:lang w:val="en-US" w:eastAsia="zh-CN"/>
              </w:rPr>
              <w:t>本</w:t>
            </w:r>
          </w:p>
        </w:tc>
        <w:tc>
          <w:tcPr>
            <w:tcW w:w="2870" w:type="dxa"/>
            <w:gridSpan w:val="2"/>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发照机关</w:t>
            </w:r>
          </w:p>
        </w:tc>
        <w:tc>
          <w:tcPr>
            <w:tcW w:w="2697" w:type="dxa"/>
            <w:gridSpan w:val="3"/>
            <w:noWrap w:val="0"/>
            <w:vAlign w:val="center"/>
          </w:tcPr>
          <w:p>
            <w:pPr>
              <w:pStyle w:val="134"/>
              <w:rPr>
                <w:rFonts w:hAnsi="宋体"/>
                <w:color w:val="auto"/>
                <w:sz w:val="21"/>
                <w:highlight w:val="none"/>
                <w:lang w:val="en-US" w:eastAsia="zh-CN"/>
              </w:rPr>
            </w:pPr>
          </w:p>
        </w:tc>
        <w:tc>
          <w:tcPr>
            <w:tcW w:w="1803"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注册地址</w:t>
            </w:r>
          </w:p>
        </w:tc>
        <w:tc>
          <w:tcPr>
            <w:tcW w:w="2870" w:type="dxa"/>
            <w:gridSpan w:val="2"/>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成立时间</w:t>
            </w:r>
          </w:p>
        </w:tc>
        <w:tc>
          <w:tcPr>
            <w:tcW w:w="2697" w:type="dxa"/>
            <w:gridSpan w:val="3"/>
            <w:noWrap w:val="0"/>
            <w:vAlign w:val="center"/>
          </w:tcPr>
          <w:p>
            <w:pPr>
              <w:pStyle w:val="134"/>
              <w:rPr>
                <w:rFonts w:hAnsi="宋体"/>
                <w:color w:val="auto"/>
                <w:sz w:val="21"/>
                <w:highlight w:val="none"/>
                <w:lang w:val="en-US" w:eastAsia="zh-CN"/>
              </w:rPr>
            </w:pPr>
          </w:p>
        </w:tc>
        <w:tc>
          <w:tcPr>
            <w:tcW w:w="1803"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单位</w:t>
            </w:r>
            <w:r>
              <w:rPr>
                <w:rFonts w:hAnsi="宋体"/>
                <w:color w:val="auto"/>
                <w:sz w:val="21"/>
                <w:highlight w:val="none"/>
                <w:lang w:val="en-US" w:eastAsia="zh-CN"/>
              </w:rPr>
              <w:t>性质</w:t>
            </w:r>
          </w:p>
        </w:tc>
        <w:tc>
          <w:tcPr>
            <w:tcW w:w="2870" w:type="dxa"/>
            <w:gridSpan w:val="2"/>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经营范围</w:t>
            </w:r>
          </w:p>
        </w:tc>
        <w:tc>
          <w:tcPr>
            <w:tcW w:w="7370" w:type="dxa"/>
            <w:gridSpan w:val="7"/>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134"/>
              <w:rPr>
                <w:rFonts w:hAnsi="宋体"/>
                <w:b/>
                <w:color w:val="auto"/>
                <w:sz w:val="21"/>
                <w:highlight w:val="none"/>
                <w:lang w:val="en-US" w:eastAsia="zh-CN"/>
              </w:rPr>
            </w:pPr>
            <w:r>
              <w:rPr>
                <w:rFonts w:hint="eastAsia" w:hAnsi="宋体"/>
                <w:b/>
                <w:color w:val="auto"/>
                <w:sz w:val="21"/>
                <w:highlight w:val="none"/>
                <w:lang w:val="en-US" w:eastAsia="zh-CN"/>
              </w:rPr>
              <w:t>单位</w:t>
            </w:r>
            <w:r>
              <w:rPr>
                <w:rFonts w:hAnsi="宋体"/>
                <w:b/>
                <w:color w:val="auto"/>
                <w:sz w:val="21"/>
                <w:highlight w:val="none"/>
                <w:lang w:val="en-US" w:eastAsia="zh-CN"/>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单位</w:t>
            </w:r>
            <w:r>
              <w:rPr>
                <w:rFonts w:hAnsi="宋体"/>
                <w:color w:val="auto"/>
                <w:sz w:val="21"/>
                <w:highlight w:val="none"/>
                <w:lang w:val="en-US" w:eastAsia="zh-CN"/>
              </w:rPr>
              <w:t>资质等级</w:t>
            </w:r>
          </w:p>
        </w:tc>
        <w:tc>
          <w:tcPr>
            <w:tcW w:w="2697" w:type="dxa"/>
            <w:gridSpan w:val="3"/>
            <w:noWrap w:val="0"/>
            <w:vAlign w:val="center"/>
          </w:tcPr>
          <w:p>
            <w:pPr>
              <w:pStyle w:val="134"/>
              <w:rPr>
                <w:rFonts w:hAnsi="宋体"/>
                <w:color w:val="auto"/>
                <w:sz w:val="21"/>
                <w:highlight w:val="none"/>
                <w:lang w:val="en-US" w:eastAsia="zh-CN"/>
              </w:rPr>
            </w:pPr>
          </w:p>
        </w:tc>
        <w:tc>
          <w:tcPr>
            <w:tcW w:w="1803"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证书编号</w:t>
            </w:r>
          </w:p>
        </w:tc>
        <w:tc>
          <w:tcPr>
            <w:tcW w:w="2870" w:type="dxa"/>
            <w:gridSpan w:val="2"/>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发证机关</w:t>
            </w:r>
          </w:p>
        </w:tc>
        <w:tc>
          <w:tcPr>
            <w:tcW w:w="2697" w:type="dxa"/>
            <w:gridSpan w:val="3"/>
            <w:noWrap w:val="0"/>
            <w:vAlign w:val="center"/>
          </w:tcPr>
          <w:p>
            <w:pPr>
              <w:pStyle w:val="134"/>
              <w:rPr>
                <w:rFonts w:hAnsi="宋体"/>
                <w:color w:val="auto"/>
                <w:sz w:val="21"/>
                <w:highlight w:val="none"/>
                <w:lang w:val="en-US" w:eastAsia="zh-CN"/>
              </w:rPr>
            </w:pPr>
          </w:p>
        </w:tc>
        <w:tc>
          <w:tcPr>
            <w:tcW w:w="1803"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业务范围</w:t>
            </w:r>
          </w:p>
        </w:tc>
        <w:tc>
          <w:tcPr>
            <w:tcW w:w="2870" w:type="dxa"/>
            <w:gridSpan w:val="2"/>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134"/>
              <w:rPr>
                <w:rFonts w:hAnsi="宋体"/>
                <w:b/>
                <w:color w:val="auto"/>
                <w:sz w:val="21"/>
                <w:highlight w:val="none"/>
                <w:lang w:val="en-US" w:eastAsia="zh-CN"/>
              </w:rPr>
            </w:pPr>
            <w:r>
              <w:rPr>
                <w:rFonts w:hAnsi="宋体"/>
                <w:b/>
                <w:color w:val="auto"/>
                <w:sz w:val="21"/>
                <w:highlight w:val="none"/>
                <w:lang w:val="en-US" w:eastAsia="zh-CN"/>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p>
        </w:tc>
        <w:tc>
          <w:tcPr>
            <w:tcW w:w="1914" w:type="dxa"/>
            <w:gridSpan w:val="3"/>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姓名</w:t>
            </w:r>
          </w:p>
        </w:tc>
        <w:tc>
          <w:tcPr>
            <w:tcW w:w="1914"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职务</w:t>
            </w:r>
          </w:p>
        </w:tc>
        <w:tc>
          <w:tcPr>
            <w:tcW w:w="1914" w:type="dxa"/>
            <w:gridSpan w:val="2"/>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职称</w:t>
            </w:r>
          </w:p>
        </w:tc>
        <w:tc>
          <w:tcPr>
            <w:tcW w:w="1802" w:type="dxa"/>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int="eastAsia" w:hAnsi="宋体"/>
                <w:color w:val="auto"/>
                <w:sz w:val="21"/>
                <w:highlight w:val="none"/>
                <w:lang w:val="en-US" w:eastAsia="zh-CN"/>
              </w:rPr>
            </w:pPr>
            <w:r>
              <w:rPr>
                <w:rFonts w:hAnsi="宋体"/>
                <w:color w:val="auto"/>
                <w:sz w:val="21"/>
                <w:highlight w:val="none"/>
                <w:lang w:val="en-US" w:eastAsia="zh-CN"/>
              </w:rPr>
              <w:t>法定代表人</w:t>
            </w: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单位</w:t>
            </w:r>
            <w:r>
              <w:rPr>
                <w:rFonts w:hAnsi="宋体"/>
                <w:color w:val="auto"/>
                <w:sz w:val="21"/>
                <w:highlight w:val="none"/>
                <w:lang w:val="en-US" w:eastAsia="zh-CN"/>
              </w:rPr>
              <w:t>负责人</w:t>
            </w: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134"/>
              <w:rPr>
                <w:rFonts w:hAnsi="宋体"/>
                <w:b/>
                <w:color w:val="auto"/>
                <w:sz w:val="21"/>
                <w:highlight w:val="none"/>
                <w:lang w:val="en-US" w:eastAsia="zh-CN"/>
              </w:rPr>
            </w:pPr>
            <w:r>
              <w:rPr>
                <w:rFonts w:hAnsi="宋体"/>
                <w:b/>
                <w:color w:val="auto"/>
                <w:sz w:val="21"/>
                <w:highlight w:val="none"/>
                <w:lang w:val="en-US" w:eastAsia="zh-CN"/>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人员总数</w:t>
            </w:r>
          </w:p>
        </w:tc>
        <w:tc>
          <w:tcPr>
            <w:tcW w:w="1914" w:type="dxa"/>
            <w:gridSpan w:val="3"/>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高级职称</w:t>
            </w:r>
          </w:p>
        </w:tc>
        <w:tc>
          <w:tcPr>
            <w:tcW w:w="1914"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中级职称</w:t>
            </w:r>
          </w:p>
        </w:tc>
        <w:tc>
          <w:tcPr>
            <w:tcW w:w="1914"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初级职称</w:t>
            </w:r>
          </w:p>
        </w:tc>
        <w:tc>
          <w:tcPr>
            <w:tcW w:w="1802" w:type="dxa"/>
            <w:noWrap w:val="0"/>
            <w:vAlign w:val="center"/>
          </w:tcPr>
          <w:p>
            <w:pPr>
              <w:pStyle w:val="134"/>
              <w:rPr>
                <w:rFonts w:hAnsi="宋体"/>
                <w:color w:val="auto"/>
                <w:sz w:val="21"/>
                <w:highlight w:val="none"/>
                <w:lang w:val="en-US" w:eastAsia="zh-CN"/>
              </w:rPr>
            </w:pPr>
            <w:r>
              <w:rPr>
                <w:rFonts w:hAnsi="宋体"/>
                <w:color w:val="auto"/>
                <w:sz w:val="21"/>
                <w:highlight w:val="none"/>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14" w:type="dxa"/>
            <w:tcBorders>
              <w:bottom w:val="single" w:color="auto" w:sz="4" w:space="0"/>
            </w:tcBorders>
            <w:noWrap w:val="0"/>
            <w:vAlign w:val="center"/>
          </w:tcPr>
          <w:p>
            <w:pPr>
              <w:pStyle w:val="134"/>
              <w:rPr>
                <w:rFonts w:hAnsi="宋体"/>
                <w:color w:val="auto"/>
                <w:sz w:val="21"/>
                <w:highlight w:val="none"/>
                <w:lang w:val="en-US" w:eastAsia="zh-CN"/>
              </w:rPr>
            </w:pPr>
          </w:p>
        </w:tc>
        <w:tc>
          <w:tcPr>
            <w:tcW w:w="1914" w:type="dxa"/>
            <w:gridSpan w:val="3"/>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pPr>
              <w:pStyle w:val="134"/>
              <w:rPr>
                <w:rFonts w:hAnsi="宋体"/>
                <w:b/>
                <w:color w:val="auto"/>
                <w:sz w:val="21"/>
                <w:highlight w:val="none"/>
                <w:lang w:val="en-US" w:eastAsia="zh-CN"/>
              </w:rPr>
            </w:pPr>
            <w:r>
              <w:rPr>
                <w:rFonts w:hAnsi="宋体"/>
                <w:b/>
                <w:color w:val="auto"/>
                <w:sz w:val="21"/>
                <w:highlight w:val="none"/>
                <w:lang w:val="en-US" w:eastAsia="zh-CN"/>
              </w:rPr>
              <w:t>近5年营业额情况（万元）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 xml:space="preserve">20  </w:t>
            </w:r>
            <w:r>
              <w:rPr>
                <w:rFonts w:hAnsi="宋体"/>
                <w:color w:val="auto"/>
                <w:sz w:val="21"/>
                <w:highlight w:val="none"/>
                <w:lang w:val="en-US" w:eastAsia="zh-CN"/>
              </w:rPr>
              <w:t>年</w:t>
            </w:r>
          </w:p>
        </w:tc>
        <w:tc>
          <w:tcPr>
            <w:tcW w:w="1660" w:type="dxa"/>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 xml:space="preserve">20  </w:t>
            </w:r>
            <w:r>
              <w:rPr>
                <w:rFonts w:hAnsi="宋体"/>
                <w:color w:val="auto"/>
                <w:sz w:val="21"/>
                <w:highlight w:val="none"/>
                <w:lang w:val="en-US" w:eastAsia="zh-CN"/>
              </w:rPr>
              <w:t>年</w:t>
            </w:r>
          </w:p>
        </w:tc>
        <w:tc>
          <w:tcPr>
            <w:tcW w:w="1914"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 xml:space="preserve">20  </w:t>
            </w:r>
            <w:r>
              <w:rPr>
                <w:rFonts w:hAnsi="宋体"/>
                <w:color w:val="auto"/>
                <w:sz w:val="21"/>
                <w:highlight w:val="none"/>
                <w:lang w:val="en-US" w:eastAsia="zh-CN"/>
              </w:rPr>
              <w:t>年</w:t>
            </w:r>
          </w:p>
        </w:tc>
        <w:tc>
          <w:tcPr>
            <w:tcW w:w="1914" w:type="dxa"/>
            <w:gridSpan w:val="2"/>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 xml:space="preserve">20  </w:t>
            </w:r>
            <w:r>
              <w:rPr>
                <w:rFonts w:hAnsi="宋体"/>
                <w:color w:val="auto"/>
                <w:sz w:val="21"/>
                <w:highlight w:val="none"/>
                <w:lang w:val="en-US" w:eastAsia="zh-CN"/>
              </w:rPr>
              <w:t>年</w:t>
            </w:r>
          </w:p>
        </w:tc>
        <w:tc>
          <w:tcPr>
            <w:tcW w:w="1802" w:type="dxa"/>
            <w:noWrap w:val="0"/>
            <w:vAlign w:val="center"/>
          </w:tcPr>
          <w:p>
            <w:pPr>
              <w:pStyle w:val="134"/>
              <w:rPr>
                <w:rFonts w:hAnsi="宋体"/>
                <w:color w:val="auto"/>
                <w:sz w:val="21"/>
                <w:highlight w:val="none"/>
                <w:lang w:val="en-US" w:eastAsia="zh-CN"/>
              </w:rPr>
            </w:pPr>
            <w:r>
              <w:rPr>
                <w:rFonts w:hint="eastAsia" w:hAnsi="宋体"/>
                <w:color w:val="auto"/>
                <w:sz w:val="21"/>
                <w:highlight w:val="none"/>
                <w:lang w:val="en-US" w:eastAsia="zh-CN"/>
              </w:rPr>
              <w:t xml:space="preserve">20  </w:t>
            </w:r>
            <w:r>
              <w:rPr>
                <w:rFonts w:hAnsi="宋体"/>
                <w:color w:val="auto"/>
                <w:sz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pPr>
              <w:pStyle w:val="134"/>
              <w:rPr>
                <w:rFonts w:hAnsi="宋体"/>
                <w:color w:val="auto"/>
                <w:sz w:val="21"/>
                <w:highlight w:val="none"/>
                <w:lang w:val="en-US" w:eastAsia="zh-CN"/>
              </w:rPr>
            </w:pPr>
          </w:p>
        </w:tc>
        <w:tc>
          <w:tcPr>
            <w:tcW w:w="1660" w:type="dxa"/>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914" w:type="dxa"/>
            <w:gridSpan w:val="2"/>
            <w:noWrap w:val="0"/>
            <w:vAlign w:val="center"/>
          </w:tcPr>
          <w:p>
            <w:pPr>
              <w:pStyle w:val="134"/>
              <w:rPr>
                <w:rFonts w:hAnsi="宋体"/>
                <w:color w:val="auto"/>
                <w:sz w:val="21"/>
                <w:highlight w:val="none"/>
                <w:lang w:val="en-US" w:eastAsia="zh-CN"/>
              </w:rPr>
            </w:pPr>
          </w:p>
        </w:tc>
        <w:tc>
          <w:tcPr>
            <w:tcW w:w="1802" w:type="dxa"/>
            <w:noWrap w:val="0"/>
            <w:vAlign w:val="center"/>
          </w:tcPr>
          <w:p>
            <w:pPr>
              <w:pStyle w:val="134"/>
              <w:rPr>
                <w:rFonts w:hAnsi="宋体"/>
                <w:color w:val="auto"/>
                <w:sz w:val="21"/>
                <w:highlight w:val="none"/>
                <w:lang w:val="en-US" w:eastAsia="zh-CN"/>
              </w:rPr>
            </w:pPr>
          </w:p>
        </w:tc>
      </w:tr>
    </w:tbl>
    <w:p>
      <w:pPr>
        <w:pStyle w:val="134"/>
        <w:snapToGrid w:val="0"/>
        <w:spacing w:line="360" w:lineRule="auto"/>
        <w:rPr>
          <w:rFonts w:hint="eastAsia" w:hAnsi="宋体"/>
          <w:snapToGrid w:val="0"/>
          <w:color w:val="auto"/>
          <w:sz w:val="21"/>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pStyle w:val="24"/>
        <w:rPr>
          <w:rFonts w:hint="eastAsia" w:ascii="宋体" w:hAnsi="宋体"/>
          <w:b/>
          <w:bCs/>
          <w:color w:val="auto"/>
          <w:sz w:val="32"/>
          <w:szCs w:val="32"/>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r>
        <w:rPr>
          <w:rFonts w:hAnsi="宋体" w:cs="宋体"/>
          <w:color w:val="auto"/>
          <w:highlight w:val="none"/>
        </w:rPr>
        <w:br w:type="page"/>
      </w:r>
      <w:r>
        <w:rPr>
          <w:rFonts w:hint="eastAsia" w:ascii="宋体" w:hAnsi="宋体"/>
          <w:b/>
          <w:bCs/>
          <w:color w:val="auto"/>
          <w:sz w:val="32"/>
          <w:szCs w:val="32"/>
          <w:highlight w:val="none"/>
        </w:rPr>
        <w:t>二、</w:t>
      </w: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u w:val="single"/>
        </w:rPr>
        <w:t>20</w:t>
      </w:r>
      <w:r>
        <w:rPr>
          <w:rFonts w:hint="eastAsia" w:hAnsi="宋体"/>
          <w:b/>
          <w:bCs/>
          <w:color w:val="auto"/>
          <w:sz w:val="32"/>
          <w:szCs w:val="32"/>
          <w:highlight w:val="none"/>
          <w:u w:val="single"/>
          <w:lang w:val="en-US" w:eastAsia="zh-CN"/>
        </w:rPr>
        <w:t>22</w:t>
      </w:r>
      <w:r>
        <w:rPr>
          <w:rFonts w:hint="eastAsia" w:ascii="宋体" w:hAnsi="宋体"/>
          <w:b/>
          <w:bCs/>
          <w:color w:val="auto"/>
          <w:sz w:val="32"/>
          <w:szCs w:val="32"/>
          <w:highlight w:val="none"/>
          <w:u w:val="single"/>
        </w:rPr>
        <w:t>年1月1日以来</w:t>
      </w:r>
      <w:r>
        <w:rPr>
          <w:rFonts w:hint="eastAsia" w:ascii="宋体" w:hAnsi="宋体"/>
          <w:b/>
          <w:bCs/>
          <w:color w:val="auto"/>
          <w:sz w:val="32"/>
          <w:szCs w:val="32"/>
          <w:highlight w:val="none"/>
        </w:rPr>
        <w:t>类似业绩情况表</w:t>
      </w:r>
    </w:p>
    <w:tbl>
      <w:tblPr>
        <w:tblStyle w:val="44"/>
        <w:tblW w:w="9135" w:type="dxa"/>
        <w:jc w:val="center"/>
        <w:tblLayout w:type="fixed"/>
        <w:tblCellMar>
          <w:top w:w="0" w:type="dxa"/>
          <w:left w:w="108" w:type="dxa"/>
          <w:bottom w:w="0" w:type="dxa"/>
          <w:right w:w="108" w:type="dxa"/>
        </w:tblCellMar>
      </w:tblPr>
      <w:tblGrid>
        <w:gridCol w:w="751"/>
        <w:gridCol w:w="2000"/>
        <w:gridCol w:w="1600"/>
        <w:gridCol w:w="1230"/>
        <w:gridCol w:w="1170"/>
        <w:gridCol w:w="1169"/>
        <w:gridCol w:w="1215"/>
      </w:tblGrid>
      <w:tr>
        <w:tblPrEx>
          <w:tblCellMar>
            <w:top w:w="0" w:type="dxa"/>
            <w:left w:w="108" w:type="dxa"/>
            <w:bottom w:w="0" w:type="dxa"/>
            <w:right w:w="108" w:type="dxa"/>
          </w:tblCellMar>
        </w:tblPrEx>
        <w:trPr>
          <w:trHeight w:val="1177"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hAnsi="宋体" w:cs="宋体"/>
                <w:color w:val="auto"/>
                <w:sz w:val="24"/>
                <w:highlight w:val="none"/>
              </w:rPr>
            </w:pPr>
            <w:r>
              <w:rPr>
                <w:rFonts w:hint="eastAsia"/>
                <w:color w:val="auto"/>
                <w:sz w:val="24"/>
                <w:highlight w:val="none"/>
              </w:rPr>
              <w:t>业务范围</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hint="eastAsia" w:ascii="宋体" w:hAnsi="宋体" w:cs="宋体"/>
                <w:color w:val="auto"/>
                <w:sz w:val="28"/>
                <w:szCs w:val="28"/>
                <w:highlight w:val="none"/>
              </w:rPr>
            </w:pPr>
            <w:r>
              <w:rPr>
                <w:rFonts w:hint="eastAsia"/>
                <w:bCs/>
                <w:color w:val="auto"/>
                <w:sz w:val="28"/>
                <w:szCs w:val="28"/>
                <w:highlight w:val="none"/>
              </w:rPr>
              <w:t>合同金额</w:t>
            </w:r>
          </w:p>
        </w:tc>
        <w:tc>
          <w:tcPr>
            <w:tcW w:w="11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exact"/>
              <w:jc w:val="center"/>
              <w:rPr>
                <w:rFonts w:ascii="宋体" w:hAnsi="宋体" w:cs="宋体"/>
                <w:color w:val="auto"/>
                <w:sz w:val="24"/>
                <w:highlight w:val="none"/>
              </w:rPr>
            </w:pPr>
            <w:r>
              <w:rPr>
                <w:rFonts w:hint="eastAsia"/>
                <w:color w:val="auto"/>
                <w:sz w:val="24"/>
                <w:highlight w:val="none"/>
                <w:lang w:val="en-US" w:eastAsia="zh-CN"/>
              </w:rPr>
              <w:t>合同或签订时间</w:t>
            </w:r>
            <w:r>
              <w:rPr>
                <w:rFonts w:hint="eastAsia"/>
                <w:color w:val="auto"/>
                <w:sz w:val="24"/>
                <w:highlight w:val="none"/>
              </w:rPr>
              <w:t>签订时间</w:t>
            </w:r>
          </w:p>
        </w:tc>
        <w:tc>
          <w:tcPr>
            <w:tcW w:w="11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所在页码</w:t>
            </w:r>
          </w:p>
        </w:tc>
      </w:tr>
      <w:tr>
        <w:tblPrEx>
          <w:tblCellMar>
            <w:top w:w="0" w:type="dxa"/>
            <w:left w:w="108" w:type="dxa"/>
            <w:bottom w:w="0" w:type="dxa"/>
            <w:right w:w="108" w:type="dxa"/>
          </w:tblCellMar>
        </w:tblPrEx>
        <w:trPr>
          <w:trHeight w:val="894"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0"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33"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33"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27" w:hRule="atLeast"/>
          <w:jc w:val="center"/>
        </w:trPr>
        <w:tc>
          <w:tcPr>
            <w:tcW w:w="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6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exact"/>
              <w:rPr>
                <w:rFonts w:hint="eastAsia" w:ascii="宋体" w:hAnsi="宋体" w:cs="宋体"/>
                <w:color w:val="auto"/>
                <w:sz w:val="24"/>
                <w:highlight w:val="none"/>
              </w:rPr>
            </w:pPr>
          </w:p>
        </w:tc>
      </w:tr>
    </w:tbl>
    <w:p>
      <w:pPr>
        <w:spacing w:line="320" w:lineRule="exact"/>
        <w:rPr>
          <w:rFonts w:hint="eastAsia" w:ascii="宋体" w:hAnsi="宋体"/>
          <w:b/>
          <w:bCs/>
          <w:color w:val="auto"/>
          <w:szCs w:val="21"/>
          <w:highlight w:val="none"/>
        </w:rPr>
      </w:pPr>
      <w:r>
        <w:rPr>
          <w:rFonts w:hint="eastAsia" w:ascii="宋体" w:hAnsi="宋体"/>
          <w:b/>
          <w:bCs/>
          <w:color w:val="auto"/>
          <w:szCs w:val="21"/>
          <w:highlight w:val="none"/>
        </w:rPr>
        <w:t>注：</w:t>
      </w:r>
      <w:r>
        <w:rPr>
          <w:rFonts w:hint="eastAsia" w:ascii="宋体" w:hAnsi="宋体"/>
          <w:b/>
          <w:bCs/>
          <w:color w:val="auto"/>
          <w:szCs w:val="21"/>
          <w:highlight w:val="none"/>
          <w:lang w:eastAsia="zh-CN"/>
        </w:rPr>
        <w:t>供应商</w:t>
      </w:r>
      <w:r>
        <w:rPr>
          <w:rFonts w:hint="eastAsia" w:ascii="宋体" w:hAnsi="宋体"/>
          <w:b/>
          <w:bCs/>
          <w:color w:val="auto"/>
          <w:szCs w:val="21"/>
          <w:highlight w:val="none"/>
        </w:rPr>
        <w:t>可按上述的格式扩展，须随表提交相应的业绩证明材料。</w:t>
      </w:r>
    </w:p>
    <w:p>
      <w:pPr>
        <w:pStyle w:val="134"/>
        <w:snapToGrid w:val="0"/>
        <w:spacing w:line="360" w:lineRule="auto"/>
        <w:rPr>
          <w:rFonts w:hAnsi="宋体"/>
          <w:snapToGrid w:val="0"/>
          <w:color w:val="auto"/>
          <w:sz w:val="21"/>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snapToGrid w:val="0"/>
        <w:spacing w:before="120" w:beforeLines="50" w:line="360" w:lineRule="auto"/>
        <w:jc w:val="center"/>
        <w:rPr>
          <w:rFonts w:hint="eastAsia" w:ascii="宋体" w:hAnsi="宋体" w:cs="宋体"/>
          <w:b/>
          <w:bCs/>
          <w:color w:val="auto"/>
          <w:sz w:val="32"/>
          <w:szCs w:val="32"/>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r>
        <w:rPr>
          <w:rFonts w:hAnsi="宋体" w:cs="宋体"/>
          <w:color w:val="auto"/>
          <w:highlight w:val="none"/>
        </w:rPr>
        <w:br w:type="page"/>
      </w:r>
      <w:r>
        <w:rPr>
          <w:rFonts w:hint="eastAsia" w:ascii="宋体" w:hAnsi="宋体" w:cs="宋体"/>
          <w:b/>
          <w:bCs/>
          <w:color w:val="auto"/>
          <w:sz w:val="32"/>
          <w:szCs w:val="32"/>
          <w:highlight w:val="none"/>
        </w:rPr>
        <w:t>三、拟投入本项目的主要人员组成表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085"/>
        <w:gridCol w:w="840"/>
        <w:gridCol w:w="851"/>
        <w:gridCol w:w="1147"/>
        <w:gridCol w:w="1527"/>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734"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85"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姓名</w:t>
            </w:r>
          </w:p>
        </w:tc>
        <w:tc>
          <w:tcPr>
            <w:tcW w:w="840"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年龄</w:t>
            </w:r>
          </w:p>
        </w:tc>
        <w:tc>
          <w:tcPr>
            <w:tcW w:w="851"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性别</w:t>
            </w:r>
          </w:p>
        </w:tc>
        <w:tc>
          <w:tcPr>
            <w:tcW w:w="1147" w:type="dxa"/>
            <w:noWrap w:val="0"/>
            <w:vAlign w:val="center"/>
          </w:tcPr>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注册执业资格 </w:t>
            </w:r>
          </w:p>
        </w:tc>
        <w:tc>
          <w:tcPr>
            <w:tcW w:w="1527" w:type="dxa"/>
            <w:noWrap w:val="0"/>
            <w:vAlign w:val="center"/>
          </w:tcPr>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技术职称 </w:t>
            </w:r>
          </w:p>
        </w:tc>
        <w:tc>
          <w:tcPr>
            <w:tcW w:w="1336" w:type="dxa"/>
            <w:noWrap w:val="0"/>
            <w:vAlign w:val="center"/>
          </w:tcPr>
          <w:p>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在本项目拟任职务</w:t>
            </w:r>
          </w:p>
        </w:tc>
        <w:tc>
          <w:tcPr>
            <w:tcW w:w="1336" w:type="dxa"/>
            <w:noWrap w:val="0"/>
            <w:vAlign w:val="center"/>
          </w:tcPr>
          <w:p>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仿宋"/>
                <w:color w:val="auto"/>
                <w:szCs w:val="21"/>
                <w:highlight w:val="none"/>
                <w:lang w:bidi="ar"/>
              </w:rPr>
              <w:t>项目负责人</w:t>
            </w: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34" w:type="dxa"/>
            <w:noWrap w:val="0"/>
            <w:vAlign w:val="center"/>
          </w:tcPr>
          <w:p>
            <w:pPr>
              <w:spacing w:line="440" w:lineRule="exact"/>
              <w:jc w:val="center"/>
              <w:rPr>
                <w:rFonts w:hint="eastAsia" w:ascii="宋体" w:hAnsi="宋体" w:cs="宋体"/>
                <w:color w:val="auto"/>
                <w:szCs w:val="21"/>
                <w:highlight w:val="none"/>
              </w:rPr>
            </w:pPr>
          </w:p>
        </w:tc>
        <w:tc>
          <w:tcPr>
            <w:tcW w:w="1085" w:type="dxa"/>
            <w:noWrap w:val="0"/>
            <w:vAlign w:val="center"/>
          </w:tcPr>
          <w:p>
            <w:pPr>
              <w:spacing w:line="440" w:lineRule="exact"/>
              <w:jc w:val="center"/>
              <w:rPr>
                <w:rFonts w:hint="eastAsia" w:ascii="宋体" w:hAnsi="宋体" w:cs="宋体"/>
                <w:color w:val="auto"/>
                <w:szCs w:val="21"/>
                <w:highlight w:val="none"/>
              </w:rPr>
            </w:pPr>
          </w:p>
        </w:tc>
        <w:tc>
          <w:tcPr>
            <w:tcW w:w="840" w:type="dxa"/>
            <w:noWrap w:val="0"/>
            <w:vAlign w:val="center"/>
          </w:tcPr>
          <w:p>
            <w:pPr>
              <w:spacing w:line="440" w:lineRule="exact"/>
              <w:jc w:val="center"/>
              <w:rPr>
                <w:rFonts w:hint="eastAsia" w:ascii="宋体" w:hAnsi="宋体" w:cs="宋体"/>
                <w:color w:val="auto"/>
                <w:szCs w:val="21"/>
                <w:highlight w:val="none"/>
              </w:rPr>
            </w:pPr>
          </w:p>
        </w:tc>
        <w:tc>
          <w:tcPr>
            <w:tcW w:w="851" w:type="dxa"/>
            <w:noWrap w:val="0"/>
            <w:vAlign w:val="center"/>
          </w:tcPr>
          <w:p>
            <w:pPr>
              <w:spacing w:line="440" w:lineRule="exact"/>
              <w:jc w:val="center"/>
              <w:rPr>
                <w:rFonts w:hint="eastAsia" w:ascii="宋体" w:hAnsi="宋体" w:cs="宋体"/>
                <w:color w:val="auto"/>
                <w:szCs w:val="21"/>
                <w:highlight w:val="none"/>
              </w:rPr>
            </w:pPr>
          </w:p>
        </w:tc>
        <w:tc>
          <w:tcPr>
            <w:tcW w:w="1147" w:type="dxa"/>
            <w:noWrap w:val="0"/>
            <w:vAlign w:val="center"/>
          </w:tcPr>
          <w:p>
            <w:pPr>
              <w:spacing w:line="440" w:lineRule="exact"/>
              <w:jc w:val="center"/>
              <w:rPr>
                <w:rFonts w:hint="eastAsia" w:ascii="宋体" w:hAnsi="宋体" w:cs="宋体"/>
                <w:color w:val="auto"/>
                <w:szCs w:val="21"/>
                <w:highlight w:val="none"/>
              </w:rPr>
            </w:pPr>
          </w:p>
        </w:tc>
        <w:tc>
          <w:tcPr>
            <w:tcW w:w="1527"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c>
          <w:tcPr>
            <w:tcW w:w="1336" w:type="dxa"/>
            <w:noWrap w:val="0"/>
            <w:vAlign w:val="center"/>
          </w:tcPr>
          <w:p>
            <w:pPr>
              <w:spacing w:line="440" w:lineRule="exact"/>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jc w:val="left"/>
        <w:rPr>
          <w:rFonts w:hint="eastAsia" w:ascii="宋体" w:hAnsi="宋体" w:cs="宋体"/>
          <w:color w:val="auto"/>
          <w:szCs w:val="21"/>
          <w:highlight w:val="none"/>
          <w:u w:val="single"/>
        </w:rPr>
      </w:pPr>
      <w:r>
        <w:rPr>
          <w:rFonts w:hint="eastAsia" w:ascii="宋体" w:hAnsi="宋体" w:cs="宋体"/>
          <w:b/>
          <w:snapToGrid w:val="0"/>
          <w:color w:val="auto"/>
          <w:kern w:val="0"/>
          <w:szCs w:val="21"/>
          <w:highlight w:val="none"/>
          <w:lang w:bidi="zh-CN"/>
        </w:rPr>
        <w:t>注：各人员详细信息在后续表格中体现。</w:t>
      </w:r>
    </w:p>
    <w:p>
      <w:pPr>
        <w:spacing w:line="360" w:lineRule="auto"/>
        <w:rPr>
          <w:rFonts w:hint="eastAsia" w:ascii="宋体" w:hAnsi="宋体" w:cs="宋体"/>
          <w:b/>
          <w:snapToGrid w:val="0"/>
          <w:color w:val="auto"/>
          <w:kern w:val="0"/>
          <w:szCs w:val="21"/>
          <w:highlight w:val="none"/>
          <w:lang w:bidi="zh-CN"/>
        </w:rPr>
      </w:pPr>
    </w:p>
    <w:p>
      <w:pPr>
        <w:jc w:val="center"/>
        <w:rPr>
          <w:rFonts w:hint="eastAsia" w:ascii="宋体" w:hAnsi="宋体" w:cs="宋体"/>
          <w:color w:val="auto"/>
          <w:szCs w:val="21"/>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jc w:val="center"/>
        <w:rPr>
          <w:rFonts w:hint="eastAsia" w:ascii="宋体" w:hAnsi="宋体" w:cs="宋体"/>
          <w:b/>
          <w:color w:val="auto"/>
          <w:sz w:val="30"/>
          <w:szCs w:val="30"/>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p>
    <w:p>
      <w:pPr>
        <w:snapToGrid/>
        <w:spacing w:line="320" w:lineRule="exact"/>
        <w:jc w:val="left"/>
        <w:outlineLvl w:val="9"/>
        <w:rPr>
          <w:rFonts w:hint="eastAsia"/>
          <w:b/>
          <w:color w:val="auto"/>
          <w:sz w:val="32"/>
          <w:highlight w:val="none"/>
        </w:rPr>
      </w:pPr>
      <w:r>
        <w:rPr>
          <w:rFonts w:hint="eastAsia" w:ascii="宋体" w:hAnsi="宋体" w:cs="宋体"/>
          <w:b/>
          <w:bCs/>
          <w:color w:val="auto"/>
          <w:sz w:val="32"/>
          <w:szCs w:val="32"/>
          <w:highlight w:val="none"/>
        </w:rPr>
        <w:br w:type="page"/>
      </w:r>
    </w:p>
    <w:p>
      <w:pPr>
        <w:snapToGrid w:val="0"/>
        <w:spacing w:line="360" w:lineRule="auto"/>
        <w:jc w:val="center"/>
        <w:outlineLvl w:val="1"/>
        <w:rPr>
          <w:rFonts w:hint="eastAsia" w:ascii="宋体" w:hAnsi="宋体" w:cs="宋体"/>
          <w:b/>
          <w:bCs/>
          <w:color w:val="auto"/>
          <w:sz w:val="32"/>
          <w:szCs w:val="32"/>
          <w:highlight w:val="none"/>
        </w:rPr>
      </w:pPr>
      <w:r>
        <w:rPr>
          <w:rFonts w:hint="eastAsia"/>
          <w:b/>
          <w:color w:val="auto"/>
          <w:sz w:val="32"/>
          <w:highlight w:val="none"/>
          <w:lang w:val="en-US" w:eastAsia="zh-CN"/>
        </w:rPr>
        <w:t>四</w:t>
      </w:r>
      <w:r>
        <w:rPr>
          <w:rFonts w:hint="eastAsia"/>
          <w:b/>
          <w:color w:val="auto"/>
          <w:sz w:val="32"/>
          <w:highlight w:val="none"/>
        </w:rPr>
        <w:t>、</w:t>
      </w:r>
      <w:r>
        <w:rPr>
          <w:rFonts w:hint="eastAsia" w:ascii="宋体" w:hAnsi="宋体"/>
          <w:b/>
          <w:bCs/>
          <w:color w:val="auto"/>
          <w:sz w:val="32"/>
          <w:szCs w:val="32"/>
          <w:highlight w:val="none"/>
        </w:rPr>
        <w:t>主要项目成员情况表</w:t>
      </w:r>
    </w:p>
    <w:tbl>
      <w:tblPr>
        <w:tblStyle w:val="44"/>
        <w:tblW w:w="0" w:type="auto"/>
        <w:jc w:val="center"/>
        <w:tblLayout w:type="fixed"/>
        <w:tblCellMar>
          <w:top w:w="0" w:type="dxa"/>
          <w:left w:w="108" w:type="dxa"/>
          <w:bottom w:w="0" w:type="dxa"/>
          <w:right w:w="108" w:type="dxa"/>
        </w:tblCellMar>
      </w:tblPr>
      <w:tblGrid>
        <w:gridCol w:w="1423"/>
        <w:gridCol w:w="1422"/>
        <w:gridCol w:w="1011"/>
        <w:gridCol w:w="82"/>
        <w:gridCol w:w="1058"/>
        <w:gridCol w:w="74"/>
        <w:gridCol w:w="1559"/>
        <w:gridCol w:w="288"/>
        <w:gridCol w:w="1615"/>
      </w:tblGrid>
      <w:tr>
        <w:tblPrEx>
          <w:tblCellMar>
            <w:top w:w="0" w:type="dxa"/>
            <w:left w:w="108" w:type="dxa"/>
            <w:bottom w:w="0" w:type="dxa"/>
            <w:right w:w="108" w:type="dxa"/>
          </w:tblCellMar>
        </w:tblPrEx>
        <w:trPr>
          <w:trHeight w:val="68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姓  名</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09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性别</w:t>
            </w:r>
          </w:p>
        </w:tc>
        <w:tc>
          <w:tcPr>
            <w:tcW w:w="1132"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55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出生日期</w:t>
            </w:r>
          </w:p>
        </w:tc>
        <w:tc>
          <w:tcPr>
            <w:tcW w:w="190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 xml:space="preserve">  年  月  日</w:t>
            </w:r>
          </w:p>
        </w:tc>
      </w:tr>
      <w:tr>
        <w:tblPrEx>
          <w:tblCellMar>
            <w:top w:w="0" w:type="dxa"/>
            <w:left w:w="108" w:type="dxa"/>
            <w:bottom w:w="0" w:type="dxa"/>
            <w:right w:w="108" w:type="dxa"/>
          </w:tblCellMar>
        </w:tblPrEx>
        <w:trPr>
          <w:trHeight w:val="68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毕业院校及专业</w:t>
            </w:r>
          </w:p>
        </w:tc>
        <w:tc>
          <w:tcPr>
            <w:tcW w:w="3647"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55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毕业日期</w:t>
            </w:r>
          </w:p>
        </w:tc>
        <w:tc>
          <w:tcPr>
            <w:tcW w:w="190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 xml:space="preserve">  年  月  日</w:t>
            </w:r>
          </w:p>
        </w:tc>
      </w:tr>
      <w:tr>
        <w:tblPrEx>
          <w:tblCellMar>
            <w:top w:w="0" w:type="dxa"/>
            <w:left w:w="108" w:type="dxa"/>
            <w:bottom w:w="0" w:type="dxa"/>
            <w:right w:w="108" w:type="dxa"/>
          </w:tblCellMar>
        </w:tblPrEx>
        <w:trPr>
          <w:trHeight w:val="68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从事本专业时间</w:t>
            </w:r>
          </w:p>
        </w:tc>
        <w:tc>
          <w:tcPr>
            <w:tcW w:w="7109" w:type="dxa"/>
            <w:gridSpan w:val="8"/>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执业或注册资格</w:t>
            </w:r>
          </w:p>
        </w:tc>
        <w:tc>
          <w:tcPr>
            <w:tcW w:w="3647"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55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职称</w:t>
            </w:r>
          </w:p>
        </w:tc>
        <w:tc>
          <w:tcPr>
            <w:tcW w:w="190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729"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在本项目中担任任务</w:t>
            </w:r>
          </w:p>
        </w:tc>
        <w:tc>
          <w:tcPr>
            <w:tcW w:w="7109" w:type="dxa"/>
            <w:gridSpan w:val="8"/>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479" w:hRule="atLeast"/>
          <w:jc w:val="center"/>
        </w:trPr>
        <w:tc>
          <w:tcPr>
            <w:tcW w:w="8532"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主要专业经历</w:t>
            </w:r>
          </w:p>
        </w:tc>
      </w:tr>
      <w:tr>
        <w:tblPrEx>
          <w:tblCellMar>
            <w:top w:w="0" w:type="dxa"/>
            <w:left w:w="108" w:type="dxa"/>
            <w:bottom w:w="0" w:type="dxa"/>
            <w:right w:w="108" w:type="dxa"/>
          </w:tblCellMar>
        </w:tblPrEx>
        <w:trPr>
          <w:trHeight w:val="34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序号</w:t>
            </w:r>
          </w:p>
        </w:tc>
        <w:tc>
          <w:tcPr>
            <w:tcW w:w="243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项目项目名称及规模</w:t>
            </w:r>
          </w:p>
        </w:tc>
        <w:tc>
          <w:tcPr>
            <w:tcW w:w="114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完成</w:t>
            </w:r>
          </w:p>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年月</w:t>
            </w:r>
          </w:p>
        </w:tc>
        <w:tc>
          <w:tcPr>
            <w:tcW w:w="192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在该项目中任何职</w:t>
            </w:r>
          </w:p>
        </w:tc>
        <w:tc>
          <w:tcPr>
            <w:tcW w:w="161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获奖情况</w:t>
            </w:r>
          </w:p>
        </w:tc>
      </w:tr>
      <w:tr>
        <w:tblPrEx>
          <w:tblCellMar>
            <w:top w:w="0" w:type="dxa"/>
            <w:left w:w="108" w:type="dxa"/>
            <w:bottom w:w="0" w:type="dxa"/>
            <w:right w:w="108" w:type="dxa"/>
          </w:tblCellMar>
        </w:tblPrEx>
        <w:trPr>
          <w:trHeight w:val="34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243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14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92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61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34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243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14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92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61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34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243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14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92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61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340"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243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14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92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c>
          <w:tcPr>
            <w:tcW w:w="161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r>
        <w:tblPrEx>
          <w:tblCellMar>
            <w:top w:w="0" w:type="dxa"/>
            <w:left w:w="108" w:type="dxa"/>
            <w:bottom w:w="0" w:type="dxa"/>
            <w:right w:w="108" w:type="dxa"/>
          </w:tblCellMar>
        </w:tblPrEx>
        <w:trPr>
          <w:trHeight w:val="327" w:hRule="atLeast"/>
          <w:jc w:val="center"/>
        </w:trPr>
        <w:tc>
          <w:tcPr>
            <w:tcW w:w="14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其它需</w:t>
            </w:r>
          </w:p>
          <w:p>
            <w:pPr>
              <w:adjustRightInd w:val="0"/>
              <w:snapToGrid w:val="0"/>
              <w:spacing w:line="360" w:lineRule="auto"/>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lang w:bidi="ar"/>
              </w:rPr>
              <w:t>补充的情况</w:t>
            </w:r>
          </w:p>
        </w:tc>
        <w:tc>
          <w:tcPr>
            <w:tcW w:w="7109" w:type="dxa"/>
            <w:gridSpan w:val="8"/>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宋体"/>
                <w:color w:val="auto"/>
                <w:szCs w:val="21"/>
                <w:highlight w:val="none"/>
              </w:rPr>
            </w:pPr>
          </w:p>
        </w:tc>
      </w:tr>
    </w:tbl>
    <w:p>
      <w:pPr>
        <w:jc w:val="left"/>
        <w:rPr>
          <w:rFonts w:hint="eastAsia" w:ascii="宋体" w:hAnsi="宋体" w:cs="宋体"/>
          <w:snapToGrid w:val="0"/>
          <w:color w:val="auto"/>
          <w:kern w:val="0"/>
          <w:szCs w:val="21"/>
          <w:highlight w:val="none"/>
          <w:u w:val="single"/>
          <w:lang w:bidi="zh-CN"/>
        </w:rPr>
      </w:pPr>
      <w:r>
        <w:rPr>
          <w:rFonts w:hint="eastAsia" w:hAnsi="宋体" w:cs="宋体"/>
          <w:color w:val="auto"/>
          <w:szCs w:val="21"/>
          <w:highlight w:val="none"/>
          <w:lang w:bidi="ar"/>
        </w:rPr>
        <w:t>注：</w:t>
      </w:r>
      <w:r>
        <w:rPr>
          <w:rFonts w:hint="eastAsia" w:ascii="宋体" w:hAnsi="宋体" w:cs="宋体"/>
          <w:snapToGrid w:val="0"/>
          <w:color w:val="auto"/>
          <w:kern w:val="0"/>
          <w:szCs w:val="21"/>
          <w:highlight w:val="none"/>
          <w:u w:val="single"/>
          <w:lang w:bidi="zh-CN"/>
        </w:rPr>
        <w:t xml:space="preserve"> 1、本表为除项目负责人外的项目组成员情况。</w:t>
      </w:r>
    </w:p>
    <w:p>
      <w:pPr>
        <w:jc w:val="left"/>
        <w:rPr>
          <w:rFonts w:hint="eastAsia" w:ascii="宋体" w:hAnsi="宋体" w:cs="宋体"/>
          <w:color w:val="auto"/>
          <w:szCs w:val="21"/>
          <w:highlight w:val="none"/>
          <w:u w:val="single"/>
        </w:rPr>
      </w:pPr>
      <w:r>
        <w:rPr>
          <w:rFonts w:hint="eastAsia" w:ascii="宋体" w:hAnsi="宋体" w:cs="宋体"/>
          <w:snapToGrid w:val="0"/>
          <w:color w:val="auto"/>
          <w:kern w:val="0"/>
          <w:szCs w:val="21"/>
          <w:highlight w:val="none"/>
          <w:u w:val="single"/>
          <w:lang w:bidi="zh-CN"/>
        </w:rPr>
        <w:t>2、项目组成员必须为供应商在职职工，所有人均须提供投标截止月上溯3个月（含投标截止日当月，共4个月）中任意连续2个月的社保缴纳证明复制件（加盖供应商所属社保机构印章）、与供应商签订的劳动合同复制件。</w:t>
      </w:r>
    </w:p>
    <w:p>
      <w:pPr>
        <w:widowControl/>
        <w:jc w:val="left"/>
        <w:rPr>
          <w:rFonts w:hint="eastAsia" w:hAnsi="宋体" w:cs="宋体"/>
          <w:color w:val="auto"/>
          <w:szCs w:val="21"/>
          <w:highlight w:val="none"/>
          <w:lang w:bidi="ar"/>
        </w:rPr>
      </w:pPr>
    </w:p>
    <w:p>
      <w:pPr>
        <w:spacing w:line="440" w:lineRule="exact"/>
        <w:ind w:firstLine="420" w:firstLineChars="200"/>
        <w:jc w:val="center"/>
        <w:rPr>
          <w:rFonts w:hint="eastAsia" w:ascii="宋体" w:hAnsi="宋体" w:cs="宋体"/>
          <w:snapToGrid w:val="0"/>
          <w:color w:val="auto"/>
          <w:kern w:val="0"/>
          <w:szCs w:val="21"/>
          <w:highlight w:val="none"/>
        </w:rPr>
      </w:pPr>
    </w:p>
    <w:p>
      <w:pPr>
        <w:pStyle w:val="24"/>
        <w:snapToGrid w:val="0"/>
        <w:spacing w:line="360" w:lineRule="auto"/>
        <w:rPr>
          <w:rFonts w:hint="eastAsia" w:hAnsi="宋体" w:cs="宋体"/>
          <w:snapToGrid w:val="0"/>
          <w:color w:val="auto"/>
          <w:kern w:val="0"/>
          <w:highlight w:val="none"/>
        </w:rPr>
      </w:pPr>
    </w:p>
    <w:p>
      <w:pPr>
        <w:pStyle w:val="24"/>
        <w:snapToGrid w:val="0"/>
        <w:spacing w:line="360" w:lineRule="auto"/>
        <w:rPr>
          <w:rFonts w:hint="eastAsia" w:hAnsi="宋体" w:cs="宋体"/>
          <w:snapToGrid w:val="0"/>
          <w:color w:val="auto"/>
          <w:kern w:val="0"/>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ind w:firstLine="0" w:firstLineChars="0"/>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pStyle w:val="24"/>
        <w:snapToGrid w:val="0"/>
        <w:spacing w:line="360" w:lineRule="auto"/>
        <w:rPr>
          <w:rFonts w:hint="eastAsia" w:ascii="宋体" w:hAnsi="宋体" w:cs="宋体"/>
          <w:b/>
          <w:snapToGrid w:val="0"/>
          <w:color w:val="auto"/>
          <w:kern w:val="0"/>
          <w:szCs w:val="21"/>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hAnsi="宋体"/>
          <w:color w:val="auto"/>
          <w:sz w:val="21"/>
          <w:highlight w:val="none"/>
        </w:rPr>
        <w:t xml:space="preserve">年    月   </w:t>
      </w:r>
      <w:r>
        <w:rPr>
          <w:rFonts w:hint="eastAsia" w:hAnsi="宋体"/>
          <w:color w:val="auto"/>
          <w:sz w:val="21"/>
          <w:highlight w:val="none"/>
          <w:lang w:eastAsia="zh-CN"/>
        </w:rPr>
        <w:t>日</w:t>
      </w:r>
    </w:p>
    <w:p>
      <w:pPr>
        <w:snapToGrid w:val="0"/>
        <w:spacing w:line="360" w:lineRule="auto"/>
        <w:jc w:val="center"/>
        <w:outlineLvl w:val="1"/>
        <w:rPr>
          <w:b/>
          <w:color w:val="auto"/>
          <w:sz w:val="32"/>
          <w:highlight w:val="none"/>
        </w:rPr>
      </w:pPr>
      <w:r>
        <w:rPr>
          <w:rFonts w:hint="eastAsia" w:ascii="宋体" w:hAnsi="宋体" w:cs="宋体"/>
          <w:b/>
          <w:bCs/>
          <w:color w:val="auto"/>
          <w:sz w:val="32"/>
          <w:szCs w:val="32"/>
          <w:highlight w:val="none"/>
        </w:rPr>
        <w:br w:type="page"/>
      </w:r>
      <w:r>
        <w:rPr>
          <w:rFonts w:hint="eastAsia" w:ascii="Times New Roman" w:hAnsi="Times New Roman" w:eastAsia="宋体" w:cs="Times New Roman"/>
          <w:b/>
          <w:color w:val="auto"/>
          <w:sz w:val="32"/>
          <w:szCs w:val="24"/>
          <w:highlight w:val="none"/>
          <w:lang w:val="en-US" w:eastAsia="zh-CN"/>
        </w:rPr>
        <w:t>五</w:t>
      </w:r>
      <w:r>
        <w:rPr>
          <w:rFonts w:hint="eastAsia" w:ascii="Times New Roman" w:hAnsi="Times New Roman" w:eastAsia="宋体" w:cs="Times New Roman"/>
          <w:b/>
          <w:color w:val="auto"/>
          <w:sz w:val="32"/>
          <w:highlight w:val="none"/>
          <w:lang w:val="en-US" w:eastAsia="zh-CN"/>
        </w:rPr>
        <w:t xml:space="preserve"> </w:t>
      </w:r>
      <w:r>
        <w:rPr>
          <w:rFonts w:hint="eastAsia" w:ascii="Times New Roman" w:hAnsi="Times New Roman" w:eastAsia="宋体" w:cs="Times New Roman"/>
          <w:b/>
          <w:color w:val="auto"/>
          <w:sz w:val="32"/>
          <w:highlight w:val="none"/>
        </w:rPr>
        <w:t>、</w:t>
      </w:r>
      <w:r>
        <w:rPr>
          <w:rFonts w:hint="eastAsia" w:ascii="Times New Roman" w:hAnsi="Times New Roman" w:eastAsia="宋体" w:cs="Times New Roman"/>
          <w:b/>
          <w:color w:val="auto"/>
          <w:sz w:val="32"/>
          <w:highlight w:val="none"/>
          <w:lang w:eastAsia="zh-CN"/>
        </w:rPr>
        <w:t>供应商</w:t>
      </w:r>
      <w:r>
        <w:rPr>
          <w:rFonts w:hint="eastAsia" w:ascii="Times New Roman" w:hAnsi="Times New Roman" w:eastAsia="宋体" w:cs="Times New Roman"/>
          <w:b/>
          <w:color w:val="auto"/>
          <w:sz w:val="32"/>
          <w:highlight w:val="none"/>
        </w:rPr>
        <w:t>承诺</w:t>
      </w:r>
      <w:r>
        <w:rPr>
          <w:b/>
          <w:color w:val="auto"/>
          <w:sz w:val="32"/>
          <w:highlight w:val="none"/>
        </w:rPr>
        <w:t>书</w:t>
      </w:r>
    </w:p>
    <w:p>
      <w:pPr>
        <w:pStyle w:val="17"/>
        <w:rPr>
          <w:b/>
          <w:color w:val="auto"/>
          <w:sz w:val="20"/>
          <w:highlight w:val="none"/>
        </w:rPr>
      </w:pPr>
    </w:p>
    <w:p>
      <w:pPr>
        <w:pStyle w:val="17"/>
        <w:rPr>
          <w:b/>
          <w:color w:val="auto"/>
          <w:sz w:val="20"/>
          <w:highlight w:val="none"/>
        </w:rPr>
      </w:pPr>
    </w:p>
    <w:p>
      <w:pPr>
        <w:pStyle w:val="17"/>
        <w:spacing w:before="9"/>
        <w:rPr>
          <w:b/>
          <w:color w:val="auto"/>
          <w:szCs w:val="21"/>
          <w:highlight w:val="none"/>
        </w:rPr>
      </w:pPr>
      <w:bookmarkStart w:id="35" w:name="日期：    年   月   日七、服务承诺书"/>
      <w:bookmarkEnd w:id="35"/>
    </w:p>
    <w:p>
      <w:pPr>
        <w:pStyle w:val="9"/>
        <w:numPr>
          <w:ilvl w:val="0"/>
          <w:numId w:val="0"/>
        </w:numPr>
        <w:spacing w:before="66"/>
        <w:ind w:left="420" w:leftChars="200" w:firstLine="0" w:firstLineChars="0"/>
        <w:rPr>
          <w:b w:val="0"/>
          <w:bCs w:val="0"/>
          <w:color w:val="auto"/>
          <w:sz w:val="21"/>
          <w:szCs w:val="21"/>
          <w:highlight w:val="none"/>
        </w:rPr>
      </w:pPr>
      <w:r>
        <w:rPr>
          <w:b w:val="0"/>
          <w:bCs w:val="0"/>
          <w:color w:val="auto"/>
          <w:sz w:val="21"/>
          <w:szCs w:val="21"/>
          <w:highlight w:val="none"/>
        </w:rPr>
        <w:t>杭州</w:t>
      </w:r>
      <w:r>
        <w:rPr>
          <w:rFonts w:hint="eastAsia"/>
          <w:b w:val="0"/>
          <w:bCs w:val="0"/>
          <w:color w:val="auto"/>
          <w:sz w:val="21"/>
          <w:szCs w:val="21"/>
          <w:highlight w:val="none"/>
          <w:lang w:val="en-US" w:eastAsia="zh-CN"/>
        </w:rPr>
        <w:t>机场高铁</w:t>
      </w:r>
      <w:r>
        <w:rPr>
          <w:b w:val="0"/>
          <w:bCs w:val="0"/>
          <w:color w:val="auto"/>
          <w:sz w:val="21"/>
          <w:szCs w:val="21"/>
          <w:highlight w:val="none"/>
        </w:rPr>
        <w:t>有限公司：</w:t>
      </w:r>
    </w:p>
    <w:p>
      <w:pPr>
        <w:pStyle w:val="9"/>
        <w:numPr>
          <w:ilvl w:val="0"/>
          <w:numId w:val="0"/>
        </w:numPr>
        <w:spacing w:line="343" w:lineRule="auto"/>
        <w:ind w:left="0" w:leftChars="0" w:right="117" w:firstLine="1030" w:firstLineChars="500"/>
        <w:rPr>
          <w:b w:val="0"/>
          <w:bCs w:val="0"/>
          <w:color w:val="auto"/>
          <w:sz w:val="21"/>
          <w:szCs w:val="21"/>
          <w:highlight w:val="none"/>
        </w:rPr>
      </w:pPr>
      <w:r>
        <w:rPr>
          <w:b w:val="0"/>
          <w:bCs w:val="0"/>
          <w:color w:val="auto"/>
          <w:spacing w:val="-2"/>
          <w:sz w:val="21"/>
          <w:szCs w:val="21"/>
          <w:highlight w:val="none"/>
        </w:rPr>
        <w:t>我单位承诺在本次招投标过程中提供的相关材料</w:t>
      </w:r>
      <w:r>
        <w:rPr>
          <w:b w:val="0"/>
          <w:bCs w:val="0"/>
          <w:color w:val="auto"/>
          <w:sz w:val="21"/>
          <w:szCs w:val="21"/>
          <w:highlight w:val="none"/>
        </w:rPr>
        <w:t>（</w:t>
      </w:r>
      <w:r>
        <w:rPr>
          <w:b w:val="0"/>
          <w:bCs w:val="0"/>
          <w:color w:val="auto"/>
          <w:spacing w:val="-10"/>
          <w:sz w:val="21"/>
          <w:szCs w:val="21"/>
          <w:highlight w:val="none"/>
        </w:rPr>
        <w:t>如</w:t>
      </w:r>
      <w:r>
        <w:rPr>
          <w:rFonts w:hint="eastAsia"/>
          <w:b w:val="0"/>
          <w:bCs w:val="0"/>
          <w:color w:val="auto"/>
          <w:spacing w:val="-10"/>
          <w:sz w:val="21"/>
          <w:szCs w:val="21"/>
          <w:highlight w:val="none"/>
          <w:lang w:eastAsia="zh-CN"/>
        </w:rPr>
        <w:t>供应商</w:t>
      </w:r>
      <w:r>
        <w:rPr>
          <w:b w:val="0"/>
          <w:bCs w:val="0"/>
          <w:color w:val="auto"/>
          <w:spacing w:val="-10"/>
          <w:sz w:val="21"/>
          <w:szCs w:val="21"/>
          <w:highlight w:val="none"/>
        </w:rPr>
        <w:t>资格、评分的文件、证明、</w:t>
      </w:r>
      <w:r>
        <w:rPr>
          <w:b w:val="0"/>
          <w:bCs w:val="0"/>
          <w:color w:val="auto"/>
          <w:sz w:val="21"/>
          <w:szCs w:val="21"/>
          <w:highlight w:val="none"/>
        </w:rPr>
        <w:t>陈述等）均是真实的、准确的，无弄虚作假。若有违背，我公司承担由此而产生的一切后果，无条件接受有关监管部门的处理。</w:t>
      </w:r>
    </w:p>
    <w:p>
      <w:pPr>
        <w:pStyle w:val="17"/>
        <w:rPr>
          <w:color w:val="auto"/>
          <w:szCs w:val="21"/>
          <w:highlight w:val="none"/>
        </w:rPr>
      </w:pPr>
    </w:p>
    <w:p>
      <w:pPr>
        <w:pStyle w:val="17"/>
        <w:rPr>
          <w:color w:val="auto"/>
          <w:szCs w:val="21"/>
          <w:highlight w:val="none"/>
        </w:rPr>
      </w:pPr>
    </w:p>
    <w:p>
      <w:pPr>
        <w:pStyle w:val="17"/>
        <w:rPr>
          <w:color w:val="auto"/>
          <w:szCs w:val="21"/>
          <w:highlight w:val="none"/>
        </w:rPr>
      </w:pPr>
    </w:p>
    <w:p>
      <w:pPr>
        <w:pStyle w:val="17"/>
        <w:rPr>
          <w:color w:val="auto"/>
          <w:szCs w:val="21"/>
          <w:highlight w:val="none"/>
        </w:rPr>
      </w:pPr>
    </w:p>
    <w:p>
      <w:pPr>
        <w:pStyle w:val="17"/>
        <w:rPr>
          <w:color w:val="auto"/>
          <w:szCs w:val="21"/>
          <w:highlight w:val="none"/>
        </w:rPr>
      </w:pPr>
    </w:p>
    <w:p>
      <w:pPr>
        <w:pStyle w:val="24"/>
        <w:snapToGrid w:val="0"/>
        <w:spacing w:line="360" w:lineRule="auto"/>
        <w:rPr>
          <w:rFonts w:ascii="宋体" w:hAnsi="宋体" w:eastAsia="宋体" w:cs="Times New Roman"/>
          <w:snapToGrid w:val="0"/>
          <w:color w:val="auto"/>
          <w:kern w:val="0"/>
          <w:highlight w:val="none"/>
        </w:rPr>
      </w:pPr>
      <w:r>
        <w:rPr>
          <w:rFonts w:hint="eastAsia" w:hAnsi="宋体"/>
          <w:snapToGrid w:val="0"/>
          <w:color w:val="auto"/>
          <w:kern w:val="0"/>
          <w:highlight w:val="none"/>
          <w:lang w:eastAsia="zh-CN"/>
        </w:rPr>
        <w:t>供应</w:t>
      </w:r>
      <w:r>
        <w:rPr>
          <w:rFonts w:hint="default" w:ascii="宋体" w:hAnsi="宋体" w:eastAsia="宋体" w:cs="Times New Roman"/>
          <w:snapToGrid w:val="0"/>
          <w:color w:val="auto"/>
          <w:kern w:val="0"/>
          <w:highlight w:val="none"/>
          <w:lang w:eastAsia="zh-CN"/>
        </w:rPr>
        <w:t>商</w:t>
      </w:r>
      <w:r>
        <w:rPr>
          <w:rFonts w:ascii="宋体" w:hAnsi="宋体" w:eastAsia="宋体" w:cs="Times New Roman"/>
          <w:snapToGrid w:val="0"/>
          <w:color w:val="auto"/>
          <w:kern w:val="0"/>
          <w:highlight w:val="none"/>
        </w:rPr>
        <w:t>（盖</w:t>
      </w:r>
      <w:r>
        <w:rPr>
          <w:rFonts w:hint="default" w:ascii="宋体" w:hAnsi="宋体" w:eastAsia="宋体" w:cs="Times New Roman"/>
          <w:snapToGrid w:val="0"/>
          <w:color w:val="auto"/>
          <w:kern w:val="0"/>
          <w:highlight w:val="none"/>
        </w:rPr>
        <w:t>公</w:t>
      </w:r>
      <w:r>
        <w:rPr>
          <w:rFonts w:ascii="宋体" w:hAnsi="宋体" w:eastAsia="宋体" w:cs="Times New Roman"/>
          <w:snapToGrid w:val="0"/>
          <w:color w:val="auto"/>
          <w:kern w:val="0"/>
          <w:highlight w:val="none"/>
        </w:rPr>
        <w:t>章）：</w:t>
      </w:r>
    </w:p>
    <w:p>
      <w:pPr>
        <w:pStyle w:val="24"/>
        <w:snapToGrid w:val="0"/>
        <w:spacing w:line="360" w:lineRule="auto"/>
        <w:rPr>
          <w:rFonts w:ascii="宋体" w:hAnsi="宋体" w:eastAsia="宋体" w:cs="Times New Roman"/>
          <w:snapToGrid w:val="0"/>
          <w:color w:val="auto"/>
          <w:kern w:val="0"/>
          <w:highlight w:val="none"/>
        </w:rPr>
      </w:pPr>
      <w:r>
        <w:rPr>
          <w:rFonts w:ascii="宋体" w:hAnsi="宋体" w:eastAsia="宋体" w:cs="Times New Roman"/>
          <w:snapToGrid w:val="0"/>
          <w:color w:val="auto"/>
          <w:kern w:val="0"/>
          <w:highlight w:val="none"/>
        </w:rPr>
        <w:t>法定代表人</w:t>
      </w:r>
      <w:r>
        <w:rPr>
          <w:rFonts w:hint="default" w:ascii="宋体" w:hAnsi="宋体" w:eastAsia="宋体" w:cs="Times New Roman"/>
          <w:snapToGrid w:val="0"/>
          <w:color w:val="auto"/>
          <w:kern w:val="0"/>
          <w:highlight w:val="none"/>
        </w:rPr>
        <w:t>或其委托代理人</w:t>
      </w:r>
      <w:r>
        <w:rPr>
          <w:rFonts w:ascii="宋体" w:hAnsi="宋体" w:eastAsia="宋体" w:cs="Times New Roman"/>
          <w:snapToGrid w:val="0"/>
          <w:color w:val="auto"/>
          <w:kern w:val="0"/>
          <w:highlight w:val="none"/>
        </w:rPr>
        <w:t>（</w:t>
      </w:r>
      <w:r>
        <w:rPr>
          <w:rFonts w:hint="default" w:ascii="宋体" w:hAnsi="宋体" w:eastAsia="宋体" w:cs="Times New Roman"/>
          <w:snapToGrid w:val="0"/>
          <w:color w:val="auto"/>
          <w:kern w:val="0"/>
          <w:highlight w:val="none"/>
        </w:rPr>
        <w:t>签字或盖章</w:t>
      </w:r>
      <w:r>
        <w:rPr>
          <w:rFonts w:ascii="宋体" w:hAnsi="宋体" w:eastAsia="宋体" w:cs="Times New Roman"/>
          <w:snapToGrid w:val="0"/>
          <w:color w:val="auto"/>
          <w:kern w:val="0"/>
          <w:highlight w:val="none"/>
        </w:rPr>
        <w:t>）：</w:t>
      </w:r>
    </w:p>
    <w:p>
      <w:pPr>
        <w:spacing w:line="602" w:lineRule="auto"/>
        <w:rPr>
          <w:color w:val="auto"/>
          <w:szCs w:val="21"/>
          <w:highlight w:val="none"/>
        </w:rPr>
        <w:sectPr>
          <w:footerReference r:id="rId8" w:type="default"/>
          <w:pgSz w:w="11910" w:h="16840"/>
          <w:pgMar w:top="1200" w:right="1020" w:bottom="1140" w:left="1060" w:header="0" w:footer="907" w:gutter="0"/>
          <w:pgNumType w:fmt="numberInDash"/>
          <w:cols w:space="720" w:num="1"/>
        </w:sectPr>
      </w:pPr>
      <w:r>
        <w:rPr>
          <w:rFonts w:ascii="宋体" w:hAnsi="宋体" w:eastAsia="宋体" w:cs="Times New Roman"/>
          <w:snapToGrid w:val="0"/>
          <w:color w:val="auto"/>
          <w:kern w:val="0"/>
          <w:sz w:val="21"/>
          <w:highlight w:val="none"/>
        </w:rPr>
        <w:t>日期：</w:t>
      </w:r>
      <w:r>
        <w:rPr>
          <w:rFonts w:hint="default" w:ascii="宋体" w:hAnsi="宋体" w:eastAsia="宋体" w:cs="Times New Roman"/>
          <w:snapToGrid w:val="0"/>
          <w:color w:val="auto"/>
          <w:kern w:val="0"/>
          <w:sz w:val="21"/>
          <w:highlight w:val="none"/>
        </w:rPr>
        <w:t xml:space="preserve">      </w:t>
      </w:r>
      <w:r>
        <w:rPr>
          <w:rFonts w:ascii="宋体" w:hAnsi="宋体" w:eastAsia="宋体" w:cs="Times New Roman"/>
          <w:snapToGrid w:val="0"/>
          <w:color w:val="auto"/>
          <w:kern w:val="0"/>
          <w:sz w:val="21"/>
          <w:highlight w:val="none"/>
        </w:rPr>
        <w:t xml:space="preserve">年    月   </w:t>
      </w:r>
      <w:r>
        <w:rPr>
          <w:rFonts w:hint="default" w:ascii="宋体" w:hAnsi="宋体" w:eastAsia="宋体" w:cs="Times New Roman"/>
          <w:snapToGrid w:val="0"/>
          <w:color w:val="auto"/>
          <w:kern w:val="0"/>
          <w:sz w:val="21"/>
          <w:highlight w:val="none"/>
          <w:lang w:eastAsia="zh-CN"/>
        </w:rPr>
        <w:t>日</w:t>
      </w:r>
    </w:p>
    <w:p>
      <w:pPr>
        <w:snapToGrid w:val="0"/>
        <w:spacing w:line="360"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、技术与服务解决方案</w:t>
      </w:r>
    </w:p>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（由</w:t>
      </w: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根据</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需求及</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文件要求编制）</w:t>
      </w:r>
    </w:p>
    <w:p>
      <w:pPr>
        <w:spacing w:line="360" w:lineRule="auto"/>
        <w:jc w:val="center"/>
        <w:rPr>
          <w:rFonts w:hint="eastAsia" w:ascii="仿宋" w:hAnsi="仿宋" w:eastAsia="仿宋" w:cs="仿宋_GB2312"/>
          <w:color w:val="auto"/>
          <w:sz w:val="18"/>
          <w:szCs w:val="18"/>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p>
    <w:p>
      <w:pPr>
        <w:pStyle w:val="24"/>
        <w:snapToGrid w:val="0"/>
        <w:spacing w:line="360" w:lineRule="auto"/>
        <w:rPr>
          <w:rFonts w:hAnsi="宋体"/>
          <w:snapToGrid w:val="0"/>
          <w:color w:val="auto"/>
          <w:kern w:val="0"/>
          <w:highlight w:val="none"/>
        </w:rPr>
      </w:pPr>
      <w:r>
        <w:rPr>
          <w:rFonts w:hint="eastAsia" w:hAnsi="宋体"/>
          <w:snapToGrid w:val="0"/>
          <w:color w:val="auto"/>
          <w:kern w:val="0"/>
          <w:highlight w:val="none"/>
          <w:lang w:eastAsia="zh-CN"/>
        </w:rPr>
        <w:t>供应商</w:t>
      </w:r>
      <w:r>
        <w:rPr>
          <w:rFonts w:hAnsi="宋体"/>
          <w:snapToGrid w:val="0"/>
          <w:color w:val="auto"/>
          <w:kern w:val="0"/>
          <w:highlight w:val="none"/>
        </w:rPr>
        <w:t>（盖</w:t>
      </w:r>
      <w:r>
        <w:rPr>
          <w:rFonts w:hint="eastAsia" w:hAnsi="宋体"/>
          <w:snapToGrid w:val="0"/>
          <w:color w:val="auto"/>
          <w:kern w:val="0"/>
          <w:highlight w:val="none"/>
        </w:rPr>
        <w:t>公</w:t>
      </w:r>
      <w:r>
        <w:rPr>
          <w:rFonts w:hAnsi="宋体"/>
          <w:snapToGrid w:val="0"/>
          <w:color w:val="auto"/>
          <w:kern w:val="0"/>
          <w:highlight w:val="none"/>
        </w:rPr>
        <w:t>章）：</w:t>
      </w:r>
    </w:p>
    <w:p>
      <w:pPr>
        <w:pStyle w:val="24"/>
        <w:snapToGrid w:val="0"/>
        <w:spacing w:line="360" w:lineRule="auto"/>
        <w:rPr>
          <w:rFonts w:hAnsi="宋体"/>
          <w:snapToGrid w:val="0"/>
          <w:color w:val="auto"/>
          <w:kern w:val="0"/>
          <w:highlight w:val="none"/>
        </w:rPr>
      </w:pPr>
      <w:r>
        <w:rPr>
          <w:rFonts w:hAnsi="宋体"/>
          <w:snapToGrid w:val="0"/>
          <w:color w:val="auto"/>
          <w:kern w:val="0"/>
          <w:highlight w:val="none"/>
        </w:rPr>
        <w:t>法定代表人</w:t>
      </w:r>
      <w:r>
        <w:rPr>
          <w:rFonts w:hint="eastAsia" w:hAnsi="宋体"/>
          <w:snapToGrid w:val="0"/>
          <w:color w:val="auto"/>
          <w:kern w:val="0"/>
          <w:highlight w:val="none"/>
        </w:rPr>
        <w:t>或其委托代理人</w:t>
      </w:r>
      <w:r>
        <w:rPr>
          <w:rFonts w:hAnsi="宋体"/>
          <w:snapToGrid w:val="0"/>
          <w:color w:val="auto"/>
          <w:kern w:val="0"/>
          <w:highlight w:val="none"/>
        </w:rPr>
        <w:t>（</w:t>
      </w:r>
      <w:r>
        <w:rPr>
          <w:rFonts w:hint="eastAsia" w:hAnsi="宋体"/>
          <w:snapToGrid w:val="0"/>
          <w:color w:val="auto"/>
          <w:kern w:val="0"/>
          <w:highlight w:val="none"/>
        </w:rPr>
        <w:t>签字或盖章</w:t>
      </w:r>
      <w:r>
        <w:rPr>
          <w:rFonts w:hAnsi="宋体"/>
          <w:snapToGrid w:val="0"/>
          <w:color w:val="auto"/>
          <w:kern w:val="0"/>
          <w:highlight w:val="none"/>
        </w:rPr>
        <w:t>）：</w:t>
      </w:r>
    </w:p>
    <w:p>
      <w:pPr>
        <w:pStyle w:val="3"/>
        <w:pageBreakBefore w:val="0"/>
        <w:kinsoku/>
        <w:wordWrap/>
        <w:overflowPunct/>
        <w:topLinePunct w:val="0"/>
        <w:autoSpaceDE/>
        <w:autoSpaceDN/>
        <w:bidi w:val="0"/>
        <w:spacing w:before="0" w:after="0" w:line="240" w:lineRule="auto"/>
        <w:jc w:val="both"/>
        <w:textAlignment w:val="auto"/>
        <w:rPr>
          <w:rFonts w:hint="eastAsia" w:ascii="仿宋_GB2312" w:hAnsi="仿宋_GB2312" w:eastAsia="仿宋_GB2312" w:cs="仿宋_GB2312"/>
          <w:color w:val="auto"/>
          <w:sz w:val="24"/>
          <w:szCs w:val="24"/>
          <w:highlight w:val="none"/>
        </w:rPr>
      </w:pPr>
      <w:r>
        <w:rPr>
          <w:rFonts w:hAnsi="宋体"/>
          <w:snapToGrid w:val="0"/>
          <w:color w:val="auto"/>
          <w:sz w:val="21"/>
          <w:highlight w:val="none"/>
        </w:rPr>
        <w:t>日期：</w:t>
      </w:r>
      <w:r>
        <w:rPr>
          <w:rFonts w:hint="eastAsia" w:hAnsi="宋体"/>
          <w:color w:val="auto"/>
          <w:sz w:val="21"/>
          <w:highlight w:val="none"/>
        </w:rPr>
        <w:t xml:space="preserve">      </w:t>
      </w:r>
      <w:r>
        <w:rPr>
          <w:rFonts w:ascii="宋体" w:hAnsi="宋体" w:eastAsia="宋体" w:cs="Times New Roman"/>
          <w:snapToGrid w:val="0"/>
          <w:color w:val="auto"/>
          <w:kern w:val="0"/>
          <w:sz w:val="21"/>
          <w:highlight w:val="none"/>
        </w:rPr>
        <w:t xml:space="preserve">年    月   </w:t>
      </w:r>
      <w:r>
        <w:rPr>
          <w:rFonts w:hint="default" w:ascii="宋体" w:hAnsi="宋体" w:eastAsia="宋体" w:cs="Times New Roman"/>
          <w:snapToGrid w:val="0"/>
          <w:color w:val="auto"/>
          <w:kern w:val="0"/>
          <w:sz w:val="21"/>
          <w:highlight w:val="none"/>
          <w:lang w:eastAsia="zh-CN"/>
        </w:rPr>
        <w:t>日</w:t>
      </w:r>
      <w:bookmarkEnd w:id="30"/>
    </w:p>
    <w:sectPr>
      <w:pgSz w:w="11907" w:h="16840"/>
      <w:pgMar w:top="1020" w:right="850" w:bottom="1020" w:left="850" w:header="737" w:footer="90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昆仑楷体">
    <w:altName w:val="楷体_GB2312"/>
    <w:panose1 w:val="00000000000000000000"/>
    <w:charset w:val="86"/>
    <w:family w:val="roma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pPr>
      <w:pStyle w:val="29"/>
      <w:ind w:right="360" w:firstLine="41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Style w:val="47"/>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271" w:firstLineChars="150"/>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C07B4"/>
    <w:multiLevelType w:val="singleLevel"/>
    <w:tmpl w:val="BABC07B4"/>
    <w:lvl w:ilvl="0" w:tentative="0">
      <w:start w:val="3"/>
      <w:numFmt w:val="chineseCounting"/>
      <w:suff w:val="nothing"/>
      <w:lvlText w:val="%1、"/>
      <w:lvlJc w:val="left"/>
      <w:rPr>
        <w:rFonts w:hint="eastAsia"/>
      </w:rPr>
    </w:lvl>
  </w:abstractNum>
  <w:abstractNum w:abstractNumId="1">
    <w:nsid w:val="26536AE5"/>
    <w:multiLevelType w:val="singleLevel"/>
    <w:tmpl w:val="26536AE5"/>
    <w:lvl w:ilvl="0" w:tentative="0">
      <w:start w:val="1"/>
      <w:numFmt w:val="bullet"/>
      <w:pStyle w:val="95"/>
      <w:lvlText w:val=""/>
      <w:lvlJc w:val="left"/>
      <w:pPr>
        <w:tabs>
          <w:tab w:val="left" w:pos="360"/>
        </w:tabs>
        <w:ind w:left="360" w:hanging="360"/>
      </w:pPr>
      <w:rPr>
        <w:rFonts w:hint="default" w:ascii="Wingdings" w:hAnsi="Wingdings"/>
        <w:sz w:val="15"/>
      </w:rPr>
    </w:lvl>
  </w:abstractNum>
  <w:abstractNum w:abstractNumId="2">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688047A4"/>
    <w:multiLevelType w:val="multilevel"/>
    <w:tmpl w:val="688047A4"/>
    <w:lvl w:ilvl="0" w:tentative="0">
      <w:start w:val="1"/>
      <w:numFmt w:val="bullet"/>
      <w:pStyle w:val="85"/>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77CBD18F"/>
    <w:multiLevelType w:val="singleLevel"/>
    <w:tmpl w:val="77CBD18F"/>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05"/>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WY5NWI4YmUzMWJmNDE1Y2E2NjQ4NTU5YjU2YTYifQ=="/>
  </w:docVars>
  <w:rsids>
    <w:rsidRoot w:val="00EF5892"/>
    <w:rsid w:val="0000242B"/>
    <w:rsid w:val="00002504"/>
    <w:rsid w:val="0000567E"/>
    <w:rsid w:val="00006E10"/>
    <w:rsid w:val="00007C39"/>
    <w:rsid w:val="00010F56"/>
    <w:rsid w:val="000115B5"/>
    <w:rsid w:val="00011A34"/>
    <w:rsid w:val="0001324A"/>
    <w:rsid w:val="000150FA"/>
    <w:rsid w:val="00015922"/>
    <w:rsid w:val="00015FE7"/>
    <w:rsid w:val="00016DBE"/>
    <w:rsid w:val="00020952"/>
    <w:rsid w:val="00020BE0"/>
    <w:rsid w:val="000224AD"/>
    <w:rsid w:val="000231CD"/>
    <w:rsid w:val="000307BD"/>
    <w:rsid w:val="0003088A"/>
    <w:rsid w:val="000316AE"/>
    <w:rsid w:val="0003218C"/>
    <w:rsid w:val="00032F37"/>
    <w:rsid w:val="0003383B"/>
    <w:rsid w:val="00033F1D"/>
    <w:rsid w:val="00034010"/>
    <w:rsid w:val="00035061"/>
    <w:rsid w:val="000353E1"/>
    <w:rsid w:val="000354B9"/>
    <w:rsid w:val="00035AB8"/>
    <w:rsid w:val="00035F77"/>
    <w:rsid w:val="00036418"/>
    <w:rsid w:val="00040479"/>
    <w:rsid w:val="00040A67"/>
    <w:rsid w:val="00040D40"/>
    <w:rsid w:val="00042027"/>
    <w:rsid w:val="0004210E"/>
    <w:rsid w:val="0004497C"/>
    <w:rsid w:val="0004519D"/>
    <w:rsid w:val="00050920"/>
    <w:rsid w:val="00052707"/>
    <w:rsid w:val="00052826"/>
    <w:rsid w:val="000528EB"/>
    <w:rsid w:val="00052BD6"/>
    <w:rsid w:val="00054743"/>
    <w:rsid w:val="0005498E"/>
    <w:rsid w:val="00055102"/>
    <w:rsid w:val="000626ED"/>
    <w:rsid w:val="00062A0D"/>
    <w:rsid w:val="00064CD1"/>
    <w:rsid w:val="0006734A"/>
    <w:rsid w:val="00067D63"/>
    <w:rsid w:val="0007084B"/>
    <w:rsid w:val="000710F0"/>
    <w:rsid w:val="000721CF"/>
    <w:rsid w:val="00072560"/>
    <w:rsid w:val="0007297D"/>
    <w:rsid w:val="000739F8"/>
    <w:rsid w:val="00075FC8"/>
    <w:rsid w:val="000762B2"/>
    <w:rsid w:val="000766B0"/>
    <w:rsid w:val="0007697A"/>
    <w:rsid w:val="0007744A"/>
    <w:rsid w:val="000808A9"/>
    <w:rsid w:val="0008399A"/>
    <w:rsid w:val="00084531"/>
    <w:rsid w:val="000854C8"/>
    <w:rsid w:val="00085657"/>
    <w:rsid w:val="00086028"/>
    <w:rsid w:val="0009175A"/>
    <w:rsid w:val="00091CB4"/>
    <w:rsid w:val="0009297D"/>
    <w:rsid w:val="00092D0E"/>
    <w:rsid w:val="00092F66"/>
    <w:rsid w:val="00094202"/>
    <w:rsid w:val="00094531"/>
    <w:rsid w:val="00094A90"/>
    <w:rsid w:val="00095654"/>
    <w:rsid w:val="000960B4"/>
    <w:rsid w:val="000A03BF"/>
    <w:rsid w:val="000A2129"/>
    <w:rsid w:val="000A22AF"/>
    <w:rsid w:val="000A46D4"/>
    <w:rsid w:val="000A5992"/>
    <w:rsid w:val="000A6CA6"/>
    <w:rsid w:val="000A6D97"/>
    <w:rsid w:val="000A74B3"/>
    <w:rsid w:val="000B0F08"/>
    <w:rsid w:val="000B1D64"/>
    <w:rsid w:val="000B27AB"/>
    <w:rsid w:val="000B58AE"/>
    <w:rsid w:val="000B6871"/>
    <w:rsid w:val="000B754F"/>
    <w:rsid w:val="000C0802"/>
    <w:rsid w:val="000C1F32"/>
    <w:rsid w:val="000C28A3"/>
    <w:rsid w:val="000C444E"/>
    <w:rsid w:val="000C4919"/>
    <w:rsid w:val="000C6122"/>
    <w:rsid w:val="000C6A02"/>
    <w:rsid w:val="000C6EEB"/>
    <w:rsid w:val="000C7252"/>
    <w:rsid w:val="000D0083"/>
    <w:rsid w:val="000D1322"/>
    <w:rsid w:val="000D1D6E"/>
    <w:rsid w:val="000D4A24"/>
    <w:rsid w:val="000D4BB0"/>
    <w:rsid w:val="000D62C4"/>
    <w:rsid w:val="000D777E"/>
    <w:rsid w:val="000E0D59"/>
    <w:rsid w:val="000E32C2"/>
    <w:rsid w:val="000E3D05"/>
    <w:rsid w:val="000E40B8"/>
    <w:rsid w:val="000E4260"/>
    <w:rsid w:val="000E4F48"/>
    <w:rsid w:val="000E7D8E"/>
    <w:rsid w:val="000F0A57"/>
    <w:rsid w:val="000F1838"/>
    <w:rsid w:val="000F1DF9"/>
    <w:rsid w:val="000F2095"/>
    <w:rsid w:val="000F3A8B"/>
    <w:rsid w:val="000F495E"/>
    <w:rsid w:val="000F4B51"/>
    <w:rsid w:val="000F5918"/>
    <w:rsid w:val="00100986"/>
    <w:rsid w:val="00102766"/>
    <w:rsid w:val="00103789"/>
    <w:rsid w:val="00103D1D"/>
    <w:rsid w:val="00107096"/>
    <w:rsid w:val="00110606"/>
    <w:rsid w:val="00110B14"/>
    <w:rsid w:val="001111F3"/>
    <w:rsid w:val="00114227"/>
    <w:rsid w:val="00114A1A"/>
    <w:rsid w:val="001176AB"/>
    <w:rsid w:val="00121ED9"/>
    <w:rsid w:val="00122AF1"/>
    <w:rsid w:val="001239CE"/>
    <w:rsid w:val="001252DD"/>
    <w:rsid w:val="001264FB"/>
    <w:rsid w:val="00131154"/>
    <w:rsid w:val="001312F1"/>
    <w:rsid w:val="00131370"/>
    <w:rsid w:val="00133191"/>
    <w:rsid w:val="0013477F"/>
    <w:rsid w:val="00135D0D"/>
    <w:rsid w:val="001365A0"/>
    <w:rsid w:val="00136D1C"/>
    <w:rsid w:val="00137853"/>
    <w:rsid w:val="00140860"/>
    <w:rsid w:val="0014105F"/>
    <w:rsid w:val="001425AD"/>
    <w:rsid w:val="00143246"/>
    <w:rsid w:val="001435FF"/>
    <w:rsid w:val="00144C52"/>
    <w:rsid w:val="00145C17"/>
    <w:rsid w:val="00146F2D"/>
    <w:rsid w:val="00147750"/>
    <w:rsid w:val="0015272F"/>
    <w:rsid w:val="00152FE2"/>
    <w:rsid w:val="0015359B"/>
    <w:rsid w:val="00153DB9"/>
    <w:rsid w:val="00154C74"/>
    <w:rsid w:val="00154D35"/>
    <w:rsid w:val="001552B6"/>
    <w:rsid w:val="0015536F"/>
    <w:rsid w:val="0015699E"/>
    <w:rsid w:val="00157D8D"/>
    <w:rsid w:val="00160A1F"/>
    <w:rsid w:val="00161D96"/>
    <w:rsid w:val="00162EC2"/>
    <w:rsid w:val="00165761"/>
    <w:rsid w:val="00165F67"/>
    <w:rsid w:val="0016664F"/>
    <w:rsid w:val="00171BA8"/>
    <w:rsid w:val="001721C8"/>
    <w:rsid w:val="00173969"/>
    <w:rsid w:val="00173B61"/>
    <w:rsid w:val="001745E3"/>
    <w:rsid w:val="0017508B"/>
    <w:rsid w:val="00175648"/>
    <w:rsid w:val="00175683"/>
    <w:rsid w:val="001764E3"/>
    <w:rsid w:val="00176EDB"/>
    <w:rsid w:val="00176EF3"/>
    <w:rsid w:val="0017700F"/>
    <w:rsid w:val="00177286"/>
    <w:rsid w:val="00177EEE"/>
    <w:rsid w:val="0018259B"/>
    <w:rsid w:val="00183B00"/>
    <w:rsid w:val="00183B38"/>
    <w:rsid w:val="00184440"/>
    <w:rsid w:val="0018490B"/>
    <w:rsid w:val="00187C8F"/>
    <w:rsid w:val="00187DCC"/>
    <w:rsid w:val="001922C7"/>
    <w:rsid w:val="00194729"/>
    <w:rsid w:val="00194FC6"/>
    <w:rsid w:val="001952EE"/>
    <w:rsid w:val="001956B2"/>
    <w:rsid w:val="00195849"/>
    <w:rsid w:val="0019596B"/>
    <w:rsid w:val="00195E94"/>
    <w:rsid w:val="00196BC5"/>
    <w:rsid w:val="001974BF"/>
    <w:rsid w:val="00197EBC"/>
    <w:rsid w:val="001A1272"/>
    <w:rsid w:val="001A3FC3"/>
    <w:rsid w:val="001A5849"/>
    <w:rsid w:val="001A6A68"/>
    <w:rsid w:val="001A6F83"/>
    <w:rsid w:val="001A7CA1"/>
    <w:rsid w:val="001B2C29"/>
    <w:rsid w:val="001B2FD1"/>
    <w:rsid w:val="001B34EF"/>
    <w:rsid w:val="001B6676"/>
    <w:rsid w:val="001B728F"/>
    <w:rsid w:val="001B783C"/>
    <w:rsid w:val="001B7B7B"/>
    <w:rsid w:val="001B7DA9"/>
    <w:rsid w:val="001C1DAC"/>
    <w:rsid w:val="001C29D3"/>
    <w:rsid w:val="001C3061"/>
    <w:rsid w:val="001C582D"/>
    <w:rsid w:val="001C69EA"/>
    <w:rsid w:val="001D06E5"/>
    <w:rsid w:val="001D1C75"/>
    <w:rsid w:val="001D323B"/>
    <w:rsid w:val="001D34D4"/>
    <w:rsid w:val="001D3747"/>
    <w:rsid w:val="001D4DAF"/>
    <w:rsid w:val="001D5060"/>
    <w:rsid w:val="001D5639"/>
    <w:rsid w:val="001D5FD4"/>
    <w:rsid w:val="001D6C70"/>
    <w:rsid w:val="001D7DAD"/>
    <w:rsid w:val="001E04AE"/>
    <w:rsid w:val="001E1B4C"/>
    <w:rsid w:val="001E2218"/>
    <w:rsid w:val="001E37CB"/>
    <w:rsid w:val="001E3EA0"/>
    <w:rsid w:val="001E5B18"/>
    <w:rsid w:val="001E6482"/>
    <w:rsid w:val="001E6681"/>
    <w:rsid w:val="001F1E3C"/>
    <w:rsid w:val="001F2CEA"/>
    <w:rsid w:val="001F2D0B"/>
    <w:rsid w:val="001F2DBA"/>
    <w:rsid w:val="001F4029"/>
    <w:rsid w:val="001F4804"/>
    <w:rsid w:val="001F5326"/>
    <w:rsid w:val="001F7A8A"/>
    <w:rsid w:val="00202021"/>
    <w:rsid w:val="00202D7B"/>
    <w:rsid w:val="002048FB"/>
    <w:rsid w:val="00204EC9"/>
    <w:rsid w:val="0020722D"/>
    <w:rsid w:val="00207CD9"/>
    <w:rsid w:val="002110C3"/>
    <w:rsid w:val="002120B2"/>
    <w:rsid w:val="002127F6"/>
    <w:rsid w:val="00212DAC"/>
    <w:rsid w:val="00215D57"/>
    <w:rsid w:val="00215EA2"/>
    <w:rsid w:val="002176FD"/>
    <w:rsid w:val="00220F44"/>
    <w:rsid w:val="00221231"/>
    <w:rsid w:val="002221EF"/>
    <w:rsid w:val="00223AF7"/>
    <w:rsid w:val="00223D8C"/>
    <w:rsid w:val="0022611D"/>
    <w:rsid w:val="00226711"/>
    <w:rsid w:val="0022731D"/>
    <w:rsid w:val="00230D23"/>
    <w:rsid w:val="0023175B"/>
    <w:rsid w:val="002328D8"/>
    <w:rsid w:val="00232B44"/>
    <w:rsid w:val="00235789"/>
    <w:rsid w:val="00242981"/>
    <w:rsid w:val="002432C7"/>
    <w:rsid w:val="00243DA1"/>
    <w:rsid w:val="00245EB9"/>
    <w:rsid w:val="002460E3"/>
    <w:rsid w:val="002473EB"/>
    <w:rsid w:val="00250B1B"/>
    <w:rsid w:val="00251254"/>
    <w:rsid w:val="00252065"/>
    <w:rsid w:val="002535B5"/>
    <w:rsid w:val="00254DBC"/>
    <w:rsid w:val="00255F2E"/>
    <w:rsid w:val="00255F51"/>
    <w:rsid w:val="002561D7"/>
    <w:rsid w:val="002575D3"/>
    <w:rsid w:val="00265818"/>
    <w:rsid w:val="00266245"/>
    <w:rsid w:val="0026715F"/>
    <w:rsid w:val="002672D2"/>
    <w:rsid w:val="002700CB"/>
    <w:rsid w:val="00270922"/>
    <w:rsid w:val="00270B93"/>
    <w:rsid w:val="00271E86"/>
    <w:rsid w:val="00273723"/>
    <w:rsid w:val="00273DE4"/>
    <w:rsid w:val="002749B2"/>
    <w:rsid w:val="002770A9"/>
    <w:rsid w:val="00277F98"/>
    <w:rsid w:val="00280FDF"/>
    <w:rsid w:val="002850F1"/>
    <w:rsid w:val="00285123"/>
    <w:rsid w:val="00287901"/>
    <w:rsid w:val="00290764"/>
    <w:rsid w:val="00291066"/>
    <w:rsid w:val="0029132D"/>
    <w:rsid w:val="00291C26"/>
    <w:rsid w:val="00291DEB"/>
    <w:rsid w:val="002921AF"/>
    <w:rsid w:val="00294AFD"/>
    <w:rsid w:val="00296058"/>
    <w:rsid w:val="00297597"/>
    <w:rsid w:val="002A1695"/>
    <w:rsid w:val="002A52B1"/>
    <w:rsid w:val="002A6F8A"/>
    <w:rsid w:val="002A73E3"/>
    <w:rsid w:val="002B0013"/>
    <w:rsid w:val="002B02F0"/>
    <w:rsid w:val="002B202E"/>
    <w:rsid w:val="002B229D"/>
    <w:rsid w:val="002B248D"/>
    <w:rsid w:val="002B2520"/>
    <w:rsid w:val="002B2899"/>
    <w:rsid w:val="002B314B"/>
    <w:rsid w:val="002B37FE"/>
    <w:rsid w:val="002B5493"/>
    <w:rsid w:val="002C06AC"/>
    <w:rsid w:val="002C1F46"/>
    <w:rsid w:val="002C2B2B"/>
    <w:rsid w:val="002C2BDB"/>
    <w:rsid w:val="002C3E49"/>
    <w:rsid w:val="002C45FC"/>
    <w:rsid w:val="002C4D9B"/>
    <w:rsid w:val="002C5E71"/>
    <w:rsid w:val="002D16E1"/>
    <w:rsid w:val="002D16F9"/>
    <w:rsid w:val="002D3331"/>
    <w:rsid w:val="002D3376"/>
    <w:rsid w:val="002D46E8"/>
    <w:rsid w:val="002D495C"/>
    <w:rsid w:val="002D58C5"/>
    <w:rsid w:val="002D6541"/>
    <w:rsid w:val="002E1DFF"/>
    <w:rsid w:val="002E2611"/>
    <w:rsid w:val="002E292C"/>
    <w:rsid w:val="002E2F6C"/>
    <w:rsid w:val="002E3F78"/>
    <w:rsid w:val="002E477B"/>
    <w:rsid w:val="002E7FCA"/>
    <w:rsid w:val="002F2E3B"/>
    <w:rsid w:val="002F32B7"/>
    <w:rsid w:val="002F33CC"/>
    <w:rsid w:val="002F4C76"/>
    <w:rsid w:val="00300211"/>
    <w:rsid w:val="00300214"/>
    <w:rsid w:val="00301504"/>
    <w:rsid w:val="00301953"/>
    <w:rsid w:val="00301D26"/>
    <w:rsid w:val="00301EF6"/>
    <w:rsid w:val="00303B27"/>
    <w:rsid w:val="00305672"/>
    <w:rsid w:val="00305FED"/>
    <w:rsid w:val="00306877"/>
    <w:rsid w:val="00307E0C"/>
    <w:rsid w:val="00310C66"/>
    <w:rsid w:val="00312A16"/>
    <w:rsid w:val="00313731"/>
    <w:rsid w:val="00317F20"/>
    <w:rsid w:val="00321394"/>
    <w:rsid w:val="003215FB"/>
    <w:rsid w:val="003239DB"/>
    <w:rsid w:val="003240C8"/>
    <w:rsid w:val="00324CA7"/>
    <w:rsid w:val="00324F64"/>
    <w:rsid w:val="003257A7"/>
    <w:rsid w:val="003257B6"/>
    <w:rsid w:val="00326800"/>
    <w:rsid w:val="003274C9"/>
    <w:rsid w:val="0033021A"/>
    <w:rsid w:val="00334782"/>
    <w:rsid w:val="00334814"/>
    <w:rsid w:val="00337026"/>
    <w:rsid w:val="00341692"/>
    <w:rsid w:val="00342CCA"/>
    <w:rsid w:val="003466B6"/>
    <w:rsid w:val="00347E9F"/>
    <w:rsid w:val="00351C9A"/>
    <w:rsid w:val="003542BA"/>
    <w:rsid w:val="00355579"/>
    <w:rsid w:val="00360C88"/>
    <w:rsid w:val="00361505"/>
    <w:rsid w:val="00362A24"/>
    <w:rsid w:val="003655B3"/>
    <w:rsid w:val="003676BF"/>
    <w:rsid w:val="003704E9"/>
    <w:rsid w:val="00371ADC"/>
    <w:rsid w:val="00371DCB"/>
    <w:rsid w:val="00373314"/>
    <w:rsid w:val="00373F88"/>
    <w:rsid w:val="00375E3C"/>
    <w:rsid w:val="00385299"/>
    <w:rsid w:val="003861A4"/>
    <w:rsid w:val="00386319"/>
    <w:rsid w:val="00386EB8"/>
    <w:rsid w:val="003879BF"/>
    <w:rsid w:val="00391439"/>
    <w:rsid w:val="00391D17"/>
    <w:rsid w:val="00393293"/>
    <w:rsid w:val="003935E9"/>
    <w:rsid w:val="00395A36"/>
    <w:rsid w:val="00395B68"/>
    <w:rsid w:val="00396ED7"/>
    <w:rsid w:val="00396FAF"/>
    <w:rsid w:val="003A0565"/>
    <w:rsid w:val="003A0730"/>
    <w:rsid w:val="003A3D28"/>
    <w:rsid w:val="003A4F09"/>
    <w:rsid w:val="003A5EAC"/>
    <w:rsid w:val="003A61DA"/>
    <w:rsid w:val="003A64EA"/>
    <w:rsid w:val="003A6DFD"/>
    <w:rsid w:val="003A6EFB"/>
    <w:rsid w:val="003B12D7"/>
    <w:rsid w:val="003B1633"/>
    <w:rsid w:val="003B17B6"/>
    <w:rsid w:val="003B18DC"/>
    <w:rsid w:val="003B1A68"/>
    <w:rsid w:val="003B1FC4"/>
    <w:rsid w:val="003B4910"/>
    <w:rsid w:val="003B5E43"/>
    <w:rsid w:val="003B6AFE"/>
    <w:rsid w:val="003B6C2A"/>
    <w:rsid w:val="003B6C8A"/>
    <w:rsid w:val="003B7221"/>
    <w:rsid w:val="003B7F2D"/>
    <w:rsid w:val="003C0265"/>
    <w:rsid w:val="003C0750"/>
    <w:rsid w:val="003C16FA"/>
    <w:rsid w:val="003C1CFF"/>
    <w:rsid w:val="003C333C"/>
    <w:rsid w:val="003C7F1C"/>
    <w:rsid w:val="003D0FE7"/>
    <w:rsid w:val="003D2571"/>
    <w:rsid w:val="003D35C7"/>
    <w:rsid w:val="003D4971"/>
    <w:rsid w:val="003D54AB"/>
    <w:rsid w:val="003D5FC6"/>
    <w:rsid w:val="003D6489"/>
    <w:rsid w:val="003D6FB6"/>
    <w:rsid w:val="003E0A26"/>
    <w:rsid w:val="003E2477"/>
    <w:rsid w:val="003E2652"/>
    <w:rsid w:val="003E62DD"/>
    <w:rsid w:val="003F0A11"/>
    <w:rsid w:val="003F0F7D"/>
    <w:rsid w:val="003F25EF"/>
    <w:rsid w:val="003F4B5F"/>
    <w:rsid w:val="003F5BBE"/>
    <w:rsid w:val="003F6E6B"/>
    <w:rsid w:val="003F7451"/>
    <w:rsid w:val="003F78B2"/>
    <w:rsid w:val="00400323"/>
    <w:rsid w:val="004011C7"/>
    <w:rsid w:val="004017A3"/>
    <w:rsid w:val="00401D4C"/>
    <w:rsid w:val="00401E01"/>
    <w:rsid w:val="00401F1B"/>
    <w:rsid w:val="004038AC"/>
    <w:rsid w:val="00403AC8"/>
    <w:rsid w:val="0040407C"/>
    <w:rsid w:val="0040463E"/>
    <w:rsid w:val="00404CF0"/>
    <w:rsid w:val="00404D07"/>
    <w:rsid w:val="00405278"/>
    <w:rsid w:val="0040646D"/>
    <w:rsid w:val="00406D7B"/>
    <w:rsid w:val="0040711C"/>
    <w:rsid w:val="0040730C"/>
    <w:rsid w:val="004077F6"/>
    <w:rsid w:val="00410635"/>
    <w:rsid w:val="00410C93"/>
    <w:rsid w:val="00412441"/>
    <w:rsid w:val="004146FE"/>
    <w:rsid w:val="00415AFB"/>
    <w:rsid w:val="00416289"/>
    <w:rsid w:val="00417270"/>
    <w:rsid w:val="00417C3A"/>
    <w:rsid w:val="004211FB"/>
    <w:rsid w:val="0042200C"/>
    <w:rsid w:val="004241BA"/>
    <w:rsid w:val="0042678F"/>
    <w:rsid w:val="00426812"/>
    <w:rsid w:val="004307B4"/>
    <w:rsid w:val="00431199"/>
    <w:rsid w:val="00432204"/>
    <w:rsid w:val="004342BA"/>
    <w:rsid w:val="00434623"/>
    <w:rsid w:val="00434ADA"/>
    <w:rsid w:val="00435F35"/>
    <w:rsid w:val="00441D67"/>
    <w:rsid w:val="00442CA4"/>
    <w:rsid w:val="00443359"/>
    <w:rsid w:val="00450AA7"/>
    <w:rsid w:val="00451ED7"/>
    <w:rsid w:val="004528BE"/>
    <w:rsid w:val="0045301C"/>
    <w:rsid w:val="00456A52"/>
    <w:rsid w:val="00457312"/>
    <w:rsid w:val="00457314"/>
    <w:rsid w:val="00457505"/>
    <w:rsid w:val="00460B54"/>
    <w:rsid w:val="0046103B"/>
    <w:rsid w:val="00464062"/>
    <w:rsid w:val="0046465B"/>
    <w:rsid w:val="0046684A"/>
    <w:rsid w:val="00471505"/>
    <w:rsid w:val="00476BBD"/>
    <w:rsid w:val="004774F5"/>
    <w:rsid w:val="0048113F"/>
    <w:rsid w:val="0048148D"/>
    <w:rsid w:val="004833E1"/>
    <w:rsid w:val="0048380D"/>
    <w:rsid w:val="0048420B"/>
    <w:rsid w:val="00484420"/>
    <w:rsid w:val="00484D0E"/>
    <w:rsid w:val="00486140"/>
    <w:rsid w:val="004862BD"/>
    <w:rsid w:val="004867BC"/>
    <w:rsid w:val="0049076E"/>
    <w:rsid w:val="00490A35"/>
    <w:rsid w:val="004912C4"/>
    <w:rsid w:val="004913CD"/>
    <w:rsid w:val="00491C74"/>
    <w:rsid w:val="00492706"/>
    <w:rsid w:val="00492A14"/>
    <w:rsid w:val="00492DE1"/>
    <w:rsid w:val="0049311E"/>
    <w:rsid w:val="00493D9B"/>
    <w:rsid w:val="004947E9"/>
    <w:rsid w:val="00494C68"/>
    <w:rsid w:val="00494DEB"/>
    <w:rsid w:val="004A2E97"/>
    <w:rsid w:val="004A406E"/>
    <w:rsid w:val="004A4119"/>
    <w:rsid w:val="004A4D0D"/>
    <w:rsid w:val="004A53AC"/>
    <w:rsid w:val="004A6623"/>
    <w:rsid w:val="004A6B6F"/>
    <w:rsid w:val="004A7E79"/>
    <w:rsid w:val="004A7EB4"/>
    <w:rsid w:val="004B3401"/>
    <w:rsid w:val="004B3CDC"/>
    <w:rsid w:val="004B4C84"/>
    <w:rsid w:val="004B51C5"/>
    <w:rsid w:val="004B7557"/>
    <w:rsid w:val="004C02BD"/>
    <w:rsid w:val="004C19AE"/>
    <w:rsid w:val="004C1C82"/>
    <w:rsid w:val="004C4CE8"/>
    <w:rsid w:val="004C6454"/>
    <w:rsid w:val="004D0DF5"/>
    <w:rsid w:val="004D0EA2"/>
    <w:rsid w:val="004D22BD"/>
    <w:rsid w:val="004D2E5A"/>
    <w:rsid w:val="004D5EAE"/>
    <w:rsid w:val="004E0F24"/>
    <w:rsid w:val="004E1899"/>
    <w:rsid w:val="004E51A3"/>
    <w:rsid w:val="004E6376"/>
    <w:rsid w:val="004E6B60"/>
    <w:rsid w:val="004E6F85"/>
    <w:rsid w:val="004E7A8C"/>
    <w:rsid w:val="004F01C3"/>
    <w:rsid w:val="004F0A25"/>
    <w:rsid w:val="004F0D08"/>
    <w:rsid w:val="004F103A"/>
    <w:rsid w:val="004F1C8F"/>
    <w:rsid w:val="004F51B0"/>
    <w:rsid w:val="004F595B"/>
    <w:rsid w:val="004F64CA"/>
    <w:rsid w:val="004F6F2A"/>
    <w:rsid w:val="004F7263"/>
    <w:rsid w:val="0050097C"/>
    <w:rsid w:val="00500B00"/>
    <w:rsid w:val="00500CEE"/>
    <w:rsid w:val="005013B8"/>
    <w:rsid w:val="005014F2"/>
    <w:rsid w:val="005017B1"/>
    <w:rsid w:val="00504A12"/>
    <w:rsid w:val="00506F75"/>
    <w:rsid w:val="005075F3"/>
    <w:rsid w:val="00507FA1"/>
    <w:rsid w:val="005104E2"/>
    <w:rsid w:val="00513145"/>
    <w:rsid w:val="00513D23"/>
    <w:rsid w:val="00514297"/>
    <w:rsid w:val="0051490E"/>
    <w:rsid w:val="005150BC"/>
    <w:rsid w:val="005152D1"/>
    <w:rsid w:val="0051691A"/>
    <w:rsid w:val="00516EC7"/>
    <w:rsid w:val="00517048"/>
    <w:rsid w:val="00520F9B"/>
    <w:rsid w:val="0052538C"/>
    <w:rsid w:val="00526414"/>
    <w:rsid w:val="00527671"/>
    <w:rsid w:val="005336A9"/>
    <w:rsid w:val="0053685E"/>
    <w:rsid w:val="00536D69"/>
    <w:rsid w:val="00537395"/>
    <w:rsid w:val="005374EA"/>
    <w:rsid w:val="005405BF"/>
    <w:rsid w:val="005406FF"/>
    <w:rsid w:val="00541F43"/>
    <w:rsid w:val="00543235"/>
    <w:rsid w:val="005441FF"/>
    <w:rsid w:val="00550BAD"/>
    <w:rsid w:val="0055208C"/>
    <w:rsid w:val="005527AD"/>
    <w:rsid w:val="00552C5E"/>
    <w:rsid w:val="00553F6D"/>
    <w:rsid w:val="00553FCA"/>
    <w:rsid w:val="0055410F"/>
    <w:rsid w:val="005559DE"/>
    <w:rsid w:val="00555A6B"/>
    <w:rsid w:val="005579D1"/>
    <w:rsid w:val="0056080D"/>
    <w:rsid w:val="00564400"/>
    <w:rsid w:val="0056533F"/>
    <w:rsid w:val="00565F99"/>
    <w:rsid w:val="00567113"/>
    <w:rsid w:val="00573500"/>
    <w:rsid w:val="005742E3"/>
    <w:rsid w:val="00576C23"/>
    <w:rsid w:val="0057791B"/>
    <w:rsid w:val="00580408"/>
    <w:rsid w:val="0058073C"/>
    <w:rsid w:val="00582EA5"/>
    <w:rsid w:val="00583500"/>
    <w:rsid w:val="005841BA"/>
    <w:rsid w:val="0058542C"/>
    <w:rsid w:val="00587920"/>
    <w:rsid w:val="005910D9"/>
    <w:rsid w:val="00591231"/>
    <w:rsid w:val="00591C8E"/>
    <w:rsid w:val="00593716"/>
    <w:rsid w:val="00594AEE"/>
    <w:rsid w:val="005953F7"/>
    <w:rsid w:val="00596E74"/>
    <w:rsid w:val="005974FE"/>
    <w:rsid w:val="00597800"/>
    <w:rsid w:val="00597A0A"/>
    <w:rsid w:val="005A1527"/>
    <w:rsid w:val="005A18FE"/>
    <w:rsid w:val="005A1BB0"/>
    <w:rsid w:val="005A5440"/>
    <w:rsid w:val="005A6055"/>
    <w:rsid w:val="005A67AC"/>
    <w:rsid w:val="005A6D5B"/>
    <w:rsid w:val="005B070F"/>
    <w:rsid w:val="005B13F8"/>
    <w:rsid w:val="005B35DE"/>
    <w:rsid w:val="005B418B"/>
    <w:rsid w:val="005B4195"/>
    <w:rsid w:val="005B5E24"/>
    <w:rsid w:val="005B5F8B"/>
    <w:rsid w:val="005B63DC"/>
    <w:rsid w:val="005B7874"/>
    <w:rsid w:val="005C15BF"/>
    <w:rsid w:val="005C4767"/>
    <w:rsid w:val="005C71E0"/>
    <w:rsid w:val="005C75A3"/>
    <w:rsid w:val="005C789A"/>
    <w:rsid w:val="005D04EE"/>
    <w:rsid w:val="005D06DD"/>
    <w:rsid w:val="005D0F94"/>
    <w:rsid w:val="005D5A2D"/>
    <w:rsid w:val="005D669E"/>
    <w:rsid w:val="005D6F6E"/>
    <w:rsid w:val="005E090C"/>
    <w:rsid w:val="005E0A40"/>
    <w:rsid w:val="005E1F31"/>
    <w:rsid w:val="005E3C38"/>
    <w:rsid w:val="005E3CCE"/>
    <w:rsid w:val="005E533C"/>
    <w:rsid w:val="005E55F3"/>
    <w:rsid w:val="005E5E72"/>
    <w:rsid w:val="005E6B2D"/>
    <w:rsid w:val="005E702A"/>
    <w:rsid w:val="005F1251"/>
    <w:rsid w:val="005F1E4E"/>
    <w:rsid w:val="005F28AD"/>
    <w:rsid w:val="005F2BB6"/>
    <w:rsid w:val="005F3098"/>
    <w:rsid w:val="005F3513"/>
    <w:rsid w:val="005F4321"/>
    <w:rsid w:val="005F58E7"/>
    <w:rsid w:val="005F5C3C"/>
    <w:rsid w:val="005F5C7C"/>
    <w:rsid w:val="005F5DE9"/>
    <w:rsid w:val="005F762D"/>
    <w:rsid w:val="005F7D07"/>
    <w:rsid w:val="006007C8"/>
    <w:rsid w:val="00600B26"/>
    <w:rsid w:val="00600BA1"/>
    <w:rsid w:val="00601757"/>
    <w:rsid w:val="00601B3D"/>
    <w:rsid w:val="00602568"/>
    <w:rsid w:val="006028E7"/>
    <w:rsid w:val="00603F01"/>
    <w:rsid w:val="00604C3B"/>
    <w:rsid w:val="00606312"/>
    <w:rsid w:val="0060682D"/>
    <w:rsid w:val="006069FD"/>
    <w:rsid w:val="00606A0E"/>
    <w:rsid w:val="00607201"/>
    <w:rsid w:val="00607D91"/>
    <w:rsid w:val="00610C34"/>
    <w:rsid w:val="006112C3"/>
    <w:rsid w:val="00614126"/>
    <w:rsid w:val="00614302"/>
    <w:rsid w:val="0061547F"/>
    <w:rsid w:val="00615AC7"/>
    <w:rsid w:val="00615F6F"/>
    <w:rsid w:val="00624C43"/>
    <w:rsid w:val="00624EFB"/>
    <w:rsid w:val="00624F7A"/>
    <w:rsid w:val="00626D93"/>
    <w:rsid w:val="006274EF"/>
    <w:rsid w:val="00627516"/>
    <w:rsid w:val="0063175B"/>
    <w:rsid w:val="00637CFB"/>
    <w:rsid w:val="006405FB"/>
    <w:rsid w:val="00640CFD"/>
    <w:rsid w:val="00641BC2"/>
    <w:rsid w:val="00641C4D"/>
    <w:rsid w:val="00642098"/>
    <w:rsid w:val="00643B7D"/>
    <w:rsid w:val="00645AE2"/>
    <w:rsid w:val="00647CFA"/>
    <w:rsid w:val="00647E31"/>
    <w:rsid w:val="00650450"/>
    <w:rsid w:val="00651630"/>
    <w:rsid w:val="006534D9"/>
    <w:rsid w:val="00653593"/>
    <w:rsid w:val="0065409E"/>
    <w:rsid w:val="00654114"/>
    <w:rsid w:val="00654914"/>
    <w:rsid w:val="00655831"/>
    <w:rsid w:val="0065590F"/>
    <w:rsid w:val="006600DF"/>
    <w:rsid w:val="00660728"/>
    <w:rsid w:val="00660F90"/>
    <w:rsid w:val="00661A10"/>
    <w:rsid w:val="00663EE7"/>
    <w:rsid w:val="00664096"/>
    <w:rsid w:val="006663D2"/>
    <w:rsid w:val="006705FA"/>
    <w:rsid w:val="00671BA0"/>
    <w:rsid w:val="00671ED5"/>
    <w:rsid w:val="00672A63"/>
    <w:rsid w:val="00673908"/>
    <w:rsid w:val="00674DE4"/>
    <w:rsid w:val="00676C31"/>
    <w:rsid w:val="00676C6F"/>
    <w:rsid w:val="00677ADF"/>
    <w:rsid w:val="00680713"/>
    <w:rsid w:val="006815CF"/>
    <w:rsid w:val="006817B8"/>
    <w:rsid w:val="00681B7F"/>
    <w:rsid w:val="0068287D"/>
    <w:rsid w:val="00682D7D"/>
    <w:rsid w:val="0068331F"/>
    <w:rsid w:val="0068423B"/>
    <w:rsid w:val="00687C44"/>
    <w:rsid w:val="00690821"/>
    <w:rsid w:val="00693D63"/>
    <w:rsid w:val="006946D8"/>
    <w:rsid w:val="00694D49"/>
    <w:rsid w:val="00694E71"/>
    <w:rsid w:val="00694F03"/>
    <w:rsid w:val="00695E4E"/>
    <w:rsid w:val="006A2D93"/>
    <w:rsid w:val="006A314A"/>
    <w:rsid w:val="006A3D6A"/>
    <w:rsid w:val="006A3E7C"/>
    <w:rsid w:val="006A75F2"/>
    <w:rsid w:val="006B2075"/>
    <w:rsid w:val="006B323D"/>
    <w:rsid w:val="006B3279"/>
    <w:rsid w:val="006B4A0E"/>
    <w:rsid w:val="006B6743"/>
    <w:rsid w:val="006B6C83"/>
    <w:rsid w:val="006C0480"/>
    <w:rsid w:val="006C1130"/>
    <w:rsid w:val="006C3C13"/>
    <w:rsid w:val="006C54B4"/>
    <w:rsid w:val="006C6CB5"/>
    <w:rsid w:val="006C6E67"/>
    <w:rsid w:val="006C6E8F"/>
    <w:rsid w:val="006C71BE"/>
    <w:rsid w:val="006D03F3"/>
    <w:rsid w:val="006D0BA0"/>
    <w:rsid w:val="006D0F63"/>
    <w:rsid w:val="006D1401"/>
    <w:rsid w:val="006D2ADA"/>
    <w:rsid w:val="006D2D23"/>
    <w:rsid w:val="006D3F5A"/>
    <w:rsid w:val="006D4435"/>
    <w:rsid w:val="006D4F5A"/>
    <w:rsid w:val="006D71EC"/>
    <w:rsid w:val="006D7E85"/>
    <w:rsid w:val="006E0BA5"/>
    <w:rsid w:val="006E0D07"/>
    <w:rsid w:val="006E1485"/>
    <w:rsid w:val="006E44C5"/>
    <w:rsid w:val="006E62A1"/>
    <w:rsid w:val="006E6636"/>
    <w:rsid w:val="006F0121"/>
    <w:rsid w:val="006F1A64"/>
    <w:rsid w:val="006F1B8F"/>
    <w:rsid w:val="006F2272"/>
    <w:rsid w:val="006F3323"/>
    <w:rsid w:val="006F3493"/>
    <w:rsid w:val="006F40A7"/>
    <w:rsid w:val="006F4B2D"/>
    <w:rsid w:val="006F66FD"/>
    <w:rsid w:val="006F67EB"/>
    <w:rsid w:val="006F6B31"/>
    <w:rsid w:val="006F712A"/>
    <w:rsid w:val="0070063A"/>
    <w:rsid w:val="0070092C"/>
    <w:rsid w:val="00700B4B"/>
    <w:rsid w:val="00703559"/>
    <w:rsid w:val="00703A86"/>
    <w:rsid w:val="00706211"/>
    <w:rsid w:val="00706B93"/>
    <w:rsid w:val="00707433"/>
    <w:rsid w:val="00711AB8"/>
    <w:rsid w:val="00713B4A"/>
    <w:rsid w:val="00713FBF"/>
    <w:rsid w:val="00714360"/>
    <w:rsid w:val="00714581"/>
    <w:rsid w:val="00716F0B"/>
    <w:rsid w:val="007175AE"/>
    <w:rsid w:val="00717831"/>
    <w:rsid w:val="0072380B"/>
    <w:rsid w:val="007250E2"/>
    <w:rsid w:val="007259B8"/>
    <w:rsid w:val="00725BCC"/>
    <w:rsid w:val="007263F0"/>
    <w:rsid w:val="0072642A"/>
    <w:rsid w:val="0072793D"/>
    <w:rsid w:val="00730DD1"/>
    <w:rsid w:val="00731004"/>
    <w:rsid w:val="007311A1"/>
    <w:rsid w:val="00731991"/>
    <w:rsid w:val="00731E1E"/>
    <w:rsid w:val="00733015"/>
    <w:rsid w:val="007331A5"/>
    <w:rsid w:val="0073741A"/>
    <w:rsid w:val="00740CC3"/>
    <w:rsid w:val="007412F8"/>
    <w:rsid w:val="00742FE4"/>
    <w:rsid w:val="007431AD"/>
    <w:rsid w:val="00743658"/>
    <w:rsid w:val="0074394E"/>
    <w:rsid w:val="00743C97"/>
    <w:rsid w:val="00744134"/>
    <w:rsid w:val="00744FE2"/>
    <w:rsid w:val="00745777"/>
    <w:rsid w:val="0074623C"/>
    <w:rsid w:val="00750DEC"/>
    <w:rsid w:val="00750EDC"/>
    <w:rsid w:val="00751097"/>
    <w:rsid w:val="0075179B"/>
    <w:rsid w:val="007534C6"/>
    <w:rsid w:val="00753BD9"/>
    <w:rsid w:val="00754137"/>
    <w:rsid w:val="00756D64"/>
    <w:rsid w:val="007604BB"/>
    <w:rsid w:val="007606C6"/>
    <w:rsid w:val="00770208"/>
    <w:rsid w:val="007723EF"/>
    <w:rsid w:val="00773383"/>
    <w:rsid w:val="007747DC"/>
    <w:rsid w:val="00776D74"/>
    <w:rsid w:val="00777708"/>
    <w:rsid w:val="007777C6"/>
    <w:rsid w:val="007807A2"/>
    <w:rsid w:val="00780DB4"/>
    <w:rsid w:val="00780E84"/>
    <w:rsid w:val="00780F04"/>
    <w:rsid w:val="00781882"/>
    <w:rsid w:val="007825DE"/>
    <w:rsid w:val="00782F7C"/>
    <w:rsid w:val="00783DED"/>
    <w:rsid w:val="0078497D"/>
    <w:rsid w:val="00784EF7"/>
    <w:rsid w:val="00787635"/>
    <w:rsid w:val="00787C61"/>
    <w:rsid w:val="00790730"/>
    <w:rsid w:val="00791C02"/>
    <w:rsid w:val="007932CF"/>
    <w:rsid w:val="00794037"/>
    <w:rsid w:val="00796736"/>
    <w:rsid w:val="00797545"/>
    <w:rsid w:val="007A1E28"/>
    <w:rsid w:val="007A42BC"/>
    <w:rsid w:val="007A442C"/>
    <w:rsid w:val="007A486E"/>
    <w:rsid w:val="007A5687"/>
    <w:rsid w:val="007A58FF"/>
    <w:rsid w:val="007A5CEB"/>
    <w:rsid w:val="007A64F5"/>
    <w:rsid w:val="007A6CDE"/>
    <w:rsid w:val="007A71F9"/>
    <w:rsid w:val="007A73D9"/>
    <w:rsid w:val="007B0272"/>
    <w:rsid w:val="007B05A5"/>
    <w:rsid w:val="007B0A60"/>
    <w:rsid w:val="007B32BA"/>
    <w:rsid w:val="007B3A19"/>
    <w:rsid w:val="007B41E2"/>
    <w:rsid w:val="007B7127"/>
    <w:rsid w:val="007C1DD7"/>
    <w:rsid w:val="007C2FCF"/>
    <w:rsid w:val="007C3608"/>
    <w:rsid w:val="007C55FE"/>
    <w:rsid w:val="007C5A2E"/>
    <w:rsid w:val="007C64C0"/>
    <w:rsid w:val="007C6FDA"/>
    <w:rsid w:val="007C7DF6"/>
    <w:rsid w:val="007D1109"/>
    <w:rsid w:val="007D3890"/>
    <w:rsid w:val="007D6E46"/>
    <w:rsid w:val="007D6E77"/>
    <w:rsid w:val="007E059B"/>
    <w:rsid w:val="007E31E0"/>
    <w:rsid w:val="007E4E4E"/>
    <w:rsid w:val="007E5812"/>
    <w:rsid w:val="007E5C52"/>
    <w:rsid w:val="007E7264"/>
    <w:rsid w:val="007E73B4"/>
    <w:rsid w:val="007F1D7A"/>
    <w:rsid w:val="007F24A3"/>
    <w:rsid w:val="007F289A"/>
    <w:rsid w:val="007F28A5"/>
    <w:rsid w:val="007F463B"/>
    <w:rsid w:val="007F5808"/>
    <w:rsid w:val="007F68B1"/>
    <w:rsid w:val="007F7492"/>
    <w:rsid w:val="008012E9"/>
    <w:rsid w:val="008018E3"/>
    <w:rsid w:val="00802842"/>
    <w:rsid w:val="00803442"/>
    <w:rsid w:val="00803694"/>
    <w:rsid w:val="008049E0"/>
    <w:rsid w:val="0080555A"/>
    <w:rsid w:val="00806681"/>
    <w:rsid w:val="008078AF"/>
    <w:rsid w:val="00810A16"/>
    <w:rsid w:val="00811102"/>
    <w:rsid w:val="00811ABF"/>
    <w:rsid w:val="00812A68"/>
    <w:rsid w:val="00812AF9"/>
    <w:rsid w:val="00812C1C"/>
    <w:rsid w:val="008134C3"/>
    <w:rsid w:val="008149E7"/>
    <w:rsid w:val="0081616D"/>
    <w:rsid w:val="0081619D"/>
    <w:rsid w:val="00817C7A"/>
    <w:rsid w:val="008206A9"/>
    <w:rsid w:val="00820920"/>
    <w:rsid w:val="00821095"/>
    <w:rsid w:val="0082224F"/>
    <w:rsid w:val="008235EA"/>
    <w:rsid w:val="0082431B"/>
    <w:rsid w:val="0082437B"/>
    <w:rsid w:val="00825E00"/>
    <w:rsid w:val="0082755D"/>
    <w:rsid w:val="00827F14"/>
    <w:rsid w:val="00830258"/>
    <w:rsid w:val="00830FE3"/>
    <w:rsid w:val="00834A66"/>
    <w:rsid w:val="00834FAC"/>
    <w:rsid w:val="00837436"/>
    <w:rsid w:val="008401E4"/>
    <w:rsid w:val="00840CED"/>
    <w:rsid w:val="0084102B"/>
    <w:rsid w:val="00841F51"/>
    <w:rsid w:val="0084237E"/>
    <w:rsid w:val="00842B03"/>
    <w:rsid w:val="0084449D"/>
    <w:rsid w:val="008468FF"/>
    <w:rsid w:val="00850721"/>
    <w:rsid w:val="00850BF5"/>
    <w:rsid w:val="00851015"/>
    <w:rsid w:val="0085165A"/>
    <w:rsid w:val="0085165C"/>
    <w:rsid w:val="00853028"/>
    <w:rsid w:val="008550D3"/>
    <w:rsid w:val="00857EE9"/>
    <w:rsid w:val="00860A19"/>
    <w:rsid w:val="008614E4"/>
    <w:rsid w:val="00862F22"/>
    <w:rsid w:val="008649B7"/>
    <w:rsid w:val="00867D37"/>
    <w:rsid w:val="00870D2D"/>
    <w:rsid w:val="00870EF5"/>
    <w:rsid w:val="008722E9"/>
    <w:rsid w:val="008724D4"/>
    <w:rsid w:val="008724E9"/>
    <w:rsid w:val="00877D33"/>
    <w:rsid w:val="0088073D"/>
    <w:rsid w:val="00880B54"/>
    <w:rsid w:val="00882D8E"/>
    <w:rsid w:val="00883254"/>
    <w:rsid w:val="00883EEB"/>
    <w:rsid w:val="008842B9"/>
    <w:rsid w:val="0088579D"/>
    <w:rsid w:val="0088630E"/>
    <w:rsid w:val="008872A5"/>
    <w:rsid w:val="00887DB0"/>
    <w:rsid w:val="0089465A"/>
    <w:rsid w:val="0089792A"/>
    <w:rsid w:val="00897DD0"/>
    <w:rsid w:val="008A0140"/>
    <w:rsid w:val="008A054A"/>
    <w:rsid w:val="008A06E0"/>
    <w:rsid w:val="008A6011"/>
    <w:rsid w:val="008A72E6"/>
    <w:rsid w:val="008A79B5"/>
    <w:rsid w:val="008B0BDC"/>
    <w:rsid w:val="008B1786"/>
    <w:rsid w:val="008B269B"/>
    <w:rsid w:val="008B3C00"/>
    <w:rsid w:val="008B3E00"/>
    <w:rsid w:val="008B5E4D"/>
    <w:rsid w:val="008B60DD"/>
    <w:rsid w:val="008C0312"/>
    <w:rsid w:val="008C0AF9"/>
    <w:rsid w:val="008C1318"/>
    <w:rsid w:val="008C15C3"/>
    <w:rsid w:val="008C3FAF"/>
    <w:rsid w:val="008C5049"/>
    <w:rsid w:val="008C5227"/>
    <w:rsid w:val="008C5315"/>
    <w:rsid w:val="008C5921"/>
    <w:rsid w:val="008C63C8"/>
    <w:rsid w:val="008C6C39"/>
    <w:rsid w:val="008C77A9"/>
    <w:rsid w:val="008C7B18"/>
    <w:rsid w:val="008C7BFC"/>
    <w:rsid w:val="008D0D8A"/>
    <w:rsid w:val="008D4426"/>
    <w:rsid w:val="008D49CB"/>
    <w:rsid w:val="008D53DB"/>
    <w:rsid w:val="008D606C"/>
    <w:rsid w:val="008D6708"/>
    <w:rsid w:val="008D6723"/>
    <w:rsid w:val="008D6F26"/>
    <w:rsid w:val="008D7A45"/>
    <w:rsid w:val="008E0750"/>
    <w:rsid w:val="008E1D3B"/>
    <w:rsid w:val="008E45B6"/>
    <w:rsid w:val="008E48D3"/>
    <w:rsid w:val="008E4BB7"/>
    <w:rsid w:val="008E6315"/>
    <w:rsid w:val="008E7075"/>
    <w:rsid w:val="008E714D"/>
    <w:rsid w:val="008E77E1"/>
    <w:rsid w:val="008F032C"/>
    <w:rsid w:val="008F0F92"/>
    <w:rsid w:val="008F460C"/>
    <w:rsid w:val="008F5758"/>
    <w:rsid w:val="008F668C"/>
    <w:rsid w:val="008F79B3"/>
    <w:rsid w:val="008F7DD7"/>
    <w:rsid w:val="0090116A"/>
    <w:rsid w:val="00904E06"/>
    <w:rsid w:val="009058F3"/>
    <w:rsid w:val="00906E66"/>
    <w:rsid w:val="00907C74"/>
    <w:rsid w:val="00910B2D"/>
    <w:rsid w:val="00913242"/>
    <w:rsid w:val="009148A2"/>
    <w:rsid w:val="0091584E"/>
    <w:rsid w:val="00916564"/>
    <w:rsid w:val="00916985"/>
    <w:rsid w:val="00917CCC"/>
    <w:rsid w:val="00920494"/>
    <w:rsid w:val="0092073E"/>
    <w:rsid w:val="009207D9"/>
    <w:rsid w:val="00920CC0"/>
    <w:rsid w:val="00921DF0"/>
    <w:rsid w:val="00924EC9"/>
    <w:rsid w:val="00927787"/>
    <w:rsid w:val="00927F5D"/>
    <w:rsid w:val="009300D7"/>
    <w:rsid w:val="00930CEA"/>
    <w:rsid w:val="009316D0"/>
    <w:rsid w:val="0093175A"/>
    <w:rsid w:val="00932745"/>
    <w:rsid w:val="00934044"/>
    <w:rsid w:val="00934206"/>
    <w:rsid w:val="00935C08"/>
    <w:rsid w:val="009363A1"/>
    <w:rsid w:val="00937144"/>
    <w:rsid w:val="009401D2"/>
    <w:rsid w:val="00940617"/>
    <w:rsid w:val="00941E55"/>
    <w:rsid w:val="00942C82"/>
    <w:rsid w:val="0095040B"/>
    <w:rsid w:val="0095128F"/>
    <w:rsid w:val="009527F7"/>
    <w:rsid w:val="009528E4"/>
    <w:rsid w:val="00954D35"/>
    <w:rsid w:val="00955D7D"/>
    <w:rsid w:val="00955EE2"/>
    <w:rsid w:val="0095761C"/>
    <w:rsid w:val="00961087"/>
    <w:rsid w:val="009645AE"/>
    <w:rsid w:val="009646DE"/>
    <w:rsid w:val="00964E23"/>
    <w:rsid w:val="009703DC"/>
    <w:rsid w:val="00972002"/>
    <w:rsid w:val="009731E4"/>
    <w:rsid w:val="009735B3"/>
    <w:rsid w:val="00975744"/>
    <w:rsid w:val="009774FB"/>
    <w:rsid w:val="009803DE"/>
    <w:rsid w:val="00980AEC"/>
    <w:rsid w:val="0098130C"/>
    <w:rsid w:val="009827EE"/>
    <w:rsid w:val="00983E0C"/>
    <w:rsid w:val="009840A9"/>
    <w:rsid w:val="00986971"/>
    <w:rsid w:val="009869BC"/>
    <w:rsid w:val="00987B7C"/>
    <w:rsid w:val="00991439"/>
    <w:rsid w:val="009915BA"/>
    <w:rsid w:val="00992FC7"/>
    <w:rsid w:val="0099593C"/>
    <w:rsid w:val="009962C5"/>
    <w:rsid w:val="00996CD7"/>
    <w:rsid w:val="00996DE4"/>
    <w:rsid w:val="009973DD"/>
    <w:rsid w:val="009976E3"/>
    <w:rsid w:val="00997771"/>
    <w:rsid w:val="009A0FBD"/>
    <w:rsid w:val="009A185E"/>
    <w:rsid w:val="009A25E9"/>
    <w:rsid w:val="009A282C"/>
    <w:rsid w:val="009A2878"/>
    <w:rsid w:val="009A4744"/>
    <w:rsid w:val="009A5450"/>
    <w:rsid w:val="009A70C2"/>
    <w:rsid w:val="009A71A0"/>
    <w:rsid w:val="009A796C"/>
    <w:rsid w:val="009B1300"/>
    <w:rsid w:val="009B2071"/>
    <w:rsid w:val="009B3AD9"/>
    <w:rsid w:val="009B4764"/>
    <w:rsid w:val="009B4AC4"/>
    <w:rsid w:val="009B5539"/>
    <w:rsid w:val="009B72C1"/>
    <w:rsid w:val="009C01E3"/>
    <w:rsid w:val="009C0A88"/>
    <w:rsid w:val="009C0AF1"/>
    <w:rsid w:val="009C26F8"/>
    <w:rsid w:val="009C50F8"/>
    <w:rsid w:val="009C5D76"/>
    <w:rsid w:val="009C69D7"/>
    <w:rsid w:val="009C7F57"/>
    <w:rsid w:val="009D3A9E"/>
    <w:rsid w:val="009D3E47"/>
    <w:rsid w:val="009D4447"/>
    <w:rsid w:val="009E0875"/>
    <w:rsid w:val="009E12F1"/>
    <w:rsid w:val="009E1C70"/>
    <w:rsid w:val="009E7D45"/>
    <w:rsid w:val="009F0EAA"/>
    <w:rsid w:val="009F1C0C"/>
    <w:rsid w:val="009F31E3"/>
    <w:rsid w:val="009F5235"/>
    <w:rsid w:val="009F5A7C"/>
    <w:rsid w:val="009F6960"/>
    <w:rsid w:val="009F7066"/>
    <w:rsid w:val="00A00C8F"/>
    <w:rsid w:val="00A030C6"/>
    <w:rsid w:val="00A0425A"/>
    <w:rsid w:val="00A0442C"/>
    <w:rsid w:val="00A048BD"/>
    <w:rsid w:val="00A05B2E"/>
    <w:rsid w:val="00A05E35"/>
    <w:rsid w:val="00A06952"/>
    <w:rsid w:val="00A06DD4"/>
    <w:rsid w:val="00A078E2"/>
    <w:rsid w:val="00A10943"/>
    <w:rsid w:val="00A12456"/>
    <w:rsid w:val="00A13B0A"/>
    <w:rsid w:val="00A152B2"/>
    <w:rsid w:val="00A17273"/>
    <w:rsid w:val="00A17E0A"/>
    <w:rsid w:val="00A21626"/>
    <w:rsid w:val="00A21A0C"/>
    <w:rsid w:val="00A21A3A"/>
    <w:rsid w:val="00A21B44"/>
    <w:rsid w:val="00A22E52"/>
    <w:rsid w:val="00A23124"/>
    <w:rsid w:val="00A25789"/>
    <w:rsid w:val="00A264D4"/>
    <w:rsid w:val="00A26DB1"/>
    <w:rsid w:val="00A2704B"/>
    <w:rsid w:val="00A279E2"/>
    <w:rsid w:val="00A27FFD"/>
    <w:rsid w:val="00A301E4"/>
    <w:rsid w:val="00A32422"/>
    <w:rsid w:val="00A32951"/>
    <w:rsid w:val="00A335A7"/>
    <w:rsid w:val="00A34163"/>
    <w:rsid w:val="00A403B8"/>
    <w:rsid w:val="00A40A4E"/>
    <w:rsid w:val="00A40D1D"/>
    <w:rsid w:val="00A40DAA"/>
    <w:rsid w:val="00A41739"/>
    <w:rsid w:val="00A4263C"/>
    <w:rsid w:val="00A44BEC"/>
    <w:rsid w:val="00A45F2C"/>
    <w:rsid w:val="00A466FE"/>
    <w:rsid w:val="00A508D2"/>
    <w:rsid w:val="00A50D02"/>
    <w:rsid w:val="00A547E7"/>
    <w:rsid w:val="00A55940"/>
    <w:rsid w:val="00A56032"/>
    <w:rsid w:val="00A57BCB"/>
    <w:rsid w:val="00A61C5D"/>
    <w:rsid w:val="00A64C40"/>
    <w:rsid w:val="00A67AD8"/>
    <w:rsid w:val="00A67BEB"/>
    <w:rsid w:val="00A70436"/>
    <w:rsid w:val="00A7054F"/>
    <w:rsid w:val="00A71848"/>
    <w:rsid w:val="00A71FE2"/>
    <w:rsid w:val="00A723FA"/>
    <w:rsid w:val="00A73999"/>
    <w:rsid w:val="00A76BE1"/>
    <w:rsid w:val="00A76E9F"/>
    <w:rsid w:val="00A76FA3"/>
    <w:rsid w:val="00A8127B"/>
    <w:rsid w:val="00A8193D"/>
    <w:rsid w:val="00A82E03"/>
    <w:rsid w:val="00A8358E"/>
    <w:rsid w:val="00A90357"/>
    <w:rsid w:val="00A9243C"/>
    <w:rsid w:val="00A928C4"/>
    <w:rsid w:val="00A94282"/>
    <w:rsid w:val="00A9439A"/>
    <w:rsid w:val="00A9530F"/>
    <w:rsid w:val="00A959E1"/>
    <w:rsid w:val="00A970A9"/>
    <w:rsid w:val="00A97178"/>
    <w:rsid w:val="00A9790B"/>
    <w:rsid w:val="00AA0841"/>
    <w:rsid w:val="00AA1D65"/>
    <w:rsid w:val="00AA3929"/>
    <w:rsid w:val="00AA61BF"/>
    <w:rsid w:val="00AA7F13"/>
    <w:rsid w:val="00AB0712"/>
    <w:rsid w:val="00AB0E90"/>
    <w:rsid w:val="00AB0FAB"/>
    <w:rsid w:val="00AB13C5"/>
    <w:rsid w:val="00AB1EC5"/>
    <w:rsid w:val="00AB28C5"/>
    <w:rsid w:val="00AB2AB6"/>
    <w:rsid w:val="00AB2D50"/>
    <w:rsid w:val="00AB4EC9"/>
    <w:rsid w:val="00AB6A1B"/>
    <w:rsid w:val="00AB6AB9"/>
    <w:rsid w:val="00AB7A21"/>
    <w:rsid w:val="00AB7E3A"/>
    <w:rsid w:val="00AC2832"/>
    <w:rsid w:val="00AC3018"/>
    <w:rsid w:val="00AC329D"/>
    <w:rsid w:val="00AC4911"/>
    <w:rsid w:val="00AC4FA3"/>
    <w:rsid w:val="00AC5740"/>
    <w:rsid w:val="00AC585C"/>
    <w:rsid w:val="00AC6447"/>
    <w:rsid w:val="00AC6DA4"/>
    <w:rsid w:val="00AC6F0F"/>
    <w:rsid w:val="00AC715D"/>
    <w:rsid w:val="00AD04AE"/>
    <w:rsid w:val="00AD0A20"/>
    <w:rsid w:val="00AE072E"/>
    <w:rsid w:val="00AE250B"/>
    <w:rsid w:val="00AE2B81"/>
    <w:rsid w:val="00AE4300"/>
    <w:rsid w:val="00AE4620"/>
    <w:rsid w:val="00AE6C78"/>
    <w:rsid w:val="00AF0A2F"/>
    <w:rsid w:val="00AF128F"/>
    <w:rsid w:val="00AF36B0"/>
    <w:rsid w:val="00AF47D7"/>
    <w:rsid w:val="00AF59A7"/>
    <w:rsid w:val="00AF5CD0"/>
    <w:rsid w:val="00AF7A40"/>
    <w:rsid w:val="00AF7ABD"/>
    <w:rsid w:val="00AF7D30"/>
    <w:rsid w:val="00B0214F"/>
    <w:rsid w:val="00B02C3F"/>
    <w:rsid w:val="00B03395"/>
    <w:rsid w:val="00B04BAA"/>
    <w:rsid w:val="00B04C25"/>
    <w:rsid w:val="00B0607B"/>
    <w:rsid w:val="00B07DA9"/>
    <w:rsid w:val="00B100E4"/>
    <w:rsid w:val="00B10430"/>
    <w:rsid w:val="00B107FC"/>
    <w:rsid w:val="00B10871"/>
    <w:rsid w:val="00B111A5"/>
    <w:rsid w:val="00B113C5"/>
    <w:rsid w:val="00B11BBA"/>
    <w:rsid w:val="00B146A4"/>
    <w:rsid w:val="00B14963"/>
    <w:rsid w:val="00B14CB6"/>
    <w:rsid w:val="00B15264"/>
    <w:rsid w:val="00B1671D"/>
    <w:rsid w:val="00B16F34"/>
    <w:rsid w:val="00B1761A"/>
    <w:rsid w:val="00B20C13"/>
    <w:rsid w:val="00B2130D"/>
    <w:rsid w:val="00B22E4D"/>
    <w:rsid w:val="00B22E58"/>
    <w:rsid w:val="00B2332C"/>
    <w:rsid w:val="00B2458E"/>
    <w:rsid w:val="00B245F6"/>
    <w:rsid w:val="00B25367"/>
    <w:rsid w:val="00B30339"/>
    <w:rsid w:val="00B308B6"/>
    <w:rsid w:val="00B30ACB"/>
    <w:rsid w:val="00B30CA9"/>
    <w:rsid w:val="00B3141E"/>
    <w:rsid w:val="00B31A3E"/>
    <w:rsid w:val="00B3242B"/>
    <w:rsid w:val="00B32D9D"/>
    <w:rsid w:val="00B35EC4"/>
    <w:rsid w:val="00B37740"/>
    <w:rsid w:val="00B37C56"/>
    <w:rsid w:val="00B438D2"/>
    <w:rsid w:val="00B44B0C"/>
    <w:rsid w:val="00B45764"/>
    <w:rsid w:val="00B46AA3"/>
    <w:rsid w:val="00B47267"/>
    <w:rsid w:val="00B474AE"/>
    <w:rsid w:val="00B4759F"/>
    <w:rsid w:val="00B4764C"/>
    <w:rsid w:val="00B47854"/>
    <w:rsid w:val="00B50D0B"/>
    <w:rsid w:val="00B50E39"/>
    <w:rsid w:val="00B51435"/>
    <w:rsid w:val="00B5152D"/>
    <w:rsid w:val="00B51827"/>
    <w:rsid w:val="00B52985"/>
    <w:rsid w:val="00B56833"/>
    <w:rsid w:val="00B56DCC"/>
    <w:rsid w:val="00B5725B"/>
    <w:rsid w:val="00B60205"/>
    <w:rsid w:val="00B6069F"/>
    <w:rsid w:val="00B61C3C"/>
    <w:rsid w:val="00B61F7D"/>
    <w:rsid w:val="00B62B0D"/>
    <w:rsid w:val="00B631F2"/>
    <w:rsid w:val="00B63C1B"/>
    <w:rsid w:val="00B6628A"/>
    <w:rsid w:val="00B666C1"/>
    <w:rsid w:val="00B668CD"/>
    <w:rsid w:val="00B66F8C"/>
    <w:rsid w:val="00B6746A"/>
    <w:rsid w:val="00B67724"/>
    <w:rsid w:val="00B70CA7"/>
    <w:rsid w:val="00B71129"/>
    <w:rsid w:val="00B71A33"/>
    <w:rsid w:val="00B73502"/>
    <w:rsid w:val="00B73A14"/>
    <w:rsid w:val="00B743C4"/>
    <w:rsid w:val="00B75F0B"/>
    <w:rsid w:val="00B7646F"/>
    <w:rsid w:val="00B76979"/>
    <w:rsid w:val="00B76FC6"/>
    <w:rsid w:val="00B77994"/>
    <w:rsid w:val="00B81383"/>
    <w:rsid w:val="00B81FB8"/>
    <w:rsid w:val="00B82C7A"/>
    <w:rsid w:val="00B82EFB"/>
    <w:rsid w:val="00B850DA"/>
    <w:rsid w:val="00B853B0"/>
    <w:rsid w:val="00B85623"/>
    <w:rsid w:val="00B85DD0"/>
    <w:rsid w:val="00B8617E"/>
    <w:rsid w:val="00B86625"/>
    <w:rsid w:val="00B90342"/>
    <w:rsid w:val="00B904DF"/>
    <w:rsid w:val="00B919C5"/>
    <w:rsid w:val="00B92DD3"/>
    <w:rsid w:val="00B95993"/>
    <w:rsid w:val="00B96CCC"/>
    <w:rsid w:val="00BA1BCF"/>
    <w:rsid w:val="00BA2EAC"/>
    <w:rsid w:val="00BA5DD2"/>
    <w:rsid w:val="00BA75AC"/>
    <w:rsid w:val="00BB0C53"/>
    <w:rsid w:val="00BB1C95"/>
    <w:rsid w:val="00BB1EAA"/>
    <w:rsid w:val="00BB1FFB"/>
    <w:rsid w:val="00BB2430"/>
    <w:rsid w:val="00BB4264"/>
    <w:rsid w:val="00BB461A"/>
    <w:rsid w:val="00BB54AE"/>
    <w:rsid w:val="00BC1D33"/>
    <w:rsid w:val="00BC2428"/>
    <w:rsid w:val="00BC614C"/>
    <w:rsid w:val="00BC687E"/>
    <w:rsid w:val="00BC6A64"/>
    <w:rsid w:val="00BC75E0"/>
    <w:rsid w:val="00BD2FFE"/>
    <w:rsid w:val="00BD3D47"/>
    <w:rsid w:val="00BD40AA"/>
    <w:rsid w:val="00BD6D55"/>
    <w:rsid w:val="00BD74F5"/>
    <w:rsid w:val="00BD7834"/>
    <w:rsid w:val="00BE0887"/>
    <w:rsid w:val="00BE17EB"/>
    <w:rsid w:val="00BE3847"/>
    <w:rsid w:val="00BE4AC8"/>
    <w:rsid w:val="00BE5154"/>
    <w:rsid w:val="00BE5349"/>
    <w:rsid w:val="00BE580A"/>
    <w:rsid w:val="00BE5ACF"/>
    <w:rsid w:val="00BE6312"/>
    <w:rsid w:val="00BE6864"/>
    <w:rsid w:val="00BE78D2"/>
    <w:rsid w:val="00BF0943"/>
    <w:rsid w:val="00BF3163"/>
    <w:rsid w:val="00C00E99"/>
    <w:rsid w:val="00C0173F"/>
    <w:rsid w:val="00C02612"/>
    <w:rsid w:val="00C02634"/>
    <w:rsid w:val="00C038E7"/>
    <w:rsid w:val="00C03D82"/>
    <w:rsid w:val="00C04296"/>
    <w:rsid w:val="00C04E62"/>
    <w:rsid w:val="00C0691E"/>
    <w:rsid w:val="00C10D30"/>
    <w:rsid w:val="00C11DB8"/>
    <w:rsid w:val="00C129A0"/>
    <w:rsid w:val="00C14EB6"/>
    <w:rsid w:val="00C1674A"/>
    <w:rsid w:val="00C175EF"/>
    <w:rsid w:val="00C1782F"/>
    <w:rsid w:val="00C17B65"/>
    <w:rsid w:val="00C20F33"/>
    <w:rsid w:val="00C21BCA"/>
    <w:rsid w:val="00C21C6B"/>
    <w:rsid w:val="00C23B21"/>
    <w:rsid w:val="00C26074"/>
    <w:rsid w:val="00C3038B"/>
    <w:rsid w:val="00C3092E"/>
    <w:rsid w:val="00C321F6"/>
    <w:rsid w:val="00C32E17"/>
    <w:rsid w:val="00C33CD0"/>
    <w:rsid w:val="00C34219"/>
    <w:rsid w:val="00C349A6"/>
    <w:rsid w:val="00C35ADF"/>
    <w:rsid w:val="00C37544"/>
    <w:rsid w:val="00C40C13"/>
    <w:rsid w:val="00C416AA"/>
    <w:rsid w:val="00C42264"/>
    <w:rsid w:val="00C42C36"/>
    <w:rsid w:val="00C45C7D"/>
    <w:rsid w:val="00C4747C"/>
    <w:rsid w:val="00C47948"/>
    <w:rsid w:val="00C501BD"/>
    <w:rsid w:val="00C50D86"/>
    <w:rsid w:val="00C51B86"/>
    <w:rsid w:val="00C51BFE"/>
    <w:rsid w:val="00C55FEE"/>
    <w:rsid w:val="00C612C6"/>
    <w:rsid w:val="00C62CBA"/>
    <w:rsid w:val="00C63B08"/>
    <w:rsid w:val="00C6403B"/>
    <w:rsid w:val="00C65FBC"/>
    <w:rsid w:val="00C666F2"/>
    <w:rsid w:val="00C66C1E"/>
    <w:rsid w:val="00C70135"/>
    <w:rsid w:val="00C70B33"/>
    <w:rsid w:val="00C71E1A"/>
    <w:rsid w:val="00C720F4"/>
    <w:rsid w:val="00C72CEB"/>
    <w:rsid w:val="00C73657"/>
    <w:rsid w:val="00C74651"/>
    <w:rsid w:val="00C7662B"/>
    <w:rsid w:val="00C773E8"/>
    <w:rsid w:val="00C77B6F"/>
    <w:rsid w:val="00C77F91"/>
    <w:rsid w:val="00C81CC5"/>
    <w:rsid w:val="00C83B2F"/>
    <w:rsid w:val="00C843DA"/>
    <w:rsid w:val="00C849B0"/>
    <w:rsid w:val="00C859AE"/>
    <w:rsid w:val="00C87B2F"/>
    <w:rsid w:val="00C90500"/>
    <w:rsid w:val="00C942AB"/>
    <w:rsid w:val="00C944FA"/>
    <w:rsid w:val="00C949FD"/>
    <w:rsid w:val="00C958E3"/>
    <w:rsid w:val="00C960C5"/>
    <w:rsid w:val="00C96830"/>
    <w:rsid w:val="00CA0530"/>
    <w:rsid w:val="00CA31D1"/>
    <w:rsid w:val="00CA3302"/>
    <w:rsid w:val="00CA4465"/>
    <w:rsid w:val="00CA5EEA"/>
    <w:rsid w:val="00CA6C1A"/>
    <w:rsid w:val="00CA700C"/>
    <w:rsid w:val="00CA7A7C"/>
    <w:rsid w:val="00CA7B97"/>
    <w:rsid w:val="00CB01B4"/>
    <w:rsid w:val="00CB0207"/>
    <w:rsid w:val="00CB0E8A"/>
    <w:rsid w:val="00CB0EE2"/>
    <w:rsid w:val="00CB11D0"/>
    <w:rsid w:val="00CB1F1B"/>
    <w:rsid w:val="00CB2752"/>
    <w:rsid w:val="00CB3805"/>
    <w:rsid w:val="00CB3C78"/>
    <w:rsid w:val="00CB460A"/>
    <w:rsid w:val="00CB61F1"/>
    <w:rsid w:val="00CB78F2"/>
    <w:rsid w:val="00CC2ABA"/>
    <w:rsid w:val="00CC4554"/>
    <w:rsid w:val="00CC787D"/>
    <w:rsid w:val="00CD2378"/>
    <w:rsid w:val="00CD2905"/>
    <w:rsid w:val="00CD348C"/>
    <w:rsid w:val="00CD6F2F"/>
    <w:rsid w:val="00CE07DC"/>
    <w:rsid w:val="00CE282A"/>
    <w:rsid w:val="00CE3B76"/>
    <w:rsid w:val="00CF163D"/>
    <w:rsid w:val="00CF1841"/>
    <w:rsid w:val="00CF196A"/>
    <w:rsid w:val="00CF26BA"/>
    <w:rsid w:val="00CF318E"/>
    <w:rsid w:val="00CF4787"/>
    <w:rsid w:val="00CF4BD0"/>
    <w:rsid w:val="00CF75C7"/>
    <w:rsid w:val="00CF772B"/>
    <w:rsid w:val="00D001D5"/>
    <w:rsid w:val="00D00387"/>
    <w:rsid w:val="00D00A0C"/>
    <w:rsid w:val="00D02B25"/>
    <w:rsid w:val="00D0351B"/>
    <w:rsid w:val="00D045A7"/>
    <w:rsid w:val="00D06539"/>
    <w:rsid w:val="00D067CB"/>
    <w:rsid w:val="00D06A78"/>
    <w:rsid w:val="00D06E98"/>
    <w:rsid w:val="00D07709"/>
    <w:rsid w:val="00D102FA"/>
    <w:rsid w:val="00D11FA3"/>
    <w:rsid w:val="00D142F4"/>
    <w:rsid w:val="00D14B14"/>
    <w:rsid w:val="00D15353"/>
    <w:rsid w:val="00D16744"/>
    <w:rsid w:val="00D17A28"/>
    <w:rsid w:val="00D203CE"/>
    <w:rsid w:val="00D21034"/>
    <w:rsid w:val="00D21403"/>
    <w:rsid w:val="00D228F6"/>
    <w:rsid w:val="00D23A14"/>
    <w:rsid w:val="00D23B80"/>
    <w:rsid w:val="00D23E73"/>
    <w:rsid w:val="00D2431D"/>
    <w:rsid w:val="00D24C5F"/>
    <w:rsid w:val="00D25B8B"/>
    <w:rsid w:val="00D26F9C"/>
    <w:rsid w:val="00D27A1B"/>
    <w:rsid w:val="00D330D2"/>
    <w:rsid w:val="00D33C2F"/>
    <w:rsid w:val="00D33DCA"/>
    <w:rsid w:val="00D348C5"/>
    <w:rsid w:val="00D36674"/>
    <w:rsid w:val="00D37539"/>
    <w:rsid w:val="00D37908"/>
    <w:rsid w:val="00D401EB"/>
    <w:rsid w:val="00D40B14"/>
    <w:rsid w:val="00D40C52"/>
    <w:rsid w:val="00D40F80"/>
    <w:rsid w:val="00D43C9F"/>
    <w:rsid w:val="00D46E50"/>
    <w:rsid w:val="00D513D5"/>
    <w:rsid w:val="00D53D64"/>
    <w:rsid w:val="00D54CB5"/>
    <w:rsid w:val="00D577D8"/>
    <w:rsid w:val="00D5794B"/>
    <w:rsid w:val="00D57FBA"/>
    <w:rsid w:val="00D6058A"/>
    <w:rsid w:val="00D60A87"/>
    <w:rsid w:val="00D61677"/>
    <w:rsid w:val="00D6230C"/>
    <w:rsid w:val="00D634D6"/>
    <w:rsid w:val="00D65123"/>
    <w:rsid w:val="00D67D43"/>
    <w:rsid w:val="00D67EFD"/>
    <w:rsid w:val="00D72473"/>
    <w:rsid w:val="00D7367B"/>
    <w:rsid w:val="00D74DF3"/>
    <w:rsid w:val="00D74E61"/>
    <w:rsid w:val="00D77F64"/>
    <w:rsid w:val="00D80B69"/>
    <w:rsid w:val="00D80B94"/>
    <w:rsid w:val="00D82773"/>
    <w:rsid w:val="00D82F81"/>
    <w:rsid w:val="00D83E94"/>
    <w:rsid w:val="00D850E3"/>
    <w:rsid w:val="00D87064"/>
    <w:rsid w:val="00D9180F"/>
    <w:rsid w:val="00D91E5F"/>
    <w:rsid w:val="00D9255B"/>
    <w:rsid w:val="00D933B5"/>
    <w:rsid w:val="00D93D46"/>
    <w:rsid w:val="00D943C4"/>
    <w:rsid w:val="00D959BE"/>
    <w:rsid w:val="00D96486"/>
    <w:rsid w:val="00D96C23"/>
    <w:rsid w:val="00D973CC"/>
    <w:rsid w:val="00DA04CC"/>
    <w:rsid w:val="00DA0982"/>
    <w:rsid w:val="00DA2A64"/>
    <w:rsid w:val="00DA38C2"/>
    <w:rsid w:val="00DA531D"/>
    <w:rsid w:val="00DA7250"/>
    <w:rsid w:val="00DA7794"/>
    <w:rsid w:val="00DB06CA"/>
    <w:rsid w:val="00DB0E5B"/>
    <w:rsid w:val="00DB1A83"/>
    <w:rsid w:val="00DB1AB0"/>
    <w:rsid w:val="00DB1D4C"/>
    <w:rsid w:val="00DB6149"/>
    <w:rsid w:val="00DC0387"/>
    <w:rsid w:val="00DC3749"/>
    <w:rsid w:val="00DC3938"/>
    <w:rsid w:val="00DC734B"/>
    <w:rsid w:val="00DC7B7F"/>
    <w:rsid w:val="00DD0FA1"/>
    <w:rsid w:val="00DD2B8B"/>
    <w:rsid w:val="00DD2CF2"/>
    <w:rsid w:val="00DD2D89"/>
    <w:rsid w:val="00DD2D8F"/>
    <w:rsid w:val="00DD38EF"/>
    <w:rsid w:val="00DD43EF"/>
    <w:rsid w:val="00DD44C4"/>
    <w:rsid w:val="00DD5369"/>
    <w:rsid w:val="00DE04AE"/>
    <w:rsid w:val="00DE1A9D"/>
    <w:rsid w:val="00DE1CED"/>
    <w:rsid w:val="00DE346D"/>
    <w:rsid w:val="00DE3B78"/>
    <w:rsid w:val="00DE412B"/>
    <w:rsid w:val="00DE5C53"/>
    <w:rsid w:val="00DE637C"/>
    <w:rsid w:val="00DE7085"/>
    <w:rsid w:val="00DE70DB"/>
    <w:rsid w:val="00DF0B03"/>
    <w:rsid w:val="00DF28BA"/>
    <w:rsid w:val="00DF3450"/>
    <w:rsid w:val="00DF48A5"/>
    <w:rsid w:val="00DF68AE"/>
    <w:rsid w:val="00DF7381"/>
    <w:rsid w:val="00DF7E1C"/>
    <w:rsid w:val="00E014C6"/>
    <w:rsid w:val="00E016A7"/>
    <w:rsid w:val="00E029E4"/>
    <w:rsid w:val="00E03D29"/>
    <w:rsid w:val="00E042C3"/>
    <w:rsid w:val="00E04EB6"/>
    <w:rsid w:val="00E05AB3"/>
    <w:rsid w:val="00E07043"/>
    <w:rsid w:val="00E07686"/>
    <w:rsid w:val="00E116AB"/>
    <w:rsid w:val="00E11A9F"/>
    <w:rsid w:val="00E12153"/>
    <w:rsid w:val="00E12166"/>
    <w:rsid w:val="00E122B9"/>
    <w:rsid w:val="00E139EA"/>
    <w:rsid w:val="00E14821"/>
    <w:rsid w:val="00E14957"/>
    <w:rsid w:val="00E15843"/>
    <w:rsid w:val="00E15E6B"/>
    <w:rsid w:val="00E2283A"/>
    <w:rsid w:val="00E242BE"/>
    <w:rsid w:val="00E25296"/>
    <w:rsid w:val="00E268DD"/>
    <w:rsid w:val="00E26A50"/>
    <w:rsid w:val="00E26EA3"/>
    <w:rsid w:val="00E27ACF"/>
    <w:rsid w:val="00E300C5"/>
    <w:rsid w:val="00E3043A"/>
    <w:rsid w:val="00E304E8"/>
    <w:rsid w:val="00E30A3D"/>
    <w:rsid w:val="00E30D9A"/>
    <w:rsid w:val="00E3116C"/>
    <w:rsid w:val="00E31E94"/>
    <w:rsid w:val="00E32884"/>
    <w:rsid w:val="00E34535"/>
    <w:rsid w:val="00E35538"/>
    <w:rsid w:val="00E35EBD"/>
    <w:rsid w:val="00E36550"/>
    <w:rsid w:val="00E36E65"/>
    <w:rsid w:val="00E3708E"/>
    <w:rsid w:val="00E37A7C"/>
    <w:rsid w:val="00E37A8D"/>
    <w:rsid w:val="00E401EB"/>
    <w:rsid w:val="00E41016"/>
    <w:rsid w:val="00E45AE0"/>
    <w:rsid w:val="00E47285"/>
    <w:rsid w:val="00E4756A"/>
    <w:rsid w:val="00E505A6"/>
    <w:rsid w:val="00E510BF"/>
    <w:rsid w:val="00E531B4"/>
    <w:rsid w:val="00E54700"/>
    <w:rsid w:val="00E61303"/>
    <w:rsid w:val="00E63148"/>
    <w:rsid w:val="00E63544"/>
    <w:rsid w:val="00E63877"/>
    <w:rsid w:val="00E65C1F"/>
    <w:rsid w:val="00E66525"/>
    <w:rsid w:val="00E6733A"/>
    <w:rsid w:val="00E70BB3"/>
    <w:rsid w:val="00E713F6"/>
    <w:rsid w:val="00E7338D"/>
    <w:rsid w:val="00E735B3"/>
    <w:rsid w:val="00E74049"/>
    <w:rsid w:val="00E74617"/>
    <w:rsid w:val="00E74D81"/>
    <w:rsid w:val="00E74F23"/>
    <w:rsid w:val="00E75936"/>
    <w:rsid w:val="00E770BC"/>
    <w:rsid w:val="00E77CC9"/>
    <w:rsid w:val="00E8036B"/>
    <w:rsid w:val="00E80961"/>
    <w:rsid w:val="00E81326"/>
    <w:rsid w:val="00E81353"/>
    <w:rsid w:val="00E8147F"/>
    <w:rsid w:val="00E83F76"/>
    <w:rsid w:val="00E85AFC"/>
    <w:rsid w:val="00E86035"/>
    <w:rsid w:val="00E86154"/>
    <w:rsid w:val="00E86988"/>
    <w:rsid w:val="00E87501"/>
    <w:rsid w:val="00E87E4D"/>
    <w:rsid w:val="00E90841"/>
    <w:rsid w:val="00E91321"/>
    <w:rsid w:val="00E91D07"/>
    <w:rsid w:val="00E92409"/>
    <w:rsid w:val="00E926F2"/>
    <w:rsid w:val="00E9346B"/>
    <w:rsid w:val="00E95F8A"/>
    <w:rsid w:val="00E96413"/>
    <w:rsid w:val="00E975D8"/>
    <w:rsid w:val="00E97F11"/>
    <w:rsid w:val="00EA0E06"/>
    <w:rsid w:val="00EA1461"/>
    <w:rsid w:val="00EA65B4"/>
    <w:rsid w:val="00EA758C"/>
    <w:rsid w:val="00EB0BC3"/>
    <w:rsid w:val="00EB0E81"/>
    <w:rsid w:val="00EB1158"/>
    <w:rsid w:val="00EB19E4"/>
    <w:rsid w:val="00EB223D"/>
    <w:rsid w:val="00EB2486"/>
    <w:rsid w:val="00EB301A"/>
    <w:rsid w:val="00EB3644"/>
    <w:rsid w:val="00EB4EC9"/>
    <w:rsid w:val="00EB6B21"/>
    <w:rsid w:val="00EB712D"/>
    <w:rsid w:val="00EC0ECA"/>
    <w:rsid w:val="00EC1250"/>
    <w:rsid w:val="00EC27D3"/>
    <w:rsid w:val="00EC36C1"/>
    <w:rsid w:val="00EC3773"/>
    <w:rsid w:val="00EC3E17"/>
    <w:rsid w:val="00EC57C1"/>
    <w:rsid w:val="00EC6C54"/>
    <w:rsid w:val="00EC7B6E"/>
    <w:rsid w:val="00ED075B"/>
    <w:rsid w:val="00ED1E04"/>
    <w:rsid w:val="00ED568F"/>
    <w:rsid w:val="00EE1B3E"/>
    <w:rsid w:val="00EE2A38"/>
    <w:rsid w:val="00EE3CA9"/>
    <w:rsid w:val="00EE3FFF"/>
    <w:rsid w:val="00EE5CCD"/>
    <w:rsid w:val="00EE5EAC"/>
    <w:rsid w:val="00EE71C7"/>
    <w:rsid w:val="00EF05B9"/>
    <w:rsid w:val="00EF06F3"/>
    <w:rsid w:val="00EF0BA7"/>
    <w:rsid w:val="00EF1452"/>
    <w:rsid w:val="00EF1BBF"/>
    <w:rsid w:val="00EF2E9F"/>
    <w:rsid w:val="00EF4753"/>
    <w:rsid w:val="00EF4CDA"/>
    <w:rsid w:val="00EF5892"/>
    <w:rsid w:val="00F041BD"/>
    <w:rsid w:val="00F04D01"/>
    <w:rsid w:val="00F05B97"/>
    <w:rsid w:val="00F05FDC"/>
    <w:rsid w:val="00F06A14"/>
    <w:rsid w:val="00F06D5D"/>
    <w:rsid w:val="00F102FE"/>
    <w:rsid w:val="00F10D3C"/>
    <w:rsid w:val="00F113FF"/>
    <w:rsid w:val="00F14683"/>
    <w:rsid w:val="00F15529"/>
    <w:rsid w:val="00F17056"/>
    <w:rsid w:val="00F209A1"/>
    <w:rsid w:val="00F22458"/>
    <w:rsid w:val="00F22480"/>
    <w:rsid w:val="00F253C6"/>
    <w:rsid w:val="00F27B51"/>
    <w:rsid w:val="00F27FCB"/>
    <w:rsid w:val="00F3267C"/>
    <w:rsid w:val="00F3301D"/>
    <w:rsid w:val="00F33138"/>
    <w:rsid w:val="00F335F6"/>
    <w:rsid w:val="00F34B4E"/>
    <w:rsid w:val="00F34FF3"/>
    <w:rsid w:val="00F3517A"/>
    <w:rsid w:val="00F352CE"/>
    <w:rsid w:val="00F353ED"/>
    <w:rsid w:val="00F37071"/>
    <w:rsid w:val="00F37B31"/>
    <w:rsid w:val="00F42664"/>
    <w:rsid w:val="00F42BAA"/>
    <w:rsid w:val="00F42E28"/>
    <w:rsid w:val="00F43135"/>
    <w:rsid w:val="00F4488E"/>
    <w:rsid w:val="00F44B2B"/>
    <w:rsid w:val="00F45184"/>
    <w:rsid w:val="00F47B05"/>
    <w:rsid w:val="00F50BEB"/>
    <w:rsid w:val="00F5636F"/>
    <w:rsid w:val="00F571FB"/>
    <w:rsid w:val="00F61FBF"/>
    <w:rsid w:val="00F6304F"/>
    <w:rsid w:val="00F6313F"/>
    <w:rsid w:val="00F6647F"/>
    <w:rsid w:val="00F702B5"/>
    <w:rsid w:val="00F7147D"/>
    <w:rsid w:val="00F71901"/>
    <w:rsid w:val="00F72135"/>
    <w:rsid w:val="00F74046"/>
    <w:rsid w:val="00F743A1"/>
    <w:rsid w:val="00F743C0"/>
    <w:rsid w:val="00F752BB"/>
    <w:rsid w:val="00F75772"/>
    <w:rsid w:val="00F76C20"/>
    <w:rsid w:val="00F77392"/>
    <w:rsid w:val="00F774CC"/>
    <w:rsid w:val="00F77EA8"/>
    <w:rsid w:val="00F805DE"/>
    <w:rsid w:val="00F80F00"/>
    <w:rsid w:val="00F814C7"/>
    <w:rsid w:val="00F820F7"/>
    <w:rsid w:val="00F83290"/>
    <w:rsid w:val="00F84F40"/>
    <w:rsid w:val="00F92331"/>
    <w:rsid w:val="00F9368C"/>
    <w:rsid w:val="00F93A64"/>
    <w:rsid w:val="00F94A73"/>
    <w:rsid w:val="00F94CE6"/>
    <w:rsid w:val="00F96C11"/>
    <w:rsid w:val="00FA1BCB"/>
    <w:rsid w:val="00FA6A02"/>
    <w:rsid w:val="00FB0480"/>
    <w:rsid w:val="00FB1F26"/>
    <w:rsid w:val="00FB296B"/>
    <w:rsid w:val="00FB3097"/>
    <w:rsid w:val="00FB4E3E"/>
    <w:rsid w:val="00FB6BF9"/>
    <w:rsid w:val="00FB73C3"/>
    <w:rsid w:val="00FB771E"/>
    <w:rsid w:val="00FB775A"/>
    <w:rsid w:val="00FB7F4E"/>
    <w:rsid w:val="00FC00D1"/>
    <w:rsid w:val="00FC0C0F"/>
    <w:rsid w:val="00FC10BA"/>
    <w:rsid w:val="00FC2C80"/>
    <w:rsid w:val="00FC4846"/>
    <w:rsid w:val="00FC5913"/>
    <w:rsid w:val="00FC6685"/>
    <w:rsid w:val="00FC7899"/>
    <w:rsid w:val="00FC7992"/>
    <w:rsid w:val="00FD14C0"/>
    <w:rsid w:val="00FD19E3"/>
    <w:rsid w:val="00FD1C6C"/>
    <w:rsid w:val="00FD218D"/>
    <w:rsid w:val="00FD260E"/>
    <w:rsid w:val="00FD2FB3"/>
    <w:rsid w:val="00FD4491"/>
    <w:rsid w:val="00FD5600"/>
    <w:rsid w:val="00FD62D1"/>
    <w:rsid w:val="00FD7280"/>
    <w:rsid w:val="00FE171E"/>
    <w:rsid w:val="00FE1933"/>
    <w:rsid w:val="00FE2E85"/>
    <w:rsid w:val="00FE3E21"/>
    <w:rsid w:val="00FE5104"/>
    <w:rsid w:val="00FE6C08"/>
    <w:rsid w:val="00FF35A4"/>
    <w:rsid w:val="00FF44AF"/>
    <w:rsid w:val="00FF58C9"/>
    <w:rsid w:val="00FF6F13"/>
    <w:rsid w:val="00FF760F"/>
    <w:rsid w:val="00FF7F0E"/>
    <w:rsid w:val="01253372"/>
    <w:rsid w:val="0156236C"/>
    <w:rsid w:val="01687703"/>
    <w:rsid w:val="01695955"/>
    <w:rsid w:val="01B93B24"/>
    <w:rsid w:val="01E37AC8"/>
    <w:rsid w:val="020C1BCC"/>
    <w:rsid w:val="02194C8C"/>
    <w:rsid w:val="02320156"/>
    <w:rsid w:val="02493090"/>
    <w:rsid w:val="02900CBF"/>
    <w:rsid w:val="031F2043"/>
    <w:rsid w:val="034A5312"/>
    <w:rsid w:val="035C0886"/>
    <w:rsid w:val="03697691"/>
    <w:rsid w:val="03990047"/>
    <w:rsid w:val="03B60BF9"/>
    <w:rsid w:val="04253689"/>
    <w:rsid w:val="04811DE5"/>
    <w:rsid w:val="04E92909"/>
    <w:rsid w:val="058C7E64"/>
    <w:rsid w:val="0631636D"/>
    <w:rsid w:val="0696086E"/>
    <w:rsid w:val="06D2293F"/>
    <w:rsid w:val="07335C01"/>
    <w:rsid w:val="07A0163F"/>
    <w:rsid w:val="07A62D33"/>
    <w:rsid w:val="07F32C84"/>
    <w:rsid w:val="08193505"/>
    <w:rsid w:val="082A680D"/>
    <w:rsid w:val="082E5E46"/>
    <w:rsid w:val="0891753F"/>
    <w:rsid w:val="08B217D0"/>
    <w:rsid w:val="08E23539"/>
    <w:rsid w:val="09673515"/>
    <w:rsid w:val="09AF2373"/>
    <w:rsid w:val="09BA028A"/>
    <w:rsid w:val="09F90E9A"/>
    <w:rsid w:val="0A002BCE"/>
    <w:rsid w:val="0A1002DE"/>
    <w:rsid w:val="0A122902"/>
    <w:rsid w:val="0A293A44"/>
    <w:rsid w:val="0A4A209B"/>
    <w:rsid w:val="0A79472F"/>
    <w:rsid w:val="0ACA09CB"/>
    <w:rsid w:val="0AD11E75"/>
    <w:rsid w:val="0AF82826"/>
    <w:rsid w:val="0AF87123"/>
    <w:rsid w:val="0B267267"/>
    <w:rsid w:val="0B4B60CB"/>
    <w:rsid w:val="0B5B41B2"/>
    <w:rsid w:val="0B771748"/>
    <w:rsid w:val="0BA61553"/>
    <w:rsid w:val="0BC47C2C"/>
    <w:rsid w:val="0C096A00"/>
    <w:rsid w:val="0C155792"/>
    <w:rsid w:val="0C2661F0"/>
    <w:rsid w:val="0C42499C"/>
    <w:rsid w:val="0C825E6C"/>
    <w:rsid w:val="0CD63ECD"/>
    <w:rsid w:val="0CFE74BD"/>
    <w:rsid w:val="0D1268DA"/>
    <w:rsid w:val="0D4B23B2"/>
    <w:rsid w:val="0D5A0767"/>
    <w:rsid w:val="0DD07F50"/>
    <w:rsid w:val="0E075CE5"/>
    <w:rsid w:val="0E131F7E"/>
    <w:rsid w:val="0E2A1FC8"/>
    <w:rsid w:val="0E320805"/>
    <w:rsid w:val="0EDD34DE"/>
    <w:rsid w:val="0EE073A0"/>
    <w:rsid w:val="0EEA79A9"/>
    <w:rsid w:val="0F016436"/>
    <w:rsid w:val="0F5E772E"/>
    <w:rsid w:val="0F706100"/>
    <w:rsid w:val="0FC12B51"/>
    <w:rsid w:val="101A606C"/>
    <w:rsid w:val="1026584C"/>
    <w:rsid w:val="10280789"/>
    <w:rsid w:val="10485343"/>
    <w:rsid w:val="107514F4"/>
    <w:rsid w:val="10770300"/>
    <w:rsid w:val="1080431F"/>
    <w:rsid w:val="10ED53C5"/>
    <w:rsid w:val="10F53F00"/>
    <w:rsid w:val="11265ED8"/>
    <w:rsid w:val="11274AFD"/>
    <w:rsid w:val="11815F82"/>
    <w:rsid w:val="11A63179"/>
    <w:rsid w:val="11B01DBF"/>
    <w:rsid w:val="11BD3DD3"/>
    <w:rsid w:val="11DD7458"/>
    <w:rsid w:val="11F8062F"/>
    <w:rsid w:val="12316C61"/>
    <w:rsid w:val="125A3098"/>
    <w:rsid w:val="12A61E39"/>
    <w:rsid w:val="12C04159"/>
    <w:rsid w:val="132536A6"/>
    <w:rsid w:val="1341057C"/>
    <w:rsid w:val="134402D3"/>
    <w:rsid w:val="13443CBF"/>
    <w:rsid w:val="134C476B"/>
    <w:rsid w:val="134F0723"/>
    <w:rsid w:val="13524724"/>
    <w:rsid w:val="13575D4F"/>
    <w:rsid w:val="13736000"/>
    <w:rsid w:val="13796F6F"/>
    <w:rsid w:val="1387198E"/>
    <w:rsid w:val="139115F3"/>
    <w:rsid w:val="13916B47"/>
    <w:rsid w:val="13B056F5"/>
    <w:rsid w:val="13EA52F2"/>
    <w:rsid w:val="140F7A36"/>
    <w:rsid w:val="144D1F45"/>
    <w:rsid w:val="14593607"/>
    <w:rsid w:val="14A44868"/>
    <w:rsid w:val="15061699"/>
    <w:rsid w:val="15181112"/>
    <w:rsid w:val="152A0AFF"/>
    <w:rsid w:val="157103AC"/>
    <w:rsid w:val="159E3029"/>
    <w:rsid w:val="15CA3A63"/>
    <w:rsid w:val="15D77210"/>
    <w:rsid w:val="160A4DF9"/>
    <w:rsid w:val="1650309F"/>
    <w:rsid w:val="168129A1"/>
    <w:rsid w:val="168F2E03"/>
    <w:rsid w:val="169A4847"/>
    <w:rsid w:val="16C91878"/>
    <w:rsid w:val="16DA5C38"/>
    <w:rsid w:val="16EC08C8"/>
    <w:rsid w:val="173F0F72"/>
    <w:rsid w:val="174073CE"/>
    <w:rsid w:val="17481491"/>
    <w:rsid w:val="178D35C8"/>
    <w:rsid w:val="179E6EB4"/>
    <w:rsid w:val="17B42626"/>
    <w:rsid w:val="182A4EC1"/>
    <w:rsid w:val="18402764"/>
    <w:rsid w:val="186C33DA"/>
    <w:rsid w:val="18CE5C46"/>
    <w:rsid w:val="18E90CD1"/>
    <w:rsid w:val="191F54EE"/>
    <w:rsid w:val="194A5865"/>
    <w:rsid w:val="19564BB6"/>
    <w:rsid w:val="196F418D"/>
    <w:rsid w:val="19777A51"/>
    <w:rsid w:val="19894775"/>
    <w:rsid w:val="19DC411A"/>
    <w:rsid w:val="1A272D23"/>
    <w:rsid w:val="1A670100"/>
    <w:rsid w:val="1A9F5AEC"/>
    <w:rsid w:val="1AEA1935"/>
    <w:rsid w:val="1B1060C7"/>
    <w:rsid w:val="1B59213E"/>
    <w:rsid w:val="1B6F54BE"/>
    <w:rsid w:val="1BC301E9"/>
    <w:rsid w:val="1BC63EC5"/>
    <w:rsid w:val="1BF63E31"/>
    <w:rsid w:val="1C232942"/>
    <w:rsid w:val="1C554E2B"/>
    <w:rsid w:val="1C6449AB"/>
    <w:rsid w:val="1C662D65"/>
    <w:rsid w:val="1C671C08"/>
    <w:rsid w:val="1C676ADD"/>
    <w:rsid w:val="1C6F7DC7"/>
    <w:rsid w:val="1C760ACE"/>
    <w:rsid w:val="1C8431EB"/>
    <w:rsid w:val="1C9176B6"/>
    <w:rsid w:val="1CB37298"/>
    <w:rsid w:val="1D2A5EA6"/>
    <w:rsid w:val="1D757240"/>
    <w:rsid w:val="1DA970DC"/>
    <w:rsid w:val="1DD67347"/>
    <w:rsid w:val="1E0068A1"/>
    <w:rsid w:val="1E282F92"/>
    <w:rsid w:val="1E4A67E6"/>
    <w:rsid w:val="1E6F925D"/>
    <w:rsid w:val="1E8A0D83"/>
    <w:rsid w:val="1E8E0351"/>
    <w:rsid w:val="1ED34327"/>
    <w:rsid w:val="1EEC5078"/>
    <w:rsid w:val="1F5F5D29"/>
    <w:rsid w:val="1F6D7F66"/>
    <w:rsid w:val="1F711303"/>
    <w:rsid w:val="1F7D0331"/>
    <w:rsid w:val="1FAB795D"/>
    <w:rsid w:val="1FB85E27"/>
    <w:rsid w:val="1FBB1096"/>
    <w:rsid w:val="200F2A21"/>
    <w:rsid w:val="20831A0C"/>
    <w:rsid w:val="213827F6"/>
    <w:rsid w:val="21423675"/>
    <w:rsid w:val="21A42B6A"/>
    <w:rsid w:val="21D0487F"/>
    <w:rsid w:val="21FA619B"/>
    <w:rsid w:val="22124DF5"/>
    <w:rsid w:val="22B67E76"/>
    <w:rsid w:val="22CA06BC"/>
    <w:rsid w:val="23215EA2"/>
    <w:rsid w:val="233765B3"/>
    <w:rsid w:val="2376551F"/>
    <w:rsid w:val="239643B6"/>
    <w:rsid w:val="23AB5501"/>
    <w:rsid w:val="24071C8B"/>
    <w:rsid w:val="24330EA7"/>
    <w:rsid w:val="24547947"/>
    <w:rsid w:val="246B71A9"/>
    <w:rsid w:val="24763D61"/>
    <w:rsid w:val="24AD3DCD"/>
    <w:rsid w:val="24CA5E5B"/>
    <w:rsid w:val="24CB6B1F"/>
    <w:rsid w:val="24F91CC5"/>
    <w:rsid w:val="253702B4"/>
    <w:rsid w:val="258E3839"/>
    <w:rsid w:val="25A53AC6"/>
    <w:rsid w:val="25C830C8"/>
    <w:rsid w:val="25CD1B9F"/>
    <w:rsid w:val="260B4D60"/>
    <w:rsid w:val="261902E4"/>
    <w:rsid w:val="261E16AD"/>
    <w:rsid w:val="26AD6CFE"/>
    <w:rsid w:val="26B3370A"/>
    <w:rsid w:val="26C01894"/>
    <w:rsid w:val="26DA476A"/>
    <w:rsid w:val="26DD2094"/>
    <w:rsid w:val="26E1123A"/>
    <w:rsid w:val="26E72CF4"/>
    <w:rsid w:val="26F720EC"/>
    <w:rsid w:val="283C7070"/>
    <w:rsid w:val="2849781D"/>
    <w:rsid w:val="286345FC"/>
    <w:rsid w:val="289326AB"/>
    <w:rsid w:val="28E15404"/>
    <w:rsid w:val="29057462"/>
    <w:rsid w:val="292D0766"/>
    <w:rsid w:val="29347D47"/>
    <w:rsid w:val="295B7731"/>
    <w:rsid w:val="297D16EE"/>
    <w:rsid w:val="29AA380A"/>
    <w:rsid w:val="29BB2216"/>
    <w:rsid w:val="2A1C0B2C"/>
    <w:rsid w:val="2A4E11F7"/>
    <w:rsid w:val="2A4F1EA0"/>
    <w:rsid w:val="2A5B75A6"/>
    <w:rsid w:val="2A662182"/>
    <w:rsid w:val="2A8B541C"/>
    <w:rsid w:val="2B37121D"/>
    <w:rsid w:val="2B4D50F0"/>
    <w:rsid w:val="2BAE2033"/>
    <w:rsid w:val="2C293467"/>
    <w:rsid w:val="2C5A7AC4"/>
    <w:rsid w:val="2D0F291C"/>
    <w:rsid w:val="2D326217"/>
    <w:rsid w:val="2DDD6BFF"/>
    <w:rsid w:val="2E392417"/>
    <w:rsid w:val="2E727BD5"/>
    <w:rsid w:val="2EB23BE8"/>
    <w:rsid w:val="2EB2667D"/>
    <w:rsid w:val="2F1E0F22"/>
    <w:rsid w:val="2F7F9AE1"/>
    <w:rsid w:val="302412AD"/>
    <w:rsid w:val="30752051"/>
    <w:rsid w:val="30BE53AB"/>
    <w:rsid w:val="30E31486"/>
    <w:rsid w:val="310177D0"/>
    <w:rsid w:val="31232462"/>
    <w:rsid w:val="3146091A"/>
    <w:rsid w:val="31564CDD"/>
    <w:rsid w:val="318D42E8"/>
    <w:rsid w:val="31B634A0"/>
    <w:rsid w:val="31C92458"/>
    <w:rsid w:val="31EF0CAF"/>
    <w:rsid w:val="32295B32"/>
    <w:rsid w:val="32813A56"/>
    <w:rsid w:val="32F1053C"/>
    <w:rsid w:val="3308002B"/>
    <w:rsid w:val="330C763F"/>
    <w:rsid w:val="33196BE9"/>
    <w:rsid w:val="33264BA4"/>
    <w:rsid w:val="33776CCF"/>
    <w:rsid w:val="33AF1889"/>
    <w:rsid w:val="33C57EBF"/>
    <w:rsid w:val="33E12879"/>
    <w:rsid w:val="33F971D5"/>
    <w:rsid w:val="340C3D9A"/>
    <w:rsid w:val="34366C11"/>
    <w:rsid w:val="347930B0"/>
    <w:rsid w:val="347A68D7"/>
    <w:rsid w:val="34825FD9"/>
    <w:rsid w:val="34B6046E"/>
    <w:rsid w:val="34BF7557"/>
    <w:rsid w:val="34C06933"/>
    <w:rsid w:val="34C21832"/>
    <w:rsid w:val="35151D0D"/>
    <w:rsid w:val="35331EE2"/>
    <w:rsid w:val="35550498"/>
    <w:rsid w:val="35A818A1"/>
    <w:rsid w:val="35D441D3"/>
    <w:rsid w:val="35FE22B0"/>
    <w:rsid w:val="3614019B"/>
    <w:rsid w:val="361540FA"/>
    <w:rsid w:val="3627557C"/>
    <w:rsid w:val="365E4655"/>
    <w:rsid w:val="36642B93"/>
    <w:rsid w:val="36965B9D"/>
    <w:rsid w:val="36A95E94"/>
    <w:rsid w:val="36F2090E"/>
    <w:rsid w:val="36F432F9"/>
    <w:rsid w:val="37084B05"/>
    <w:rsid w:val="370C7B03"/>
    <w:rsid w:val="373C4E2B"/>
    <w:rsid w:val="379A5BFC"/>
    <w:rsid w:val="38216165"/>
    <w:rsid w:val="382E4D93"/>
    <w:rsid w:val="388F0AF6"/>
    <w:rsid w:val="389F2D50"/>
    <w:rsid w:val="39520F2A"/>
    <w:rsid w:val="398569A5"/>
    <w:rsid w:val="39AB340D"/>
    <w:rsid w:val="39C40C73"/>
    <w:rsid w:val="39E44E71"/>
    <w:rsid w:val="39FFF0E4"/>
    <w:rsid w:val="3A2A7900"/>
    <w:rsid w:val="3A752336"/>
    <w:rsid w:val="3B0A6B5A"/>
    <w:rsid w:val="3B2E468C"/>
    <w:rsid w:val="3B824942"/>
    <w:rsid w:val="3B8701AA"/>
    <w:rsid w:val="3BAE09F6"/>
    <w:rsid w:val="3BBC60A6"/>
    <w:rsid w:val="3BC95048"/>
    <w:rsid w:val="3C1F4887"/>
    <w:rsid w:val="3C681D8A"/>
    <w:rsid w:val="3C7777EB"/>
    <w:rsid w:val="3CC94E26"/>
    <w:rsid w:val="3CE132E0"/>
    <w:rsid w:val="3CF73AFA"/>
    <w:rsid w:val="3D9D5D21"/>
    <w:rsid w:val="3DD96514"/>
    <w:rsid w:val="3DE76D03"/>
    <w:rsid w:val="3E1201FF"/>
    <w:rsid w:val="3E1673F1"/>
    <w:rsid w:val="3E652556"/>
    <w:rsid w:val="3E6D1A7C"/>
    <w:rsid w:val="3EBA699A"/>
    <w:rsid w:val="3ECB47A3"/>
    <w:rsid w:val="3EF1250A"/>
    <w:rsid w:val="3F7079F1"/>
    <w:rsid w:val="3F8609F0"/>
    <w:rsid w:val="3FB3156E"/>
    <w:rsid w:val="3FB5467E"/>
    <w:rsid w:val="3FBB3EE8"/>
    <w:rsid w:val="3FBE05B6"/>
    <w:rsid w:val="3FC92B3F"/>
    <w:rsid w:val="3FEB51AC"/>
    <w:rsid w:val="3FEF3F4E"/>
    <w:rsid w:val="3FFE1201"/>
    <w:rsid w:val="402572D9"/>
    <w:rsid w:val="40BD701A"/>
    <w:rsid w:val="40E03D85"/>
    <w:rsid w:val="40E65973"/>
    <w:rsid w:val="40F51626"/>
    <w:rsid w:val="41210759"/>
    <w:rsid w:val="416C5E78"/>
    <w:rsid w:val="41C0037E"/>
    <w:rsid w:val="41E62C98"/>
    <w:rsid w:val="42042555"/>
    <w:rsid w:val="4213632D"/>
    <w:rsid w:val="425C413F"/>
    <w:rsid w:val="42843695"/>
    <w:rsid w:val="4290671C"/>
    <w:rsid w:val="42CB20FE"/>
    <w:rsid w:val="42D82577"/>
    <w:rsid w:val="43181FB6"/>
    <w:rsid w:val="432509D4"/>
    <w:rsid w:val="43730953"/>
    <w:rsid w:val="43A65841"/>
    <w:rsid w:val="43D969CA"/>
    <w:rsid w:val="43EB1F17"/>
    <w:rsid w:val="445C495B"/>
    <w:rsid w:val="44817E8C"/>
    <w:rsid w:val="44AE49FA"/>
    <w:rsid w:val="44B738AE"/>
    <w:rsid w:val="451A5BEB"/>
    <w:rsid w:val="45242AC5"/>
    <w:rsid w:val="455B3EA8"/>
    <w:rsid w:val="457F2052"/>
    <w:rsid w:val="45993727"/>
    <w:rsid w:val="45C81AEB"/>
    <w:rsid w:val="45DB35CC"/>
    <w:rsid w:val="45F214B1"/>
    <w:rsid w:val="468926B2"/>
    <w:rsid w:val="4691609A"/>
    <w:rsid w:val="46C57F05"/>
    <w:rsid w:val="46F04E55"/>
    <w:rsid w:val="475461E9"/>
    <w:rsid w:val="47710D74"/>
    <w:rsid w:val="479B1FCF"/>
    <w:rsid w:val="47F00E85"/>
    <w:rsid w:val="480C3646"/>
    <w:rsid w:val="48111527"/>
    <w:rsid w:val="482B2E93"/>
    <w:rsid w:val="48347F7E"/>
    <w:rsid w:val="48427933"/>
    <w:rsid w:val="485A4BF0"/>
    <w:rsid w:val="487B5C28"/>
    <w:rsid w:val="48800D9F"/>
    <w:rsid w:val="48D554D0"/>
    <w:rsid w:val="48D77FF8"/>
    <w:rsid w:val="49227A69"/>
    <w:rsid w:val="494D658F"/>
    <w:rsid w:val="49C81954"/>
    <w:rsid w:val="49CF6CE3"/>
    <w:rsid w:val="4A0B68E8"/>
    <w:rsid w:val="4A315EB1"/>
    <w:rsid w:val="4A887D22"/>
    <w:rsid w:val="4A9D3546"/>
    <w:rsid w:val="4A9F40E0"/>
    <w:rsid w:val="4AC65AF8"/>
    <w:rsid w:val="4ACE14E4"/>
    <w:rsid w:val="4B865D88"/>
    <w:rsid w:val="4BE35440"/>
    <w:rsid w:val="4C5C06FC"/>
    <w:rsid w:val="4C875B78"/>
    <w:rsid w:val="4CA74D6F"/>
    <w:rsid w:val="4CFD207A"/>
    <w:rsid w:val="4D7D140D"/>
    <w:rsid w:val="4D92310A"/>
    <w:rsid w:val="4DAA1981"/>
    <w:rsid w:val="4E5617E8"/>
    <w:rsid w:val="4E5C54C6"/>
    <w:rsid w:val="4F1A0BCA"/>
    <w:rsid w:val="4F2602E8"/>
    <w:rsid w:val="4F294A17"/>
    <w:rsid w:val="4F520BE3"/>
    <w:rsid w:val="4F577A17"/>
    <w:rsid w:val="4F5D47FC"/>
    <w:rsid w:val="4FBA06F6"/>
    <w:rsid w:val="4FE02575"/>
    <w:rsid w:val="4FE56ADB"/>
    <w:rsid w:val="5012538E"/>
    <w:rsid w:val="50212422"/>
    <w:rsid w:val="50252F29"/>
    <w:rsid w:val="502F4545"/>
    <w:rsid w:val="50475A65"/>
    <w:rsid w:val="506F328F"/>
    <w:rsid w:val="507A27B0"/>
    <w:rsid w:val="50F24372"/>
    <w:rsid w:val="50F33D7B"/>
    <w:rsid w:val="5114461E"/>
    <w:rsid w:val="514E559A"/>
    <w:rsid w:val="51B15059"/>
    <w:rsid w:val="51F36D96"/>
    <w:rsid w:val="51F36DFD"/>
    <w:rsid w:val="520B3BBE"/>
    <w:rsid w:val="522127EE"/>
    <w:rsid w:val="525A3ACB"/>
    <w:rsid w:val="537F0B62"/>
    <w:rsid w:val="53840C5C"/>
    <w:rsid w:val="538708F0"/>
    <w:rsid w:val="539D45B7"/>
    <w:rsid w:val="53B51B2A"/>
    <w:rsid w:val="54084B3B"/>
    <w:rsid w:val="54A3112E"/>
    <w:rsid w:val="54A84FC1"/>
    <w:rsid w:val="54CA5C89"/>
    <w:rsid w:val="54CC7B04"/>
    <w:rsid w:val="54E970A0"/>
    <w:rsid w:val="5516017D"/>
    <w:rsid w:val="55574166"/>
    <w:rsid w:val="55846DB9"/>
    <w:rsid w:val="55F67FAE"/>
    <w:rsid w:val="56162A9B"/>
    <w:rsid w:val="56252932"/>
    <w:rsid w:val="56360883"/>
    <w:rsid w:val="563E0DDF"/>
    <w:rsid w:val="564927D4"/>
    <w:rsid w:val="566413BC"/>
    <w:rsid w:val="56690780"/>
    <w:rsid w:val="5682597C"/>
    <w:rsid w:val="56991ECD"/>
    <w:rsid w:val="56AE3B72"/>
    <w:rsid w:val="56F606AF"/>
    <w:rsid w:val="56FF9BAC"/>
    <w:rsid w:val="57435475"/>
    <w:rsid w:val="5772542A"/>
    <w:rsid w:val="577501F0"/>
    <w:rsid w:val="579A39E2"/>
    <w:rsid w:val="57F87DE5"/>
    <w:rsid w:val="58074CDC"/>
    <w:rsid w:val="58A96235"/>
    <w:rsid w:val="58DB1DAA"/>
    <w:rsid w:val="58FF53CC"/>
    <w:rsid w:val="59246A25"/>
    <w:rsid w:val="59346BED"/>
    <w:rsid w:val="59417F91"/>
    <w:rsid w:val="5947124D"/>
    <w:rsid w:val="596F60AE"/>
    <w:rsid w:val="59B15A33"/>
    <w:rsid w:val="59C87211"/>
    <w:rsid w:val="59F800B5"/>
    <w:rsid w:val="5A2634BB"/>
    <w:rsid w:val="5A951B44"/>
    <w:rsid w:val="5AA865B6"/>
    <w:rsid w:val="5AA91A93"/>
    <w:rsid w:val="5AF613E9"/>
    <w:rsid w:val="5B187A6A"/>
    <w:rsid w:val="5B585E70"/>
    <w:rsid w:val="5B77749C"/>
    <w:rsid w:val="5B8D1573"/>
    <w:rsid w:val="5B8D2C85"/>
    <w:rsid w:val="5BB374F9"/>
    <w:rsid w:val="5BFB631F"/>
    <w:rsid w:val="5C1271C4"/>
    <w:rsid w:val="5C4211DC"/>
    <w:rsid w:val="5C69633C"/>
    <w:rsid w:val="5CD15E2B"/>
    <w:rsid w:val="5D2973B3"/>
    <w:rsid w:val="5D976DEE"/>
    <w:rsid w:val="5D9C143B"/>
    <w:rsid w:val="5D9F1091"/>
    <w:rsid w:val="5DD60354"/>
    <w:rsid w:val="5E1D29DD"/>
    <w:rsid w:val="5E232FBD"/>
    <w:rsid w:val="5E7E688E"/>
    <w:rsid w:val="5EE66132"/>
    <w:rsid w:val="5EE74A73"/>
    <w:rsid w:val="5F2D2DAB"/>
    <w:rsid w:val="5F304450"/>
    <w:rsid w:val="5F4DDB9D"/>
    <w:rsid w:val="5F6B78B3"/>
    <w:rsid w:val="5F7408C2"/>
    <w:rsid w:val="5F7DD183"/>
    <w:rsid w:val="5F8253D1"/>
    <w:rsid w:val="5F914D93"/>
    <w:rsid w:val="5F9E149B"/>
    <w:rsid w:val="5FE849C4"/>
    <w:rsid w:val="5FEA3333"/>
    <w:rsid w:val="60340029"/>
    <w:rsid w:val="60692DB6"/>
    <w:rsid w:val="606C77EB"/>
    <w:rsid w:val="608A17CF"/>
    <w:rsid w:val="6094289E"/>
    <w:rsid w:val="60C9553B"/>
    <w:rsid w:val="6125247C"/>
    <w:rsid w:val="614E0843"/>
    <w:rsid w:val="61751B5A"/>
    <w:rsid w:val="61E67129"/>
    <w:rsid w:val="61ED06EE"/>
    <w:rsid w:val="620D46B6"/>
    <w:rsid w:val="622A34BA"/>
    <w:rsid w:val="62375BD7"/>
    <w:rsid w:val="627D7A8D"/>
    <w:rsid w:val="628C1A7E"/>
    <w:rsid w:val="629504EF"/>
    <w:rsid w:val="62C52604"/>
    <w:rsid w:val="632C3261"/>
    <w:rsid w:val="63A64B86"/>
    <w:rsid w:val="63DA2CBD"/>
    <w:rsid w:val="63FB2F12"/>
    <w:rsid w:val="642F2FDE"/>
    <w:rsid w:val="649E3CEB"/>
    <w:rsid w:val="64BF69F9"/>
    <w:rsid w:val="64F8789F"/>
    <w:rsid w:val="65361063"/>
    <w:rsid w:val="65873C12"/>
    <w:rsid w:val="65D07668"/>
    <w:rsid w:val="65F26606"/>
    <w:rsid w:val="65F31E15"/>
    <w:rsid w:val="66434E23"/>
    <w:rsid w:val="66C43BD1"/>
    <w:rsid w:val="6704280D"/>
    <w:rsid w:val="67293580"/>
    <w:rsid w:val="67461CBB"/>
    <w:rsid w:val="67674F12"/>
    <w:rsid w:val="678A0557"/>
    <w:rsid w:val="679D472E"/>
    <w:rsid w:val="67EB65B0"/>
    <w:rsid w:val="68487C54"/>
    <w:rsid w:val="684D3A5E"/>
    <w:rsid w:val="688D02FE"/>
    <w:rsid w:val="68916F26"/>
    <w:rsid w:val="68953657"/>
    <w:rsid w:val="68C83A2C"/>
    <w:rsid w:val="69204F42"/>
    <w:rsid w:val="69381E3E"/>
    <w:rsid w:val="69665C25"/>
    <w:rsid w:val="69715E72"/>
    <w:rsid w:val="69845BA5"/>
    <w:rsid w:val="69AE0EB9"/>
    <w:rsid w:val="69B61AD7"/>
    <w:rsid w:val="6A0E546F"/>
    <w:rsid w:val="6A18540D"/>
    <w:rsid w:val="6A5C7173"/>
    <w:rsid w:val="6A6A028D"/>
    <w:rsid w:val="6A8E1C15"/>
    <w:rsid w:val="6AA6335D"/>
    <w:rsid w:val="6AA963E0"/>
    <w:rsid w:val="6B564F76"/>
    <w:rsid w:val="6B8526DD"/>
    <w:rsid w:val="6BAE57F3"/>
    <w:rsid w:val="6BE68A75"/>
    <w:rsid w:val="6C195CE5"/>
    <w:rsid w:val="6C3513D9"/>
    <w:rsid w:val="6C434FAE"/>
    <w:rsid w:val="6C8E2897"/>
    <w:rsid w:val="6C924135"/>
    <w:rsid w:val="6CC22712"/>
    <w:rsid w:val="6CD624F9"/>
    <w:rsid w:val="6CF7BE57"/>
    <w:rsid w:val="6DAD7E2A"/>
    <w:rsid w:val="6DD556EC"/>
    <w:rsid w:val="6E031E0D"/>
    <w:rsid w:val="6E641B01"/>
    <w:rsid w:val="6E6E0BD2"/>
    <w:rsid w:val="6E9D5013"/>
    <w:rsid w:val="6ED86EC0"/>
    <w:rsid w:val="6F237E2D"/>
    <w:rsid w:val="6F2614AD"/>
    <w:rsid w:val="6F8F7052"/>
    <w:rsid w:val="6F916EB6"/>
    <w:rsid w:val="6F9401C4"/>
    <w:rsid w:val="6FA523D2"/>
    <w:rsid w:val="6FB90559"/>
    <w:rsid w:val="6FCC5BB0"/>
    <w:rsid w:val="6FF73631"/>
    <w:rsid w:val="70424A70"/>
    <w:rsid w:val="70626712"/>
    <w:rsid w:val="70D62FF8"/>
    <w:rsid w:val="712E59AB"/>
    <w:rsid w:val="715F0460"/>
    <w:rsid w:val="717B3689"/>
    <w:rsid w:val="717C53B4"/>
    <w:rsid w:val="725C205C"/>
    <w:rsid w:val="72A72905"/>
    <w:rsid w:val="72C94629"/>
    <w:rsid w:val="72CE69D3"/>
    <w:rsid w:val="72CF35DD"/>
    <w:rsid w:val="72E231CE"/>
    <w:rsid w:val="732E50A1"/>
    <w:rsid w:val="734B34EB"/>
    <w:rsid w:val="7371412C"/>
    <w:rsid w:val="739A7CE5"/>
    <w:rsid w:val="73C80523"/>
    <w:rsid w:val="747915C9"/>
    <w:rsid w:val="74C07CAE"/>
    <w:rsid w:val="752124FA"/>
    <w:rsid w:val="756B5E6B"/>
    <w:rsid w:val="75910A5F"/>
    <w:rsid w:val="75B93A72"/>
    <w:rsid w:val="75DFAFAF"/>
    <w:rsid w:val="75E06877"/>
    <w:rsid w:val="75FF555B"/>
    <w:rsid w:val="76864162"/>
    <w:rsid w:val="76DA6A34"/>
    <w:rsid w:val="76EA3311"/>
    <w:rsid w:val="76F300F0"/>
    <w:rsid w:val="7705322F"/>
    <w:rsid w:val="770C2D36"/>
    <w:rsid w:val="772F0908"/>
    <w:rsid w:val="77531460"/>
    <w:rsid w:val="77D261FF"/>
    <w:rsid w:val="77E12415"/>
    <w:rsid w:val="77E42DA6"/>
    <w:rsid w:val="784C1F84"/>
    <w:rsid w:val="787815A1"/>
    <w:rsid w:val="7891670E"/>
    <w:rsid w:val="789D1576"/>
    <w:rsid w:val="78A91184"/>
    <w:rsid w:val="79012508"/>
    <w:rsid w:val="791931F1"/>
    <w:rsid w:val="79224A93"/>
    <w:rsid w:val="799A34E1"/>
    <w:rsid w:val="79A311F0"/>
    <w:rsid w:val="79BD656A"/>
    <w:rsid w:val="79D91008"/>
    <w:rsid w:val="79FA77BE"/>
    <w:rsid w:val="7A190029"/>
    <w:rsid w:val="7A1C5986"/>
    <w:rsid w:val="7A2C45BA"/>
    <w:rsid w:val="7A37631C"/>
    <w:rsid w:val="7A4A417E"/>
    <w:rsid w:val="7A903C7E"/>
    <w:rsid w:val="7A910122"/>
    <w:rsid w:val="7AAF08F0"/>
    <w:rsid w:val="7AC5601E"/>
    <w:rsid w:val="7B09CD54"/>
    <w:rsid w:val="7B3D3F7E"/>
    <w:rsid w:val="7B75534E"/>
    <w:rsid w:val="7BC755BA"/>
    <w:rsid w:val="7BF90D20"/>
    <w:rsid w:val="7BFB25BE"/>
    <w:rsid w:val="7C0A79A5"/>
    <w:rsid w:val="7C896BD7"/>
    <w:rsid w:val="7C8D1CE5"/>
    <w:rsid w:val="7CCB62F5"/>
    <w:rsid w:val="7D6F1525"/>
    <w:rsid w:val="7DD90862"/>
    <w:rsid w:val="7DEE26AE"/>
    <w:rsid w:val="7DFE575D"/>
    <w:rsid w:val="7E46243B"/>
    <w:rsid w:val="7E651FE7"/>
    <w:rsid w:val="7E8432F5"/>
    <w:rsid w:val="7E96616C"/>
    <w:rsid w:val="7EDF39BA"/>
    <w:rsid w:val="7F15D244"/>
    <w:rsid w:val="7F2290CF"/>
    <w:rsid w:val="7F313C82"/>
    <w:rsid w:val="7F721BA4"/>
    <w:rsid w:val="7F765BD1"/>
    <w:rsid w:val="7F8A3392"/>
    <w:rsid w:val="7FCEE95A"/>
    <w:rsid w:val="7FD8968E"/>
    <w:rsid w:val="7FDAC675"/>
    <w:rsid w:val="7FEF0801"/>
    <w:rsid w:val="7FFD1DB6"/>
    <w:rsid w:val="7FFE2FFC"/>
    <w:rsid w:val="7FFFBD4E"/>
    <w:rsid w:val="A3F68B2A"/>
    <w:rsid w:val="A9D5D069"/>
    <w:rsid w:val="AFF9E4F9"/>
    <w:rsid w:val="BE6F3D7C"/>
    <w:rsid w:val="BE7D5906"/>
    <w:rsid w:val="BFF77CBE"/>
    <w:rsid w:val="CFDB80C0"/>
    <w:rsid w:val="D71760A0"/>
    <w:rsid w:val="D7A3274F"/>
    <w:rsid w:val="DD7FE1DD"/>
    <w:rsid w:val="DFDB0495"/>
    <w:rsid w:val="EBAFD855"/>
    <w:rsid w:val="EE7F5C8E"/>
    <w:rsid w:val="EE95A640"/>
    <w:rsid w:val="EEBBDFAB"/>
    <w:rsid w:val="EFFDFAE1"/>
    <w:rsid w:val="F79B862C"/>
    <w:rsid w:val="F7D708F7"/>
    <w:rsid w:val="FE57F1BD"/>
    <w:rsid w:val="FEFF215E"/>
    <w:rsid w:val="FFBF5B1D"/>
    <w:rsid w:val="FFDFE959"/>
    <w:rsid w:val="FFFEFAB6"/>
    <w:rsid w:val="FFFFC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6" w:lineRule="auto"/>
      <w:jc w:val="center"/>
      <w:outlineLvl w:val="0"/>
    </w:pPr>
    <w:rPr>
      <w:b/>
      <w:kern w:val="44"/>
      <w:sz w:val="36"/>
      <w:szCs w:val="20"/>
    </w:rPr>
  </w:style>
  <w:style w:type="paragraph" w:styleId="2">
    <w:name w:val="heading 2"/>
    <w:basedOn w:val="1"/>
    <w:next w:val="1"/>
    <w:link w:val="52"/>
    <w:qFormat/>
    <w:uiPriority w:val="0"/>
    <w:pPr>
      <w:keepNext/>
      <w:keepLines/>
      <w:widowControl/>
      <w:adjustRightInd w:val="0"/>
      <w:snapToGrid w:val="0"/>
      <w:spacing w:beforeLines="200" w:afterLines="50" w:line="360" w:lineRule="auto"/>
      <w:jc w:val="center"/>
      <w:outlineLvl w:val="1"/>
    </w:pPr>
    <w:rPr>
      <w:rFonts w:ascii="Arial" w:hAnsi="Arial"/>
      <w:b/>
      <w:kern w:val="0"/>
      <w:sz w:val="32"/>
      <w:szCs w:val="20"/>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spacing w:before="160" w:after="160" w:line="600" w:lineRule="exact"/>
      <w:jc w:val="left"/>
      <w:outlineLvl w:val="3"/>
    </w:pPr>
    <w:rPr>
      <w:rFonts w:ascii="宋体" w:hAnsi="宋体"/>
      <w:color w:val="000000"/>
      <w:spacing w:val="10"/>
      <w:kern w:val="24"/>
      <w:sz w:val="24"/>
    </w:rPr>
  </w:style>
  <w:style w:type="paragraph" w:styleId="6">
    <w:name w:val="heading 5"/>
    <w:basedOn w:val="1"/>
    <w:next w:val="7"/>
    <w:qFormat/>
    <w:uiPriority w:val="0"/>
    <w:pPr>
      <w:keepNext/>
      <w:keepLines/>
      <w:spacing w:before="160" w:after="160" w:line="540" w:lineRule="exact"/>
      <w:outlineLvl w:val="4"/>
    </w:pPr>
    <w:rPr>
      <w:spacing w:val="12"/>
      <w:sz w:val="24"/>
      <w:szCs w:val="20"/>
    </w:rPr>
  </w:style>
  <w:style w:type="paragraph" w:styleId="8">
    <w:name w:val="heading 6"/>
    <w:basedOn w:val="1"/>
    <w:next w:val="7"/>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9">
    <w:name w:val="heading 7"/>
    <w:basedOn w:val="1"/>
    <w:next w:val="1"/>
    <w:qFormat/>
    <w:uiPriority w:val="0"/>
    <w:pPr>
      <w:keepNext/>
      <w:keepLines/>
      <w:numPr>
        <w:ilvl w:val="6"/>
        <w:numId w:val="1"/>
      </w:numPr>
      <w:spacing w:before="240" w:after="64" w:line="320" w:lineRule="auto"/>
      <w:jc w:val="left"/>
      <w:outlineLvl w:val="6"/>
    </w:pPr>
    <w:rPr>
      <w:b/>
      <w:bCs/>
      <w:spacing w:val="6"/>
      <w:sz w:val="24"/>
    </w:rPr>
  </w:style>
  <w:style w:type="paragraph" w:styleId="10">
    <w:name w:val="heading 8"/>
    <w:basedOn w:val="1"/>
    <w:next w:val="7"/>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1">
    <w:name w:val="heading 9"/>
    <w:basedOn w:val="1"/>
    <w:next w:val="7"/>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firstLineChars="200"/>
    </w:pPr>
  </w:style>
  <w:style w:type="paragraph" w:styleId="12">
    <w:name w:val="toc 7"/>
    <w:basedOn w:val="1"/>
    <w:next w:val="1"/>
    <w:qFormat/>
    <w:uiPriority w:val="0"/>
    <w:pPr>
      <w:ind w:left="1260"/>
      <w:jc w:val="left"/>
    </w:pPr>
    <w:rPr>
      <w:rFonts w:ascii="Calibri" w:hAnsi="Calibri" w:eastAsia="宋体"/>
      <w:sz w:val="18"/>
      <w:szCs w:val="18"/>
    </w:rPr>
  </w:style>
  <w:style w:type="paragraph" w:styleId="13">
    <w:name w:val="caption"/>
    <w:basedOn w:val="1"/>
    <w:next w:val="1"/>
    <w:qFormat/>
    <w:uiPriority w:val="0"/>
    <w:pPr>
      <w:spacing w:before="152" w:after="160"/>
    </w:pPr>
    <w:rPr>
      <w:rFonts w:ascii="Arial" w:hAnsi="Arial" w:eastAsia="黑体"/>
      <w:sz w:val="20"/>
      <w:szCs w:val="20"/>
    </w:rPr>
  </w:style>
  <w:style w:type="paragraph" w:styleId="14">
    <w:name w:val="Document Map"/>
    <w:basedOn w:val="1"/>
    <w:link w:val="55"/>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pPr>
      <w:spacing w:beforeLines="100" w:afterLines="100" w:line="400" w:lineRule="exact"/>
    </w:pPr>
    <w:rPr>
      <w:rFonts w:ascii="宋体" w:hAnsi="宋体"/>
      <w:sz w:val="24"/>
    </w:rPr>
  </w:style>
  <w:style w:type="paragraph" w:styleId="17">
    <w:name w:val="Body Text"/>
    <w:basedOn w:val="1"/>
    <w:next w:val="1"/>
    <w:qFormat/>
    <w:uiPriority w:val="0"/>
    <w:pPr>
      <w:spacing w:line="360" w:lineRule="auto"/>
    </w:pPr>
    <w:rPr>
      <w:rFonts w:eastAsia="黑体"/>
      <w:b/>
      <w:spacing w:val="6"/>
      <w:sz w:val="36"/>
      <w:szCs w:val="20"/>
    </w:rPr>
  </w:style>
  <w:style w:type="paragraph" w:styleId="18">
    <w:name w:val="Body Text Indent"/>
    <w:basedOn w:val="1"/>
    <w:link w:val="56"/>
    <w:qFormat/>
    <w:uiPriority w:val="0"/>
    <w:pPr>
      <w:ind w:left="281" w:leftChars="134"/>
    </w:pPr>
    <w:rPr>
      <w:sz w:val="28"/>
    </w:rPr>
  </w:style>
  <w:style w:type="paragraph" w:styleId="19">
    <w:name w:val="List 2"/>
    <w:basedOn w:val="1"/>
    <w:qFormat/>
    <w:uiPriority w:val="0"/>
    <w:pPr>
      <w:ind w:left="100" w:leftChars="200" w:hanging="200" w:hangingChars="200"/>
    </w:pPr>
  </w:style>
  <w:style w:type="paragraph" w:styleId="20">
    <w:name w:val="Block Text"/>
    <w:basedOn w:val="1"/>
    <w:qFormat/>
    <w:uiPriority w:val="99"/>
    <w:pPr>
      <w:tabs>
        <w:tab w:val="left" w:pos="1620"/>
      </w:tabs>
      <w:spacing w:line="360" w:lineRule="auto"/>
      <w:ind w:left="420" w:right="25" w:rightChars="12" w:firstLine="525"/>
    </w:pPr>
    <w:rPr>
      <w:sz w:val="24"/>
    </w:rPr>
  </w:style>
  <w:style w:type="paragraph" w:styleId="21">
    <w:name w:val="List Bullet 2"/>
    <w:basedOn w:val="1"/>
    <w:qFormat/>
    <w:uiPriority w:val="0"/>
    <w:pPr>
      <w:tabs>
        <w:tab w:val="left" w:pos="780"/>
      </w:tabs>
      <w:spacing w:line="460" w:lineRule="exact"/>
      <w:ind w:left="780" w:leftChars="200" w:hanging="360" w:hangingChars="200"/>
    </w:pPr>
    <w:rPr>
      <w:spacing w:val="12"/>
      <w:sz w:val="24"/>
      <w:szCs w:val="20"/>
    </w:rPr>
  </w:style>
  <w:style w:type="paragraph" w:styleId="22">
    <w:name w:val="toc 5"/>
    <w:basedOn w:val="1"/>
    <w:next w:val="1"/>
    <w:qFormat/>
    <w:uiPriority w:val="0"/>
    <w:pPr>
      <w:ind w:left="840"/>
      <w:jc w:val="left"/>
    </w:pPr>
    <w:rPr>
      <w:rFonts w:ascii="Calibri" w:hAnsi="Calibri" w:eastAsia="宋体"/>
      <w:sz w:val="18"/>
      <w:szCs w:val="18"/>
    </w:rPr>
  </w:style>
  <w:style w:type="paragraph" w:styleId="23">
    <w:name w:val="toc 3"/>
    <w:basedOn w:val="1"/>
    <w:next w:val="1"/>
    <w:unhideWhenUsed/>
    <w:qFormat/>
    <w:uiPriority w:val="39"/>
    <w:pPr>
      <w:ind w:left="420"/>
      <w:jc w:val="left"/>
    </w:pPr>
    <w:rPr>
      <w:rFonts w:ascii="Calibri" w:hAnsi="Calibri" w:eastAsia="宋体"/>
      <w:i/>
      <w:iCs/>
      <w:sz w:val="20"/>
      <w:szCs w:val="20"/>
    </w:rPr>
  </w:style>
  <w:style w:type="paragraph" w:styleId="24">
    <w:name w:val="Plain Text"/>
    <w:basedOn w:val="1"/>
    <w:link w:val="57"/>
    <w:qFormat/>
    <w:uiPriority w:val="0"/>
    <w:rPr>
      <w:rFonts w:ascii="宋体" w:hAnsi="Courier New"/>
      <w:szCs w:val="20"/>
    </w:rPr>
  </w:style>
  <w:style w:type="paragraph" w:styleId="25">
    <w:name w:val="toc 8"/>
    <w:basedOn w:val="1"/>
    <w:next w:val="1"/>
    <w:qFormat/>
    <w:uiPriority w:val="0"/>
    <w:pPr>
      <w:ind w:left="1470"/>
      <w:jc w:val="left"/>
    </w:pPr>
    <w:rPr>
      <w:rFonts w:ascii="Calibri" w:hAnsi="Calibri" w:eastAsia="宋体"/>
      <w:sz w:val="18"/>
      <w:szCs w:val="18"/>
    </w:rPr>
  </w:style>
  <w:style w:type="paragraph" w:styleId="26">
    <w:name w:val="Date"/>
    <w:basedOn w:val="1"/>
    <w:next w:val="1"/>
    <w:qFormat/>
    <w:uiPriority w:val="0"/>
    <w:pPr>
      <w:ind w:left="100" w:leftChars="2500"/>
    </w:pPr>
    <w:rPr>
      <w:sz w:val="24"/>
    </w:rPr>
  </w:style>
  <w:style w:type="paragraph" w:styleId="27">
    <w:name w:val="Body Text Indent 2"/>
    <w:basedOn w:val="1"/>
    <w:qFormat/>
    <w:uiPriority w:val="0"/>
    <w:pPr>
      <w:ind w:firstLine="538" w:firstLineChars="192"/>
    </w:pPr>
    <w:rPr>
      <w:color w:val="FF0000"/>
      <w:sz w:val="28"/>
    </w:rPr>
  </w:style>
  <w:style w:type="paragraph" w:styleId="28">
    <w:name w:val="Balloon Text"/>
    <w:basedOn w:val="1"/>
    <w:link w:val="58"/>
    <w:semiHidden/>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Signature"/>
    <w:basedOn w:val="1"/>
    <w:qFormat/>
    <w:uiPriority w:val="0"/>
    <w:pPr>
      <w:spacing w:line="460" w:lineRule="exact"/>
      <w:ind w:left="100" w:leftChars="2100" w:firstLine="200" w:firstLineChars="200"/>
    </w:pPr>
    <w:rPr>
      <w:spacing w:val="12"/>
      <w:sz w:val="24"/>
      <w:szCs w:val="20"/>
    </w:rPr>
  </w:style>
  <w:style w:type="paragraph" w:styleId="32">
    <w:name w:val="toc 1"/>
    <w:basedOn w:val="1"/>
    <w:next w:val="1"/>
    <w:qFormat/>
    <w:uiPriority w:val="39"/>
    <w:pPr>
      <w:spacing w:line="360" w:lineRule="exact"/>
    </w:pPr>
    <w:rPr>
      <w:rFonts w:ascii="Arial" w:hAnsi="Arial" w:cs="Arial"/>
      <w:snapToGrid w:val="0"/>
      <w:kern w:val="0"/>
    </w:rPr>
  </w:style>
  <w:style w:type="paragraph" w:styleId="33">
    <w:name w:val="toc 4"/>
    <w:basedOn w:val="1"/>
    <w:next w:val="1"/>
    <w:qFormat/>
    <w:uiPriority w:val="0"/>
    <w:pPr>
      <w:ind w:left="630"/>
      <w:jc w:val="left"/>
    </w:pPr>
    <w:rPr>
      <w:rFonts w:ascii="Calibri" w:hAnsi="Calibri" w:eastAsia="宋体"/>
      <w:sz w:val="18"/>
      <w:szCs w:val="18"/>
    </w:rPr>
  </w:style>
  <w:style w:type="paragraph" w:styleId="34">
    <w:name w:val="toc 6"/>
    <w:basedOn w:val="1"/>
    <w:next w:val="1"/>
    <w:qFormat/>
    <w:uiPriority w:val="0"/>
    <w:pPr>
      <w:ind w:left="1050"/>
      <w:jc w:val="left"/>
    </w:pPr>
    <w:rPr>
      <w:rFonts w:ascii="Calibri" w:hAnsi="Calibri" w:eastAsia="宋体"/>
      <w:sz w:val="18"/>
      <w:szCs w:val="18"/>
    </w:rPr>
  </w:style>
  <w:style w:type="paragraph" w:styleId="35">
    <w:name w:val="Body Text Indent 3"/>
    <w:basedOn w:val="1"/>
    <w:qFormat/>
    <w:uiPriority w:val="0"/>
    <w:pPr>
      <w:spacing w:line="580" w:lineRule="exact"/>
      <w:ind w:firstLine="538" w:firstLineChars="192"/>
    </w:pPr>
    <w:rPr>
      <w:sz w:val="28"/>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eastAsia="宋体"/>
      <w:sz w:val="18"/>
      <w:szCs w:val="18"/>
    </w:rPr>
  </w:style>
  <w:style w:type="paragraph" w:styleId="38">
    <w:name w:val="Body Text 2"/>
    <w:basedOn w:val="1"/>
    <w:qFormat/>
    <w:uiPriority w:val="0"/>
    <w:pPr>
      <w:snapToGrid w:val="0"/>
      <w:spacing w:line="400" w:lineRule="exact"/>
    </w:pPr>
    <w:rPr>
      <w:rFonts w:ascii="宋体" w:hAnsi="宋体"/>
      <w:b/>
      <w:bCs/>
      <w:color w:val="0000FF"/>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61"/>
    <w:qFormat/>
    <w:uiPriority w:val="10"/>
    <w:pPr>
      <w:spacing w:before="240" w:after="60"/>
      <w:jc w:val="center"/>
      <w:outlineLvl w:val="0"/>
    </w:pPr>
    <w:rPr>
      <w:rFonts w:ascii="Cambria" w:hAnsi="Cambria"/>
      <w:b/>
      <w:bCs/>
      <w:kern w:val="0"/>
      <w:sz w:val="32"/>
      <w:szCs w:val="32"/>
    </w:rPr>
  </w:style>
  <w:style w:type="paragraph" w:styleId="41">
    <w:name w:val="annotation subject"/>
    <w:basedOn w:val="15"/>
    <w:next w:val="15"/>
    <w:semiHidden/>
    <w:qFormat/>
    <w:uiPriority w:val="0"/>
    <w:rPr>
      <w:b/>
      <w:bCs/>
    </w:rPr>
  </w:style>
  <w:style w:type="paragraph" w:styleId="42">
    <w:name w:val="Body Text First Indent"/>
    <w:basedOn w:val="17"/>
    <w:next w:val="34"/>
    <w:qFormat/>
    <w:uiPriority w:val="0"/>
    <w:pPr>
      <w:widowControl w:val="0"/>
      <w:autoSpaceDE w:val="0"/>
      <w:autoSpaceDN w:val="0"/>
      <w:adjustRightInd w:val="0"/>
      <w:spacing w:after="120"/>
      <w:ind w:firstLine="420" w:firstLineChars="100"/>
    </w:pPr>
    <w:rPr>
      <w:rFonts w:eastAsia="Cambria"/>
      <w:lang w:val="en-US" w:eastAsia="zh-CN" w:bidi="ar-SA"/>
    </w:rPr>
  </w:style>
  <w:style w:type="paragraph" w:styleId="43">
    <w:name w:val="Body Text First Indent 2"/>
    <w:basedOn w:val="18"/>
    <w:link w:val="62"/>
    <w:qFormat/>
    <w:uiPriority w:val="0"/>
    <w:pPr>
      <w:spacing w:after="120"/>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qFormat/>
    <w:uiPriority w:val="0"/>
  </w:style>
  <w:style w:type="character" w:styleId="48">
    <w:name w:val="Hyperlink"/>
    <w:qFormat/>
    <w:uiPriority w:val="99"/>
    <w:rPr>
      <w:color w:val="000080"/>
      <w:u w:val="none"/>
    </w:rPr>
  </w:style>
  <w:style w:type="character" w:styleId="49">
    <w:name w:val="annotation reference"/>
    <w:semiHidden/>
    <w:qFormat/>
    <w:uiPriority w:val="0"/>
    <w:rPr>
      <w:sz w:val="21"/>
      <w:szCs w:val="21"/>
    </w:rPr>
  </w:style>
  <w:style w:type="paragraph" w:customStyle="1" w:styleId="50">
    <w:name w:val="_Style 2"/>
    <w:basedOn w:val="1"/>
    <w:qFormat/>
    <w:uiPriority w:val="0"/>
    <w:pPr>
      <w:ind w:firstLine="420" w:firstLineChars="200"/>
    </w:pPr>
    <w:rPr>
      <w:rFonts w:ascii="Calibri" w:hAnsi="Calibri"/>
      <w:szCs w:val="22"/>
    </w:rPr>
  </w:style>
  <w:style w:type="character" w:customStyle="1" w:styleId="51">
    <w:name w:val="标题 1 字符"/>
    <w:link w:val="3"/>
    <w:qFormat/>
    <w:uiPriority w:val="0"/>
    <w:rPr>
      <w:b/>
      <w:kern w:val="44"/>
      <w:sz w:val="36"/>
    </w:rPr>
  </w:style>
  <w:style w:type="character" w:customStyle="1" w:styleId="52">
    <w:name w:val="标题 2 字符"/>
    <w:link w:val="2"/>
    <w:qFormat/>
    <w:uiPriority w:val="0"/>
    <w:rPr>
      <w:rFonts w:ascii="Arial" w:hAnsi="Arial"/>
      <w:b/>
      <w:sz w:val="32"/>
    </w:rPr>
  </w:style>
  <w:style w:type="character" w:customStyle="1" w:styleId="53">
    <w:name w:val="标题 3 字符"/>
    <w:link w:val="4"/>
    <w:qFormat/>
    <w:uiPriority w:val="0"/>
    <w:rPr>
      <w:b/>
      <w:bCs/>
      <w:kern w:val="2"/>
      <w:sz w:val="32"/>
      <w:szCs w:val="32"/>
    </w:rPr>
  </w:style>
  <w:style w:type="character" w:customStyle="1" w:styleId="54">
    <w:name w:val="正文缩进 字符1"/>
    <w:link w:val="7"/>
    <w:qFormat/>
    <w:uiPriority w:val="0"/>
    <w:rPr>
      <w:kern w:val="2"/>
      <w:sz w:val="21"/>
      <w:szCs w:val="24"/>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正文文本缩进 字符"/>
    <w:link w:val="18"/>
    <w:qFormat/>
    <w:uiPriority w:val="0"/>
    <w:rPr>
      <w:kern w:val="2"/>
      <w:sz w:val="28"/>
      <w:szCs w:val="24"/>
    </w:rPr>
  </w:style>
  <w:style w:type="character" w:customStyle="1" w:styleId="57">
    <w:name w:val="纯文本 字符1"/>
    <w:link w:val="24"/>
    <w:qFormat/>
    <w:uiPriority w:val="0"/>
    <w:rPr>
      <w:rFonts w:ascii="宋体" w:hAnsi="Courier New" w:eastAsia="宋体"/>
      <w:kern w:val="2"/>
      <w:sz w:val="21"/>
      <w:lang w:val="en-US" w:eastAsia="zh-CN" w:bidi="ar-SA"/>
    </w:rPr>
  </w:style>
  <w:style w:type="character" w:customStyle="1" w:styleId="58">
    <w:name w:val="批注框文本 字符"/>
    <w:link w:val="28"/>
    <w:semiHidden/>
    <w:qFormat/>
    <w:uiPriority w:val="0"/>
    <w:rPr>
      <w:kern w:val="2"/>
      <w:sz w:val="18"/>
      <w:szCs w:val="18"/>
    </w:rPr>
  </w:style>
  <w:style w:type="character" w:customStyle="1" w:styleId="59">
    <w:name w:val="页脚 字符1"/>
    <w:link w:val="29"/>
    <w:qFormat/>
    <w:uiPriority w:val="99"/>
    <w:rPr>
      <w:rFonts w:eastAsia="宋体"/>
      <w:kern w:val="2"/>
      <w:sz w:val="18"/>
      <w:szCs w:val="18"/>
      <w:lang w:val="en-US" w:eastAsia="zh-CN" w:bidi="ar-SA"/>
    </w:rPr>
  </w:style>
  <w:style w:type="character" w:customStyle="1" w:styleId="60">
    <w:name w:val="页眉 字符"/>
    <w:link w:val="30"/>
    <w:qFormat/>
    <w:uiPriority w:val="99"/>
    <w:rPr>
      <w:kern w:val="2"/>
      <w:sz w:val="18"/>
      <w:szCs w:val="18"/>
    </w:rPr>
  </w:style>
  <w:style w:type="character" w:customStyle="1" w:styleId="61">
    <w:name w:val="标题 字符"/>
    <w:link w:val="40"/>
    <w:qFormat/>
    <w:locked/>
    <w:uiPriority w:val="10"/>
    <w:rPr>
      <w:rFonts w:ascii="Cambria" w:hAnsi="Cambria"/>
      <w:b/>
      <w:bCs/>
      <w:sz w:val="32"/>
      <w:szCs w:val="32"/>
    </w:rPr>
  </w:style>
  <w:style w:type="character" w:customStyle="1" w:styleId="62">
    <w:name w:val="正文首行缩进 2 字符1"/>
    <w:link w:val="43"/>
    <w:qFormat/>
    <w:uiPriority w:val="0"/>
    <w:rPr>
      <w:kern w:val="2"/>
      <w:sz w:val="21"/>
      <w:szCs w:val="24"/>
    </w:rPr>
  </w:style>
  <w:style w:type="character" w:customStyle="1" w:styleId="63">
    <w:name w:val="页码1"/>
    <w:qFormat/>
    <w:uiPriority w:val="0"/>
  </w:style>
  <w:style w:type="character" w:customStyle="1" w:styleId="64">
    <w:name w:val="列出段落 字符"/>
    <w:link w:val="65"/>
    <w:qFormat/>
    <w:locked/>
    <w:uiPriority w:val="34"/>
    <w:rPr>
      <w:rFonts w:ascii="Calibri" w:hAnsi="Calibri"/>
      <w:kern w:val="2"/>
      <w:sz w:val="21"/>
      <w:szCs w:val="22"/>
    </w:rPr>
  </w:style>
  <w:style w:type="paragraph" w:styleId="65">
    <w:name w:val="List Paragraph"/>
    <w:basedOn w:val="1"/>
    <w:link w:val="64"/>
    <w:qFormat/>
    <w:uiPriority w:val="34"/>
    <w:pPr>
      <w:ind w:firstLine="420" w:firstLineChars="200"/>
    </w:pPr>
    <w:rPr>
      <w:rFonts w:ascii="Calibri" w:hAnsi="Calibri"/>
      <w:szCs w:val="22"/>
    </w:rPr>
  </w:style>
  <w:style w:type="character" w:customStyle="1" w:styleId="66">
    <w:name w:val="列表项目符号2 Char"/>
    <w:link w:val="67"/>
    <w:qFormat/>
    <w:uiPriority w:val="0"/>
    <w:rPr>
      <w:sz w:val="24"/>
      <w:szCs w:val="24"/>
    </w:rPr>
  </w:style>
  <w:style w:type="paragraph" w:customStyle="1" w:styleId="67">
    <w:name w:val="列表项目符号2"/>
    <w:basedOn w:val="1"/>
    <w:link w:val="66"/>
    <w:qFormat/>
    <w:uiPriority w:val="0"/>
    <w:pPr>
      <w:tabs>
        <w:tab w:val="left" w:pos="978"/>
      </w:tabs>
      <w:adjustRightInd w:val="0"/>
      <w:spacing w:line="360" w:lineRule="auto"/>
      <w:ind w:left="978" w:hanging="420"/>
      <w:textAlignment w:val="baseline"/>
    </w:pPr>
    <w:rPr>
      <w:kern w:val="0"/>
      <w:sz w:val="24"/>
    </w:rPr>
  </w:style>
  <w:style w:type="character" w:customStyle="1" w:styleId="68">
    <w:name w:val="标题 字符1"/>
    <w:qFormat/>
    <w:uiPriority w:val="0"/>
    <w:rPr>
      <w:rFonts w:ascii="等线 Light" w:hAnsi="等线 Light" w:cs="Times New Roman"/>
      <w:b/>
      <w:bCs/>
      <w:kern w:val="2"/>
      <w:sz w:val="32"/>
      <w:szCs w:val="32"/>
    </w:rPr>
  </w:style>
  <w:style w:type="character" w:customStyle="1" w:styleId="69">
    <w:name w:val="正文缩进 字符"/>
    <w:qFormat/>
    <w:uiPriority w:val="0"/>
    <w:rPr>
      <w:kern w:val="2"/>
      <w:sz w:val="21"/>
      <w:szCs w:val="24"/>
    </w:rPr>
  </w:style>
  <w:style w:type="character" w:customStyle="1" w:styleId="70">
    <w:name w:val="纯文本 Char1"/>
    <w:link w:val="71"/>
    <w:qFormat/>
    <w:uiPriority w:val="0"/>
    <w:rPr>
      <w:rFonts w:ascii="宋体" w:hAnsi="Courier New"/>
      <w:kern w:val="2"/>
      <w:sz w:val="21"/>
      <w:szCs w:val="22"/>
    </w:rPr>
  </w:style>
  <w:style w:type="paragraph" w:customStyle="1" w:styleId="71">
    <w:name w:val="纯文本1"/>
    <w:basedOn w:val="1"/>
    <w:link w:val="70"/>
    <w:qFormat/>
    <w:uiPriority w:val="0"/>
    <w:rPr>
      <w:rFonts w:ascii="宋体" w:hAnsi="Courier New"/>
      <w:szCs w:val="22"/>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纯文本 字符"/>
    <w:qFormat/>
    <w:uiPriority w:val="0"/>
    <w:rPr>
      <w:rFonts w:ascii="宋体" w:hAnsi="Courier New" w:eastAsia="宋体" w:cs="Courier New"/>
      <w:szCs w:val="21"/>
    </w:rPr>
  </w:style>
  <w:style w:type="character" w:customStyle="1" w:styleId="74">
    <w:name w:val="页脚 字符"/>
    <w:qFormat/>
    <w:uiPriority w:val="99"/>
  </w:style>
  <w:style w:type="character" w:customStyle="1" w:styleId="75">
    <w:name w:val="zbggmain style9"/>
    <w:qFormat/>
    <w:uiPriority w:val="0"/>
  </w:style>
  <w:style w:type="character" w:customStyle="1" w:styleId="76">
    <w:name w:val="font11"/>
    <w:qFormat/>
    <w:uiPriority w:val="0"/>
    <w:rPr>
      <w:rFonts w:hint="eastAsia" w:ascii="宋体" w:hAnsi="宋体" w:eastAsia="宋体" w:cs="宋体"/>
      <w:color w:val="000000"/>
      <w:sz w:val="20"/>
      <w:szCs w:val="20"/>
      <w:u w:val="none"/>
      <w:vertAlign w:val="superscript"/>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纯文本 Char Char Char1"/>
    <w:qFormat/>
    <w:uiPriority w:val="0"/>
    <w:rPr>
      <w:rFonts w:ascii="宋体" w:hAnsi="Courier New" w:eastAsia="宋体" w:cs="Courier New"/>
      <w:kern w:val="2"/>
      <w:sz w:val="21"/>
      <w:szCs w:val="21"/>
      <w:lang w:val="en-US" w:eastAsia="zh-CN" w:bidi="ar-SA"/>
    </w:rPr>
  </w:style>
  <w:style w:type="paragraph" w:customStyle="1" w:styleId="79">
    <w:name w:val="列出段落1"/>
    <w:basedOn w:val="1"/>
    <w:qFormat/>
    <w:uiPriority w:val="0"/>
    <w:pPr>
      <w:ind w:firstLine="420" w:firstLineChars="200"/>
    </w:pPr>
  </w:style>
  <w:style w:type="paragraph" w:customStyle="1" w:styleId="80">
    <w:name w:val="Char2"/>
    <w:basedOn w:val="1"/>
    <w:qFormat/>
    <w:uiPriority w:val="0"/>
    <w:rPr>
      <w:rFonts w:ascii="仿宋_GB2312" w:eastAsia="仿宋_GB2312"/>
      <w:b/>
      <w:sz w:val="32"/>
      <w:szCs w:val="32"/>
    </w:rPr>
  </w:style>
  <w:style w:type="paragraph" w:customStyle="1" w:styleId="81">
    <w:name w:val="标书正文"/>
    <w:basedOn w:val="17"/>
    <w:qFormat/>
    <w:uiPriority w:val="0"/>
    <w:pPr>
      <w:adjustRightInd w:val="0"/>
      <w:snapToGrid w:val="0"/>
      <w:spacing w:line="400" w:lineRule="exact"/>
      <w:ind w:firstLine="1276"/>
    </w:pPr>
    <w:rPr>
      <w:rFonts w:ascii="宋体" w:hAnsi="宋体"/>
      <w:b w:val="0"/>
      <w:spacing w:val="0"/>
      <w:kern w:val="0"/>
      <w:sz w:val="24"/>
    </w:rPr>
  </w:style>
  <w:style w:type="paragraph" w:customStyle="1" w:styleId="82">
    <w:name w:val="_Style 81"/>
    <w:semiHidden/>
    <w:qFormat/>
    <w:uiPriority w:val="99"/>
    <w:rPr>
      <w:rFonts w:ascii="Times New Roman" w:hAnsi="Times New Roman" w:eastAsia="宋体" w:cs="Times New Roman"/>
      <w:kern w:val="2"/>
      <w:sz w:val="21"/>
      <w:szCs w:val="24"/>
      <w:lang w:val="en-US" w:eastAsia="zh-CN" w:bidi="ar-SA"/>
    </w:rPr>
  </w:style>
  <w:style w:type="paragraph" w:customStyle="1" w:styleId="83">
    <w:name w:val="样式1"/>
    <w:basedOn w:val="1"/>
    <w:qFormat/>
    <w:uiPriority w:val="0"/>
    <w:pPr>
      <w:spacing w:before="120" w:after="120" w:line="300" w:lineRule="auto"/>
    </w:pPr>
    <w:rPr>
      <w:rFonts w:ascii="宋体" w:hAnsi="宋体"/>
      <w:b/>
      <w:sz w:val="24"/>
      <w:szCs w:val="20"/>
    </w:rPr>
  </w:style>
  <w:style w:type="paragraph" w:customStyle="1" w:styleId="84">
    <w:name w:val="样式 标题 3 + 非加粗 自动设置"/>
    <w:basedOn w:val="4"/>
    <w:qFormat/>
    <w:uiPriority w:val="0"/>
    <w:pPr>
      <w:spacing w:before="120" w:after="120" w:line="700" w:lineRule="exact"/>
      <w:jc w:val="left"/>
    </w:pPr>
    <w:rPr>
      <w:rFonts w:ascii="宋体" w:hAnsi="宋体"/>
      <w:b w:val="0"/>
      <w:bCs w:val="0"/>
      <w:spacing w:val="10"/>
      <w:kern w:val="24"/>
      <w:sz w:val="28"/>
    </w:rPr>
  </w:style>
  <w:style w:type="paragraph" w:customStyle="1" w:styleId="85">
    <w:name w:val="正文（项目编号）"/>
    <w:basedOn w:val="1"/>
    <w:qFormat/>
    <w:uiPriority w:val="0"/>
    <w:pPr>
      <w:numPr>
        <w:ilvl w:val="0"/>
        <w:numId w:val="2"/>
      </w:numPr>
      <w:spacing w:line="480" w:lineRule="exact"/>
    </w:pPr>
    <w:rPr>
      <w:bCs/>
      <w:sz w:val="28"/>
      <w:szCs w:val="20"/>
    </w:rPr>
  </w:style>
  <w:style w:type="paragraph" w:customStyle="1" w:styleId="86">
    <w:name w:val="小节"/>
    <w:basedOn w:val="4"/>
    <w:qFormat/>
    <w:uiPriority w:val="0"/>
    <w:pPr>
      <w:spacing w:before="200" w:after="200" w:line="560" w:lineRule="exact"/>
      <w:jc w:val="left"/>
    </w:pPr>
    <w:rPr>
      <w:rFonts w:ascii="宋体" w:hAnsi="宋体"/>
      <w:bCs w:val="0"/>
      <w:color w:val="000000"/>
      <w:spacing w:val="10"/>
      <w:kern w:val="24"/>
      <w:sz w:val="28"/>
    </w:rPr>
  </w:style>
  <w:style w:type="paragraph" w:customStyle="1" w:styleId="87">
    <w:name w:val="1正文首行缩进"/>
    <w:basedOn w:val="1"/>
    <w:qFormat/>
    <w:uiPriority w:val="0"/>
    <w:pPr>
      <w:spacing w:line="460" w:lineRule="atLeast"/>
      <w:ind w:firstLine="200" w:firstLineChars="200"/>
    </w:pPr>
    <w:rPr>
      <w:rFonts w:ascii="宋体" w:hAnsi="宋体"/>
      <w:sz w:val="24"/>
    </w:rPr>
  </w:style>
  <w:style w:type="paragraph" w:customStyle="1" w:styleId="88">
    <w:name w:val="普通(网站)1"/>
    <w:basedOn w:val="1"/>
    <w:qFormat/>
    <w:uiPriority w:val="0"/>
    <w:pPr>
      <w:widowControl/>
      <w:spacing w:before="100" w:beforeAutospacing="1" w:after="100" w:afterAutospacing="1"/>
    </w:pPr>
    <w:rPr>
      <w:rFonts w:hint="eastAsia" w:ascii="宋体" w:hAnsi="宋体" w:eastAsia="²Ó©úÅé"/>
      <w:kern w:val="0"/>
      <w:sz w:val="24"/>
      <w:szCs w:val="20"/>
    </w:rPr>
  </w:style>
  <w:style w:type="paragraph" w:customStyle="1" w:styleId="89">
    <w:name w:val="标书标题2"/>
    <w:basedOn w:val="2"/>
    <w:qFormat/>
    <w:uiPriority w:val="0"/>
    <w:pPr>
      <w:keepLines w:val="0"/>
      <w:tabs>
        <w:tab w:val="left" w:pos="567"/>
      </w:tabs>
      <w:spacing w:beforeLines="50" w:afterLines="0" w:line="300" w:lineRule="auto"/>
      <w:ind w:left="567" w:hanging="567"/>
      <w:jc w:val="left"/>
    </w:pPr>
    <w:rPr>
      <w:rFonts w:ascii="Arial Narrow" w:hAnsi="Arial Narrow" w:eastAsia="仿宋_GB2312"/>
      <w:sz w:val="28"/>
    </w:rPr>
  </w:style>
  <w:style w:type="paragraph" w:customStyle="1" w:styleId="90">
    <w:name w:val="列出段落2"/>
    <w:basedOn w:val="1"/>
    <w:qFormat/>
    <w:uiPriority w:val="0"/>
    <w:pPr>
      <w:ind w:firstLine="420" w:firstLineChars="200"/>
    </w:pPr>
  </w:style>
  <w:style w:type="paragraph" w:customStyle="1" w:styleId="91">
    <w:name w:val="默认段落字体 Para Char Char Char Char Char Char Char"/>
    <w:basedOn w:val="1"/>
    <w:qFormat/>
    <w:uiPriority w:val="0"/>
    <w:rPr>
      <w:rFonts w:ascii="Tahoma" w:hAnsi="Tahoma"/>
      <w:sz w:val="24"/>
      <w:szCs w:val="20"/>
    </w:rPr>
  </w:style>
  <w:style w:type="paragraph" w:customStyle="1" w:styleId="92">
    <w:name w:val="简单回函地址"/>
    <w:basedOn w:val="1"/>
    <w:qFormat/>
    <w:uiPriority w:val="0"/>
    <w:pPr>
      <w:spacing w:line="460" w:lineRule="exact"/>
      <w:ind w:firstLine="200" w:firstLineChars="200"/>
    </w:pPr>
    <w:rPr>
      <w:spacing w:val="12"/>
      <w:sz w:val="24"/>
      <w:szCs w:val="20"/>
    </w:rPr>
  </w:style>
  <w:style w:type="paragraph" w:customStyle="1" w:styleId="93">
    <w:name w:val="章正文"/>
    <w:basedOn w:val="1"/>
    <w:qFormat/>
    <w:uiPriority w:val="0"/>
    <w:pPr>
      <w:spacing w:beforeLines="50" w:after="120" w:line="300" w:lineRule="auto"/>
      <w:ind w:firstLine="480"/>
    </w:pPr>
    <w:rPr>
      <w:rFonts w:ascii="Helvetica" w:hAnsi="Helvetica"/>
      <w:kern w:val="0"/>
      <w:sz w:val="24"/>
    </w:rPr>
  </w:style>
  <w:style w:type="paragraph" w:customStyle="1" w:styleId="9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5">
    <w:name w:val="bullets (T)"/>
    <w:basedOn w:val="1"/>
    <w:qFormat/>
    <w:uiPriority w:val="0"/>
    <w:pPr>
      <w:numPr>
        <w:ilvl w:val="0"/>
        <w:numId w:val="3"/>
      </w:numPr>
      <w:spacing w:after="100" w:line="240" w:lineRule="exact"/>
    </w:pPr>
    <w:rPr>
      <w:snapToGrid w:val="0"/>
      <w:color w:val="000000"/>
      <w:sz w:val="20"/>
      <w:szCs w:val="20"/>
    </w:rPr>
  </w:style>
  <w:style w:type="paragraph" w:customStyle="1" w:styleId="96">
    <w:name w:val="2"/>
    <w:basedOn w:val="1"/>
    <w:next w:val="1"/>
    <w:qFormat/>
    <w:uiPriority w:val="39"/>
    <w:pPr>
      <w:ind w:left="420" w:leftChars="200"/>
    </w:p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PP 行"/>
    <w:basedOn w:val="31"/>
    <w:qFormat/>
    <w:uiPriority w:val="0"/>
  </w:style>
  <w:style w:type="paragraph" w:customStyle="1" w:styleId="99">
    <w:name w:val="节"/>
    <w:basedOn w:val="2"/>
    <w:qFormat/>
    <w:uiPriority w:val="0"/>
    <w:pPr>
      <w:widowControl w:val="0"/>
      <w:adjustRightInd/>
      <w:snapToGrid/>
      <w:spacing w:beforeLines="0" w:afterLines="0" w:line="720" w:lineRule="exact"/>
    </w:pPr>
    <w:rPr>
      <w:rFonts w:eastAsia="黑体"/>
      <w:b w:val="0"/>
      <w:spacing w:val="14"/>
      <w:kern w:val="24"/>
    </w:rPr>
  </w:style>
  <w:style w:type="paragraph" w:customStyle="1" w:styleId="100">
    <w:name w:val="p0"/>
    <w:basedOn w:val="1"/>
    <w:qFormat/>
    <w:uiPriority w:val="0"/>
    <w:pPr>
      <w:widowControl/>
    </w:pPr>
    <w:rPr>
      <w:kern w:val="0"/>
      <w:szCs w:val="21"/>
    </w:rPr>
  </w:style>
  <w:style w:type="paragraph" w:customStyle="1" w:styleId="101">
    <w:name w:val="页脚1"/>
    <w:basedOn w:val="1"/>
    <w:qFormat/>
    <w:uiPriority w:val="0"/>
    <w:pPr>
      <w:tabs>
        <w:tab w:val="center" w:pos="4153"/>
        <w:tab w:val="right" w:pos="8306"/>
      </w:tabs>
      <w:snapToGrid w:val="0"/>
    </w:pPr>
    <w:rPr>
      <w:rFonts w:ascii="Courier" w:hAnsi="Courier"/>
      <w:kern w:val="0"/>
      <w:sz w:val="18"/>
      <w:szCs w:val="20"/>
    </w:rPr>
  </w:style>
  <w:style w:type="paragraph" w:customStyle="1" w:styleId="102">
    <w:name w:val="样式3"/>
    <w:basedOn w:val="24"/>
    <w:link w:val="103"/>
    <w:qFormat/>
    <w:uiPriority w:val="0"/>
    <w:pPr>
      <w:adjustRightInd w:val="0"/>
      <w:spacing w:line="0" w:lineRule="atLeast"/>
      <w:textAlignment w:val="baseline"/>
      <w:outlineLvl w:val="0"/>
    </w:pPr>
    <w:rPr>
      <w:sz w:val="28"/>
    </w:rPr>
  </w:style>
  <w:style w:type="character" w:customStyle="1" w:styleId="103">
    <w:name w:val="样式3 Char"/>
    <w:link w:val="102"/>
    <w:qFormat/>
    <w:uiPriority w:val="0"/>
    <w:rPr>
      <w:sz w:val="28"/>
    </w:rPr>
  </w:style>
  <w:style w:type="paragraph" w:customStyle="1" w:styleId="104">
    <w:name w:val="样式 标题 3 + 红色"/>
    <w:basedOn w:val="4"/>
    <w:qFormat/>
    <w:uiPriority w:val="0"/>
    <w:pPr>
      <w:spacing w:before="120" w:after="120" w:line="700" w:lineRule="exact"/>
      <w:jc w:val="left"/>
    </w:pPr>
    <w:rPr>
      <w:rFonts w:ascii="宋体" w:hAnsi="宋体"/>
      <w:color w:val="FF0000"/>
      <w:spacing w:val="10"/>
      <w:kern w:val="24"/>
      <w:sz w:val="28"/>
    </w:rPr>
  </w:style>
  <w:style w:type="paragraph" w:customStyle="1" w:styleId="105">
    <w:name w:val="my title2"/>
    <w:basedOn w:val="1"/>
    <w:qFormat/>
    <w:uiPriority w:val="0"/>
    <w:pPr>
      <w:widowControl/>
    </w:pPr>
    <w:rPr>
      <w:rFonts w:eastAsia="仿宋_GB2312"/>
      <w:kern w:val="0"/>
      <w:sz w:val="24"/>
      <w:szCs w:val="20"/>
    </w:rPr>
  </w:style>
  <w:style w:type="paragraph" w:customStyle="1" w:styleId="106">
    <w:name w:val="正文文字格式"/>
    <w:basedOn w:val="1"/>
    <w:qFormat/>
    <w:uiPriority w:val="0"/>
    <w:pPr>
      <w:spacing w:line="460" w:lineRule="exact"/>
      <w:ind w:firstLine="505"/>
      <w:jc w:val="left"/>
    </w:pPr>
    <w:rPr>
      <w:rFonts w:ascii="宋体"/>
      <w:kern w:val="24"/>
      <w:sz w:val="24"/>
      <w:szCs w:val="20"/>
    </w:rPr>
  </w:style>
  <w:style w:type="paragraph" w:customStyle="1" w:styleId="107">
    <w:name w:val="样式 正文（首行缩进两字） + 首行缩进:  2 字符"/>
    <w:basedOn w:val="7"/>
    <w:qFormat/>
    <w:uiPriority w:val="0"/>
    <w:pPr>
      <w:spacing w:line="460" w:lineRule="exact"/>
      <w:ind w:firstLine="536"/>
    </w:pPr>
    <w:rPr>
      <w:rFonts w:cs="宋体"/>
      <w:spacing w:val="6"/>
      <w:kern w:val="24"/>
      <w:sz w:val="24"/>
    </w:rPr>
  </w:style>
  <w:style w:type="paragraph" w:customStyle="1" w:styleId="108">
    <w:name w:val="正文文字表格居中"/>
    <w:basedOn w:val="1"/>
    <w:next w:val="38"/>
    <w:qFormat/>
    <w:uiPriority w:val="0"/>
    <w:pPr>
      <w:spacing w:line="400" w:lineRule="exact"/>
      <w:jc w:val="center"/>
    </w:pPr>
    <w:rPr>
      <w:b/>
      <w:bCs/>
      <w:sz w:val="24"/>
    </w:rPr>
  </w:style>
  <w:style w:type="paragraph" w:customStyle="1" w:styleId="10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1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1"/>
    <w:basedOn w:val="1"/>
    <w:next w:val="18"/>
    <w:qFormat/>
    <w:uiPriority w:val="0"/>
    <w:pPr>
      <w:widowControl/>
      <w:autoSpaceDE w:val="0"/>
      <w:autoSpaceDN w:val="0"/>
      <w:spacing w:line="440" w:lineRule="atLeast"/>
      <w:ind w:firstLine="465" w:firstLineChars="200"/>
      <w:textAlignment w:val="bottom"/>
    </w:pPr>
    <w:rPr>
      <w:spacing w:val="12"/>
      <w:sz w:val="24"/>
      <w:szCs w:val="20"/>
    </w:rPr>
  </w:style>
  <w:style w:type="paragraph" w:customStyle="1" w:styleId="113">
    <w:name w:val="_Style 112"/>
    <w:basedOn w:val="3"/>
    <w:next w:val="1"/>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114">
    <w:name w:val="Indent a)"/>
    <w:basedOn w:val="1"/>
    <w:qFormat/>
    <w:uiPriority w:val="0"/>
    <w:pPr>
      <w:widowControl/>
      <w:tabs>
        <w:tab w:val="left" w:pos="1843"/>
        <w:tab w:val="right" w:pos="9072"/>
      </w:tabs>
      <w:suppressAutoHyphens/>
      <w:spacing w:line="360" w:lineRule="auto"/>
      <w:ind w:right="-21" w:rightChars="-10"/>
    </w:pPr>
    <w:rPr>
      <w:rFonts w:ascii="宋体" w:hAnsi="宋体"/>
      <w:b/>
      <w:sz w:val="24"/>
    </w:rPr>
  </w:style>
  <w:style w:type="paragraph" w:customStyle="1" w:styleId="115">
    <w:name w:val="标书标题4"/>
    <w:basedOn w:val="5"/>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116">
    <w:name w:val="表格正文"/>
    <w:qFormat/>
    <w:uiPriority w:val="0"/>
    <w:pPr>
      <w:snapToGrid w:val="0"/>
      <w:spacing w:before="60" w:after="60"/>
      <w:ind w:left="11"/>
      <w:jc w:val="center"/>
    </w:pPr>
    <w:rPr>
      <w:rFonts w:ascii="Times New Roman" w:hAnsi="Times New Roman" w:eastAsia="宋体" w:cs="Times New Roman"/>
      <w:sz w:val="21"/>
      <w:lang w:val="en-US" w:eastAsia="zh-CN" w:bidi="ar-SA"/>
    </w:rPr>
  </w:style>
  <w:style w:type="paragraph" w:customStyle="1" w:styleId="117">
    <w:name w:val="正文2"/>
    <w:basedOn w:val="1"/>
    <w:qFormat/>
    <w:uiPriority w:val="0"/>
    <w:pPr>
      <w:tabs>
        <w:tab w:val="left" w:pos="360"/>
      </w:tabs>
      <w:spacing w:line="480" w:lineRule="exact"/>
      <w:outlineLvl w:val="2"/>
    </w:pPr>
    <w:rPr>
      <w:sz w:val="28"/>
      <w:szCs w:val="20"/>
    </w:rPr>
  </w:style>
  <w:style w:type="paragraph" w:customStyle="1" w:styleId="118">
    <w:name w:val="报告正文"/>
    <w:basedOn w:val="1"/>
    <w:qFormat/>
    <w:uiPriority w:val="0"/>
    <w:pPr>
      <w:spacing w:beforeLines="50" w:afterLines="50" w:line="240" w:lineRule="atLeast"/>
      <w:ind w:firstLine="480" w:firstLineChars="200"/>
    </w:pPr>
    <w:rPr>
      <w:sz w:val="24"/>
    </w:rPr>
  </w:style>
  <w:style w:type="paragraph" w:customStyle="1" w:styleId="119">
    <w:name w:val="标书标题3"/>
    <w:basedOn w:val="4"/>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20">
    <w:name w:val="3"/>
    <w:basedOn w:val="1"/>
    <w:qFormat/>
    <w:uiPriority w:val="0"/>
    <w:pPr>
      <w:adjustRightInd w:val="0"/>
      <w:spacing w:line="312" w:lineRule="atLeast"/>
      <w:ind w:left="1134" w:hanging="566"/>
      <w:textAlignment w:val="baseline"/>
    </w:pPr>
    <w:rPr>
      <w:rFonts w:ascii="昆仑楷体" w:eastAsia="昆仑楷体"/>
      <w:kern w:val="0"/>
      <w:sz w:val="24"/>
      <w:szCs w:val="20"/>
    </w:rPr>
  </w:style>
  <w:style w:type="paragraph" w:customStyle="1" w:styleId="121">
    <w:name w:val=" Char2"/>
    <w:basedOn w:val="1"/>
    <w:qFormat/>
    <w:uiPriority w:val="0"/>
    <w:rPr>
      <w:rFonts w:ascii="仿宋_GB2312" w:eastAsia="仿宋_GB2312"/>
      <w:b/>
      <w:sz w:val="32"/>
      <w:szCs w:val="32"/>
    </w:rPr>
  </w:style>
  <w:style w:type="paragraph" w:customStyle="1" w:styleId="122">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表内文字"/>
    <w:basedOn w:val="1"/>
    <w:qFormat/>
    <w:uiPriority w:val="0"/>
    <w:pPr>
      <w:jc w:val="center"/>
    </w:pPr>
    <w:rPr>
      <w:rFonts w:ascii="仿宋_GB2312" w:eastAsia="仿宋_GB2312"/>
      <w:sz w:val="24"/>
    </w:rPr>
  </w:style>
  <w:style w:type="paragraph" w:customStyle="1" w:styleId="124">
    <w:name w:val="Body Text Indent"/>
    <w:basedOn w:val="1"/>
    <w:qFormat/>
    <w:uiPriority w:val="0"/>
    <w:pPr>
      <w:spacing w:line="200" w:lineRule="exact"/>
      <w:ind w:firstLine="301"/>
    </w:pPr>
    <w:rPr>
      <w:rFonts w:ascii="宋体" w:hAnsi="Courier New"/>
      <w:spacing w:val="-4"/>
      <w:sz w:val="18"/>
      <w:szCs w:val="20"/>
    </w:rPr>
  </w:style>
  <w:style w:type="paragraph" w:customStyle="1" w:styleId="125">
    <w:name w:val="Body Text 21"/>
    <w:basedOn w:val="1"/>
    <w:next w:val="1"/>
    <w:qFormat/>
    <w:uiPriority w:val="0"/>
    <w:pPr>
      <w:widowControl/>
      <w:spacing w:line="300" w:lineRule="auto"/>
      <w:jc w:val="center"/>
    </w:pPr>
    <w:rPr>
      <w:rFonts w:ascii="宋体"/>
      <w:color w:val="000000"/>
      <w:sz w:val="24"/>
      <w:szCs w:val="20"/>
    </w:rPr>
  </w:style>
  <w:style w:type="paragraph" w:customStyle="1" w:styleId="126">
    <w:name w:val="List Paragraph1"/>
    <w:basedOn w:val="1"/>
    <w:qFormat/>
    <w:uiPriority w:val="0"/>
    <w:pPr>
      <w:ind w:firstLine="420" w:firstLineChars="200"/>
    </w:pPr>
    <w:rPr>
      <w:rFonts w:ascii="Calibri" w:hAnsi="Calibri"/>
      <w:szCs w:val="22"/>
    </w:rPr>
  </w:style>
  <w:style w:type="paragraph" w:customStyle="1" w:styleId="127">
    <w:name w:val="标题 11"/>
    <w:basedOn w:val="1"/>
    <w:next w:val="1"/>
    <w:qFormat/>
    <w:uiPriority w:val="0"/>
    <w:pPr>
      <w:spacing w:line="480" w:lineRule="auto"/>
      <w:jc w:val="center"/>
      <w:outlineLvl w:val="0"/>
    </w:pPr>
    <w:rPr>
      <w:b/>
      <w:kern w:val="44"/>
      <w:sz w:val="36"/>
      <w:szCs w:val="20"/>
    </w:rPr>
  </w:style>
  <w:style w:type="character" w:customStyle="1" w:styleId="128">
    <w:name w:val="未处理的提及"/>
    <w:unhideWhenUsed/>
    <w:qFormat/>
    <w:uiPriority w:val="99"/>
    <w:rPr>
      <w:color w:val="808080"/>
      <w:shd w:val="clear" w:color="auto" w:fill="E6E6E6"/>
    </w:rPr>
  </w:style>
  <w:style w:type="paragraph" w:customStyle="1" w:styleId="129">
    <w:name w:val="_Style 124"/>
    <w:basedOn w:val="18"/>
    <w:next w:val="43"/>
    <w:link w:val="130"/>
    <w:qFormat/>
    <w:uiPriority w:val="0"/>
    <w:pPr>
      <w:spacing w:after="120"/>
      <w:ind w:left="420" w:leftChars="200" w:firstLine="420" w:firstLineChars="200"/>
    </w:pPr>
    <w:rPr>
      <w:sz w:val="21"/>
      <w:szCs w:val="20"/>
    </w:rPr>
  </w:style>
  <w:style w:type="character" w:customStyle="1" w:styleId="130">
    <w:name w:val="正文首行缩进 2 字符"/>
    <w:link w:val="129"/>
    <w:qFormat/>
    <w:uiPriority w:val="0"/>
    <w:rPr>
      <w:kern w:val="2"/>
      <w:sz w:val="21"/>
    </w:rPr>
  </w:style>
  <w:style w:type="paragraph" w:customStyle="1" w:styleId="131">
    <w:name w:val="样式 标题 1 + 四号 加粗"/>
    <w:basedOn w:val="3"/>
    <w:qFormat/>
    <w:uiPriority w:val="0"/>
    <w:pPr>
      <w:keepNext w:val="0"/>
      <w:keepLines w:val="0"/>
      <w:spacing w:before="66" w:after="0" w:line="240" w:lineRule="auto"/>
    </w:pPr>
    <w:rPr>
      <w:rFonts w:ascii="宋体" w:hAnsi="宋体" w:eastAsia="黑体" w:cs="宋体"/>
      <w:b w:val="0"/>
      <w:kern w:val="2"/>
      <w:sz w:val="24"/>
      <w:szCs w:val="24"/>
      <w:lang w:val="zh-CN" w:bidi="zh-CN"/>
    </w:rPr>
  </w:style>
  <w:style w:type="paragraph" w:customStyle="1" w:styleId="132">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133">
    <w:name w:val="Table Paragraph"/>
    <w:basedOn w:val="1"/>
    <w:qFormat/>
    <w:uiPriority w:val="1"/>
    <w:pPr>
      <w:jc w:val="left"/>
    </w:pPr>
    <w:rPr>
      <w:rFonts w:ascii="宋体" w:hAnsi="宋体" w:cs="宋体"/>
      <w:kern w:val="0"/>
      <w:sz w:val="22"/>
      <w:szCs w:val="22"/>
      <w:lang w:eastAsia="en-US"/>
    </w:rPr>
  </w:style>
  <w:style w:type="paragraph" w:customStyle="1" w:styleId="134">
    <w:name w:val="Plain Text"/>
    <w:basedOn w:val="1"/>
    <w:qFormat/>
    <w:uiPriority w:val="0"/>
    <w:rPr>
      <w:rFonts w:ascii="宋体" w:hAnsi="Courier New"/>
      <w:kern w:val="0"/>
      <w:sz w:val="20"/>
      <w:szCs w:val="21"/>
    </w:rPr>
  </w:style>
  <w:style w:type="paragraph" w:customStyle="1" w:styleId="135">
    <w:name w:val="表格文字"/>
    <w:basedOn w:val="1"/>
    <w:next w:val="17"/>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36">
    <w:name w:val="正文_0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28313</Words>
  <Characters>29337</Characters>
  <Lines>79</Lines>
  <Paragraphs>22</Paragraphs>
  <TotalTime>58</TotalTime>
  <ScaleCrop>false</ScaleCrop>
  <LinksUpToDate>false</LinksUpToDate>
  <CharactersWithSpaces>32085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2024-04-15T08:09:00Z</dcterms:created>
  <dc:creator>无</dc:creator>
  <cp:lastModifiedBy>王维凯</cp:lastModifiedBy>
  <cp:lastPrinted>2025-02-07T10:29:00Z</cp:lastPrinted>
  <dcterms:modified xsi:type="dcterms:W3CDTF">2025-02-20T07:53:10Z</dcterms:modified>
  <dc:title>无</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75E84D7670EF4BC09998E6D1766FE18D</vt:lpwstr>
  </property>
</Properties>
</file>