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33690">
      <w:pPr>
        <w:spacing w:line="360" w:lineRule="auto"/>
        <w:ind w:left="210" w:leftChars="100"/>
        <w:jc w:val="center"/>
        <w:rPr>
          <w:rFonts w:hint="eastAsia" w:ascii="宋体" w:hAnsi="宋体" w:cs="宋体"/>
          <w:color w:val="auto"/>
          <w:w w:val="80"/>
          <w:sz w:val="52"/>
          <w:szCs w:val="52"/>
          <w:highlight w:val="none"/>
          <w:lang w:bidi="th-TH"/>
        </w:rPr>
      </w:pPr>
      <w:bookmarkStart w:id="0" w:name="_Hlk49184772"/>
    </w:p>
    <w:p w14:paraId="2A8F5502">
      <w:pPr>
        <w:pStyle w:val="43"/>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cs="宋体"/>
          <w:color w:val="auto"/>
          <w:highlight w:val="none"/>
        </w:rPr>
      </w:pPr>
    </w:p>
    <w:p w14:paraId="093BD6DD">
      <w:pPr>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val="en-US" w:eastAsia="zh-CN"/>
        </w:rPr>
        <w:t>浦江县交投贸易有限公司2024年-2025年石灰岩采购项目</w:t>
      </w:r>
    </w:p>
    <w:p w14:paraId="2C4BDC95">
      <w:pPr>
        <w:rPr>
          <w:rFonts w:hint="eastAsia" w:ascii="宋体" w:hAnsi="宋体" w:cs="宋体"/>
          <w:b/>
          <w:bCs/>
          <w:color w:val="auto"/>
          <w:sz w:val="48"/>
          <w:szCs w:val="48"/>
          <w:highlight w:val="none"/>
          <w:lang w:eastAsia="zh-CN"/>
        </w:rPr>
      </w:pPr>
    </w:p>
    <w:p w14:paraId="18EEA17E">
      <w:pPr>
        <w:spacing w:line="360" w:lineRule="auto"/>
        <w:jc w:val="center"/>
        <w:rPr>
          <w:rFonts w:hint="eastAsia" w:ascii="宋体" w:hAnsi="宋体" w:cs="宋体"/>
          <w:color w:val="auto"/>
          <w:spacing w:val="40"/>
          <w:w w:val="80"/>
          <w:sz w:val="96"/>
          <w:szCs w:val="96"/>
          <w:highlight w:val="none"/>
          <w:lang w:bidi="th-TH"/>
        </w:rPr>
      </w:pPr>
    </w:p>
    <w:p w14:paraId="6AEED119">
      <w:pPr>
        <w:spacing w:line="360" w:lineRule="auto"/>
        <w:jc w:val="center"/>
        <w:rPr>
          <w:rFonts w:hint="eastAsia" w:ascii="宋体" w:hAnsi="宋体" w:cs="宋体"/>
          <w:color w:val="auto"/>
          <w:spacing w:val="40"/>
          <w:w w:val="80"/>
          <w:sz w:val="96"/>
          <w:szCs w:val="96"/>
          <w:highlight w:val="none"/>
          <w:lang w:bidi="th-TH"/>
        </w:rPr>
      </w:pPr>
      <w:bookmarkStart w:id="1" w:name="OLE_LINK7"/>
      <w:r>
        <w:rPr>
          <w:rFonts w:hint="eastAsia" w:ascii="宋体" w:hAnsi="宋体" w:cs="宋体"/>
          <w:color w:val="auto"/>
          <w:spacing w:val="40"/>
          <w:w w:val="80"/>
          <w:sz w:val="96"/>
          <w:szCs w:val="96"/>
          <w:highlight w:val="none"/>
          <w:lang w:bidi="th-TH"/>
        </w:rPr>
        <w:t>公开招标采购文件</w:t>
      </w:r>
    </w:p>
    <w:p w14:paraId="084FA372">
      <w:pPr>
        <w:spacing w:line="360" w:lineRule="auto"/>
        <w:jc w:val="center"/>
        <w:rPr>
          <w:rFonts w:hint="eastAsia" w:ascii="宋体" w:hAnsi="宋体" w:eastAsia="宋体" w:cs="宋体"/>
          <w:color w:val="auto"/>
          <w:spacing w:val="40"/>
          <w:w w:val="80"/>
          <w:sz w:val="80"/>
          <w:szCs w:val="80"/>
          <w:highlight w:val="none"/>
          <w:lang w:val="en-US" w:eastAsia="zh-CN" w:bidi="th-TH"/>
        </w:rPr>
      </w:pPr>
      <w:r>
        <w:rPr>
          <w:rFonts w:hint="eastAsia" w:ascii="宋体" w:hAnsi="宋体" w:cs="宋体"/>
          <w:color w:val="auto"/>
          <w:spacing w:val="40"/>
          <w:w w:val="80"/>
          <w:sz w:val="80"/>
          <w:szCs w:val="80"/>
          <w:highlight w:val="none"/>
          <w:lang w:val="en-US" w:eastAsia="zh-CN" w:bidi="th-TH"/>
        </w:rPr>
        <w:t>（第二次）</w:t>
      </w:r>
    </w:p>
    <w:bookmarkEnd w:id="1"/>
    <w:p w14:paraId="301686BD">
      <w:pPr>
        <w:jc w:val="center"/>
        <w:rPr>
          <w:rFonts w:hint="eastAsia" w:ascii="宋体" w:hAnsi="宋体" w:cs="宋体"/>
          <w:b/>
          <w:color w:val="auto"/>
          <w:szCs w:val="84"/>
          <w:highlight w:val="none"/>
        </w:rPr>
      </w:pPr>
    </w:p>
    <w:p w14:paraId="31CF8499">
      <w:pPr>
        <w:spacing w:line="360" w:lineRule="auto"/>
        <w:jc w:val="center"/>
        <w:outlineLvl w:val="0"/>
        <w:rPr>
          <w:rFonts w:hint="default" w:ascii="宋体" w:hAnsi="宋体" w:eastAsia="宋体" w:cs="宋体"/>
          <w:b/>
          <w:bCs/>
          <w:color w:val="auto"/>
          <w:w w:val="80"/>
          <w:sz w:val="36"/>
          <w:szCs w:val="36"/>
          <w:highlight w:val="none"/>
          <w:lang w:val="en-US" w:eastAsia="zh-CN" w:bidi="th-TH"/>
        </w:rPr>
      </w:pPr>
      <w:bookmarkStart w:id="2" w:name="_Toc9066"/>
      <w:bookmarkStart w:id="3" w:name="_Toc27182"/>
      <w:r>
        <w:rPr>
          <w:rFonts w:hint="eastAsia" w:ascii="宋体" w:hAnsi="宋体" w:cs="宋体"/>
          <w:b/>
          <w:bCs/>
          <w:color w:val="auto"/>
          <w:w w:val="80"/>
          <w:sz w:val="36"/>
          <w:szCs w:val="36"/>
          <w:highlight w:val="none"/>
          <w:lang w:bidi="th-TH"/>
        </w:rPr>
        <w:t>项目编号：</w:t>
      </w:r>
      <w:bookmarkEnd w:id="2"/>
      <w:bookmarkEnd w:id="3"/>
      <w:r>
        <w:rPr>
          <w:rFonts w:hint="eastAsia" w:ascii="宋体" w:hAnsi="宋体" w:cs="宋体"/>
          <w:b/>
          <w:bCs/>
          <w:color w:val="auto"/>
          <w:w w:val="80"/>
          <w:sz w:val="36"/>
          <w:szCs w:val="36"/>
          <w:highlight w:val="none"/>
          <w:lang w:eastAsia="zh-CN" w:bidi="th-TH"/>
        </w:rPr>
        <w:t>PJCQGK(JTMY)2024-1030A</w:t>
      </w:r>
      <w:r>
        <w:rPr>
          <w:rFonts w:hint="eastAsia" w:ascii="宋体" w:hAnsi="宋体" w:cs="宋体"/>
          <w:b/>
          <w:bCs/>
          <w:color w:val="auto"/>
          <w:w w:val="80"/>
          <w:sz w:val="36"/>
          <w:szCs w:val="36"/>
          <w:highlight w:val="none"/>
          <w:lang w:val="en-US" w:eastAsia="zh-CN" w:bidi="th-TH"/>
        </w:rPr>
        <w:t xml:space="preserve"> </w:t>
      </w:r>
    </w:p>
    <w:p w14:paraId="2F80D79F">
      <w:pPr>
        <w:pStyle w:val="27"/>
        <w:ind w:left="5250"/>
        <w:rPr>
          <w:rFonts w:hint="eastAsia" w:ascii="宋体" w:hAnsi="宋体" w:cs="宋体"/>
          <w:color w:val="auto"/>
          <w:szCs w:val="28"/>
          <w:highlight w:val="none"/>
        </w:rPr>
      </w:pPr>
      <w:r>
        <w:rPr>
          <w:rFonts w:hint="eastAsia" w:ascii="宋体" w:hAnsi="宋体" w:cs="宋体"/>
          <w:color w:val="auto"/>
          <w:highlight w:val="none"/>
        </w:rPr>
        <w:t xml:space="preserve">      </w:t>
      </w:r>
    </w:p>
    <w:p w14:paraId="6D7C966B">
      <w:pPr>
        <w:rPr>
          <w:rFonts w:hint="eastAsia" w:ascii="宋体" w:hAnsi="宋体" w:cs="宋体"/>
          <w:b/>
          <w:color w:val="auto"/>
          <w:highlight w:val="none"/>
        </w:rPr>
      </w:pPr>
    </w:p>
    <w:p w14:paraId="67654BEA">
      <w:pPr>
        <w:rPr>
          <w:rFonts w:hint="eastAsia" w:ascii="宋体" w:hAnsi="宋体" w:cs="宋体"/>
          <w:b/>
          <w:color w:val="auto"/>
          <w:highlight w:val="none"/>
        </w:rPr>
      </w:pPr>
    </w:p>
    <w:p w14:paraId="7048183C">
      <w:pPr>
        <w:pStyle w:val="20"/>
        <w:rPr>
          <w:rFonts w:hint="eastAsia" w:ascii="宋体" w:hAnsi="宋体" w:cs="宋体"/>
          <w:b/>
          <w:color w:val="auto"/>
          <w:highlight w:val="none"/>
        </w:rPr>
      </w:pPr>
    </w:p>
    <w:p w14:paraId="7B565817">
      <w:pPr>
        <w:pStyle w:val="20"/>
        <w:rPr>
          <w:rFonts w:hint="eastAsia" w:ascii="宋体" w:hAnsi="宋体" w:cs="宋体"/>
          <w:b/>
          <w:color w:val="auto"/>
          <w:highlight w:val="none"/>
        </w:rPr>
      </w:pPr>
    </w:p>
    <w:p w14:paraId="7E9214F4">
      <w:pPr>
        <w:pStyle w:val="43"/>
        <w:rPr>
          <w:rFonts w:hint="eastAsia"/>
          <w:color w:val="auto"/>
          <w:highlight w:val="none"/>
        </w:rPr>
      </w:pPr>
    </w:p>
    <w:p w14:paraId="1CE25667">
      <w:pPr>
        <w:rPr>
          <w:rFonts w:hint="eastAsia" w:ascii="宋体" w:hAnsi="宋体" w:cs="宋体"/>
          <w:b/>
          <w:color w:val="auto"/>
          <w:highlight w:val="none"/>
        </w:rPr>
      </w:pPr>
    </w:p>
    <w:p w14:paraId="61D95746">
      <w:pPr>
        <w:rPr>
          <w:rFonts w:hint="eastAsia" w:ascii="宋体" w:hAnsi="宋体" w:cs="宋体"/>
          <w:b/>
          <w:color w:val="auto"/>
          <w:highlight w:val="none"/>
        </w:rPr>
      </w:pPr>
    </w:p>
    <w:tbl>
      <w:tblPr>
        <w:tblStyle w:val="46"/>
        <w:tblW w:w="0" w:type="auto"/>
        <w:jc w:val="center"/>
        <w:tblLayout w:type="fixed"/>
        <w:tblCellMar>
          <w:top w:w="0" w:type="dxa"/>
          <w:left w:w="108" w:type="dxa"/>
          <w:bottom w:w="0" w:type="dxa"/>
          <w:right w:w="108" w:type="dxa"/>
        </w:tblCellMar>
      </w:tblPr>
      <w:tblGrid>
        <w:gridCol w:w="2032"/>
        <w:gridCol w:w="308"/>
        <w:gridCol w:w="4782"/>
      </w:tblGrid>
      <w:tr w14:paraId="42D4F10D">
        <w:tblPrEx>
          <w:tblCellMar>
            <w:top w:w="0" w:type="dxa"/>
            <w:left w:w="108" w:type="dxa"/>
            <w:bottom w:w="0" w:type="dxa"/>
            <w:right w:w="108" w:type="dxa"/>
          </w:tblCellMar>
        </w:tblPrEx>
        <w:trPr>
          <w:trHeight w:val="680" w:hRule="atLeast"/>
          <w:jc w:val="center"/>
        </w:trPr>
        <w:tc>
          <w:tcPr>
            <w:tcW w:w="2032" w:type="dxa"/>
            <w:noWrap w:val="0"/>
            <w:vAlign w:val="center"/>
          </w:tcPr>
          <w:p w14:paraId="7C97EA10">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采购人</w:t>
            </w:r>
          </w:p>
        </w:tc>
        <w:tc>
          <w:tcPr>
            <w:tcW w:w="308" w:type="dxa"/>
            <w:noWrap w:val="0"/>
            <w:vAlign w:val="center"/>
          </w:tcPr>
          <w:p w14:paraId="2DF4F1D7">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w:t>
            </w:r>
          </w:p>
        </w:tc>
        <w:tc>
          <w:tcPr>
            <w:tcW w:w="4782" w:type="dxa"/>
            <w:noWrap w:val="0"/>
            <w:vAlign w:val="center"/>
          </w:tcPr>
          <w:p w14:paraId="3628D7F3">
            <w:pPr>
              <w:snapToGrid w:val="0"/>
              <w:jc w:val="distribute"/>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浦江县交投贸易有限公司</w:t>
            </w:r>
          </w:p>
        </w:tc>
      </w:tr>
      <w:tr w14:paraId="667529D4">
        <w:tblPrEx>
          <w:tblCellMar>
            <w:top w:w="0" w:type="dxa"/>
            <w:left w:w="108" w:type="dxa"/>
            <w:bottom w:w="0" w:type="dxa"/>
            <w:right w:w="108" w:type="dxa"/>
          </w:tblCellMar>
        </w:tblPrEx>
        <w:trPr>
          <w:trHeight w:val="297" w:hRule="atLeast"/>
          <w:jc w:val="center"/>
        </w:trPr>
        <w:tc>
          <w:tcPr>
            <w:tcW w:w="2032" w:type="dxa"/>
            <w:noWrap w:val="0"/>
            <w:vAlign w:val="center"/>
          </w:tcPr>
          <w:p w14:paraId="1ED3FC5B">
            <w:pPr>
              <w:snapToGrid w:val="0"/>
              <w:jc w:val="distribute"/>
              <w:rPr>
                <w:rFonts w:hint="eastAsia" w:ascii="宋体" w:hAnsi="宋体" w:cs="宋体"/>
                <w:color w:val="auto"/>
                <w:szCs w:val="21"/>
                <w:highlight w:val="none"/>
              </w:rPr>
            </w:pPr>
          </w:p>
        </w:tc>
        <w:tc>
          <w:tcPr>
            <w:tcW w:w="308" w:type="dxa"/>
            <w:noWrap w:val="0"/>
            <w:vAlign w:val="center"/>
          </w:tcPr>
          <w:p w14:paraId="5C7B255B">
            <w:pPr>
              <w:snapToGrid w:val="0"/>
              <w:jc w:val="distribute"/>
              <w:rPr>
                <w:rFonts w:hint="eastAsia" w:ascii="宋体" w:hAnsi="宋体" w:cs="宋体"/>
                <w:color w:val="auto"/>
                <w:szCs w:val="21"/>
                <w:highlight w:val="none"/>
              </w:rPr>
            </w:pPr>
          </w:p>
        </w:tc>
        <w:tc>
          <w:tcPr>
            <w:tcW w:w="4782" w:type="dxa"/>
            <w:noWrap w:val="0"/>
            <w:vAlign w:val="center"/>
          </w:tcPr>
          <w:p w14:paraId="22E44C39">
            <w:pPr>
              <w:snapToGrid w:val="0"/>
              <w:jc w:val="distribute"/>
              <w:rPr>
                <w:rFonts w:hint="eastAsia" w:ascii="宋体" w:hAnsi="宋体" w:cs="宋体"/>
                <w:color w:val="auto"/>
                <w:szCs w:val="21"/>
                <w:highlight w:val="none"/>
              </w:rPr>
            </w:pPr>
          </w:p>
        </w:tc>
      </w:tr>
      <w:tr w14:paraId="6DFBE92A">
        <w:tblPrEx>
          <w:tblCellMar>
            <w:top w:w="0" w:type="dxa"/>
            <w:left w:w="108" w:type="dxa"/>
            <w:bottom w:w="0" w:type="dxa"/>
            <w:right w:w="108" w:type="dxa"/>
          </w:tblCellMar>
        </w:tblPrEx>
        <w:trPr>
          <w:trHeight w:val="680" w:hRule="atLeast"/>
          <w:jc w:val="center"/>
        </w:trPr>
        <w:tc>
          <w:tcPr>
            <w:tcW w:w="2032" w:type="dxa"/>
            <w:noWrap w:val="0"/>
            <w:vAlign w:val="center"/>
          </w:tcPr>
          <w:p w14:paraId="57A512D8">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采购代理机构</w:t>
            </w:r>
          </w:p>
        </w:tc>
        <w:tc>
          <w:tcPr>
            <w:tcW w:w="308" w:type="dxa"/>
            <w:noWrap w:val="0"/>
            <w:vAlign w:val="center"/>
          </w:tcPr>
          <w:p w14:paraId="32187E78">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w:t>
            </w:r>
          </w:p>
        </w:tc>
        <w:tc>
          <w:tcPr>
            <w:tcW w:w="4782" w:type="dxa"/>
            <w:noWrap w:val="0"/>
            <w:vAlign w:val="center"/>
          </w:tcPr>
          <w:p w14:paraId="4F34C793">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浦江县产权交易有限公司</w:t>
            </w:r>
          </w:p>
        </w:tc>
      </w:tr>
      <w:tr w14:paraId="61973546">
        <w:tblPrEx>
          <w:tblCellMar>
            <w:top w:w="0" w:type="dxa"/>
            <w:left w:w="108" w:type="dxa"/>
            <w:bottom w:w="0" w:type="dxa"/>
            <w:right w:w="108" w:type="dxa"/>
          </w:tblCellMar>
        </w:tblPrEx>
        <w:trPr>
          <w:trHeight w:val="680" w:hRule="atLeast"/>
          <w:jc w:val="center"/>
        </w:trPr>
        <w:tc>
          <w:tcPr>
            <w:tcW w:w="7122" w:type="dxa"/>
            <w:gridSpan w:val="3"/>
            <w:noWrap w:val="0"/>
            <w:vAlign w:val="bottom"/>
          </w:tcPr>
          <w:p w14:paraId="78E6C9EE">
            <w:pPr>
              <w:snapToGrid w:val="0"/>
              <w:jc w:val="center"/>
              <w:rPr>
                <w:rFonts w:hint="eastAsia" w:ascii="宋体" w:hAnsi="宋体" w:cs="宋体"/>
                <w:color w:val="auto"/>
                <w:sz w:val="30"/>
                <w:szCs w:val="30"/>
                <w:highlight w:val="none"/>
              </w:rPr>
            </w:pPr>
            <w:r>
              <w:rPr>
                <w:rFonts w:hint="eastAsia" w:ascii="宋体" w:hAnsi="宋体" w:cs="宋体"/>
                <w:color w:val="auto"/>
                <w:sz w:val="30"/>
                <w:szCs w:val="30"/>
                <w:highlight w:val="none"/>
                <w:lang w:eastAsia="zh-CN"/>
              </w:rPr>
              <w:t>202</w:t>
            </w:r>
            <w:r>
              <w:rPr>
                <w:rFonts w:hint="eastAsia" w:ascii="宋体" w:hAnsi="宋体" w:cs="宋体"/>
                <w:color w:val="auto"/>
                <w:sz w:val="30"/>
                <w:szCs w:val="30"/>
                <w:highlight w:val="none"/>
                <w:lang w:val="en-US" w:eastAsia="zh-CN"/>
              </w:rPr>
              <w:t>4</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11</w:t>
            </w:r>
            <w:r>
              <w:rPr>
                <w:rFonts w:hint="eastAsia" w:ascii="宋体" w:hAnsi="宋体" w:cs="宋体"/>
                <w:color w:val="auto"/>
                <w:sz w:val="30"/>
                <w:szCs w:val="30"/>
                <w:highlight w:val="none"/>
              </w:rPr>
              <w:t>月</w:t>
            </w:r>
          </w:p>
        </w:tc>
      </w:tr>
    </w:tbl>
    <w:p w14:paraId="19024A53">
      <w:pPr>
        <w:pStyle w:val="25"/>
        <w:jc w:val="center"/>
        <w:rPr>
          <w:rFonts w:hint="eastAsia" w:ascii="宋体" w:hAnsi="宋体" w:eastAsia="宋体" w:cs="宋体"/>
          <w:b/>
          <w:color w:val="auto"/>
          <w:sz w:val="28"/>
          <w:szCs w:val="28"/>
          <w:highlight w:val="none"/>
        </w:rPr>
        <w:sectPr>
          <w:footerReference r:id="rId3" w:type="first"/>
          <w:pgSz w:w="11906" w:h="16838"/>
          <w:pgMar w:top="1418" w:right="1588" w:bottom="1418" w:left="1588" w:header="851" w:footer="992" w:gutter="0"/>
          <w:pgNumType w:start="0"/>
          <w:cols w:space="720" w:num="1"/>
          <w:docGrid w:type="lines" w:linePitch="312" w:charSpace="0"/>
        </w:sectPr>
      </w:pPr>
    </w:p>
    <w:p w14:paraId="7CD64C9E">
      <w:pPr>
        <w:pStyle w:val="25"/>
        <w:jc w:val="center"/>
        <w:rPr>
          <w:rFonts w:hint="eastAsia" w:ascii="宋体" w:hAnsi="宋体" w:eastAsia="宋体" w:cs="宋体"/>
          <w:b/>
          <w:color w:val="auto"/>
          <w:sz w:val="28"/>
          <w:szCs w:val="28"/>
          <w:highlight w:val="none"/>
        </w:rPr>
      </w:pPr>
    </w:p>
    <w:p w14:paraId="39396D38">
      <w:pPr>
        <w:pStyle w:val="25"/>
        <w:jc w:val="center"/>
        <w:rPr>
          <w:rFonts w:hint="eastAsia" w:ascii="宋体" w:hAnsi="宋体" w:eastAsia="宋体" w:cs="宋体"/>
          <w:b/>
          <w:color w:val="auto"/>
          <w:sz w:val="28"/>
          <w:szCs w:val="28"/>
          <w:highlight w:val="none"/>
        </w:rPr>
      </w:pPr>
    </w:p>
    <w:p w14:paraId="3393FF56">
      <w:pPr>
        <w:pStyle w:val="25"/>
        <w:jc w:val="center"/>
        <w:rPr>
          <w:rFonts w:hint="eastAsia" w:ascii="宋体" w:hAnsi="宋体" w:eastAsia="宋体" w:cs="宋体"/>
          <w:b/>
          <w:color w:val="auto"/>
          <w:sz w:val="28"/>
          <w:szCs w:val="28"/>
          <w:highlight w:val="none"/>
        </w:rPr>
      </w:pPr>
    </w:p>
    <w:p w14:paraId="6C42CFF7">
      <w:pPr>
        <w:pStyle w:val="25"/>
        <w:jc w:val="center"/>
        <w:rPr>
          <w:rFonts w:hint="eastAsia" w:ascii="宋体" w:hAnsi="宋体" w:eastAsia="宋体" w:cs="宋体"/>
          <w:b/>
          <w:color w:val="auto"/>
          <w:sz w:val="28"/>
          <w:szCs w:val="28"/>
          <w:highlight w:val="none"/>
        </w:rPr>
      </w:pPr>
    </w:p>
    <w:p w14:paraId="22805FE8">
      <w:pPr>
        <w:pStyle w:val="25"/>
        <w:jc w:val="center"/>
        <w:rPr>
          <w:rFonts w:hint="eastAsia" w:ascii="宋体" w:hAnsi="宋体" w:eastAsia="宋体" w:cs="宋体"/>
          <w:b/>
          <w:color w:val="auto"/>
          <w:sz w:val="28"/>
          <w:szCs w:val="28"/>
          <w:highlight w:val="none"/>
        </w:rPr>
      </w:pPr>
    </w:p>
    <w:p w14:paraId="53049F1B">
      <w:pPr>
        <w:pStyle w:val="25"/>
        <w:jc w:val="center"/>
        <w:rPr>
          <w:rFonts w:hint="eastAsia" w:ascii="宋体" w:hAnsi="宋体" w:eastAsia="宋体" w:cs="宋体"/>
          <w:b/>
          <w:color w:val="auto"/>
          <w:sz w:val="28"/>
          <w:szCs w:val="28"/>
          <w:highlight w:val="none"/>
        </w:rPr>
      </w:pPr>
    </w:p>
    <w:p w14:paraId="73892E78">
      <w:pPr>
        <w:pStyle w:val="25"/>
        <w:jc w:val="center"/>
        <w:rPr>
          <w:rFonts w:hint="eastAsia" w:ascii="宋体" w:hAnsi="宋体" w:eastAsia="宋体" w:cs="宋体"/>
          <w:b/>
          <w:color w:val="auto"/>
          <w:sz w:val="28"/>
          <w:szCs w:val="28"/>
          <w:highlight w:val="none"/>
        </w:rPr>
      </w:pPr>
    </w:p>
    <w:p w14:paraId="06650F5E">
      <w:pPr>
        <w:pStyle w:val="25"/>
        <w:jc w:val="center"/>
        <w:rPr>
          <w:rFonts w:hint="eastAsia" w:ascii="宋体" w:hAnsi="宋体" w:eastAsia="宋体" w:cs="宋体"/>
          <w:b/>
          <w:color w:val="auto"/>
          <w:sz w:val="28"/>
          <w:szCs w:val="28"/>
          <w:highlight w:val="none"/>
        </w:rPr>
      </w:pPr>
    </w:p>
    <w:p w14:paraId="000AB84F">
      <w:pPr>
        <w:pStyle w:val="25"/>
        <w:jc w:val="center"/>
        <w:rPr>
          <w:rFonts w:hint="eastAsia" w:ascii="宋体" w:hAnsi="宋体" w:eastAsia="宋体" w:cs="宋体"/>
          <w:b/>
          <w:color w:val="auto"/>
          <w:sz w:val="28"/>
          <w:szCs w:val="28"/>
          <w:highlight w:val="none"/>
        </w:rPr>
      </w:pPr>
    </w:p>
    <w:p w14:paraId="40E767B9">
      <w:pPr>
        <w:pStyle w:val="25"/>
        <w:jc w:val="center"/>
        <w:rPr>
          <w:rFonts w:hint="eastAsia" w:ascii="宋体" w:hAnsi="宋体" w:eastAsia="宋体" w:cs="宋体"/>
          <w:b/>
          <w:color w:val="auto"/>
          <w:sz w:val="28"/>
          <w:szCs w:val="28"/>
          <w:highlight w:val="none"/>
        </w:rPr>
      </w:pPr>
    </w:p>
    <w:p w14:paraId="32B0DA97">
      <w:pPr>
        <w:pStyle w:val="25"/>
        <w:jc w:val="center"/>
        <w:rPr>
          <w:rFonts w:hint="eastAsia" w:ascii="宋体" w:hAnsi="宋体" w:eastAsia="宋体" w:cs="宋体"/>
          <w:b/>
          <w:color w:val="auto"/>
          <w:sz w:val="28"/>
          <w:szCs w:val="28"/>
          <w:highlight w:val="none"/>
        </w:rPr>
      </w:pPr>
    </w:p>
    <w:p w14:paraId="01768068">
      <w:pPr>
        <w:pStyle w:val="25"/>
        <w:jc w:val="center"/>
        <w:rPr>
          <w:rFonts w:hint="eastAsia" w:ascii="宋体" w:hAnsi="宋体" w:eastAsia="宋体" w:cs="宋体"/>
          <w:b/>
          <w:color w:val="auto"/>
          <w:sz w:val="28"/>
          <w:szCs w:val="28"/>
          <w:highlight w:val="none"/>
        </w:rPr>
      </w:pPr>
    </w:p>
    <w:p w14:paraId="6D7484AA">
      <w:pPr>
        <w:pStyle w:val="25"/>
        <w:jc w:val="center"/>
        <w:rPr>
          <w:rFonts w:hint="eastAsia" w:ascii="宋体" w:hAnsi="宋体" w:eastAsia="宋体" w:cs="宋体"/>
          <w:b/>
          <w:color w:val="auto"/>
          <w:sz w:val="28"/>
          <w:szCs w:val="28"/>
          <w:highlight w:val="none"/>
        </w:rPr>
      </w:pPr>
    </w:p>
    <w:p w14:paraId="4F0E0455">
      <w:pPr>
        <w:pStyle w:val="25"/>
        <w:jc w:val="center"/>
        <w:rPr>
          <w:rFonts w:hint="eastAsia" w:ascii="宋体" w:hAnsi="宋体" w:eastAsia="宋体" w:cs="宋体"/>
          <w:b/>
          <w:color w:val="auto"/>
          <w:sz w:val="28"/>
          <w:szCs w:val="28"/>
          <w:highlight w:val="none"/>
        </w:rPr>
      </w:pPr>
    </w:p>
    <w:p w14:paraId="05FFF08B">
      <w:pPr>
        <w:pStyle w:val="25"/>
        <w:jc w:val="center"/>
        <w:rPr>
          <w:rFonts w:hint="eastAsia" w:ascii="宋体" w:hAnsi="宋体" w:eastAsia="宋体" w:cs="宋体"/>
          <w:b/>
          <w:color w:val="auto"/>
          <w:sz w:val="28"/>
          <w:szCs w:val="28"/>
          <w:highlight w:val="none"/>
        </w:rPr>
      </w:pPr>
    </w:p>
    <w:p w14:paraId="553575F5">
      <w:pPr>
        <w:pStyle w:val="25"/>
        <w:jc w:val="center"/>
        <w:rPr>
          <w:rFonts w:hint="eastAsia" w:ascii="宋体" w:hAnsi="宋体" w:eastAsia="宋体" w:cs="宋体"/>
          <w:b/>
          <w:color w:val="auto"/>
          <w:sz w:val="28"/>
          <w:szCs w:val="28"/>
          <w:highlight w:val="none"/>
        </w:rPr>
      </w:pPr>
    </w:p>
    <w:p w14:paraId="1149DDE3">
      <w:pPr>
        <w:pStyle w:val="25"/>
        <w:jc w:val="center"/>
        <w:rPr>
          <w:rFonts w:hint="eastAsia" w:ascii="宋体" w:hAnsi="宋体" w:eastAsia="宋体" w:cs="宋体"/>
          <w:b/>
          <w:color w:val="auto"/>
          <w:sz w:val="28"/>
          <w:szCs w:val="28"/>
          <w:highlight w:val="none"/>
        </w:rPr>
      </w:pPr>
    </w:p>
    <w:p w14:paraId="42477C23">
      <w:pPr>
        <w:pStyle w:val="25"/>
        <w:jc w:val="center"/>
        <w:rPr>
          <w:rFonts w:hint="eastAsia" w:ascii="宋体" w:hAnsi="宋体" w:eastAsia="宋体" w:cs="宋体"/>
          <w:b/>
          <w:color w:val="auto"/>
          <w:sz w:val="28"/>
          <w:szCs w:val="28"/>
          <w:highlight w:val="none"/>
        </w:rPr>
      </w:pPr>
    </w:p>
    <w:p w14:paraId="52F0A39B">
      <w:pPr>
        <w:pStyle w:val="25"/>
        <w:jc w:val="center"/>
        <w:rPr>
          <w:rFonts w:hint="eastAsia" w:ascii="宋体" w:hAnsi="宋体" w:eastAsia="宋体" w:cs="宋体"/>
          <w:b/>
          <w:color w:val="auto"/>
          <w:sz w:val="28"/>
          <w:szCs w:val="28"/>
          <w:highlight w:val="none"/>
        </w:rPr>
      </w:pPr>
    </w:p>
    <w:p w14:paraId="00C9DF5F">
      <w:pPr>
        <w:pStyle w:val="25"/>
        <w:jc w:val="center"/>
        <w:rPr>
          <w:rFonts w:hint="eastAsia" w:ascii="宋体" w:hAnsi="宋体" w:eastAsia="宋体" w:cs="宋体"/>
          <w:b/>
          <w:color w:val="auto"/>
          <w:sz w:val="28"/>
          <w:szCs w:val="28"/>
          <w:highlight w:val="none"/>
        </w:rPr>
      </w:pPr>
    </w:p>
    <w:p w14:paraId="5037B2E6">
      <w:pPr>
        <w:pStyle w:val="25"/>
        <w:jc w:val="center"/>
        <w:rPr>
          <w:rFonts w:hint="eastAsia" w:ascii="宋体" w:hAnsi="宋体" w:eastAsia="宋体" w:cs="宋体"/>
          <w:b/>
          <w:color w:val="auto"/>
          <w:sz w:val="28"/>
          <w:szCs w:val="28"/>
          <w:highlight w:val="none"/>
        </w:rPr>
      </w:pPr>
    </w:p>
    <w:p w14:paraId="380F3B2A">
      <w:pPr>
        <w:pStyle w:val="25"/>
        <w:jc w:val="center"/>
        <w:rPr>
          <w:rFonts w:hint="eastAsia" w:ascii="宋体" w:hAnsi="宋体" w:eastAsia="宋体" w:cs="宋体"/>
          <w:b/>
          <w:color w:val="auto"/>
          <w:sz w:val="28"/>
          <w:szCs w:val="28"/>
          <w:highlight w:val="none"/>
        </w:rPr>
      </w:pPr>
    </w:p>
    <w:p w14:paraId="0BEF5299">
      <w:pPr>
        <w:pStyle w:val="25"/>
        <w:jc w:val="center"/>
        <w:rPr>
          <w:rFonts w:hint="eastAsia" w:ascii="宋体" w:hAnsi="宋体" w:eastAsia="宋体" w:cs="宋体"/>
          <w:b/>
          <w:color w:val="auto"/>
          <w:sz w:val="32"/>
          <w:szCs w:val="32"/>
          <w:highlight w:val="none"/>
        </w:rPr>
        <w:sectPr>
          <w:footerReference r:id="rId5" w:type="first"/>
          <w:footerReference r:id="rId4" w:type="default"/>
          <w:pgSz w:w="11906" w:h="16838"/>
          <w:pgMar w:top="1418" w:right="1588" w:bottom="1418" w:left="1588" w:header="851" w:footer="992" w:gutter="0"/>
          <w:pgNumType w:start="1"/>
          <w:cols w:space="720" w:num="1"/>
          <w:titlePg/>
          <w:docGrid w:type="lines" w:linePitch="312" w:charSpace="0"/>
        </w:sectPr>
      </w:pPr>
    </w:p>
    <w:sdt>
      <w:sdtPr>
        <w:rPr>
          <w:rFonts w:hint="eastAsia" w:ascii="宋体" w:hAnsi="宋体" w:eastAsia="宋体" w:cs="宋体"/>
          <w:b/>
          <w:color w:val="auto"/>
          <w:sz w:val="36"/>
          <w:szCs w:val="36"/>
          <w:highlight w:val="none"/>
          <w:lang w:val="en-US" w:eastAsia="zh-CN"/>
        </w:rPr>
        <w:id w:val="147457255"/>
        <w15:color w:val="DBDBDB"/>
        <w:docPartObj>
          <w:docPartGallery w:val="Table of Contents"/>
          <w:docPartUnique/>
        </w:docPartObj>
      </w:sdtPr>
      <w:sdtEndPr>
        <w:rPr>
          <w:rFonts w:hint="eastAsia" w:ascii="宋体" w:hAnsi="宋体" w:eastAsia="宋体" w:cs="宋体"/>
          <w:b/>
          <w:color w:val="auto"/>
          <w:kern w:val="2"/>
          <w:sz w:val="30"/>
          <w:szCs w:val="30"/>
          <w:highlight w:val="none"/>
          <w:lang w:val="en-US" w:eastAsia="zh-CN" w:bidi="ar-SA"/>
        </w:rPr>
      </w:sdtEndPr>
      <w:sdtContent>
        <w:p w14:paraId="33F8FF5D">
          <w:pPr>
            <w:pStyle w:val="25"/>
            <w:jc w:val="center"/>
            <w:rPr>
              <w:rFonts w:hint="eastAsia" w:ascii="宋体" w:hAnsi="宋体" w:eastAsia="宋体" w:cs="宋体"/>
              <w:b/>
              <w:color w:val="auto"/>
              <w:sz w:val="36"/>
              <w:szCs w:val="36"/>
              <w:highlight w:val="none"/>
            </w:rPr>
          </w:pPr>
          <w:bookmarkStart w:id="4" w:name="_Toc18250"/>
          <w:bookmarkStart w:id="5" w:name="_Toc19650"/>
          <w:bookmarkStart w:id="6" w:name="_Toc242012824"/>
          <w:bookmarkStart w:id="7" w:name="_Toc7590"/>
          <w:bookmarkStart w:id="8" w:name="_Toc29659"/>
          <w:bookmarkStart w:id="9" w:name="_Toc13838"/>
          <w:r>
            <w:rPr>
              <w:rFonts w:hint="eastAsia" w:ascii="宋体" w:hAnsi="宋体" w:eastAsia="宋体" w:cs="宋体"/>
              <w:b/>
              <w:color w:val="auto"/>
              <w:sz w:val="36"/>
              <w:szCs w:val="36"/>
              <w:highlight w:val="none"/>
            </w:rPr>
            <w:t>目</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14:paraId="17A9443A">
          <w:pPr>
            <w:pStyle w:val="32"/>
            <w:tabs>
              <w:tab w:val="right" w:leader="dot" w:pos="8730"/>
              <w:tab w:val="clear" w:pos="8720"/>
            </w:tabs>
            <w:rPr>
              <w:rFonts w:hint="eastAsia" w:ascii="宋体" w:hAnsi="宋体" w:eastAsia="宋体" w:cs="宋体"/>
              <w:color w:val="auto"/>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"1-1" \h \u </w:instrText>
          </w:r>
          <w:r>
            <w:rPr>
              <w:rFonts w:hint="eastAsia" w:ascii="宋体" w:hAnsi="宋体" w:eastAsia="宋体" w:cs="宋体"/>
              <w:color w:val="auto"/>
              <w:sz w:val="30"/>
              <w:szCs w:val="30"/>
              <w:highlight w:val="none"/>
            </w:rPr>
            <w:fldChar w:fldCharType="separate"/>
          </w:r>
        </w:p>
        <w:p w14:paraId="1A303B6D">
          <w:pPr>
            <w:pStyle w:val="32"/>
            <w:tabs>
              <w:tab w:val="right" w:leader="dot" w:pos="8730"/>
              <w:tab w:val="clear" w:pos="8720"/>
            </w:tabs>
            <w:rPr>
              <w:rFonts w:hint="eastAsia" w:ascii="宋体" w:hAnsi="宋体" w:eastAsia="宋体" w:cs="宋体"/>
              <w:color w:val="auto"/>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_Toc7477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rPr>
            <w:t xml:space="preserve">第一部分 </w:t>
          </w:r>
          <w:r>
            <w:rPr>
              <w:rFonts w:hint="eastAsia" w:ascii="宋体" w:hAnsi="宋体" w:eastAsia="宋体" w:cs="宋体"/>
              <w:color w:val="auto"/>
              <w:sz w:val="30"/>
              <w:szCs w:val="30"/>
              <w:highlight w:val="none"/>
            </w:rPr>
            <w:t>公开招标公告</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_Toc7477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highlight w:val="none"/>
            </w:rPr>
            <w:fldChar w:fldCharType="end"/>
          </w:r>
        </w:p>
        <w:p w14:paraId="5B5412E2">
          <w:pPr>
            <w:pStyle w:val="32"/>
            <w:tabs>
              <w:tab w:val="right" w:leader="dot" w:pos="8730"/>
              <w:tab w:val="clear" w:pos="8720"/>
            </w:tabs>
            <w:rPr>
              <w:rFonts w:hint="eastAsia" w:ascii="宋体" w:hAnsi="宋体" w:eastAsia="宋体" w:cs="宋体"/>
              <w:color w:val="auto"/>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_Toc28834 </w:instrText>
          </w:r>
          <w:r>
            <w:rPr>
              <w:rFonts w:hint="eastAsia" w:ascii="宋体" w:hAnsi="宋体" w:eastAsia="宋体" w:cs="宋体"/>
              <w:color w:val="auto"/>
              <w:sz w:val="30"/>
              <w:szCs w:val="30"/>
              <w:highlight w:val="none"/>
            </w:rPr>
            <w:fldChar w:fldCharType="separate"/>
          </w:r>
          <w:r>
            <w:rPr>
              <w:rFonts w:hint="eastAsia" w:ascii="宋体" w:hAnsi="宋体" w:eastAsia="宋体" w:cs="宋体"/>
              <w:bCs/>
              <w:color w:val="auto"/>
              <w:sz w:val="30"/>
              <w:szCs w:val="30"/>
            </w:rPr>
            <w:t xml:space="preserve">第二部分 </w:t>
          </w:r>
          <w:r>
            <w:rPr>
              <w:rFonts w:hint="eastAsia" w:ascii="宋体" w:hAnsi="宋体" w:eastAsia="宋体" w:cs="宋体"/>
              <w:bCs/>
              <w:color w:val="auto"/>
              <w:sz w:val="30"/>
              <w:szCs w:val="30"/>
              <w:highlight w:val="none"/>
            </w:rPr>
            <w:t>投标须知</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_Toc28834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11</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highlight w:val="none"/>
            </w:rPr>
            <w:fldChar w:fldCharType="end"/>
          </w:r>
        </w:p>
        <w:p w14:paraId="29980650">
          <w:pPr>
            <w:pStyle w:val="32"/>
            <w:tabs>
              <w:tab w:val="right" w:leader="dot" w:pos="8730"/>
              <w:tab w:val="clear" w:pos="8720"/>
            </w:tabs>
            <w:rPr>
              <w:rFonts w:hint="eastAsia" w:ascii="宋体" w:hAnsi="宋体" w:eastAsia="宋体" w:cs="宋体"/>
              <w:color w:val="auto"/>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_Toc11605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第三部分 招标内容及需求</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_Toc11605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25</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highlight w:val="none"/>
            </w:rPr>
            <w:fldChar w:fldCharType="end"/>
          </w:r>
        </w:p>
        <w:p w14:paraId="6C0E4242">
          <w:pPr>
            <w:pStyle w:val="32"/>
            <w:tabs>
              <w:tab w:val="right" w:leader="dot" w:pos="8730"/>
              <w:tab w:val="clear" w:pos="8720"/>
            </w:tabs>
            <w:rPr>
              <w:rFonts w:hint="eastAsia" w:ascii="宋体" w:hAnsi="宋体" w:eastAsia="宋体" w:cs="宋体"/>
              <w:color w:val="auto"/>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_Toc32388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第四部分  合同条款</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_Toc32388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28</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highlight w:val="none"/>
            </w:rPr>
            <w:fldChar w:fldCharType="end"/>
          </w:r>
        </w:p>
        <w:p w14:paraId="1DA3329D">
          <w:pPr>
            <w:pStyle w:val="32"/>
            <w:tabs>
              <w:tab w:val="right" w:leader="dot" w:pos="8730"/>
              <w:tab w:val="clear" w:pos="8720"/>
            </w:tabs>
            <w:rPr>
              <w:rFonts w:hint="eastAsia" w:ascii="宋体" w:hAnsi="宋体" w:eastAsia="宋体" w:cs="宋体"/>
              <w:color w:val="auto"/>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_Toc2707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第五部分  评标办法（最低评标价法）</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_Toc2707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43</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highlight w:val="none"/>
            </w:rPr>
            <w:fldChar w:fldCharType="end"/>
          </w:r>
        </w:p>
        <w:p w14:paraId="28C88D46">
          <w:pPr>
            <w:pStyle w:val="32"/>
            <w:tabs>
              <w:tab w:val="right" w:leader="dot" w:pos="8730"/>
              <w:tab w:val="clear" w:pos="8720"/>
            </w:tabs>
            <w:rPr>
              <w:rFonts w:hint="eastAsia" w:ascii="宋体" w:hAnsi="宋体" w:eastAsia="宋体" w:cs="宋体"/>
              <w:color w:val="auto"/>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_Toc26433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第六部分  投标文件格式</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_Toc26433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45</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highlight w:val="none"/>
            </w:rPr>
            <w:fldChar w:fldCharType="end"/>
          </w:r>
        </w:p>
        <w:p w14:paraId="60534AEF">
          <w:pPr>
            <w:pStyle w:val="32"/>
            <w:tabs>
              <w:tab w:val="right" w:leader="dot" w:pos="8730"/>
              <w:tab w:val="clear" w:pos="8720"/>
            </w:tabs>
            <w:rPr>
              <w:rFonts w:hint="eastAsia" w:ascii="宋体" w:hAnsi="宋体" w:eastAsia="宋体" w:cs="宋体"/>
              <w:color w:val="auto"/>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_Toc3989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kern w:val="2"/>
              <w:sz w:val="30"/>
              <w:szCs w:val="30"/>
              <w:lang w:val="en-US" w:eastAsia="zh-CN" w:bidi="ar-SA"/>
            </w:rPr>
            <w:t xml:space="preserve">第七部分 </w:t>
          </w:r>
          <w:r>
            <w:rPr>
              <w:rFonts w:hint="eastAsia" w:ascii="宋体" w:hAnsi="宋体" w:eastAsia="宋体" w:cs="宋体"/>
              <w:color w:val="auto"/>
              <w:kern w:val="2"/>
              <w:sz w:val="30"/>
              <w:szCs w:val="30"/>
              <w:highlight w:val="none"/>
              <w:lang w:val="en-US" w:eastAsia="zh-CN" w:bidi="ar-SA"/>
            </w:rPr>
            <w:t>其它</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_Toc3989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67</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highlight w:val="none"/>
            </w:rPr>
            <w:fldChar w:fldCharType="end"/>
          </w:r>
        </w:p>
        <w:p w14:paraId="41A3CE10">
          <w:pPr>
            <w:spacing w:line="360" w:lineRule="auto"/>
            <w:jc w:val="center"/>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sz w:val="30"/>
              <w:szCs w:val="30"/>
              <w:highlight w:val="none"/>
            </w:rPr>
            <w:fldChar w:fldCharType="end"/>
          </w:r>
        </w:p>
      </w:sdtContent>
    </w:sdt>
    <w:p w14:paraId="3FF71130">
      <w:pPr>
        <w:spacing w:line="360" w:lineRule="auto"/>
        <w:jc w:val="center"/>
        <w:rPr>
          <w:rFonts w:hint="eastAsia" w:ascii="宋体" w:hAnsi="宋体" w:eastAsia="宋体" w:cs="宋体"/>
          <w:color w:val="auto"/>
          <w:kern w:val="2"/>
          <w:sz w:val="21"/>
          <w:szCs w:val="28"/>
          <w:highlight w:val="none"/>
          <w:lang w:val="en-US" w:eastAsia="zh-CN" w:bidi="ar-SA"/>
        </w:rPr>
        <w:sectPr>
          <w:footerReference r:id="rId7" w:type="first"/>
          <w:footerReference r:id="rId6" w:type="default"/>
          <w:pgSz w:w="11906" w:h="16838"/>
          <w:pgMar w:top="1418" w:right="1588" w:bottom="1418" w:left="1588" w:header="851" w:footer="992" w:gutter="0"/>
          <w:pgNumType w:fmt="decimal" w:start="1"/>
          <w:cols w:space="720" w:num="1"/>
          <w:docGrid w:type="lines" w:linePitch="312" w:charSpace="0"/>
        </w:sectPr>
      </w:pPr>
    </w:p>
    <w:p w14:paraId="3F3CB180">
      <w:pPr>
        <w:pStyle w:val="2"/>
        <w:numPr>
          <w:ilvl w:val="0"/>
          <w:numId w:val="1"/>
        </w:numPr>
        <w:bidi w:val="0"/>
        <w:rPr>
          <w:rFonts w:hint="eastAsia"/>
          <w:color w:val="auto"/>
          <w:highlight w:val="none"/>
        </w:rPr>
      </w:pPr>
      <w:bookmarkStart w:id="10" w:name="_Toc14805"/>
      <w:r>
        <w:rPr>
          <w:rFonts w:hint="eastAsia"/>
          <w:color w:val="auto"/>
          <w:highlight w:val="none"/>
        </w:rPr>
        <w:t xml:space="preserve"> </w:t>
      </w:r>
      <w:bookmarkStart w:id="11" w:name="_Toc7477"/>
      <w:r>
        <w:rPr>
          <w:rFonts w:hint="eastAsia"/>
          <w:color w:val="auto"/>
          <w:highlight w:val="none"/>
        </w:rPr>
        <w:t>公开招标公告</w:t>
      </w:r>
      <w:bookmarkEnd w:id="10"/>
      <w:bookmarkEnd w:id="11"/>
    </w:p>
    <w:p w14:paraId="1B70E679">
      <w:pPr>
        <w:numPr>
          <w:ilvl w:val="0"/>
          <w:numId w:val="0"/>
        </w:numPr>
        <w:rPr>
          <w:rFonts w:hint="eastAsia"/>
          <w:color w:val="auto"/>
          <w:highlight w:val="none"/>
        </w:rPr>
      </w:pP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7"/>
      </w:tblGrid>
      <w:tr w14:paraId="14E6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5000" w:type="pct"/>
            <w:noWrap w:val="0"/>
            <w:vAlign w:val="center"/>
          </w:tcPr>
          <w:p w14:paraId="401F8D3E">
            <w:pPr>
              <w:widowControl/>
              <w:adjustRightInd w:val="0"/>
              <w:snapToGrid w:val="0"/>
              <w:spacing w:line="380" w:lineRule="exact"/>
              <w:rPr>
                <w:rFonts w:hint="eastAsia" w:ascii="宋体" w:hAnsi="宋体" w:cs="宋体"/>
                <w:b/>
                <w:bCs/>
                <w:color w:val="auto"/>
                <w:sz w:val="24"/>
                <w:highlight w:val="none"/>
              </w:rPr>
            </w:pPr>
            <w:r>
              <w:rPr>
                <w:rFonts w:hint="eastAsia" w:ascii="宋体" w:hAnsi="宋体" w:cs="宋体"/>
                <w:b/>
                <w:bCs/>
                <w:color w:val="auto"/>
                <w:sz w:val="24"/>
                <w:highlight w:val="none"/>
              </w:rPr>
              <w:t>项目概况</w:t>
            </w:r>
          </w:p>
          <w:p w14:paraId="3638B739">
            <w:pPr>
              <w:widowControl/>
              <w:adjustRightInd w:val="0"/>
              <w:snapToGrid w:val="0"/>
              <w:spacing w:line="380" w:lineRule="exact"/>
              <w:rPr>
                <w:rFonts w:hint="eastAsia"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eastAsia="zh-CN"/>
              </w:rPr>
              <w:t>浦江县交投贸易有限公司2024年-2025年石灰岩采购项目</w:t>
            </w:r>
            <w:r>
              <w:rPr>
                <w:rFonts w:hint="eastAsia" w:ascii="宋体" w:hAnsi="宋体" w:cs="宋体"/>
                <w:b/>
                <w:bCs/>
                <w:color w:val="auto"/>
                <w:sz w:val="24"/>
                <w:highlight w:val="none"/>
              </w:rPr>
              <w:t>的潜在投标人应在</w:t>
            </w:r>
            <w:r>
              <w:rPr>
                <w:rFonts w:hint="eastAsia" w:ascii="宋体" w:hAnsi="宋体" w:cs="宋体"/>
                <w:b/>
                <w:bCs/>
                <w:color w:val="auto"/>
                <w:sz w:val="24"/>
                <w:highlight w:val="none"/>
                <w:lang w:eastAsia="zh-CN"/>
              </w:rPr>
              <w:t>乐采云平台（www.lecaiyun.com）</w:t>
            </w:r>
            <w:r>
              <w:rPr>
                <w:rFonts w:hint="eastAsia" w:ascii="宋体" w:hAnsi="宋体" w:cs="宋体"/>
                <w:b/>
                <w:bCs/>
                <w:color w:val="auto"/>
                <w:sz w:val="24"/>
                <w:highlight w:val="none"/>
              </w:rPr>
              <w:t>获取（下载）招标文件，并于</w:t>
            </w:r>
            <w:r>
              <w:rPr>
                <w:rFonts w:hint="eastAsia" w:ascii="宋体" w:hAnsi="宋体" w:cs="宋体"/>
                <w:b/>
                <w:bCs/>
                <w:color w:val="auto"/>
                <w:sz w:val="24"/>
                <w:highlight w:val="none"/>
                <w:lang w:eastAsia="zh-CN"/>
              </w:rPr>
              <w:t>2024年</w:t>
            </w:r>
            <w:r>
              <w:rPr>
                <w:rFonts w:hint="eastAsia" w:ascii="宋体" w:hAnsi="宋体" w:cs="宋体"/>
                <w:b/>
                <w:bCs/>
                <w:color w:val="auto"/>
                <w:sz w:val="24"/>
                <w:highlight w:val="none"/>
                <w:lang w:val="en-US" w:eastAsia="zh-CN"/>
              </w:rPr>
              <w:t>12月17日</w:t>
            </w:r>
            <w:r>
              <w:rPr>
                <w:rFonts w:hint="eastAsia" w:ascii="宋体" w:hAnsi="宋体" w:cs="宋体"/>
                <w:b/>
                <w:bCs/>
                <w:color w:val="auto"/>
                <w:sz w:val="24"/>
                <w:highlight w:val="none"/>
                <w:lang w:eastAsia="zh-CN"/>
              </w:rPr>
              <w:t>14</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lang w:eastAsia="zh-CN"/>
              </w:rPr>
              <w:t>30</w:t>
            </w:r>
            <w:r>
              <w:rPr>
                <w:rFonts w:hint="eastAsia" w:ascii="宋体" w:hAnsi="宋体" w:cs="宋体"/>
                <w:b/>
                <w:bCs/>
                <w:color w:val="auto"/>
                <w:sz w:val="24"/>
                <w:highlight w:val="none"/>
              </w:rPr>
              <w:t>（北京时间）前递交（上传）投标文件。  </w:t>
            </w:r>
          </w:p>
        </w:tc>
      </w:tr>
    </w:tbl>
    <w:p w14:paraId="14C58EEF">
      <w:pPr>
        <w:widowControl/>
        <w:spacing w:line="380" w:lineRule="exact"/>
        <w:rPr>
          <w:rFonts w:hint="eastAsia" w:ascii="宋体" w:hAnsi="宋体" w:cs="宋体"/>
          <w:color w:val="auto"/>
          <w:kern w:val="0"/>
          <w:sz w:val="24"/>
          <w:highlight w:val="none"/>
        </w:rPr>
      </w:pPr>
      <w:r>
        <w:rPr>
          <w:rFonts w:hint="eastAsia" w:ascii="宋体" w:hAnsi="宋体" w:cs="宋体"/>
          <w:b/>
          <w:bCs/>
          <w:color w:val="auto"/>
          <w:kern w:val="0"/>
          <w:sz w:val="24"/>
          <w:highlight w:val="none"/>
        </w:rPr>
        <w:t>一、项目基本情况</w:t>
      </w:r>
    </w:p>
    <w:p w14:paraId="7FB6A843">
      <w:pPr>
        <w:widowControl/>
        <w:adjustRightInd w:val="0"/>
        <w:snapToGrid w:val="0"/>
        <w:spacing w:line="3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项目编号：</w:t>
      </w:r>
      <w:r>
        <w:rPr>
          <w:rFonts w:hint="eastAsia" w:ascii="宋体" w:hAnsi="宋体" w:cs="宋体"/>
          <w:color w:val="auto"/>
          <w:kern w:val="0"/>
          <w:sz w:val="24"/>
          <w:highlight w:val="none"/>
          <w:lang w:eastAsia="zh-CN"/>
        </w:rPr>
        <w:t xml:space="preserve">PJCQGK(JTMY)2024-1030A </w:t>
      </w:r>
    </w:p>
    <w:p w14:paraId="75F49961">
      <w:pPr>
        <w:widowControl/>
        <w:adjustRightInd w:val="0"/>
        <w:snapToGrid w:val="0"/>
        <w:spacing w:line="380" w:lineRule="exact"/>
        <w:ind w:left="479" w:leftChars="228"/>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项目名称：</w:t>
      </w:r>
      <w:r>
        <w:rPr>
          <w:rFonts w:hint="eastAsia" w:ascii="宋体" w:hAnsi="宋体" w:cs="宋体"/>
          <w:color w:val="auto"/>
          <w:kern w:val="0"/>
          <w:sz w:val="24"/>
          <w:highlight w:val="none"/>
          <w:lang w:eastAsia="zh-CN"/>
        </w:rPr>
        <w:t>浦江县交投贸易有限公司2024年-2025年石灰岩采购项目</w:t>
      </w:r>
    </w:p>
    <w:p w14:paraId="071BA2BD">
      <w:pPr>
        <w:widowControl/>
        <w:adjustRightInd w:val="0"/>
        <w:snapToGrid w:val="0"/>
        <w:spacing w:line="380" w:lineRule="exact"/>
        <w:ind w:left="479" w:leftChars="228"/>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预算金额（元）：</w:t>
      </w:r>
      <w:r>
        <w:rPr>
          <w:rFonts w:hint="eastAsia" w:ascii="宋体" w:hAnsi="宋体" w:cs="宋体"/>
          <w:color w:val="auto"/>
          <w:kern w:val="0"/>
          <w:sz w:val="24"/>
          <w:highlight w:val="none"/>
          <w:lang w:val="en-US" w:eastAsia="zh-CN"/>
        </w:rPr>
        <w:t>29900000</w:t>
      </w:r>
    </w:p>
    <w:p w14:paraId="6A3BE769">
      <w:pPr>
        <w:widowControl/>
        <w:adjustRightInd w:val="0"/>
        <w:snapToGrid w:val="0"/>
        <w:spacing w:line="380" w:lineRule="exact"/>
        <w:ind w:firstLine="480" w:firstLineChars="200"/>
        <w:jc w:val="left"/>
        <w:rPr>
          <w:rFonts w:hint="default" w:ascii="宋体" w:hAnsi="宋体" w:cs="宋体"/>
          <w:color w:val="auto"/>
          <w:kern w:val="0"/>
          <w:sz w:val="24"/>
          <w:highlight w:val="none"/>
          <w:lang w:val="en-US"/>
        </w:rPr>
      </w:pPr>
      <w:r>
        <w:rPr>
          <w:rFonts w:hint="eastAsia" w:ascii="宋体" w:hAnsi="宋体" w:cs="宋体"/>
          <w:color w:val="auto"/>
          <w:kern w:val="0"/>
          <w:sz w:val="24"/>
          <w:highlight w:val="none"/>
        </w:rPr>
        <w:t>最高限价（元）：</w:t>
      </w:r>
      <w:r>
        <w:rPr>
          <w:rFonts w:hint="eastAsia" w:ascii="宋体" w:hAnsi="宋体" w:cs="宋体"/>
          <w:color w:val="auto"/>
          <w:sz w:val="24"/>
          <w:highlight w:val="none"/>
          <w:lang w:val="en-US" w:eastAsia="zh-CN"/>
        </w:rPr>
        <w:t>29900000</w:t>
      </w:r>
    </w:p>
    <w:p w14:paraId="66BF3EFF">
      <w:pPr>
        <w:widowControl/>
        <w:adjustRightInd w:val="0"/>
        <w:snapToGrid w:val="0"/>
        <w:spacing w:line="380" w:lineRule="exact"/>
        <w:ind w:left="479" w:leftChars="228"/>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 xml:space="preserve">标项名称: </w:t>
      </w:r>
      <w:r>
        <w:rPr>
          <w:rFonts w:hint="eastAsia" w:ascii="宋体" w:hAnsi="宋体" w:cs="宋体"/>
          <w:color w:val="auto"/>
          <w:kern w:val="0"/>
          <w:sz w:val="24"/>
          <w:highlight w:val="none"/>
          <w:lang w:eastAsia="zh-CN"/>
        </w:rPr>
        <w:t>浦江县交投贸易有限公司2024年-2025年石灰岩采购项目</w:t>
      </w:r>
    </w:p>
    <w:p w14:paraId="1BE43488">
      <w:pPr>
        <w:widowControl/>
        <w:adjustRightInd w:val="0"/>
        <w:snapToGrid w:val="0"/>
        <w:spacing w:line="380" w:lineRule="exact"/>
        <w:ind w:left="479" w:leftChars="228"/>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 xml:space="preserve">数量: </w:t>
      </w:r>
      <w:r>
        <w:rPr>
          <w:rFonts w:hint="eastAsia" w:ascii="宋体" w:hAnsi="宋体" w:cs="宋体"/>
          <w:color w:val="auto"/>
          <w:kern w:val="0"/>
          <w:sz w:val="24"/>
          <w:highlight w:val="none"/>
          <w:lang w:val="en-US" w:eastAsia="zh-CN"/>
        </w:rPr>
        <w:t>260000吨</w:t>
      </w:r>
    </w:p>
    <w:p w14:paraId="0C4D8F0C">
      <w:pPr>
        <w:widowControl/>
        <w:adjustRightInd w:val="0"/>
        <w:snapToGrid w:val="0"/>
        <w:spacing w:line="380" w:lineRule="exact"/>
        <w:ind w:left="479" w:leftChars="228"/>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预算金额（元）:</w:t>
      </w:r>
      <w:r>
        <w:rPr>
          <w:rFonts w:hint="eastAsia" w:ascii="宋体" w:hAnsi="宋体" w:cs="宋体"/>
          <w:color w:val="auto"/>
          <w:kern w:val="0"/>
          <w:sz w:val="24"/>
          <w:highlight w:val="none"/>
          <w:lang w:val="en-US" w:eastAsia="zh-CN"/>
        </w:rPr>
        <w:t>29900000</w:t>
      </w:r>
    </w:p>
    <w:p w14:paraId="147759B7">
      <w:pPr>
        <w:widowControl/>
        <w:adjustRightInd w:val="0"/>
        <w:snapToGrid w:val="0"/>
        <w:spacing w:line="380" w:lineRule="exact"/>
        <w:ind w:left="479" w:leftChars="228"/>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简要规格描述或项目基本概况介绍、用途：</w:t>
      </w:r>
      <w:r>
        <w:rPr>
          <w:rFonts w:hint="eastAsia" w:ascii="宋体" w:hAnsi="宋体" w:cs="宋体"/>
          <w:color w:val="auto"/>
          <w:kern w:val="0"/>
          <w:sz w:val="24"/>
          <w:highlight w:val="none"/>
          <w:lang w:eastAsia="zh-CN"/>
        </w:rPr>
        <w:t>包括石灰岩供货，具体详见采购文件的第三部分《招标内容及需求》。</w:t>
      </w:r>
    </w:p>
    <w:p w14:paraId="64C732D2">
      <w:pPr>
        <w:widowControl/>
        <w:adjustRightInd w:val="0"/>
        <w:snapToGrid w:val="0"/>
        <w:spacing w:line="380" w:lineRule="exact"/>
        <w:ind w:left="479" w:leftChars="228"/>
        <w:jc w:val="left"/>
        <w:rPr>
          <w:rFonts w:hint="eastAsia" w:ascii="宋体" w:hAnsi="宋体" w:cs="宋体"/>
          <w:color w:val="auto"/>
          <w:kern w:val="0"/>
          <w:sz w:val="24"/>
          <w:highlight w:val="none"/>
        </w:rPr>
      </w:pPr>
      <w:r>
        <w:rPr>
          <w:rFonts w:hint="eastAsia" w:ascii="宋体" w:hAnsi="宋体" w:cs="宋体"/>
          <w:color w:val="auto"/>
          <w:kern w:val="0"/>
          <w:sz w:val="24"/>
          <w:highlight w:val="none"/>
        </w:rPr>
        <w:t>备注：</w:t>
      </w:r>
    </w:p>
    <w:p w14:paraId="5C4FCD7E">
      <w:pPr>
        <w:widowControl/>
        <w:adjustRightInd w:val="0"/>
        <w:snapToGrid w:val="0"/>
        <w:spacing w:line="380" w:lineRule="exact"/>
        <w:ind w:left="479" w:leftChars="228"/>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合同履行期限：自合同签订之日起</w:t>
      </w:r>
      <w:r>
        <w:rPr>
          <w:rFonts w:hint="eastAsia" w:ascii="宋体" w:hAnsi="宋体" w:cs="宋体"/>
          <w:color w:val="auto"/>
          <w:kern w:val="0"/>
          <w:sz w:val="24"/>
          <w:highlight w:val="none"/>
          <w:lang w:val="en-US" w:eastAsia="zh-CN"/>
        </w:rPr>
        <w:t>一</w:t>
      </w:r>
      <w:r>
        <w:rPr>
          <w:rFonts w:hint="eastAsia" w:ascii="宋体" w:hAnsi="宋体" w:cs="宋体"/>
          <w:color w:val="auto"/>
          <w:kern w:val="0"/>
          <w:sz w:val="24"/>
          <w:highlight w:val="none"/>
        </w:rPr>
        <w:t>年或</w:t>
      </w:r>
      <w:r>
        <w:rPr>
          <w:rFonts w:hint="eastAsia" w:ascii="宋体" w:hAnsi="宋体" w:cs="宋体"/>
          <w:color w:val="auto"/>
          <w:kern w:val="0"/>
          <w:sz w:val="24"/>
          <w:highlight w:val="none"/>
          <w:lang w:val="en-US" w:eastAsia="zh-CN"/>
        </w:rPr>
        <w:t>货款金额</w:t>
      </w:r>
      <w:r>
        <w:rPr>
          <w:rFonts w:hint="eastAsia" w:ascii="宋体" w:hAnsi="宋体" w:cs="宋体"/>
          <w:color w:val="auto"/>
          <w:kern w:val="0"/>
          <w:sz w:val="24"/>
          <w:highlight w:val="none"/>
        </w:rPr>
        <w:t>达到</w:t>
      </w:r>
      <w:r>
        <w:rPr>
          <w:rFonts w:hint="eastAsia" w:ascii="宋体" w:hAnsi="宋体" w:cs="宋体"/>
          <w:color w:val="auto"/>
          <w:kern w:val="0"/>
          <w:sz w:val="24"/>
          <w:highlight w:val="none"/>
          <w:lang w:val="en-US" w:eastAsia="zh-CN"/>
        </w:rPr>
        <w:t>29900000</w:t>
      </w:r>
      <w:r>
        <w:rPr>
          <w:rFonts w:hint="eastAsia" w:ascii="宋体" w:hAnsi="宋体" w:cs="宋体"/>
          <w:color w:val="auto"/>
          <w:kern w:val="0"/>
          <w:sz w:val="24"/>
          <w:highlight w:val="none"/>
        </w:rPr>
        <w:t>元，先到为准</w:t>
      </w:r>
      <w:r>
        <w:rPr>
          <w:rFonts w:hint="eastAsia" w:ascii="宋体" w:hAnsi="宋体" w:eastAsia="宋体" w:cs="宋体"/>
          <w:color w:val="auto"/>
          <w:sz w:val="24"/>
          <w:szCs w:val="24"/>
          <w:highlight w:val="none"/>
          <w:lang w:eastAsia="zh-CN"/>
        </w:rPr>
        <w:t>（合同到期时如遇特殊情况，例如处于单个项目持续供货周期内可供货至项目结束）</w:t>
      </w:r>
      <w:r>
        <w:rPr>
          <w:rFonts w:hint="eastAsia" w:ascii="宋体" w:hAnsi="宋体" w:cs="宋体"/>
          <w:color w:val="auto"/>
          <w:kern w:val="0"/>
          <w:sz w:val="24"/>
          <w:highlight w:val="none"/>
          <w:lang w:eastAsia="zh-CN"/>
        </w:rPr>
        <w:t>。</w:t>
      </w:r>
    </w:p>
    <w:p w14:paraId="5B707701">
      <w:pPr>
        <w:widowControl/>
        <w:adjustRightInd w:val="0"/>
        <w:snapToGrid w:val="0"/>
        <w:spacing w:line="380" w:lineRule="exact"/>
        <w:ind w:left="479" w:leftChars="228"/>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本项目</w:t>
      </w:r>
      <w:r>
        <w:rPr>
          <w:rFonts w:hint="eastAsia" w:ascii="宋体" w:hAnsi="宋体" w:cs="宋体"/>
          <w:color w:val="auto"/>
          <w:sz w:val="24"/>
          <w:highlight w:val="none"/>
        </w:rPr>
        <w:t>（否）接受联合体</w:t>
      </w:r>
      <w:r>
        <w:rPr>
          <w:rFonts w:hint="eastAsia" w:ascii="宋体" w:hAnsi="宋体" w:cs="宋体"/>
          <w:color w:val="auto"/>
          <w:kern w:val="0"/>
          <w:sz w:val="24"/>
          <w:highlight w:val="none"/>
        </w:rPr>
        <w:t>投标。</w:t>
      </w:r>
    </w:p>
    <w:p w14:paraId="4B952AC3">
      <w:pPr>
        <w:widowControl/>
        <w:spacing w:line="380" w:lineRule="exact"/>
        <w:rPr>
          <w:rFonts w:hint="eastAsia" w:ascii="宋体" w:hAnsi="宋体" w:cs="宋体"/>
          <w:color w:val="auto"/>
          <w:kern w:val="0"/>
          <w:sz w:val="24"/>
          <w:highlight w:val="none"/>
        </w:rPr>
      </w:pPr>
      <w:r>
        <w:rPr>
          <w:rFonts w:hint="eastAsia" w:ascii="宋体" w:hAnsi="宋体" w:cs="宋体"/>
          <w:b/>
          <w:bCs/>
          <w:color w:val="auto"/>
          <w:kern w:val="0"/>
          <w:sz w:val="24"/>
          <w:highlight w:val="none"/>
        </w:rPr>
        <w:t>二、申请人的资格要求</w:t>
      </w:r>
    </w:p>
    <w:p w14:paraId="18A190C2">
      <w:pPr>
        <w:widowControl/>
        <w:spacing w:line="380" w:lineRule="exact"/>
        <w:ind w:firstLine="480" w:firstLineChars="200"/>
        <w:jc w:val="both"/>
        <w:rPr>
          <w:rFonts w:hint="eastAsia" w:ascii="宋体" w:hAnsi="宋体" w:cs="宋体"/>
          <w:color w:val="auto"/>
          <w:kern w:val="0"/>
          <w:sz w:val="24"/>
          <w:highlight w:val="none"/>
        </w:rPr>
      </w:pPr>
      <w:r>
        <w:rPr>
          <w:rFonts w:hint="eastAsia" w:ascii="宋体" w:hAnsi="宋体" w:cs="宋体"/>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C50DE71">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2.落实政府采购政策需满足的资格要求：无；</w:t>
      </w:r>
    </w:p>
    <w:p w14:paraId="78A36E08">
      <w:pPr>
        <w:widowControl/>
        <w:adjustRightInd w:val="0"/>
        <w:snapToGrid w:val="0"/>
        <w:spacing w:line="380" w:lineRule="exact"/>
        <w:ind w:firstLine="480" w:firstLineChars="200"/>
        <w:jc w:val="left"/>
        <w:rPr>
          <w:rFonts w:hint="eastAsia" w:ascii="宋体" w:hAnsi="宋体" w:cs="宋体"/>
          <w:i/>
          <w:iCs/>
          <w:color w:val="auto"/>
          <w:kern w:val="0"/>
          <w:sz w:val="24"/>
          <w:highlight w:val="none"/>
        </w:rPr>
      </w:pPr>
      <w:r>
        <w:rPr>
          <w:rFonts w:hint="eastAsia" w:ascii="宋体" w:hAnsi="宋体" w:cs="宋体"/>
          <w:color w:val="auto"/>
          <w:kern w:val="0"/>
          <w:sz w:val="24"/>
          <w:highlight w:val="none"/>
        </w:rPr>
        <w:t>3.本项目的特定资格要求：</w:t>
      </w:r>
      <w:r>
        <w:rPr>
          <w:rFonts w:hint="eastAsia" w:ascii="宋体" w:hAnsi="宋体" w:cs="宋体"/>
          <w:color w:val="auto"/>
          <w:kern w:val="0"/>
          <w:sz w:val="24"/>
          <w:highlight w:val="none"/>
          <w:lang w:eastAsia="zh-CN"/>
        </w:rPr>
        <w:t>无</w:t>
      </w:r>
      <w:r>
        <w:rPr>
          <w:rFonts w:hint="eastAsia" w:ascii="宋体" w:hAnsi="宋体" w:eastAsia="宋体" w:cs="宋体"/>
          <w:color w:val="auto"/>
          <w:kern w:val="0"/>
          <w:sz w:val="24"/>
          <w:highlight w:val="none"/>
        </w:rPr>
        <w:t>。 </w:t>
      </w:r>
      <w:r>
        <w:rPr>
          <w:rFonts w:hint="eastAsia" w:ascii="宋体" w:hAnsi="宋体" w:cs="宋体"/>
          <w:i/>
          <w:iCs/>
          <w:color w:val="auto"/>
          <w:kern w:val="0"/>
          <w:sz w:val="24"/>
          <w:highlight w:val="none"/>
        </w:rPr>
        <w:t xml:space="preserve">   </w:t>
      </w:r>
    </w:p>
    <w:p w14:paraId="6AFAB6B4">
      <w:pPr>
        <w:widowControl/>
        <w:spacing w:line="38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三、获取招标文件</w:t>
      </w:r>
    </w:p>
    <w:p w14:paraId="020F8059">
      <w:pPr>
        <w:widowControl/>
        <w:spacing w:line="380" w:lineRule="exact"/>
        <w:ind w:firstLine="480" w:firstLineChars="200"/>
        <w:rPr>
          <w:rFonts w:hint="eastAsia" w:ascii="宋体" w:hAnsi="宋体" w:cs="宋体"/>
          <w:b w:val="0"/>
          <w:bCs w:val="0"/>
          <w:color w:val="auto"/>
          <w:kern w:val="0"/>
          <w:sz w:val="24"/>
          <w:highlight w:val="none"/>
        </w:rPr>
      </w:pPr>
      <w:r>
        <w:rPr>
          <w:rFonts w:hint="eastAsia" w:ascii="宋体" w:hAnsi="宋体" w:cs="宋体"/>
          <w:color w:val="auto"/>
          <w:kern w:val="0"/>
          <w:sz w:val="24"/>
          <w:highlight w:val="none"/>
        </w:rPr>
        <w:t>时间：/至</w:t>
      </w:r>
      <w:r>
        <w:rPr>
          <w:rFonts w:hint="eastAsia" w:ascii="宋体" w:hAnsi="宋体" w:cs="宋体"/>
          <w:b w:val="0"/>
          <w:bCs w:val="0"/>
          <w:color w:val="auto"/>
          <w:sz w:val="24"/>
          <w:highlight w:val="none"/>
          <w:lang w:eastAsia="zh-CN"/>
        </w:rPr>
        <w:t>2024年</w:t>
      </w:r>
      <w:r>
        <w:rPr>
          <w:rFonts w:hint="eastAsia" w:ascii="宋体" w:hAnsi="宋体" w:cs="宋体"/>
          <w:b w:val="0"/>
          <w:bCs w:val="0"/>
          <w:color w:val="auto"/>
          <w:sz w:val="24"/>
          <w:highlight w:val="none"/>
          <w:lang w:val="en-US" w:eastAsia="zh-CN"/>
        </w:rPr>
        <w:t>12月17日</w:t>
      </w:r>
      <w:r>
        <w:rPr>
          <w:rFonts w:hint="eastAsia" w:ascii="宋体" w:hAnsi="宋体" w:cs="宋体"/>
          <w:b w:val="0"/>
          <w:bCs w:val="0"/>
          <w:color w:val="auto"/>
          <w:kern w:val="0"/>
          <w:sz w:val="24"/>
          <w:highlight w:val="none"/>
        </w:rPr>
        <w:t>，每天上午00:00至12:00，下午12:00至23:59（北京时间，线上获取法定节假日均可，线下获取文件法定节假日除外）。</w:t>
      </w:r>
    </w:p>
    <w:p w14:paraId="4989A4DD">
      <w:pPr>
        <w:widowControl/>
        <w:spacing w:line="380" w:lineRule="exact"/>
        <w:ind w:firstLine="480" w:firstLineChars="200"/>
        <w:rPr>
          <w:rFonts w:hint="eastAsia" w:ascii="宋体" w:hAnsi="宋体" w:eastAsia="宋体" w:cs="宋体"/>
          <w:b w:val="0"/>
          <w:bCs w:val="0"/>
          <w:color w:val="auto"/>
          <w:kern w:val="0"/>
          <w:sz w:val="24"/>
          <w:highlight w:val="none"/>
          <w:lang w:eastAsia="zh-CN"/>
        </w:rPr>
      </w:pPr>
      <w:r>
        <w:rPr>
          <w:rFonts w:hint="eastAsia" w:ascii="宋体" w:hAnsi="宋体" w:cs="宋体"/>
          <w:b w:val="0"/>
          <w:bCs w:val="0"/>
          <w:color w:val="auto"/>
          <w:kern w:val="0"/>
          <w:sz w:val="24"/>
          <w:highlight w:val="none"/>
        </w:rPr>
        <w:t>地点（网址）：</w:t>
      </w:r>
      <w:r>
        <w:rPr>
          <w:rFonts w:hint="eastAsia" w:ascii="宋体" w:hAnsi="宋体" w:cs="宋体"/>
          <w:b w:val="0"/>
          <w:bCs w:val="0"/>
          <w:color w:val="auto"/>
          <w:kern w:val="0"/>
          <w:sz w:val="24"/>
          <w:highlight w:val="none"/>
          <w:lang w:eastAsia="zh-CN"/>
        </w:rPr>
        <w:t>乐采云平台（www.lecaiyun.com）</w:t>
      </w:r>
    </w:p>
    <w:p w14:paraId="159745AD">
      <w:pPr>
        <w:widowControl/>
        <w:spacing w:line="380" w:lineRule="exact"/>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方式：自行下载</w:t>
      </w:r>
    </w:p>
    <w:p w14:paraId="63D26CC6">
      <w:pPr>
        <w:widowControl/>
        <w:spacing w:line="380" w:lineRule="exact"/>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售价（元）：0 </w:t>
      </w:r>
    </w:p>
    <w:p w14:paraId="51398F5F">
      <w:pPr>
        <w:snapToGrid w:val="0"/>
        <w:spacing w:line="34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四、投标保证金</w:t>
      </w:r>
    </w:p>
    <w:p w14:paraId="584573C4">
      <w:pPr>
        <w:snapToGrid w:val="0"/>
        <w:spacing w:line="340" w:lineRule="exact"/>
        <w:ind w:firstLine="480" w:firstLineChars="200"/>
        <w:rPr>
          <w:rFonts w:hint="eastAsia" w:ascii="宋体" w:hAnsi="宋体" w:cs="Arial"/>
          <w:b w:val="0"/>
          <w:bCs w:val="0"/>
          <w:color w:val="auto"/>
          <w:sz w:val="24"/>
          <w:highlight w:val="none"/>
        </w:rPr>
      </w:pPr>
      <w:r>
        <w:rPr>
          <w:rFonts w:hint="eastAsia" w:ascii="宋体" w:hAnsi="宋体" w:cs="Arial"/>
          <w:b w:val="0"/>
          <w:bCs w:val="0"/>
          <w:color w:val="auto"/>
          <w:sz w:val="24"/>
          <w:highlight w:val="none"/>
        </w:rPr>
        <w:t>投标保证金人民币：</w:t>
      </w:r>
      <w:r>
        <w:rPr>
          <w:rFonts w:hint="eastAsia" w:ascii="宋体" w:hAnsi="宋体" w:cs="Arial"/>
          <w:b w:val="0"/>
          <w:bCs w:val="0"/>
          <w:color w:val="auto"/>
          <w:sz w:val="24"/>
          <w:highlight w:val="none"/>
          <w:u w:val="single"/>
          <w:lang w:eastAsia="zh-CN"/>
        </w:rPr>
        <w:t>590000元</w:t>
      </w:r>
      <w:r>
        <w:rPr>
          <w:rFonts w:hint="eastAsia" w:ascii="宋体" w:hAnsi="宋体" w:cs="Arial"/>
          <w:b w:val="0"/>
          <w:bCs w:val="0"/>
          <w:color w:val="auto"/>
          <w:sz w:val="24"/>
          <w:highlight w:val="none"/>
        </w:rPr>
        <w:t>。</w:t>
      </w:r>
    </w:p>
    <w:p w14:paraId="15747783">
      <w:pPr>
        <w:snapToGrid w:val="0"/>
        <w:spacing w:line="340" w:lineRule="exact"/>
        <w:ind w:firstLine="480" w:firstLineChars="200"/>
        <w:rPr>
          <w:rFonts w:hint="eastAsia" w:ascii="宋体" w:hAnsi="宋体" w:cs="宋体"/>
          <w:color w:val="auto"/>
          <w:kern w:val="0"/>
          <w:sz w:val="24"/>
          <w:highlight w:val="none"/>
        </w:rPr>
      </w:pPr>
      <w:r>
        <w:rPr>
          <w:rFonts w:hint="eastAsia" w:ascii="宋体" w:hAnsi="宋体" w:cs="宋体"/>
          <w:b w:val="0"/>
          <w:bCs w:val="0"/>
          <w:color w:val="auto"/>
          <w:kern w:val="0"/>
          <w:sz w:val="24"/>
          <w:highlight w:val="none"/>
        </w:rPr>
        <w:t>投标人必须在</w:t>
      </w:r>
      <w:r>
        <w:rPr>
          <w:rFonts w:hint="eastAsia" w:ascii="宋体" w:hAnsi="宋体" w:cs="宋体"/>
          <w:b w:val="0"/>
          <w:bCs w:val="0"/>
          <w:color w:val="auto"/>
          <w:sz w:val="24"/>
          <w:highlight w:val="none"/>
          <w:u w:val="single"/>
          <w:lang w:eastAsia="zh-CN"/>
        </w:rPr>
        <w:t>2024年</w:t>
      </w:r>
      <w:r>
        <w:rPr>
          <w:rFonts w:hint="eastAsia" w:ascii="宋体" w:hAnsi="宋体" w:cs="宋体"/>
          <w:b w:val="0"/>
          <w:bCs w:val="0"/>
          <w:color w:val="auto"/>
          <w:sz w:val="24"/>
          <w:highlight w:val="none"/>
          <w:u w:val="single"/>
          <w:lang w:val="en-US" w:eastAsia="zh-CN"/>
        </w:rPr>
        <w:t>12月17日</w:t>
      </w:r>
      <w:r>
        <w:rPr>
          <w:rFonts w:hint="eastAsia" w:ascii="宋体" w:hAnsi="宋体" w:cs="宋体"/>
          <w:b w:val="0"/>
          <w:bCs w:val="0"/>
          <w:color w:val="auto"/>
          <w:sz w:val="24"/>
          <w:highlight w:val="none"/>
          <w:u w:val="single"/>
          <w:lang w:eastAsia="zh-CN"/>
        </w:rPr>
        <w:t>14</w:t>
      </w:r>
      <w:r>
        <w:rPr>
          <w:rFonts w:hint="eastAsia" w:ascii="宋体" w:hAnsi="宋体" w:cs="宋体"/>
          <w:b w:val="0"/>
          <w:bCs w:val="0"/>
          <w:color w:val="auto"/>
          <w:sz w:val="24"/>
          <w:highlight w:val="none"/>
          <w:u w:val="single"/>
          <w:lang w:val="en-US" w:eastAsia="zh-CN"/>
        </w:rPr>
        <w:t>:</w:t>
      </w:r>
      <w:r>
        <w:rPr>
          <w:rFonts w:hint="eastAsia" w:ascii="宋体" w:hAnsi="宋体" w:cs="宋体"/>
          <w:b w:val="0"/>
          <w:bCs w:val="0"/>
          <w:color w:val="auto"/>
          <w:sz w:val="24"/>
          <w:highlight w:val="none"/>
          <w:u w:val="single"/>
          <w:lang w:eastAsia="zh-CN"/>
        </w:rPr>
        <w:t>30时</w:t>
      </w:r>
      <w:r>
        <w:rPr>
          <w:rFonts w:hint="eastAsia" w:ascii="宋体" w:hAnsi="宋体" w:cs="宋体"/>
          <w:color w:val="auto"/>
          <w:kern w:val="0"/>
          <w:sz w:val="24"/>
          <w:highlight w:val="none"/>
        </w:rPr>
        <w:t>（时间）前将投标保证金以银行电汇、转账、</w:t>
      </w:r>
      <w:r>
        <w:rPr>
          <w:rFonts w:hint="eastAsia" w:ascii="宋体" w:hAnsi="宋体" w:cs="宋体"/>
          <w:color w:val="auto"/>
          <w:sz w:val="24"/>
          <w:highlight w:val="none"/>
          <w:lang w:eastAsia="zh-CN"/>
        </w:rPr>
        <w:t>保函</w:t>
      </w:r>
      <w:r>
        <w:rPr>
          <w:rFonts w:hint="eastAsia" w:ascii="宋体" w:hAnsi="宋体" w:cs="宋体"/>
          <w:color w:val="auto"/>
          <w:kern w:val="0"/>
          <w:sz w:val="24"/>
          <w:highlight w:val="none"/>
        </w:rPr>
        <w:t>等形式以投标供应商为缴款单位，交至：</w:t>
      </w:r>
    </w:p>
    <w:p w14:paraId="6D2FF32E">
      <w:pPr>
        <w:keepNext w:val="0"/>
        <w:keepLines w:val="0"/>
        <w:pageBreakBefore w:val="0"/>
        <w:kinsoku/>
        <w:wordWrap/>
        <w:overflowPunct/>
        <w:topLinePunct w:val="0"/>
        <w:autoSpaceDE/>
        <w:autoSpaceDN/>
        <w:bidi w:val="0"/>
        <w:snapToGrid w:val="0"/>
        <w:spacing w:line="380" w:lineRule="exact"/>
        <w:ind w:firstLine="540" w:firstLineChars="225"/>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开户银行：中国工商银行股份有限公司浦江广场支行</w:t>
      </w:r>
    </w:p>
    <w:p w14:paraId="65F0CF1D">
      <w:pPr>
        <w:keepNext w:val="0"/>
        <w:keepLines w:val="0"/>
        <w:pageBreakBefore w:val="0"/>
        <w:kinsoku/>
        <w:wordWrap/>
        <w:overflowPunct/>
        <w:topLinePunct w:val="0"/>
        <w:autoSpaceDE/>
        <w:autoSpaceDN/>
        <w:bidi w:val="0"/>
        <w:snapToGrid w:val="0"/>
        <w:spacing w:line="380" w:lineRule="exact"/>
        <w:ind w:firstLine="540" w:firstLineChars="225"/>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开户名称：浦江县产权交易有限公司</w:t>
      </w:r>
    </w:p>
    <w:p w14:paraId="78B876CE">
      <w:pPr>
        <w:keepNext w:val="0"/>
        <w:keepLines w:val="0"/>
        <w:pageBreakBefore w:val="0"/>
        <w:kinsoku/>
        <w:wordWrap/>
        <w:overflowPunct/>
        <w:topLinePunct w:val="0"/>
        <w:autoSpaceDE/>
        <w:autoSpaceDN/>
        <w:bidi w:val="0"/>
        <w:snapToGrid w:val="0"/>
        <w:spacing w:line="380" w:lineRule="exact"/>
        <w:ind w:firstLine="540" w:firstLineChars="225"/>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帐    号：1208070509000033875</w:t>
      </w:r>
    </w:p>
    <w:p w14:paraId="0FEC926D">
      <w:pPr>
        <w:pStyle w:val="44"/>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lang w:eastAsia="zh-CN"/>
        </w:rPr>
        <w:t>注：</w:t>
      </w:r>
      <w:r>
        <w:rPr>
          <w:rFonts w:hint="eastAsia" w:ascii="宋体" w:hAnsi="宋体" w:eastAsia="宋体" w:cs="宋体"/>
          <w:b/>
          <w:bCs/>
          <w:color w:val="auto"/>
          <w:sz w:val="24"/>
          <w:highlight w:val="none"/>
          <w:u w:val="single"/>
          <w:lang w:val="en-US" w:eastAsia="zh-CN"/>
        </w:rPr>
        <w:t>1.</w:t>
      </w:r>
      <w:r>
        <w:rPr>
          <w:rFonts w:hint="eastAsia" w:ascii="宋体" w:hAnsi="宋体" w:eastAsia="宋体" w:cs="宋体"/>
          <w:b/>
          <w:bCs/>
          <w:color w:val="auto"/>
          <w:sz w:val="24"/>
          <w:highlight w:val="none"/>
          <w:u w:val="single"/>
          <w:lang w:eastAsia="zh-CN"/>
        </w:rPr>
        <w:t>投标</w:t>
      </w:r>
      <w:r>
        <w:rPr>
          <w:rFonts w:hint="eastAsia" w:ascii="宋体" w:hAnsi="宋体" w:eastAsia="宋体" w:cs="宋体"/>
          <w:b/>
          <w:bCs/>
          <w:color w:val="auto"/>
          <w:sz w:val="24"/>
          <w:highlight w:val="none"/>
          <w:u w:val="single"/>
        </w:rPr>
        <w:t>保证金汇入时请在“用途或附言”中注明“</w:t>
      </w:r>
      <w:r>
        <w:rPr>
          <w:rFonts w:hint="eastAsia" w:ascii="宋体" w:hAnsi="宋体" w:eastAsia="宋体" w:cs="宋体"/>
          <w:b/>
          <w:bCs/>
          <w:color w:val="auto"/>
          <w:sz w:val="24"/>
          <w:highlight w:val="none"/>
          <w:u w:val="single"/>
          <w:lang w:eastAsia="zh-CN"/>
        </w:rPr>
        <w:t>石灰岩采购</w:t>
      </w:r>
      <w:r>
        <w:rPr>
          <w:rFonts w:hint="eastAsia" w:ascii="宋体" w:hAnsi="宋体" w:eastAsia="宋体" w:cs="宋体"/>
          <w:b/>
          <w:bCs/>
          <w:color w:val="auto"/>
          <w:sz w:val="24"/>
          <w:highlight w:val="none"/>
          <w:u w:val="single"/>
        </w:rPr>
        <w:t>”保证金。</w:t>
      </w:r>
    </w:p>
    <w:p w14:paraId="49C4128B">
      <w:pPr>
        <w:keepNext w:val="0"/>
        <w:keepLines w:val="0"/>
        <w:pageBreakBefore w:val="0"/>
        <w:widowControl/>
        <w:numPr>
          <w:ilvl w:val="0"/>
          <w:numId w:val="2"/>
        </w:numPr>
        <w:kinsoku/>
        <w:wordWrap/>
        <w:overflowPunct/>
        <w:topLinePunct w:val="0"/>
        <w:autoSpaceDE/>
        <w:autoSpaceDN/>
        <w:bidi w:val="0"/>
        <w:spacing w:line="380" w:lineRule="exact"/>
        <w:ind w:firstLine="482" w:firstLineChars="200"/>
        <w:textAlignment w:val="auto"/>
        <w:rPr>
          <w:rFonts w:hint="eastAsia" w:ascii="宋体" w:hAnsi="宋体" w:eastAsia="宋体" w:cs="宋体"/>
          <w:b/>
          <w:bCs/>
          <w:color w:val="auto"/>
          <w:sz w:val="24"/>
          <w:highlight w:val="none"/>
          <w:u w:val="single"/>
          <w:lang w:val="en-US" w:eastAsia="zh-CN"/>
        </w:rPr>
      </w:pPr>
      <w:r>
        <w:rPr>
          <w:rFonts w:hint="eastAsia" w:ascii="宋体" w:hAnsi="宋体" w:eastAsia="宋体" w:cs="宋体"/>
          <w:b/>
          <w:bCs/>
          <w:color w:val="auto"/>
          <w:sz w:val="24"/>
          <w:highlight w:val="none"/>
          <w:u w:val="single"/>
          <w:lang w:val="en-US" w:eastAsia="zh-CN"/>
        </w:rPr>
        <w:t>如使用保函形式的，保函应在4个月内保持有效；被保险人（受益人）为采购代理机构或采购人。</w:t>
      </w:r>
    </w:p>
    <w:p w14:paraId="7DE8CFD6">
      <w:pPr>
        <w:keepNext w:val="0"/>
        <w:keepLines w:val="0"/>
        <w:pageBreakBefore w:val="0"/>
        <w:widowControl/>
        <w:numPr>
          <w:ilvl w:val="0"/>
          <w:numId w:val="0"/>
        </w:numPr>
        <w:kinsoku/>
        <w:wordWrap/>
        <w:overflowPunct/>
        <w:topLinePunct w:val="0"/>
        <w:autoSpaceDE/>
        <w:autoSpaceDN/>
        <w:bidi w:val="0"/>
        <w:spacing w:line="380" w:lineRule="exact"/>
        <w:textAlignment w:val="auto"/>
        <w:rPr>
          <w:rFonts w:hint="eastAsia" w:ascii="宋体" w:hAnsi="宋体" w:cs="宋体"/>
          <w:color w:val="auto"/>
          <w:kern w:val="0"/>
          <w:sz w:val="24"/>
          <w:highlight w:val="none"/>
        </w:rPr>
      </w:pPr>
      <w:r>
        <w:rPr>
          <w:rFonts w:hint="eastAsia" w:ascii="宋体" w:hAnsi="宋体" w:cs="宋体"/>
          <w:b/>
          <w:bCs/>
          <w:color w:val="auto"/>
          <w:kern w:val="0"/>
          <w:sz w:val="24"/>
          <w:highlight w:val="none"/>
        </w:rPr>
        <w:t>五、提交投标文件截止时间、开标时间和地点</w:t>
      </w:r>
    </w:p>
    <w:p w14:paraId="2D28FFFB">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提交投标文件截止时间：</w:t>
      </w:r>
      <w:r>
        <w:rPr>
          <w:rFonts w:hint="eastAsia" w:ascii="宋体" w:hAnsi="宋体" w:cs="宋体"/>
          <w:b w:val="0"/>
          <w:bCs w:val="0"/>
          <w:color w:val="auto"/>
          <w:sz w:val="24"/>
          <w:highlight w:val="none"/>
          <w:u w:val="single"/>
          <w:lang w:eastAsia="zh-CN"/>
        </w:rPr>
        <w:t>2024年</w:t>
      </w:r>
      <w:r>
        <w:rPr>
          <w:rFonts w:hint="eastAsia" w:ascii="宋体" w:hAnsi="宋体" w:cs="宋体"/>
          <w:b w:val="0"/>
          <w:bCs w:val="0"/>
          <w:color w:val="auto"/>
          <w:sz w:val="24"/>
          <w:highlight w:val="none"/>
          <w:u w:val="single"/>
          <w:lang w:val="en-US" w:eastAsia="zh-CN"/>
        </w:rPr>
        <w:t>12月17日</w:t>
      </w:r>
      <w:r>
        <w:rPr>
          <w:rFonts w:hint="eastAsia" w:ascii="宋体" w:hAnsi="宋体" w:cs="宋体"/>
          <w:b w:val="0"/>
          <w:bCs w:val="0"/>
          <w:color w:val="auto"/>
          <w:sz w:val="24"/>
          <w:highlight w:val="none"/>
          <w:u w:val="single"/>
          <w:lang w:eastAsia="zh-CN"/>
        </w:rPr>
        <w:t>14</w:t>
      </w:r>
      <w:r>
        <w:rPr>
          <w:rFonts w:hint="eastAsia" w:ascii="宋体" w:hAnsi="宋体" w:cs="宋体"/>
          <w:b w:val="0"/>
          <w:bCs w:val="0"/>
          <w:color w:val="auto"/>
          <w:sz w:val="24"/>
          <w:highlight w:val="none"/>
          <w:u w:val="single"/>
          <w:lang w:val="en-US" w:eastAsia="zh-CN"/>
        </w:rPr>
        <w:t>:</w:t>
      </w:r>
      <w:r>
        <w:rPr>
          <w:rFonts w:hint="eastAsia" w:ascii="宋体" w:hAnsi="宋体" w:cs="宋体"/>
          <w:b w:val="0"/>
          <w:bCs w:val="0"/>
          <w:color w:val="auto"/>
          <w:sz w:val="24"/>
          <w:highlight w:val="none"/>
          <w:u w:val="single"/>
          <w:lang w:eastAsia="zh-CN"/>
        </w:rPr>
        <w:t>30</w:t>
      </w:r>
      <w:r>
        <w:rPr>
          <w:rFonts w:hint="eastAsia" w:ascii="宋体" w:hAnsi="宋体" w:cs="宋体"/>
          <w:color w:val="auto"/>
          <w:kern w:val="0"/>
          <w:sz w:val="24"/>
          <w:highlight w:val="none"/>
        </w:rPr>
        <w:t>（北京时间）</w:t>
      </w:r>
    </w:p>
    <w:p w14:paraId="0C7D7A0F">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投标地点（网址）：</w:t>
      </w:r>
      <w:r>
        <w:rPr>
          <w:rFonts w:hint="eastAsia" w:ascii="宋体" w:hAnsi="宋体" w:cs="宋体"/>
          <w:color w:val="auto"/>
          <w:kern w:val="0"/>
          <w:sz w:val="24"/>
          <w:highlight w:val="none"/>
          <w:u w:val="single"/>
        </w:rPr>
        <w:t>请登录</w:t>
      </w:r>
      <w:r>
        <w:rPr>
          <w:rFonts w:hint="eastAsia" w:ascii="宋体" w:hAnsi="宋体" w:cs="宋体"/>
          <w:color w:val="auto"/>
          <w:kern w:val="0"/>
          <w:sz w:val="24"/>
          <w:highlight w:val="none"/>
          <w:u w:val="single"/>
          <w:lang w:eastAsia="zh-CN"/>
        </w:rPr>
        <w:t>乐采云</w:t>
      </w:r>
      <w:r>
        <w:rPr>
          <w:rFonts w:hint="eastAsia" w:ascii="宋体" w:hAnsi="宋体" w:cs="宋体"/>
          <w:color w:val="auto"/>
          <w:kern w:val="0"/>
          <w:sz w:val="24"/>
          <w:highlight w:val="none"/>
          <w:u w:val="single"/>
        </w:rPr>
        <w:t>投标客户端投标</w:t>
      </w:r>
    </w:p>
    <w:p w14:paraId="4587244C">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开标时间：</w:t>
      </w:r>
      <w:r>
        <w:rPr>
          <w:rFonts w:hint="eastAsia" w:ascii="宋体" w:hAnsi="宋体" w:cs="宋体"/>
          <w:b w:val="0"/>
          <w:bCs w:val="0"/>
          <w:color w:val="auto"/>
          <w:sz w:val="24"/>
          <w:highlight w:val="none"/>
          <w:u w:val="single"/>
          <w:lang w:eastAsia="zh-CN"/>
        </w:rPr>
        <w:t>2024年</w:t>
      </w:r>
      <w:r>
        <w:rPr>
          <w:rFonts w:hint="eastAsia" w:ascii="宋体" w:hAnsi="宋体" w:cs="宋体"/>
          <w:b w:val="0"/>
          <w:bCs w:val="0"/>
          <w:color w:val="auto"/>
          <w:sz w:val="24"/>
          <w:highlight w:val="none"/>
          <w:u w:val="single"/>
          <w:lang w:val="en-US" w:eastAsia="zh-CN"/>
        </w:rPr>
        <w:t>12月17日</w:t>
      </w:r>
      <w:r>
        <w:rPr>
          <w:rFonts w:hint="eastAsia" w:ascii="宋体" w:hAnsi="宋体" w:cs="宋体"/>
          <w:b w:val="0"/>
          <w:bCs w:val="0"/>
          <w:color w:val="auto"/>
          <w:sz w:val="24"/>
          <w:highlight w:val="none"/>
          <w:u w:val="single"/>
          <w:lang w:eastAsia="zh-CN"/>
        </w:rPr>
        <w:t>14</w:t>
      </w:r>
      <w:r>
        <w:rPr>
          <w:rFonts w:hint="eastAsia" w:ascii="宋体" w:hAnsi="宋体" w:cs="宋体"/>
          <w:b w:val="0"/>
          <w:bCs w:val="0"/>
          <w:color w:val="auto"/>
          <w:sz w:val="24"/>
          <w:highlight w:val="none"/>
          <w:u w:val="single"/>
          <w:lang w:val="en-US" w:eastAsia="zh-CN"/>
        </w:rPr>
        <w:t>:</w:t>
      </w:r>
      <w:r>
        <w:rPr>
          <w:rFonts w:hint="eastAsia" w:ascii="宋体" w:hAnsi="宋体" w:cs="宋体"/>
          <w:b w:val="0"/>
          <w:bCs w:val="0"/>
          <w:color w:val="auto"/>
          <w:sz w:val="24"/>
          <w:highlight w:val="none"/>
          <w:u w:val="single"/>
          <w:lang w:eastAsia="zh-CN"/>
        </w:rPr>
        <w:t>30</w:t>
      </w:r>
      <w:r>
        <w:rPr>
          <w:rFonts w:hint="eastAsia" w:ascii="宋体" w:hAnsi="宋体" w:cs="宋体"/>
          <w:color w:val="auto"/>
          <w:kern w:val="0"/>
          <w:sz w:val="24"/>
          <w:highlight w:val="none"/>
        </w:rPr>
        <w:t>（北京时间）</w:t>
      </w:r>
    </w:p>
    <w:p w14:paraId="43F2A6A5">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开标地点（网址）：</w:t>
      </w:r>
      <w:r>
        <w:rPr>
          <w:rFonts w:hint="eastAsia" w:ascii="宋体" w:hAnsi="宋体" w:cs="宋体"/>
          <w:color w:val="auto"/>
          <w:kern w:val="0"/>
          <w:sz w:val="24"/>
          <w:highlight w:val="none"/>
          <w:u w:val="single"/>
        </w:rPr>
        <w:t>浦江县人民东路83号金华市公共资源交易中心浦江县分中心</w:t>
      </w:r>
    </w:p>
    <w:p w14:paraId="120A2238">
      <w:pPr>
        <w:widowControl/>
        <w:spacing w:line="380" w:lineRule="exact"/>
        <w:rPr>
          <w:rFonts w:hint="eastAsia" w:ascii="宋体" w:hAnsi="宋体" w:cs="宋体"/>
          <w:color w:val="auto"/>
          <w:kern w:val="0"/>
          <w:sz w:val="24"/>
          <w:highlight w:val="none"/>
        </w:rPr>
      </w:pPr>
      <w:r>
        <w:rPr>
          <w:rFonts w:hint="eastAsia" w:ascii="宋体" w:hAnsi="宋体" w:cs="宋体"/>
          <w:b/>
          <w:bCs/>
          <w:color w:val="auto"/>
          <w:kern w:val="0"/>
          <w:sz w:val="24"/>
          <w:highlight w:val="none"/>
        </w:rPr>
        <w:t>六、公告期限</w:t>
      </w:r>
    </w:p>
    <w:p w14:paraId="3A03CD97">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1783040C">
      <w:pPr>
        <w:widowControl/>
        <w:spacing w:line="380" w:lineRule="exact"/>
        <w:rPr>
          <w:rFonts w:hint="eastAsia" w:ascii="宋体" w:hAnsi="宋体" w:cs="宋体"/>
          <w:color w:val="auto"/>
          <w:kern w:val="0"/>
          <w:sz w:val="24"/>
          <w:highlight w:val="none"/>
        </w:rPr>
      </w:pPr>
      <w:r>
        <w:rPr>
          <w:rFonts w:hint="eastAsia" w:ascii="宋体" w:hAnsi="宋体" w:cs="宋体"/>
          <w:b/>
          <w:bCs/>
          <w:color w:val="auto"/>
          <w:kern w:val="0"/>
          <w:sz w:val="24"/>
          <w:highlight w:val="none"/>
        </w:rPr>
        <w:t>七、其他补充事宜</w:t>
      </w:r>
    </w:p>
    <w:p w14:paraId="2A8DEB45">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监督管理部门投诉。质疑函范本、投诉书范本请到浙江政府采购网下载专区下载。</w:t>
      </w:r>
    </w:p>
    <w:p w14:paraId="7BD3ADB1">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根据《浙江省财政厅关于规范政府采购投标人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 　</w:t>
      </w:r>
    </w:p>
    <w:p w14:paraId="13536A74">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3.其他事项</w:t>
      </w:r>
    </w:p>
    <w:p w14:paraId="1C504EA9">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（1）本项目非专门面向中小企业采购的项目。</w:t>
      </w:r>
    </w:p>
    <w:p w14:paraId="48D5C9E3">
      <w:pPr>
        <w:widowControl/>
        <w:spacing w:line="380" w:lineRule="exact"/>
        <w:ind w:firstLine="384"/>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）本项目采取电子招投标，电子招投标有关事项说明：</w:t>
      </w:r>
    </w:p>
    <w:p w14:paraId="0F73D8B9">
      <w:pPr>
        <w:keepNext w:val="0"/>
        <w:keepLines w:val="0"/>
        <w:pageBreakBefore w:val="0"/>
        <w:widowControl/>
        <w:kinsoku/>
        <w:wordWrap/>
        <w:overflowPunct/>
        <w:topLinePunct w:val="0"/>
        <w:autoSpaceDE/>
        <w:autoSpaceDN/>
        <w:bidi w:val="0"/>
        <w:spacing w:line="360" w:lineRule="exact"/>
        <w:ind w:firstLine="384"/>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A.首次参加投标的单位通过“</w:t>
      </w: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www.lecaiyun.com</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入驻中心</w:t>
      </w:r>
      <w:r>
        <w:rPr>
          <w:rFonts w:hint="eastAsia" w:ascii="宋体" w:hAnsi="宋体" w:cs="宋体"/>
          <w:color w:val="auto"/>
          <w:kern w:val="0"/>
          <w:sz w:val="24"/>
          <w:highlight w:val="none"/>
        </w:rPr>
        <w:t>”进行账户注册，注册完毕待审核成功成为</w:t>
      </w: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供应商后方可登录获取，注册咨询电话：</w:t>
      </w:r>
      <w:r>
        <w:rPr>
          <w:rFonts w:hint="eastAsia" w:ascii="宋体" w:hAnsi="宋体" w:cs="宋体"/>
          <w:color w:val="auto"/>
          <w:kern w:val="0"/>
          <w:sz w:val="24"/>
          <w:highlight w:val="none"/>
          <w:lang w:eastAsia="zh-CN"/>
        </w:rPr>
        <w:t>95763</w:t>
      </w:r>
      <w:r>
        <w:rPr>
          <w:rFonts w:hint="eastAsia" w:ascii="宋体" w:hAnsi="宋体" w:cs="宋体"/>
          <w:color w:val="auto"/>
          <w:kern w:val="0"/>
          <w:sz w:val="24"/>
          <w:highlight w:val="none"/>
        </w:rPr>
        <w:t>。因未注册入库造成无法投标或投标失败等后果由供应商自行承担。</w:t>
      </w:r>
    </w:p>
    <w:p w14:paraId="198E5AC9">
      <w:pPr>
        <w:keepNext w:val="0"/>
        <w:keepLines w:val="0"/>
        <w:pageBreakBefore w:val="0"/>
        <w:widowControl/>
        <w:kinsoku/>
        <w:wordWrap/>
        <w:overflowPunct/>
        <w:topLinePunct w:val="0"/>
        <w:autoSpaceDE/>
        <w:autoSpaceDN/>
        <w:bidi w:val="0"/>
        <w:spacing w:line="360" w:lineRule="exact"/>
        <w:ind w:firstLine="384"/>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B.投标人须申领CA，相关操作可参考“浙江政府采购网-下载专区-电子交易客户端-CA驱动和申领流程”。</w:t>
      </w:r>
      <w:r>
        <w:rPr>
          <w:rFonts w:hint="eastAsia" w:ascii="宋体" w:hAnsi="宋体" w:cs="宋体"/>
          <w:b/>
          <w:bCs/>
          <w:color w:val="auto"/>
          <w:kern w:val="0"/>
          <w:sz w:val="24"/>
          <w:highlight w:val="none"/>
        </w:rPr>
        <w:t>CA数字证书办理预计一周左右，建议各投标人抓紧时间办理</w:t>
      </w:r>
      <w:r>
        <w:rPr>
          <w:rFonts w:hint="eastAsia" w:ascii="宋体" w:hAnsi="宋体" w:cs="宋体"/>
          <w:color w:val="auto"/>
          <w:kern w:val="0"/>
          <w:sz w:val="24"/>
          <w:highlight w:val="none"/>
        </w:rPr>
        <w:t>。因未办理CA数字证书造成无法投标或投标失败等后果由供应商自行承担。</w:t>
      </w:r>
    </w:p>
    <w:p w14:paraId="630BCACB">
      <w:pPr>
        <w:keepNext w:val="0"/>
        <w:keepLines w:val="0"/>
        <w:pageBreakBefore w:val="0"/>
        <w:widowControl/>
        <w:kinsoku/>
        <w:wordWrap/>
        <w:overflowPunct/>
        <w:topLinePunct w:val="0"/>
        <w:autoSpaceDE/>
        <w:autoSpaceDN/>
        <w:bidi w:val="0"/>
        <w:spacing w:line="360" w:lineRule="exact"/>
        <w:ind w:firstLine="384"/>
        <w:jc w:val="left"/>
        <w:textAlignment w:val="auto"/>
        <w:rPr>
          <w:rFonts w:hint="eastAsia" w:ascii="宋体" w:hAnsi="宋体" w:cs="宋体"/>
          <w:color w:val="auto"/>
          <w:sz w:val="24"/>
          <w:highlight w:val="none"/>
        </w:rPr>
      </w:pPr>
      <w:r>
        <w:rPr>
          <w:rFonts w:hint="eastAsia" w:ascii="宋体" w:hAnsi="宋体" w:cs="宋体"/>
          <w:color w:val="auto"/>
          <w:kern w:val="0"/>
          <w:sz w:val="24"/>
          <w:highlight w:val="none"/>
        </w:rPr>
        <w:t>C.投标人使用账号或CA登录</w:t>
      </w: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www.lecaiyun.com</w:t>
      </w:r>
      <w:r>
        <w:rPr>
          <w:rFonts w:hint="eastAsia" w:ascii="宋体" w:hAnsi="宋体" w:cs="宋体"/>
          <w:color w:val="auto"/>
          <w:kern w:val="0"/>
          <w:sz w:val="24"/>
          <w:highlight w:val="none"/>
        </w:rPr>
        <w:t>）进入</w:t>
      </w:r>
      <w:r>
        <w:rPr>
          <w:rFonts w:hint="eastAsia" w:ascii="宋体" w:hAnsi="宋体" w:cs="宋体"/>
          <w:color w:val="auto"/>
          <w:kern w:val="0"/>
          <w:sz w:val="24"/>
          <w:highlight w:val="none"/>
          <w:lang w:eastAsia="zh-CN"/>
        </w:rPr>
        <w:t>乐采云</w:t>
      </w:r>
      <w:r>
        <w:rPr>
          <w:rFonts w:hint="eastAsia" w:ascii="宋体" w:hAnsi="宋体" w:cs="宋体"/>
          <w:color w:val="auto"/>
          <w:kern w:val="0"/>
          <w:sz w:val="24"/>
          <w:highlight w:val="none"/>
        </w:rPr>
        <w:t>系统“项目采购”模块“获取采购文件”菜单中选择项目，网上获取采购文件。通过本公告下方“游客，浏览采购文件”下载的采购文件仅供浏览。</w:t>
      </w:r>
    </w:p>
    <w:p w14:paraId="62ACE9C8">
      <w:pPr>
        <w:keepNext w:val="0"/>
        <w:keepLines w:val="0"/>
        <w:pageBreakBefore w:val="0"/>
        <w:widowControl/>
        <w:kinsoku/>
        <w:wordWrap/>
        <w:overflowPunct/>
        <w:topLinePunct w:val="0"/>
        <w:autoSpaceDE/>
        <w:autoSpaceDN/>
        <w:bidi w:val="0"/>
        <w:spacing w:line="360" w:lineRule="exact"/>
        <w:ind w:firstLine="384"/>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D.本项目通过“</w:t>
      </w: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www.lecaiyun.com</w:t>
      </w:r>
      <w:r>
        <w:rPr>
          <w:rFonts w:hint="eastAsia" w:ascii="宋体" w:hAnsi="宋体" w:cs="宋体"/>
          <w:color w:val="auto"/>
          <w:kern w:val="0"/>
          <w:sz w:val="24"/>
          <w:highlight w:val="none"/>
        </w:rPr>
        <w:t>）”实行电子投标，不接受纸质投标文件，投标人须安装客户端软件，并按照采购文件和电子交易平台的要求制作投标文件。</w:t>
      </w:r>
    </w:p>
    <w:p w14:paraId="36EF9A69">
      <w:pPr>
        <w:keepNext w:val="0"/>
        <w:keepLines w:val="0"/>
        <w:pageBreakBefore w:val="0"/>
        <w:widowControl/>
        <w:kinsoku/>
        <w:wordWrap/>
        <w:overflowPunct/>
        <w:topLinePunct w:val="0"/>
        <w:autoSpaceDE/>
        <w:autoSpaceDN/>
        <w:bidi w:val="0"/>
        <w:spacing w:line="360" w:lineRule="exact"/>
        <w:ind w:firstLine="384"/>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客户端软件下载方式：投标人可通过“乐采云-投标客户端”进行下载</w:t>
      </w:r>
      <w:r>
        <w:rPr>
          <w:rFonts w:hint="eastAsia" w:ascii="宋体" w:hAnsi="宋体" w:cs="宋体"/>
          <w:color w:val="auto"/>
          <w:kern w:val="0"/>
          <w:sz w:val="24"/>
          <w:highlight w:val="none"/>
          <w:lang w:eastAsia="zh-CN"/>
        </w:rPr>
        <w:t>。</w:t>
      </w:r>
    </w:p>
    <w:p w14:paraId="00E0A01D">
      <w:pPr>
        <w:snapToGrid w:val="0"/>
        <w:ind w:firstLine="420"/>
        <w:rPr>
          <w:rFonts w:hint="eastAsia"/>
          <w:b/>
          <w:color w:val="auto"/>
          <w:sz w:val="24"/>
          <w:highlight w:val="none"/>
        </w:rPr>
      </w:pPr>
      <w:r>
        <w:rPr>
          <w:rFonts w:hint="eastAsia"/>
          <w:b/>
          <w:color w:val="auto"/>
          <w:sz w:val="24"/>
          <w:highlight w:val="none"/>
        </w:rPr>
        <w:t>八</w:t>
      </w:r>
      <w:r>
        <w:rPr>
          <w:b/>
          <w:color w:val="auto"/>
          <w:sz w:val="24"/>
          <w:highlight w:val="none"/>
        </w:rPr>
        <w:t>、</w:t>
      </w:r>
      <w:r>
        <w:rPr>
          <w:rFonts w:hint="eastAsia"/>
          <w:b/>
          <w:color w:val="auto"/>
          <w:sz w:val="24"/>
          <w:highlight w:val="none"/>
        </w:rPr>
        <w:t>凡对本次</w:t>
      </w:r>
      <w:r>
        <w:rPr>
          <w:rFonts w:hint="eastAsia"/>
          <w:b/>
          <w:color w:val="auto"/>
          <w:sz w:val="24"/>
          <w:highlight w:val="none"/>
          <w:lang w:eastAsia="zh-CN"/>
        </w:rPr>
        <w:t>采购</w:t>
      </w:r>
      <w:r>
        <w:rPr>
          <w:rFonts w:hint="eastAsia"/>
          <w:b/>
          <w:color w:val="auto"/>
          <w:sz w:val="24"/>
          <w:highlight w:val="none"/>
        </w:rPr>
        <w:t>提出询问、质疑、投诉，请按以下方式联系</w:t>
      </w:r>
    </w:p>
    <w:p w14:paraId="6A966383">
      <w:pPr>
        <w:widowControl/>
        <w:adjustRightInd w:val="0"/>
        <w:snapToGrid w:val="0"/>
        <w:ind w:firstLine="361" w:firstLineChars="150"/>
        <w:jc w:val="left"/>
        <w:rPr>
          <w:b/>
          <w:bCs/>
          <w:color w:val="auto"/>
          <w:sz w:val="24"/>
          <w:szCs w:val="20"/>
          <w:highlight w:val="none"/>
        </w:rPr>
      </w:pPr>
      <w:r>
        <w:rPr>
          <w:b/>
          <w:bCs/>
          <w:color w:val="auto"/>
          <w:sz w:val="24"/>
          <w:szCs w:val="20"/>
          <w:highlight w:val="none"/>
        </w:rPr>
        <w:t>1.采购人信息</w:t>
      </w:r>
      <w:r>
        <w:rPr>
          <w:rFonts w:hint="eastAsia"/>
          <w:b/>
          <w:bCs/>
          <w:color w:val="auto"/>
          <w:sz w:val="24"/>
          <w:szCs w:val="20"/>
          <w:highlight w:val="none"/>
        </w:rPr>
        <w:t>：</w:t>
      </w:r>
    </w:p>
    <w:p w14:paraId="1CFE703F">
      <w:pPr>
        <w:widowControl/>
        <w:adjustRightInd w:val="0"/>
        <w:snapToGrid w:val="0"/>
        <w:jc w:val="left"/>
        <w:rPr>
          <w:rFonts w:hint="eastAsia" w:ascii="宋体" w:hAnsi="宋体" w:cs="宋体"/>
          <w:color w:val="auto"/>
          <w:sz w:val="24"/>
          <w:highlight w:val="none"/>
        </w:rPr>
      </w:pPr>
      <w:r>
        <w:rPr>
          <w:color w:val="auto"/>
          <w:sz w:val="24"/>
          <w:szCs w:val="20"/>
          <w:highlight w:val="none"/>
        </w:rPr>
        <w:t>   </w:t>
      </w:r>
      <w:r>
        <w:rPr>
          <w:rFonts w:hint="eastAsia" w:ascii="宋体" w:hAnsi="宋体" w:cs="宋体"/>
          <w:color w:val="auto"/>
          <w:sz w:val="24"/>
          <w:highlight w:val="none"/>
        </w:rPr>
        <w:t xml:space="preserve"> </w:t>
      </w:r>
      <w:r>
        <w:rPr>
          <w:color w:val="auto"/>
          <w:sz w:val="24"/>
          <w:szCs w:val="20"/>
          <w:highlight w:val="none"/>
        </w:rPr>
        <w:t> </w:t>
      </w:r>
      <w:r>
        <w:rPr>
          <w:rFonts w:hint="eastAsia" w:ascii="宋体" w:hAnsi="宋体" w:cs="宋体"/>
          <w:color w:val="auto"/>
          <w:sz w:val="24"/>
          <w:highlight w:val="none"/>
        </w:rPr>
        <w:t>名   称：</w:t>
      </w:r>
      <w:r>
        <w:rPr>
          <w:rFonts w:hint="eastAsia" w:ascii="宋体" w:hAnsi="宋体" w:cs="宋体"/>
          <w:color w:val="auto"/>
          <w:kern w:val="0"/>
          <w:sz w:val="24"/>
          <w:highlight w:val="none"/>
          <w:lang w:eastAsia="zh-CN"/>
        </w:rPr>
        <w:t>浦江县交投贸易有限公司</w:t>
      </w:r>
      <w:r>
        <w:rPr>
          <w:rFonts w:hint="eastAsia" w:ascii="宋体" w:hAnsi="宋体" w:cs="宋体"/>
          <w:color w:val="auto"/>
          <w:kern w:val="0"/>
          <w:sz w:val="24"/>
          <w:highlight w:val="none"/>
        </w:rPr>
        <w:t xml:space="preserve"> </w:t>
      </w:r>
    </w:p>
    <w:p w14:paraId="11B04AC5">
      <w:pPr>
        <w:widowControl/>
        <w:adjustRightInd w:val="0"/>
        <w:snapToGrid w:val="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  地   址：浙江省浦江县浦阳街道江滨中路26号</w:t>
      </w:r>
      <w:r>
        <w:rPr>
          <w:rFonts w:hint="eastAsia" w:ascii="宋体" w:hAnsi="宋体" w:cs="宋体"/>
          <w:color w:val="auto"/>
          <w:kern w:val="0"/>
          <w:sz w:val="24"/>
          <w:highlight w:val="none"/>
          <w:lang w:val="en-US" w:eastAsia="zh-CN"/>
        </w:rPr>
        <w:t xml:space="preserve"> </w:t>
      </w:r>
    </w:p>
    <w:p w14:paraId="3154CEBA">
      <w:pPr>
        <w:widowControl/>
        <w:adjustRightInd w:val="0"/>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  项目联系人（询问）：</w:t>
      </w:r>
      <w:r>
        <w:rPr>
          <w:rFonts w:hint="eastAsia" w:ascii="宋体" w:hAnsi="宋体" w:cs="宋体"/>
          <w:color w:val="auto"/>
          <w:sz w:val="24"/>
          <w:highlight w:val="none"/>
          <w:lang w:val="en-US" w:eastAsia="zh-CN"/>
        </w:rPr>
        <w:t>郑坚祥</w:t>
      </w:r>
    </w:p>
    <w:p w14:paraId="6ACD6AA2">
      <w:pPr>
        <w:widowControl/>
        <w:adjustRightInd w:val="0"/>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  项目联系方式（询问）：13</w:t>
      </w:r>
      <w:r>
        <w:rPr>
          <w:rFonts w:hint="eastAsia" w:ascii="宋体" w:hAnsi="宋体" w:cs="宋体"/>
          <w:color w:val="auto"/>
          <w:sz w:val="24"/>
          <w:highlight w:val="none"/>
          <w:lang w:val="en-US" w:eastAsia="zh-CN"/>
        </w:rPr>
        <w:t>626891017</w:t>
      </w:r>
    </w:p>
    <w:p w14:paraId="437414AE">
      <w:pPr>
        <w:widowControl/>
        <w:adjustRightInd w:val="0"/>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  质疑联系人：</w:t>
      </w:r>
      <w:r>
        <w:rPr>
          <w:rFonts w:hint="eastAsia" w:ascii="宋体" w:hAnsi="宋体" w:cs="宋体"/>
          <w:color w:val="auto"/>
          <w:sz w:val="24"/>
          <w:highlight w:val="none"/>
          <w:lang w:val="en-US" w:eastAsia="zh-CN"/>
        </w:rPr>
        <w:t xml:space="preserve"> 顾德胜</w:t>
      </w:r>
    </w:p>
    <w:p w14:paraId="028638AB">
      <w:pPr>
        <w:widowControl/>
        <w:adjustRightInd w:val="0"/>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  质疑联系方式：18</w:t>
      </w:r>
      <w:r>
        <w:rPr>
          <w:rFonts w:hint="eastAsia" w:ascii="宋体" w:hAnsi="宋体" w:cs="宋体"/>
          <w:color w:val="auto"/>
          <w:sz w:val="24"/>
          <w:highlight w:val="none"/>
          <w:lang w:val="en-US" w:eastAsia="zh-CN"/>
        </w:rPr>
        <w:t xml:space="preserve">266952223 </w:t>
      </w:r>
    </w:p>
    <w:p w14:paraId="495594E8">
      <w:pPr>
        <w:widowControl/>
        <w:adjustRightInd w:val="0"/>
        <w:snapToGrid w:val="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404BC779">
      <w:pPr>
        <w:widowControl/>
        <w:adjustRightInd w:val="0"/>
        <w:snapToGrid w:val="0"/>
        <w:jc w:val="left"/>
        <w:rPr>
          <w:rFonts w:hint="eastAsia" w:eastAsia="宋体"/>
          <w:color w:val="auto"/>
          <w:sz w:val="24"/>
          <w:szCs w:val="20"/>
          <w:highlight w:val="none"/>
          <w:lang w:eastAsia="zh-CN"/>
        </w:rPr>
      </w:pPr>
      <w:r>
        <w:rPr>
          <w:color w:val="auto"/>
          <w:sz w:val="24"/>
          <w:szCs w:val="20"/>
          <w:highlight w:val="none"/>
        </w:rPr>
        <w:t>   </w:t>
      </w:r>
    </w:p>
    <w:p w14:paraId="2B234110">
      <w:pPr>
        <w:widowControl/>
        <w:adjustRightInd w:val="0"/>
        <w:snapToGrid w:val="0"/>
        <w:jc w:val="left"/>
        <w:rPr>
          <w:color w:val="auto"/>
          <w:sz w:val="24"/>
          <w:szCs w:val="20"/>
          <w:highlight w:val="none"/>
        </w:rPr>
      </w:pPr>
      <w:r>
        <w:rPr>
          <w:color w:val="auto"/>
          <w:sz w:val="24"/>
          <w:szCs w:val="20"/>
          <w:highlight w:val="none"/>
        </w:rPr>
        <w:t>   </w:t>
      </w:r>
      <w:r>
        <w:rPr>
          <w:b/>
          <w:bCs/>
          <w:color w:val="auto"/>
          <w:sz w:val="24"/>
          <w:szCs w:val="20"/>
          <w:highlight w:val="none"/>
        </w:rPr>
        <w:t xml:space="preserve"> 2.采购代理机构信息</w:t>
      </w:r>
      <w:r>
        <w:rPr>
          <w:rFonts w:hint="eastAsia"/>
          <w:b/>
          <w:bCs/>
          <w:color w:val="auto"/>
          <w:sz w:val="24"/>
          <w:szCs w:val="20"/>
          <w:highlight w:val="none"/>
        </w:rPr>
        <w:t>：</w:t>
      </w:r>
    </w:p>
    <w:p w14:paraId="0D7DC008">
      <w:pPr>
        <w:widowControl/>
        <w:adjustRightInd w:val="0"/>
        <w:snapToGrid w:val="0"/>
        <w:ind w:firstLine="360"/>
        <w:jc w:val="left"/>
        <w:rPr>
          <w:rFonts w:hint="eastAsia" w:ascii="宋体" w:hAnsi="宋体" w:cs="宋体"/>
          <w:color w:val="auto"/>
          <w:kern w:val="0"/>
          <w:sz w:val="24"/>
          <w:highlight w:val="none"/>
        </w:rPr>
      </w:pPr>
      <w:r>
        <w:rPr>
          <w:color w:val="auto"/>
          <w:sz w:val="24"/>
          <w:szCs w:val="20"/>
          <w:highlight w:val="none"/>
        </w:rPr>
        <w:t>名    称：</w:t>
      </w:r>
      <w:r>
        <w:rPr>
          <w:rFonts w:hint="eastAsia" w:ascii="宋体" w:hAnsi="宋体" w:cs="宋体"/>
          <w:color w:val="auto"/>
          <w:kern w:val="0"/>
          <w:sz w:val="24"/>
          <w:highlight w:val="none"/>
        </w:rPr>
        <w:t>浦江县产权交易有限公司</w:t>
      </w:r>
    </w:p>
    <w:p w14:paraId="38922B92">
      <w:pPr>
        <w:widowControl/>
        <w:adjustRightInd w:val="0"/>
        <w:snapToGrid w:val="0"/>
        <w:ind w:firstLine="360"/>
        <w:jc w:val="left"/>
        <w:rPr>
          <w:color w:val="auto"/>
          <w:sz w:val="24"/>
          <w:szCs w:val="20"/>
          <w:highlight w:val="none"/>
        </w:rPr>
      </w:pPr>
      <w:r>
        <w:rPr>
          <w:color w:val="auto"/>
          <w:sz w:val="24"/>
          <w:szCs w:val="20"/>
          <w:highlight w:val="none"/>
        </w:rPr>
        <w:t>地    址：</w:t>
      </w:r>
      <w:r>
        <w:rPr>
          <w:rFonts w:hint="eastAsia" w:ascii="宋体" w:hAnsi="宋体" w:cs="宋体"/>
          <w:color w:val="auto"/>
          <w:kern w:val="0"/>
          <w:sz w:val="24"/>
          <w:highlight w:val="none"/>
        </w:rPr>
        <w:t>浦江县中山北路169号中山大厦10楼</w:t>
      </w:r>
      <w:r>
        <w:rPr>
          <w:color w:val="auto"/>
          <w:sz w:val="24"/>
          <w:szCs w:val="20"/>
          <w:highlight w:val="none"/>
        </w:rPr>
        <w:t> </w:t>
      </w:r>
    </w:p>
    <w:p w14:paraId="7F0E2592">
      <w:pPr>
        <w:widowControl/>
        <w:adjustRightInd w:val="0"/>
        <w:snapToGrid w:val="0"/>
        <w:jc w:val="left"/>
        <w:rPr>
          <w:rFonts w:hint="eastAsia" w:eastAsia="宋体"/>
          <w:color w:val="auto"/>
          <w:sz w:val="24"/>
          <w:szCs w:val="20"/>
          <w:highlight w:val="none"/>
          <w:lang w:val="en-US" w:eastAsia="zh-CN"/>
        </w:rPr>
      </w:pPr>
      <w:r>
        <w:rPr>
          <w:color w:val="auto"/>
          <w:sz w:val="24"/>
          <w:szCs w:val="20"/>
          <w:highlight w:val="none"/>
        </w:rPr>
        <w:t>    项目联系人（询问）：</w:t>
      </w:r>
      <w:r>
        <w:rPr>
          <w:rFonts w:hint="eastAsia"/>
          <w:color w:val="auto"/>
          <w:sz w:val="24"/>
          <w:szCs w:val="20"/>
          <w:highlight w:val="none"/>
          <w:lang w:eastAsia="zh-CN"/>
        </w:rPr>
        <w:t>黄琳</w:t>
      </w:r>
    </w:p>
    <w:p w14:paraId="42C80D9B">
      <w:pPr>
        <w:widowControl/>
        <w:adjustRightInd w:val="0"/>
        <w:snapToGrid w:val="0"/>
        <w:jc w:val="left"/>
        <w:rPr>
          <w:rFonts w:hint="default" w:eastAsia="宋体"/>
          <w:color w:val="auto"/>
          <w:sz w:val="24"/>
          <w:szCs w:val="20"/>
          <w:highlight w:val="none"/>
          <w:lang w:val="en-US" w:eastAsia="zh-CN"/>
        </w:rPr>
      </w:pPr>
      <w:r>
        <w:rPr>
          <w:color w:val="auto"/>
          <w:sz w:val="24"/>
          <w:szCs w:val="20"/>
          <w:highlight w:val="none"/>
        </w:rPr>
        <w:t>    项目联系方式（询问）：</w:t>
      </w:r>
      <w:r>
        <w:rPr>
          <w:rFonts w:hint="eastAsia"/>
          <w:color w:val="auto"/>
          <w:sz w:val="24"/>
          <w:szCs w:val="20"/>
          <w:highlight w:val="none"/>
        </w:rPr>
        <w:t>0579-84182015</w:t>
      </w:r>
    </w:p>
    <w:p w14:paraId="06A8A9F6">
      <w:pPr>
        <w:widowControl/>
        <w:adjustRightInd w:val="0"/>
        <w:snapToGrid w:val="0"/>
        <w:jc w:val="left"/>
        <w:rPr>
          <w:rFonts w:hint="eastAsia" w:eastAsia="宋体"/>
          <w:color w:val="auto"/>
          <w:sz w:val="24"/>
          <w:szCs w:val="20"/>
          <w:highlight w:val="none"/>
          <w:lang w:eastAsia="zh-CN"/>
        </w:rPr>
      </w:pPr>
      <w:r>
        <w:rPr>
          <w:color w:val="auto"/>
          <w:sz w:val="24"/>
          <w:szCs w:val="20"/>
          <w:highlight w:val="none"/>
        </w:rPr>
        <w:t>    质疑联系人：</w:t>
      </w:r>
      <w:r>
        <w:rPr>
          <w:rFonts w:hint="eastAsia"/>
          <w:color w:val="auto"/>
          <w:sz w:val="24"/>
          <w:szCs w:val="20"/>
          <w:highlight w:val="none"/>
          <w:lang w:eastAsia="zh-CN"/>
        </w:rPr>
        <w:t>冯美玲</w:t>
      </w:r>
    </w:p>
    <w:p w14:paraId="381DA849">
      <w:pPr>
        <w:widowControl/>
        <w:adjustRightInd w:val="0"/>
        <w:snapToGrid w:val="0"/>
        <w:jc w:val="left"/>
        <w:rPr>
          <w:color w:val="auto"/>
          <w:sz w:val="24"/>
          <w:szCs w:val="20"/>
          <w:highlight w:val="none"/>
        </w:rPr>
      </w:pPr>
      <w:r>
        <w:rPr>
          <w:color w:val="auto"/>
          <w:sz w:val="24"/>
          <w:szCs w:val="20"/>
          <w:highlight w:val="none"/>
        </w:rPr>
        <w:t>    质疑联系方式：</w:t>
      </w:r>
      <w:r>
        <w:rPr>
          <w:rFonts w:hint="eastAsia"/>
          <w:color w:val="auto"/>
          <w:sz w:val="24"/>
          <w:szCs w:val="20"/>
          <w:highlight w:val="none"/>
        </w:rPr>
        <w:t>0579-84182015</w:t>
      </w:r>
    </w:p>
    <w:p w14:paraId="30E3EAC4">
      <w:pPr>
        <w:widowControl/>
        <w:adjustRightInd w:val="0"/>
        <w:snapToGrid w:val="0"/>
        <w:jc w:val="left"/>
        <w:rPr>
          <w:rFonts w:hint="eastAsia" w:eastAsia="宋体"/>
          <w:color w:val="auto"/>
          <w:sz w:val="24"/>
          <w:szCs w:val="20"/>
          <w:highlight w:val="none"/>
          <w:lang w:eastAsia="zh-CN"/>
        </w:rPr>
      </w:pPr>
      <w:r>
        <w:rPr>
          <w:color w:val="auto"/>
          <w:sz w:val="24"/>
          <w:szCs w:val="20"/>
          <w:highlight w:val="none"/>
        </w:rPr>
        <w:t>   </w:t>
      </w:r>
    </w:p>
    <w:p w14:paraId="53C2882C">
      <w:pPr>
        <w:widowControl/>
        <w:adjustRightInd w:val="0"/>
        <w:snapToGrid w:val="0"/>
        <w:jc w:val="left"/>
        <w:rPr>
          <w:color w:val="auto"/>
          <w:sz w:val="24"/>
          <w:szCs w:val="20"/>
          <w:highlight w:val="none"/>
        </w:rPr>
      </w:pPr>
      <w:r>
        <w:rPr>
          <w:b/>
          <w:bCs/>
          <w:color w:val="auto"/>
          <w:sz w:val="24"/>
          <w:szCs w:val="20"/>
          <w:highlight w:val="none"/>
        </w:rPr>
        <w:t>    3. 监督管理部门：</w:t>
      </w:r>
    </w:p>
    <w:p w14:paraId="5BF8DAB0">
      <w:pPr>
        <w:widowControl/>
        <w:adjustRightInd w:val="0"/>
        <w:snapToGrid w:val="0"/>
        <w:jc w:val="left"/>
        <w:rPr>
          <w:color w:val="auto"/>
          <w:sz w:val="24"/>
          <w:szCs w:val="20"/>
          <w:highlight w:val="none"/>
        </w:rPr>
      </w:pPr>
      <w:r>
        <w:rPr>
          <w:color w:val="auto"/>
          <w:sz w:val="24"/>
          <w:szCs w:val="20"/>
          <w:highlight w:val="none"/>
        </w:rPr>
        <w:t>    名    称：</w:t>
      </w:r>
      <w:r>
        <w:rPr>
          <w:rFonts w:hint="eastAsia"/>
          <w:color w:val="auto"/>
          <w:sz w:val="24"/>
          <w:szCs w:val="20"/>
          <w:highlight w:val="none"/>
        </w:rPr>
        <w:t>浦江县人民政府国有资产监督管理办公室</w:t>
      </w:r>
      <w:r>
        <w:rPr>
          <w:color w:val="auto"/>
          <w:sz w:val="24"/>
          <w:szCs w:val="20"/>
          <w:highlight w:val="none"/>
        </w:rPr>
        <w:t> </w:t>
      </w:r>
    </w:p>
    <w:p w14:paraId="03BB2C2C">
      <w:pPr>
        <w:widowControl/>
        <w:adjustRightInd w:val="0"/>
        <w:snapToGrid w:val="0"/>
        <w:jc w:val="left"/>
        <w:rPr>
          <w:color w:val="auto"/>
          <w:sz w:val="24"/>
          <w:szCs w:val="20"/>
          <w:highlight w:val="none"/>
        </w:rPr>
      </w:pPr>
      <w:r>
        <w:rPr>
          <w:color w:val="auto"/>
          <w:sz w:val="24"/>
          <w:szCs w:val="20"/>
          <w:highlight w:val="none"/>
        </w:rPr>
        <w:t>    地    址：</w:t>
      </w:r>
      <w:r>
        <w:rPr>
          <w:rFonts w:hint="eastAsia"/>
          <w:color w:val="auto"/>
          <w:sz w:val="24"/>
          <w:szCs w:val="20"/>
          <w:highlight w:val="none"/>
        </w:rPr>
        <w:t>浦江县东山路76号</w:t>
      </w:r>
      <w:r>
        <w:rPr>
          <w:color w:val="auto"/>
          <w:sz w:val="24"/>
          <w:szCs w:val="20"/>
          <w:highlight w:val="none"/>
        </w:rPr>
        <w:t> </w:t>
      </w:r>
    </w:p>
    <w:p w14:paraId="2C3221FF">
      <w:pPr>
        <w:widowControl/>
        <w:adjustRightInd w:val="0"/>
        <w:snapToGrid w:val="0"/>
        <w:ind w:firstLine="360"/>
        <w:jc w:val="left"/>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联系人：</w:t>
      </w:r>
      <w:r>
        <w:rPr>
          <w:rFonts w:hint="eastAsia" w:ascii="Times New Roman" w:hAnsi="Times New Roman" w:eastAsia="宋体" w:cs="Times New Roman"/>
          <w:color w:val="auto"/>
          <w:sz w:val="24"/>
          <w:szCs w:val="20"/>
          <w:highlight w:val="none"/>
        </w:rPr>
        <w:t>张建伟</w:t>
      </w:r>
      <w:r>
        <w:rPr>
          <w:rFonts w:ascii="Times New Roman" w:hAnsi="Times New Roman" w:eastAsia="宋体" w:cs="Times New Roman"/>
          <w:color w:val="auto"/>
          <w:sz w:val="24"/>
          <w:szCs w:val="20"/>
          <w:highlight w:val="none"/>
        </w:rPr>
        <w:t> </w:t>
      </w:r>
    </w:p>
    <w:p w14:paraId="4F7DCE9D">
      <w:pPr>
        <w:widowControl/>
        <w:adjustRightInd w:val="0"/>
        <w:snapToGrid w:val="0"/>
        <w:ind w:firstLine="360"/>
        <w:jc w:val="left"/>
        <w:rPr>
          <w:rFonts w:hint="eastAsia"/>
          <w:color w:val="auto"/>
          <w:sz w:val="24"/>
          <w:szCs w:val="20"/>
          <w:highlight w:val="none"/>
        </w:rPr>
      </w:pPr>
      <w:r>
        <w:rPr>
          <w:rFonts w:ascii="Times New Roman" w:hAnsi="Times New Roman" w:eastAsia="宋体" w:cs="Times New Roman"/>
          <w:color w:val="auto"/>
          <w:sz w:val="24"/>
          <w:szCs w:val="20"/>
          <w:highlight w:val="none"/>
        </w:rPr>
        <w:t>监督投诉</w:t>
      </w:r>
      <w:r>
        <w:rPr>
          <w:color w:val="auto"/>
          <w:sz w:val="24"/>
          <w:szCs w:val="20"/>
          <w:highlight w:val="none"/>
        </w:rPr>
        <w:t>电话：</w:t>
      </w:r>
      <w:r>
        <w:rPr>
          <w:rFonts w:hint="eastAsia"/>
          <w:color w:val="auto"/>
          <w:sz w:val="24"/>
          <w:szCs w:val="20"/>
          <w:highlight w:val="none"/>
        </w:rPr>
        <w:t xml:space="preserve">0579-84107702                          </w:t>
      </w:r>
    </w:p>
    <w:p w14:paraId="2B0B9C86">
      <w:pPr>
        <w:spacing w:line="380" w:lineRule="exact"/>
        <w:ind w:firstLine="657" w:firstLineChars="274"/>
        <w:jc w:val="left"/>
        <w:outlineLvl w:val="9"/>
        <w:rPr>
          <w:rFonts w:hint="eastAsia" w:ascii="宋体" w:hAnsi="宋体" w:cs="宋体"/>
          <w:color w:val="auto"/>
          <w:kern w:val="0"/>
          <w:sz w:val="24"/>
          <w:highlight w:val="none"/>
        </w:rPr>
      </w:pPr>
      <w:bookmarkStart w:id="12" w:name="_Toc27432"/>
      <w:bookmarkStart w:id="13" w:name="_Toc19440"/>
      <w:bookmarkStart w:id="14" w:name="_Toc913"/>
      <w:bookmarkStart w:id="15" w:name="_Toc13735"/>
      <w:bookmarkStart w:id="16" w:name="_Toc7484"/>
      <w:bookmarkStart w:id="17" w:name="_Toc18423"/>
      <w:bookmarkStart w:id="18" w:name="_Toc14241"/>
    </w:p>
    <w:p w14:paraId="3D0CB7C5">
      <w:pPr>
        <w:spacing w:line="380" w:lineRule="exact"/>
        <w:ind w:firstLine="657" w:firstLineChars="274"/>
        <w:jc w:val="left"/>
        <w:outlineLvl w:val="9"/>
        <w:rPr>
          <w:rFonts w:hint="eastAsia" w:ascii="宋体" w:hAnsi="宋体" w:cs="宋体"/>
          <w:color w:val="auto"/>
          <w:kern w:val="0"/>
          <w:sz w:val="24"/>
          <w:highlight w:val="none"/>
        </w:rPr>
      </w:pPr>
      <w:r>
        <w:rPr>
          <w:rFonts w:hint="eastAsia" w:ascii="宋体" w:hAnsi="宋体" w:cs="宋体"/>
          <w:color w:val="auto"/>
          <w:sz w:val="24"/>
          <w:highlight w:val="none"/>
        </w:rPr>
        <w:t xml:space="preserve">                                    </w:t>
      </w:r>
    </w:p>
    <w:p w14:paraId="045E7D2F">
      <w:pPr>
        <w:spacing w:line="380" w:lineRule="exact"/>
        <w:ind w:firstLine="657" w:firstLineChars="274"/>
        <w:jc w:val="both"/>
        <w:outlineLvl w:val="0"/>
        <w:rPr>
          <w:rFonts w:hint="eastAsia" w:ascii="宋体" w:hAnsi="宋体" w:cs="宋体"/>
          <w:color w:val="auto"/>
          <w:kern w:val="0"/>
          <w:sz w:val="24"/>
          <w:highlight w:val="none"/>
        </w:rPr>
      </w:pPr>
      <w:bookmarkStart w:id="19" w:name="_Toc19328"/>
      <w:bookmarkStart w:id="20" w:name="_Toc14696"/>
      <w:bookmarkStart w:id="21" w:name="_Toc12071"/>
      <w:bookmarkStart w:id="22" w:name="_Toc18892"/>
      <w:bookmarkStart w:id="23" w:name="_Toc5617"/>
      <w:bookmarkStart w:id="24" w:name="_Toc9168"/>
      <w:bookmarkStart w:id="25" w:name="_Toc26934"/>
      <w:bookmarkStart w:id="26" w:name="_Toc11187"/>
      <w:bookmarkStart w:id="27" w:name="_Toc18037"/>
      <w:bookmarkStart w:id="28" w:name="_Toc12085"/>
      <w:bookmarkStart w:id="29" w:name="_Toc22895"/>
      <w:r>
        <w:rPr>
          <w:rFonts w:hint="eastAsia" w:ascii="宋体" w:hAnsi="宋体" w:cs="宋体"/>
          <w:color w:val="auto"/>
          <w:kern w:val="0"/>
          <w:sz w:val="24"/>
          <w:highlight w:val="none"/>
        </w:rPr>
        <w:t>若对项目采购电子交易系统操作有疑问，可登录</w:t>
      </w:r>
      <w:r>
        <w:rPr>
          <w:rFonts w:hint="eastAsia" w:ascii="宋体" w:hAnsi="宋体" w:cs="宋体"/>
          <w:color w:val="auto"/>
          <w:kern w:val="0"/>
          <w:sz w:val="24"/>
          <w:highlight w:val="none"/>
          <w:lang w:eastAsia="zh-CN"/>
        </w:rPr>
        <w:t>乐采云</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hint="eastAsia" w:ascii="宋体" w:hAnsi="宋体" w:cs="宋体"/>
          <w:color w:val="auto"/>
          <w:kern w:val="0"/>
          <w:sz w:val="24"/>
          <w:highlight w:val="none"/>
        </w:rPr>
        <w:t>（https://</w:t>
      </w:r>
      <w:r>
        <w:rPr>
          <w:rFonts w:hint="eastAsia" w:ascii="宋体" w:hAnsi="宋体" w:cs="宋体"/>
          <w:color w:val="auto"/>
          <w:kern w:val="0"/>
          <w:sz w:val="24"/>
          <w:highlight w:val="none"/>
          <w:lang w:eastAsia="zh-CN"/>
        </w:rPr>
        <w:t>www.lecaiyun.com</w:t>
      </w:r>
      <w:r>
        <w:rPr>
          <w:rFonts w:hint="eastAsia" w:ascii="宋体" w:hAnsi="宋体" w:cs="宋体"/>
          <w:color w:val="auto"/>
          <w:kern w:val="0"/>
          <w:sz w:val="24"/>
          <w:highlight w:val="none"/>
        </w:rPr>
        <w:t>/），点击右侧咨询小采，获取采小蜜智能服务管家帮助，或拨打</w:t>
      </w:r>
      <w:r>
        <w:rPr>
          <w:rFonts w:hint="eastAsia" w:ascii="宋体" w:hAnsi="宋体" w:cs="宋体"/>
          <w:color w:val="auto"/>
          <w:kern w:val="0"/>
          <w:sz w:val="24"/>
          <w:highlight w:val="none"/>
          <w:lang w:eastAsia="zh-CN"/>
        </w:rPr>
        <w:t>乐采云</w:t>
      </w:r>
      <w:r>
        <w:rPr>
          <w:rFonts w:hint="eastAsia" w:ascii="宋体" w:hAnsi="宋体" w:cs="宋体"/>
          <w:color w:val="auto"/>
          <w:kern w:val="0"/>
          <w:sz w:val="24"/>
          <w:highlight w:val="none"/>
        </w:rPr>
        <w:t>服务热线</w:t>
      </w:r>
      <w:r>
        <w:rPr>
          <w:rFonts w:hint="eastAsia" w:ascii="宋体" w:hAnsi="宋体" w:cs="宋体"/>
          <w:color w:val="auto"/>
          <w:kern w:val="0"/>
          <w:sz w:val="24"/>
          <w:highlight w:val="none"/>
          <w:lang w:eastAsia="zh-CN"/>
        </w:rPr>
        <w:t>95763</w:t>
      </w:r>
      <w:r>
        <w:rPr>
          <w:rFonts w:hint="eastAsia" w:ascii="宋体" w:hAnsi="宋体" w:cs="宋体"/>
          <w:color w:val="auto"/>
          <w:kern w:val="0"/>
          <w:sz w:val="24"/>
          <w:highlight w:val="none"/>
        </w:rPr>
        <w:t>获取热线服务帮助。</w:t>
      </w:r>
      <w:bookmarkEnd w:id="28"/>
      <w:bookmarkEnd w:id="29"/>
    </w:p>
    <w:p w14:paraId="320C018F">
      <w:pPr>
        <w:adjustRightInd w:val="0"/>
        <w:snapToGrid w:val="0"/>
        <w:spacing w:line="380" w:lineRule="exact"/>
        <w:ind w:firstLine="470" w:firstLineChars="196"/>
        <w:rPr>
          <w:rFonts w:hint="eastAsia" w:ascii="宋体" w:hAnsi="宋体" w:cs="宋体"/>
          <w:color w:val="auto"/>
          <w:sz w:val="24"/>
          <w:highlight w:val="none"/>
        </w:rPr>
      </w:pPr>
      <w:r>
        <w:rPr>
          <w:rFonts w:hint="eastAsia" w:ascii="宋体" w:hAnsi="宋体" w:cs="宋体"/>
          <w:color w:val="auto"/>
          <w:kern w:val="0"/>
          <w:sz w:val="24"/>
          <w:highlight w:val="none"/>
        </w:rPr>
        <w:t xml:space="preserve"> </w:t>
      </w:r>
      <w:bookmarkStart w:id="30" w:name="_Toc9249"/>
      <w:bookmarkStart w:id="31" w:name="_Toc15793"/>
      <w:bookmarkStart w:id="32" w:name="_Toc8213"/>
      <w:r>
        <w:rPr>
          <w:rFonts w:hint="eastAsia" w:ascii="宋体" w:hAnsi="宋体" w:cs="宋体"/>
          <w:color w:val="auto"/>
          <w:kern w:val="0"/>
          <w:sz w:val="24"/>
          <w:highlight w:val="none"/>
        </w:rPr>
        <w:t>CA问题联系电话（人工）：汇信CA 400-888-4636；天谷CA 400-087-8198。</w:t>
      </w:r>
      <w:bookmarkEnd w:id="30"/>
      <w:bookmarkEnd w:id="31"/>
      <w:bookmarkEnd w:id="32"/>
      <w:r>
        <w:rPr>
          <w:rFonts w:hint="eastAsia" w:ascii="宋体" w:hAnsi="宋体" w:cs="宋体"/>
          <w:color w:val="auto"/>
          <w:sz w:val="24"/>
          <w:highlight w:val="none"/>
        </w:rPr>
        <w:t xml:space="preserve">                       </w:t>
      </w:r>
    </w:p>
    <w:p w14:paraId="212CE3E8">
      <w:pPr>
        <w:pStyle w:val="137"/>
        <w:rPr>
          <w:rFonts w:hint="eastAsia"/>
          <w:color w:val="auto"/>
          <w:highlight w:val="none"/>
        </w:rPr>
      </w:pPr>
    </w:p>
    <w:p w14:paraId="651A476D">
      <w:pPr>
        <w:pStyle w:val="137"/>
        <w:rPr>
          <w:rFonts w:hint="eastAsia"/>
          <w:color w:val="auto"/>
          <w:highlight w:val="none"/>
        </w:rPr>
      </w:pPr>
    </w:p>
    <w:p w14:paraId="47232307">
      <w:pPr>
        <w:widowControl/>
        <w:tabs>
          <w:tab w:val="left" w:pos="8647"/>
        </w:tabs>
        <w:adjustRightInd w:val="0"/>
        <w:snapToGrid w:val="0"/>
        <w:spacing w:line="360" w:lineRule="auto"/>
        <w:ind w:right="-59"/>
        <w:jc w:val="center"/>
        <w:rPr>
          <w:rFonts w:hint="eastAsia" w:ascii="宋体" w:hAnsi="宋体" w:cs="宋体"/>
          <w:b/>
          <w:color w:val="auto"/>
          <w:sz w:val="30"/>
          <w:szCs w:val="30"/>
          <w:highlight w:val="none"/>
        </w:rPr>
      </w:pPr>
    </w:p>
    <w:p w14:paraId="4F4915C2">
      <w:pPr>
        <w:widowControl/>
        <w:tabs>
          <w:tab w:val="left" w:pos="8647"/>
        </w:tabs>
        <w:adjustRightInd w:val="0"/>
        <w:snapToGrid w:val="0"/>
        <w:spacing w:line="360" w:lineRule="auto"/>
        <w:ind w:right="-59"/>
        <w:jc w:val="both"/>
        <w:rPr>
          <w:rFonts w:hint="eastAsia" w:ascii="宋体" w:hAnsi="宋体" w:cs="宋体"/>
          <w:b/>
          <w:color w:val="auto"/>
          <w:sz w:val="30"/>
          <w:szCs w:val="30"/>
          <w:highlight w:val="none"/>
        </w:rPr>
      </w:pPr>
    </w:p>
    <w:p w14:paraId="7A85E140">
      <w:pPr>
        <w:pStyle w:val="44"/>
        <w:rPr>
          <w:rFonts w:hint="eastAsia" w:ascii="宋体" w:hAnsi="宋体" w:cs="宋体"/>
          <w:b/>
          <w:color w:val="auto"/>
          <w:sz w:val="30"/>
          <w:szCs w:val="30"/>
          <w:highlight w:val="none"/>
        </w:rPr>
      </w:pPr>
    </w:p>
    <w:p w14:paraId="40423933">
      <w:pPr>
        <w:bidi w:val="0"/>
        <w:rPr>
          <w:rFonts w:hint="eastAsia"/>
          <w:color w:val="auto"/>
          <w:highlight w:val="none"/>
        </w:rPr>
      </w:pPr>
    </w:p>
    <w:p w14:paraId="554BBB37">
      <w:pPr>
        <w:pStyle w:val="44"/>
        <w:rPr>
          <w:rFonts w:hint="eastAsia"/>
          <w:color w:val="auto"/>
          <w:highlight w:val="none"/>
        </w:rPr>
      </w:pPr>
    </w:p>
    <w:p w14:paraId="60559800">
      <w:pPr>
        <w:widowControl/>
        <w:tabs>
          <w:tab w:val="left" w:pos="8647"/>
        </w:tabs>
        <w:adjustRightInd w:val="0"/>
        <w:snapToGrid w:val="0"/>
        <w:spacing w:line="360" w:lineRule="auto"/>
        <w:ind w:right="-59"/>
        <w:jc w:val="both"/>
        <w:rPr>
          <w:rFonts w:hint="eastAsia"/>
          <w:color w:val="auto"/>
          <w:highlight w:val="none"/>
        </w:rPr>
      </w:pPr>
    </w:p>
    <w:p w14:paraId="1C0839FA">
      <w:pPr>
        <w:widowControl/>
        <w:tabs>
          <w:tab w:val="left" w:pos="8647"/>
        </w:tabs>
        <w:adjustRightInd w:val="0"/>
        <w:snapToGrid w:val="0"/>
        <w:spacing w:line="360" w:lineRule="auto"/>
        <w:ind w:right="-59"/>
        <w:jc w:val="both"/>
        <w:rPr>
          <w:rFonts w:hint="eastAsia"/>
          <w:color w:val="auto"/>
          <w:highlight w:val="none"/>
        </w:rPr>
      </w:pPr>
    </w:p>
    <w:p w14:paraId="000D5B01">
      <w:pPr>
        <w:widowControl/>
        <w:tabs>
          <w:tab w:val="left" w:pos="8647"/>
        </w:tabs>
        <w:adjustRightInd w:val="0"/>
        <w:snapToGrid w:val="0"/>
        <w:spacing w:line="360" w:lineRule="auto"/>
        <w:ind w:right="-59"/>
        <w:jc w:val="both"/>
        <w:rPr>
          <w:rFonts w:hint="eastAsia"/>
          <w:color w:val="auto"/>
          <w:highlight w:val="none"/>
        </w:rPr>
      </w:pPr>
    </w:p>
    <w:p w14:paraId="211ACDF7">
      <w:pPr>
        <w:widowControl/>
        <w:tabs>
          <w:tab w:val="left" w:pos="8647"/>
        </w:tabs>
        <w:adjustRightInd w:val="0"/>
        <w:snapToGrid w:val="0"/>
        <w:spacing w:line="360" w:lineRule="auto"/>
        <w:ind w:right="-59"/>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前 附 表</w:t>
      </w:r>
    </w:p>
    <w:tbl>
      <w:tblPr>
        <w:tblStyle w:val="46"/>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3"/>
        <w:gridCol w:w="1735"/>
        <w:gridCol w:w="6874"/>
      </w:tblGrid>
      <w:tr w14:paraId="776469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tblHeader/>
        </w:trPr>
        <w:tc>
          <w:tcPr>
            <w:tcW w:w="773" w:type="dxa"/>
            <w:noWrap w:val="0"/>
            <w:vAlign w:val="center"/>
          </w:tcPr>
          <w:p w14:paraId="09B9F535">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735" w:type="dxa"/>
            <w:noWrap w:val="0"/>
            <w:vAlign w:val="center"/>
          </w:tcPr>
          <w:p w14:paraId="517A6F9D">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   目</w:t>
            </w:r>
          </w:p>
        </w:tc>
        <w:tc>
          <w:tcPr>
            <w:tcW w:w="6874" w:type="dxa"/>
            <w:noWrap w:val="0"/>
            <w:vAlign w:val="center"/>
          </w:tcPr>
          <w:p w14:paraId="266CE24F">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内       容</w:t>
            </w:r>
          </w:p>
        </w:tc>
      </w:tr>
      <w:tr w14:paraId="2D28B4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773" w:type="dxa"/>
            <w:noWrap w:val="0"/>
            <w:vAlign w:val="center"/>
          </w:tcPr>
          <w:p w14:paraId="2C893F3E">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735" w:type="dxa"/>
            <w:noWrap w:val="0"/>
            <w:vAlign w:val="center"/>
          </w:tcPr>
          <w:p w14:paraId="3110B225">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6874" w:type="dxa"/>
            <w:noWrap w:val="0"/>
            <w:vAlign w:val="center"/>
          </w:tcPr>
          <w:p w14:paraId="2EE2BF51">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浦江县交投贸易有限公司2024年-2025年石灰岩采购项目</w:t>
            </w:r>
          </w:p>
        </w:tc>
      </w:tr>
      <w:tr w14:paraId="68612C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773" w:type="dxa"/>
            <w:noWrap w:val="0"/>
            <w:vAlign w:val="center"/>
          </w:tcPr>
          <w:p w14:paraId="58609BAD">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735" w:type="dxa"/>
            <w:noWrap w:val="0"/>
            <w:vAlign w:val="center"/>
          </w:tcPr>
          <w:p w14:paraId="4DC9F2CC">
            <w:pPr>
              <w:keepNext w:val="0"/>
              <w:keepLines w:val="0"/>
              <w:pageBreakBefore w:val="0"/>
              <w:kinsoku/>
              <w:wordWrap/>
              <w:overflowPunct/>
              <w:topLinePunct w:val="0"/>
              <w:autoSpaceDE/>
              <w:autoSpaceDN/>
              <w:bidi w:val="0"/>
              <w:adjustRightInd w:val="0"/>
              <w:snapToGrid w:val="0"/>
              <w:spacing w:line="400" w:lineRule="exact"/>
              <w:ind w:left="0" w:right="0" w:rightChars="0"/>
              <w:jc w:val="center"/>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实施地点</w:t>
            </w:r>
          </w:p>
        </w:tc>
        <w:tc>
          <w:tcPr>
            <w:tcW w:w="6874" w:type="dxa"/>
            <w:noWrap w:val="0"/>
            <w:vAlign w:val="center"/>
          </w:tcPr>
          <w:p w14:paraId="0391D51B">
            <w:pPr>
              <w:keepNext w:val="0"/>
              <w:keepLines w:val="0"/>
              <w:pageBreakBefore w:val="0"/>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strike/>
                <w:snapToGrid w:val="0"/>
                <w:color w:val="auto"/>
                <w:kern w:val="0"/>
                <w:sz w:val="24"/>
                <w:szCs w:val="24"/>
                <w:highlight w:val="none"/>
              </w:rPr>
            </w:pPr>
            <w:r>
              <w:rPr>
                <w:rFonts w:hint="eastAsia" w:asciiTheme="minorEastAsia" w:hAnsiTheme="minorEastAsia" w:eastAsiaTheme="minorEastAsia" w:cstheme="minorEastAsia"/>
                <w:bCs/>
                <w:color w:val="auto"/>
                <w:sz w:val="24"/>
                <w:szCs w:val="24"/>
                <w:highlight w:val="none"/>
              </w:rPr>
              <w:t>采购人指定地点</w:t>
            </w:r>
          </w:p>
        </w:tc>
      </w:tr>
      <w:tr w14:paraId="49A02A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773" w:type="dxa"/>
            <w:noWrap w:val="0"/>
            <w:vAlign w:val="center"/>
          </w:tcPr>
          <w:p w14:paraId="543FD5E8">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735" w:type="dxa"/>
            <w:noWrap w:val="0"/>
            <w:vAlign w:val="center"/>
          </w:tcPr>
          <w:p w14:paraId="3A4B9025">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tc>
        <w:tc>
          <w:tcPr>
            <w:tcW w:w="6874" w:type="dxa"/>
            <w:noWrap w:val="0"/>
            <w:vAlign w:val="center"/>
          </w:tcPr>
          <w:p w14:paraId="1D7AC3E6">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eastAsia="zh-CN"/>
              </w:rPr>
              <w:t>PJCQGK(JTMY)2024-1030A</w:t>
            </w:r>
          </w:p>
        </w:tc>
      </w:tr>
      <w:tr w14:paraId="612515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73" w:type="dxa"/>
            <w:noWrap w:val="0"/>
            <w:vAlign w:val="center"/>
          </w:tcPr>
          <w:p w14:paraId="6A81CE0B">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735" w:type="dxa"/>
            <w:noWrap w:val="0"/>
            <w:vAlign w:val="center"/>
          </w:tcPr>
          <w:p w14:paraId="77CD52F7">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采购方式</w:t>
            </w:r>
          </w:p>
        </w:tc>
        <w:tc>
          <w:tcPr>
            <w:tcW w:w="6874" w:type="dxa"/>
            <w:noWrap w:val="0"/>
            <w:vAlign w:val="center"/>
          </w:tcPr>
          <w:p w14:paraId="7F09977E">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公开招标</w:t>
            </w:r>
          </w:p>
        </w:tc>
      </w:tr>
      <w:tr w14:paraId="5A029A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5" w:hRule="atLeast"/>
        </w:trPr>
        <w:tc>
          <w:tcPr>
            <w:tcW w:w="773" w:type="dxa"/>
            <w:noWrap w:val="0"/>
            <w:vAlign w:val="center"/>
          </w:tcPr>
          <w:p w14:paraId="392364F1">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735" w:type="dxa"/>
            <w:noWrap w:val="0"/>
            <w:vAlign w:val="center"/>
          </w:tcPr>
          <w:p w14:paraId="4C1504A5">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项目概况</w:t>
            </w:r>
          </w:p>
        </w:tc>
        <w:tc>
          <w:tcPr>
            <w:tcW w:w="6874" w:type="dxa"/>
            <w:noWrap w:val="0"/>
            <w:vAlign w:val="center"/>
          </w:tcPr>
          <w:p w14:paraId="7AAE25F4">
            <w:pPr>
              <w:keepNext w:val="0"/>
              <w:keepLines w:val="0"/>
              <w:pageBreakBefore w:val="0"/>
              <w:widowControl/>
              <w:kinsoku/>
              <w:wordWrap/>
              <w:overflowPunct/>
              <w:topLinePunct w:val="0"/>
              <w:autoSpaceDE/>
              <w:autoSpaceDN/>
              <w:bidi w:val="0"/>
              <w:adjustRightInd w:val="0"/>
              <w:snapToGrid w:val="0"/>
              <w:spacing w:line="400" w:lineRule="exact"/>
              <w:ind w:left="0" w:right="0" w:rightChars="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包括石灰岩供货等，具体详见采购文件的第三部分《招标内容及需求》。</w:t>
            </w:r>
          </w:p>
        </w:tc>
      </w:tr>
      <w:tr w14:paraId="58F957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6" w:hRule="atLeast"/>
        </w:trPr>
        <w:tc>
          <w:tcPr>
            <w:tcW w:w="773" w:type="dxa"/>
            <w:noWrap w:val="0"/>
            <w:vAlign w:val="center"/>
          </w:tcPr>
          <w:p w14:paraId="7C2A6B3D">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735" w:type="dxa"/>
            <w:noWrap w:val="0"/>
            <w:vAlign w:val="center"/>
          </w:tcPr>
          <w:p w14:paraId="729FE862">
            <w:pPr>
              <w:keepNext w:val="0"/>
              <w:keepLines w:val="0"/>
              <w:pageBreakBefore w:val="0"/>
              <w:widowControl/>
              <w:kinsoku/>
              <w:wordWrap/>
              <w:overflowPunct/>
              <w:topLinePunct w:val="0"/>
              <w:autoSpaceDE/>
              <w:autoSpaceDN/>
              <w:bidi w:val="0"/>
              <w:adjustRightInd w:val="0"/>
              <w:snapToGrid w:val="0"/>
              <w:spacing w:line="400" w:lineRule="exact"/>
              <w:ind w:left="0" w:right="0" w:rightChars="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合同履行期限</w:t>
            </w:r>
          </w:p>
        </w:tc>
        <w:tc>
          <w:tcPr>
            <w:tcW w:w="6874" w:type="dxa"/>
            <w:noWrap w:val="0"/>
            <w:vAlign w:val="center"/>
          </w:tcPr>
          <w:p w14:paraId="45D64A79">
            <w:pPr>
              <w:widowControl/>
              <w:adjustRightInd w:val="0"/>
              <w:snapToGrid w:val="0"/>
              <w:spacing w:line="380" w:lineRule="exact"/>
              <w:jc w:val="left"/>
              <w:rPr>
                <w:rFonts w:hint="eastAsia" w:asciiTheme="minorEastAsia" w:hAnsiTheme="minorEastAsia" w:eastAsiaTheme="minorEastAsia" w:cstheme="minorEastAsia"/>
                <w:color w:val="auto"/>
                <w:kern w:val="0"/>
                <w:sz w:val="24"/>
                <w:szCs w:val="24"/>
                <w:highlight w:val="none"/>
              </w:rPr>
            </w:pPr>
            <w:r>
              <w:rPr>
                <w:rFonts w:hint="eastAsia" w:ascii="宋体" w:hAnsi="宋体" w:cs="宋体"/>
                <w:color w:val="auto"/>
                <w:kern w:val="0"/>
                <w:sz w:val="24"/>
                <w:highlight w:val="none"/>
              </w:rPr>
              <w:t>自合同签订之日起</w:t>
            </w:r>
            <w:r>
              <w:rPr>
                <w:rFonts w:hint="eastAsia" w:ascii="宋体" w:hAnsi="宋体" w:cs="宋体"/>
                <w:color w:val="auto"/>
                <w:kern w:val="0"/>
                <w:sz w:val="24"/>
                <w:highlight w:val="none"/>
                <w:lang w:val="en-US" w:eastAsia="zh-CN"/>
              </w:rPr>
              <w:t>一</w:t>
            </w:r>
            <w:r>
              <w:rPr>
                <w:rFonts w:hint="eastAsia" w:ascii="宋体" w:hAnsi="宋体" w:cs="宋体"/>
                <w:color w:val="auto"/>
                <w:kern w:val="0"/>
                <w:sz w:val="24"/>
                <w:highlight w:val="none"/>
              </w:rPr>
              <w:t>年或</w:t>
            </w:r>
            <w:r>
              <w:rPr>
                <w:rFonts w:hint="eastAsia" w:ascii="宋体" w:hAnsi="宋体" w:cs="宋体"/>
                <w:color w:val="auto"/>
                <w:kern w:val="0"/>
                <w:sz w:val="24"/>
                <w:highlight w:val="none"/>
                <w:lang w:val="en-US" w:eastAsia="zh-CN"/>
              </w:rPr>
              <w:t>货款金额</w:t>
            </w:r>
            <w:r>
              <w:rPr>
                <w:rFonts w:hint="eastAsia" w:ascii="宋体" w:hAnsi="宋体" w:cs="宋体"/>
                <w:color w:val="auto"/>
                <w:kern w:val="0"/>
                <w:sz w:val="24"/>
                <w:highlight w:val="none"/>
              </w:rPr>
              <w:t>达到</w:t>
            </w:r>
            <w:r>
              <w:rPr>
                <w:rFonts w:hint="eastAsia" w:ascii="宋体" w:hAnsi="宋体" w:cs="宋体"/>
                <w:color w:val="auto"/>
                <w:kern w:val="0"/>
                <w:sz w:val="24"/>
                <w:highlight w:val="none"/>
                <w:lang w:val="en-US" w:eastAsia="zh-CN"/>
              </w:rPr>
              <w:t>29900000</w:t>
            </w:r>
            <w:r>
              <w:rPr>
                <w:rFonts w:hint="eastAsia" w:ascii="宋体" w:hAnsi="宋体" w:cs="宋体"/>
                <w:color w:val="auto"/>
                <w:kern w:val="0"/>
                <w:sz w:val="24"/>
                <w:highlight w:val="none"/>
              </w:rPr>
              <w:t>元，先到为准</w:t>
            </w:r>
            <w:r>
              <w:rPr>
                <w:rFonts w:hint="eastAsia" w:ascii="宋体" w:hAnsi="宋体" w:eastAsia="宋体" w:cs="宋体"/>
                <w:color w:val="auto"/>
                <w:sz w:val="24"/>
                <w:szCs w:val="24"/>
                <w:highlight w:val="none"/>
                <w:lang w:eastAsia="zh-CN"/>
              </w:rPr>
              <w:t>（合同到期时如遇特殊情况，例如处于单个项目持续供货周期内可供货至项目结束）</w:t>
            </w:r>
            <w:r>
              <w:rPr>
                <w:rFonts w:hint="eastAsia" w:ascii="宋体" w:hAnsi="宋体" w:cs="宋体"/>
                <w:color w:val="auto"/>
                <w:kern w:val="0"/>
                <w:sz w:val="24"/>
                <w:highlight w:val="none"/>
                <w:lang w:eastAsia="zh-CN"/>
              </w:rPr>
              <w:t>。</w:t>
            </w:r>
          </w:p>
        </w:tc>
      </w:tr>
      <w:tr w14:paraId="43D827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73" w:type="dxa"/>
            <w:noWrap w:val="0"/>
            <w:vAlign w:val="center"/>
          </w:tcPr>
          <w:p w14:paraId="075699B9">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735" w:type="dxa"/>
            <w:noWrap w:val="0"/>
            <w:vAlign w:val="center"/>
          </w:tcPr>
          <w:p w14:paraId="3DF87C98">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资金来源</w:t>
            </w:r>
          </w:p>
        </w:tc>
        <w:tc>
          <w:tcPr>
            <w:tcW w:w="6874" w:type="dxa"/>
            <w:noWrap w:val="0"/>
            <w:vAlign w:val="center"/>
          </w:tcPr>
          <w:p w14:paraId="13F403BC">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自筹</w:t>
            </w:r>
          </w:p>
        </w:tc>
      </w:tr>
      <w:tr w14:paraId="03A44B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7" w:hRule="atLeast"/>
        </w:trPr>
        <w:tc>
          <w:tcPr>
            <w:tcW w:w="773" w:type="dxa"/>
            <w:noWrap w:val="0"/>
            <w:vAlign w:val="center"/>
          </w:tcPr>
          <w:p w14:paraId="0C6846F6">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735" w:type="dxa"/>
            <w:noWrap w:val="0"/>
            <w:vAlign w:val="center"/>
          </w:tcPr>
          <w:p w14:paraId="3E5B8A87">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▲采购预算</w:t>
            </w:r>
          </w:p>
        </w:tc>
        <w:tc>
          <w:tcPr>
            <w:tcW w:w="6874" w:type="dxa"/>
            <w:noWrap w:val="0"/>
            <w:vAlign w:val="center"/>
          </w:tcPr>
          <w:p w14:paraId="10F1152A">
            <w:pPr>
              <w:keepNext w:val="0"/>
              <w:keepLines w:val="0"/>
              <w:pageBreakBefore w:val="0"/>
              <w:widowControl w:val="0"/>
              <w:numPr>
                <w:ilvl w:val="0"/>
                <w:numId w:val="0"/>
              </w:numPr>
              <w:kinsoku/>
              <w:wordWrap/>
              <w:overflowPunct/>
              <w:topLinePunct w:val="0"/>
              <w:autoSpaceDE/>
              <w:autoSpaceDN/>
              <w:bidi w:val="0"/>
              <w:adjustRightInd/>
              <w:spacing w:line="400" w:lineRule="exact"/>
              <w:ind w:left="0" w:right="0" w:rightChars="0"/>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本项目采购预算为人民币</w:t>
            </w:r>
            <w:r>
              <w:rPr>
                <w:rFonts w:hint="eastAsia" w:asciiTheme="minorEastAsia" w:hAnsiTheme="minorEastAsia" w:eastAsiaTheme="minorEastAsia" w:cstheme="minorEastAsia"/>
                <w:b/>
                <w:bCs/>
                <w:color w:val="auto"/>
                <w:kern w:val="0"/>
                <w:sz w:val="24"/>
                <w:szCs w:val="24"/>
                <w:highlight w:val="none"/>
                <w:lang w:val="en-US" w:eastAsia="zh-CN"/>
              </w:rPr>
              <w:t>29900000元</w:t>
            </w:r>
            <w:r>
              <w:rPr>
                <w:rFonts w:hint="eastAsia" w:asciiTheme="minorEastAsia" w:hAnsiTheme="minorEastAsia" w:eastAsiaTheme="minorEastAsia" w:cstheme="minorEastAsia"/>
                <w:b/>
                <w:color w:val="auto"/>
                <w:kern w:val="0"/>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超过预算的报价均作无效标处理。</w:t>
            </w:r>
          </w:p>
        </w:tc>
      </w:tr>
      <w:tr w14:paraId="784839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93" w:hRule="atLeast"/>
        </w:trPr>
        <w:tc>
          <w:tcPr>
            <w:tcW w:w="773" w:type="dxa"/>
            <w:noWrap w:val="0"/>
            <w:vAlign w:val="center"/>
          </w:tcPr>
          <w:p w14:paraId="4D67D972">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735" w:type="dxa"/>
            <w:noWrap w:val="0"/>
            <w:vAlign w:val="center"/>
          </w:tcPr>
          <w:p w14:paraId="214AA931">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资格审查方式</w:t>
            </w:r>
          </w:p>
        </w:tc>
        <w:tc>
          <w:tcPr>
            <w:tcW w:w="6874" w:type="dxa"/>
            <w:noWrap w:val="0"/>
            <w:vAlign w:val="center"/>
          </w:tcPr>
          <w:p w14:paraId="33595517">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资格后审。</w:t>
            </w:r>
          </w:p>
          <w:p w14:paraId="13F92880">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资格后审是指在开标后由采购人或采购代理机构代表根据采购文件的规定对投标人进行资格审查，资格后审不合格的投标人，其投标作无效标处理。</w:t>
            </w:r>
          </w:p>
        </w:tc>
      </w:tr>
      <w:tr w14:paraId="308D9F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773" w:type="dxa"/>
            <w:noWrap w:val="0"/>
            <w:vAlign w:val="center"/>
          </w:tcPr>
          <w:p w14:paraId="3673AF54">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735" w:type="dxa"/>
            <w:noWrap w:val="0"/>
            <w:vAlign w:val="center"/>
          </w:tcPr>
          <w:p w14:paraId="38E5610A">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投标保证金</w:t>
            </w:r>
          </w:p>
        </w:tc>
        <w:tc>
          <w:tcPr>
            <w:tcW w:w="6874" w:type="dxa"/>
            <w:noWrap w:val="0"/>
            <w:vAlign w:val="center"/>
          </w:tcPr>
          <w:p w14:paraId="1A15B5A5">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人民币</w:t>
            </w:r>
            <w:r>
              <w:rPr>
                <w:rFonts w:hint="eastAsia" w:asciiTheme="minorEastAsia" w:hAnsiTheme="minorEastAsia" w:eastAsiaTheme="minorEastAsia" w:cstheme="minorEastAsia"/>
                <w:color w:val="auto"/>
                <w:sz w:val="24"/>
                <w:szCs w:val="24"/>
                <w:highlight w:val="none"/>
                <w:lang w:eastAsia="zh-CN"/>
              </w:rPr>
              <w:t>590000元</w:t>
            </w:r>
            <w:r>
              <w:rPr>
                <w:rFonts w:hint="eastAsia" w:asciiTheme="minorEastAsia" w:hAnsiTheme="minorEastAsia" w:eastAsiaTheme="minorEastAsia" w:cstheme="minorEastAsia"/>
                <w:color w:val="auto"/>
                <w:sz w:val="24"/>
                <w:szCs w:val="24"/>
                <w:highlight w:val="none"/>
              </w:rPr>
              <w:t>,应按《公开招标公告》第四条规定交纳。</w:t>
            </w:r>
          </w:p>
        </w:tc>
      </w:tr>
      <w:tr w14:paraId="6B0DF9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773" w:type="dxa"/>
            <w:noWrap w:val="0"/>
            <w:vAlign w:val="center"/>
          </w:tcPr>
          <w:p w14:paraId="5CE0CB2E">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735" w:type="dxa"/>
            <w:noWrap w:val="0"/>
            <w:vAlign w:val="center"/>
          </w:tcPr>
          <w:p w14:paraId="42DE0A83">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踏勘现场</w:t>
            </w:r>
          </w:p>
        </w:tc>
        <w:tc>
          <w:tcPr>
            <w:tcW w:w="6874" w:type="dxa"/>
            <w:noWrap w:val="0"/>
            <w:vAlign w:val="center"/>
          </w:tcPr>
          <w:p w14:paraId="25839F18">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无</w:t>
            </w:r>
          </w:p>
        </w:tc>
      </w:tr>
      <w:tr w14:paraId="288586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773" w:type="dxa"/>
            <w:noWrap w:val="0"/>
            <w:vAlign w:val="center"/>
          </w:tcPr>
          <w:p w14:paraId="71A1493A">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735" w:type="dxa"/>
            <w:noWrap w:val="0"/>
            <w:vAlign w:val="center"/>
          </w:tcPr>
          <w:p w14:paraId="06B2470C">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答疑与澄清</w:t>
            </w:r>
          </w:p>
        </w:tc>
        <w:tc>
          <w:tcPr>
            <w:tcW w:w="6874" w:type="dxa"/>
            <w:noWrap w:val="0"/>
            <w:vAlign w:val="center"/>
          </w:tcPr>
          <w:p w14:paraId="009A4ED0">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采购人、采购代理机构联系方式详见</w:t>
            </w:r>
            <w:r>
              <w:rPr>
                <w:rFonts w:hint="eastAsia" w:asciiTheme="minorEastAsia" w:hAnsiTheme="minorEastAsia" w:eastAsiaTheme="minorEastAsia" w:cstheme="minorEastAsia"/>
                <w:color w:val="auto"/>
                <w:kern w:val="0"/>
                <w:sz w:val="24"/>
                <w:szCs w:val="24"/>
                <w:highlight w:val="none"/>
                <w:lang w:eastAsia="zh-CN"/>
              </w:rPr>
              <w:t>第一部分公开招标公告</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八、凡对本次采购提出询问、质疑、投诉</w:t>
            </w:r>
            <w:r>
              <w:rPr>
                <w:rFonts w:hint="eastAsia" w:asciiTheme="minorEastAsia" w:hAnsiTheme="minorEastAsia" w:eastAsiaTheme="minorEastAsia" w:cstheme="minorEastAsia"/>
                <w:color w:val="auto"/>
                <w:kern w:val="0"/>
                <w:sz w:val="24"/>
                <w:szCs w:val="24"/>
                <w:highlight w:val="none"/>
              </w:rPr>
              <w:t>，请按以下方式联系”）；逾期提出的，采购组织机构可以不予受理、答复；澄清或者修改的内容可能影响投标文件编制的，采购人或者采购代理机构应当在投标截止时间至少15日前，以更正公告形式通知所有获取招标文件的潜在投标人；不足15日的，采购人或者采购代理机构应当顺延提交投标文件的截止时间。</w:t>
            </w:r>
          </w:p>
        </w:tc>
      </w:tr>
      <w:tr w14:paraId="058ACA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24" w:hRule="atLeast"/>
        </w:trPr>
        <w:tc>
          <w:tcPr>
            <w:tcW w:w="773" w:type="dxa"/>
            <w:noWrap w:val="0"/>
            <w:vAlign w:val="center"/>
          </w:tcPr>
          <w:p w14:paraId="37CA952A">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735" w:type="dxa"/>
            <w:noWrap w:val="0"/>
            <w:vAlign w:val="center"/>
          </w:tcPr>
          <w:p w14:paraId="63EAFFF0">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投标文件形式</w:t>
            </w:r>
          </w:p>
        </w:tc>
        <w:tc>
          <w:tcPr>
            <w:tcW w:w="6874" w:type="dxa"/>
            <w:noWrap w:val="0"/>
            <w:vAlign w:val="center"/>
          </w:tcPr>
          <w:p w14:paraId="0F2E8ECC">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电子投标文件包括“电子加密投标文件”和“备份投标文件”，在投标文件编制完成后同时生成。</w:t>
            </w:r>
          </w:p>
          <w:p w14:paraId="6A257231">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1.“电子加密投标文件”是指通过“</w:t>
            </w:r>
            <w:r>
              <w:rPr>
                <w:rFonts w:hint="eastAsia" w:asciiTheme="minorEastAsia" w:hAnsiTheme="minorEastAsia" w:eastAsiaTheme="minorEastAsia" w:cstheme="minorEastAsia"/>
                <w:color w:val="auto"/>
                <w:sz w:val="24"/>
                <w:szCs w:val="24"/>
                <w:highlight w:val="none"/>
                <w:lang w:eastAsia="zh-CN"/>
              </w:rPr>
              <w:t>乐采云</w:t>
            </w:r>
            <w:r>
              <w:rPr>
                <w:rFonts w:hint="eastAsia" w:asciiTheme="minorEastAsia" w:hAnsiTheme="minorEastAsia" w:eastAsiaTheme="minorEastAsia" w:cstheme="minorEastAsia"/>
                <w:color w:val="auto"/>
                <w:sz w:val="24"/>
                <w:szCs w:val="24"/>
                <w:highlight w:val="none"/>
              </w:rPr>
              <w:t>电子交易客户端”完成投标文件编制后生成并加密的数据电文形式的投标文件。</w:t>
            </w:r>
          </w:p>
          <w:p w14:paraId="424F7AE4">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2.“备份投标文件”是指与“电子加密投标文件”同时生成的数据电文形式的电子文件（备份标书，用于投标人标书解密异常时应急使用），其他方式编制的备份投标文件视为无效备份投标文件。</w:t>
            </w:r>
          </w:p>
          <w:p w14:paraId="322FE3CA">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注：备份投标文件的提交不作强制要求。</w:t>
            </w:r>
          </w:p>
        </w:tc>
      </w:tr>
      <w:tr w14:paraId="39D80B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28" w:hRule="atLeast"/>
        </w:trPr>
        <w:tc>
          <w:tcPr>
            <w:tcW w:w="773" w:type="dxa"/>
            <w:noWrap w:val="0"/>
            <w:vAlign w:val="center"/>
          </w:tcPr>
          <w:p w14:paraId="55CA8B21">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735" w:type="dxa"/>
            <w:noWrap w:val="0"/>
            <w:vAlign w:val="center"/>
          </w:tcPr>
          <w:p w14:paraId="268ED016">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投标文件份数</w:t>
            </w:r>
          </w:p>
        </w:tc>
        <w:tc>
          <w:tcPr>
            <w:tcW w:w="6874" w:type="dxa"/>
            <w:noWrap w:val="0"/>
            <w:vAlign w:val="center"/>
          </w:tcPr>
          <w:p w14:paraId="0AC9A23A">
            <w:pPr>
              <w:keepNext w:val="0"/>
              <w:keepLines w:val="0"/>
              <w:pageBreakBefore w:val="0"/>
              <w:widowControl w:val="0"/>
              <w:numPr>
                <w:ilvl w:val="0"/>
                <w:numId w:val="3"/>
              </w:numPr>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一份电子加密标书（后缀格式为.jmbs），一份备份标书文件（后缀格式为.bfbs）。</w:t>
            </w:r>
          </w:p>
          <w:p w14:paraId="3051EABB">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每份电子投标文件应包括资格投标文件、商务技术投标文件及报价投标文件三部分内容。</w:t>
            </w:r>
          </w:p>
          <w:p w14:paraId="1D01CFAB">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2.如中标，中标人需根据采购人要求提供与电子投标文件一致的纸质投标文件至少</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份。</w:t>
            </w:r>
          </w:p>
        </w:tc>
      </w:tr>
      <w:tr w14:paraId="51CDD5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86" w:hRule="atLeast"/>
        </w:trPr>
        <w:tc>
          <w:tcPr>
            <w:tcW w:w="773" w:type="dxa"/>
            <w:vMerge w:val="restart"/>
            <w:noWrap w:val="0"/>
            <w:vAlign w:val="center"/>
          </w:tcPr>
          <w:p w14:paraId="07112828">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p>
        </w:tc>
        <w:tc>
          <w:tcPr>
            <w:tcW w:w="1735" w:type="dxa"/>
            <w:vMerge w:val="restart"/>
            <w:noWrap w:val="0"/>
            <w:vAlign w:val="center"/>
          </w:tcPr>
          <w:p w14:paraId="13CE70B3">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投标文件的上传和递交</w:t>
            </w:r>
          </w:p>
        </w:tc>
        <w:tc>
          <w:tcPr>
            <w:tcW w:w="6874" w:type="dxa"/>
            <w:noWrap w:val="0"/>
            <w:vAlign w:val="center"/>
          </w:tcPr>
          <w:p w14:paraId="46D076AA">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1.电子加密投标文件：投标文件制作完成并生成加密标书，在投标截止时间前，投标人需将加密的投标文件上传至</w:t>
            </w:r>
            <w:r>
              <w:rPr>
                <w:rFonts w:hint="eastAsia" w:asciiTheme="minorEastAsia" w:hAnsiTheme="minorEastAsia" w:eastAsiaTheme="minorEastAsia" w:cstheme="minorEastAsia"/>
                <w:color w:val="auto"/>
                <w:sz w:val="24"/>
                <w:szCs w:val="24"/>
                <w:highlight w:val="none"/>
                <w:lang w:eastAsia="zh-CN"/>
              </w:rPr>
              <w:t>乐采云</w:t>
            </w:r>
            <w:r>
              <w:rPr>
                <w:rFonts w:hint="eastAsia" w:asciiTheme="minorEastAsia" w:hAnsiTheme="minorEastAsia" w:eastAsiaTheme="minorEastAsia" w:cstheme="minorEastAsia"/>
                <w:color w:val="auto"/>
                <w:sz w:val="24"/>
                <w:szCs w:val="24"/>
                <w:highlight w:val="none"/>
              </w:rPr>
              <w:t>平台，在开标时间开始后30分钟内（以电子交易平台设定的时间为准），</w:t>
            </w:r>
            <w:r>
              <w:rPr>
                <w:rFonts w:hint="eastAsia" w:asciiTheme="minorEastAsia" w:hAnsiTheme="minorEastAsia" w:eastAsiaTheme="minorEastAsia" w:cstheme="minorEastAsia"/>
                <w:color w:val="auto"/>
                <w:kern w:val="0"/>
                <w:sz w:val="24"/>
                <w:szCs w:val="24"/>
                <w:highlight w:val="none"/>
              </w:rPr>
              <w:t>登录“</w:t>
            </w:r>
            <w:r>
              <w:rPr>
                <w:rFonts w:hint="eastAsia" w:asciiTheme="minorEastAsia" w:hAnsiTheme="minorEastAsia" w:eastAsiaTheme="minorEastAsia" w:cstheme="minorEastAsia"/>
                <w:color w:val="auto"/>
                <w:kern w:val="0"/>
                <w:sz w:val="24"/>
                <w:szCs w:val="24"/>
                <w:highlight w:val="none"/>
                <w:lang w:eastAsia="zh-CN"/>
              </w:rPr>
              <w:t>乐采云</w:t>
            </w:r>
            <w:r>
              <w:rPr>
                <w:rFonts w:hint="eastAsia" w:asciiTheme="minorEastAsia" w:hAnsiTheme="minorEastAsia" w:eastAsiaTheme="minorEastAsia" w:cstheme="minorEastAsia"/>
                <w:color w:val="auto"/>
                <w:kern w:val="0"/>
                <w:sz w:val="24"/>
                <w:szCs w:val="24"/>
                <w:highlight w:val="none"/>
              </w:rPr>
              <w:t>-项目采购-开标评标”功能进行</w:t>
            </w:r>
            <w:r>
              <w:rPr>
                <w:rFonts w:hint="eastAsia" w:asciiTheme="minorEastAsia" w:hAnsiTheme="minorEastAsia" w:eastAsiaTheme="minorEastAsia" w:cstheme="minorEastAsia"/>
                <w:color w:val="auto"/>
                <w:sz w:val="24"/>
                <w:szCs w:val="24"/>
                <w:highlight w:val="none"/>
              </w:rPr>
              <w:t>解密投标文件</w:t>
            </w:r>
            <w:r>
              <w:rPr>
                <w:rFonts w:hint="eastAsia" w:asciiTheme="minorEastAsia" w:hAnsiTheme="minorEastAsia" w:eastAsiaTheme="minorEastAsia" w:cstheme="minorEastAsia"/>
                <w:color w:val="auto"/>
                <w:kern w:val="0"/>
                <w:sz w:val="24"/>
                <w:szCs w:val="24"/>
                <w:highlight w:val="none"/>
              </w:rPr>
              <w:t>（为防止解密失败，建议采用制作投标文件的电脑进行解密）</w:t>
            </w:r>
            <w:r>
              <w:rPr>
                <w:rFonts w:hint="eastAsia" w:asciiTheme="minorEastAsia" w:hAnsiTheme="minorEastAsia" w:eastAsiaTheme="minorEastAsia" w:cstheme="minorEastAsia"/>
                <w:color w:val="auto"/>
                <w:sz w:val="24"/>
                <w:szCs w:val="24"/>
                <w:highlight w:val="none"/>
              </w:rPr>
              <w:t>。</w:t>
            </w:r>
          </w:p>
          <w:p w14:paraId="3C2C4A1C">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a.投标人在投标截止时间前未能成功上传或未按要求上传电子加密投标文件的，作投标无效处理。</w:t>
            </w:r>
          </w:p>
          <w:p w14:paraId="4AE196E5">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b.投标人成功上传电子加密投标文件后，可自行打印投标文件接收回执。</w:t>
            </w:r>
          </w:p>
        </w:tc>
      </w:tr>
      <w:tr w14:paraId="45FB53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30" w:hRule="atLeast"/>
        </w:trPr>
        <w:tc>
          <w:tcPr>
            <w:tcW w:w="773" w:type="dxa"/>
            <w:vMerge w:val="continue"/>
            <w:noWrap w:val="0"/>
            <w:vAlign w:val="center"/>
          </w:tcPr>
          <w:p w14:paraId="5083AAEA">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p>
        </w:tc>
        <w:tc>
          <w:tcPr>
            <w:tcW w:w="1735" w:type="dxa"/>
            <w:vMerge w:val="continue"/>
            <w:noWrap w:val="0"/>
            <w:vAlign w:val="center"/>
          </w:tcPr>
          <w:p w14:paraId="76FB22E3">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p>
        </w:tc>
        <w:tc>
          <w:tcPr>
            <w:tcW w:w="6874" w:type="dxa"/>
            <w:noWrap w:val="0"/>
            <w:vAlign w:val="center"/>
          </w:tcPr>
          <w:p w14:paraId="0B98E283">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备份投标文件：投标人确保在投标截止时间前，将备份投标文件通过快递形式或现场送达形式送达采购代理机构处，以便标书解密异常时应急使用（邮寄/送达地址：浦江县中山北路169号中山大厦10楼1003室（浦江县产权交易有限公司），黄女士收，电话号码：18757840625，邮编322200）。</w:t>
            </w:r>
          </w:p>
          <w:p w14:paraId="4180434E">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a.备份投标文件递交要求：投标人须将备份投标文件以U盘形式放在密封袋中，密封后并在密封袋上注明项目编号、投标项目名称（含标项）、投标人名称、备份电子投标文件”等，并注明“于  年 月  日  时  分前不准启封”的字样并加盖公章。</w:t>
            </w:r>
          </w:p>
          <w:p w14:paraId="5BB763FC">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b.通过“</w:t>
            </w:r>
            <w:r>
              <w:rPr>
                <w:rFonts w:hint="eastAsia" w:asciiTheme="minorEastAsia" w:hAnsiTheme="minorEastAsia" w:eastAsiaTheme="minorEastAsia" w:cstheme="minorEastAsia"/>
                <w:color w:val="auto"/>
                <w:sz w:val="24"/>
                <w:szCs w:val="24"/>
                <w:highlight w:val="none"/>
                <w:lang w:eastAsia="zh-CN"/>
              </w:rPr>
              <w:t>乐采云平台</w:t>
            </w:r>
            <w:r>
              <w:rPr>
                <w:rFonts w:hint="eastAsia" w:asciiTheme="minorEastAsia" w:hAnsiTheme="minorEastAsia" w:eastAsiaTheme="minorEastAsia" w:cstheme="minorEastAsia"/>
                <w:color w:val="auto"/>
                <w:sz w:val="24"/>
                <w:szCs w:val="24"/>
                <w:highlight w:val="none"/>
              </w:rPr>
              <w:t>”成功上传递交的“电子加密投标文件”已按时解密的，“备份投标文件”自动失效。</w:t>
            </w:r>
          </w:p>
          <w:p w14:paraId="58FDBFD9">
            <w:pPr>
              <w:keepNext w:val="0"/>
              <w:keepLines w:val="0"/>
              <w:pageBreakBefore w:val="0"/>
              <w:widowControl w:val="0"/>
              <w:kinsoku/>
              <w:wordWrap/>
              <w:overflowPunct/>
              <w:topLinePunct w:val="0"/>
              <w:autoSpaceDE/>
              <w:autoSpaceDN/>
              <w:bidi w:val="0"/>
              <w:adjustRightInd/>
              <w:snapToGrid w:val="0"/>
              <w:spacing w:line="34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注：未密封包装或者逾期送达的“备份投标文件”将不予接收，未按规定标记的备份投标文件有被误投或提前拆封等风险，因未按规定密封或标记所造成的一切后果由投标人承担。</w:t>
            </w:r>
          </w:p>
        </w:tc>
      </w:tr>
      <w:tr w14:paraId="0B8693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70" w:hRule="atLeast"/>
        </w:trPr>
        <w:tc>
          <w:tcPr>
            <w:tcW w:w="773" w:type="dxa"/>
            <w:vMerge w:val="continue"/>
            <w:noWrap w:val="0"/>
            <w:vAlign w:val="center"/>
          </w:tcPr>
          <w:p w14:paraId="17AEA580">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p>
        </w:tc>
        <w:tc>
          <w:tcPr>
            <w:tcW w:w="1735" w:type="dxa"/>
            <w:vMerge w:val="continue"/>
            <w:noWrap w:val="0"/>
            <w:vAlign w:val="center"/>
          </w:tcPr>
          <w:p w14:paraId="75B37B4B">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p>
        </w:tc>
        <w:tc>
          <w:tcPr>
            <w:tcW w:w="6874" w:type="dxa"/>
            <w:noWrap w:val="0"/>
            <w:vAlign w:val="center"/>
          </w:tcPr>
          <w:p w14:paraId="198C4593">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3.电子加密投标文件的解密和异常情况处理：</w:t>
            </w:r>
          </w:p>
          <w:p w14:paraId="768A2C26">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a.开标后，各投标人代表应当在限定时间内自行完成“电子加密投标文件”的在线解密。</w:t>
            </w:r>
          </w:p>
          <w:p w14:paraId="6BBB2A86">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解密完成的时间根据投标人的网速、硬件环境、投标文件的大小而不同，开标后请投标人尽量提前启动解密，否则将可能未按时解密。</w:t>
            </w:r>
          </w:p>
          <w:p w14:paraId="707B534C">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w:t>
            </w:r>
            <w:r>
              <w:rPr>
                <w:rFonts w:hint="eastAsia" w:asciiTheme="minorEastAsia" w:hAnsiTheme="minorEastAsia" w:eastAsiaTheme="minorEastAsia" w:cstheme="minorEastAsia"/>
                <w:color w:val="auto"/>
                <w:kern w:val="0"/>
                <w:sz w:val="24"/>
                <w:szCs w:val="24"/>
                <w:highlight w:val="none"/>
              </w:rPr>
              <w:t>投标文件的制作和解密应使用同一个CA，否则将可能解密失败。</w:t>
            </w:r>
          </w:p>
          <w:p w14:paraId="4D745677">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c.通过“</w:t>
            </w:r>
            <w:r>
              <w:rPr>
                <w:rFonts w:hint="eastAsia" w:asciiTheme="minorEastAsia" w:hAnsiTheme="minorEastAsia" w:eastAsiaTheme="minorEastAsia" w:cstheme="minorEastAsia"/>
                <w:color w:val="auto"/>
                <w:sz w:val="24"/>
                <w:szCs w:val="24"/>
                <w:highlight w:val="none"/>
                <w:lang w:eastAsia="zh-CN"/>
              </w:rPr>
              <w:t>乐采云平台</w:t>
            </w:r>
            <w:r>
              <w:rPr>
                <w:rFonts w:hint="eastAsia" w:asciiTheme="minorEastAsia" w:hAnsiTheme="minorEastAsia" w:eastAsiaTheme="minorEastAsia" w:cstheme="minorEastAsia"/>
                <w:color w:val="auto"/>
                <w:sz w:val="24"/>
                <w:szCs w:val="24"/>
                <w:highlight w:val="none"/>
              </w:rPr>
              <w:t>”成功上传递交的“电子加密投标文件”无法按时解密的，投标人如按规定递交了“备份投标文件”的，以“备份投标文件”为依据（由采购组织机构按“</w:t>
            </w:r>
            <w:r>
              <w:rPr>
                <w:rFonts w:hint="eastAsia" w:asciiTheme="minorEastAsia" w:hAnsiTheme="minorEastAsia" w:eastAsiaTheme="minorEastAsia" w:cstheme="minorEastAsia"/>
                <w:color w:val="auto"/>
                <w:sz w:val="24"/>
                <w:szCs w:val="24"/>
                <w:highlight w:val="none"/>
                <w:lang w:eastAsia="zh-CN"/>
              </w:rPr>
              <w:t>乐采云平台</w:t>
            </w:r>
            <w:r>
              <w:rPr>
                <w:rFonts w:hint="eastAsia" w:asciiTheme="minorEastAsia" w:hAnsiTheme="minorEastAsia" w:eastAsiaTheme="minorEastAsia" w:cstheme="minorEastAsia"/>
                <w:color w:val="auto"/>
                <w:sz w:val="24"/>
                <w:szCs w:val="24"/>
                <w:highlight w:val="none"/>
              </w:rPr>
              <w:t>”操作规范将“备份投标文件”上传至“</w:t>
            </w:r>
            <w:r>
              <w:rPr>
                <w:rFonts w:hint="eastAsia" w:asciiTheme="minorEastAsia" w:hAnsiTheme="minorEastAsia" w:eastAsiaTheme="minorEastAsia" w:cstheme="minorEastAsia"/>
                <w:color w:val="auto"/>
                <w:sz w:val="24"/>
                <w:szCs w:val="24"/>
                <w:highlight w:val="none"/>
                <w:lang w:eastAsia="zh-CN"/>
              </w:rPr>
              <w:t>乐采云平台</w:t>
            </w:r>
            <w:r>
              <w:rPr>
                <w:rFonts w:hint="eastAsia" w:asciiTheme="minorEastAsia" w:hAnsiTheme="minorEastAsia" w:eastAsiaTheme="minorEastAsia" w:cstheme="minorEastAsia"/>
                <w:color w:val="auto"/>
                <w:sz w:val="24"/>
                <w:szCs w:val="24"/>
                <w:highlight w:val="none"/>
              </w:rPr>
              <w:t>”，上传成功后，“电子加密投标文件”自动失效），否则视为投标文件撤回。</w:t>
            </w:r>
          </w:p>
          <w:p w14:paraId="4F5591D4">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d.投标截止时间前，投标人仅递交了“备份投标文件”而未将“电子加密投标文件”成功上传至“</w:t>
            </w:r>
            <w:r>
              <w:rPr>
                <w:rFonts w:hint="eastAsia" w:asciiTheme="minorEastAsia" w:hAnsiTheme="minorEastAsia" w:eastAsiaTheme="minorEastAsia" w:cstheme="minorEastAsia"/>
                <w:color w:val="auto"/>
                <w:sz w:val="24"/>
                <w:szCs w:val="24"/>
                <w:highlight w:val="none"/>
                <w:lang w:eastAsia="zh-CN"/>
              </w:rPr>
              <w:t>乐采云平台</w:t>
            </w:r>
            <w:r>
              <w:rPr>
                <w:rFonts w:hint="eastAsia" w:asciiTheme="minorEastAsia" w:hAnsiTheme="minorEastAsia" w:eastAsiaTheme="minorEastAsia" w:cstheme="minorEastAsia"/>
                <w:color w:val="auto"/>
                <w:sz w:val="24"/>
                <w:szCs w:val="24"/>
                <w:highlight w:val="none"/>
              </w:rPr>
              <w:t>”的，投标无效。</w:t>
            </w:r>
          </w:p>
          <w:p w14:paraId="1132EB39">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注：因备份投标文件无法正常打开或正常显示等所引起的一切后果，由投标人自行承担。</w:t>
            </w:r>
          </w:p>
        </w:tc>
      </w:tr>
      <w:tr w14:paraId="0702C2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1" w:hRule="atLeast"/>
        </w:trPr>
        <w:tc>
          <w:tcPr>
            <w:tcW w:w="773" w:type="dxa"/>
            <w:noWrap w:val="0"/>
            <w:vAlign w:val="center"/>
          </w:tcPr>
          <w:p w14:paraId="3F225013">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1735" w:type="dxa"/>
            <w:noWrap w:val="0"/>
            <w:vAlign w:val="center"/>
          </w:tcPr>
          <w:p w14:paraId="08D55050">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投标文件、流程文件签章</w:t>
            </w:r>
          </w:p>
        </w:tc>
        <w:tc>
          <w:tcPr>
            <w:tcW w:w="6874" w:type="dxa"/>
            <w:noWrap w:val="0"/>
            <w:vAlign w:val="center"/>
          </w:tcPr>
          <w:p w14:paraId="05850EEC">
            <w:pPr>
              <w:keepNext w:val="0"/>
              <w:keepLines w:val="0"/>
              <w:pageBreakBefore w:val="0"/>
              <w:widowControl w:val="0"/>
              <w:numPr>
                <w:ilvl w:val="0"/>
                <w:numId w:val="4"/>
              </w:numPr>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w:t>
            </w:r>
            <w:r>
              <w:rPr>
                <w:rFonts w:hint="eastAsia" w:asciiTheme="minorEastAsia" w:hAnsiTheme="minorEastAsia" w:eastAsiaTheme="minorEastAsia" w:cstheme="minorEastAsia"/>
                <w:color w:val="auto"/>
                <w:kern w:val="0"/>
                <w:sz w:val="24"/>
                <w:szCs w:val="24"/>
                <w:highlight w:val="none"/>
              </w:rPr>
              <w:t>加密</w:t>
            </w:r>
            <w:r>
              <w:rPr>
                <w:rFonts w:hint="eastAsia" w:asciiTheme="minorEastAsia" w:hAnsiTheme="minorEastAsia" w:eastAsiaTheme="minorEastAsia" w:cstheme="minorEastAsia"/>
                <w:color w:val="auto"/>
                <w:sz w:val="24"/>
                <w:szCs w:val="24"/>
                <w:highlight w:val="none"/>
              </w:rPr>
              <w:t>投标文件必须有电子签章；</w:t>
            </w:r>
          </w:p>
          <w:p w14:paraId="4FC354F2">
            <w:pPr>
              <w:keepNext w:val="0"/>
              <w:keepLines w:val="0"/>
              <w:pageBreakBefore w:val="0"/>
              <w:widowControl w:val="0"/>
              <w:numPr>
                <w:ilvl w:val="0"/>
                <w:numId w:val="4"/>
              </w:numPr>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开标后，相关信息记录确认、澄清说明、回复等内容以电子签章</w:t>
            </w:r>
            <w:r>
              <w:rPr>
                <w:rFonts w:hint="eastAsia" w:asciiTheme="minorEastAsia" w:hAnsiTheme="minorEastAsia" w:eastAsiaTheme="minorEastAsia" w:cstheme="minorEastAsia"/>
                <w:color w:val="auto"/>
                <w:sz w:val="24"/>
                <w:szCs w:val="24"/>
                <w:highlight w:val="none"/>
                <w:lang w:eastAsia="zh-CN"/>
              </w:rPr>
              <w:t>，或者</w:t>
            </w:r>
            <w:r>
              <w:rPr>
                <w:rFonts w:hint="eastAsia" w:asciiTheme="minorEastAsia" w:hAnsiTheme="minorEastAsia" w:eastAsiaTheme="minorEastAsia" w:cstheme="minorEastAsia"/>
                <w:color w:val="auto"/>
                <w:sz w:val="24"/>
                <w:szCs w:val="24"/>
                <w:highlight w:val="none"/>
              </w:rPr>
              <w:t>签章后上传相关文件，均认可；</w:t>
            </w:r>
          </w:p>
          <w:p w14:paraId="65CC3B17">
            <w:pPr>
              <w:keepNext w:val="0"/>
              <w:keepLines w:val="0"/>
              <w:pageBreakBefore w:val="0"/>
              <w:widowControl w:val="0"/>
              <w:numPr>
                <w:ilvl w:val="0"/>
                <w:numId w:val="4"/>
              </w:numPr>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乐采云</w:t>
            </w:r>
            <w:r>
              <w:rPr>
                <w:rFonts w:hint="eastAsia" w:asciiTheme="minorEastAsia" w:hAnsiTheme="minorEastAsia" w:eastAsiaTheme="minorEastAsia" w:cstheme="minorEastAsia"/>
                <w:color w:val="auto"/>
                <w:sz w:val="24"/>
                <w:szCs w:val="24"/>
                <w:highlight w:val="none"/>
              </w:rPr>
              <w:t>系统平台有新的操作流程的，按其规定。</w:t>
            </w:r>
          </w:p>
        </w:tc>
      </w:tr>
      <w:tr w14:paraId="745095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773" w:type="dxa"/>
            <w:noWrap w:val="0"/>
            <w:vAlign w:val="center"/>
          </w:tcPr>
          <w:p w14:paraId="6F10B320">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17</w:t>
            </w:r>
          </w:p>
        </w:tc>
        <w:tc>
          <w:tcPr>
            <w:tcW w:w="1735" w:type="dxa"/>
            <w:noWrap w:val="0"/>
            <w:vAlign w:val="center"/>
          </w:tcPr>
          <w:p w14:paraId="64D9601A">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评标办法</w:t>
            </w:r>
          </w:p>
        </w:tc>
        <w:tc>
          <w:tcPr>
            <w:tcW w:w="6874" w:type="dxa"/>
            <w:noWrap w:val="0"/>
            <w:vAlign w:val="center"/>
          </w:tcPr>
          <w:p w14:paraId="5D58420F">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最低</w:t>
            </w:r>
            <w:r>
              <w:rPr>
                <w:rFonts w:hint="eastAsia" w:asciiTheme="minorEastAsia" w:hAnsiTheme="minorEastAsia" w:eastAsiaTheme="minorEastAsia" w:cstheme="minorEastAsia"/>
                <w:color w:val="auto"/>
                <w:sz w:val="24"/>
                <w:szCs w:val="24"/>
                <w:highlight w:val="none"/>
                <w:lang w:eastAsia="zh-CN"/>
              </w:rPr>
              <w:t>评标价法</w:t>
            </w:r>
            <w:r>
              <w:rPr>
                <w:rFonts w:hint="eastAsia" w:asciiTheme="minorEastAsia" w:hAnsiTheme="minorEastAsia" w:eastAsiaTheme="minorEastAsia" w:cstheme="minorEastAsia"/>
                <w:color w:val="auto"/>
                <w:sz w:val="24"/>
                <w:szCs w:val="24"/>
                <w:highlight w:val="none"/>
              </w:rPr>
              <w:t>，具体标准见第</w:t>
            </w:r>
            <w:r>
              <w:rPr>
                <w:rFonts w:hint="eastAsia" w:asciiTheme="minorEastAsia" w:hAnsiTheme="minorEastAsia" w:eastAsiaTheme="minorEastAsia" w:cstheme="minorEastAsia"/>
                <w:color w:val="auto"/>
                <w:sz w:val="24"/>
                <w:szCs w:val="24"/>
                <w:highlight w:val="none"/>
                <w:lang w:eastAsia="zh-CN"/>
              </w:rPr>
              <w:t>五</w:t>
            </w:r>
            <w:r>
              <w:rPr>
                <w:rFonts w:hint="eastAsia" w:asciiTheme="minorEastAsia" w:hAnsiTheme="minorEastAsia" w:eastAsiaTheme="minorEastAsia" w:cstheme="minorEastAsia"/>
                <w:color w:val="auto"/>
                <w:sz w:val="24"/>
                <w:szCs w:val="24"/>
                <w:highlight w:val="none"/>
                <w:lang w:val="en-US" w:eastAsia="zh-CN"/>
              </w:rPr>
              <w:t>部分</w:t>
            </w:r>
            <w:r>
              <w:rPr>
                <w:rFonts w:hint="eastAsia" w:asciiTheme="minorEastAsia" w:hAnsiTheme="minorEastAsia" w:eastAsiaTheme="minorEastAsia" w:cstheme="minorEastAsia"/>
                <w:color w:val="auto"/>
                <w:sz w:val="24"/>
                <w:szCs w:val="24"/>
                <w:highlight w:val="none"/>
              </w:rPr>
              <w:t>内容</w:t>
            </w:r>
          </w:p>
        </w:tc>
      </w:tr>
      <w:tr w14:paraId="7934A1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trPr>
        <w:tc>
          <w:tcPr>
            <w:tcW w:w="773" w:type="dxa"/>
            <w:noWrap w:val="0"/>
            <w:vAlign w:val="center"/>
          </w:tcPr>
          <w:p w14:paraId="660DD8A7">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18</w:t>
            </w:r>
          </w:p>
        </w:tc>
        <w:tc>
          <w:tcPr>
            <w:tcW w:w="1735" w:type="dxa"/>
            <w:noWrap w:val="0"/>
            <w:vAlign w:val="center"/>
          </w:tcPr>
          <w:p w14:paraId="655747DD">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p>
        </w:tc>
        <w:tc>
          <w:tcPr>
            <w:tcW w:w="6874" w:type="dxa"/>
            <w:noWrap w:val="0"/>
            <w:vAlign w:val="center"/>
          </w:tcPr>
          <w:p w14:paraId="2EA0D85A">
            <w:pPr>
              <w:keepNext w:val="0"/>
              <w:keepLines w:val="0"/>
              <w:pageBreakBefore w:val="0"/>
              <w:widowControl w:val="0"/>
              <w:kinsoku/>
              <w:wordWrap/>
              <w:overflowPunct/>
              <w:topLinePunct w:val="0"/>
              <w:autoSpaceDE/>
              <w:autoSpaceDN/>
              <w:bidi w:val="0"/>
              <w:adjustRightInd w:val="0"/>
              <w:snapToGrid w:val="0"/>
              <w:spacing w:line="360" w:lineRule="exact"/>
              <w:ind w:left="0" w:right="0" w:rightChars="0" w:hanging="16" w:hangingChars="7"/>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u w:val="single"/>
                <w:lang w:eastAsia="zh-CN"/>
              </w:rPr>
              <w:t>2024年</w:t>
            </w:r>
            <w:r>
              <w:rPr>
                <w:rFonts w:hint="eastAsia" w:asciiTheme="minorEastAsia" w:hAnsiTheme="minorEastAsia" w:eastAsiaTheme="minorEastAsia" w:cstheme="minorEastAsia"/>
                <w:b w:val="0"/>
                <w:bCs w:val="0"/>
                <w:color w:val="auto"/>
                <w:sz w:val="24"/>
                <w:szCs w:val="24"/>
                <w:highlight w:val="none"/>
                <w:u w:val="single"/>
                <w:lang w:val="en-US" w:eastAsia="zh-CN"/>
              </w:rPr>
              <w:t>12月17日</w:t>
            </w:r>
            <w:r>
              <w:rPr>
                <w:rFonts w:hint="eastAsia" w:asciiTheme="minorEastAsia" w:hAnsiTheme="minorEastAsia" w:eastAsiaTheme="minorEastAsia" w:cstheme="minorEastAsia"/>
                <w:b w:val="0"/>
                <w:bCs w:val="0"/>
                <w:color w:val="auto"/>
                <w:sz w:val="24"/>
                <w:szCs w:val="24"/>
                <w:highlight w:val="none"/>
                <w:u w:val="single"/>
                <w:lang w:eastAsia="zh-CN"/>
              </w:rPr>
              <w:t>14</w:t>
            </w:r>
            <w:r>
              <w:rPr>
                <w:rFonts w:hint="eastAsia" w:asciiTheme="minorEastAsia" w:hAnsiTheme="minorEastAsia" w:eastAsiaTheme="minorEastAsia" w:cstheme="minorEastAsia"/>
                <w:b w:val="0"/>
                <w:bCs w:val="0"/>
                <w:color w:val="auto"/>
                <w:sz w:val="24"/>
                <w:szCs w:val="24"/>
                <w:highlight w:val="none"/>
                <w:u w:val="single"/>
                <w:lang w:val="en-US" w:eastAsia="zh-CN"/>
              </w:rPr>
              <w:t>:</w:t>
            </w:r>
            <w:r>
              <w:rPr>
                <w:rFonts w:hint="eastAsia" w:asciiTheme="minorEastAsia" w:hAnsiTheme="minorEastAsia" w:eastAsiaTheme="minorEastAsia" w:cstheme="minorEastAsia"/>
                <w:b w:val="0"/>
                <w:bCs w:val="0"/>
                <w:color w:val="auto"/>
                <w:sz w:val="24"/>
                <w:szCs w:val="24"/>
                <w:highlight w:val="none"/>
                <w:u w:val="single"/>
                <w:lang w:eastAsia="zh-CN"/>
              </w:rPr>
              <w:t>30</w:t>
            </w:r>
            <w:r>
              <w:rPr>
                <w:rFonts w:hint="eastAsia" w:asciiTheme="minorEastAsia" w:hAnsiTheme="minorEastAsia" w:eastAsiaTheme="minorEastAsia" w:cstheme="minorEastAsia"/>
                <w:color w:val="auto"/>
                <w:kern w:val="0"/>
                <w:sz w:val="24"/>
                <w:szCs w:val="24"/>
                <w:highlight w:val="none"/>
              </w:rPr>
              <w:t>（北京时间）</w:t>
            </w:r>
          </w:p>
        </w:tc>
      </w:tr>
      <w:tr w14:paraId="28AC46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773" w:type="dxa"/>
            <w:noWrap w:val="0"/>
            <w:vAlign w:val="center"/>
          </w:tcPr>
          <w:p w14:paraId="64FFC3FD">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19</w:t>
            </w:r>
          </w:p>
        </w:tc>
        <w:tc>
          <w:tcPr>
            <w:tcW w:w="1735" w:type="dxa"/>
            <w:noWrap w:val="0"/>
            <w:vAlign w:val="center"/>
          </w:tcPr>
          <w:p w14:paraId="6C0A5CAE">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开标程序</w:t>
            </w:r>
          </w:p>
        </w:tc>
        <w:tc>
          <w:tcPr>
            <w:tcW w:w="6874" w:type="dxa"/>
            <w:noWrap w:val="0"/>
            <w:vAlign w:val="center"/>
          </w:tcPr>
          <w:p w14:paraId="706D0ADA">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详见第二部分  投标须知“20.3 开评标程序”</w:t>
            </w:r>
          </w:p>
        </w:tc>
      </w:tr>
      <w:tr w14:paraId="0E735C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773" w:type="dxa"/>
            <w:noWrap w:val="0"/>
            <w:vAlign w:val="center"/>
          </w:tcPr>
          <w:p w14:paraId="5BB48214">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20</w:t>
            </w:r>
          </w:p>
        </w:tc>
        <w:tc>
          <w:tcPr>
            <w:tcW w:w="1735" w:type="dxa"/>
            <w:noWrap w:val="0"/>
            <w:vAlign w:val="center"/>
          </w:tcPr>
          <w:p w14:paraId="71416E63">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评标程序</w:t>
            </w:r>
          </w:p>
        </w:tc>
        <w:tc>
          <w:tcPr>
            <w:tcW w:w="6874" w:type="dxa"/>
            <w:noWrap w:val="0"/>
            <w:vAlign w:val="center"/>
          </w:tcPr>
          <w:p w14:paraId="5917E8E0">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详见第二部分  投标须知“20.3 开评标程序”</w:t>
            </w:r>
          </w:p>
        </w:tc>
      </w:tr>
      <w:tr w14:paraId="5974DC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773" w:type="dxa"/>
            <w:noWrap w:val="0"/>
            <w:vAlign w:val="center"/>
          </w:tcPr>
          <w:p w14:paraId="0B51A097">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21</w:t>
            </w:r>
          </w:p>
        </w:tc>
        <w:tc>
          <w:tcPr>
            <w:tcW w:w="1735" w:type="dxa"/>
            <w:noWrap w:val="0"/>
            <w:vAlign w:val="center"/>
          </w:tcPr>
          <w:p w14:paraId="55993270">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6874" w:type="dxa"/>
            <w:noWrap w:val="0"/>
            <w:vAlign w:val="center"/>
          </w:tcPr>
          <w:p w14:paraId="059433A3">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投标截止日后</w:t>
            </w:r>
            <w:r>
              <w:rPr>
                <w:rFonts w:hint="eastAsia" w:asciiTheme="minorEastAsia" w:hAnsiTheme="minorEastAsia" w:eastAsiaTheme="minorEastAsia" w:cstheme="minorEastAsia"/>
                <w:b/>
                <w:bCs/>
                <w:color w:val="auto"/>
                <w:sz w:val="24"/>
                <w:szCs w:val="24"/>
                <w:highlight w:val="none"/>
              </w:rPr>
              <w:t>90天</w:t>
            </w:r>
            <w:r>
              <w:rPr>
                <w:rFonts w:hint="eastAsia" w:asciiTheme="minorEastAsia" w:hAnsiTheme="minorEastAsia" w:eastAsiaTheme="minorEastAsia" w:cstheme="minorEastAsia"/>
                <w:color w:val="auto"/>
                <w:sz w:val="24"/>
                <w:szCs w:val="24"/>
                <w:highlight w:val="none"/>
              </w:rPr>
              <w:t>内有效，不足有效期的，其投标视为无效标。</w:t>
            </w:r>
          </w:p>
        </w:tc>
      </w:tr>
      <w:tr w14:paraId="60C56B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8" w:hRule="atLeast"/>
        </w:trPr>
        <w:tc>
          <w:tcPr>
            <w:tcW w:w="773" w:type="dxa"/>
            <w:noWrap w:val="0"/>
            <w:vAlign w:val="center"/>
          </w:tcPr>
          <w:p w14:paraId="1AB7047E">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22</w:t>
            </w:r>
          </w:p>
        </w:tc>
        <w:tc>
          <w:tcPr>
            <w:tcW w:w="1735" w:type="dxa"/>
            <w:noWrap w:val="0"/>
            <w:vAlign w:val="center"/>
          </w:tcPr>
          <w:p w14:paraId="4DCF1226">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投标保证金</w:t>
            </w:r>
          </w:p>
          <w:p w14:paraId="756BE5E5">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退还</w:t>
            </w:r>
          </w:p>
        </w:tc>
        <w:tc>
          <w:tcPr>
            <w:tcW w:w="6874" w:type="dxa"/>
            <w:noWrap w:val="0"/>
            <w:vAlign w:val="center"/>
          </w:tcPr>
          <w:p w14:paraId="31D7EE6E">
            <w:pPr>
              <w:keepNext w:val="0"/>
              <w:keepLines w:val="0"/>
              <w:pageBreakBefore w:val="0"/>
              <w:widowControl w:val="0"/>
              <w:kinsoku/>
              <w:wordWrap/>
              <w:overflowPunct/>
              <w:topLinePunct w:val="0"/>
              <w:autoSpaceDE/>
              <w:autoSpaceDN/>
              <w:bidi w:val="0"/>
              <w:snapToGrid w:val="0"/>
              <w:spacing w:line="36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投标保证金采用</w:t>
            </w:r>
            <w:r>
              <w:rPr>
                <w:rFonts w:hint="eastAsia" w:asciiTheme="minorEastAsia" w:hAnsiTheme="minorEastAsia" w:eastAsiaTheme="minorEastAsia" w:cstheme="minorEastAsia"/>
                <w:color w:val="auto"/>
                <w:sz w:val="24"/>
                <w:szCs w:val="24"/>
                <w:highlight w:val="none"/>
              </w:rPr>
              <w:t>银行电汇、转账</w:t>
            </w:r>
            <w:r>
              <w:rPr>
                <w:rFonts w:hint="eastAsia" w:asciiTheme="minorEastAsia" w:hAnsiTheme="minorEastAsia" w:eastAsiaTheme="minorEastAsia" w:cstheme="minorEastAsia"/>
                <w:color w:val="auto"/>
                <w:sz w:val="24"/>
                <w:szCs w:val="24"/>
                <w:highlight w:val="none"/>
                <w:lang w:eastAsia="zh-CN"/>
              </w:rPr>
              <w:t>形式的，</w:t>
            </w:r>
            <w:r>
              <w:rPr>
                <w:rFonts w:hint="eastAsia" w:asciiTheme="minorEastAsia" w:hAnsiTheme="minorEastAsia" w:eastAsiaTheme="minorEastAsia" w:cstheme="minorEastAsia"/>
                <w:color w:val="auto"/>
                <w:sz w:val="24"/>
                <w:szCs w:val="24"/>
                <w:highlight w:val="none"/>
              </w:rPr>
              <w:t>除招标文件规定不予退还保证金的情形外，中标通知书发出后5个工作日内退还未中标供应商的投标保证金，投标人提供本单位开户银行及账号后，本</w:t>
            </w:r>
            <w:r>
              <w:rPr>
                <w:rFonts w:hint="eastAsia" w:asciiTheme="minorEastAsia" w:hAnsiTheme="minorEastAsia" w:eastAsiaTheme="minorEastAsia" w:cstheme="minorEastAsia"/>
                <w:color w:val="auto"/>
                <w:kern w:val="0"/>
                <w:sz w:val="24"/>
                <w:szCs w:val="24"/>
                <w:highlight w:val="none"/>
              </w:rPr>
              <w:t>采购代理机构</w:t>
            </w:r>
            <w:r>
              <w:rPr>
                <w:rFonts w:hint="eastAsia" w:asciiTheme="minorEastAsia" w:hAnsiTheme="minorEastAsia" w:eastAsiaTheme="minorEastAsia" w:cstheme="minorEastAsia"/>
                <w:color w:val="auto"/>
                <w:sz w:val="24"/>
                <w:szCs w:val="24"/>
                <w:highlight w:val="none"/>
              </w:rPr>
              <w:t>以电汇或转账方式退还投标保证金；在采购合同签订后5个工作日内退还中标供应商的投标保证金。</w:t>
            </w:r>
          </w:p>
        </w:tc>
      </w:tr>
      <w:tr w14:paraId="3D2BD0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85" w:hRule="atLeast"/>
        </w:trPr>
        <w:tc>
          <w:tcPr>
            <w:tcW w:w="773" w:type="dxa"/>
            <w:noWrap w:val="0"/>
            <w:vAlign w:val="center"/>
          </w:tcPr>
          <w:p w14:paraId="4A944574">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23</w:t>
            </w:r>
          </w:p>
        </w:tc>
        <w:tc>
          <w:tcPr>
            <w:tcW w:w="1735" w:type="dxa"/>
            <w:noWrap w:val="0"/>
            <w:vAlign w:val="center"/>
          </w:tcPr>
          <w:p w14:paraId="0B93E7E4">
            <w:pPr>
              <w:keepNext w:val="0"/>
              <w:keepLines w:val="0"/>
              <w:pageBreakBefore w:val="0"/>
              <w:widowControl w:val="0"/>
              <w:kinsoku/>
              <w:wordWrap/>
              <w:overflowPunct/>
              <w:topLinePunct w:val="0"/>
              <w:autoSpaceDE/>
              <w:autoSpaceDN/>
              <w:bidi w:val="0"/>
              <w:snapToGrid w:val="0"/>
              <w:spacing w:line="38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6874" w:type="dxa"/>
            <w:noWrap w:val="0"/>
            <w:vAlign w:val="center"/>
          </w:tcPr>
          <w:p w14:paraId="750B1B9B">
            <w:pPr>
              <w:keepNext w:val="0"/>
              <w:keepLines w:val="0"/>
              <w:pageBreakBefore w:val="0"/>
              <w:widowControl w:val="0"/>
              <w:kinsoku/>
              <w:wordWrap/>
              <w:overflowPunct/>
              <w:topLinePunct w:val="0"/>
              <w:autoSpaceDE/>
              <w:autoSpaceDN/>
              <w:bidi w:val="0"/>
              <w:snapToGrid w:val="0"/>
              <w:spacing w:line="38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履约担保的金额：</w:t>
            </w:r>
            <w:r>
              <w:rPr>
                <w:rFonts w:hint="eastAsia" w:asciiTheme="minorEastAsia" w:hAnsiTheme="minorEastAsia" w:eastAsiaTheme="minorEastAsia" w:cstheme="minorEastAsia"/>
                <w:snapToGrid w:val="0"/>
                <w:color w:val="auto"/>
                <w:kern w:val="0"/>
                <w:sz w:val="24"/>
                <w:szCs w:val="24"/>
                <w:highlight w:val="none"/>
                <w:lang w:eastAsia="zh-CN"/>
              </w:rPr>
              <w:t>中标价的</w:t>
            </w:r>
            <w:r>
              <w:rPr>
                <w:rFonts w:hint="eastAsia" w:asciiTheme="minorEastAsia" w:hAnsiTheme="minorEastAsia" w:eastAsiaTheme="minorEastAsia" w:cstheme="minorEastAsia"/>
                <w:snapToGrid w:val="0"/>
                <w:color w:val="auto"/>
                <w:kern w:val="0"/>
                <w:sz w:val="24"/>
                <w:szCs w:val="24"/>
                <w:highlight w:val="none"/>
                <w:lang w:val="en-US" w:eastAsia="zh-CN"/>
              </w:rPr>
              <w:t>5%</w:t>
            </w:r>
            <w:r>
              <w:rPr>
                <w:rFonts w:hint="eastAsia" w:asciiTheme="minorEastAsia" w:hAnsiTheme="minorEastAsia" w:eastAsiaTheme="minorEastAsia" w:cstheme="minorEastAsia"/>
                <w:snapToGrid w:val="0"/>
                <w:color w:val="auto"/>
                <w:kern w:val="0"/>
                <w:sz w:val="24"/>
                <w:szCs w:val="24"/>
                <w:highlight w:val="none"/>
                <w:lang w:eastAsia="zh-CN"/>
              </w:rPr>
              <w:t>（不计息）。</w:t>
            </w:r>
          </w:p>
          <w:p w14:paraId="144C258A">
            <w:pPr>
              <w:keepNext w:val="0"/>
              <w:keepLines w:val="0"/>
              <w:pageBreakBefore w:val="0"/>
              <w:widowControl w:val="0"/>
              <w:kinsoku/>
              <w:wordWrap/>
              <w:overflowPunct/>
              <w:topLinePunct w:val="0"/>
              <w:autoSpaceDE/>
              <w:autoSpaceDN/>
              <w:bidi w:val="0"/>
              <w:snapToGrid w:val="0"/>
              <w:spacing w:line="380" w:lineRule="exact"/>
              <w:ind w:left="0" w:right="0" w:righ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履约担保的形式：现金、支票、汇票、本票或者金融机构、保险公司、担保机构出具的保函（见函即付）/保险</w:t>
            </w:r>
          </w:p>
          <w:p w14:paraId="5395FB39">
            <w:pPr>
              <w:keepNext w:val="0"/>
              <w:keepLines w:val="0"/>
              <w:pageBreakBefore w:val="0"/>
              <w:widowControl w:val="0"/>
              <w:kinsoku/>
              <w:wordWrap/>
              <w:overflowPunct/>
              <w:topLinePunct w:val="0"/>
              <w:autoSpaceDE/>
              <w:autoSpaceDN/>
              <w:bidi w:val="0"/>
              <w:snapToGrid w:val="0"/>
              <w:spacing w:line="380" w:lineRule="exact"/>
              <w:ind w:left="0" w:right="0" w:righ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sym w:font="Wingdings" w:char="00A8"/>
            </w:r>
            <w:r>
              <w:rPr>
                <w:rFonts w:hint="eastAsia" w:asciiTheme="minorEastAsia" w:hAnsiTheme="minorEastAsia" w:eastAsiaTheme="minorEastAsia" w:cstheme="minorEastAsia"/>
                <w:color w:val="auto"/>
                <w:sz w:val="24"/>
                <w:szCs w:val="24"/>
                <w:highlight w:val="none"/>
                <w:lang w:val="en-US" w:eastAsia="zh-CN"/>
              </w:rPr>
              <w:t>履约担保形式为现金（账户另行通知），履约保证金待合同期满视履约情况到采购人处办理履约保证金的退还手续（不计息）；</w:t>
            </w:r>
          </w:p>
          <w:p w14:paraId="3990306A">
            <w:pPr>
              <w:keepNext w:val="0"/>
              <w:keepLines w:val="0"/>
              <w:pageBreakBefore w:val="0"/>
              <w:widowControl w:val="0"/>
              <w:kinsoku/>
              <w:wordWrap/>
              <w:overflowPunct/>
              <w:topLinePunct w:val="0"/>
              <w:autoSpaceDE/>
              <w:autoSpaceDN/>
              <w:bidi w:val="0"/>
              <w:snapToGrid w:val="0"/>
              <w:spacing w:line="380" w:lineRule="exact"/>
              <w:ind w:left="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sym w:font="Wingdings" w:char="00A8"/>
            </w:r>
            <w:r>
              <w:rPr>
                <w:rFonts w:hint="eastAsia" w:asciiTheme="minorEastAsia" w:hAnsiTheme="minorEastAsia" w:eastAsiaTheme="minorEastAsia" w:cstheme="minorEastAsia"/>
                <w:color w:val="auto"/>
                <w:sz w:val="24"/>
                <w:szCs w:val="24"/>
                <w:highlight w:val="none"/>
                <w:lang w:val="en-US" w:eastAsia="zh-CN"/>
              </w:rPr>
              <w:t>履约担保形式为支票、汇票、本票或者金融机构、保险公司、担保机构出具的保函/保险等非现金形式的，应在合同履行期限内保持有效。若出现支票、汇票、本票或者金融机构、保险公司、担保机构出具的保函/保险失效等情形导致中标人的违约金额无法从支票、汇票、本票或保函/保险出具单位理赔的，采购人有权从合同款中予以直接扣除。</w:t>
            </w:r>
          </w:p>
        </w:tc>
      </w:tr>
      <w:tr w14:paraId="03C3B7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7" w:hRule="atLeast"/>
        </w:trPr>
        <w:tc>
          <w:tcPr>
            <w:tcW w:w="773" w:type="dxa"/>
            <w:noWrap w:val="0"/>
            <w:vAlign w:val="center"/>
          </w:tcPr>
          <w:p w14:paraId="55D3CB21">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24</w:t>
            </w:r>
          </w:p>
        </w:tc>
        <w:tc>
          <w:tcPr>
            <w:tcW w:w="1735" w:type="dxa"/>
            <w:noWrap w:val="0"/>
            <w:vAlign w:val="center"/>
          </w:tcPr>
          <w:p w14:paraId="0E8CB2DF">
            <w:pPr>
              <w:keepNext w:val="0"/>
              <w:keepLines w:val="0"/>
              <w:pageBreakBefore w:val="0"/>
              <w:widowControl w:val="0"/>
              <w:kinsoku/>
              <w:wordWrap/>
              <w:overflowPunct/>
              <w:topLinePunct w:val="0"/>
              <w:autoSpaceDE/>
              <w:autoSpaceDN/>
              <w:bidi w:val="0"/>
              <w:adjustRightInd w:val="0"/>
              <w:snapToGrid w:val="0"/>
              <w:spacing w:line="38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询标澄清</w:t>
            </w:r>
          </w:p>
        </w:tc>
        <w:tc>
          <w:tcPr>
            <w:tcW w:w="6874" w:type="dxa"/>
            <w:noWrap w:val="0"/>
            <w:vAlign w:val="center"/>
          </w:tcPr>
          <w:p w14:paraId="3B62C548">
            <w:pPr>
              <w:keepNext w:val="0"/>
              <w:keepLines w:val="0"/>
              <w:pageBreakBefore w:val="0"/>
              <w:widowControl w:val="0"/>
              <w:kinsoku/>
              <w:wordWrap/>
              <w:overflowPunct/>
              <w:topLinePunct w:val="0"/>
              <w:autoSpaceDE/>
              <w:autoSpaceDN/>
              <w:bidi w:val="0"/>
              <w:snapToGrid w:val="0"/>
              <w:spacing w:line="38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本项目不要求投标人到开标现场开标，但投标人应派法定代表人或委托代理人准时在线出席电子开标会议，随时关注开标进度。如在评标过程</w:t>
            </w:r>
            <w:r>
              <w:rPr>
                <w:rFonts w:hint="eastAsia" w:asciiTheme="minorEastAsia" w:hAnsiTheme="minorEastAsia" w:eastAsiaTheme="minorEastAsia" w:cstheme="minorEastAsia"/>
                <w:color w:val="auto"/>
                <w:sz w:val="24"/>
                <w:szCs w:val="24"/>
                <w:highlight w:val="none"/>
              </w:rPr>
              <w:t>中，</w:t>
            </w:r>
            <w:r>
              <w:rPr>
                <w:rFonts w:hint="eastAsia" w:asciiTheme="minorEastAsia" w:hAnsiTheme="minorEastAsia" w:eastAsiaTheme="minorEastAsia" w:cstheme="minorEastAsia"/>
                <w:color w:val="auto"/>
                <w:kern w:val="0"/>
                <w:sz w:val="24"/>
                <w:szCs w:val="24"/>
                <w:highlight w:val="none"/>
              </w:rPr>
              <w:t>评标委员会</w:t>
            </w:r>
            <w:r>
              <w:rPr>
                <w:rFonts w:hint="eastAsia" w:asciiTheme="minorEastAsia" w:hAnsiTheme="minorEastAsia" w:eastAsiaTheme="minorEastAsia" w:cstheme="minorEastAsia"/>
                <w:color w:val="auto"/>
                <w:sz w:val="24"/>
                <w:szCs w:val="24"/>
                <w:highlight w:val="none"/>
              </w:rPr>
              <w:t>对投标文件有疑问，由评审组长将问题汇总后发起询标澄清函，投标人应在规定截止时间前回复相关内容并经签章后提交。逾期答复的，投标人自行承担由此可能导致的对其不利的评审结果，评标委员会按少数服从多数原则对相关内容进行评判。</w:t>
            </w:r>
            <w:r>
              <w:rPr>
                <w:rFonts w:hint="eastAsia" w:asciiTheme="minorEastAsia" w:hAnsiTheme="minorEastAsia" w:eastAsiaTheme="minorEastAsia" w:cstheme="minorEastAsia"/>
                <w:color w:val="auto"/>
                <w:kern w:val="0"/>
                <w:sz w:val="24"/>
                <w:szCs w:val="24"/>
                <w:highlight w:val="none"/>
              </w:rPr>
              <w:t>投标人未按招标文件要求派代表参加电子开标会议的，视同认可开标结果，事后不得对开标过程及开标结果提出质疑。</w:t>
            </w:r>
          </w:p>
        </w:tc>
      </w:tr>
      <w:tr w14:paraId="00F827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8" w:hRule="atLeast"/>
        </w:trPr>
        <w:tc>
          <w:tcPr>
            <w:tcW w:w="773" w:type="dxa"/>
            <w:noWrap w:val="0"/>
            <w:vAlign w:val="center"/>
          </w:tcPr>
          <w:p w14:paraId="739A28EE">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25</w:t>
            </w:r>
          </w:p>
        </w:tc>
        <w:tc>
          <w:tcPr>
            <w:tcW w:w="1735" w:type="dxa"/>
            <w:noWrap w:val="0"/>
            <w:vAlign w:val="center"/>
          </w:tcPr>
          <w:p w14:paraId="08B61F45">
            <w:pPr>
              <w:keepNext w:val="0"/>
              <w:keepLines w:val="0"/>
              <w:pageBreakBefore w:val="0"/>
              <w:widowControl w:val="0"/>
              <w:kinsoku/>
              <w:wordWrap/>
              <w:overflowPunct/>
              <w:topLinePunct w:val="0"/>
              <w:autoSpaceDE/>
              <w:autoSpaceDN/>
              <w:bidi w:val="0"/>
              <w:adjustRightInd w:val="0"/>
              <w:snapToGrid w:val="0"/>
              <w:spacing w:line="380" w:lineRule="exact"/>
              <w:ind w:left="0" w:right="0" w:rightChars="0"/>
              <w:jc w:val="center"/>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公告发布媒体</w:t>
            </w:r>
          </w:p>
        </w:tc>
        <w:tc>
          <w:tcPr>
            <w:tcW w:w="6874" w:type="dxa"/>
            <w:noWrap w:val="0"/>
            <w:vAlign w:val="center"/>
          </w:tcPr>
          <w:p w14:paraId="72E67C55">
            <w:pPr>
              <w:pStyle w:val="25"/>
              <w:keepNext w:val="0"/>
              <w:keepLines w:val="0"/>
              <w:pageBreakBefore w:val="0"/>
              <w:widowControl w:val="0"/>
              <w:tabs>
                <w:tab w:val="left" w:pos="900"/>
              </w:tabs>
              <w:kinsoku/>
              <w:wordWrap/>
              <w:overflowPunct/>
              <w:topLinePunct w:val="0"/>
              <w:autoSpaceDE/>
              <w:autoSpaceDN/>
              <w:bidi w:val="0"/>
              <w:adjustRightInd w:val="0"/>
              <w:snapToGrid w:val="0"/>
              <w:spacing w:line="38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浙江政府采购网。</w:t>
            </w:r>
          </w:p>
        </w:tc>
      </w:tr>
      <w:tr w14:paraId="3A30B1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5" w:hRule="atLeast"/>
        </w:trPr>
        <w:tc>
          <w:tcPr>
            <w:tcW w:w="773" w:type="dxa"/>
            <w:noWrap w:val="0"/>
            <w:vAlign w:val="center"/>
          </w:tcPr>
          <w:p w14:paraId="4027B2C8">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26</w:t>
            </w:r>
          </w:p>
        </w:tc>
        <w:tc>
          <w:tcPr>
            <w:tcW w:w="1735" w:type="dxa"/>
            <w:noWrap w:val="0"/>
            <w:vAlign w:val="center"/>
          </w:tcPr>
          <w:p w14:paraId="5F9F7B68">
            <w:pPr>
              <w:keepNext w:val="0"/>
              <w:keepLines w:val="0"/>
              <w:pageBreakBefore w:val="0"/>
              <w:widowControl w:val="0"/>
              <w:kinsoku/>
              <w:wordWrap/>
              <w:overflowPunct/>
              <w:topLinePunct w:val="0"/>
              <w:autoSpaceDE/>
              <w:autoSpaceDN/>
              <w:bidi w:val="0"/>
              <w:adjustRightInd w:val="0"/>
              <w:snapToGrid w:val="0"/>
              <w:spacing w:line="380" w:lineRule="exact"/>
              <w:ind w:left="0" w:right="0" w:rightChars="0"/>
              <w:jc w:val="center"/>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中标通知书</w:t>
            </w:r>
          </w:p>
        </w:tc>
        <w:tc>
          <w:tcPr>
            <w:tcW w:w="6874" w:type="dxa"/>
            <w:noWrap w:val="0"/>
            <w:vAlign w:val="center"/>
          </w:tcPr>
          <w:p w14:paraId="434B8B42">
            <w:pPr>
              <w:keepNext w:val="0"/>
              <w:keepLines w:val="0"/>
              <w:pageBreakBefore w:val="0"/>
              <w:widowControl w:val="0"/>
              <w:kinsoku/>
              <w:wordWrap/>
              <w:overflowPunct/>
              <w:topLinePunct w:val="0"/>
              <w:autoSpaceDE/>
              <w:autoSpaceDN/>
              <w:bidi w:val="0"/>
              <w:adjustRightInd w:val="0"/>
              <w:snapToGrid w:val="0"/>
              <w:spacing w:line="380" w:lineRule="exact"/>
              <w:ind w:left="0" w:right="0" w:rightChars="0"/>
              <w:jc w:val="left"/>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发出中标结果公告的同时，招标人与招标代理机构共同向中标单位发出中标通知书。</w:t>
            </w:r>
          </w:p>
        </w:tc>
      </w:tr>
      <w:tr w14:paraId="56BE7F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1" w:hRule="atLeast"/>
        </w:trPr>
        <w:tc>
          <w:tcPr>
            <w:tcW w:w="773" w:type="dxa"/>
            <w:noWrap w:val="0"/>
            <w:vAlign w:val="center"/>
          </w:tcPr>
          <w:p w14:paraId="4A26EB3F">
            <w:pPr>
              <w:keepNext w:val="0"/>
              <w:keepLines w:val="0"/>
              <w:pageBreakBefore w:val="0"/>
              <w:kinsoku/>
              <w:wordWrap/>
              <w:overflowPunct/>
              <w:topLinePunct w:val="0"/>
              <w:autoSpaceDE/>
              <w:autoSpaceDN/>
              <w:bidi w:val="0"/>
              <w:adjustRightInd w:val="0"/>
              <w:spacing w:line="400" w:lineRule="exact"/>
              <w:ind w:left="0" w:right="0" w:rightChars="0"/>
              <w:jc w:val="center"/>
              <w:textAlignment w:val="auto"/>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rPr>
              <w:t>27</w:t>
            </w:r>
          </w:p>
        </w:tc>
        <w:tc>
          <w:tcPr>
            <w:tcW w:w="1735" w:type="dxa"/>
            <w:noWrap w:val="0"/>
            <w:vAlign w:val="center"/>
          </w:tcPr>
          <w:p w14:paraId="6D5B8E92">
            <w:pPr>
              <w:keepNext w:val="0"/>
              <w:keepLines w:val="0"/>
              <w:pageBreakBefore w:val="0"/>
              <w:widowControl w:val="0"/>
              <w:kinsoku/>
              <w:wordWrap/>
              <w:overflowPunct/>
              <w:topLinePunct w:val="0"/>
              <w:autoSpaceDE/>
              <w:autoSpaceDN/>
              <w:bidi w:val="0"/>
              <w:snapToGrid w:val="0"/>
              <w:spacing w:line="38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w:t>
            </w:r>
          </w:p>
        </w:tc>
        <w:tc>
          <w:tcPr>
            <w:tcW w:w="6874" w:type="dxa"/>
            <w:noWrap w:val="0"/>
            <w:vAlign w:val="center"/>
          </w:tcPr>
          <w:p w14:paraId="1C81CE09">
            <w:pPr>
              <w:keepNext w:val="0"/>
              <w:keepLines w:val="0"/>
              <w:pageBreakBefore w:val="0"/>
              <w:widowControl w:val="0"/>
              <w:kinsoku/>
              <w:wordWrap/>
              <w:overflowPunct/>
              <w:topLinePunct w:val="0"/>
              <w:autoSpaceDE/>
              <w:autoSpaceDN/>
              <w:bidi w:val="0"/>
              <w:snapToGrid w:val="0"/>
              <w:spacing w:line="38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根据《中华人民共和国政府采购法》第五十二条、《中华人民共和国政府采购法实施条例》第五十三条、《政府采购质疑和投诉办法》的规定：</w:t>
            </w:r>
          </w:p>
          <w:p w14:paraId="2B28B731">
            <w:pPr>
              <w:keepNext w:val="0"/>
              <w:keepLines w:val="0"/>
              <w:pageBreakBefore w:val="0"/>
              <w:widowControl w:val="0"/>
              <w:kinsoku/>
              <w:wordWrap/>
              <w:overflowPunct/>
              <w:topLinePunct w:val="0"/>
              <w:autoSpaceDE/>
              <w:autoSpaceDN/>
              <w:bidi w:val="0"/>
              <w:snapToGrid w:val="0"/>
              <w:spacing w:line="38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投标人认为采购（招标）文件、采购过程、中标或者成交结果使自己的</w:t>
            </w:r>
            <w:r>
              <w:rPr>
                <w:rFonts w:hint="eastAsia" w:asciiTheme="minorEastAsia" w:hAnsiTheme="minorEastAsia" w:eastAsiaTheme="minorEastAsia" w:cstheme="minorEastAsia"/>
                <w:color w:val="auto"/>
                <w:kern w:val="0"/>
                <w:sz w:val="24"/>
                <w:szCs w:val="24"/>
                <w:highlight w:val="none"/>
              </w:rPr>
              <w:t>合法</w:t>
            </w:r>
            <w:r>
              <w:rPr>
                <w:rFonts w:hint="eastAsia" w:asciiTheme="minorEastAsia" w:hAnsiTheme="minorEastAsia" w:eastAsiaTheme="minorEastAsia" w:cstheme="minorEastAsia"/>
                <w:snapToGrid w:val="0"/>
                <w:color w:val="auto"/>
                <w:kern w:val="0"/>
                <w:sz w:val="24"/>
                <w:szCs w:val="24"/>
                <w:highlight w:val="none"/>
              </w:rPr>
              <w:t>权益受到损害的，</w:t>
            </w:r>
            <w:r>
              <w:rPr>
                <w:rFonts w:hint="eastAsia" w:asciiTheme="minorEastAsia" w:hAnsiTheme="minorEastAsia" w:eastAsiaTheme="minorEastAsia" w:cstheme="minorEastAsia"/>
                <w:color w:val="auto"/>
                <w:kern w:val="0"/>
                <w:sz w:val="24"/>
                <w:szCs w:val="24"/>
                <w:highlight w:val="none"/>
              </w:rPr>
              <w:t>应当</w:t>
            </w:r>
            <w:r>
              <w:rPr>
                <w:rFonts w:hint="eastAsia" w:asciiTheme="minorEastAsia" w:hAnsiTheme="minorEastAsia" w:eastAsiaTheme="minorEastAsia" w:cstheme="minorEastAsia"/>
                <w:snapToGrid w:val="0"/>
                <w:color w:val="auto"/>
                <w:kern w:val="0"/>
                <w:sz w:val="24"/>
                <w:szCs w:val="24"/>
                <w:highlight w:val="none"/>
              </w:rPr>
              <w:t>在知道或者应知其权益受到损害之日起7个工作日内，以书面形式向采购人、采购代理机构提出质疑</w:t>
            </w:r>
            <w:r>
              <w:rPr>
                <w:rFonts w:hint="eastAsia" w:asciiTheme="minorEastAsia" w:hAnsiTheme="minorEastAsia" w:eastAsiaTheme="minorEastAsia" w:cstheme="minorEastAsia"/>
                <w:color w:val="auto"/>
                <w:kern w:val="0"/>
                <w:sz w:val="24"/>
                <w:szCs w:val="24"/>
                <w:highlight w:val="none"/>
              </w:rPr>
              <w:t>；逾期提出的，采购组织机构可以不予受理、答复。</w:t>
            </w:r>
          </w:p>
          <w:p w14:paraId="52422AF3">
            <w:pPr>
              <w:keepNext w:val="0"/>
              <w:keepLines w:val="0"/>
              <w:pageBreakBefore w:val="0"/>
              <w:widowControl w:val="0"/>
              <w:kinsoku/>
              <w:wordWrap/>
              <w:overflowPunct/>
              <w:topLinePunct w:val="0"/>
              <w:autoSpaceDE/>
              <w:autoSpaceDN/>
              <w:bidi w:val="0"/>
              <w:snapToGrid w:val="0"/>
              <w:spacing w:line="380" w:lineRule="exact"/>
              <w:ind w:left="0" w:right="0" w:rightChars="0"/>
              <w:textAlignment w:val="auto"/>
              <w:rPr>
                <w:rFonts w:hint="eastAsia" w:asciiTheme="minorEastAsia" w:hAnsiTheme="minorEastAsia" w:eastAsiaTheme="minorEastAsia" w:cstheme="minorEastAsia"/>
                <w:b/>
                <w:bCs/>
                <w:snapToGrid w:val="0"/>
                <w:color w:val="auto"/>
                <w:kern w:val="0"/>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rPr>
              <w:t>本项目要求投标人在法定质疑期内一次性提出针对同一采购程序环节的质疑。</w:t>
            </w:r>
          </w:p>
        </w:tc>
      </w:tr>
      <w:tr w14:paraId="00D9F2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0" w:hRule="atLeast"/>
        </w:trPr>
        <w:tc>
          <w:tcPr>
            <w:tcW w:w="773" w:type="dxa"/>
            <w:noWrap w:val="0"/>
            <w:vAlign w:val="center"/>
          </w:tcPr>
          <w:p w14:paraId="3EBBA9AE">
            <w:pPr>
              <w:keepNext w:val="0"/>
              <w:keepLines w:val="0"/>
              <w:pageBreakBefore w:val="0"/>
              <w:kinsoku/>
              <w:wordWrap/>
              <w:overflowPunct/>
              <w:topLinePunct w:val="0"/>
              <w:autoSpaceDE/>
              <w:autoSpaceDN/>
              <w:bidi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28</w:t>
            </w:r>
          </w:p>
        </w:tc>
        <w:tc>
          <w:tcPr>
            <w:tcW w:w="1735" w:type="dxa"/>
            <w:noWrap w:val="0"/>
            <w:vAlign w:val="center"/>
          </w:tcPr>
          <w:p w14:paraId="700D570A">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w:t>
            </w:r>
          </w:p>
        </w:tc>
        <w:tc>
          <w:tcPr>
            <w:tcW w:w="6874" w:type="dxa"/>
            <w:noWrap w:val="0"/>
            <w:vAlign w:val="center"/>
          </w:tcPr>
          <w:p w14:paraId="4155C761">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根据《中华人民共和国政府采购法》第五十五条的规定，质疑投标人对采购人、采购代理机构的答复不满意或者采购人、采购代理机构未在规定的时间内作出答复的，可以在答复期满后十五个工作日内向监督管理部门投诉。</w:t>
            </w:r>
          </w:p>
          <w:p w14:paraId="65EA771A">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以联合体形式参加采购活动的，其投诉应当由组成联合体的所有投标人共同提出（本项目不适用）。</w:t>
            </w:r>
          </w:p>
        </w:tc>
      </w:tr>
      <w:tr w14:paraId="65BE69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4" w:hRule="atLeast"/>
        </w:trPr>
        <w:tc>
          <w:tcPr>
            <w:tcW w:w="773" w:type="dxa"/>
            <w:noWrap w:val="0"/>
            <w:vAlign w:val="center"/>
          </w:tcPr>
          <w:p w14:paraId="60601B63">
            <w:pPr>
              <w:keepNext w:val="0"/>
              <w:keepLines w:val="0"/>
              <w:pageBreakBefore w:val="0"/>
              <w:kinsoku/>
              <w:wordWrap/>
              <w:overflowPunct/>
              <w:topLinePunct w:val="0"/>
              <w:autoSpaceDE/>
              <w:autoSpaceDN/>
              <w:bidi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29</w:t>
            </w:r>
          </w:p>
        </w:tc>
        <w:tc>
          <w:tcPr>
            <w:tcW w:w="1735" w:type="dxa"/>
            <w:noWrap w:val="0"/>
            <w:vAlign w:val="center"/>
          </w:tcPr>
          <w:p w14:paraId="78E8B400">
            <w:pPr>
              <w:keepNext w:val="0"/>
              <w:keepLines w:val="0"/>
              <w:pageBreakBefore w:val="0"/>
              <w:kinsoku/>
              <w:wordWrap/>
              <w:overflowPunct/>
              <w:topLinePunct w:val="0"/>
              <w:autoSpaceDE/>
              <w:autoSpaceDN/>
              <w:bidi w:val="0"/>
              <w:snapToGrid w:val="0"/>
              <w:spacing w:line="400" w:lineRule="exact"/>
              <w:ind w:left="0" w:right="0" w:right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特别说明</w:t>
            </w:r>
          </w:p>
        </w:tc>
        <w:tc>
          <w:tcPr>
            <w:tcW w:w="6874" w:type="dxa"/>
            <w:noWrap w:val="0"/>
            <w:vAlign w:val="center"/>
          </w:tcPr>
          <w:p w14:paraId="2B31313B">
            <w:pPr>
              <w:pStyle w:val="25"/>
              <w:keepNext w:val="0"/>
              <w:keepLines w:val="0"/>
              <w:pageBreakBefore w:val="0"/>
              <w:tabs>
                <w:tab w:val="left" w:pos="900"/>
              </w:tabs>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投标人应无条件的、认真仔细的、不厌其烦的阅读本采购文件及其澄清答疑、修改答复的补充文件，严格按照采购文件及补充文件的规定和要求编制投标文件。在编制投标文件过程中，应严格遵循实事求是、诚信投标的原则，针对采购文件中第三部分</w:t>
            </w:r>
            <w:r>
              <w:rPr>
                <w:rFonts w:hint="eastAsia" w:asciiTheme="minorEastAsia" w:hAnsiTheme="minorEastAsia" w:eastAsiaTheme="minorEastAsia" w:cstheme="minorEastAsia"/>
                <w:color w:val="auto"/>
                <w:kern w:val="0"/>
                <w:sz w:val="24"/>
                <w:szCs w:val="24"/>
                <w:highlight w:val="none"/>
              </w:rPr>
              <w:t>招标内容及需求</w:t>
            </w:r>
            <w:r>
              <w:rPr>
                <w:rFonts w:hint="eastAsia" w:asciiTheme="minorEastAsia" w:hAnsiTheme="minorEastAsia" w:eastAsiaTheme="minorEastAsia" w:cstheme="minorEastAsia"/>
                <w:snapToGrid w:val="0"/>
                <w:color w:val="auto"/>
                <w:kern w:val="0"/>
                <w:sz w:val="24"/>
                <w:szCs w:val="24"/>
                <w:highlight w:val="none"/>
              </w:rPr>
              <w:t>、第四部分合同条款等各项内容进行确认，如有偏离，应如实填写响应偏离表。</w:t>
            </w:r>
          </w:p>
          <w:p w14:paraId="76A498C5">
            <w:pPr>
              <w:pStyle w:val="25"/>
              <w:keepNext w:val="0"/>
              <w:keepLines w:val="0"/>
              <w:pageBreakBefore w:val="0"/>
              <w:tabs>
                <w:tab w:val="left" w:pos="900"/>
              </w:tabs>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14:paraId="6FA10DE0">
            <w:pPr>
              <w:pStyle w:val="25"/>
              <w:keepNext w:val="0"/>
              <w:keepLines w:val="0"/>
              <w:pageBreakBefore w:val="0"/>
              <w:tabs>
                <w:tab w:val="left" w:pos="900"/>
              </w:tabs>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（3）质疑、投诉人未按前列序号第2</w:t>
            </w:r>
            <w:r>
              <w:rPr>
                <w:rFonts w:hint="eastAsia" w:asciiTheme="minorEastAsia" w:hAnsiTheme="minorEastAsia" w:eastAsiaTheme="minorEastAsia" w:cstheme="minorEastAsia"/>
                <w:snapToGrid w:val="0"/>
                <w:color w:val="auto"/>
                <w:kern w:val="0"/>
                <w:sz w:val="24"/>
                <w:szCs w:val="24"/>
                <w:highlight w:val="none"/>
                <w:lang w:val="en-US" w:eastAsia="zh-CN"/>
              </w:rPr>
              <w:t>7</w:t>
            </w:r>
            <w:r>
              <w:rPr>
                <w:rFonts w:hint="eastAsia" w:asciiTheme="minorEastAsia" w:hAnsiTheme="minorEastAsia" w:eastAsiaTheme="minorEastAsia" w:cstheme="minorEastAsia"/>
                <w:snapToGrid w:val="0"/>
                <w:color w:val="auto"/>
                <w:kern w:val="0"/>
                <w:sz w:val="24"/>
                <w:szCs w:val="24"/>
                <w:highlight w:val="none"/>
              </w:rPr>
              <w:t>、2</w:t>
            </w:r>
            <w:r>
              <w:rPr>
                <w:rFonts w:hint="eastAsia" w:asciiTheme="minorEastAsia" w:hAnsiTheme="minorEastAsia" w:eastAsiaTheme="minorEastAsia" w:cstheme="minorEastAsia"/>
                <w:snapToGrid w:val="0"/>
                <w:color w:val="auto"/>
                <w:kern w:val="0"/>
                <w:sz w:val="24"/>
                <w:szCs w:val="24"/>
                <w:highlight w:val="none"/>
                <w:lang w:val="en-US" w:eastAsia="zh-CN"/>
              </w:rPr>
              <w:t>8</w:t>
            </w:r>
            <w:r>
              <w:rPr>
                <w:rFonts w:hint="eastAsia" w:asciiTheme="minorEastAsia" w:hAnsiTheme="minorEastAsia" w:eastAsiaTheme="minorEastAsia" w:cstheme="minorEastAsia"/>
                <w:snapToGrid w:val="0"/>
                <w:color w:val="auto"/>
                <w:kern w:val="0"/>
                <w:sz w:val="24"/>
                <w:szCs w:val="24"/>
                <w:highlight w:val="none"/>
              </w:rPr>
              <w:t>条规定进行质疑、投诉（申诉）、举报等，均属于扰乱政府采购市场不良行为。</w:t>
            </w:r>
          </w:p>
          <w:p w14:paraId="065F49EB">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质疑、投诉应当采用书面形式，质疑书、投诉书均应明确阐述招标文件、招标过程或中标结果中使自己合法权益受到损害的实质性内容，提供相关事实、依据和证据及其来源或线索，便于有关单位调查、答复和处理。</w:t>
            </w:r>
          </w:p>
          <w:p w14:paraId="0B3146F3">
            <w:pPr>
              <w:pStyle w:val="25"/>
              <w:keepNext w:val="0"/>
              <w:keepLines w:val="0"/>
              <w:pageBreakBefore w:val="0"/>
              <w:tabs>
                <w:tab w:val="left" w:pos="900"/>
              </w:tabs>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rPr>
              <w:t>（5）采购文件中凡标注“▲”的条款均为实质性要求，不响应的投标文件将作无效标处理。</w:t>
            </w:r>
          </w:p>
        </w:tc>
      </w:tr>
      <w:tr w14:paraId="02077C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68" w:hRule="atLeast"/>
        </w:trPr>
        <w:tc>
          <w:tcPr>
            <w:tcW w:w="773" w:type="dxa"/>
            <w:noWrap w:val="0"/>
            <w:vAlign w:val="center"/>
          </w:tcPr>
          <w:p w14:paraId="451A242C">
            <w:pPr>
              <w:keepNext w:val="0"/>
              <w:keepLines w:val="0"/>
              <w:pageBreakBefore w:val="0"/>
              <w:kinsoku/>
              <w:wordWrap/>
              <w:overflowPunct/>
              <w:topLinePunct w:val="0"/>
              <w:autoSpaceDE/>
              <w:autoSpaceDN/>
              <w:bidi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p>
        </w:tc>
        <w:tc>
          <w:tcPr>
            <w:tcW w:w="1735" w:type="dxa"/>
            <w:noWrap w:val="0"/>
            <w:vAlign w:val="center"/>
          </w:tcPr>
          <w:p w14:paraId="1103E100">
            <w:pPr>
              <w:keepNext w:val="0"/>
              <w:keepLines w:val="0"/>
              <w:pageBreakBefore w:val="0"/>
              <w:widowControl w:val="0"/>
              <w:kinsoku/>
              <w:wordWrap/>
              <w:overflowPunct/>
              <w:topLinePunct w:val="0"/>
              <w:autoSpaceDE/>
              <w:autoSpaceDN/>
              <w:bidi w:val="0"/>
              <w:adjustRightInd w:val="0"/>
              <w:snapToGrid w:val="0"/>
              <w:spacing w:line="380" w:lineRule="exact"/>
              <w:ind w:left="0" w:right="0" w:right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代理服务费用</w:t>
            </w:r>
          </w:p>
        </w:tc>
        <w:tc>
          <w:tcPr>
            <w:tcW w:w="6874" w:type="dxa"/>
            <w:noWrap w:val="0"/>
            <w:vAlign w:val="center"/>
          </w:tcPr>
          <w:p w14:paraId="648CA2CD">
            <w:pPr>
              <w:keepNext w:val="0"/>
              <w:keepLines w:val="0"/>
              <w:pageBreakBefore w:val="0"/>
              <w:widowControl w:val="0"/>
              <w:kinsoku/>
              <w:wordWrap/>
              <w:overflowPunct/>
              <w:topLinePunct w:val="0"/>
              <w:autoSpaceDE/>
              <w:autoSpaceDN/>
              <w:bidi w:val="0"/>
              <w:adjustRightInd/>
              <w:snapToGrid w:val="0"/>
              <w:spacing w:line="38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本项目招标代理费</w:t>
            </w:r>
            <w:r>
              <w:rPr>
                <w:rFonts w:hint="eastAsia" w:asciiTheme="minorEastAsia" w:hAnsiTheme="minorEastAsia" w:eastAsiaTheme="minorEastAsia" w:cstheme="minorEastAsia"/>
                <w:b/>
                <w:bCs/>
                <w:color w:val="auto"/>
                <w:sz w:val="24"/>
                <w:szCs w:val="24"/>
                <w:highlight w:val="none"/>
                <w:lang w:eastAsia="zh-CN"/>
              </w:rPr>
              <w:t>参照</w:t>
            </w:r>
            <w:r>
              <w:rPr>
                <w:rFonts w:hint="eastAsia" w:asciiTheme="minorEastAsia" w:hAnsiTheme="minorEastAsia" w:eastAsiaTheme="minorEastAsia" w:cstheme="minorEastAsia"/>
                <w:b/>
                <w:bCs/>
                <w:color w:val="auto"/>
                <w:sz w:val="24"/>
                <w:szCs w:val="24"/>
                <w:highlight w:val="none"/>
              </w:rPr>
              <w:t>国家财政部、国家计委、国家物价局（2002）1980号文件规定的标准收费80%计取（标准收费附后，类型为货物招标）</w:t>
            </w:r>
            <w:r>
              <w:rPr>
                <w:rFonts w:hint="eastAsia" w:asciiTheme="minorEastAsia" w:hAnsiTheme="minorEastAsia" w:eastAsiaTheme="minorEastAsia" w:cstheme="minorEastAsia"/>
                <w:color w:val="auto"/>
                <w:sz w:val="24"/>
                <w:szCs w:val="24"/>
                <w:highlight w:val="none"/>
              </w:rPr>
              <w:t>。由中标人在合同签订前支付给招标代理机构，请各投标人将上述费用自行考虑进投标报价中。</w:t>
            </w:r>
          </w:p>
          <w:p w14:paraId="361BDDF0">
            <w:pPr>
              <w:keepNext w:val="0"/>
              <w:keepLines w:val="0"/>
              <w:pageBreakBefore w:val="0"/>
              <w:widowControl w:val="0"/>
              <w:kinsoku/>
              <w:wordWrap/>
              <w:overflowPunct/>
              <w:topLinePunct w:val="0"/>
              <w:autoSpaceDE/>
              <w:autoSpaceDN/>
              <w:bidi w:val="0"/>
              <w:adjustRightInd/>
              <w:snapToGrid w:val="0"/>
              <w:spacing w:line="38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投标人以银行电汇、转账等形式交至：</w:t>
            </w:r>
          </w:p>
          <w:p w14:paraId="58F277C6">
            <w:pPr>
              <w:keepNext w:val="0"/>
              <w:keepLines w:val="0"/>
              <w:pageBreakBefore w:val="0"/>
              <w:widowControl w:val="0"/>
              <w:kinsoku/>
              <w:wordWrap/>
              <w:overflowPunct/>
              <w:topLinePunct w:val="0"/>
              <w:autoSpaceDE/>
              <w:autoSpaceDN/>
              <w:bidi w:val="0"/>
              <w:adjustRightInd/>
              <w:snapToGrid w:val="0"/>
              <w:spacing w:line="380" w:lineRule="exact"/>
              <w:ind w:left="0" w:right="0" w:rightChars="0" w:firstLine="540" w:firstLineChars="22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开户银行：中国工商银行股份有限公司浦江广场支行</w:t>
            </w:r>
          </w:p>
          <w:p w14:paraId="021818AA">
            <w:pPr>
              <w:keepNext w:val="0"/>
              <w:keepLines w:val="0"/>
              <w:pageBreakBefore w:val="0"/>
              <w:widowControl w:val="0"/>
              <w:kinsoku/>
              <w:wordWrap/>
              <w:overflowPunct/>
              <w:topLinePunct w:val="0"/>
              <w:autoSpaceDE/>
              <w:autoSpaceDN/>
              <w:bidi w:val="0"/>
              <w:adjustRightInd/>
              <w:snapToGrid w:val="0"/>
              <w:spacing w:line="380" w:lineRule="exact"/>
              <w:ind w:left="0" w:right="0" w:rightChars="0" w:firstLine="540" w:firstLineChars="22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开户名称：浦江县产权交易有限公司</w:t>
            </w:r>
          </w:p>
          <w:p w14:paraId="354282D6">
            <w:pPr>
              <w:keepNext w:val="0"/>
              <w:keepLines w:val="0"/>
              <w:pageBreakBefore w:val="0"/>
              <w:widowControl w:val="0"/>
              <w:kinsoku/>
              <w:wordWrap/>
              <w:overflowPunct/>
              <w:topLinePunct w:val="0"/>
              <w:autoSpaceDE/>
              <w:autoSpaceDN/>
              <w:bidi w:val="0"/>
              <w:adjustRightInd/>
              <w:snapToGrid w:val="0"/>
              <w:spacing w:line="380" w:lineRule="exact"/>
              <w:ind w:left="0" w:right="0" w:rightChars="0" w:firstLine="540" w:firstLineChars="22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账</w:t>
            </w:r>
            <w:r>
              <w:rPr>
                <w:rFonts w:hint="eastAsia" w:asciiTheme="minorEastAsia" w:hAnsiTheme="minorEastAsia" w:eastAsiaTheme="minorEastAsia" w:cstheme="minorEastAsia"/>
                <w:color w:val="auto"/>
                <w:sz w:val="24"/>
                <w:szCs w:val="24"/>
                <w:highlight w:val="none"/>
              </w:rPr>
              <w:t xml:space="preserve">    号：1208070509000033875</w:t>
            </w:r>
          </w:p>
          <w:p w14:paraId="215815C3">
            <w:pPr>
              <w:pStyle w:val="17"/>
              <w:keepNext w:val="0"/>
              <w:keepLines w:val="0"/>
              <w:pageBreakBefore w:val="0"/>
              <w:widowControl w:val="0"/>
              <w:kinsoku/>
              <w:wordWrap/>
              <w:overflowPunct/>
              <w:topLinePunct w:val="0"/>
              <w:autoSpaceDE/>
              <w:autoSpaceDN/>
              <w:bidi w:val="0"/>
              <w:spacing w:before="0" w:line="380" w:lineRule="exact"/>
              <w:ind w:left="0" w:right="0" w:righ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注：招标代理费低于2000元的，按2000元计取。</w:t>
            </w:r>
          </w:p>
        </w:tc>
      </w:tr>
      <w:tr w14:paraId="7E0E62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2" w:hRule="atLeast"/>
        </w:trPr>
        <w:tc>
          <w:tcPr>
            <w:tcW w:w="773" w:type="dxa"/>
            <w:noWrap w:val="0"/>
            <w:vAlign w:val="center"/>
          </w:tcPr>
          <w:p w14:paraId="71038303">
            <w:pPr>
              <w:keepNext w:val="0"/>
              <w:keepLines w:val="0"/>
              <w:pageBreakBefore w:val="0"/>
              <w:kinsoku/>
              <w:wordWrap/>
              <w:overflowPunct/>
              <w:topLinePunct w:val="0"/>
              <w:autoSpaceDE/>
              <w:autoSpaceDN/>
              <w:bidi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1</w:t>
            </w:r>
          </w:p>
        </w:tc>
        <w:tc>
          <w:tcPr>
            <w:tcW w:w="1735" w:type="dxa"/>
            <w:noWrap w:val="0"/>
            <w:vAlign w:val="center"/>
          </w:tcPr>
          <w:p w14:paraId="0CF58BB2">
            <w:pPr>
              <w:keepNext w:val="0"/>
              <w:keepLines w:val="0"/>
              <w:pageBreakBefore w:val="0"/>
              <w:kinsoku/>
              <w:wordWrap/>
              <w:overflowPunct/>
              <w:topLinePunct w:val="0"/>
              <w:autoSpaceDE/>
              <w:autoSpaceDN/>
              <w:bidi w:val="0"/>
              <w:adjustRightInd w:val="0"/>
              <w:snapToGrid w:val="0"/>
              <w:spacing w:line="400" w:lineRule="exact"/>
              <w:ind w:left="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解释</w:t>
            </w:r>
          </w:p>
        </w:tc>
        <w:tc>
          <w:tcPr>
            <w:tcW w:w="6874" w:type="dxa"/>
            <w:noWrap w:val="0"/>
            <w:vAlign w:val="center"/>
          </w:tcPr>
          <w:p w14:paraId="1F5C365E">
            <w:pPr>
              <w:keepNext w:val="0"/>
              <w:keepLines w:val="0"/>
              <w:pageBreakBefore w:val="0"/>
              <w:kinsoku/>
              <w:wordWrap/>
              <w:overflowPunct/>
              <w:topLinePunct w:val="0"/>
              <w:autoSpaceDE/>
              <w:autoSpaceDN/>
              <w:bidi w:val="0"/>
              <w:snapToGrid w:val="0"/>
              <w:spacing w:line="400" w:lineRule="exact"/>
              <w:ind w:left="0" w:right="0" w:rightChars="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本招标文件的解释权属于招标采购单位。</w:t>
            </w:r>
          </w:p>
        </w:tc>
      </w:tr>
      <w:tr w14:paraId="61E1C5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6" w:hRule="atLeast"/>
        </w:trPr>
        <w:tc>
          <w:tcPr>
            <w:tcW w:w="773" w:type="dxa"/>
            <w:noWrap w:val="0"/>
            <w:vAlign w:val="center"/>
          </w:tcPr>
          <w:p w14:paraId="57FC7D7D">
            <w:pPr>
              <w:keepNext w:val="0"/>
              <w:keepLines w:val="0"/>
              <w:pageBreakBefore w:val="0"/>
              <w:kinsoku/>
              <w:wordWrap/>
              <w:overflowPunct/>
              <w:topLinePunct w:val="0"/>
              <w:autoSpaceDE/>
              <w:autoSpaceDN/>
              <w:bidi w:val="0"/>
              <w:adjustRightInd w:val="0"/>
              <w:snapToGrid w:val="0"/>
              <w:spacing w:line="400" w:lineRule="exact"/>
              <w:ind w:left="0" w:right="0" w:rightChars="0"/>
              <w:jc w:val="center"/>
              <w:textAlignment w:val="auto"/>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32</w:t>
            </w:r>
          </w:p>
        </w:tc>
        <w:tc>
          <w:tcPr>
            <w:tcW w:w="1735" w:type="dxa"/>
            <w:noWrap w:val="0"/>
            <w:vAlign w:val="center"/>
          </w:tcPr>
          <w:p w14:paraId="6C582EDD">
            <w:pPr>
              <w:keepNext w:val="0"/>
              <w:keepLines w:val="0"/>
              <w:pageBreakBefore w:val="0"/>
              <w:kinsoku/>
              <w:wordWrap/>
              <w:overflowPunct/>
              <w:topLinePunct w:val="0"/>
              <w:autoSpaceDE/>
              <w:autoSpaceDN/>
              <w:bidi w:val="0"/>
              <w:adjustRightInd w:val="0"/>
              <w:snapToGrid w:val="0"/>
              <w:spacing w:line="400" w:lineRule="exact"/>
              <w:ind w:left="0" w:right="0" w:rightChars="0"/>
              <w:jc w:val="center"/>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本项目关于节能产品、环境标志产品的政府采购的政策规定</w:t>
            </w:r>
          </w:p>
        </w:tc>
        <w:tc>
          <w:tcPr>
            <w:tcW w:w="6874" w:type="dxa"/>
            <w:noWrap w:val="0"/>
            <w:vAlign w:val="center"/>
          </w:tcPr>
          <w:p w14:paraId="63CB7F7B">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节能产品、环境标志产品的强制采购政策</w:t>
            </w:r>
          </w:p>
          <w:p w14:paraId="5ABF06FB">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2E0358C8">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节能产品、环境标志产品的优先采购政策</w:t>
            </w:r>
          </w:p>
          <w:p w14:paraId="260BB491">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BCF98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73" w:type="dxa"/>
            <w:noWrap w:val="0"/>
            <w:vAlign w:val="center"/>
          </w:tcPr>
          <w:p w14:paraId="787C82D4">
            <w:pPr>
              <w:keepNext w:val="0"/>
              <w:keepLines w:val="0"/>
              <w:pageBreakBefore w:val="0"/>
              <w:kinsoku/>
              <w:wordWrap/>
              <w:overflowPunct/>
              <w:topLinePunct w:val="0"/>
              <w:autoSpaceDE/>
              <w:autoSpaceDN/>
              <w:bidi w:val="0"/>
              <w:adjustRightInd w:val="0"/>
              <w:snapToGrid w:val="0"/>
              <w:spacing w:line="400" w:lineRule="exact"/>
              <w:ind w:left="0" w:right="0" w:rightChars="0"/>
              <w:jc w:val="center"/>
              <w:textAlignment w:val="auto"/>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33</w:t>
            </w:r>
          </w:p>
        </w:tc>
        <w:tc>
          <w:tcPr>
            <w:tcW w:w="1735" w:type="dxa"/>
            <w:noWrap w:val="0"/>
            <w:vAlign w:val="center"/>
          </w:tcPr>
          <w:p w14:paraId="4460D699">
            <w:pPr>
              <w:keepNext w:val="0"/>
              <w:keepLines w:val="0"/>
              <w:pageBreakBefore w:val="0"/>
              <w:kinsoku/>
              <w:wordWrap/>
              <w:overflowPunct/>
              <w:topLinePunct w:val="0"/>
              <w:autoSpaceDE/>
              <w:autoSpaceDN/>
              <w:bidi w:val="0"/>
              <w:adjustRightInd w:val="0"/>
              <w:snapToGrid w:val="0"/>
              <w:spacing w:line="400" w:lineRule="exact"/>
              <w:ind w:left="0" w:right="0" w:rightChars="0"/>
              <w:jc w:val="center"/>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信用记录查询</w:t>
            </w:r>
          </w:p>
        </w:tc>
        <w:tc>
          <w:tcPr>
            <w:tcW w:w="6874" w:type="dxa"/>
            <w:noWrap w:val="0"/>
            <w:vAlign w:val="center"/>
          </w:tcPr>
          <w:p w14:paraId="78A12592">
            <w:pPr>
              <w:keepNext w:val="0"/>
              <w:keepLines w:val="0"/>
              <w:pageBreakBefore w:val="0"/>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根据《关于在政府采购活动中查询及使用信用记录有关问题的通知》财库[2016]125号的规定：</w:t>
            </w:r>
          </w:p>
          <w:p w14:paraId="0948FBD4">
            <w:pPr>
              <w:keepNext w:val="0"/>
              <w:keepLines w:val="0"/>
              <w:pageBreakBefore w:val="0"/>
              <w:numPr>
                <w:ilvl w:val="0"/>
                <w:numId w:val="5"/>
              </w:numPr>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查询渠道：“信用中国”网站(www.creditchina.gov.cn)、中国政府采购网(www.ccgp.gov.cn)渠道查询</w:t>
            </w:r>
          </w:p>
          <w:p w14:paraId="046425B3">
            <w:pPr>
              <w:keepNext w:val="0"/>
              <w:keepLines w:val="0"/>
              <w:pageBreakBefore w:val="0"/>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2、截止时间：投标截止时间前。</w:t>
            </w:r>
          </w:p>
          <w:p w14:paraId="0B743894">
            <w:pPr>
              <w:keepNext w:val="0"/>
              <w:keepLines w:val="0"/>
              <w:pageBreakBefore w:val="0"/>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3、查询记录和证据留存的具体方式：</w:t>
            </w:r>
            <w:r>
              <w:rPr>
                <w:rFonts w:hint="eastAsia" w:asciiTheme="minorEastAsia" w:hAnsiTheme="minorEastAsia" w:eastAsiaTheme="minorEastAsia" w:cstheme="minorEastAsia"/>
                <w:color w:val="auto"/>
                <w:kern w:val="0"/>
                <w:sz w:val="24"/>
                <w:szCs w:val="24"/>
                <w:highlight w:val="none"/>
              </w:rPr>
              <w:t>采购代理机构</w:t>
            </w:r>
            <w:r>
              <w:rPr>
                <w:rFonts w:hint="eastAsia" w:asciiTheme="minorEastAsia" w:hAnsiTheme="minorEastAsia" w:eastAsiaTheme="minorEastAsia" w:cstheme="minorEastAsia"/>
                <w:snapToGrid w:val="0"/>
                <w:color w:val="auto"/>
                <w:kern w:val="0"/>
                <w:sz w:val="24"/>
                <w:szCs w:val="24"/>
                <w:highlight w:val="none"/>
              </w:rPr>
              <w:t>开标当天查询投标人的信用记录，</w:t>
            </w:r>
            <w:r>
              <w:rPr>
                <w:rFonts w:hint="eastAsia" w:asciiTheme="minorEastAsia" w:hAnsiTheme="minorEastAsia" w:eastAsiaTheme="minorEastAsia" w:cstheme="minorEastAsia"/>
                <w:color w:val="auto"/>
                <w:kern w:val="0"/>
                <w:sz w:val="24"/>
                <w:szCs w:val="24"/>
                <w:highlight w:val="none"/>
              </w:rPr>
              <w:t>查询结果经确认后与采购文件一起存档。</w:t>
            </w:r>
          </w:p>
          <w:p w14:paraId="605577E2">
            <w:pPr>
              <w:keepNext w:val="0"/>
              <w:keepLines w:val="0"/>
              <w:pageBreakBefore w:val="0"/>
              <w:kinsoku/>
              <w:wordWrap/>
              <w:overflowPunct/>
              <w:topLinePunct w:val="0"/>
              <w:autoSpaceDE/>
              <w:autoSpaceDN/>
              <w:bidi w:val="0"/>
              <w:adjustRightInd w:val="0"/>
              <w:snapToGrid w:val="0"/>
              <w:spacing w:line="400" w:lineRule="exact"/>
              <w:ind w:left="0" w:right="0" w:rightChars="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4、使用规则：经查询列入失信被执行人名单、重大税收违法案件当事人名单、政府采购严重违法失信行为记录名单的投标人的投标文件将被拒绝。</w:t>
            </w:r>
          </w:p>
        </w:tc>
      </w:tr>
    </w:tbl>
    <w:p w14:paraId="740A0B0F">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注：以上内容如有变化将另行书面通知。如通知其中某一内容发生变化，其余未提及的将不作变动。</w:t>
      </w:r>
    </w:p>
    <w:p w14:paraId="0CC5CD53">
      <w:pPr>
        <w:pStyle w:val="44"/>
        <w:rPr>
          <w:rFonts w:hint="eastAsia"/>
          <w:color w:val="auto"/>
          <w:highlight w:val="none"/>
        </w:rPr>
      </w:pPr>
    </w:p>
    <w:p w14:paraId="4263EE5D">
      <w:pPr>
        <w:pStyle w:val="2"/>
        <w:numPr>
          <w:ilvl w:val="0"/>
          <w:numId w:val="6"/>
        </w:numPr>
        <w:bidi w:val="0"/>
        <w:rPr>
          <w:rFonts w:hint="eastAsia"/>
          <w:b/>
          <w:bCs/>
          <w:color w:val="auto"/>
          <w:highlight w:val="none"/>
        </w:rPr>
      </w:pPr>
      <w:bookmarkStart w:id="33" w:name="_Toc2187"/>
      <w:bookmarkStart w:id="34" w:name="_Toc10395"/>
      <w:bookmarkStart w:id="35" w:name="_Toc13822"/>
      <w:bookmarkStart w:id="36" w:name="_Toc23944"/>
      <w:bookmarkStart w:id="37" w:name="_Toc9627"/>
      <w:bookmarkStart w:id="38" w:name="_Toc29426"/>
      <w:bookmarkStart w:id="39" w:name="_Toc28834"/>
      <w:bookmarkStart w:id="40" w:name="_Hlk526933024"/>
      <w:r>
        <w:rPr>
          <w:rFonts w:hint="eastAsia"/>
          <w:b/>
          <w:bCs/>
          <w:color w:val="auto"/>
          <w:highlight w:val="none"/>
        </w:rPr>
        <w:t>投标须知</w:t>
      </w:r>
      <w:bookmarkEnd w:id="33"/>
      <w:bookmarkEnd w:id="34"/>
      <w:bookmarkEnd w:id="35"/>
      <w:bookmarkEnd w:id="36"/>
      <w:bookmarkEnd w:id="37"/>
      <w:bookmarkEnd w:id="38"/>
      <w:bookmarkEnd w:id="39"/>
    </w:p>
    <w:p w14:paraId="40F86B36">
      <w:pPr>
        <w:pageBreakBefore w:val="0"/>
        <w:kinsoku/>
        <w:wordWrap/>
        <w:overflowPunct/>
        <w:topLinePunct w:val="0"/>
        <w:bidi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一、总  则</w:t>
      </w:r>
    </w:p>
    <w:bookmarkEnd w:id="40"/>
    <w:p w14:paraId="780100F1">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1、适用范围</w:t>
      </w:r>
    </w:p>
    <w:p w14:paraId="4AA5F081">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 本采购文件仅适用于本次招标项目。</w:t>
      </w:r>
    </w:p>
    <w:p w14:paraId="308AB73F">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 本项目采购方式为公开招标。</w:t>
      </w:r>
    </w:p>
    <w:p w14:paraId="01017C5C">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 投标须知为采购文件的通用条款，如通用条款与前附表、招标内容及需求、合同条款等特定条款不一致的，请按特定条款执行。</w:t>
      </w:r>
    </w:p>
    <w:p w14:paraId="2C851020">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2、定义</w:t>
      </w:r>
    </w:p>
    <w:p w14:paraId="4AF54F10">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2.1“采购人”系指</w:t>
      </w:r>
      <w:r>
        <w:rPr>
          <w:rFonts w:hint="eastAsia" w:ascii="宋体" w:hAnsi="宋体" w:eastAsia="宋体" w:cs="宋体"/>
          <w:snapToGrid w:val="0"/>
          <w:color w:val="auto"/>
          <w:kern w:val="0"/>
          <w:sz w:val="24"/>
          <w:szCs w:val="24"/>
          <w:highlight w:val="none"/>
          <w:lang w:eastAsia="zh-CN"/>
        </w:rPr>
        <w:t>浦江县交投贸易有限公司</w:t>
      </w:r>
      <w:r>
        <w:rPr>
          <w:rFonts w:hint="eastAsia" w:ascii="宋体" w:hAnsi="宋体" w:eastAsia="宋体" w:cs="宋体"/>
          <w:color w:val="auto"/>
          <w:sz w:val="24"/>
          <w:szCs w:val="24"/>
          <w:highlight w:val="none"/>
        </w:rPr>
        <w:t>（合同中的甲方）</w:t>
      </w:r>
      <w:r>
        <w:rPr>
          <w:rFonts w:hint="eastAsia" w:ascii="宋体" w:hAnsi="宋体" w:eastAsia="宋体" w:cs="宋体"/>
          <w:snapToGrid w:val="0"/>
          <w:color w:val="auto"/>
          <w:kern w:val="0"/>
          <w:sz w:val="24"/>
          <w:szCs w:val="24"/>
          <w:highlight w:val="none"/>
        </w:rPr>
        <w:t>。</w:t>
      </w:r>
    </w:p>
    <w:p w14:paraId="02252539">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2.2“采购代理机构”系指浦江县产权交易有限公司</w:t>
      </w:r>
      <w:r>
        <w:rPr>
          <w:rFonts w:hint="eastAsia" w:ascii="宋体" w:hAnsi="宋体" w:eastAsia="宋体" w:cs="宋体"/>
          <w:color w:val="auto"/>
          <w:sz w:val="24"/>
          <w:szCs w:val="24"/>
          <w:highlight w:val="none"/>
        </w:rPr>
        <w:t>（合同中的鉴证方）</w:t>
      </w:r>
      <w:r>
        <w:rPr>
          <w:rFonts w:hint="eastAsia" w:ascii="宋体" w:hAnsi="宋体" w:eastAsia="宋体" w:cs="宋体"/>
          <w:snapToGrid w:val="0"/>
          <w:color w:val="auto"/>
          <w:kern w:val="0"/>
          <w:sz w:val="24"/>
          <w:szCs w:val="24"/>
          <w:highlight w:val="none"/>
        </w:rPr>
        <w:t>。</w:t>
      </w:r>
    </w:p>
    <w:p w14:paraId="26E67953">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2.3“监督管理部门”系指</w:t>
      </w:r>
      <w:r>
        <w:rPr>
          <w:rFonts w:hint="eastAsia" w:ascii="宋体" w:hAnsi="宋体" w:eastAsia="宋体" w:cs="宋体"/>
          <w:color w:val="auto"/>
          <w:kern w:val="0"/>
          <w:sz w:val="24"/>
          <w:szCs w:val="24"/>
          <w:highlight w:val="none"/>
        </w:rPr>
        <w:t>浦江县人民政府国有资产监督管理办公室</w:t>
      </w:r>
      <w:r>
        <w:rPr>
          <w:rFonts w:hint="eastAsia" w:ascii="宋体" w:hAnsi="宋体" w:eastAsia="宋体" w:cs="宋体"/>
          <w:snapToGrid w:val="0"/>
          <w:color w:val="auto"/>
          <w:kern w:val="0"/>
          <w:sz w:val="24"/>
          <w:szCs w:val="24"/>
          <w:highlight w:val="none"/>
        </w:rPr>
        <w:t>。</w:t>
      </w:r>
    </w:p>
    <w:p w14:paraId="547C8C3B">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2.4“投标人”系指响应本次招标，参加本次投标的独立法人。</w:t>
      </w:r>
    </w:p>
    <w:p w14:paraId="2CC60D64">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2.5“产品”系指供方按招标文件规定，须向采购人提供的一切</w:t>
      </w:r>
      <w:r>
        <w:rPr>
          <w:rFonts w:hint="eastAsia" w:ascii="宋体" w:hAnsi="宋体" w:eastAsia="宋体" w:cs="宋体"/>
          <w:snapToGrid w:val="0"/>
          <w:color w:val="auto"/>
          <w:kern w:val="0"/>
          <w:sz w:val="24"/>
          <w:szCs w:val="24"/>
          <w:highlight w:val="none"/>
          <w:lang w:eastAsia="zh-CN"/>
        </w:rPr>
        <w:t>货物</w:t>
      </w:r>
      <w:r>
        <w:rPr>
          <w:rFonts w:hint="eastAsia" w:ascii="宋体" w:hAnsi="宋体" w:eastAsia="宋体" w:cs="宋体"/>
          <w:snapToGrid w:val="0"/>
          <w:color w:val="auto"/>
          <w:kern w:val="0"/>
          <w:sz w:val="24"/>
          <w:szCs w:val="24"/>
          <w:highlight w:val="none"/>
        </w:rPr>
        <w:t>、保险、税金、备品备件、工具、手册</w:t>
      </w:r>
      <w:r>
        <w:rPr>
          <w:rFonts w:hint="eastAsia" w:ascii="宋体" w:hAnsi="宋体" w:eastAsia="宋体" w:cs="宋体"/>
          <w:snapToGrid w:val="0"/>
          <w:color w:val="auto"/>
          <w:kern w:val="0"/>
          <w:sz w:val="24"/>
          <w:szCs w:val="24"/>
          <w:highlight w:val="none"/>
          <w:lang w:eastAsia="zh-CN"/>
        </w:rPr>
        <w:t>及其他有关</w:t>
      </w:r>
      <w:r>
        <w:rPr>
          <w:rFonts w:hint="eastAsia" w:ascii="宋体" w:hAnsi="宋体" w:eastAsia="宋体" w:cs="宋体"/>
          <w:snapToGrid w:val="0"/>
          <w:color w:val="auto"/>
          <w:kern w:val="0"/>
          <w:sz w:val="24"/>
          <w:szCs w:val="24"/>
          <w:highlight w:val="none"/>
        </w:rPr>
        <w:t>技术资料和材料。</w:t>
      </w:r>
    </w:p>
    <w:p w14:paraId="46F0D85D">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2.6“服务”系指采购文件或合同规定投标人须承担的服务以及其他类似的义务。</w:t>
      </w:r>
    </w:p>
    <w:p w14:paraId="1F58B6E8">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2.7“实质性条款”系指采购文件条款前标注“▲”标识的条款。</w:t>
      </w:r>
    </w:p>
    <w:p w14:paraId="13085D63">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2.8官方指定网站公示的内容视为书面告知。</w:t>
      </w:r>
    </w:p>
    <w:p w14:paraId="4A49950A">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3、合格的投标人及合格的投标货物和服务</w:t>
      </w:r>
    </w:p>
    <w:p w14:paraId="22DE7035">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3.1合格的投标人，详见</w:t>
      </w:r>
      <w:r>
        <w:rPr>
          <w:rFonts w:hint="eastAsia" w:ascii="宋体" w:hAnsi="宋体" w:eastAsia="宋体" w:cs="宋体"/>
          <w:snapToGrid w:val="0"/>
          <w:color w:val="auto"/>
          <w:kern w:val="0"/>
          <w:sz w:val="24"/>
          <w:szCs w:val="24"/>
          <w:highlight w:val="none"/>
          <w:lang w:eastAsia="zh-CN"/>
        </w:rPr>
        <w:t>公开招标</w:t>
      </w:r>
      <w:r>
        <w:rPr>
          <w:rFonts w:hint="eastAsia" w:ascii="宋体" w:hAnsi="宋体" w:eastAsia="宋体" w:cs="宋体"/>
          <w:snapToGrid w:val="0"/>
          <w:color w:val="auto"/>
          <w:kern w:val="0"/>
          <w:sz w:val="24"/>
          <w:szCs w:val="24"/>
          <w:highlight w:val="none"/>
        </w:rPr>
        <w:t>公告第二条规定的投标人必须具备的资格条件并经采购人或采购代理机构审查通过的。</w:t>
      </w:r>
    </w:p>
    <w:p w14:paraId="25781CD0">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3.2对</w:t>
      </w:r>
      <w:r>
        <w:rPr>
          <w:rFonts w:hint="eastAsia" w:ascii="宋体" w:hAnsi="宋体" w:eastAsia="宋体" w:cs="宋体"/>
          <w:b/>
          <w:bCs/>
          <w:color w:val="auto"/>
          <w:kern w:val="0"/>
          <w:sz w:val="24"/>
          <w:szCs w:val="24"/>
          <w:highlight w:val="none"/>
        </w:rPr>
        <w:t>投标人、采购人员及相关人员</w:t>
      </w:r>
      <w:r>
        <w:rPr>
          <w:rFonts w:hint="eastAsia" w:ascii="宋体" w:hAnsi="宋体" w:eastAsia="宋体" w:cs="宋体"/>
          <w:b/>
          <w:bCs/>
          <w:snapToGrid w:val="0"/>
          <w:color w:val="auto"/>
          <w:kern w:val="0"/>
          <w:sz w:val="24"/>
          <w:szCs w:val="24"/>
          <w:highlight w:val="none"/>
        </w:rPr>
        <w:t>的限制</w:t>
      </w:r>
    </w:p>
    <w:p w14:paraId="19A885DD">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3.2.1单位负责人（指法定代表人或者法律、行政法规规定代表单位行使职权的主要负责人）为同一人或者存在直接控股、管理关系的，</w:t>
      </w:r>
      <w:r>
        <w:rPr>
          <w:rFonts w:hint="eastAsia" w:ascii="宋体" w:hAnsi="宋体" w:eastAsia="宋体" w:cs="宋体"/>
          <w:color w:val="auto"/>
          <w:kern w:val="0"/>
          <w:sz w:val="24"/>
          <w:szCs w:val="24"/>
          <w:highlight w:val="none"/>
        </w:rPr>
        <w:t>不得同时</w:t>
      </w:r>
      <w:r>
        <w:rPr>
          <w:rFonts w:hint="eastAsia" w:ascii="宋体" w:hAnsi="宋体" w:eastAsia="宋体" w:cs="宋体"/>
          <w:snapToGrid w:val="0"/>
          <w:color w:val="auto"/>
          <w:kern w:val="0"/>
          <w:sz w:val="24"/>
          <w:szCs w:val="24"/>
          <w:highlight w:val="none"/>
        </w:rPr>
        <w:t>参加同一合同项下的采购活动。违反本条规定的，相关投标均无效；</w:t>
      </w:r>
    </w:p>
    <w:p w14:paraId="15CD8E55">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3.2.2为本项目提供过整体设计、规范编制或者项目管理、监理、检测等服务的投标人，不得再参加该采购项目的其他采购活动；</w:t>
      </w:r>
    </w:p>
    <w:p w14:paraId="2A69DFAC">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3.2.3</w:t>
      </w:r>
      <w:r>
        <w:rPr>
          <w:rFonts w:hint="eastAsia" w:ascii="宋体" w:hAnsi="宋体" w:eastAsia="宋体" w:cs="宋体"/>
          <w:color w:val="auto"/>
          <w:kern w:val="0"/>
          <w:sz w:val="24"/>
          <w:szCs w:val="24"/>
          <w:highlight w:val="none"/>
        </w:rPr>
        <w:t>列入失信被执行人、重大税收违法案件当事人名单、政府采购严重违法失信行为记录名单及</w:t>
      </w:r>
      <w:r>
        <w:rPr>
          <w:rFonts w:hint="eastAsia" w:ascii="宋体" w:hAnsi="宋体" w:eastAsia="宋体" w:cs="宋体"/>
          <w:color w:val="auto"/>
          <w:kern w:val="0"/>
          <w:sz w:val="24"/>
          <w:szCs w:val="24"/>
          <w:highlight w:val="none"/>
          <w:lang w:eastAsia="zh-CN"/>
        </w:rPr>
        <w:t>其他</w:t>
      </w:r>
      <w:r>
        <w:rPr>
          <w:rFonts w:hint="eastAsia" w:ascii="宋体" w:hAnsi="宋体" w:eastAsia="宋体" w:cs="宋体"/>
          <w:color w:val="auto"/>
          <w:kern w:val="0"/>
          <w:sz w:val="24"/>
          <w:szCs w:val="24"/>
          <w:highlight w:val="none"/>
        </w:rPr>
        <w:t>不符合《中华人民共和国政府采购法》第二十二条规定条件的（联合体形式投标的，联合体成员存在不良信用记录，视同联合体存在不良信用记录）；</w:t>
      </w:r>
    </w:p>
    <w:p w14:paraId="0764BAB1">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3.2.4以联合体形式参加采购活动的，联合体各方不得再单独参加或者与其他投标人另外组成联合体参加同一合同项下的采购活动（本项目不适用）；</w:t>
      </w:r>
    </w:p>
    <w:p w14:paraId="611C61B7">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3.2.5为证明投标人拥有的业绩、荣誉、知识产权、项目案例等而在投标文件中提供的证明材料必须为投标人自身所有。不同法人、其他组织的资料与投标人无关。</w:t>
      </w:r>
    </w:p>
    <w:p w14:paraId="63AE682E">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3.2.6在采购活动中，采购人员及相关人员与投标人有下列利害关系之一的，应当回避：</w:t>
      </w:r>
    </w:p>
    <w:p w14:paraId="00A1DF45">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（一）参加采购活动前3年内与投标人存在劳动关系；</w:t>
      </w:r>
    </w:p>
    <w:p w14:paraId="27EA68BD">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（二）参加采购活动前3年内担任投标人的董事、监事；</w:t>
      </w:r>
    </w:p>
    <w:p w14:paraId="038DAC93">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（三）参加采购活动前3年内是投标人的控股股东或者实际控制人；</w:t>
      </w:r>
    </w:p>
    <w:p w14:paraId="48E5ED96">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（四）与投标人的法定代表人或者负责人有夫妻、直系血亲、三代以内旁系血亲或者近姻亲关系；</w:t>
      </w:r>
    </w:p>
    <w:p w14:paraId="25103C66">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（五）与投标人有其他可能影响采购活动公平、公正进行的关系。</w:t>
      </w:r>
    </w:p>
    <w:p w14:paraId="6612FA34">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76968EDD">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4、相关说明</w:t>
      </w:r>
    </w:p>
    <w:p w14:paraId="36A39ADB">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4.1 投标费用</w:t>
      </w:r>
    </w:p>
    <w:p w14:paraId="51D9180C">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投标人应承担其参加投标所涉及的一切费用，不管投标结果如何，采购人对这些费用不负任何责任。</w:t>
      </w:r>
    </w:p>
    <w:p w14:paraId="10B55322">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4.2 投标人应仔细阅读采购文件的所有内容，按照采购文件的要求提交投标文件。投标文件应对采购文件的要求作出实质性响应，并对所提供的全部资料的真实性承担法律责任。</w:t>
      </w:r>
    </w:p>
    <w:p w14:paraId="6AEC7CD8">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4.3采购项目需要公开的有关信息，包括招标公告、招标文件澄清或修改公告、中标结果公告等通知，采购代理机构将通过指定信息发布媒体公开。</w:t>
      </w:r>
    </w:p>
    <w:p w14:paraId="205725E3">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4.4投标人在参与本项目电子交易活动期间，请及时关注指定信息发布媒体的相关信息，投标人因没有及时关注而未能如期获取相关信息，是投标人的风险，采购人或者采购代理机构对此不承担任何责任。</w:t>
      </w:r>
    </w:p>
    <w:p w14:paraId="7BD2CFAE">
      <w:pPr>
        <w:pStyle w:val="103"/>
        <w:pageBreakBefore w:val="0"/>
        <w:kinsoku/>
        <w:wordWrap/>
        <w:overflowPunct/>
        <w:topLinePunct w:val="0"/>
        <w:bidi w:val="0"/>
        <w:snapToGri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4.5投标人投标所使用的资格、信誉、荣誉、业绩与企业认证必须为本法人所拥有。投标人投标所使用的采购项目实施人员必须为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员工。</w:t>
      </w:r>
    </w:p>
    <w:p w14:paraId="10BC51B7">
      <w:pPr>
        <w:pStyle w:val="103"/>
        <w:pageBreakBefore w:val="0"/>
        <w:kinsoku/>
        <w:wordWrap/>
        <w:overflowPunct/>
        <w:topLinePunct w:val="0"/>
        <w:bidi w:val="0"/>
        <w:snapToGri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4.6采用最低评标价法的采购项目，提供相同品牌产品的不同投标人参加同一合同项下投标的，以其中通过资格审查、符合性审查且报价最低的参加评标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报价相同的，由采购人或者采购人委托评标委员会按照采购文件规定的方式确定一个参加评标的投标人，采购文件未规定的采取随机抽取方式确定，其他投标无效。</w:t>
      </w:r>
    </w:p>
    <w:p w14:paraId="459ABFDF">
      <w:pPr>
        <w:pStyle w:val="103"/>
        <w:pageBreakBefore w:val="0"/>
        <w:kinsoku/>
        <w:wordWrap/>
        <w:overflowPunct/>
        <w:topLinePunct w:val="0"/>
        <w:bidi w:val="0"/>
        <w:snapToGri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04E5DF05">
      <w:pPr>
        <w:pStyle w:val="103"/>
        <w:pageBreakBefore w:val="0"/>
        <w:kinsoku/>
        <w:wordWrap/>
        <w:overflowPunct/>
        <w:topLinePunct w:val="0"/>
        <w:bidi w:val="0"/>
        <w:snapToGri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非单一产品采购项目，采购人应当根据采购项目技术构成、产品价格比重等合理确定核心产品，并在采购文件中载明。多家投标人提供的核心产品品牌相同的，按前两款规定处理。</w:t>
      </w:r>
    </w:p>
    <w:p w14:paraId="6F162690">
      <w:pPr>
        <w:pStyle w:val="103"/>
        <w:pageBreakBefore w:val="0"/>
        <w:kinsoku/>
        <w:wordWrap/>
        <w:overflowPunct/>
        <w:topLinePunct w:val="0"/>
        <w:bidi w:val="0"/>
        <w:snapToGri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本项目的核心产品为：</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 xml:space="preserve"> </w:t>
      </w:r>
    </w:p>
    <w:p w14:paraId="23280F40">
      <w:pPr>
        <w:pStyle w:val="103"/>
        <w:pageBreakBefore w:val="0"/>
        <w:kinsoku/>
        <w:wordWrap/>
        <w:overflowPunct/>
        <w:topLinePunct w:val="0"/>
        <w:bidi w:val="0"/>
        <w:snapToGrid w:val="0"/>
        <w:spacing w:line="400" w:lineRule="exact"/>
        <w:ind w:left="0" w:leftChars="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4.7投标人在投标活动中提供任何虚假材料，其投标无效，并报监管部门查处；中标后发现的，根据《</w:t>
      </w:r>
      <w:r>
        <w:rPr>
          <w:rFonts w:hint="eastAsia" w:ascii="宋体" w:hAnsi="宋体" w:eastAsia="宋体" w:cs="宋体"/>
          <w:bCs/>
          <w:color w:val="auto"/>
          <w:kern w:val="0"/>
          <w:sz w:val="24"/>
          <w:szCs w:val="24"/>
          <w:highlight w:val="none"/>
        </w:rPr>
        <w:t>浙江省政府采购投标人注册及诚信管理暂行办法的通知》规定进行处罚；</w:t>
      </w:r>
      <w:r>
        <w:rPr>
          <w:rFonts w:hint="eastAsia" w:ascii="宋体" w:hAnsi="宋体" w:eastAsia="宋体" w:cs="宋体"/>
          <w:color w:val="auto"/>
          <w:sz w:val="24"/>
          <w:szCs w:val="24"/>
          <w:highlight w:val="none"/>
        </w:rPr>
        <w:t>还将依照《中华人民共和国消费者权益保护法》第55条之规定由中标人双倍赔偿采购人，且民事赔偿并不免除违法投标人的行政与刑事责任。</w:t>
      </w:r>
    </w:p>
    <w:p w14:paraId="6B1CCCBE">
      <w:pPr>
        <w:pStyle w:val="3"/>
        <w:pageBreakBefore w:val="0"/>
        <w:kinsoku/>
        <w:wordWrap/>
        <w:overflowPunct/>
        <w:topLinePunct w:val="0"/>
        <w:bidi w:val="0"/>
        <w:snapToGrid w:val="0"/>
        <w:spacing w:before="0" w:beforeLines="0" w:after="0" w:afterLines="0" w:line="400" w:lineRule="exact"/>
        <w:ind w:left="0" w:leftChars="0"/>
        <w:rPr>
          <w:rFonts w:hint="eastAsia" w:ascii="宋体" w:hAnsi="宋体" w:eastAsia="宋体" w:cs="宋体"/>
          <w:color w:val="auto"/>
          <w:sz w:val="24"/>
          <w:szCs w:val="24"/>
          <w:highlight w:val="none"/>
        </w:rPr>
      </w:pPr>
      <w:bookmarkStart w:id="41" w:name="_Toc240450078"/>
      <w:bookmarkStart w:id="42" w:name="_Toc251566651"/>
      <w:bookmarkStart w:id="43" w:name="_Toc11667"/>
      <w:bookmarkStart w:id="44" w:name="_Toc3732"/>
      <w:bookmarkStart w:id="45" w:name="_Toc27862"/>
      <w:bookmarkStart w:id="46" w:name="_Toc4863"/>
      <w:bookmarkStart w:id="47" w:name="_Toc24045"/>
      <w:bookmarkStart w:id="48" w:name="_Toc20242"/>
      <w:bookmarkStart w:id="49" w:name="_Toc25632"/>
      <w:bookmarkStart w:id="50" w:name="_Toc3391"/>
      <w:bookmarkStart w:id="51" w:name="_Toc21972"/>
      <w:bookmarkStart w:id="52" w:name="_Toc22670"/>
      <w:bookmarkStart w:id="53" w:name="_Toc30831"/>
      <w:bookmarkStart w:id="54" w:name="_Toc29979"/>
      <w:bookmarkStart w:id="55" w:name="_Toc7840"/>
      <w:bookmarkStart w:id="56" w:name="_Toc2589"/>
      <w:r>
        <w:rPr>
          <w:rFonts w:hint="eastAsia" w:ascii="宋体" w:hAnsi="宋体" w:eastAsia="宋体" w:cs="宋体"/>
          <w:color w:val="auto"/>
          <w:sz w:val="24"/>
          <w:szCs w:val="24"/>
          <w:highlight w:val="none"/>
        </w:rPr>
        <w:t>二、</w:t>
      </w:r>
      <w:bookmarkEnd w:id="41"/>
      <w:bookmarkEnd w:id="42"/>
      <w:r>
        <w:rPr>
          <w:rFonts w:hint="eastAsia" w:ascii="宋体" w:hAnsi="宋体" w:eastAsia="宋体" w:cs="宋体"/>
          <w:color w:val="auto"/>
          <w:sz w:val="24"/>
          <w:szCs w:val="24"/>
          <w:highlight w:val="none"/>
        </w:rPr>
        <w:t>采购文件</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A3FF80B">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5、采购文件构成</w:t>
      </w:r>
    </w:p>
    <w:p w14:paraId="107F28F8">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5.1 本采购文件包括目录所示内容及所有按本须知第6条发出的补充资料。</w:t>
      </w:r>
    </w:p>
    <w:p w14:paraId="594FAD79">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5.2 除上述所列内容外，采购人和采购代理机构的任何工作人员对投标人所作的任何口头解释、介绍、答复，只能供投标人参考，对采购人、采购代理机构和投标人无任何约束力。</w:t>
      </w:r>
    </w:p>
    <w:p w14:paraId="3CE2ADE1">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5.3 采购文件是招标过程进行的有效依据，也是中标后签订合同的依据，对双方均具有约束力，凡不遵守采购文件规定或对采购文件的实质性内容不响应的，将可能被拒绝或以无效标处理。</w:t>
      </w:r>
    </w:p>
    <w:p w14:paraId="550808F9">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5.4 本采购文件由采购人或采购代理机构依据相关法律、法规、规章、省市规定</w:t>
      </w:r>
      <w:r>
        <w:rPr>
          <w:rFonts w:hint="eastAsia" w:ascii="宋体" w:hAnsi="宋体" w:eastAsia="宋体" w:cs="宋体"/>
          <w:snapToGrid w:val="0"/>
          <w:color w:val="auto"/>
          <w:kern w:val="0"/>
          <w:sz w:val="24"/>
          <w:szCs w:val="24"/>
          <w:highlight w:val="none"/>
          <w:lang w:eastAsia="zh-CN"/>
        </w:rPr>
        <w:t>等</w:t>
      </w:r>
      <w:r>
        <w:rPr>
          <w:rFonts w:hint="eastAsia" w:ascii="宋体" w:hAnsi="宋体" w:eastAsia="宋体" w:cs="宋体"/>
          <w:snapToGrid w:val="0"/>
          <w:color w:val="auto"/>
          <w:kern w:val="0"/>
          <w:sz w:val="24"/>
          <w:szCs w:val="24"/>
          <w:highlight w:val="none"/>
        </w:rPr>
        <w:t>进行解释。</w:t>
      </w:r>
    </w:p>
    <w:p w14:paraId="3393AC54">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6、采购文件的澄清</w:t>
      </w:r>
    </w:p>
    <w:p w14:paraId="60E6F399">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采购人、采购代理机构联系方式详见</w:t>
      </w:r>
      <w:r>
        <w:rPr>
          <w:rFonts w:hint="eastAsia" w:ascii="宋体" w:hAnsi="宋体" w:eastAsia="宋体" w:cs="宋体"/>
          <w:snapToGrid w:val="0"/>
          <w:color w:val="auto"/>
          <w:kern w:val="0"/>
          <w:sz w:val="24"/>
          <w:szCs w:val="24"/>
          <w:highlight w:val="none"/>
          <w:lang w:eastAsia="zh-CN"/>
        </w:rPr>
        <w:t>第一部分公开招标公告</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八、凡对本次采购提出询问、质疑、投诉</w:t>
      </w:r>
      <w:r>
        <w:rPr>
          <w:rFonts w:hint="eastAsia" w:ascii="宋体" w:hAnsi="宋体" w:eastAsia="宋体" w:cs="宋体"/>
          <w:snapToGrid w:val="0"/>
          <w:color w:val="auto"/>
          <w:kern w:val="0"/>
          <w:sz w:val="24"/>
          <w:szCs w:val="24"/>
          <w:highlight w:val="none"/>
        </w:rPr>
        <w:t>，请按以下方式联系”）；逾期提出的，采购组织机构可以不予受理、答复；澄清或者修改的内容可能影响投标文件编制的，采购人或者采购代理机构应当在投标截止时间至少15日前，以更正公告形式通知所有获取招标文件的潜在投标人；不足15日的，采购人或者采购代理机构应当顺延提交投标文件的截止时间。</w:t>
      </w:r>
    </w:p>
    <w:p w14:paraId="03D9979E">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6.2采购代理机构必须以书面形式答复投标人要求澄清的问题，并将不包含问题来源的答复书面通知所有购买招标文件的投标人；除书面答复以外的其他澄清方式及澄清内容均无效。</w:t>
      </w:r>
    </w:p>
    <w:p w14:paraId="6686828B">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6.3招标文件澄清、答复、修改、补充的内容为招标文件的组成部分。当招标文件与招标文件的答复、澄清、修改、补充通知就同一内容的表述不一致时，以最后发出的书面文件为准。</w:t>
      </w:r>
    </w:p>
    <w:p w14:paraId="59560EEB">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6.4招标文件的澄清、答复、修改或补充都应该通过本代理机构以法定形式发布，采购人非通过本机构，不得擅自澄清、答复、修改或补充招标文件。</w:t>
      </w:r>
    </w:p>
    <w:p w14:paraId="5E02C126">
      <w:pPr>
        <w:pStyle w:val="3"/>
        <w:pageBreakBefore w:val="0"/>
        <w:kinsoku/>
        <w:wordWrap/>
        <w:overflowPunct/>
        <w:topLinePunct w:val="0"/>
        <w:bidi w:val="0"/>
        <w:snapToGrid w:val="0"/>
        <w:spacing w:before="0" w:beforeLines="0" w:after="0" w:afterLines="0" w:line="400" w:lineRule="exact"/>
        <w:ind w:left="0" w:leftChars="0"/>
        <w:rPr>
          <w:rFonts w:hint="eastAsia" w:ascii="宋体" w:hAnsi="宋体" w:eastAsia="宋体" w:cs="宋体"/>
          <w:color w:val="auto"/>
          <w:sz w:val="24"/>
          <w:szCs w:val="24"/>
          <w:highlight w:val="none"/>
        </w:rPr>
      </w:pPr>
      <w:bookmarkStart w:id="57" w:name="_Toc13635"/>
      <w:bookmarkStart w:id="58" w:name="_Toc240450079"/>
      <w:bookmarkStart w:id="59" w:name="_Toc31368"/>
      <w:bookmarkStart w:id="60" w:name="_Toc251566652"/>
      <w:bookmarkStart w:id="61" w:name="_Toc6547"/>
      <w:bookmarkStart w:id="62" w:name="_Toc3309"/>
      <w:bookmarkStart w:id="63" w:name="_Toc31143"/>
      <w:bookmarkStart w:id="64" w:name="_Toc28338"/>
      <w:bookmarkStart w:id="65" w:name="_Toc7625"/>
      <w:bookmarkStart w:id="66" w:name="_Toc22881"/>
      <w:bookmarkStart w:id="67" w:name="_Toc15408"/>
      <w:bookmarkStart w:id="68" w:name="_Toc1530"/>
      <w:bookmarkStart w:id="69" w:name="_Toc23869"/>
      <w:bookmarkStart w:id="70" w:name="_Toc7760"/>
      <w:bookmarkStart w:id="71" w:name="_Toc25637"/>
      <w:bookmarkStart w:id="72" w:name="_Toc20226"/>
      <w:r>
        <w:rPr>
          <w:rFonts w:hint="eastAsia" w:ascii="宋体" w:hAnsi="宋体" w:eastAsia="宋体" w:cs="宋体"/>
          <w:color w:val="auto"/>
          <w:sz w:val="24"/>
          <w:szCs w:val="24"/>
          <w:highlight w:val="none"/>
        </w:rPr>
        <w:t>三、投标文件的编制</w:t>
      </w:r>
      <w:bookmarkEnd w:id="57"/>
      <w:bookmarkEnd w:id="58"/>
      <w:bookmarkEnd w:id="59"/>
      <w:bookmarkEnd w:id="60"/>
      <w:bookmarkEnd w:id="61"/>
      <w:bookmarkEnd w:id="62"/>
      <w:r>
        <w:rPr>
          <w:rFonts w:hint="eastAsia" w:ascii="宋体" w:hAnsi="宋体" w:eastAsia="宋体" w:cs="宋体"/>
          <w:color w:val="auto"/>
          <w:sz w:val="24"/>
          <w:szCs w:val="24"/>
          <w:highlight w:val="none"/>
        </w:rPr>
        <w:t>要求</w:t>
      </w:r>
      <w:bookmarkEnd w:id="63"/>
      <w:bookmarkEnd w:id="64"/>
      <w:bookmarkEnd w:id="65"/>
      <w:bookmarkEnd w:id="66"/>
      <w:bookmarkEnd w:id="67"/>
      <w:bookmarkEnd w:id="68"/>
      <w:bookmarkEnd w:id="69"/>
      <w:bookmarkEnd w:id="70"/>
      <w:bookmarkEnd w:id="71"/>
      <w:bookmarkEnd w:id="72"/>
    </w:p>
    <w:p w14:paraId="1DCEA2D9">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7、投标文件的编制要求</w:t>
      </w:r>
    </w:p>
    <w:p w14:paraId="5186D777">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投标人应仔细阅读招标文件(包括澄清或者修改)的所有内容。投标人应当按照招标文件的要求编制投标文件。投标文件应当对招标文件提出的要求和条件作出明确响应。投标人应对所提交的全部资料的真实性承担法律责任。</w:t>
      </w:r>
    </w:p>
    <w:p w14:paraId="0EC54B2A">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7.2投标人应准确设置评审关联点</w:t>
      </w:r>
      <w:r>
        <w:rPr>
          <w:rFonts w:hint="eastAsia" w:ascii="宋体" w:hAnsi="宋体" w:eastAsia="宋体" w:cs="宋体"/>
          <w:snapToGrid w:val="0"/>
          <w:color w:val="auto"/>
          <w:kern w:val="0"/>
          <w:sz w:val="24"/>
          <w:szCs w:val="24"/>
          <w:highlight w:val="none"/>
        </w:rPr>
        <w:t>，以便评标委员会在评标时，点击评分项，可直接定位到该评分项内容</w:t>
      </w:r>
      <w:r>
        <w:rPr>
          <w:rFonts w:hint="eastAsia" w:ascii="宋体" w:hAnsi="宋体" w:eastAsia="宋体" w:cs="宋体"/>
          <w:color w:val="auto"/>
          <w:kern w:val="0"/>
          <w:sz w:val="24"/>
          <w:szCs w:val="24"/>
          <w:highlight w:val="none"/>
        </w:rPr>
        <w:t>。未设置或设置错误导致投标文件被误读、漏读或者</w:t>
      </w:r>
      <w:r>
        <w:rPr>
          <w:rFonts w:hint="eastAsia" w:ascii="宋体" w:hAnsi="宋体" w:eastAsia="宋体" w:cs="宋体"/>
          <w:snapToGrid w:val="0"/>
          <w:color w:val="auto"/>
          <w:kern w:val="0"/>
          <w:sz w:val="24"/>
          <w:szCs w:val="24"/>
          <w:highlight w:val="none"/>
        </w:rPr>
        <w:t>在按采购文件规定的部分查找不到相关内容的，是投标人的责任</w:t>
      </w:r>
      <w:r>
        <w:rPr>
          <w:rFonts w:hint="eastAsia" w:ascii="宋体" w:hAnsi="宋体" w:eastAsia="宋体" w:cs="宋体"/>
          <w:color w:val="auto"/>
          <w:kern w:val="0"/>
          <w:sz w:val="24"/>
          <w:szCs w:val="24"/>
          <w:highlight w:val="none"/>
        </w:rPr>
        <w:t>。</w:t>
      </w:r>
    </w:p>
    <w:p w14:paraId="016A9277">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7.3投标文件所提供的相关材料的尺寸和清晰度应该能够在电脑上被阅读、识别和判断。投标文件内容无法阅读、识别和判断的，视为未提供。</w:t>
      </w:r>
    </w:p>
    <w:p w14:paraId="47F3C9E7">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7.4</w:t>
      </w:r>
      <w:r>
        <w:rPr>
          <w:rFonts w:hint="eastAsia" w:ascii="宋体" w:hAnsi="宋体" w:eastAsia="宋体" w:cs="宋体"/>
          <w:snapToGrid w:val="0"/>
          <w:color w:val="auto"/>
          <w:kern w:val="0"/>
          <w:sz w:val="24"/>
          <w:szCs w:val="24"/>
          <w:highlight w:val="none"/>
        </w:rPr>
        <w:t>如对采购文件的某项要求，投标人的投标文件未能提供相应的内容与其对应。则由此产生的评分影响由投标人自行承担。</w:t>
      </w:r>
    </w:p>
    <w:p w14:paraId="10E672DF">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7.5投标人编制投标文件过程中，资格文件和商务技术文件部分不得出现本项目投标报价，如因投标人原因提前泄露投标报价，是投标人的责任。</w:t>
      </w:r>
    </w:p>
    <w:p w14:paraId="695C33FD">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8、投标文件的语言、计量单位、形式及效力</w:t>
      </w:r>
    </w:p>
    <w:p w14:paraId="7D6E7488">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8.1语言及计量单位</w:t>
      </w:r>
    </w:p>
    <w:p w14:paraId="5AA5B33D">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8.1.1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14:paraId="19BAA7E4">
      <w:pPr>
        <w:pageBreakBefore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8.1.2 除采购文件另有规定外，投标文件所使用的计量单位，均须采用中华人民共和国法定计量单位，否则视同未响应。</w:t>
      </w:r>
    </w:p>
    <w:p w14:paraId="69B2BF14">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8.2投标文件的形式和效力</w:t>
      </w:r>
    </w:p>
    <w:p w14:paraId="5EAEC9DF">
      <w:pPr>
        <w:keepNext w:val="0"/>
        <w:keepLines w:val="0"/>
        <w:pageBreakBefore w:val="0"/>
        <w:widowControl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8.2.1投标文件为电子投标文件，电子投标文件按“</w:t>
      </w:r>
      <w:r>
        <w:rPr>
          <w:rFonts w:hint="eastAsia" w:ascii="宋体" w:hAnsi="宋体" w:eastAsia="宋体" w:cs="宋体"/>
          <w:snapToGrid w:val="0"/>
          <w:color w:val="auto"/>
          <w:kern w:val="0"/>
          <w:sz w:val="24"/>
          <w:szCs w:val="24"/>
          <w:highlight w:val="none"/>
          <w:lang w:eastAsia="zh-CN"/>
        </w:rPr>
        <w:t>乐采云</w:t>
      </w:r>
      <w:r>
        <w:rPr>
          <w:rFonts w:hint="eastAsia" w:ascii="宋体" w:hAnsi="宋体" w:eastAsia="宋体" w:cs="宋体"/>
          <w:snapToGrid w:val="0"/>
          <w:color w:val="auto"/>
          <w:kern w:val="0"/>
          <w:sz w:val="24"/>
          <w:szCs w:val="24"/>
          <w:highlight w:val="none"/>
        </w:rPr>
        <w:t>投标人项目采购-电子招投标操作指南”及本采购文件要求制作、加密传输。</w:t>
      </w:r>
    </w:p>
    <w:p w14:paraId="65B7CF57">
      <w:pPr>
        <w:keepNext w:val="0"/>
        <w:keepLines w:val="0"/>
        <w:pageBreakBefore w:val="0"/>
        <w:widowControl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8.2.2投标文件未在投标截止时间前完成传输的，视为未按时递交投标文件；投标文件未按时解密，视为投标文件撤回。</w:t>
      </w:r>
    </w:p>
    <w:p w14:paraId="6BC052BF">
      <w:pPr>
        <w:keepNext w:val="0"/>
        <w:keepLines w:val="0"/>
        <w:pageBreakBefore w:val="0"/>
        <w:widowControl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9、投标文件构成</w:t>
      </w:r>
    </w:p>
    <w:p w14:paraId="3E48B72D">
      <w:pPr>
        <w:keepNext w:val="0"/>
        <w:keepLines w:val="0"/>
        <w:pageBreakBefore w:val="0"/>
        <w:widowControl w:val="0"/>
        <w:kinsoku/>
        <w:wordWrap/>
        <w:overflowPunct/>
        <w:topLinePunct w:val="0"/>
        <w:bidi w:val="0"/>
        <w:adjustRightInd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投标人向采购人递交的投标文件均由</w:t>
      </w:r>
      <w:r>
        <w:rPr>
          <w:rFonts w:hint="eastAsia" w:ascii="宋体" w:hAnsi="宋体" w:eastAsia="宋体" w:cs="宋体"/>
          <w:b/>
          <w:bCs/>
          <w:snapToGrid w:val="0"/>
          <w:color w:val="auto"/>
          <w:kern w:val="0"/>
          <w:sz w:val="24"/>
          <w:szCs w:val="24"/>
          <w:highlight w:val="none"/>
        </w:rPr>
        <w:t>资格投标文件、商务技术投标文件、报价投标文件</w:t>
      </w:r>
      <w:r>
        <w:rPr>
          <w:rFonts w:hint="eastAsia" w:ascii="宋体" w:hAnsi="宋体" w:eastAsia="宋体" w:cs="宋体"/>
          <w:snapToGrid w:val="0"/>
          <w:color w:val="auto"/>
          <w:kern w:val="0"/>
          <w:sz w:val="24"/>
          <w:szCs w:val="24"/>
          <w:highlight w:val="none"/>
        </w:rPr>
        <w:t>组成，具体内容如下：</w:t>
      </w:r>
    </w:p>
    <w:p w14:paraId="129F2AF2">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82" w:firstLineChars="20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9.1资格投标文件</w:t>
      </w:r>
    </w:p>
    <w:p w14:paraId="773CF4E4">
      <w:pPr>
        <w:keepNext w:val="0"/>
        <w:keepLines w:val="0"/>
        <w:pageBreakBefore w:val="0"/>
        <w:widowControl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详见  第六部分  投标文件格式</w:t>
      </w:r>
    </w:p>
    <w:p w14:paraId="1D116458">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82" w:firstLineChars="20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9.2 商务技术投标文件</w:t>
      </w:r>
    </w:p>
    <w:p w14:paraId="150859B3">
      <w:pPr>
        <w:keepNext w:val="0"/>
        <w:keepLines w:val="0"/>
        <w:pageBreakBefore w:val="0"/>
        <w:widowControl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详见  第六部分  投标文件格式</w:t>
      </w:r>
    </w:p>
    <w:p w14:paraId="34433F11">
      <w:pPr>
        <w:keepNext w:val="0"/>
        <w:keepLines w:val="0"/>
        <w:pageBreakBefore w:val="0"/>
        <w:widowControl w:val="0"/>
        <w:kinsoku/>
        <w:wordWrap/>
        <w:overflowPunct/>
        <w:topLinePunct w:val="0"/>
        <w:bidi w:val="0"/>
        <w:adjustRightInd w:val="0"/>
        <w:snapToGrid w:val="0"/>
        <w:spacing w:line="400" w:lineRule="exact"/>
        <w:ind w:left="0" w:leftChars="0" w:firstLine="482"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9.3报价投标文件</w:t>
      </w:r>
    </w:p>
    <w:p w14:paraId="13C76BC1">
      <w:pPr>
        <w:keepNext w:val="0"/>
        <w:keepLines w:val="0"/>
        <w:pageBreakBefore w:val="0"/>
        <w:widowControl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详见  第六部分  投标文件格式</w:t>
      </w:r>
    </w:p>
    <w:p w14:paraId="674E13AB">
      <w:pPr>
        <w:keepNext w:val="0"/>
        <w:keepLines w:val="0"/>
        <w:pageBreakBefore w:val="0"/>
        <w:widowControl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注：电子投标文件中所有加盖公章均采用CA签章。</w:t>
      </w:r>
    </w:p>
    <w:p w14:paraId="681A868C">
      <w:pPr>
        <w:keepNext w:val="0"/>
        <w:keepLines w:val="0"/>
        <w:pageBreakBefore w:val="0"/>
        <w:widowControl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10、投标函</w:t>
      </w:r>
    </w:p>
    <w:p w14:paraId="6D089718">
      <w:pPr>
        <w:keepNext w:val="0"/>
        <w:keepLines w:val="0"/>
        <w:pageBreakBefore w:val="0"/>
        <w:widowControl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10.1 投标人应完整地填写采购文件中提供的投标函和投标相关附件。</w:t>
      </w:r>
    </w:p>
    <w:p w14:paraId="46B57643">
      <w:pPr>
        <w:keepNext w:val="0"/>
        <w:keepLines w:val="0"/>
        <w:pageBreakBefore w:val="0"/>
        <w:widowControl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10.2 投标文件应当对采购文件中有关投标有效期、采购需求等实质性内容作出响应。投标人在满足采购文件实质性要求的基础上，可以提出比采购文件要求更有利于采购人的承诺。</w:t>
      </w:r>
    </w:p>
    <w:p w14:paraId="368AB5F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11、投标报价</w:t>
      </w:r>
    </w:p>
    <w:p w14:paraId="1E89D391">
      <w:pPr>
        <w:pStyle w:val="4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11.1投标报价是履行合同的最终价格，</w:t>
      </w:r>
      <w:r>
        <w:rPr>
          <w:rFonts w:hint="eastAsia" w:ascii="宋体" w:hAnsi="宋体" w:eastAsia="宋体" w:cs="宋体"/>
          <w:b w:val="0"/>
          <w:bCs w:val="0"/>
          <w:color w:val="auto"/>
          <w:kern w:val="2"/>
          <w:sz w:val="24"/>
          <w:szCs w:val="24"/>
          <w:highlight w:val="none"/>
          <w:lang w:val="en-US" w:eastAsia="zh-CN" w:bidi="ar-SA"/>
        </w:rPr>
        <w:t>应包括货款、标准附件、备品备件（含满足使用要求的所有配件）、包装、制造、运输、二次搬运费、装卸、保险、管理费、利润、规费、税金、货到就位以及安装、工期、安全、文明施工、调试、培训、保修、验收监测、购买及制作标书费、招标代理费等其他一切税费，如有漏项，视同已包含在整个项目中，合同总价和单价不做调整。合同价款结算时中标人须开具增值税专用发票。</w:t>
      </w:r>
    </w:p>
    <w:p w14:paraId="6AF91C8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完成本项目所涉及的一切费用由投标人承担。费用清单需详细列明，不详细的部分采购人有权按最好效果、最高标准执行。</w:t>
      </w:r>
    </w:p>
    <w:p w14:paraId="575CC494">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11.2</w:t>
      </w:r>
      <w:r>
        <w:rPr>
          <w:rFonts w:hint="eastAsia" w:ascii="宋体" w:hAnsi="宋体" w:eastAsia="宋体" w:cs="宋体"/>
          <w:snapToGrid w:val="0"/>
          <w:color w:val="auto"/>
          <w:kern w:val="0"/>
          <w:sz w:val="24"/>
          <w:szCs w:val="24"/>
          <w:highlight w:val="none"/>
        </w:rPr>
        <w:t>投标人应认真计算可能发生的各相关费用并计入报价内，在项目实施过程中不得藉此要求增加任何费用，并不得出现选择性的报价。</w:t>
      </w:r>
    </w:p>
    <w:p w14:paraId="582B7CC7">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11.3本项目只允许一次报价，不允许以开标后调整的报价作为评标的依据（但按本采购文件投标须知投标文件错误的修正并经评标委员会认定或经投标人确认同意的除外）。</w:t>
      </w:r>
    </w:p>
    <w:p w14:paraId="1DD8BEB2">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11.4其它需在报价中考虑的因素：</w:t>
      </w:r>
    </w:p>
    <w:p w14:paraId="6888755B">
      <w:pPr>
        <w:pageBreakBefore w:val="0"/>
        <w:numPr>
          <w:ilvl w:val="0"/>
          <w:numId w:val="0"/>
        </w:numPr>
        <w:tabs>
          <w:tab w:val="left" w:pos="993"/>
        </w:tabs>
        <w:kinsoku/>
        <w:wordWrap/>
        <w:overflowPunct/>
        <w:topLinePunct w:val="0"/>
        <w:bidi w:val="0"/>
        <w:adjustRightInd w:val="0"/>
        <w:snapToGrid w:val="0"/>
        <w:spacing w:line="400" w:lineRule="exact"/>
        <w:ind w:left="420" w:leftChars="0"/>
        <w:jc w:val="left"/>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lang w:val="en-US" w:eastAsia="zh-CN"/>
        </w:rPr>
        <w:t>1）</w:t>
      </w:r>
      <w:r>
        <w:rPr>
          <w:rFonts w:hint="eastAsia" w:ascii="宋体" w:hAnsi="宋体" w:eastAsia="宋体" w:cs="宋体"/>
          <w:b/>
          <w:snapToGrid w:val="0"/>
          <w:color w:val="auto"/>
          <w:kern w:val="0"/>
          <w:sz w:val="24"/>
          <w:szCs w:val="24"/>
          <w:highlight w:val="none"/>
        </w:rPr>
        <w:t>招标内容及需求中明确的需投标人承担的费用均应含在投标总价中；</w:t>
      </w:r>
    </w:p>
    <w:p w14:paraId="4EAC87A6">
      <w:pPr>
        <w:pageBreakBefore w:val="0"/>
        <w:numPr>
          <w:ilvl w:val="0"/>
          <w:numId w:val="0"/>
        </w:numPr>
        <w:tabs>
          <w:tab w:val="left" w:pos="993"/>
        </w:tabs>
        <w:kinsoku/>
        <w:wordWrap/>
        <w:overflowPunct/>
        <w:topLinePunct w:val="0"/>
        <w:bidi w:val="0"/>
        <w:adjustRightInd w:val="0"/>
        <w:snapToGrid w:val="0"/>
        <w:spacing w:line="400" w:lineRule="exact"/>
        <w:ind w:left="420" w:left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采购文件未明示但投标人认为可能产生的潜在费用支出均需自行考虑并计入投</w:t>
      </w:r>
    </w:p>
    <w:p w14:paraId="6351172B">
      <w:pPr>
        <w:pageBreakBefore w:val="0"/>
        <w:numPr>
          <w:ilvl w:val="0"/>
          <w:numId w:val="0"/>
        </w:numPr>
        <w:tabs>
          <w:tab w:val="left" w:pos="993"/>
        </w:tabs>
        <w:kinsoku/>
        <w:wordWrap/>
        <w:overflowPunct/>
        <w:topLinePunct w:val="0"/>
        <w:bidi w:val="0"/>
        <w:adjustRightInd w:val="0"/>
        <w:snapToGrid w:val="0"/>
        <w:spacing w:line="400" w:lineRule="exact"/>
        <w:jc w:val="left"/>
        <w:rPr>
          <w:rFonts w:hint="eastAsia" w:ascii="宋体" w:hAnsi="宋体" w:eastAsia="宋体" w:cs="宋体"/>
          <w:b/>
          <w:snapToGrid w:val="0"/>
          <w:color w:val="auto"/>
          <w:kern w:val="0"/>
          <w:sz w:val="24"/>
          <w:szCs w:val="24"/>
          <w:highlight w:val="none"/>
        </w:rPr>
      </w:pPr>
      <w:r>
        <w:rPr>
          <w:rFonts w:hint="eastAsia" w:ascii="宋体" w:hAnsi="宋体" w:eastAsia="宋体" w:cs="宋体"/>
          <w:b/>
          <w:color w:val="auto"/>
          <w:sz w:val="24"/>
          <w:szCs w:val="24"/>
          <w:highlight w:val="none"/>
        </w:rPr>
        <w:t>标总价中；</w:t>
      </w:r>
    </w:p>
    <w:p w14:paraId="6D220BA8">
      <w:pPr>
        <w:pageBreakBefore w:val="0"/>
        <w:numPr>
          <w:ilvl w:val="0"/>
          <w:numId w:val="0"/>
        </w:numPr>
        <w:tabs>
          <w:tab w:val="left" w:pos="993"/>
        </w:tabs>
        <w:kinsoku/>
        <w:wordWrap/>
        <w:overflowPunct/>
        <w:topLinePunct w:val="0"/>
        <w:bidi w:val="0"/>
        <w:adjustRightInd w:val="0"/>
        <w:snapToGrid w:val="0"/>
        <w:spacing w:line="400" w:lineRule="exact"/>
        <w:ind w:left="420" w:leftChars="0"/>
        <w:jc w:val="left"/>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lang w:val="en-US" w:eastAsia="zh-CN"/>
        </w:rPr>
        <w:t>3）</w:t>
      </w:r>
      <w:r>
        <w:rPr>
          <w:rFonts w:hint="eastAsia" w:ascii="宋体" w:hAnsi="宋体" w:eastAsia="宋体" w:cs="宋体"/>
          <w:b/>
          <w:snapToGrid w:val="0"/>
          <w:color w:val="auto"/>
          <w:kern w:val="0"/>
          <w:sz w:val="24"/>
          <w:szCs w:val="24"/>
          <w:highlight w:val="none"/>
        </w:rPr>
        <w:t>对于没有填报的项目，采购人将不再支付，并均认为已包含在报价内。</w:t>
      </w:r>
    </w:p>
    <w:p w14:paraId="0C52817C">
      <w:pPr>
        <w:pStyle w:val="10"/>
        <w:pageBreakBefore w:val="0"/>
        <w:kinsoku/>
        <w:wordWrap/>
        <w:overflowPunct/>
        <w:topLinePunct w:val="0"/>
        <w:bidi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12、投标货币</w:t>
      </w:r>
    </w:p>
    <w:p w14:paraId="35DF8EC2">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投标人用人民币报价。</w:t>
      </w:r>
    </w:p>
    <w:p w14:paraId="21EF2372">
      <w:pPr>
        <w:pStyle w:val="10"/>
        <w:pageBreakBefore w:val="0"/>
        <w:kinsoku/>
        <w:wordWrap/>
        <w:overflowPunct/>
        <w:topLinePunct w:val="0"/>
        <w:bidi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13、投标保证金</w:t>
      </w:r>
    </w:p>
    <w:p w14:paraId="38499237">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 xml:space="preserve">13.1 </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lang w:eastAsia="zh-CN"/>
        </w:rPr>
        <w:t>590000元</w:t>
      </w:r>
      <w:r>
        <w:rPr>
          <w:rFonts w:hint="eastAsia" w:ascii="宋体" w:hAnsi="宋体" w:eastAsia="宋体" w:cs="宋体"/>
          <w:color w:val="auto"/>
          <w:sz w:val="24"/>
          <w:szCs w:val="24"/>
          <w:highlight w:val="none"/>
        </w:rPr>
        <w:t>,应按《公开招标公告》第四条规定交纳。</w:t>
      </w:r>
    </w:p>
    <w:p w14:paraId="25F596DB">
      <w:pPr>
        <w:pageBreakBefore w:val="0"/>
        <w:kinsoku/>
        <w:wordWrap/>
        <w:overflowPunct/>
        <w:topLinePunct w:val="0"/>
        <w:bidi w:val="0"/>
        <w:snapToGrid w:val="0"/>
        <w:spacing w:line="400" w:lineRule="exact"/>
        <w:ind w:left="0" w:leftChars="0"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13.2 保证金形式：</w:t>
      </w:r>
      <w:r>
        <w:rPr>
          <w:rFonts w:hint="eastAsia" w:ascii="宋体" w:hAnsi="宋体" w:eastAsia="宋体" w:cs="宋体"/>
          <w:color w:val="auto"/>
          <w:sz w:val="24"/>
          <w:szCs w:val="24"/>
          <w:highlight w:val="none"/>
          <w:u w:val="single"/>
        </w:rPr>
        <w:t>银行电汇、转账</w:t>
      </w:r>
      <w:r>
        <w:rPr>
          <w:rFonts w:hint="eastAsia" w:ascii="宋体" w:hAnsi="宋体" w:eastAsia="宋体" w:cs="宋体"/>
          <w:color w:val="auto"/>
          <w:sz w:val="24"/>
          <w:szCs w:val="24"/>
          <w:highlight w:val="none"/>
          <w:u w:val="single"/>
          <w:lang w:eastAsia="zh-CN"/>
        </w:rPr>
        <w:t>、保函</w:t>
      </w:r>
    </w:p>
    <w:p w14:paraId="24F74D98">
      <w:pPr>
        <w:pageBreakBefore w:val="0"/>
        <w:kinsoku/>
        <w:wordWrap/>
        <w:overflowPunct/>
        <w:topLinePunct w:val="0"/>
        <w:bidi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13.3未中标人的投标保证金在中标通知书发出后5个工作日内，本</w:t>
      </w:r>
      <w:r>
        <w:rPr>
          <w:rFonts w:hint="eastAsia" w:ascii="宋体" w:hAnsi="宋体" w:eastAsia="宋体" w:cs="宋体"/>
          <w:color w:val="auto"/>
          <w:kern w:val="0"/>
          <w:sz w:val="24"/>
          <w:szCs w:val="24"/>
          <w:highlight w:val="none"/>
        </w:rPr>
        <w:t>采购代理机构</w:t>
      </w:r>
      <w:r>
        <w:rPr>
          <w:rFonts w:hint="eastAsia" w:ascii="宋体" w:hAnsi="宋体" w:eastAsia="宋体" w:cs="宋体"/>
          <w:color w:val="auto"/>
          <w:sz w:val="24"/>
          <w:szCs w:val="24"/>
          <w:highlight w:val="none"/>
        </w:rPr>
        <w:t>以电汇或转账方式退还投标保证金；</w:t>
      </w:r>
    </w:p>
    <w:p w14:paraId="5752E7F7">
      <w:pPr>
        <w:pageBreakBefore w:val="0"/>
        <w:kinsoku/>
        <w:wordWrap/>
        <w:overflowPunct/>
        <w:topLinePunct w:val="0"/>
        <w:bidi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sz w:val="24"/>
          <w:szCs w:val="24"/>
          <w:highlight w:val="none"/>
        </w:rPr>
        <w:t>的投标保证金在采购合同签订后5个工作日内，本</w:t>
      </w:r>
      <w:r>
        <w:rPr>
          <w:rFonts w:hint="eastAsia" w:ascii="宋体" w:hAnsi="宋体" w:eastAsia="宋体" w:cs="宋体"/>
          <w:color w:val="auto"/>
          <w:kern w:val="0"/>
          <w:sz w:val="24"/>
          <w:szCs w:val="24"/>
          <w:highlight w:val="none"/>
        </w:rPr>
        <w:t>采购代理机构</w:t>
      </w:r>
      <w:r>
        <w:rPr>
          <w:rFonts w:hint="eastAsia" w:ascii="宋体" w:hAnsi="宋体" w:eastAsia="宋体" w:cs="宋体"/>
          <w:color w:val="auto"/>
          <w:sz w:val="24"/>
          <w:szCs w:val="24"/>
          <w:highlight w:val="none"/>
        </w:rPr>
        <w:t>以电汇或转账方式退还投标保证金；</w:t>
      </w:r>
    </w:p>
    <w:p w14:paraId="73248C71">
      <w:pPr>
        <w:pageBreakBefore w:val="0"/>
        <w:kinsoku/>
        <w:wordWrap/>
        <w:overflowPunct/>
        <w:topLinePunct w:val="0"/>
        <w:bidi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13.5保证金不计息。</w:t>
      </w:r>
    </w:p>
    <w:p w14:paraId="60EAEA3A">
      <w:pPr>
        <w:pageBreakBefore w:val="0"/>
        <w:kinsoku/>
        <w:wordWrap/>
        <w:overflowPunct/>
        <w:topLinePunct w:val="0"/>
        <w:bidi w:val="0"/>
        <w:snapToGrid w:val="0"/>
        <w:spacing w:line="400" w:lineRule="exact"/>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snapToGrid w:val="0"/>
          <w:color w:val="auto"/>
          <w:kern w:val="0"/>
          <w:sz w:val="24"/>
          <w:szCs w:val="24"/>
          <w:highlight w:val="none"/>
        </w:rPr>
        <w:t>13.6</w:t>
      </w:r>
      <w:r>
        <w:rPr>
          <w:rFonts w:hint="eastAsia" w:ascii="宋体" w:hAnsi="宋体" w:eastAsia="宋体" w:cs="宋体"/>
          <w:b/>
          <w:color w:val="auto"/>
          <w:sz w:val="24"/>
          <w:szCs w:val="24"/>
          <w:highlight w:val="none"/>
        </w:rPr>
        <w:t>投标人有下列情形之一的，投标保证金将不予退还：</w:t>
      </w:r>
    </w:p>
    <w:p w14:paraId="79D18E52">
      <w:pPr>
        <w:pageBreakBefore w:val="0"/>
        <w:kinsoku/>
        <w:wordWrap/>
        <w:overflowPunct/>
        <w:topLinePunct w:val="0"/>
        <w:bidi w:val="0"/>
        <w:snapToGrid w:val="0"/>
        <w:spacing w:line="400" w:lineRule="exact"/>
        <w:ind w:left="0" w:leftChars="0"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13.6.1投标人在投标有效期内撤回投标文件的；</w:t>
      </w:r>
    </w:p>
    <w:p w14:paraId="7C523B4D">
      <w:pPr>
        <w:pageBreakBefore w:val="0"/>
        <w:kinsoku/>
        <w:wordWrap/>
        <w:overflowPunct/>
        <w:topLinePunct w:val="0"/>
        <w:bidi w:val="0"/>
        <w:snapToGrid w:val="0"/>
        <w:spacing w:line="400" w:lineRule="exact"/>
        <w:ind w:left="0" w:leftChars="0"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13.6.2未按规定提交履约保证金的；</w:t>
      </w:r>
    </w:p>
    <w:p w14:paraId="5982C8A5">
      <w:pPr>
        <w:pageBreakBefore w:val="0"/>
        <w:kinsoku/>
        <w:wordWrap/>
        <w:overflowPunct/>
        <w:topLinePunct w:val="0"/>
        <w:bidi w:val="0"/>
        <w:snapToGrid w:val="0"/>
        <w:spacing w:line="400" w:lineRule="exact"/>
        <w:ind w:left="0" w:leftChars="0"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13.6.3投标人在投标过程中弄虚作假，提供虚假材料的；</w:t>
      </w:r>
    </w:p>
    <w:p w14:paraId="78BFA638">
      <w:pPr>
        <w:pageBreakBefore w:val="0"/>
        <w:kinsoku/>
        <w:wordWrap/>
        <w:overflowPunct/>
        <w:topLinePunct w:val="0"/>
        <w:bidi w:val="0"/>
        <w:snapToGrid w:val="0"/>
        <w:spacing w:line="400" w:lineRule="exact"/>
        <w:ind w:left="0" w:leftChars="0"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13.6.4中标人无正当理由不与采购人签订合同的；</w:t>
      </w:r>
    </w:p>
    <w:p w14:paraId="34D17972">
      <w:pPr>
        <w:pageBreakBefore w:val="0"/>
        <w:kinsoku/>
        <w:wordWrap/>
        <w:overflowPunct/>
        <w:topLinePunct w:val="0"/>
        <w:bidi w:val="0"/>
        <w:snapToGrid w:val="0"/>
        <w:spacing w:line="400" w:lineRule="exact"/>
        <w:ind w:left="0" w:leftChars="0" w:firstLine="470" w:firstLineChars="196"/>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13.6.5</w:t>
      </w:r>
      <w:r>
        <w:rPr>
          <w:rFonts w:hint="eastAsia" w:ascii="宋体" w:hAnsi="宋体" w:eastAsia="宋体" w:cs="宋体"/>
          <w:bCs/>
          <w:color w:val="auto"/>
          <w:sz w:val="24"/>
          <w:szCs w:val="24"/>
          <w:highlight w:val="none"/>
        </w:rPr>
        <w:t>将中标项目转让给他人或者在投标文件中未说明且未经招标采购单位同意，将中标项目分包给他人的；</w:t>
      </w:r>
    </w:p>
    <w:p w14:paraId="116DB2DC">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13.6.6拒绝履行合同义务的；</w:t>
      </w:r>
    </w:p>
    <w:p w14:paraId="3BE1E5A0">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13.6.7其他严重扰乱招投标程序的。</w:t>
      </w:r>
    </w:p>
    <w:p w14:paraId="3CCB66A4">
      <w:pPr>
        <w:pStyle w:val="10"/>
        <w:pageBreakBefore w:val="0"/>
        <w:kinsoku/>
        <w:wordWrap/>
        <w:overflowPunct/>
        <w:topLinePunct w:val="0"/>
        <w:bidi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14、投标有效期</w:t>
      </w:r>
    </w:p>
    <w:p w14:paraId="53D7BE4A">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14.1 投标文件在开标之日起90个日历天内有效。</w:t>
      </w:r>
    </w:p>
    <w:p w14:paraId="07D8CB17">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14:paraId="009E2751">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14.3 中标人的投标文件自开标之日起至合同履行完毕止均应保持有效。</w:t>
      </w:r>
    </w:p>
    <w:p w14:paraId="7BC8EF10">
      <w:pPr>
        <w:pStyle w:val="10"/>
        <w:pageBreakBefore w:val="0"/>
        <w:kinsoku/>
        <w:wordWrap/>
        <w:overflowPunct/>
        <w:topLinePunct w:val="0"/>
        <w:bidi w:val="0"/>
        <w:snapToGrid w:val="0"/>
        <w:spacing w:line="400" w:lineRule="exact"/>
        <w:ind w:left="0" w:leftChars="0"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15、投标文件的式样</w:t>
      </w:r>
    </w:p>
    <w:p w14:paraId="1BAEEFD1">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15.1 投标人通过“</w:t>
      </w:r>
      <w:r>
        <w:rPr>
          <w:rFonts w:hint="eastAsia" w:ascii="宋体" w:hAnsi="宋体" w:eastAsia="宋体" w:cs="宋体"/>
          <w:snapToGrid w:val="0"/>
          <w:color w:val="auto"/>
          <w:kern w:val="0"/>
          <w:sz w:val="24"/>
          <w:szCs w:val="24"/>
          <w:highlight w:val="none"/>
          <w:lang w:eastAsia="zh-CN"/>
        </w:rPr>
        <w:t>乐采云</w:t>
      </w:r>
      <w:r>
        <w:rPr>
          <w:rFonts w:hint="eastAsia" w:ascii="宋体" w:hAnsi="宋体" w:eastAsia="宋体" w:cs="宋体"/>
          <w:snapToGrid w:val="0"/>
          <w:color w:val="auto"/>
          <w:kern w:val="0"/>
          <w:sz w:val="24"/>
          <w:szCs w:val="24"/>
          <w:highlight w:val="none"/>
        </w:rPr>
        <w:t>”平台制作电子投标文件，投标文件制作详见“投标人-政府采购项目电子交易操作指南”。</w:t>
      </w:r>
    </w:p>
    <w:p w14:paraId="70E35504">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15.2 投标文件是电子投标文件，包括“电子加密投标文件”和“备份投标文件”，在投标文件编制完成后同时生成。</w:t>
      </w:r>
    </w:p>
    <w:p w14:paraId="2B8933C1">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（1）“电子加密投标文件”是指通过“</w:t>
      </w:r>
      <w:r>
        <w:rPr>
          <w:rFonts w:hint="eastAsia" w:ascii="宋体" w:hAnsi="宋体" w:eastAsia="宋体" w:cs="宋体"/>
          <w:snapToGrid w:val="0"/>
          <w:color w:val="auto"/>
          <w:kern w:val="0"/>
          <w:sz w:val="24"/>
          <w:szCs w:val="24"/>
          <w:highlight w:val="none"/>
          <w:lang w:eastAsia="zh-CN"/>
        </w:rPr>
        <w:t>乐采云</w:t>
      </w:r>
      <w:r>
        <w:rPr>
          <w:rFonts w:hint="eastAsia" w:ascii="宋体" w:hAnsi="宋体" w:eastAsia="宋体" w:cs="宋体"/>
          <w:snapToGrid w:val="0"/>
          <w:color w:val="auto"/>
          <w:kern w:val="0"/>
          <w:sz w:val="24"/>
          <w:szCs w:val="24"/>
          <w:highlight w:val="none"/>
        </w:rPr>
        <w:t>电子交易客户端”完成投标文件编制后生成并加密的数据电文形式的投标文件。</w:t>
      </w:r>
    </w:p>
    <w:p w14:paraId="0C4AE00A">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（2）“备份投标文件”是指与“电子加密投标文件”同时生成的数据电文形式的电子文件（备份标书，用于投标人标书解密异常时应急使用），其他方式编制的备份投标文件视为无效备份投标文件。</w:t>
      </w:r>
    </w:p>
    <w:p w14:paraId="3797C7EF">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（3）一份电子加密标书（后缀格式为.jmbs），一份备份标书文件（后缀格式为.bfbs）</w:t>
      </w:r>
    </w:p>
    <w:p w14:paraId="5B53F05B">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（4）每份电子投标文件应包括资格投标文件、商务技术投标文件、报价投标文件三部分内容。</w:t>
      </w:r>
    </w:p>
    <w:p w14:paraId="7C872DC2">
      <w:pPr>
        <w:pStyle w:val="3"/>
        <w:pageBreakBefore w:val="0"/>
        <w:kinsoku/>
        <w:wordWrap/>
        <w:overflowPunct/>
        <w:topLinePunct w:val="0"/>
        <w:bidi w:val="0"/>
        <w:snapToGrid w:val="0"/>
        <w:spacing w:before="0" w:beforeLines="0" w:after="0" w:afterLines="0" w:line="400" w:lineRule="exact"/>
        <w:ind w:left="0" w:leftChars="0"/>
        <w:rPr>
          <w:rFonts w:hint="eastAsia" w:ascii="宋体" w:hAnsi="宋体" w:eastAsia="宋体" w:cs="宋体"/>
          <w:color w:val="auto"/>
          <w:sz w:val="24"/>
          <w:szCs w:val="24"/>
          <w:highlight w:val="none"/>
        </w:rPr>
      </w:pPr>
      <w:bookmarkStart w:id="73" w:name="_Toc16919"/>
      <w:bookmarkStart w:id="74" w:name="_Toc26484"/>
      <w:bookmarkStart w:id="75" w:name="_Toc240450080"/>
      <w:bookmarkStart w:id="76" w:name="_Toc20807"/>
      <w:bookmarkStart w:id="77" w:name="_Toc12754"/>
      <w:bookmarkStart w:id="78" w:name="_Toc20353"/>
      <w:bookmarkStart w:id="79" w:name="_Toc1575"/>
      <w:bookmarkStart w:id="80" w:name="_Toc3215"/>
      <w:bookmarkStart w:id="81" w:name="_Toc11108"/>
      <w:bookmarkStart w:id="82" w:name="_Toc26095"/>
      <w:bookmarkStart w:id="83" w:name="_Toc13781"/>
      <w:bookmarkStart w:id="84" w:name="_Toc7693"/>
      <w:bookmarkStart w:id="85" w:name="_Toc28870"/>
      <w:bookmarkStart w:id="86" w:name="_Toc14098"/>
      <w:bookmarkStart w:id="87" w:name="_Toc22768"/>
      <w:bookmarkStart w:id="88" w:name="_Toc251566653"/>
      <w:bookmarkStart w:id="89" w:name="_Toc3239"/>
      <w:r>
        <w:rPr>
          <w:rFonts w:hint="eastAsia" w:ascii="宋体" w:hAnsi="宋体" w:eastAsia="宋体" w:cs="宋体"/>
          <w:color w:val="auto"/>
          <w:sz w:val="24"/>
          <w:szCs w:val="24"/>
          <w:highlight w:val="none"/>
        </w:rPr>
        <w:t>四、投标文件的递交</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C43CA6B">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16、投标文件的递交</w:t>
      </w:r>
    </w:p>
    <w:p w14:paraId="6E5EA6A1">
      <w:pPr>
        <w:pStyle w:val="25"/>
        <w:pageBreakBefore w:val="0"/>
        <w:tabs>
          <w:tab w:val="left" w:pos="900"/>
        </w:tabs>
        <w:kinsoku/>
        <w:wordWrap/>
        <w:overflowPunct/>
        <w:topLinePunct w:val="0"/>
        <w:bidi w:val="0"/>
        <w:adjustRightIn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电子加密投标文件：投标文件制作完成并生成加密标书，在投标截止时间前，投标人需将加密的投标文件上传至</w:t>
      </w:r>
      <w:r>
        <w:rPr>
          <w:rFonts w:hint="eastAsia" w:ascii="宋体" w:hAnsi="宋体" w:eastAsia="宋体" w:cs="宋体"/>
          <w:color w:val="auto"/>
          <w:sz w:val="24"/>
          <w:szCs w:val="24"/>
          <w:highlight w:val="none"/>
          <w:lang w:eastAsia="zh-CN"/>
        </w:rPr>
        <w:t>乐采云</w:t>
      </w:r>
      <w:r>
        <w:rPr>
          <w:rFonts w:hint="eastAsia" w:ascii="宋体" w:hAnsi="宋体" w:eastAsia="宋体" w:cs="宋体"/>
          <w:color w:val="auto"/>
          <w:sz w:val="24"/>
          <w:szCs w:val="24"/>
          <w:highlight w:val="none"/>
        </w:rPr>
        <w:t>平台，在开标时间开始后30分钟内（以电子交易平台设定的时间为准），登录“</w:t>
      </w:r>
      <w:r>
        <w:rPr>
          <w:rFonts w:hint="eastAsia" w:ascii="宋体" w:hAnsi="宋体" w:eastAsia="宋体" w:cs="宋体"/>
          <w:color w:val="auto"/>
          <w:sz w:val="24"/>
          <w:szCs w:val="24"/>
          <w:highlight w:val="none"/>
          <w:lang w:eastAsia="zh-CN"/>
        </w:rPr>
        <w:t>乐采云</w:t>
      </w:r>
      <w:r>
        <w:rPr>
          <w:rFonts w:hint="eastAsia" w:ascii="宋体" w:hAnsi="宋体" w:eastAsia="宋体" w:cs="宋体"/>
          <w:color w:val="auto"/>
          <w:sz w:val="24"/>
          <w:szCs w:val="24"/>
          <w:highlight w:val="none"/>
        </w:rPr>
        <w:t>-项目采购-开标评标”功能进行解密投标文件（为防止解密失败，建议采用制作投标文件的电脑进行解密）。</w:t>
      </w:r>
    </w:p>
    <w:p w14:paraId="390ECC16">
      <w:pPr>
        <w:pStyle w:val="25"/>
        <w:pageBreakBefore w:val="0"/>
        <w:tabs>
          <w:tab w:val="left" w:pos="900"/>
        </w:tabs>
        <w:kinsoku/>
        <w:wordWrap/>
        <w:overflowPunct/>
        <w:topLinePunct w:val="0"/>
        <w:bidi w:val="0"/>
        <w:adjustRightIn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a.投标人在投标截止时间前未能成功上传或未按要求上传电子加密投标文件的，作投标无效处理。</w:t>
      </w:r>
    </w:p>
    <w:p w14:paraId="69CF3F94">
      <w:pPr>
        <w:pStyle w:val="25"/>
        <w:pageBreakBefore w:val="0"/>
        <w:tabs>
          <w:tab w:val="left" w:pos="900"/>
        </w:tabs>
        <w:kinsoku/>
        <w:wordWrap/>
        <w:overflowPunct/>
        <w:topLinePunct w:val="0"/>
        <w:bidi w:val="0"/>
        <w:adjustRightIn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b.投标人成功上传电子加密投标文件后，可自行打印投标文件接收回执。</w:t>
      </w:r>
    </w:p>
    <w:p w14:paraId="4AF6B0D4">
      <w:pPr>
        <w:pStyle w:val="25"/>
        <w:pageBreakBefore w:val="0"/>
        <w:tabs>
          <w:tab w:val="left" w:pos="900"/>
        </w:tabs>
        <w:kinsoku/>
        <w:wordWrap/>
        <w:overflowPunct/>
        <w:topLinePunct w:val="0"/>
        <w:bidi w:val="0"/>
        <w:adjustRightIn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备份投标文件：投标人确保在投标截止时间前，将备份投标文件通过快递形式或现场送达形式送达采购代理机构处，以便标书解密异常时应急使用（邮寄/送达地址：浦江县中山北路169号中山大厦10楼1003室（浦江县产权交易有限公司），黄女士收，电话号码：18757840625，邮编322200）。</w:t>
      </w:r>
    </w:p>
    <w:p w14:paraId="22550AA8">
      <w:pPr>
        <w:pStyle w:val="25"/>
        <w:pageBreakBefore w:val="0"/>
        <w:tabs>
          <w:tab w:val="left" w:pos="900"/>
        </w:tabs>
        <w:kinsoku/>
        <w:wordWrap/>
        <w:overflowPunct/>
        <w:topLinePunct w:val="0"/>
        <w:bidi w:val="0"/>
        <w:adjustRightIn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a.备份投标文件递交要求：投标人须将备份投标文件以U盘形式放在密封袋中，密封后并在密封袋上注明项目编号、投标项目名称（含标项）、投标人名称、备份电子投标文件”等，并注明“于  年 月  日  时  分前不准启封”的字样并加盖公章。</w:t>
      </w:r>
    </w:p>
    <w:p w14:paraId="55E52F50">
      <w:pPr>
        <w:pStyle w:val="25"/>
        <w:pageBreakBefore w:val="0"/>
        <w:tabs>
          <w:tab w:val="left" w:pos="900"/>
        </w:tabs>
        <w:kinsoku/>
        <w:wordWrap/>
        <w:overflowPunct/>
        <w:topLinePunct w:val="0"/>
        <w:bidi w:val="0"/>
        <w:adjustRightIn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b.通过“</w:t>
      </w:r>
      <w:r>
        <w:rPr>
          <w:rFonts w:hint="eastAsia" w:ascii="宋体" w:hAnsi="宋体" w:eastAsia="宋体" w:cs="宋体"/>
          <w:color w:val="auto"/>
          <w:sz w:val="24"/>
          <w:szCs w:val="24"/>
          <w:highlight w:val="none"/>
          <w:lang w:eastAsia="zh-CN"/>
        </w:rPr>
        <w:t>乐采云平台</w:t>
      </w:r>
      <w:r>
        <w:rPr>
          <w:rFonts w:hint="eastAsia" w:ascii="宋体" w:hAnsi="宋体" w:eastAsia="宋体" w:cs="宋体"/>
          <w:color w:val="auto"/>
          <w:sz w:val="24"/>
          <w:szCs w:val="24"/>
          <w:highlight w:val="none"/>
        </w:rPr>
        <w:t>”成功上传递交的“电子加密投标文件”已按时解密的，“备份投标文件”自动失效。</w:t>
      </w:r>
    </w:p>
    <w:p w14:paraId="0C4AA131">
      <w:pPr>
        <w:pStyle w:val="25"/>
        <w:pageBreakBefore w:val="0"/>
        <w:tabs>
          <w:tab w:val="left" w:pos="900"/>
        </w:tabs>
        <w:kinsoku/>
        <w:wordWrap/>
        <w:overflowPunct/>
        <w:topLinePunct w:val="0"/>
        <w:bidi w:val="0"/>
        <w:adjustRightIn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注：未密封包装或者逾期送达的“备份投标文件”将不予接收，未按规定标记的备份投标文件有被误投或提前拆封等风险，因未按规定密封或标记所造成的一切后果由投标人承担。</w:t>
      </w:r>
    </w:p>
    <w:p w14:paraId="685E1BBB">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17、投标截止期</w:t>
      </w:r>
    </w:p>
    <w:p w14:paraId="08089548">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17.1 投标人应按前附表规定的日期、时间和方式上传/递交投标文件。</w:t>
      </w:r>
    </w:p>
    <w:p w14:paraId="0720A2FA">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17.2 采购人可以按本须知第6条规定，通过修改采购文件适当延长投标截止日期。在此情况下，采购人与投标人受投标截止期制约的所有权利和义务均应延长至新的截止期。</w:t>
      </w:r>
    </w:p>
    <w:p w14:paraId="2461510F">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18、迟交的投标文件</w:t>
      </w:r>
    </w:p>
    <w:p w14:paraId="2168FD91">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投标截止时间后收到的任何投标文件，采购人将不予接收。</w:t>
      </w:r>
    </w:p>
    <w:p w14:paraId="2C1AABB2">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19、投标文件的修改与撤回</w:t>
      </w:r>
    </w:p>
    <w:p w14:paraId="625AF10D">
      <w:pPr>
        <w:pStyle w:val="25"/>
        <w:pageBreakBefore w:val="0"/>
        <w:tabs>
          <w:tab w:val="left" w:pos="900"/>
        </w:tabs>
        <w:kinsoku/>
        <w:wordWrap/>
        <w:overflowPunct/>
        <w:topLinePunct w:val="0"/>
        <w:bidi w:val="0"/>
        <w:adjustRightIn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19.1 投标人在递交投标文件后，在规定的投标截止时间前，</w:t>
      </w:r>
      <w:r>
        <w:rPr>
          <w:rFonts w:hint="eastAsia" w:ascii="宋体" w:hAnsi="宋体" w:eastAsia="宋体" w:cs="宋体"/>
          <w:color w:val="auto"/>
          <w:sz w:val="24"/>
          <w:szCs w:val="24"/>
          <w:highlight w:val="none"/>
        </w:rPr>
        <w:t>可以补充、修改或者撤回电子加密投标文件。补充或者修改电子加密投标文件的，应当先行撤回原文件，补充、修改后重新传输递交。投标截止时间前未完成传输的，视为投标文件撤回，投标无效。</w:t>
      </w:r>
    </w:p>
    <w:p w14:paraId="7883736B">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19.2 在投标截止期之后，投标人不得对其投标作任何修改。</w:t>
      </w:r>
    </w:p>
    <w:p w14:paraId="43573C65">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19.3 从投标截止期至投标人在投标函格式中确定的投标有效期期满这段时间内，投标人不得撤回其投标。</w:t>
      </w:r>
    </w:p>
    <w:p w14:paraId="0A903E85">
      <w:pPr>
        <w:pStyle w:val="3"/>
        <w:pageBreakBefore w:val="0"/>
        <w:kinsoku/>
        <w:wordWrap/>
        <w:overflowPunct/>
        <w:topLinePunct w:val="0"/>
        <w:bidi w:val="0"/>
        <w:snapToGrid w:val="0"/>
        <w:spacing w:before="0" w:beforeLines="0" w:after="0" w:afterLines="0" w:line="400" w:lineRule="exact"/>
        <w:ind w:left="0" w:leftChars="0"/>
        <w:rPr>
          <w:rFonts w:hint="eastAsia" w:ascii="宋体" w:hAnsi="宋体" w:eastAsia="宋体" w:cs="宋体"/>
          <w:color w:val="auto"/>
          <w:sz w:val="24"/>
          <w:szCs w:val="24"/>
          <w:highlight w:val="none"/>
        </w:rPr>
      </w:pPr>
      <w:bookmarkStart w:id="90" w:name="_Toc20041"/>
      <w:bookmarkStart w:id="91" w:name="_Toc27389"/>
      <w:bookmarkStart w:id="92" w:name="_Toc251566654"/>
      <w:bookmarkStart w:id="93" w:name="_Toc13578"/>
      <w:bookmarkStart w:id="94" w:name="_Toc2206"/>
      <w:bookmarkStart w:id="95" w:name="_Toc18527"/>
      <w:bookmarkStart w:id="96" w:name="_Toc14566"/>
      <w:bookmarkStart w:id="97" w:name="_Toc12982"/>
      <w:bookmarkStart w:id="98" w:name="_Toc208"/>
      <w:bookmarkStart w:id="99" w:name="_Toc31224"/>
      <w:bookmarkStart w:id="100" w:name="_Toc32738"/>
      <w:bookmarkStart w:id="101" w:name="_Toc30685"/>
      <w:bookmarkStart w:id="102" w:name="_Toc10409"/>
      <w:bookmarkStart w:id="103" w:name="_Toc9592"/>
      <w:bookmarkStart w:id="104" w:name="_Toc4741"/>
      <w:bookmarkStart w:id="105" w:name="_Toc240450081"/>
      <w:bookmarkStart w:id="106" w:name="_Toc24492"/>
      <w:r>
        <w:rPr>
          <w:rFonts w:hint="eastAsia" w:ascii="宋体" w:hAnsi="宋体" w:eastAsia="宋体" w:cs="宋体"/>
          <w:color w:val="auto"/>
          <w:sz w:val="24"/>
          <w:szCs w:val="24"/>
          <w:highlight w:val="none"/>
        </w:rPr>
        <w:t>五、开标与评标</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07D975A1">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20、开标</w:t>
      </w:r>
    </w:p>
    <w:p w14:paraId="6545E166">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20.1 采购人将于前附表规定的时间和地点公开开标。若采购人按本须知第6条规定，通过修改采购文件更改了开标时间和地点的，以后者为准。</w:t>
      </w:r>
    </w:p>
    <w:p w14:paraId="5390262F">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20.2开评标期间，投标人代表应在线操作，并关注</w:t>
      </w:r>
      <w:r>
        <w:rPr>
          <w:rFonts w:hint="eastAsia" w:ascii="宋体" w:hAnsi="宋体" w:eastAsia="宋体" w:cs="宋体"/>
          <w:snapToGrid w:val="0"/>
          <w:color w:val="auto"/>
          <w:kern w:val="0"/>
          <w:sz w:val="24"/>
          <w:szCs w:val="24"/>
          <w:highlight w:val="none"/>
          <w:lang w:eastAsia="zh-CN"/>
        </w:rPr>
        <w:t>乐采云</w:t>
      </w:r>
      <w:r>
        <w:rPr>
          <w:rFonts w:hint="eastAsia" w:ascii="宋体" w:hAnsi="宋体" w:eastAsia="宋体" w:cs="宋体"/>
          <w:snapToGrid w:val="0"/>
          <w:color w:val="auto"/>
          <w:kern w:val="0"/>
          <w:sz w:val="24"/>
          <w:szCs w:val="24"/>
          <w:highlight w:val="none"/>
        </w:rPr>
        <w:t>有关信息公布、澄清等情况。投标人代表不参加开标程序的，事后不得对采购相关人员、开标过程和开标结果提出异议。</w:t>
      </w:r>
    </w:p>
    <w:p w14:paraId="4371A226">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20.3 开评标程序</w:t>
      </w:r>
    </w:p>
    <w:p w14:paraId="5AB7F49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后，采购代理机构点击【开始解密】，投标人应在30分钟内（以电子交易平台设定的时间为准）完成解密。投标人在规定的时间内都已完成解密，则系统自动结束解密；投标人超过解密时限，默认自动放弃；投标人在规定的时间内无法成功解密已递交的“电子加密投标文件”时，如已按规定递交了备份投标文件的，采购代理机构通过【异常处理】端口将备份投标文件上传至“</w:t>
      </w:r>
      <w:r>
        <w:rPr>
          <w:rFonts w:hint="eastAsia" w:ascii="宋体" w:hAnsi="宋体" w:eastAsia="宋体" w:cs="宋体"/>
          <w:color w:val="auto"/>
          <w:sz w:val="24"/>
          <w:szCs w:val="24"/>
          <w:highlight w:val="none"/>
          <w:lang w:eastAsia="zh-CN"/>
        </w:rPr>
        <w:t>乐采云平台</w:t>
      </w:r>
      <w:r>
        <w:rPr>
          <w:rFonts w:hint="eastAsia" w:ascii="宋体" w:hAnsi="宋体" w:eastAsia="宋体" w:cs="宋体"/>
          <w:color w:val="auto"/>
          <w:sz w:val="24"/>
          <w:szCs w:val="24"/>
          <w:highlight w:val="none"/>
        </w:rPr>
        <w:t>”，并成功解密后，“电子加密投标文件”自动失效；</w:t>
      </w:r>
    </w:p>
    <w:p w14:paraId="437507D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（2）结束解密后，投标人通过邮件形式将经授权代表签署的《采购活动现场确认声明书》（格式见采购文件第七部分，采购文件最后一页内容）扫描件发至代理机构经办人邮箱（邮箱地址：</w:t>
      </w:r>
      <w:r>
        <w:rPr>
          <w:rStyle w:val="53"/>
          <w:rFonts w:hint="eastAsia" w:ascii="宋体" w:hAnsi="宋体" w:eastAsia="宋体" w:cs="宋体"/>
          <w:color w:val="auto"/>
          <w:sz w:val="24"/>
          <w:szCs w:val="24"/>
          <w:highlight w:val="none"/>
        </w:rPr>
        <w:t>524416712</w:t>
      </w:r>
      <w:r>
        <w:rPr>
          <w:rFonts w:hint="eastAsia" w:ascii="宋体" w:hAnsi="宋体" w:eastAsia="宋体" w:cs="宋体"/>
          <w:color w:val="auto"/>
          <w:sz w:val="24"/>
          <w:szCs w:val="24"/>
          <w:highlight w:val="none"/>
        </w:rPr>
        <w:t>@qq.com）；</w:t>
      </w:r>
    </w:p>
    <w:p w14:paraId="0FCB4550">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（3）采购代理机构点击【开启标书信息】，开启投标文件成功后进入资格性审查阶段；</w:t>
      </w:r>
    </w:p>
    <w:p w14:paraId="018D510F">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采购人或采购代理机构将依据法律法规和本须知第9.1条规定对投标人的基本资格条件、特定资格条件进行审查。</w:t>
      </w:r>
    </w:p>
    <w:p w14:paraId="23E2C1FB">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投标人未按照采购文件投标须知9.1条要求提供与基本资格条件、特定资格条件相应的有效资格材料的，视为投标人不具备采购文件中规定的资格要求，其资格审查不通过。</w:t>
      </w:r>
    </w:p>
    <w:p w14:paraId="5F62A17A">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（4）符合性检查。依据采购文件的规定，从投标文件的有效性、完整性和对采购文件的响应程度进行审查，以确定是否对采购文件的实质性要求</w:t>
      </w:r>
      <w:r>
        <w:rPr>
          <w:rFonts w:hint="eastAsia" w:ascii="宋体"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rPr>
        <w:t>响应。具体审查内容见投标须知22条“无效投标的认定”。</w:t>
      </w:r>
    </w:p>
    <w:p w14:paraId="64194166">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评标委员会决定投标文件的响应性只根据投标文件本身的内容，而不寻求外部证据。</w:t>
      </w:r>
    </w:p>
    <w:p w14:paraId="1C6A8850">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如果投标文件没有实质上响应采购文件的要求，评标委员会将判定无效，投标人不得通过修改或撤销不合要求的偏离或保留而使其投标成为实质性响应的投标。</w:t>
      </w:r>
    </w:p>
    <w:p w14:paraId="3F73B700">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（5）开启资格审查、符合性审查通过的投标人的商务技术文件进入商务技术评审；</w:t>
      </w:r>
    </w:p>
    <w:p w14:paraId="7819D126">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评标委员会按采购文件中规定的评标方法和标准，对资格性检查和符合性检查合格的投标文件进行技术商务审核、讨论及评议。</w:t>
      </w:r>
    </w:p>
    <w:p w14:paraId="0829692E">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（6）商务技术评审结束后，举行开标程序第二阶段会议。首先通过在线平台公布符合性审查、商务技术评审无效投标人名称及理由；公布经商务技术评审后有效投标人的名单。</w:t>
      </w:r>
    </w:p>
    <w:p w14:paraId="41C5B28D">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开启符合性审查、商务技术评审有效投标人的《报价投标文件》，代理机构通过在线平台公布开标一览表有关内容，投标人在在线平台签字确认《开标记录》（不予确认的应说明理由，否则视为无异议）。报价投标文件开标结束后，由评标委员会对报价的合理性、准确性等进行审查核实。</w:t>
      </w:r>
    </w:p>
    <w:p w14:paraId="4714C618">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（8）按采购文件中规定的评标方法和标准，对投标人进行排序，并推荐中标候选人。</w:t>
      </w:r>
    </w:p>
    <w:p w14:paraId="10E272F2">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（9）编写评标报告</w:t>
      </w:r>
      <w:r>
        <w:rPr>
          <w:rFonts w:hint="eastAsia" w:ascii="宋体" w:hAnsi="宋体" w:eastAsia="宋体" w:cs="宋体"/>
          <w:bCs/>
          <w:color w:val="auto"/>
          <w:sz w:val="24"/>
          <w:szCs w:val="24"/>
          <w:highlight w:val="none"/>
        </w:rPr>
        <w:t>。</w:t>
      </w:r>
    </w:p>
    <w:p w14:paraId="69256D2D">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（10）评审结束后，投标人可通过在线平台查看评审结果、排名情况等。</w:t>
      </w:r>
    </w:p>
    <w:p w14:paraId="10EC872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注：①如遇“</w:t>
      </w:r>
      <w:r>
        <w:rPr>
          <w:rFonts w:hint="eastAsia" w:ascii="宋体" w:hAnsi="宋体" w:eastAsia="宋体" w:cs="宋体"/>
          <w:b/>
          <w:bCs/>
          <w:color w:val="auto"/>
          <w:sz w:val="24"/>
          <w:szCs w:val="24"/>
          <w:highlight w:val="none"/>
          <w:lang w:eastAsia="zh-CN"/>
        </w:rPr>
        <w:t>乐采云平台</w:t>
      </w:r>
      <w:r>
        <w:rPr>
          <w:rFonts w:hint="eastAsia" w:ascii="宋体" w:hAnsi="宋体" w:eastAsia="宋体" w:cs="宋体"/>
          <w:b/>
          <w:bCs/>
          <w:color w:val="auto"/>
          <w:sz w:val="24"/>
          <w:szCs w:val="24"/>
          <w:highlight w:val="none"/>
        </w:rPr>
        <w:t>”电子化开标或评审程序调整的，或者</w:t>
      </w:r>
      <w:r>
        <w:rPr>
          <w:rFonts w:hint="eastAsia" w:ascii="宋体" w:hAnsi="宋体" w:eastAsia="宋体" w:cs="宋体"/>
          <w:b/>
          <w:bCs/>
          <w:color w:val="auto"/>
          <w:sz w:val="24"/>
          <w:szCs w:val="24"/>
          <w:highlight w:val="none"/>
          <w:lang w:eastAsia="zh-CN"/>
        </w:rPr>
        <w:t>乐采云</w:t>
      </w:r>
      <w:r>
        <w:rPr>
          <w:rFonts w:hint="eastAsia" w:ascii="宋体" w:hAnsi="宋体" w:eastAsia="宋体" w:cs="宋体"/>
          <w:b/>
          <w:bCs/>
          <w:color w:val="auto"/>
          <w:sz w:val="24"/>
          <w:szCs w:val="24"/>
          <w:highlight w:val="none"/>
        </w:rPr>
        <w:t>系统提供数据电文交互功能的，按其规定执行。</w:t>
      </w:r>
    </w:p>
    <w:p w14:paraId="30B1289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②除邮件交互外，如</w:t>
      </w:r>
      <w:r>
        <w:rPr>
          <w:rFonts w:hint="eastAsia" w:ascii="宋体" w:hAnsi="宋体" w:eastAsia="宋体" w:cs="宋体"/>
          <w:b/>
          <w:bCs/>
          <w:color w:val="auto"/>
          <w:sz w:val="24"/>
          <w:szCs w:val="24"/>
          <w:highlight w:val="none"/>
          <w:lang w:eastAsia="zh-CN"/>
        </w:rPr>
        <w:t>乐采云</w:t>
      </w:r>
      <w:r>
        <w:rPr>
          <w:rFonts w:hint="eastAsia" w:ascii="宋体" w:hAnsi="宋体" w:eastAsia="宋体" w:cs="宋体"/>
          <w:b/>
          <w:bCs/>
          <w:color w:val="auto"/>
          <w:sz w:val="24"/>
          <w:szCs w:val="24"/>
          <w:highlight w:val="none"/>
        </w:rPr>
        <w:t>平台提供信息发布、澄清说明、数据交换等操作方式的，或者</w:t>
      </w:r>
      <w:r>
        <w:rPr>
          <w:rFonts w:hint="eastAsia" w:ascii="宋体" w:hAnsi="宋体" w:eastAsia="宋体" w:cs="宋体"/>
          <w:b/>
          <w:bCs/>
          <w:color w:val="auto"/>
          <w:sz w:val="24"/>
          <w:szCs w:val="24"/>
          <w:highlight w:val="none"/>
          <w:lang w:eastAsia="zh-CN"/>
        </w:rPr>
        <w:t>乐采云</w:t>
      </w:r>
      <w:r>
        <w:rPr>
          <w:rFonts w:hint="eastAsia" w:ascii="宋体" w:hAnsi="宋体" w:eastAsia="宋体" w:cs="宋体"/>
          <w:b/>
          <w:bCs/>
          <w:color w:val="auto"/>
          <w:sz w:val="24"/>
          <w:szCs w:val="24"/>
          <w:highlight w:val="none"/>
        </w:rPr>
        <w:t>系统平台有新的操作流程的，按其规定。</w:t>
      </w:r>
    </w:p>
    <w:p w14:paraId="3110CA0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21、评标</w:t>
      </w:r>
    </w:p>
    <w:p w14:paraId="33FED6C4">
      <w:pPr>
        <w:pageBreakBefore w:val="0"/>
        <w:kinsoku/>
        <w:wordWrap/>
        <w:overflowPunct/>
        <w:topLinePunct w:val="0"/>
        <w:bidi w:val="0"/>
        <w:adjustRightInd w:val="0"/>
        <w:snapToGrid w:val="0"/>
        <w:spacing w:line="400" w:lineRule="exact"/>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21.1 评标组织</w:t>
      </w:r>
    </w:p>
    <w:p w14:paraId="2282B7B7">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本项目评标委员会由采购人代表和评审专家组成，成员人数为</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或以上单数，其中评审专家不得少于成员总数的三分之二。</w:t>
      </w:r>
    </w:p>
    <w:p w14:paraId="58F80714">
      <w:pPr>
        <w:pageBreakBefore w:val="0"/>
        <w:kinsoku/>
        <w:wordWrap/>
        <w:overflowPunct/>
        <w:topLinePunct w:val="0"/>
        <w:bidi w:val="0"/>
        <w:adjustRightInd w:val="0"/>
        <w:snapToGrid w:val="0"/>
        <w:spacing w:line="400" w:lineRule="exact"/>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21.2评标纪律</w:t>
      </w:r>
    </w:p>
    <w:p w14:paraId="34C282B1">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本次评标工作将在严格保密的情况下进行，评标委员会成员名单在定标前将保密。</w:t>
      </w:r>
    </w:p>
    <w:p w14:paraId="543EE6B7">
      <w:pPr>
        <w:pageBreakBefore w:val="0"/>
        <w:kinsoku/>
        <w:wordWrap/>
        <w:overflowPunct/>
        <w:topLinePunct w:val="0"/>
        <w:bidi w:val="0"/>
        <w:adjustRightInd w:val="0"/>
        <w:snapToGrid w:val="0"/>
        <w:spacing w:line="400" w:lineRule="exact"/>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21.3评标办法</w:t>
      </w:r>
    </w:p>
    <w:p w14:paraId="003B0787">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采用最低</w:t>
      </w:r>
      <w:r>
        <w:rPr>
          <w:rFonts w:hint="eastAsia" w:ascii="宋体" w:hAnsi="宋体" w:eastAsia="宋体" w:cs="宋体"/>
          <w:color w:val="auto"/>
          <w:sz w:val="24"/>
          <w:szCs w:val="24"/>
          <w:highlight w:val="none"/>
          <w:lang w:eastAsia="zh-CN"/>
        </w:rPr>
        <w:t>评标价法</w:t>
      </w:r>
      <w:r>
        <w:rPr>
          <w:rFonts w:hint="eastAsia" w:ascii="宋体" w:hAnsi="宋体" w:eastAsia="宋体" w:cs="宋体"/>
          <w:color w:val="auto"/>
          <w:sz w:val="24"/>
          <w:szCs w:val="24"/>
          <w:highlight w:val="none"/>
        </w:rPr>
        <w:t>，详见采购文件第五部分“评标办法”。</w:t>
      </w:r>
    </w:p>
    <w:p w14:paraId="6CD0BC19">
      <w:pPr>
        <w:pageBreakBefore w:val="0"/>
        <w:kinsoku/>
        <w:wordWrap/>
        <w:overflowPunct/>
        <w:topLinePunct w:val="0"/>
        <w:bidi w:val="0"/>
        <w:adjustRightInd w:val="0"/>
        <w:snapToGrid w:val="0"/>
        <w:spacing w:line="400" w:lineRule="exact"/>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21.4 澄清有关问题</w:t>
      </w:r>
    </w:p>
    <w:p w14:paraId="49C7D317">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14:paraId="73A69804">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投标人的澄清、说明或者补正应当由法定代表人或其授权的代表签字（或加盖公章）后扫描上传提交。</w:t>
      </w:r>
    </w:p>
    <w:p w14:paraId="7B49FD65">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授权代表对澄清、说明或者补正内容未签字确认的，将自行承担由此可能导致的对其不利的评审结果，评标委员会按少数服从多数原则对相关内容进行评判。</w:t>
      </w:r>
    </w:p>
    <w:p w14:paraId="2503CF62">
      <w:pPr>
        <w:pageBreakBefore w:val="0"/>
        <w:kinsoku/>
        <w:wordWrap/>
        <w:overflowPunct/>
        <w:topLinePunct w:val="0"/>
        <w:bidi w:val="0"/>
        <w:adjustRightInd w:val="0"/>
        <w:snapToGrid w:val="0"/>
        <w:spacing w:line="400" w:lineRule="exact"/>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21.5修正原则</w:t>
      </w:r>
    </w:p>
    <w:p w14:paraId="7F01E784">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投标文件报价出现前后不一致的，按照下列规定修正：</w:t>
      </w:r>
    </w:p>
    <w:p w14:paraId="050D133A">
      <w:pPr>
        <w:pageBreakBefore w:val="0"/>
        <w:numPr>
          <w:ilvl w:val="0"/>
          <w:numId w:val="7"/>
        </w:numPr>
        <w:tabs>
          <w:tab w:val="left" w:pos="630"/>
          <w:tab w:val="left" w:pos="840"/>
          <w:tab w:val="left" w:pos="1050"/>
        </w:tabs>
        <w:kinsoku/>
        <w:wordWrap/>
        <w:overflowPunct/>
        <w:topLinePunct w:val="0"/>
        <w:bidi w:val="0"/>
        <w:adjustRightInd w:val="0"/>
        <w:snapToGrid w:val="0"/>
        <w:spacing w:line="400" w:lineRule="exact"/>
        <w:ind w:left="0" w:leftChars="0" w:firstLine="63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投标文件中开标一览表内容与投标文件中相应内容不一致的，以开标一览表为准；</w:t>
      </w:r>
    </w:p>
    <w:p w14:paraId="3A0BE245">
      <w:pPr>
        <w:pageBreakBefore w:val="0"/>
        <w:numPr>
          <w:ilvl w:val="0"/>
          <w:numId w:val="7"/>
        </w:numPr>
        <w:tabs>
          <w:tab w:val="left" w:pos="630"/>
          <w:tab w:val="left" w:pos="840"/>
          <w:tab w:val="left" w:pos="1050"/>
        </w:tabs>
        <w:kinsoku/>
        <w:wordWrap/>
        <w:overflowPunct/>
        <w:topLinePunct w:val="0"/>
        <w:bidi w:val="0"/>
        <w:adjustRightInd w:val="0"/>
        <w:snapToGrid w:val="0"/>
        <w:spacing w:line="400" w:lineRule="exact"/>
        <w:ind w:left="0" w:leftChars="0" w:firstLine="63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大写金额和小写金额不一致的，以大写金额为准；</w:t>
      </w:r>
    </w:p>
    <w:p w14:paraId="291CA3DC">
      <w:pPr>
        <w:pageBreakBefore w:val="0"/>
        <w:numPr>
          <w:ilvl w:val="0"/>
          <w:numId w:val="7"/>
        </w:numPr>
        <w:tabs>
          <w:tab w:val="left" w:pos="630"/>
          <w:tab w:val="left" w:pos="840"/>
          <w:tab w:val="left" w:pos="1050"/>
        </w:tabs>
        <w:kinsoku/>
        <w:wordWrap/>
        <w:overflowPunct/>
        <w:topLinePunct w:val="0"/>
        <w:bidi w:val="0"/>
        <w:adjustRightInd w:val="0"/>
        <w:snapToGrid w:val="0"/>
        <w:spacing w:line="400" w:lineRule="exact"/>
        <w:ind w:left="0" w:leftChars="0" w:firstLine="63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单价金额小数点或者百分比有明显错位的，以开标一览表的总价为准，并修改单价；</w:t>
      </w:r>
    </w:p>
    <w:p w14:paraId="3B4A0856">
      <w:pPr>
        <w:pageBreakBefore w:val="0"/>
        <w:numPr>
          <w:ilvl w:val="0"/>
          <w:numId w:val="7"/>
        </w:numPr>
        <w:tabs>
          <w:tab w:val="left" w:pos="630"/>
          <w:tab w:val="left" w:pos="840"/>
          <w:tab w:val="left" w:pos="1050"/>
        </w:tabs>
        <w:kinsoku/>
        <w:wordWrap/>
        <w:overflowPunct/>
        <w:topLinePunct w:val="0"/>
        <w:bidi w:val="0"/>
        <w:adjustRightInd w:val="0"/>
        <w:snapToGrid w:val="0"/>
        <w:spacing w:line="400" w:lineRule="exact"/>
        <w:ind w:left="0" w:leftChars="0" w:firstLine="63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总价金额与按单价汇总金额不一致的，以单价金额计算结果为准。</w:t>
      </w:r>
    </w:p>
    <w:p w14:paraId="4DB4CD0D">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按照财政部公布第87号令《政府采购货物和服务招标投标管理办法》第五十一条第二款的规定经投标人确认后产生约束力，投标人不确认的，其投标无效。</w:t>
      </w:r>
    </w:p>
    <w:p w14:paraId="68C5B5A1">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22、无效投标的认定</w:t>
      </w:r>
    </w:p>
    <w:p w14:paraId="1779EB85">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审时，对投标人的资格条件、技术文件、商务资信、报价和其他评审要求等，采购人及采购代理机构对投标人的资格条件进行审查比较，其他由评标委员会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扫描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21121113">
      <w:pPr>
        <w:pageBreakBefore w:val="0"/>
        <w:kinsoku/>
        <w:wordWrap/>
        <w:overflowPunct/>
        <w:topLinePunct w:val="0"/>
        <w:bidi w:val="0"/>
        <w:adjustRightInd w:val="0"/>
        <w:snapToGrid w:val="0"/>
        <w:spacing w:line="400" w:lineRule="exact"/>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22.1资格审查（资格审查由采购人或采购代理机构审查）时，如发现下列情形的，投标文件将被视为无效：</w:t>
      </w:r>
    </w:p>
    <w:p w14:paraId="6DA848FE">
      <w:pPr>
        <w:pageBreakBefore w:val="0"/>
        <w:numPr>
          <w:ilvl w:val="0"/>
          <w:numId w:val="8"/>
        </w:numPr>
        <w:kinsoku/>
        <w:wordWrap/>
        <w:overflowPunct/>
        <w:topLinePunct w:val="0"/>
        <w:bidi w:val="0"/>
        <w:snapToGrid w:val="0"/>
        <w:spacing w:line="400" w:lineRule="exact"/>
        <w:ind w:left="0" w:leftChars="0" w:firstLine="47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资格审查文件不全的或者不符合采购文件标明的资格要求的或不符合相应法律法规规定的。</w:t>
      </w:r>
    </w:p>
    <w:p w14:paraId="1BDCDD84">
      <w:pPr>
        <w:pageBreakBefore w:val="0"/>
        <w:numPr>
          <w:ilvl w:val="0"/>
          <w:numId w:val="8"/>
        </w:numPr>
        <w:kinsoku/>
        <w:wordWrap/>
        <w:overflowPunct/>
        <w:topLinePunct w:val="0"/>
        <w:bidi w:val="0"/>
        <w:snapToGrid w:val="0"/>
        <w:spacing w:line="400" w:lineRule="exact"/>
        <w:ind w:left="0" w:leftChars="0" w:firstLine="470" w:firstLineChars="0"/>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0"/>
          <w:sz w:val="24"/>
          <w:szCs w:val="24"/>
          <w:highlight w:val="none"/>
        </w:rPr>
        <w:t>未按采购文件中要求签署、盖章的</w:t>
      </w:r>
      <w:r>
        <w:rPr>
          <w:rFonts w:hint="eastAsia" w:ascii="宋体" w:hAnsi="宋体" w:eastAsia="宋体" w:cs="宋体"/>
          <w:bCs/>
          <w:snapToGrid w:val="0"/>
          <w:color w:val="auto"/>
          <w:kern w:val="0"/>
          <w:sz w:val="24"/>
          <w:szCs w:val="24"/>
          <w:highlight w:val="none"/>
          <w:lang w:eastAsia="zh-CN"/>
        </w:rPr>
        <w:t>；</w:t>
      </w:r>
    </w:p>
    <w:p w14:paraId="2D0281C6">
      <w:pPr>
        <w:pageBreakBefore w:val="0"/>
        <w:numPr>
          <w:ilvl w:val="0"/>
          <w:numId w:val="8"/>
        </w:numPr>
        <w:kinsoku/>
        <w:wordWrap/>
        <w:overflowPunct/>
        <w:topLinePunct w:val="0"/>
        <w:bidi w:val="0"/>
        <w:snapToGrid w:val="0"/>
        <w:spacing w:line="400" w:lineRule="exact"/>
        <w:ind w:left="0" w:leftChars="0" w:firstLine="470" w:firstLineChars="0"/>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sz w:val="24"/>
          <w:szCs w:val="24"/>
          <w:highlight w:val="none"/>
        </w:rPr>
        <w:t>未按照招标文件的规定提交投标保证金的</w:t>
      </w:r>
      <w:r>
        <w:rPr>
          <w:rFonts w:hint="eastAsia" w:ascii="宋体" w:hAnsi="宋体" w:eastAsia="宋体" w:cs="宋体"/>
          <w:bCs/>
          <w:snapToGrid w:val="0"/>
          <w:color w:val="auto"/>
          <w:kern w:val="0"/>
          <w:sz w:val="24"/>
          <w:szCs w:val="24"/>
          <w:highlight w:val="none"/>
        </w:rPr>
        <w:t>；</w:t>
      </w:r>
    </w:p>
    <w:p w14:paraId="6516B79D">
      <w:pPr>
        <w:pageBreakBefore w:val="0"/>
        <w:kinsoku/>
        <w:wordWrap/>
        <w:overflowPunct/>
        <w:topLinePunct w:val="0"/>
        <w:bidi w:val="0"/>
        <w:adjustRightInd w:val="0"/>
        <w:snapToGrid w:val="0"/>
        <w:spacing w:line="400" w:lineRule="exact"/>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bCs/>
          <w:snapToGrid w:val="0"/>
          <w:color w:val="auto"/>
          <w:kern w:val="0"/>
          <w:sz w:val="24"/>
          <w:szCs w:val="24"/>
          <w:highlight w:val="none"/>
        </w:rPr>
        <w:t>22.2</w:t>
      </w:r>
      <w:r>
        <w:rPr>
          <w:rFonts w:hint="eastAsia" w:ascii="宋体" w:hAnsi="宋体" w:eastAsia="宋体" w:cs="宋体"/>
          <w:b/>
          <w:bCs/>
          <w:color w:val="auto"/>
          <w:sz w:val="24"/>
          <w:szCs w:val="24"/>
          <w:highlight w:val="none"/>
        </w:rPr>
        <w:t>在</w:t>
      </w:r>
      <w:r>
        <w:rPr>
          <w:rFonts w:hint="eastAsia" w:ascii="宋体" w:hAnsi="宋体" w:eastAsia="宋体" w:cs="宋体"/>
          <w:b/>
          <w:color w:val="auto"/>
          <w:sz w:val="24"/>
          <w:szCs w:val="24"/>
          <w:highlight w:val="none"/>
        </w:rPr>
        <w:t>符合性审查、商务技术、报价评审等时，如发现下列情形之一的，投标文件将被视为无效：</w:t>
      </w:r>
    </w:p>
    <w:p w14:paraId="4333B770">
      <w:pPr>
        <w:pStyle w:val="20"/>
        <w:pageBreakBefore w:val="0"/>
        <w:kinsoku/>
        <w:wordWrap/>
        <w:overflowPunct/>
        <w:topLinePunct w:val="0"/>
        <w:bidi w:val="0"/>
        <w:spacing w:after="0" w:afterLines="0" w:line="400" w:lineRule="exact"/>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22.2.1符合性审查</w:t>
      </w:r>
    </w:p>
    <w:p w14:paraId="75C14117">
      <w:pPr>
        <w:pageBreakBefore w:val="0"/>
        <w:numPr>
          <w:ilvl w:val="0"/>
          <w:numId w:val="8"/>
        </w:numPr>
        <w:kinsoku/>
        <w:wordWrap/>
        <w:overflowPunct/>
        <w:topLinePunct w:val="0"/>
        <w:bidi w:val="0"/>
        <w:snapToGrid w:val="0"/>
        <w:spacing w:line="400" w:lineRule="exact"/>
        <w:ind w:left="0" w:leftChars="0" w:firstLine="470" w:firstLineChars="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投标文件中法定代表人授权书所载内容与本项目内容有异的或者法定代表人授权书未按照采购文件要求签署、盖章的；</w:t>
      </w:r>
    </w:p>
    <w:p w14:paraId="5B3A4A8E">
      <w:pPr>
        <w:pageBreakBefore w:val="0"/>
        <w:numPr>
          <w:ilvl w:val="0"/>
          <w:numId w:val="8"/>
        </w:numPr>
        <w:kinsoku/>
        <w:wordWrap/>
        <w:overflowPunct/>
        <w:topLinePunct w:val="0"/>
        <w:bidi w:val="0"/>
        <w:snapToGrid w:val="0"/>
        <w:spacing w:line="400" w:lineRule="exact"/>
        <w:ind w:left="0" w:leftChars="0" w:firstLine="470" w:firstLineChars="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投标文件内容弄虚作假的；</w:t>
      </w:r>
    </w:p>
    <w:p w14:paraId="5571AFAC">
      <w:pPr>
        <w:pageBreakBefore w:val="0"/>
        <w:numPr>
          <w:ilvl w:val="0"/>
          <w:numId w:val="8"/>
        </w:numPr>
        <w:kinsoku/>
        <w:wordWrap/>
        <w:overflowPunct/>
        <w:topLinePunct w:val="0"/>
        <w:bidi w:val="0"/>
        <w:snapToGrid w:val="0"/>
        <w:spacing w:line="400" w:lineRule="exact"/>
        <w:ind w:left="0" w:leftChars="0" w:firstLine="470" w:firstLineChars="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未按采购文件中要求签署、盖章的；</w:t>
      </w:r>
    </w:p>
    <w:p w14:paraId="40C106E0">
      <w:pPr>
        <w:pageBreakBefore w:val="0"/>
        <w:numPr>
          <w:ilvl w:val="0"/>
          <w:numId w:val="8"/>
        </w:numPr>
        <w:kinsoku/>
        <w:wordWrap/>
        <w:overflowPunct/>
        <w:topLinePunct w:val="0"/>
        <w:bidi w:val="0"/>
        <w:snapToGrid w:val="0"/>
        <w:spacing w:line="400" w:lineRule="exact"/>
        <w:ind w:left="0" w:leftChars="0" w:firstLine="470" w:firstLineChars="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投标文件的实质性内容未使用中文表述、意思表述不明确、前后矛盾或者使用计量单位不符合招标文件要求的（经评标委员会认定并允许其当场更正的笔误除外）。</w:t>
      </w:r>
    </w:p>
    <w:p w14:paraId="7FC8470F">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en-US" w:eastAsia="zh-CN"/>
        </w:rPr>
        <w:t>8</w:t>
      </w:r>
      <w:r>
        <w:rPr>
          <w:rFonts w:hint="eastAsia" w:ascii="宋体" w:hAnsi="宋体" w:eastAsia="宋体" w:cs="宋体"/>
          <w:bCs/>
          <w:snapToGrid w:val="0"/>
          <w:color w:val="auto"/>
          <w:kern w:val="0"/>
          <w:sz w:val="24"/>
          <w:szCs w:val="24"/>
          <w:highlight w:val="none"/>
        </w:rPr>
        <w:t>）存在法律、法规规定及采购文件规定的其它无效情形的。</w:t>
      </w:r>
    </w:p>
    <w:p w14:paraId="158E0CCF">
      <w:pPr>
        <w:pStyle w:val="20"/>
        <w:pageBreakBefore w:val="0"/>
        <w:kinsoku/>
        <w:wordWrap/>
        <w:overflowPunct/>
        <w:topLinePunct w:val="0"/>
        <w:bidi w:val="0"/>
        <w:spacing w:after="0" w:afterLines="0"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22.2.2商务技术审查</w:t>
      </w:r>
    </w:p>
    <w:p w14:paraId="6B66635A">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en-US" w:eastAsia="zh-CN"/>
        </w:rPr>
        <w:t>9</w:t>
      </w:r>
      <w:r>
        <w:rPr>
          <w:rFonts w:hint="eastAsia" w:ascii="宋体" w:hAnsi="宋体" w:eastAsia="宋体" w:cs="宋体"/>
          <w:bCs/>
          <w:snapToGrid w:val="0"/>
          <w:color w:val="auto"/>
          <w:kern w:val="0"/>
          <w:sz w:val="24"/>
          <w:szCs w:val="24"/>
          <w:highlight w:val="none"/>
        </w:rPr>
        <w:t>）投标有效期、交货时间、质保期</w:t>
      </w:r>
      <w:r>
        <w:rPr>
          <w:rFonts w:hint="eastAsia" w:ascii="宋体" w:hAnsi="宋体" w:eastAsia="宋体" w:cs="宋体"/>
          <w:bCs/>
          <w:snapToGrid w:val="0"/>
          <w:color w:val="auto"/>
          <w:kern w:val="0"/>
          <w:sz w:val="24"/>
          <w:szCs w:val="24"/>
          <w:highlight w:val="none"/>
          <w:lang w:eastAsia="zh-CN"/>
        </w:rPr>
        <w:t>、付款方式</w:t>
      </w:r>
      <w:r>
        <w:rPr>
          <w:rFonts w:hint="eastAsia" w:ascii="宋体" w:hAnsi="宋体" w:eastAsia="宋体" w:cs="宋体"/>
          <w:bCs/>
          <w:snapToGrid w:val="0"/>
          <w:color w:val="auto"/>
          <w:kern w:val="0"/>
          <w:sz w:val="24"/>
          <w:szCs w:val="24"/>
          <w:highlight w:val="none"/>
        </w:rPr>
        <w:t>等条款不能满足采购文件要求的；</w:t>
      </w:r>
    </w:p>
    <w:p w14:paraId="635143E4">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en-US" w:eastAsia="zh-CN"/>
        </w:rPr>
        <w:t>10</w:t>
      </w:r>
      <w:r>
        <w:rPr>
          <w:rFonts w:hint="eastAsia" w:ascii="宋体" w:hAnsi="宋体" w:eastAsia="宋体" w:cs="宋体"/>
          <w:bCs/>
          <w:snapToGrid w:val="0"/>
          <w:color w:val="auto"/>
          <w:kern w:val="0"/>
          <w:sz w:val="24"/>
          <w:szCs w:val="24"/>
          <w:highlight w:val="none"/>
        </w:rPr>
        <w:t>）投标文件缺少实质性内容或实质性内容不能满足采购文件要求的；</w:t>
      </w:r>
    </w:p>
    <w:p w14:paraId="7F22711F">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en-US" w:eastAsia="zh-CN"/>
        </w:rPr>
        <w:t>11</w:t>
      </w:r>
      <w:r>
        <w:rPr>
          <w:rFonts w:hint="eastAsia" w:ascii="宋体" w:hAnsi="宋体" w:eastAsia="宋体" w:cs="宋体"/>
          <w:bCs/>
          <w:snapToGrid w:val="0"/>
          <w:color w:val="auto"/>
          <w:kern w:val="0"/>
          <w:sz w:val="24"/>
          <w:szCs w:val="24"/>
          <w:highlight w:val="none"/>
        </w:rPr>
        <w:t>）在技术商务标中出现投标报价的；</w:t>
      </w:r>
    </w:p>
    <w:p w14:paraId="37737741">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lang w:val="en-US" w:eastAsia="zh-CN"/>
        </w:rPr>
        <w:t>2</w:t>
      </w:r>
      <w:r>
        <w:rPr>
          <w:rFonts w:hint="eastAsia" w:ascii="宋体" w:hAnsi="宋体" w:eastAsia="宋体" w:cs="宋体"/>
          <w:bCs/>
          <w:snapToGrid w:val="0"/>
          <w:color w:val="auto"/>
          <w:kern w:val="0"/>
          <w:sz w:val="24"/>
          <w:szCs w:val="24"/>
          <w:highlight w:val="none"/>
        </w:rPr>
        <w:t>）明显不符合招标文件要求的规格型号、质量标准，或者与招标文件中标“▲”的技术指标、主要功能项目发生实质性偏离的；</w:t>
      </w:r>
    </w:p>
    <w:p w14:paraId="0319E914">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lang w:val="en-US" w:eastAsia="zh-CN"/>
        </w:rPr>
        <w:t>3</w:t>
      </w:r>
      <w:r>
        <w:rPr>
          <w:rFonts w:hint="eastAsia" w:ascii="宋体" w:hAnsi="宋体" w:eastAsia="宋体" w:cs="宋体"/>
          <w:bCs/>
          <w:snapToGrid w:val="0"/>
          <w:color w:val="auto"/>
          <w:kern w:val="0"/>
          <w:sz w:val="24"/>
          <w:szCs w:val="24"/>
          <w:highlight w:val="none"/>
        </w:rPr>
        <w:t>）允许偏离的技术、性能指标或者辅助功能项目发生负偏离，评委认为偏离整个项目所要达到的主要功能需求的；</w:t>
      </w:r>
    </w:p>
    <w:p w14:paraId="40A2D343">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lang w:val="en-US" w:eastAsia="zh-CN"/>
        </w:rPr>
        <w:t>4</w:t>
      </w:r>
      <w:r>
        <w:rPr>
          <w:rFonts w:hint="eastAsia" w:ascii="宋体" w:hAnsi="宋体" w:eastAsia="宋体" w:cs="宋体"/>
          <w:bCs/>
          <w:snapToGrid w:val="0"/>
          <w:color w:val="auto"/>
          <w:kern w:val="0"/>
          <w:sz w:val="24"/>
          <w:szCs w:val="24"/>
          <w:highlight w:val="none"/>
        </w:rPr>
        <w:t>）技术标投标规格、数量等与招标需求中规格、数量等不一致的；</w:t>
      </w:r>
    </w:p>
    <w:p w14:paraId="240C203B">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lang w:val="en-US" w:eastAsia="zh-CN"/>
        </w:rPr>
        <w:t>5</w:t>
      </w:r>
      <w:r>
        <w:rPr>
          <w:rFonts w:hint="eastAsia" w:ascii="宋体" w:hAnsi="宋体" w:eastAsia="宋体" w:cs="宋体"/>
          <w:bCs/>
          <w:snapToGrid w:val="0"/>
          <w:color w:val="auto"/>
          <w:kern w:val="0"/>
          <w:sz w:val="24"/>
          <w:szCs w:val="24"/>
          <w:highlight w:val="none"/>
        </w:rPr>
        <w:t>）投标技术方案不明确，存在一个或一个以上备选（替代）投标方案的；</w:t>
      </w:r>
    </w:p>
    <w:p w14:paraId="7ABF53AC">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lang w:val="en-US" w:eastAsia="zh-CN"/>
        </w:rPr>
        <w:t>6</w:t>
      </w:r>
      <w:r>
        <w:rPr>
          <w:rFonts w:hint="eastAsia" w:ascii="宋体" w:hAnsi="宋体" w:eastAsia="宋体" w:cs="宋体"/>
          <w:bCs/>
          <w:snapToGrid w:val="0"/>
          <w:color w:val="auto"/>
          <w:kern w:val="0"/>
          <w:sz w:val="24"/>
          <w:szCs w:val="24"/>
          <w:highlight w:val="none"/>
        </w:rPr>
        <w:t>）投标货物的技术规范、技术标准明显不符合国家强制性要求的。</w:t>
      </w:r>
    </w:p>
    <w:p w14:paraId="0EDDE97E">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lang w:val="en-US" w:eastAsia="zh-CN"/>
        </w:rPr>
        <w:t>7</w:t>
      </w:r>
      <w:r>
        <w:rPr>
          <w:rFonts w:hint="eastAsia" w:ascii="宋体" w:hAnsi="宋体" w:eastAsia="宋体" w:cs="宋体"/>
          <w:bCs/>
          <w:snapToGrid w:val="0"/>
          <w:color w:val="auto"/>
          <w:kern w:val="0"/>
          <w:sz w:val="24"/>
          <w:szCs w:val="24"/>
          <w:highlight w:val="none"/>
        </w:rPr>
        <w:t>）存在法律、法规规定及采购文件规定的其它无效情形的。</w:t>
      </w:r>
    </w:p>
    <w:p w14:paraId="211CF7AA">
      <w:pPr>
        <w:pStyle w:val="20"/>
        <w:pageBreakBefore w:val="0"/>
        <w:kinsoku/>
        <w:wordWrap/>
        <w:overflowPunct/>
        <w:topLinePunct w:val="0"/>
        <w:bidi w:val="0"/>
        <w:spacing w:after="0" w:afterLines="0" w:line="400" w:lineRule="exact"/>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22.2.3报价审查</w:t>
      </w:r>
    </w:p>
    <w:p w14:paraId="041B04B6">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lang w:val="en-US" w:eastAsia="zh-CN"/>
        </w:rPr>
        <w:t>8</w:t>
      </w:r>
      <w:r>
        <w:rPr>
          <w:rFonts w:hint="eastAsia" w:ascii="宋体" w:hAnsi="宋体" w:eastAsia="宋体" w:cs="宋体"/>
          <w:bCs/>
          <w:snapToGrid w:val="0"/>
          <w:color w:val="auto"/>
          <w:kern w:val="0"/>
          <w:sz w:val="24"/>
          <w:szCs w:val="24"/>
          <w:highlight w:val="none"/>
        </w:rPr>
        <w:t>）开标一览表投标报价为零的（包括投标文件中标明：免费或赠予）或其报价（大写）无法按正常书写方式进行报价唱标的或无投标报价的；</w:t>
      </w:r>
    </w:p>
    <w:p w14:paraId="7417FC6F">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lang w:val="en-US" w:eastAsia="zh-CN"/>
        </w:rPr>
        <w:t>9</w:t>
      </w:r>
      <w:r>
        <w:rPr>
          <w:rFonts w:hint="eastAsia" w:ascii="宋体" w:hAnsi="宋体" w:eastAsia="宋体" w:cs="宋体"/>
          <w:bCs/>
          <w:snapToGrid w:val="0"/>
          <w:color w:val="auto"/>
          <w:kern w:val="0"/>
          <w:sz w:val="24"/>
          <w:szCs w:val="24"/>
          <w:highlight w:val="none"/>
        </w:rPr>
        <w:t>）投标人提交两份或多份内容不同的报价投标文件，或在一份报价投标文件中对同一内容报有两个或多个报价，且未声明哪一个为最终报价的；</w:t>
      </w:r>
    </w:p>
    <w:p w14:paraId="50FA2447">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en-US" w:eastAsia="zh-CN"/>
        </w:rPr>
        <w:t>20</w:t>
      </w:r>
      <w:r>
        <w:rPr>
          <w:rFonts w:hint="eastAsia" w:ascii="宋体" w:hAnsi="宋体" w:eastAsia="宋体" w:cs="宋体"/>
          <w:bCs/>
          <w:snapToGrid w:val="0"/>
          <w:color w:val="auto"/>
          <w:kern w:val="0"/>
          <w:sz w:val="24"/>
          <w:szCs w:val="24"/>
          <w:highlight w:val="none"/>
        </w:rPr>
        <w:t>）投标人的报价明显低于其他通过符合性审查投标人的报价，有可能影响产品质量或者不能诚信履约，且未能按评标委员会要求在合理的时间内提供书面说明及相关证明材料以证明其报价合理性的；</w:t>
      </w:r>
    </w:p>
    <w:p w14:paraId="5BF6CE28">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en-US" w:eastAsia="zh-CN"/>
        </w:rPr>
        <w:t>21</w:t>
      </w:r>
      <w:r>
        <w:rPr>
          <w:rFonts w:hint="eastAsia" w:ascii="宋体" w:hAnsi="宋体" w:eastAsia="宋体" w:cs="宋体"/>
          <w:bCs/>
          <w:snapToGrid w:val="0"/>
          <w:color w:val="auto"/>
          <w:kern w:val="0"/>
          <w:sz w:val="24"/>
          <w:szCs w:val="24"/>
          <w:highlight w:val="none"/>
        </w:rPr>
        <w:t>）投标报价未包含全部采购内容或超过采购文件中规定的</w:t>
      </w:r>
      <w:r>
        <w:rPr>
          <w:rFonts w:hint="eastAsia" w:ascii="宋体" w:hAnsi="宋体" w:eastAsia="宋体" w:cs="宋体"/>
          <w:bCs/>
          <w:snapToGrid w:val="0"/>
          <w:color w:val="auto"/>
          <w:kern w:val="0"/>
          <w:sz w:val="24"/>
          <w:szCs w:val="24"/>
          <w:highlight w:val="none"/>
          <w:lang w:eastAsia="zh-CN"/>
        </w:rPr>
        <w:t>最高限价</w:t>
      </w:r>
      <w:r>
        <w:rPr>
          <w:rFonts w:hint="eastAsia" w:ascii="宋体" w:hAnsi="宋体" w:eastAsia="宋体" w:cs="宋体"/>
          <w:bCs/>
          <w:snapToGrid w:val="0"/>
          <w:color w:val="auto"/>
          <w:kern w:val="0"/>
          <w:sz w:val="24"/>
          <w:szCs w:val="24"/>
          <w:highlight w:val="none"/>
        </w:rPr>
        <w:t>金额的。</w:t>
      </w:r>
    </w:p>
    <w:p w14:paraId="7E488A15">
      <w:pPr>
        <w:pageBreakBefore w:val="0"/>
        <w:kinsoku/>
        <w:wordWrap/>
        <w:overflowPunct/>
        <w:topLinePunct w:val="0"/>
        <w:bidi w:val="0"/>
        <w:snapToGrid w:val="0"/>
        <w:spacing w:line="400" w:lineRule="exact"/>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w:t>
      </w:r>
      <w:r>
        <w:rPr>
          <w:rFonts w:hint="eastAsia" w:ascii="宋体" w:hAnsi="宋体" w:eastAsia="宋体" w:cs="宋体"/>
          <w:bCs/>
          <w:snapToGrid w:val="0"/>
          <w:color w:val="auto"/>
          <w:kern w:val="0"/>
          <w:sz w:val="24"/>
          <w:szCs w:val="24"/>
          <w:highlight w:val="none"/>
          <w:lang w:val="en-US" w:eastAsia="zh-CN"/>
        </w:rPr>
        <w:t>2</w:t>
      </w:r>
      <w:r>
        <w:rPr>
          <w:rFonts w:hint="eastAsia" w:ascii="宋体" w:hAnsi="宋体" w:eastAsia="宋体" w:cs="宋体"/>
          <w:bCs/>
          <w:snapToGrid w:val="0"/>
          <w:color w:val="auto"/>
          <w:kern w:val="0"/>
          <w:sz w:val="24"/>
          <w:szCs w:val="24"/>
          <w:highlight w:val="none"/>
        </w:rPr>
        <w:t>）存在法律</w:t>
      </w:r>
      <w:r>
        <w:rPr>
          <w:rFonts w:hint="eastAsia" w:ascii="宋体" w:hAnsi="宋体" w:eastAsia="宋体" w:cs="宋体"/>
          <w:color w:val="auto"/>
          <w:sz w:val="24"/>
          <w:szCs w:val="24"/>
          <w:highlight w:val="none"/>
        </w:rPr>
        <w:t>、法规规定及采购文件规定的其它无效情形的。</w:t>
      </w:r>
    </w:p>
    <w:p w14:paraId="2648D06C">
      <w:pPr>
        <w:pageBreakBefore w:val="0"/>
        <w:kinsoku/>
        <w:wordWrap/>
        <w:overflowPunct/>
        <w:topLinePunct w:val="0"/>
        <w:bidi w:val="0"/>
        <w:adjustRightInd w:val="0"/>
        <w:snapToGrid w:val="0"/>
        <w:spacing w:line="400" w:lineRule="exact"/>
        <w:ind w:left="0" w:leftChars="0" w:firstLine="482" w:firstLineChars="200"/>
        <w:jc w:val="lef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22.3有下列情形之一的，视为投标人串通投标，其投标无效：</w:t>
      </w:r>
    </w:p>
    <w:p w14:paraId="7CAC9399">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（1）不同投标人的投标文件由同一单位或者个人编制；</w:t>
      </w:r>
    </w:p>
    <w:p w14:paraId="218824BB">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（2）不同投标人委托同一单位或者个人办理投标事宜；</w:t>
      </w:r>
    </w:p>
    <w:p w14:paraId="6B1711AB">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（3）不同投标人的投标文件载明的项目管理成员或者联系人员为同一人；</w:t>
      </w:r>
    </w:p>
    <w:p w14:paraId="26CB0F5F">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（4）不同投标人的投标文件异常一致或者投标报价呈规律性差异；</w:t>
      </w:r>
    </w:p>
    <w:p w14:paraId="7DEF1CDA">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（5）不同投标人的投标文件相互混装。</w:t>
      </w:r>
    </w:p>
    <w:p w14:paraId="205F182A">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23、废标</w:t>
      </w:r>
    </w:p>
    <w:p w14:paraId="75312B85">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23.1出现下列情形之一的，应予以废标：</w:t>
      </w:r>
    </w:p>
    <w:p w14:paraId="514D320E">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（1）符合专业条件的投标人或者对采购文件</w:t>
      </w:r>
      <w:r>
        <w:rPr>
          <w:rFonts w:hint="eastAsia" w:ascii="宋体" w:hAnsi="宋体" w:eastAsia="宋体" w:cs="宋体"/>
          <w:snapToGrid w:val="0"/>
          <w:color w:val="auto"/>
          <w:kern w:val="0"/>
          <w:sz w:val="24"/>
          <w:szCs w:val="24"/>
          <w:highlight w:val="none"/>
          <w:lang w:eastAsia="zh-CN"/>
        </w:rPr>
        <w:t>做</w:t>
      </w:r>
      <w:r>
        <w:rPr>
          <w:rFonts w:hint="eastAsia" w:ascii="宋体" w:hAnsi="宋体" w:eastAsia="宋体" w:cs="宋体"/>
          <w:snapToGrid w:val="0"/>
          <w:color w:val="auto"/>
          <w:kern w:val="0"/>
          <w:sz w:val="24"/>
          <w:szCs w:val="24"/>
          <w:highlight w:val="none"/>
        </w:rPr>
        <w:t>实质响应的投标人不足三家的；</w:t>
      </w:r>
    </w:p>
    <w:p w14:paraId="639737C1">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（2）出现影响采购公正的违法、违规行为的；</w:t>
      </w:r>
    </w:p>
    <w:p w14:paraId="60B441EE">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（3）所有投标人的报价均超过了采购</w:t>
      </w:r>
      <w:r>
        <w:rPr>
          <w:rFonts w:hint="eastAsia" w:ascii="宋体" w:hAnsi="宋体" w:eastAsia="宋体" w:cs="宋体"/>
          <w:snapToGrid w:val="0"/>
          <w:color w:val="auto"/>
          <w:kern w:val="0"/>
          <w:sz w:val="24"/>
          <w:szCs w:val="24"/>
          <w:highlight w:val="none"/>
          <w:lang w:eastAsia="zh-CN"/>
        </w:rPr>
        <w:t>最高限价</w:t>
      </w:r>
      <w:r>
        <w:rPr>
          <w:rFonts w:hint="eastAsia" w:ascii="宋体" w:hAnsi="宋体" w:eastAsia="宋体" w:cs="宋体"/>
          <w:snapToGrid w:val="0"/>
          <w:color w:val="auto"/>
          <w:kern w:val="0"/>
          <w:sz w:val="24"/>
          <w:szCs w:val="24"/>
          <w:highlight w:val="none"/>
        </w:rPr>
        <w:t>，采购人不能支付的；</w:t>
      </w:r>
    </w:p>
    <w:p w14:paraId="56140F56">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（4）因重大变故，采购任务取消的。</w:t>
      </w:r>
    </w:p>
    <w:p w14:paraId="338D487E">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23.2采购过程中出现以下情形，导致电子交易平台无法正常运行，或者无法保证电子交易的公平、公正和安全时，采购组织机构可中止电子交易活动：</w:t>
      </w:r>
    </w:p>
    <w:p w14:paraId="29FAFD16">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（1）电子交易平台发生故障而无法登录访问的； </w:t>
      </w:r>
    </w:p>
    <w:p w14:paraId="6606806D">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（2）电子交易平台应用或数据库出现错误，不能进行正常操作的；</w:t>
      </w:r>
    </w:p>
    <w:p w14:paraId="7903DDB8">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（3）电子交易平台发现严重安全漏洞，有潜在泄密危险的；</w:t>
      </w:r>
    </w:p>
    <w:p w14:paraId="56F2A18D">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（4）病毒发作导致不能进行正常操作的； </w:t>
      </w:r>
    </w:p>
    <w:p w14:paraId="196CBEC8">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（5）其他无法保证电子交易的公平、公正和安全的情况。</w:t>
      </w:r>
    </w:p>
    <w:p w14:paraId="4BB5C0A9">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6D086BA2">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23.3 废标后，采购人应当将废标理由通知所有投标人并重新组织招标；或者经主管部门批准，采取其他方式组织采购。</w:t>
      </w:r>
    </w:p>
    <w:p w14:paraId="2DEFCEF2">
      <w:pPr>
        <w:pStyle w:val="3"/>
        <w:pageBreakBefore w:val="0"/>
        <w:kinsoku/>
        <w:wordWrap/>
        <w:overflowPunct/>
        <w:topLinePunct w:val="0"/>
        <w:bidi w:val="0"/>
        <w:snapToGrid w:val="0"/>
        <w:spacing w:before="0" w:beforeLines="0" w:after="0" w:afterLines="0" w:line="400" w:lineRule="exact"/>
        <w:ind w:left="0" w:leftChars="0"/>
        <w:rPr>
          <w:rFonts w:hint="eastAsia" w:ascii="宋体" w:hAnsi="宋体" w:eastAsia="宋体" w:cs="宋体"/>
          <w:color w:val="auto"/>
          <w:sz w:val="24"/>
          <w:szCs w:val="24"/>
          <w:highlight w:val="none"/>
        </w:rPr>
      </w:pPr>
      <w:bookmarkStart w:id="107" w:name="_Toc1968"/>
      <w:bookmarkStart w:id="108" w:name="_Toc240450082"/>
      <w:bookmarkStart w:id="109" w:name="_Toc26186"/>
      <w:bookmarkStart w:id="110" w:name="_Toc251566655"/>
      <w:bookmarkStart w:id="111" w:name="_Toc5143"/>
      <w:bookmarkStart w:id="112" w:name="_Toc23386"/>
      <w:bookmarkStart w:id="113" w:name="_Toc32681"/>
      <w:bookmarkStart w:id="114" w:name="_Toc14237"/>
      <w:bookmarkStart w:id="115" w:name="_Toc13677"/>
      <w:bookmarkStart w:id="116" w:name="_Toc9328"/>
      <w:bookmarkStart w:id="117" w:name="_Toc23728"/>
      <w:bookmarkStart w:id="118" w:name="_Toc4397"/>
      <w:bookmarkStart w:id="119" w:name="_Toc7306"/>
      <w:bookmarkStart w:id="120" w:name="_Toc9041"/>
      <w:bookmarkStart w:id="121" w:name="_Toc27447"/>
      <w:bookmarkStart w:id="122" w:name="_Toc19398"/>
      <w:r>
        <w:rPr>
          <w:rFonts w:hint="eastAsia" w:ascii="宋体" w:hAnsi="宋体" w:eastAsia="宋体" w:cs="宋体"/>
          <w:color w:val="auto"/>
          <w:sz w:val="24"/>
          <w:szCs w:val="24"/>
          <w:highlight w:val="none"/>
        </w:rPr>
        <w:t>六、确定中标人及授予合同</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0A27438">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24、中标人的确定</w:t>
      </w:r>
    </w:p>
    <w:p w14:paraId="0155A4B8">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24.1 采购代理机构应当自评标结束之日起2个工作日内将评标报告送交采购人。</w:t>
      </w:r>
    </w:p>
    <w:p w14:paraId="5000CDB8">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应当自收到评标报告之日起5个工作日内，在评标报告确定的中标候选人名单中按顺序确定1名中标人。中标候选人并列的，由采购人或者采购人委托评标委员会按照采购文件规定的方式确定中标人；采购文件未规定的，采取随机抽取的方式确定。</w:t>
      </w:r>
    </w:p>
    <w:p w14:paraId="5C44F752">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采购人在收到评标报告5个工作日内未按评标报告推荐的中标候选人顺序确定1名中标人，又不能说明合法理由的，视同按评标报告推荐的顺序确定排名第一的中标候选人为中标人。</w:t>
      </w:r>
    </w:p>
    <w:p w14:paraId="68FD697F">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采购人或者采购代理机构应当自中标人确定之日起2个工作日内，在浙江政府采购网上公告中标结果，采购文件应当随中标结果同时公告。</w:t>
      </w:r>
    </w:p>
    <w:p w14:paraId="571BC760">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中标结果公告内容应当包括采购人及其委托的采购代理机构的名称、地址、联系方式，项目名称和项目编号，中标人名称、地址和中标金额，中标公告期限以及评审专家名单。</w:t>
      </w:r>
    </w:p>
    <w:p w14:paraId="4992DBC4">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中标结果公告期限为1个工作日。</w:t>
      </w:r>
    </w:p>
    <w:p w14:paraId="634F58B6">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公告中标结果的同时，采购人或者采购代理机构应当向中标人发出中标通知书；对未通过资格审查的投标人，应当告知其未通过的原因；采用综合评分法评审的，还应当告知未中标人本人的评审得分与排序（在线平台已公布评审得分与排序的，不再另行通知）。</w:t>
      </w:r>
    </w:p>
    <w:p w14:paraId="7E9F41AC">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24.2 除国务院财政部门规定的情形外，采购人、采购代理机构不得以任何理由组织重新评审。采购人、采购代理机构按照规定组织重新评审的，应当书面报告监督管理部门。</w:t>
      </w:r>
    </w:p>
    <w:p w14:paraId="57A7BABF">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24.3中标通知书发出后，采购人不得违法改变中标结果，中标人无正当理由不得放弃中标。 </w:t>
      </w:r>
    </w:p>
    <w:p w14:paraId="2A908359">
      <w:pPr>
        <w:pageBreakBefore w:val="0"/>
        <w:kinsoku/>
        <w:wordWrap/>
        <w:overflowPunct/>
        <w:topLinePunct w:val="0"/>
        <w:bidi w:val="0"/>
        <w:adjustRightInd w:val="0"/>
        <w:snapToGrid w:val="0"/>
        <w:spacing w:line="400" w:lineRule="exact"/>
        <w:ind w:left="0" w:leftChars="0" w:firstLine="482" w:firstLineChars="200"/>
        <w:jc w:val="left"/>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24.4中标人应为</w:t>
      </w:r>
      <w:r>
        <w:rPr>
          <w:rFonts w:hint="eastAsia" w:ascii="宋体" w:hAnsi="宋体" w:eastAsia="宋体" w:cs="宋体"/>
          <w:b/>
          <w:snapToGrid w:val="0"/>
          <w:color w:val="auto"/>
          <w:kern w:val="0"/>
          <w:sz w:val="24"/>
          <w:szCs w:val="24"/>
          <w:highlight w:val="none"/>
          <w:lang w:eastAsia="zh-CN"/>
        </w:rPr>
        <w:t>乐采云</w:t>
      </w:r>
      <w:r>
        <w:rPr>
          <w:rFonts w:hint="eastAsia" w:ascii="宋体" w:hAnsi="宋体" w:eastAsia="宋体" w:cs="宋体"/>
          <w:b/>
          <w:snapToGrid w:val="0"/>
          <w:color w:val="auto"/>
          <w:kern w:val="0"/>
          <w:sz w:val="24"/>
          <w:szCs w:val="24"/>
          <w:highlight w:val="none"/>
        </w:rPr>
        <w:t>注册投标人，如尚未注册，必须在投标截止前按照《浙江省政府采购投标人注册及诚信管理暂行办法》（浙财采监字［2009］28号）的相关规定，及时办理更新或投标人注册事项。</w:t>
      </w:r>
    </w:p>
    <w:p w14:paraId="6E2910EA">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25、合同授予</w:t>
      </w:r>
    </w:p>
    <w:p w14:paraId="4E7AB9CE">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25.1 本项目的合同将授予按本须知第24.1款所确定的中标人。</w:t>
      </w:r>
    </w:p>
    <w:p w14:paraId="509B171B">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25.2 中标或者中标人拒绝与采购人签订合同的，采购人可以按照评审报告推荐的中标候选人名单排序，确定下一候选人为中标人，也可以重新开展采购活动。</w:t>
      </w:r>
    </w:p>
    <w:p w14:paraId="6542E71B">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26、签订合同</w:t>
      </w:r>
    </w:p>
    <w:p w14:paraId="6FEF625C">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26.1 采购人与中标人应当在《中标通知书》发出之日起30日内，按照招标文件和中标人投标文件的规定，与中标人签订书面合同。同时，采购代理机构对合同内容进行审查，如发现与采购结果和投标承诺内容不一致的，应予以纠正。</w:t>
      </w:r>
    </w:p>
    <w:p w14:paraId="3311B423">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如中标人为联合体的，由联合体成员各方法定代表人或其授权代表与采购人代表签订</w:t>
      </w:r>
    </w:p>
    <w:p w14:paraId="6AC61141">
      <w:pPr>
        <w:pageBreakBefore w:val="0"/>
        <w:kinsoku/>
        <w:wordWrap/>
        <w:overflowPunct/>
        <w:topLinePunct w:val="0"/>
        <w:bidi w:val="0"/>
        <w:adjustRightInd w:val="0"/>
        <w:snapToGrid w:val="0"/>
        <w:spacing w:line="400" w:lineRule="exact"/>
        <w:ind w:left="0" w:leftChars="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合同（本项目不适用）。</w:t>
      </w:r>
    </w:p>
    <w:p w14:paraId="00F491AE">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26.2 中标人如不遵守采购文件或投标文件各项条款的邀约与要约，或在接到中标通知书后借故拖延，拒签合同的，采购人将依据国家和采购文件有关规定要求中标人予以赔偿，同时采购人可根据25.2的原则另行选择中标人；</w:t>
      </w:r>
    </w:p>
    <w:p w14:paraId="3EF07033">
      <w:pPr>
        <w:pageBreakBefore w:val="0"/>
        <w:kinsoku/>
        <w:wordWrap/>
        <w:overflowPunct/>
        <w:topLinePunct w:val="0"/>
        <w:bidi w:val="0"/>
        <w:adjustRightInd w:val="0"/>
        <w:snapToGrid w:val="0"/>
        <w:spacing w:line="400" w:lineRule="exact"/>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26.3 采购文件、中标人的投标文件及投标修改文件、评标过程中有关澄清文件及经投标人法定代表人或授权代表签字确认的询标回复和承诺及中标通知书均作为合同组成部分。</w:t>
      </w:r>
    </w:p>
    <w:p w14:paraId="3B71BE0C">
      <w:pPr>
        <w:pageBreakBefore w:val="0"/>
        <w:kinsoku/>
        <w:wordWrap/>
        <w:overflowPunct/>
        <w:topLinePunct w:val="0"/>
        <w:bidi w:val="0"/>
        <w:adjustRightInd w:val="0"/>
        <w:snapToGrid w:val="0"/>
        <w:spacing w:line="40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27、履约保证金</w:t>
      </w:r>
    </w:p>
    <w:p w14:paraId="6A700D2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履约担保的金额：</w:t>
      </w:r>
      <w:r>
        <w:rPr>
          <w:rFonts w:hint="eastAsia" w:ascii="宋体" w:hAnsi="宋体" w:eastAsia="宋体" w:cs="宋体"/>
          <w:snapToGrid w:val="0"/>
          <w:color w:val="auto"/>
          <w:kern w:val="0"/>
          <w:sz w:val="24"/>
          <w:szCs w:val="24"/>
          <w:highlight w:val="none"/>
          <w:lang w:eastAsia="zh-CN"/>
        </w:rPr>
        <w:t>中标价的</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eastAsia="zh-CN"/>
        </w:rPr>
        <w:t>（不计息）。</w:t>
      </w:r>
    </w:p>
    <w:p w14:paraId="5037DD3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履约担保的形式：现金、支票、汇票、本票或者金融机构、保险公司、担保机构出具的保函（见函即付）/保险</w:t>
      </w:r>
    </w:p>
    <w:p w14:paraId="1680C5A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sym w:font="Wingdings" w:char="00A8"/>
      </w:r>
      <w:r>
        <w:rPr>
          <w:rFonts w:hint="eastAsia" w:ascii="宋体" w:hAnsi="宋体" w:eastAsia="宋体" w:cs="宋体"/>
          <w:snapToGrid w:val="0"/>
          <w:color w:val="auto"/>
          <w:kern w:val="0"/>
          <w:sz w:val="24"/>
          <w:szCs w:val="24"/>
          <w:highlight w:val="none"/>
          <w:lang w:val="en-US" w:eastAsia="zh-CN"/>
        </w:rPr>
        <w:t>履约担保形式为现金（账户另行通知），履约保证金待合同期满视履约情况到采购人处办理履约保证金的退还手续（不计息）；</w:t>
      </w:r>
    </w:p>
    <w:p w14:paraId="4004F9B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sym w:font="Wingdings" w:char="00A8"/>
      </w:r>
      <w:r>
        <w:rPr>
          <w:rFonts w:hint="eastAsia" w:ascii="宋体" w:hAnsi="宋体" w:eastAsia="宋体" w:cs="宋体"/>
          <w:snapToGrid w:val="0"/>
          <w:color w:val="auto"/>
          <w:kern w:val="0"/>
          <w:sz w:val="24"/>
          <w:szCs w:val="24"/>
          <w:highlight w:val="none"/>
          <w:lang w:val="en-US" w:eastAsia="zh-CN"/>
        </w:rPr>
        <w:t>履约担保形式为支票、汇票、本票或者金融机构、保险公司、担保机构出具的保函/保险等非现金形式的，应在合同履行期限内保持有效。若出现支票、汇票、本票或者金融机构、保险公司、担保机构出具的保函/保险失效等情形导致中标人的违约金额无法从支票、汇票、本票或保函/保险出具单位理赔的，采购人有权从合同款中予以直接扣除。</w:t>
      </w:r>
      <w:r>
        <w:rPr>
          <w:rFonts w:hint="eastAsia" w:ascii="宋体" w:hAnsi="宋体" w:eastAsia="宋体" w:cs="宋体"/>
          <w:color w:val="auto"/>
          <w:sz w:val="24"/>
          <w:szCs w:val="24"/>
          <w:highlight w:val="none"/>
          <w:lang w:val="en-US" w:eastAsia="zh-CN"/>
        </w:rPr>
        <w:t xml:space="preserve"> </w:t>
      </w:r>
    </w:p>
    <w:p w14:paraId="0FCE0AE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28、质疑与投诉</w:t>
      </w:r>
    </w:p>
    <w:p w14:paraId="307422C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中华人民共和国政府采购法》、《财政部关于加强政府采购投标人投诉受理审查工作的通知》(财库〔2007〕1号)和《政府采购质疑和投诉办法》（财政部令第94号）的规定，政府采购投标人（投标人，下同）可以依法提起质疑和投诉。</w:t>
      </w:r>
    </w:p>
    <w:p w14:paraId="235BB3B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质疑函范本、投诉书范本请到浙江政府采购网下载专区下载。</w:t>
      </w:r>
    </w:p>
    <w:p w14:paraId="0A2F920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28.1投标人询问</w:t>
      </w:r>
    </w:p>
    <w:p w14:paraId="53A094C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投标人对采购活动事项有疑问的，可以向采购机构提出询问，采购人或者采购代理机构应当在3个工作日内对投标人依法提出的询问作出答复，但答复的内容不得涉及商业秘密。</w:t>
      </w:r>
    </w:p>
    <w:p w14:paraId="676F407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28.2投标人质疑</w:t>
      </w:r>
    </w:p>
    <w:p w14:paraId="0A2299E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28.2.1投标人认为采购（招标）文件、采购过程、中标或者成交结果使自己的</w:t>
      </w:r>
      <w:r>
        <w:rPr>
          <w:rFonts w:hint="eastAsia" w:ascii="宋体" w:hAnsi="宋体" w:eastAsia="宋体" w:cs="宋体"/>
          <w:color w:val="auto"/>
          <w:kern w:val="0"/>
          <w:sz w:val="24"/>
          <w:szCs w:val="24"/>
          <w:highlight w:val="none"/>
        </w:rPr>
        <w:t>合法</w:t>
      </w:r>
      <w:r>
        <w:rPr>
          <w:rFonts w:hint="eastAsia" w:ascii="宋体" w:hAnsi="宋体" w:eastAsia="宋体" w:cs="宋体"/>
          <w:snapToGrid w:val="0"/>
          <w:color w:val="auto"/>
          <w:kern w:val="0"/>
          <w:sz w:val="24"/>
          <w:szCs w:val="24"/>
          <w:highlight w:val="none"/>
        </w:rPr>
        <w:t>权益受到损害的，</w:t>
      </w:r>
      <w:r>
        <w:rPr>
          <w:rFonts w:hint="eastAsia" w:ascii="宋体" w:hAnsi="宋体" w:eastAsia="宋体" w:cs="宋体"/>
          <w:color w:val="auto"/>
          <w:kern w:val="0"/>
          <w:sz w:val="24"/>
          <w:szCs w:val="24"/>
          <w:highlight w:val="none"/>
        </w:rPr>
        <w:t>应当</w:t>
      </w:r>
      <w:r>
        <w:rPr>
          <w:rFonts w:hint="eastAsia" w:ascii="宋体" w:hAnsi="宋体" w:eastAsia="宋体" w:cs="宋体"/>
          <w:snapToGrid w:val="0"/>
          <w:color w:val="auto"/>
          <w:kern w:val="0"/>
          <w:sz w:val="24"/>
          <w:szCs w:val="24"/>
          <w:highlight w:val="none"/>
        </w:rPr>
        <w:t>在知道或者应知其权益受到损害之日起7个工作日内，以书面形式向采购人、采购代理机构提出质疑</w:t>
      </w:r>
      <w:r>
        <w:rPr>
          <w:rFonts w:hint="eastAsia" w:ascii="宋体" w:hAnsi="宋体" w:eastAsia="宋体" w:cs="宋体"/>
          <w:color w:val="auto"/>
          <w:kern w:val="0"/>
          <w:sz w:val="24"/>
          <w:szCs w:val="24"/>
          <w:highlight w:val="none"/>
        </w:rPr>
        <w:t>；逾期提出的，采购组织机构可以不予受理、答复。</w:t>
      </w:r>
    </w:p>
    <w:p w14:paraId="54D9134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本项目要求投标人在法定质疑期内一次性提出针对同一采购程序环节的质疑。</w:t>
      </w:r>
    </w:p>
    <w:p w14:paraId="1611EA0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28.2.2提出质疑的投标人（以下简称质疑人）应当是参与所质疑项目采购活动的投标人。</w:t>
      </w:r>
    </w:p>
    <w:p w14:paraId="7FAEA41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潜在投标人已依法获取其可质疑的采购文件的，可以对该文件提出质疑。对采购文件提出质疑的，应当在获取采购文件或者采购文件公告期限届满之日起7个工作日内提出。</w:t>
      </w:r>
    </w:p>
    <w:p w14:paraId="7108F21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28.2.3投标人提出质疑应当提交质疑函和必要的证明材料。质疑函应当包括下列内容：</w:t>
      </w:r>
    </w:p>
    <w:p w14:paraId="76BC13A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（一）投标人的姓名或者名称、地址、邮编、联系人及联系电话；</w:t>
      </w:r>
    </w:p>
    <w:p w14:paraId="63FB65E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（二）质疑项目的名称、编号；</w:t>
      </w:r>
    </w:p>
    <w:p w14:paraId="7486E22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（三）具体、明确的质疑事项和与质疑事项相关的请求；</w:t>
      </w:r>
    </w:p>
    <w:p w14:paraId="6B1572B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（四）事实依据；</w:t>
      </w:r>
    </w:p>
    <w:p w14:paraId="565F321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（五）必要的法律依据；</w:t>
      </w:r>
    </w:p>
    <w:p w14:paraId="5CA3D51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（六）提出质疑的日期。</w:t>
      </w:r>
    </w:p>
    <w:p w14:paraId="70C15B9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投标人为自然人的，应当由本人签字；投标人为法人或者其他组织的，应当由法定代表人、主要负责人，或者其授权代表签字或者盖章，并加盖公章。</w:t>
      </w:r>
    </w:p>
    <w:p w14:paraId="1B3499A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28.2.4采购人、采购代理机构在收到法定质疑期内发出的质疑函后7个工作日内作出答复，并以书面形式通知质疑人和其他有关投标人。质疑答复的内容不得涉及商业秘密。</w:t>
      </w:r>
    </w:p>
    <w:p w14:paraId="7D03F75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28.3投标人投诉</w:t>
      </w:r>
    </w:p>
    <w:p w14:paraId="685094D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质疑投标人对采购人、采购代理机构的答复不满意或者采购人、采购代理机构未在规定的时间内作出答复的，可以在答复期满后十五个工作日内向监督管理部门投诉。</w:t>
      </w:r>
    </w:p>
    <w:p w14:paraId="543135E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29、采购结束</w:t>
      </w:r>
    </w:p>
    <w:p w14:paraId="326BCE0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29.1中标人与采购人签订合同生效后即为采购结束。</w:t>
      </w:r>
    </w:p>
    <w:p w14:paraId="0C948C3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29.2本项目的投标文件不予退回。</w:t>
      </w:r>
    </w:p>
    <w:p w14:paraId="79CBBE85">
      <w:pPr>
        <w:pageBreakBefore w:val="0"/>
        <w:kinsoku/>
        <w:wordWrap/>
        <w:overflowPunct/>
        <w:topLinePunct w:val="0"/>
        <w:bidi w:val="0"/>
        <w:spacing w:line="400" w:lineRule="exact"/>
        <w:rPr>
          <w:rFonts w:hint="eastAsia"/>
          <w:color w:val="auto"/>
          <w:highlight w:val="none"/>
        </w:rPr>
      </w:pPr>
      <w:bookmarkStart w:id="123" w:name="_Toc13762"/>
      <w:r>
        <w:rPr>
          <w:rFonts w:hint="eastAsia"/>
          <w:color w:val="auto"/>
          <w:highlight w:val="none"/>
        </w:rPr>
        <w:br w:type="page"/>
      </w:r>
    </w:p>
    <w:p w14:paraId="1AD61C0F">
      <w:pPr>
        <w:pStyle w:val="2"/>
        <w:bidi w:val="0"/>
        <w:rPr>
          <w:rFonts w:hint="eastAsia"/>
          <w:color w:val="auto"/>
          <w:highlight w:val="none"/>
        </w:rPr>
      </w:pPr>
      <w:bookmarkStart w:id="124" w:name="_Toc11605"/>
      <w:r>
        <w:rPr>
          <w:rFonts w:hint="eastAsia"/>
          <w:color w:val="auto"/>
          <w:highlight w:val="none"/>
        </w:rPr>
        <w:t xml:space="preserve">第三部分 </w:t>
      </w:r>
      <w:bookmarkStart w:id="125" w:name="_Toc3320"/>
      <w:bookmarkStart w:id="126" w:name="_Toc32072"/>
      <w:bookmarkStart w:id="127" w:name="_Toc26399"/>
      <w:r>
        <w:rPr>
          <w:rFonts w:hint="eastAsia"/>
          <w:color w:val="auto"/>
          <w:highlight w:val="none"/>
        </w:rPr>
        <w:t>招标内容及需求</w:t>
      </w:r>
      <w:bookmarkEnd w:id="123"/>
      <w:bookmarkEnd w:id="124"/>
      <w:bookmarkEnd w:id="125"/>
      <w:bookmarkEnd w:id="126"/>
      <w:bookmarkEnd w:id="127"/>
    </w:p>
    <w:p w14:paraId="5D5304BF">
      <w:pPr>
        <w:spacing w:before="156" w:beforeLines="50" w:after="156" w:afterLines="50"/>
        <w:ind w:firstLine="472" w:firstLineChars="196"/>
        <w:jc w:val="center"/>
        <w:outlineLvl w:val="2"/>
        <w:rPr>
          <w:rFonts w:hint="eastAsia" w:eastAsia="宋体" w:cs="宋体"/>
          <w:b/>
          <w:bCs/>
          <w:color w:val="auto"/>
          <w:kern w:val="0"/>
          <w:sz w:val="24"/>
          <w:highlight w:val="none"/>
        </w:rPr>
      </w:pPr>
      <w:bookmarkStart w:id="128" w:name="_Toc20612"/>
      <w:r>
        <w:rPr>
          <w:rFonts w:hint="eastAsia" w:eastAsia="宋体" w:cs="宋体"/>
          <w:b/>
          <w:bCs/>
          <w:color w:val="auto"/>
          <w:kern w:val="0"/>
          <w:sz w:val="24"/>
          <w:highlight w:val="none"/>
        </w:rPr>
        <w:t>（</w:t>
      </w:r>
      <w:r>
        <w:rPr>
          <w:rFonts w:hint="eastAsia" w:ascii="黑体" w:hAnsi="宋体" w:eastAsia="黑体" w:cs="宋体"/>
          <w:color w:val="auto"/>
          <w:kern w:val="0"/>
          <w:sz w:val="24"/>
          <w:highlight w:val="none"/>
        </w:rPr>
        <w:t>▲条款为实质性响应条款，必须满足，否则作无效标处理</w:t>
      </w:r>
      <w:r>
        <w:rPr>
          <w:rFonts w:hint="eastAsia" w:eastAsia="宋体" w:cs="宋体"/>
          <w:b/>
          <w:bCs/>
          <w:color w:val="auto"/>
          <w:kern w:val="0"/>
          <w:sz w:val="24"/>
          <w:highlight w:val="none"/>
        </w:rPr>
        <w:t>）</w:t>
      </w:r>
    </w:p>
    <w:p w14:paraId="40B1610B">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bCs/>
          <w:color w:val="auto"/>
          <w:sz w:val="24"/>
          <w:szCs w:val="24"/>
          <w:highlight w:val="none"/>
        </w:rPr>
        <w:t>货物清单一览表</w:t>
      </w:r>
    </w:p>
    <w:tbl>
      <w:tblPr>
        <w:tblStyle w:val="46"/>
        <w:tblW w:w="10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42"/>
        <w:gridCol w:w="3570"/>
        <w:gridCol w:w="1293"/>
        <w:gridCol w:w="1950"/>
        <w:gridCol w:w="1549"/>
      </w:tblGrid>
      <w:tr w14:paraId="38BE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noWrap w:val="0"/>
            <w:vAlign w:val="center"/>
          </w:tcPr>
          <w:p w14:paraId="4764CF6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
                <w:bCs w:val="0"/>
                <w:color w:val="auto"/>
                <w:sz w:val="24"/>
                <w:szCs w:val="20"/>
                <w:highlight w:val="none"/>
              </w:rPr>
            </w:pPr>
            <w:r>
              <w:rPr>
                <w:rFonts w:hint="eastAsia" w:ascii="宋体" w:hAnsi="宋体" w:cs="Arial"/>
                <w:b/>
                <w:bCs w:val="0"/>
                <w:color w:val="auto"/>
                <w:sz w:val="24"/>
                <w:highlight w:val="none"/>
              </w:rPr>
              <w:t>序号</w:t>
            </w:r>
          </w:p>
        </w:tc>
        <w:tc>
          <w:tcPr>
            <w:tcW w:w="1242" w:type="dxa"/>
            <w:noWrap w:val="0"/>
            <w:vAlign w:val="center"/>
          </w:tcPr>
          <w:p w14:paraId="721D0E0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
                <w:bCs w:val="0"/>
                <w:color w:val="auto"/>
                <w:sz w:val="24"/>
                <w:szCs w:val="20"/>
                <w:highlight w:val="none"/>
              </w:rPr>
            </w:pPr>
            <w:r>
              <w:rPr>
                <w:rFonts w:hint="eastAsia"/>
                <w:b/>
                <w:bCs w:val="0"/>
                <w:color w:val="auto"/>
                <w:kern w:val="0"/>
                <w:sz w:val="24"/>
                <w:highlight w:val="none"/>
              </w:rPr>
              <w:t>货物名称</w:t>
            </w:r>
          </w:p>
        </w:tc>
        <w:tc>
          <w:tcPr>
            <w:tcW w:w="3570" w:type="dxa"/>
            <w:noWrap w:val="0"/>
            <w:vAlign w:val="center"/>
          </w:tcPr>
          <w:p w14:paraId="142A80C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
                <w:bCs w:val="0"/>
                <w:color w:val="auto"/>
                <w:sz w:val="24"/>
                <w:highlight w:val="none"/>
              </w:rPr>
            </w:pPr>
            <w:r>
              <w:rPr>
                <w:rFonts w:hint="eastAsia"/>
                <w:b/>
                <w:bCs w:val="0"/>
                <w:color w:val="auto"/>
                <w:kern w:val="0"/>
                <w:sz w:val="24"/>
                <w:highlight w:val="none"/>
              </w:rPr>
              <w:t>规格型号</w:t>
            </w:r>
          </w:p>
        </w:tc>
        <w:tc>
          <w:tcPr>
            <w:tcW w:w="1293" w:type="dxa"/>
            <w:noWrap w:val="0"/>
            <w:vAlign w:val="center"/>
          </w:tcPr>
          <w:p w14:paraId="546E902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b/>
                <w:bCs w:val="0"/>
                <w:color w:val="auto"/>
                <w:sz w:val="24"/>
                <w:highlight w:val="none"/>
              </w:rPr>
            </w:pPr>
            <w:r>
              <w:rPr>
                <w:rFonts w:hint="eastAsia"/>
                <w:b/>
                <w:bCs w:val="0"/>
                <w:color w:val="auto"/>
                <w:sz w:val="24"/>
                <w:highlight w:val="none"/>
              </w:rPr>
              <w:t>数量</w:t>
            </w:r>
          </w:p>
          <w:p w14:paraId="06E34D8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b/>
                <w:bCs w:val="0"/>
                <w:color w:val="auto"/>
                <w:sz w:val="24"/>
                <w:highlight w:val="none"/>
              </w:rPr>
            </w:pPr>
            <w:r>
              <w:rPr>
                <w:rFonts w:hint="eastAsia"/>
                <w:b/>
                <w:bCs w:val="0"/>
                <w:color w:val="auto"/>
                <w:sz w:val="24"/>
                <w:highlight w:val="none"/>
              </w:rPr>
              <w:t>（吨）</w:t>
            </w:r>
          </w:p>
        </w:tc>
        <w:tc>
          <w:tcPr>
            <w:tcW w:w="1950" w:type="dxa"/>
            <w:noWrap w:val="0"/>
            <w:vAlign w:val="center"/>
          </w:tcPr>
          <w:p w14:paraId="6580827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
                <w:bCs w:val="0"/>
                <w:color w:val="auto"/>
                <w:sz w:val="24"/>
                <w:highlight w:val="none"/>
              </w:rPr>
            </w:pPr>
            <w:r>
              <w:rPr>
                <w:rFonts w:hint="eastAsia" w:ascii="宋体" w:hAnsi="宋体" w:cs="Arial"/>
                <w:b/>
                <w:bCs w:val="0"/>
                <w:color w:val="auto"/>
                <w:sz w:val="24"/>
                <w:highlight w:val="none"/>
              </w:rPr>
              <w:t>最高限价</w:t>
            </w:r>
          </w:p>
          <w:p w14:paraId="61D6868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Arial"/>
                <w:b/>
                <w:bCs w:val="0"/>
                <w:color w:val="auto"/>
                <w:sz w:val="24"/>
                <w:highlight w:val="none"/>
                <w:lang w:eastAsia="zh-CN"/>
              </w:rPr>
            </w:pPr>
            <w:r>
              <w:rPr>
                <w:rFonts w:hint="eastAsia" w:ascii="宋体" w:hAnsi="宋体" w:cs="Arial"/>
                <w:b/>
                <w:bCs w:val="0"/>
                <w:color w:val="auto"/>
                <w:sz w:val="24"/>
                <w:highlight w:val="none"/>
                <w:lang w:eastAsia="zh-CN"/>
              </w:rPr>
              <w:t>（</w:t>
            </w:r>
            <w:r>
              <w:rPr>
                <w:rFonts w:hint="eastAsia" w:ascii="宋体" w:hAnsi="宋体" w:eastAsia="宋体" w:cs="宋体"/>
                <w:b/>
                <w:bCs w:val="0"/>
                <w:color w:val="auto"/>
                <w:kern w:val="0"/>
                <w:sz w:val="24"/>
                <w:szCs w:val="24"/>
                <w:highlight w:val="none"/>
              </w:rPr>
              <w:t>含税</w:t>
            </w:r>
            <w:r>
              <w:rPr>
                <w:rFonts w:hint="eastAsia" w:ascii="宋体" w:hAnsi="宋体" w:eastAsia="宋体" w:cs="宋体"/>
                <w:b/>
                <w:bCs w:val="0"/>
                <w:color w:val="auto"/>
                <w:kern w:val="0"/>
                <w:sz w:val="24"/>
                <w:szCs w:val="24"/>
                <w:highlight w:val="none"/>
                <w:lang w:eastAsia="zh-CN"/>
              </w:rPr>
              <w:t>、含运费</w:t>
            </w:r>
            <w:r>
              <w:rPr>
                <w:rFonts w:hint="eastAsia" w:ascii="宋体" w:hAnsi="宋体" w:cs="宋体"/>
                <w:b/>
                <w:bCs w:val="0"/>
                <w:color w:val="auto"/>
                <w:kern w:val="0"/>
                <w:sz w:val="24"/>
                <w:szCs w:val="24"/>
                <w:highlight w:val="none"/>
                <w:lang w:val="en-US" w:eastAsia="zh-CN"/>
              </w:rPr>
              <w:t>,</w:t>
            </w:r>
            <w:r>
              <w:rPr>
                <w:rFonts w:hint="eastAsia" w:ascii="宋体" w:hAnsi="宋体" w:cs="Arial"/>
                <w:b/>
                <w:bCs w:val="0"/>
                <w:color w:val="auto"/>
                <w:sz w:val="24"/>
                <w:highlight w:val="none"/>
              </w:rPr>
              <w:t>元/吨</w:t>
            </w:r>
            <w:r>
              <w:rPr>
                <w:rFonts w:hint="eastAsia" w:ascii="宋体" w:hAnsi="宋体" w:cs="Arial"/>
                <w:b/>
                <w:bCs w:val="0"/>
                <w:color w:val="auto"/>
                <w:sz w:val="24"/>
                <w:highlight w:val="none"/>
                <w:lang w:eastAsia="zh-CN"/>
              </w:rPr>
              <w:t>）</w:t>
            </w:r>
          </w:p>
        </w:tc>
        <w:tc>
          <w:tcPr>
            <w:tcW w:w="1549" w:type="dxa"/>
            <w:noWrap w:val="0"/>
            <w:vAlign w:val="center"/>
          </w:tcPr>
          <w:p w14:paraId="463981B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
                <w:bCs w:val="0"/>
                <w:color w:val="auto"/>
                <w:sz w:val="24"/>
                <w:highlight w:val="none"/>
              </w:rPr>
            </w:pPr>
            <w:r>
              <w:rPr>
                <w:rFonts w:hint="eastAsia" w:ascii="宋体" w:hAnsi="宋体" w:cs="Arial"/>
                <w:b/>
                <w:bCs w:val="0"/>
                <w:color w:val="auto"/>
                <w:sz w:val="24"/>
                <w:highlight w:val="none"/>
              </w:rPr>
              <w:t>预算</w:t>
            </w:r>
          </w:p>
          <w:p w14:paraId="21875A8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宋体" w:hAnsi="宋体" w:eastAsia="宋体" w:cs="Arial"/>
                <w:b/>
                <w:bCs w:val="0"/>
                <w:color w:val="auto"/>
                <w:sz w:val="24"/>
                <w:highlight w:val="none"/>
                <w:lang w:val="en-US" w:eastAsia="zh-CN"/>
              </w:rPr>
            </w:pPr>
            <w:r>
              <w:rPr>
                <w:rFonts w:hint="eastAsia" w:ascii="宋体" w:hAnsi="宋体" w:cs="Arial"/>
                <w:b/>
                <w:bCs w:val="0"/>
                <w:color w:val="auto"/>
                <w:sz w:val="24"/>
                <w:highlight w:val="none"/>
                <w:lang w:val="en-US" w:eastAsia="zh-CN"/>
              </w:rPr>
              <w:t>(元)</w:t>
            </w:r>
          </w:p>
        </w:tc>
      </w:tr>
      <w:tr w14:paraId="5D4D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vMerge w:val="restart"/>
            <w:noWrap w:val="0"/>
            <w:vAlign w:val="center"/>
          </w:tcPr>
          <w:p w14:paraId="681D65A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Cs/>
                <w:color w:val="auto"/>
                <w:sz w:val="24"/>
                <w:highlight w:val="none"/>
              </w:rPr>
            </w:pPr>
            <w:bookmarkStart w:id="129" w:name="OLE_LINK1" w:colFirst="4" w:colLast="4"/>
            <w:bookmarkStart w:id="130" w:name="OLE_LINK3" w:colFirst="3" w:colLast="3"/>
            <w:r>
              <w:rPr>
                <w:rFonts w:hint="eastAsia" w:ascii="宋体" w:hAnsi="宋体" w:cs="Arial"/>
                <w:bCs/>
                <w:color w:val="auto"/>
                <w:sz w:val="24"/>
                <w:highlight w:val="none"/>
              </w:rPr>
              <w:t>1</w:t>
            </w:r>
          </w:p>
        </w:tc>
        <w:tc>
          <w:tcPr>
            <w:tcW w:w="1242" w:type="dxa"/>
            <w:vMerge w:val="restart"/>
            <w:noWrap w:val="0"/>
            <w:vAlign w:val="center"/>
          </w:tcPr>
          <w:p w14:paraId="58793C8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Arial"/>
                <w:bCs/>
                <w:color w:val="auto"/>
                <w:sz w:val="24"/>
                <w:highlight w:val="none"/>
                <w:lang w:val="en-US" w:eastAsia="zh-CN"/>
              </w:rPr>
            </w:pPr>
            <w:r>
              <w:rPr>
                <w:rFonts w:hint="eastAsia" w:ascii="宋体" w:hAnsi="宋体" w:cs="Arial"/>
                <w:bCs/>
                <w:color w:val="auto"/>
                <w:sz w:val="24"/>
                <w:highlight w:val="none"/>
              </w:rPr>
              <w:t>石灰岩</w:t>
            </w:r>
            <w:r>
              <w:rPr>
                <w:rFonts w:hint="eastAsia" w:ascii="宋体" w:hAnsi="宋体" w:cs="Arial"/>
                <w:bCs/>
                <w:color w:val="auto"/>
                <w:sz w:val="24"/>
                <w:highlight w:val="none"/>
                <w:lang w:eastAsia="zh-CN"/>
              </w:rPr>
              <w:t>（</w:t>
            </w:r>
            <w:r>
              <w:rPr>
                <w:rFonts w:hint="eastAsia" w:ascii="宋体" w:hAnsi="宋体" w:cs="Arial"/>
                <w:bCs/>
                <w:color w:val="auto"/>
                <w:sz w:val="24"/>
                <w:highlight w:val="none"/>
                <w:lang w:val="en-US" w:eastAsia="zh-CN"/>
              </w:rPr>
              <w:t>整形）</w:t>
            </w:r>
          </w:p>
        </w:tc>
        <w:tc>
          <w:tcPr>
            <w:tcW w:w="3570" w:type="dxa"/>
            <w:noWrap w:val="0"/>
            <w:vAlign w:val="center"/>
          </w:tcPr>
          <w:p w14:paraId="16383BC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Arial"/>
                <w:bCs/>
                <w:color w:val="auto"/>
                <w:sz w:val="24"/>
                <w:highlight w:val="none"/>
                <w:lang w:val="en-US" w:eastAsia="zh-CN"/>
              </w:rPr>
            </w:pPr>
            <w:r>
              <w:rPr>
                <w:rFonts w:hint="eastAsia" w:ascii="宋体" w:hAnsi="宋体" w:cs="Arial"/>
                <w:bCs/>
                <w:color w:val="auto"/>
                <w:sz w:val="24"/>
                <w:highlight w:val="none"/>
                <w:lang w:val="en-US" w:eastAsia="zh-CN"/>
              </w:rPr>
              <w:t>0-3</w:t>
            </w:r>
            <w:r>
              <w:rPr>
                <w:rFonts w:hint="eastAsia" w:ascii="宋体" w:hAnsi="宋体" w:cs="Arial"/>
                <w:bCs/>
                <w:color w:val="auto"/>
                <w:sz w:val="24"/>
                <w:highlight w:val="none"/>
              </w:rPr>
              <w:t>（网规格</w:t>
            </w: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mm）</w:t>
            </w:r>
          </w:p>
        </w:tc>
        <w:tc>
          <w:tcPr>
            <w:tcW w:w="1293" w:type="dxa"/>
            <w:noWrap w:val="0"/>
            <w:vAlign w:val="center"/>
          </w:tcPr>
          <w:p w14:paraId="2D1434F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55000</w:t>
            </w:r>
          </w:p>
        </w:tc>
        <w:tc>
          <w:tcPr>
            <w:tcW w:w="1950" w:type="dxa"/>
            <w:vMerge w:val="restart"/>
            <w:noWrap w:val="0"/>
            <w:vAlign w:val="center"/>
          </w:tcPr>
          <w:p w14:paraId="09AAB9C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none"/>
              </w:rPr>
            </w:pPr>
            <w:r>
              <w:rPr>
                <w:rFonts w:hint="eastAsia" w:ascii="宋体" w:hAnsi="宋体" w:cs="Arial"/>
                <w:bCs/>
                <w:color w:val="auto"/>
                <w:sz w:val="24"/>
                <w:highlight w:val="none"/>
                <w:lang w:val="en-US" w:eastAsia="zh-CN"/>
              </w:rPr>
              <w:t>115</w:t>
            </w:r>
            <w:r>
              <w:rPr>
                <w:rFonts w:hint="eastAsia" w:ascii="宋体" w:hAnsi="宋体" w:cs="Arial"/>
                <w:bCs/>
                <w:color w:val="auto"/>
                <w:sz w:val="24"/>
                <w:highlight w:val="none"/>
              </w:rPr>
              <w:t>元/吨</w:t>
            </w:r>
          </w:p>
        </w:tc>
        <w:tc>
          <w:tcPr>
            <w:tcW w:w="1549" w:type="dxa"/>
            <w:vMerge w:val="restart"/>
            <w:noWrap w:val="0"/>
            <w:vAlign w:val="center"/>
          </w:tcPr>
          <w:p w14:paraId="133B935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none"/>
              </w:rPr>
            </w:pPr>
            <w:r>
              <w:rPr>
                <w:rFonts w:hint="eastAsia" w:ascii="宋体" w:hAnsi="宋体" w:cs="Arial"/>
                <w:bCs/>
                <w:color w:val="auto"/>
                <w:sz w:val="24"/>
                <w:highlight w:val="none"/>
                <w:lang w:val="en-US" w:eastAsia="zh-CN"/>
              </w:rPr>
              <w:t>29900000元</w:t>
            </w:r>
          </w:p>
        </w:tc>
      </w:tr>
      <w:tr w14:paraId="552E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vMerge w:val="continue"/>
            <w:noWrap w:val="0"/>
            <w:vAlign w:val="center"/>
          </w:tcPr>
          <w:p w14:paraId="63F1457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Cs/>
                <w:color w:val="auto"/>
                <w:sz w:val="24"/>
                <w:highlight w:val="none"/>
              </w:rPr>
            </w:pPr>
          </w:p>
        </w:tc>
        <w:tc>
          <w:tcPr>
            <w:tcW w:w="1242" w:type="dxa"/>
            <w:vMerge w:val="continue"/>
            <w:noWrap w:val="0"/>
            <w:vAlign w:val="center"/>
          </w:tcPr>
          <w:p w14:paraId="6D7D548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Cs/>
                <w:color w:val="auto"/>
                <w:sz w:val="24"/>
                <w:highlight w:val="none"/>
              </w:rPr>
            </w:pPr>
          </w:p>
        </w:tc>
        <w:tc>
          <w:tcPr>
            <w:tcW w:w="3570" w:type="dxa"/>
            <w:noWrap w:val="0"/>
            <w:vAlign w:val="center"/>
          </w:tcPr>
          <w:p w14:paraId="139C352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Cs/>
                <w:color w:val="auto"/>
                <w:sz w:val="24"/>
                <w:highlight w:val="none"/>
              </w:rPr>
            </w:pP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-5（网规格5*5mm）</w:t>
            </w:r>
          </w:p>
        </w:tc>
        <w:tc>
          <w:tcPr>
            <w:tcW w:w="1293" w:type="dxa"/>
            <w:noWrap w:val="0"/>
            <w:vAlign w:val="center"/>
          </w:tcPr>
          <w:p w14:paraId="3E12697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bCs/>
                <w:color w:val="auto"/>
                <w:sz w:val="24"/>
                <w:highlight w:val="none"/>
                <w:lang w:val="en-US" w:eastAsia="zh-CN"/>
              </w:rPr>
            </w:pPr>
            <w:r>
              <w:rPr>
                <w:rFonts w:hint="eastAsia" w:ascii="宋体" w:hAnsi="宋体" w:cs="宋体"/>
                <w:color w:val="auto"/>
                <w:kern w:val="0"/>
                <w:sz w:val="24"/>
                <w:highlight w:val="none"/>
                <w:lang w:val="en-US" w:eastAsia="zh-CN"/>
              </w:rPr>
              <w:t>10000</w:t>
            </w:r>
          </w:p>
        </w:tc>
        <w:tc>
          <w:tcPr>
            <w:tcW w:w="1950" w:type="dxa"/>
            <w:vMerge w:val="continue"/>
            <w:noWrap w:val="0"/>
            <w:vAlign w:val="center"/>
          </w:tcPr>
          <w:p w14:paraId="36B0A44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yellow"/>
              </w:rPr>
            </w:pPr>
          </w:p>
        </w:tc>
        <w:tc>
          <w:tcPr>
            <w:tcW w:w="1549" w:type="dxa"/>
            <w:vMerge w:val="continue"/>
            <w:noWrap w:val="0"/>
            <w:vAlign w:val="center"/>
          </w:tcPr>
          <w:p w14:paraId="40A560F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yellow"/>
              </w:rPr>
            </w:pPr>
          </w:p>
        </w:tc>
      </w:tr>
      <w:tr w14:paraId="6D4F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vMerge w:val="continue"/>
            <w:noWrap w:val="0"/>
            <w:vAlign w:val="top"/>
          </w:tcPr>
          <w:p w14:paraId="66E623E3">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Arial"/>
                <w:bCs/>
                <w:color w:val="auto"/>
                <w:sz w:val="24"/>
                <w:highlight w:val="none"/>
              </w:rPr>
            </w:pPr>
          </w:p>
        </w:tc>
        <w:tc>
          <w:tcPr>
            <w:tcW w:w="1242" w:type="dxa"/>
            <w:vMerge w:val="continue"/>
            <w:noWrap w:val="0"/>
            <w:vAlign w:val="center"/>
          </w:tcPr>
          <w:p w14:paraId="55DB001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Cs/>
                <w:color w:val="auto"/>
                <w:sz w:val="24"/>
                <w:highlight w:val="none"/>
              </w:rPr>
            </w:pPr>
          </w:p>
        </w:tc>
        <w:tc>
          <w:tcPr>
            <w:tcW w:w="3570" w:type="dxa"/>
            <w:noWrap w:val="0"/>
            <w:vAlign w:val="center"/>
          </w:tcPr>
          <w:p w14:paraId="6A4CC20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Cs/>
                <w:color w:val="auto"/>
                <w:sz w:val="24"/>
                <w:highlight w:val="none"/>
              </w:rPr>
            </w:pPr>
            <w:r>
              <w:rPr>
                <w:rFonts w:hint="eastAsia" w:ascii="宋体" w:hAnsi="宋体" w:cs="Arial"/>
                <w:bCs/>
                <w:color w:val="auto"/>
                <w:sz w:val="24"/>
                <w:highlight w:val="none"/>
              </w:rPr>
              <w:t>5-1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（网规格1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mm）</w:t>
            </w:r>
          </w:p>
        </w:tc>
        <w:tc>
          <w:tcPr>
            <w:tcW w:w="1293" w:type="dxa"/>
            <w:noWrap w:val="0"/>
            <w:vAlign w:val="center"/>
          </w:tcPr>
          <w:p w14:paraId="35CAED2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85000</w:t>
            </w:r>
          </w:p>
        </w:tc>
        <w:tc>
          <w:tcPr>
            <w:tcW w:w="1950" w:type="dxa"/>
            <w:vMerge w:val="continue"/>
            <w:noWrap w:val="0"/>
            <w:vAlign w:val="center"/>
          </w:tcPr>
          <w:p w14:paraId="4B9511C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yellow"/>
              </w:rPr>
            </w:pPr>
          </w:p>
        </w:tc>
        <w:tc>
          <w:tcPr>
            <w:tcW w:w="1549" w:type="dxa"/>
            <w:vMerge w:val="continue"/>
            <w:noWrap w:val="0"/>
            <w:vAlign w:val="center"/>
          </w:tcPr>
          <w:p w14:paraId="3D61417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yellow"/>
              </w:rPr>
            </w:pPr>
          </w:p>
        </w:tc>
      </w:tr>
      <w:tr w14:paraId="64E0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vMerge w:val="continue"/>
            <w:noWrap w:val="0"/>
            <w:vAlign w:val="top"/>
          </w:tcPr>
          <w:p w14:paraId="2DDFF7E0">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Arial"/>
                <w:bCs/>
                <w:color w:val="auto"/>
                <w:sz w:val="24"/>
                <w:highlight w:val="none"/>
              </w:rPr>
            </w:pPr>
            <w:bookmarkStart w:id="131" w:name="OLE_LINK4" w:colFirst="3" w:colLast="3"/>
          </w:p>
        </w:tc>
        <w:tc>
          <w:tcPr>
            <w:tcW w:w="1242" w:type="dxa"/>
            <w:vMerge w:val="continue"/>
            <w:noWrap w:val="0"/>
            <w:vAlign w:val="center"/>
          </w:tcPr>
          <w:p w14:paraId="7690A4D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Cs/>
                <w:color w:val="auto"/>
                <w:sz w:val="24"/>
                <w:highlight w:val="none"/>
              </w:rPr>
            </w:pPr>
          </w:p>
        </w:tc>
        <w:tc>
          <w:tcPr>
            <w:tcW w:w="3570" w:type="dxa"/>
            <w:noWrap w:val="0"/>
            <w:vAlign w:val="center"/>
          </w:tcPr>
          <w:p w14:paraId="07E372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Cs/>
                <w:color w:val="auto"/>
                <w:sz w:val="24"/>
                <w:highlight w:val="none"/>
              </w:rPr>
            </w:pPr>
            <w:r>
              <w:rPr>
                <w:rFonts w:hint="eastAsia" w:ascii="宋体" w:hAnsi="宋体" w:cs="Arial"/>
                <w:bCs/>
                <w:color w:val="auto"/>
                <w:sz w:val="24"/>
                <w:highlight w:val="none"/>
              </w:rPr>
              <w:t>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16</w:t>
            </w:r>
            <w:r>
              <w:rPr>
                <w:rFonts w:hint="eastAsia" w:ascii="宋体" w:hAnsi="宋体" w:cs="Arial"/>
                <w:bCs/>
                <w:color w:val="auto"/>
                <w:sz w:val="24"/>
                <w:highlight w:val="none"/>
              </w:rPr>
              <w:t>（网规格</w:t>
            </w:r>
            <w:r>
              <w:rPr>
                <w:rFonts w:hint="eastAsia" w:ascii="宋体" w:hAnsi="宋体" w:cs="Arial"/>
                <w:bCs/>
                <w:color w:val="auto"/>
                <w:sz w:val="24"/>
                <w:highlight w:val="none"/>
                <w:lang w:val="en-US" w:eastAsia="zh-CN"/>
              </w:rPr>
              <w:t>16</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16</w:t>
            </w:r>
            <w:r>
              <w:rPr>
                <w:rFonts w:hint="eastAsia" w:ascii="宋体" w:hAnsi="宋体" w:cs="Arial"/>
                <w:bCs/>
                <w:color w:val="auto"/>
                <w:sz w:val="24"/>
                <w:highlight w:val="none"/>
              </w:rPr>
              <w:t>mm）</w:t>
            </w:r>
          </w:p>
        </w:tc>
        <w:tc>
          <w:tcPr>
            <w:tcW w:w="1293" w:type="dxa"/>
            <w:noWrap w:val="0"/>
            <w:vAlign w:val="center"/>
          </w:tcPr>
          <w:p w14:paraId="00B7F95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30000</w:t>
            </w:r>
          </w:p>
        </w:tc>
        <w:tc>
          <w:tcPr>
            <w:tcW w:w="1950" w:type="dxa"/>
            <w:vMerge w:val="continue"/>
            <w:noWrap w:val="0"/>
            <w:vAlign w:val="center"/>
          </w:tcPr>
          <w:p w14:paraId="071CFD8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yellow"/>
              </w:rPr>
            </w:pPr>
          </w:p>
        </w:tc>
        <w:tc>
          <w:tcPr>
            <w:tcW w:w="1549" w:type="dxa"/>
            <w:vMerge w:val="continue"/>
            <w:noWrap w:val="0"/>
            <w:vAlign w:val="center"/>
          </w:tcPr>
          <w:p w14:paraId="4A0D3AB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yellow"/>
              </w:rPr>
            </w:pPr>
          </w:p>
        </w:tc>
      </w:tr>
      <w:tr w14:paraId="6B4D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vMerge w:val="continue"/>
            <w:noWrap w:val="0"/>
            <w:vAlign w:val="top"/>
          </w:tcPr>
          <w:p w14:paraId="4CF982BA">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Arial"/>
                <w:bCs/>
                <w:color w:val="auto"/>
                <w:sz w:val="24"/>
                <w:highlight w:val="none"/>
              </w:rPr>
            </w:pPr>
          </w:p>
        </w:tc>
        <w:tc>
          <w:tcPr>
            <w:tcW w:w="1242" w:type="dxa"/>
            <w:vMerge w:val="continue"/>
            <w:noWrap w:val="0"/>
            <w:vAlign w:val="center"/>
          </w:tcPr>
          <w:p w14:paraId="5354408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Cs/>
                <w:color w:val="auto"/>
                <w:sz w:val="24"/>
                <w:highlight w:val="none"/>
              </w:rPr>
            </w:pPr>
          </w:p>
        </w:tc>
        <w:tc>
          <w:tcPr>
            <w:tcW w:w="3570" w:type="dxa"/>
            <w:noWrap w:val="0"/>
            <w:vAlign w:val="center"/>
          </w:tcPr>
          <w:p w14:paraId="560268C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Cs/>
                <w:color w:val="auto"/>
                <w:sz w:val="24"/>
                <w:highlight w:val="none"/>
              </w:rPr>
            </w:pPr>
            <w:r>
              <w:rPr>
                <w:rFonts w:hint="eastAsia" w:ascii="宋体" w:hAnsi="宋体" w:cs="Arial"/>
                <w:bCs/>
                <w:color w:val="auto"/>
                <w:sz w:val="24"/>
                <w:highlight w:val="none"/>
              </w:rPr>
              <w:t xml:space="preserve"> 16-26.5（网规格</w:t>
            </w:r>
            <w:r>
              <w:rPr>
                <w:rFonts w:hint="eastAsia" w:ascii="宋体" w:hAnsi="宋体" w:cs="Arial"/>
                <w:bCs/>
                <w:color w:val="auto"/>
                <w:sz w:val="24"/>
                <w:highlight w:val="none"/>
                <w:lang w:val="en-US" w:eastAsia="zh-CN"/>
              </w:rPr>
              <w:t>26.5</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26.5</w:t>
            </w:r>
            <w:r>
              <w:rPr>
                <w:rFonts w:hint="eastAsia" w:ascii="宋体" w:hAnsi="宋体" w:cs="Arial"/>
                <w:bCs/>
                <w:color w:val="auto"/>
                <w:sz w:val="24"/>
                <w:highlight w:val="none"/>
              </w:rPr>
              <w:t>mm）</w:t>
            </w:r>
          </w:p>
        </w:tc>
        <w:tc>
          <w:tcPr>
            <w:tcW w:w="1293" w:type="dxa"/>
            <w:noWrap w:val="0"/>
            <w:vAlign w:val="center"/>
          </w:tcPr>
          <w:p w14:paraId="6784B0D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60000</w:t>
            </w:r>
          </w:p>
        </w:tc>
        <w:tc>
          <w:tcPr>
            <w:tcW w:w="1950" w:type="dxa"/>
            <w:vMerge w:val="continue"/>
            <w:noWrap w:val="0"/>
            <w:vAlign w:val="center"/>
          </w:tcPr>
          <w:p w14:paraId="42EDA78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yellow"/>
              </w:rPr>
            </w:pPr>
          </w:p>
        </w:tc>
        <w:tc>
          <w:tcPr>
            <w:tcW w:w="1549" w:type="dxa"/>
            <w:vMerge w:val="continue"/>
            <w:noWrap w:val="0"/>
            <w:vAlign w:val="center"/>
          </w:tcPr>
          <w:p w14:paraId="403A5FD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yellow"/>
              </w:rPr>
            </w:pPr>
          </w:p>
        </w:tc>
      </w:tr>
      <w:tr w14:paraId="3F10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3" w:type="dxa"/>
            <w:vMerge w:val="continue"/>
            <w:noWrap w:val="0"/>
            <w:vAlign w:val="top"/>
          </w:tcPr>
          <w:p w14:paraId="65B75408">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Arial"/>
                <w:bCs/>
                <w:color w:val="auto"/>
                <w:sz w:val="24"/>
                <w:highlight w:val="none"/>
              </w:rPr>
            </w:pPr>
          </w:p>
        </w:tc>
        <w:tc>
          <w:tcPr>
            <w:tcW w:w="1242" w:type="dxa"/>
            <w:vMerge w:val="continue"/>
            <w:noWrap w:val="0"/>
            <w:vAlign w:val="center"/>
          </w:tcPr>
          <w:p w14:paraId="1EBB5C9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Arial"/>
                <w:bCs/>
                <w:color w:val="auto"/>
                <w:sz w:val="24"/>
                <w:highlight w:val="none"/>
              </w:rPr>
            </w:pPr>
          </w:p>
        </w:tc>
        <w:tc>
          <w:tcPr>
            <w:tcW w:w="3570" w:type="dxa"/>
            <w:noWrap w:val="0"/>
            <w:vAlign w:val="center"/>
          </w:tcPr>
          <w:p w14:paraId="3D9EBFC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Arial"/>
                <w:bCs/>
                <w:color w:val="auto"/>
                <w:sz w:val="24"/>
                <w:highlight w:val="none"/>
              </w:rPr>
            </w:pPr>
            <w:r>
              <w:rPr>
                <w:rFonts w:hint="eastAsia" w:ascii="宋体" w:hAnsi="宋体" w:eastAsia="宋体" w:cs="Arial"/>
                <w:bCs/>
                <w:color w:val="auto"/>
                <w:sz w:val="24"/>
                <w:highlight w:val="none"/>
              </w:rPr>
              <w:t>26.5-32（网规格32*32mm）</w:t>
            </w:r>
          </w:p>
        </w:tc>
        <w:tc>
          <w:tcPr>
            <w:tcW w:w="1293" w:type="dxa"/>
            <w:noWrap w:val="0"/>
            <w:vAlign w:val="center"/>
          </w:tcPr>
          <w:p w14:paraId="37B3282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Arial"/>
                <w:bCs/>
                <w:color w:val="auto"/>
                <w:sz w:val="24"/>
                <w:highlight w:val="none"/>
                <w:lang w:val="en-US" w:eastAsia="zh-CN"/>
              </w:rPr>
            </w:pPr>
            <w:r>
              <w:rPr>
                <w:rFonts w:hint="eastAsia" w:ascii="宋体" w:hAnsi="宋体" w:cs="宋体"/>
                <w:bCs/>
                <w:color w:val="auto"/>
                <w:sz w:val="24"/>
                <w:highlight w:val="none"/>
                <w:lang w:val="en-US" w:eastAsia="zh-CN"/>
              </w:rPr>
              <w:t>20000</w:t>
            </w:r>
          </w:p>
        </w:tc>
        <w:tc>
          <w:tcPr>
            <w:tcW w:w="1950" w:type="dxa"/>
            <w:vMerge w:val="continue"/>
            <w:noWrap w:val="0"/>
            <w:vAlign w:val="center"/>
          </w:tcPr>
          <w:p w14:paraId="7C70FA5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yellow"/>
              </w:rPr>
            </w:pPr>
          </w:p>
        </w:tc>
        <w:tc>
          <w:tcPr>
            <w:tcW w:w="1549" w:type="dxa"/>
            <w:vMerge w:val="continue"/>
            <w:noWrap w:val="0"/>
            <w:vAlign w:val="center"/>
          </w:tcPr>
          <w:p w14:paraId="5226311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Arial"/>
                <w:bCs/>
                <w:color w:val="auto"/>
                <w:sz w:val="24"/>
                <w:highlight w:val="yellow"/>
              </w:rPr>
            </w:pPr>
          </w:p>
        </w:tc>
      </w:tr>
      <w:bookmarkEnd w:id="129"/>
      <w:bookmarkEnd w:id="130"/>
      <w:bookmarkEnd w:id="131"/>
    </w:tbl>
    <w:p w14:paraId="04F646A1">
      <w:pPr>
        <w:pStyle w:val="44"/>
        <w:spacing w:line="400" w:lineRule="exact"/>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注：具</w:t>
      </w:r>
      <w:r>
        <w:rPr>
          <w:rFonts w:hint="eastAsia" w:ascii="宋体" w:hAnsi="宋体" w:eastAsia="宋体" w:cs="宋体"/>
          <w:b/>
          <w:color w:val="auto"/>
          <w:sz w:val="24"/>
          <w:szCs w:val="24"/>
          <w:highlight w:val="none"/>
        </w:rPr>
        <w:t>体数量以实际供货数量为准。</w:t>
      </w:r>
      <w:r>
        <w:rPr>
          <w:rFonts w:hint="eastAsia" w:ascii="宋体" w:hAnsi="宋体" w:eastAsia="宋体" w:cs="宋体"/>
          <w:color w:val="auto"/>
          <w:sz w:val="24"/>
          <w:szCs w:val="24"/>
          <w:highlight w:val="none"/>
        </w:rPr>
        <w:t xml:space="preserve"> </w:t>
      </w:r>
    </w:p>
    <w:p w14:paraId="2FFBC0A8">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二、技术要求及内容</w:t>
      </w:r>
    </w:p>
    <w:p w14:paraId="2FE761D1">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1、本招标文件所列原材料为</w:t>
      </w:r>
      <w:r>
        <w:rPr>
          <w:rFonts w:hint="eastAsia" w:ascii="宋体" w:hAnsi="宋体" w:cs="宋体"/>
          <w:color w:val="auto"/>
          <w:kern w:val="0"/>
          <w:sz w:val="24"/>
          <w:szCs w:val="24"/>
          <w:highlight w:val="none"/>
          <w:lang w:eastAsia="zh-CN"/>
        </w:rPr>
        <w:t>合同期内</w:t>
      </w:r>
      <w:r>
        <w:rPr>
          <w:rFonts w:hint="eastAsia" w:ascii="宋体" w:hAnsi="宋体" w:eastAsia="宋体" w:cs="宋体"/>
          <w:color w:val="auto"/>
          <w:kern w:val="0"/>
          <w:sz w:val="24"/>
          <w:szCs w:val="24"/>
          <w:highlight w:val="none"/>
        </w:rPr>
        <w:t>市政、公路建设项目所需的</w:t>
      </w:r>
      <w:r>
        <w:rPr>
          <w:rFonts w:hint="eastAsia" w:ascii="宋体" w:hAnsi="宋体" w:cs="宋体"/>
          <w:color w:val="auto"/>
          <w:kern w:val="0"/>
          <w:sz w:val="24"/>
          <w:szCs w:val="24"/>
          <w:highlight w:val="none"/>
          <w:lang w:eastAsia="zh-CN"/>
        </w:rPr>
        <w:t>石灰岩</w:t>
      </w:r>
      <w:r>
        <w:rPr>
          <w:rFonts w:hint="eastAsia" w:ascii="宋体" w:hAnsi="宋体" w:eastAsia="宋体" w:cs="宋体"/>
          <w:color w:val="auto"/>
          <w:kern w:val="0"/>
          <w:sz w:val="24"/>
          <w:szCs w:val="24"/>
          <w:highlight w:val="none"/>
        </w:rPr>
        <w:t>。</w:t>
      </w:r>
    </w:p>
    <w:p w14:paraId="004B01D5">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lang w:val="en-US" w:eastAsia="zh-CN"/>
        </w:rPr>
        <w:t>供货期：</w:t>
      </w:r>
      <w:r>
        <w:rPr>
          <w:rFonts w:hint="eastAsia" w:ascii="宋体" w:hAnsi="宋体" w:cs="宋体"/>
          <w:color w:val="auto"/>
          <w:kern w:val="0"/>
          <w:sz w:val="24"/>
          <w:highlight w:val="none"/>
        </w:rPr>
        <w:t>自合同签订之日起</w:t>
      </w:r>
      <w:r>
        <w:rPr>
          <w:rFonts w:hint="eastAsia" w:ascii="宋体" w:hAnsi="宋体" w:cs="宋体"/>
          <w:color w:val="auto"/>
          <w:kern w:val="0"/>
          <w:sz w:val="24"/>
          <w:highlight w:val="none"/>
          <w:lang w:val="en-US" w:eastAsia="zh-CN"/>
        </w:rPr>
        <w:t>一</w:t>
      </w:r>
      <w:r>
        <w:rPr>
          <w:rFonts w:hint="eastAsia" w:ascii="宋体" w:hAnsi="宋体" w:cs="宋体"/>
          <w:color w:val="auto"/>
          <w:kern w:val="0"/>
          <w:sz w:val="24"/>
          <w:highlight w:val="none"/>
        </w:rPr>
        <w:t>年或</w:t>
      </w:r>
      <w:r>
        <w:rPr>
          <w:rFonts w:hint="eastAsia" w:ascii="宋体" w:hAnsi="宋体" w:cs="宋体"/>
          <w:color w:val="auto"/>
          <w:kern w:val="0"/>
          <w:sz w:val="24"/>
          <w:highlight w:val="none"/>
          <w:lang w:val="en-US" w:eastAsia="zh-CN"/>
        </w:rPr>
        <w:t>货款金额</w:t>
      </w:r>
      <w:r>
        <w:rPr>
          <w:rFonts w:hint="eastAsia" w:ascii="宋体" w:hAnsi="宋体" w:cs="宋体"/>
          <w:color w:val="auto"/>
          <w:kern w:val="0"/>
          <w:sz w:val="24"/>
          <w:highlight w:val="none"/>
        </w:rPr>
        <w:t>达到</w:t>
      </w:r>
      <w:r>
        <w:rPr>
          <w:rFonts w:hint="eastAsia" w:ascii="宋体" w:hAnsi="宋体" w:cs="宋体"/>
          <w:color w:val="auto"/>
          <w:kern w:val="0"/>
          <w:sz w:val="24"/>
          <w:highlight w:val="none"/>
          <w:lang w:val="en-US" w:eastAsia="zh-CN"/>
        </w:rPr>
        <w:t>29900000</w:t>
      </w:r>
      <w:r>
        <w:rPr>
          <w:rFonts w:hint="eastAsia" w:ascii="宋体" w:hAnsi="宋体" w:cs="宋体"/>
          <w:color w:val="auto"/>
          <w:kern w:val="0"/>
          <w:sz w:val="24"/>
          <w:highlight w:val="none"/>
        </w:rPr>
        <w:t>元，先到为准</w:t>
      </w:r>
      <w:r>
        <w:rPr>
          <w:rFonts w:hint="eastAsia" w:ascii="宋体" w:hAnsi="宋体" w:eastAsia="宋体" w:cs="宋体"/>
          <w:color w:val="auto"/>
          <w:sz w:val="24"/>
          <w:szCs w:val="24"/>
          <w:highlight w:val="none"/>
          <w:lang w:eastAsia="zh-CN"/>
        </w:rPr>
        <w:t>（合同到期时如遇特殊情况，例如处于单个项目持续供货周期内可供货至项目结束）</w:t>
      </w:r>
      <w:r>
        <w:rPr>
          <w:rFonts w:hint="eastAsia" w:ascii="宋体" w:hAnsi="宋体" w:cs="宋体"/>
          <w:color w:val="auto"/>
          <w:kern w:val="0"/>
          <w:sz w:val="24"/>
          <w:highlight w:val="none"/>
          <w:lang w:eastAsia="zh-CN"/>
        </w:rPr>
        <w:t>。</w:t>
      </w:r>
    </w:p>
    <w:p w14:paraId="5131165D">
      <w:pPr>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2、标准</w:t>
      </w:r>
    </w:p>
    <w:p w14:paraId="1B5789EE">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所有原材料生产及验收标准必须完全符合所有中华人民共和国的标准及规范。包括（不限于）：石灰岩：《沥青路面施工及验收规范》  GB50092-96</w:t>
      </w:r>
    </w:p>
    <w:p w14:paraId="207CBB58">
      <w:pPr>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w:t>
      </w:r>
      <w:r>
        <w:rPr>
          <w:rFonts w:hint="eastAsia" w:ascii="宋体" w:hAnsi="宋体" w:eastAsia="宋体" w:cs="宋体"/>
          <w:b/>
          <w:color w:val="auto"/>
          <w:kern w:val="0"/>
          <w:sz w:val="24"/>
          <w:szCs w:val="24"/>
          <w:highlight w:val="none"/>
          <w:lang w:eastAsia="zh-CN"/>
        </w:rPr>
        <w:t>技术指标</w:t>
      </w:r>
      <w:r>
        <w:rPr>
          <w:rFonts w:hint="eastAsia" w:ascii="宋体" w:hAnsi="宋体" w:eastAsia="宋体" w:cs="宋体"/>
          <w:b/>
          <w:color w:val="auto"/>
          <w:kern w:val="0"/>
          <w:sz w:val="24"/>
          <w:szCs w:val="24"/>
          <w:highlight w:val="none"/>
        </w:rPr>
        <w:t>要求</w:t>
      </w:r>
    </w:p>
    <w:p w14:paraId="5D94CD3A">
      <w:pPr>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3.1 </w:t>
      </w:r>
      <w:r>
        <w:rPr>
          <w:rFonts w:hint="eastAsia" w:ascii="宋体" w:hAnsi="宋体" w:eastAsia="宋体" w:cs="宋体"/>
          <w:b/>
          <w:color w:val="auto"/>
          <w:kern w:val="0"/>
          <w:sz w:val="24"/>
          <w:szCs w:val="24"/>
          <w:highlight w:val="none"/>
          <w:lang w:eastAsia="zh-CN"/>
        </w:rPr>
        <w:t>技术</w:t>
      </w:r>
      <w:r>
        <w:rPr>
          <w:rFonts w:hint="eastAsia" w:ascii="宋体" w:hAnsi="宋体" w:eastAsia="宋体" w:cs="宋体"/>
          <w:b/>
          <w:color w:val="auto"/>
          <w:kern w:val="0"/>
          <w:sz w:val="24"/>
          <w:szCs w:val="24"/>
          <w:highlight w:val="none"/>
        </w:rPr>
        <w:t>指标</w:t>
      </w:r>
    </w:p>
    <w:p w14:paraId="4F69868F">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w:t>
      </w:r>
      <w:r>
        <w:rPr>
          <w:rFonts w:hint="eastAsia" w:ascii="宋体" w:hAnsi="宋体" w:cs="宋体"/>
          <w:color w:val="auto"/>
          <w:kern w:val="0"/>
          <w:sz w:val="24"/>
          <w:szCs w:val="24"/>
          <w:highlight w:val="none"/>
          <w:lang w:eastAsia="zh-CN"/>
        </w:rPr>
        <w:t>石灰</w:t>
      </w:r>
      <w:r>
        <w:rPr>
          <w:rFonts w:hint="eastAsia" w:ascii="宋体" w:hAnsi="宋体" w:eastAsia="宋体" w:cs="宋体"/>
          <w:color w:val="auto"/>
          <w:kern w:val="0"/>
          <w:sz w:val="24"/>
          <w:szCs w:val="24"/>
          <w:highlight w:val="none"/>
          <w:lang w:eastAsia="zh-CN"/>
        </w:rPr>
        <w:t>岩</w:t>
      </w:r>
      <w:r>
        <w:rPr>
          <w:rFonts w:hint="eastAsia" w:ascii="宋体" w:hAnsi="宋体" w:eastAsia="宋体" w:cs="宋体"/>
          <w:color w:val="auto"/>
          <w:kern w:val="0"/>
          <w:sz w:val="24"/>
          <w:szCs w:val="24"/>
          <w:highlight w:val="none"/>
        </w:rPr>
        <w:t>（</w:t>
      </w: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-5</w:t>
      </w:r>
      <w:r>
        <w:rPr>
          <w:rFonts w:hint="eastAsia" w:ascii="宋体" w:hAnsi="宋体" w:cs="Arial"/>
          <w:bCs/>
          <w:color w:val="auto"/>
          <w:sz w:val="24"/>
          <w:highlight w:val="none"/>
          <w:lang w:eastAsia="zh-CN"/>
        </w:rPr>
        <w:t>、</w:t>
      </w: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-5</w:t>
      </w:r>
      <w:r>
        <w:rPr>
          <w:rFonts w:hint="eastAsia" w:ascii="宋体" w:hAnsi="宋体" w:cs="Arial"/>
          <w:bCs/>
          <w:color w:val="auto"/>
          <w:sz w:val="24"/>
          <w:highlight w:val="none"/>
          <w:lang w:eastAsia="zh-CN"/>
        </w:rPr>
        <w:t>、</w:t>
      </w:r>
      <w:r>
        <w:rPr>
          <w:rFonts w:hint="eastAsia" w:ascii="宋体" w:hAnsi="宋体" w:cs="Arial"/>
          <w:bCs/>
          <w:color w:val="auto"/>
          <w:sz w:val="24"/>
          <w:highlight w:val="none"/>
        </w:rPr>
        <w:t>5-1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16、</w:t>
      </w:r>
      <w:r>
        <w:rPr>
          <w:rFonts w:hint="eastAsia" w:ascii="宋体" w:hAnsi="宋体" w:cs="Arial"/>
          <w:bCs/>
          <w:color w:val="auto"/>
          <w:sz w:val="24"/>
          <w:highlight w:val="none"/>
        </w:rPr>
        <w:t>16-26.5</w:t>
      </w:r>
      <w:r>
        <w:rPr>
          <w:rFonts w:hint="eastAsia" w:ascii="宋体" w:hAnsi="宋体" w:cs="Arial"/>
          <w:bCs/>
          <w:color w:val="auto"/>
          <w:sz w:val="24"/>
          <w:highlight w:val="none"/>
          <w:lang w:eastAsia="zh-CN"/>
        </w:rPr>
        <w:t>、</w:t>
      </w:r>
      <w:r>
        <w:rPr>
          <w:rFonts w:hint="eastAsia" w:ascii="宋体" w:hAnsi="宋体" w:eastAsia="宋体" w:cs="Arial"/>
          <w:bCs/>
          <w:color w:val="auto"/>
          <w:sz w:val="24"/>
          <w:highlight w:val="none"/>
        </w:rPr>
        <w:t>26.5-32</w:t>
      </w:r>
      <w:r>
        <w:rPr>
          <w:rFonts w:hint="eastAsia" w:ascii="宋体" w:hAnsi="宋体" w:eastAsia="宋体" w:cs="宋体"/>
          <w:color w:val="auto"/>
          <w:kern w:val="0"/>
          <w:sz w:val="24"/>
          <w:szCs w:val="24"/>
          <w:highlight w:val="none"/>
        </w:rPr>
        <w:t>）</w:t>
      </w:r>
    </w:p>
    <w:p w14:paraId="3245FE66">
      <w:pPr>
        <w:keepNext w:val="0"/>
        <w:keepLines w:val="0"/>
        <w:pageBreakBefore w:val="0"/>
        <w:widowControl w:val="0"/>
        <w:kinsoku/>
        <w:wordWrap/>
        <w:overflowPunct/>
        <w:topLinePunct w:val="0"/>
        <w:autoSpaceDE/>
        <w:autoSpaceDN/>
        <w:bidi w:val="0"/>
        <w:snapToGrid/>
        <w:spacing w:line="440" w:lineRule="exact"/>
        <w:ind w:firstLine="360" w:firstLineChars="15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所有石灰岩质量要求必须符合《沥青路面施工及验收规范》GB50092-96要求。</w:t>
      </w:r>
    </w:p>
    <w:p w14:paraId="30536C4A">
      <w:pPr>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3.1.2石灰岩质量要求</w:t>
      </w:r>
    </w:p>
    <w:p w14:paraId="6A2F61FC">
      <w:pPr>
        <w:spacing w:line="400" w:lineRule="exact"/>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石灰岩</w:t>
      </w:r>
      <w:r>
        <w:rPr>
          <w:rFonts w:hint="eastAsia" w:ascii="宋体" w:hAnsi="宋体" w:eastAsia="宋体" w:cs="宋体"/>
          <w:b/>
          <w:bCs/>
          <w:color w:val="auto"/>
          <w:sz w:val="24"/>
          <w:szCs w:val="24"/>
          <w:highlight w:val="none"/>
        </w:rPr>
        <w:t xml:space="preserve">（粗集料） </w:t>
      </w:r>
      <w:r>
        <w:rPr>
          <w:rFonts w:hint="eastAsia" w:ascii="宋体" w:hAnsi="宋体" w:eastAsia="宋体" w:cs="宋体"/>
          <w:b/>
          <w:bCs/>
          <w:color w:val="auto"/>
          <w:sz w:val="24"/>
          <w:szCs w:val="24"/>
          <w:highlight w:val="none"/>
          <w:lang w:eastAsia="zh-CN"/>
        </w:rPr>
        <w:t>技术指标要求</w:t>
      </w:r>
    </w:p>
    <w:p w14:paraId="439654CE">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color w:val="auto"/>
          <w:kern w:val="0"/>
          <w:sz w:val="24"/>
          <w:highlight w:val="none"/>
        </w:rPr>
      </w:pPr>
    </w:p>
    <w:tbl>
      <w:tblPr>
        <w:tblStyle w:val="46"/>
        <w:tblW w:w="900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0"/>
        <w:gridCol w:w="2341"/>
      </w:tblGrid>
      <w:tr w14:paraId="6755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3A90485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试 验 指 标</w:t>
            </w:r>
          </w:p>
        </w:tc>
        <w:tc>
          <w:tcPr>
            <w:tcW w:w="2341" w:type="dxa"/>
            <w:noWrap w:val="0"/>
            <w:vAlign w:val="top"/>
          </w:tcPr>
          <w:p w14:paraId="5D2EE3A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内     容</w:t>
            </w:r>
          </w:p>
        </w:tc>
      </w:tr>
      <w:tr w14:paraId="0298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2BA0E7F1">
            <w:pPr>
              <w:spacing w:line="400" w:lineRule="exact"/>
              <w:rPr>
                <w:rFonts w:ascii="宋体" w:hAnsi="宋体" w:cs="宋体"/>
                <w:color w:val="auto"/>
                <w:sz w:val="24"/>
                <w:highlight w:val="none"/>
              </w:rPr>
            </w:pPr>
            <w:r>
              <w:rPr>
                <w:rFonts w:hint="eastAsia" w:ascii="宋体" w:hAnsi="宋体" w:cs="宋体"/>
                <w:color w:val="auto"/>
                <w:sz w:val="24"/>
                <w:highlight w:val="none"/>
              </w:rPr>
              <w:t>石灰岩压碎值                          不大于（%）</w:t>
            </w:r>
          </w:p>
        </w:tc>
        <w:tc>
          <w:tcPr>
            <w:tcW w:w="2341" w:type="dxa"/>
            <w:noWrap w:val="0"/>
            <w:vAlign w:val="top"/>
          </w:tcPr>
          <w:p w14:paraId="7E457A6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24</w:t>
            </w:r>
          </w:p>
        </w:tc>
      </w:tr>
      <w:tr w14:paraId="7DE9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4DED3347">
            <w:pPr>
              <w:spacing w:line="400" w:lineRule="exact"/>
              <w:rPr>
                <w:rFonts w:ascii="宋体" w:hAnsi="宋体" w:cs="宋体"/>
                <w:color w:val="auto"/>
                <w:sz w:val="24"/>
                <w:highlight w:val="none"/>
              </w:rPr>
            </w:pPr>
            <w:r>
              <w:rPr>
                <w:rFonts w:hint="eastAsia" w:ascii="宋体" w:hAnsi="宋体" w:cs="宋体"/>
                <w:color w:val="auto"/>
                <w:sz w:val="24"/>
                <w:highlight w:val="none"/>
              </w:rPr>
              <w:t>洛杉矶磨耗损失                       不大于（%）</w:t>
            </w:r>
          </w:p>
        </w:tc>
        <w:tc>
          <w:tcPr>
            <w:tcW w:w="2341" w:type="dxa"/>
            <w:noWrap w:val="0"/>
            <w:vAlign w:val="top"/>
          </w:tcPr>
          <w:p w14:paraId="6760045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30</w:t>
            </w:r>
          </w:p>
        </w:tc>
      </w:tr>
      <w:tr w14:paraId="1BE6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3CCCB9EB">
            <w:pPr>
              <w:spacing w:line="400" w:lineRule="exact"/>
              <w:rPr>
                <w:rFonts w:ascii="宋体" w:hAnsi="宋体" w:cs="宋体"/>
                <w:color w:val="auto"/>
                <w:sz w:val="24"/>
                <w:highlight w:val="none"/>
              </w:rPr>
            </w:pPr>
            <w:r>
              <w:rPr>
                <w:rFonts w:hint="eastAsia" w:ascii="宋体" w:hAnsi="宋体" w:cs="宋体"/>
                <w:color w:val="auto"/>
                <w:sz w:val="24"/>
                <w:highlight w:val="none"/>
              </w:rPr>
              <w:t>视密度                               不大于（t/m3）</w:t>
            </w:r>
          </w:p>
        </w:tc>
        <w:tc>
          <w:tcPr>
            <w:tcW w:w="2341" w:type="dxa"/>
            <w:noWrap w:val="0"/>
            <w:vAlign w:val="top"/>
          </w:tcPr>
          <w:p w14:paraId="33954D2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2.50</w:t>
            </w:r>
          </w:p>
        </w:tc>
      </w:tr>
      <w:tr w14:paraId="7419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1EBF5030">
            <w:pPr>
              <w:spacing w:line="400" w:lineRule="exact"/>
              <w:rPr>
                <w:rFonts w:ascii="宋体" w:hAnsi="宋体" w:cs="宋体"/>
                <w:color w:val="auto"/>
                <w:sz w:val="24"/>
                <w:highlight w:val="none"/>
              </w:rPr>
            </w:pPr>
            <w:r>
              <w:rPr>
                <w:rFonts w:hint="eastAsia" w:ascii="宋体" w:hAnsi="宋体" w:cs="宋体"/>
                <w:color w:val="auto"/>
                <w:sz w:val="24"/>
                <w:highlight w:val="none"/>
              </w:rPr>
              <w:t>吸水率                               不大于（%）</w:t>
            </w:r>
          </w:p>
        </w:tc>
        <w:tc>
          <w:tcPr>
            <w:tcW w:w="2341" w:type="dxa"/>
            <w:noWrap w:val="0"/>
            <w:vAlign w:val="top"/>
          </w:tcPr>
          <w:p w14:paraId="7496195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2.0</w:t>
            </w:r>
          </w:p>
        </w:tc>
      </w:tr>
      <w:tr w14:paraId="07DD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1FFC7B36">
            <w:pPr>
              <w:spacing w:line="400" w:lineRule="exact"/>
              <w:rPr>
                <w:rFonts w:ascii="宋体" w:hAnsi="宋体" w:cs="宋体"/>
                <w:color w:val="auto"/>
                <w:sz w:val="24"/>
                <w:highlight w:val="none"/>
              </w:rPr>
            </w:pPr>
            <w:r>
              <w:rPr>
                <w:rFonts w:hint="eastAsia" w:ascii="宋体" w:hAnsi="宋体" w:cs="宋体"/>
                <w:color w:val="auto"/>
                <w:sz w:val="24"/>
                <w:highlight w:val="none"/>
              </w:rPr>
              <w:t>对沥青的粘附性                       不小于</w:t>
            </w:r>
          </w:p>
        </w:tc>
        <w:tc>
          <w:tcPr>
            <w:tcW w:w="2341" w:type="dxa"/>
            <w:noWrap w:val="0"/>
            <w:vAlign w:val="top"/>
          </w:tcPr>
          <w:p w14:paraId="75E89AF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4级</w:t>
            </w:r>
          </w:p>
        </w:tc>
      </w:tr>
      <w:tr w14:paraId="6CDA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6DF52D73">
            <w:pPr>
              <w:spacing w:line="400" w:lineRule="exact"/>
              <w:rPr>
                <w:rFonts w:ascii="宋体" w:hAnsi="宋体" w:cs="宋体"/>
                <w:color w:val="auto"/>
                <w:sz w:val="24"/>
                <w:highlight w:val="none"/>
              </w:rPr>
            </w:pPr>
            <w:r>
              <w:rPr>
                <w:rFonts w:hint="eastAsia" w:ascii="宋体" w:hAnsi="宋体" w:cs="宋体"/>
                <w:color w:val="auto"/>
                <w:sz w:val="24"/>
                <w:highlight w:val="none"/>
              </w:rPr>
              <w:t>坚固性                               不大于（%）</w:t>
            </w:r>
          </w:p>
        </w:tc>
        <w:tc>
          <w:tcPr>
            <w:tcW w:w="2341" w:type="dxa"/>
            <w:noWrap w:val="0"/>
            <w:vAlign w:val="top"/>
          </w:tcPr>
          <w:p w14:paraId="4CB28F4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r>
      <w:tr w14:paraId="672E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5702153D">
            <w:pPr>
              <w:spacing w:line="400" w:lineRule="exact"/>
              <w:rPr>
                <w:rFonts w:ascii="宋体" w:hAnsi="宋体" w:cs="宋体"/>
                <w:color w:val="auto"/>
                <w:sz w:val="24"/>
                <w:highlight w:val="none"/>
              </w:rPr>
            </w:pPr>
            <w:r>
              <w:rPr>
                <w:rFonts w:hint="eastAsia" w:ascii="宋体" w:hAnsi="宋体" w:cs="宋体"/>
                <w:color w:val="auto"/>
                <w:sz w:val="24"/>
                <w:highlight w:val="none"/>
              </w:rPr>
              <w:t>细长扁平颗粒含量                     不大于（%）</w:t>
            </w:r>
          </w:p>
        </w:tc>
        <w:tc>
          <w:tcPr>
            <w:tcW w:w="2341" w:type="dxa"/>
            <w:noWrap w:val="0"/>
            <w:vAlign w:val="top"/>
          </w:tcPr>
          <w:p w14:paraId="3F4C6D0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r>
      <w:tr w14:paraId="5DEE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15130F23">
            <w:pPr>
              <w:spacing w:line="400" w:lineRule="exact"/>
              <w:rPr>
                <w:rFonts w:ascii="宋体" w:hAnsi="宋体" w:cs="宋体"/>
                <w:color w:val="auto"/>
                <w:sz w:val="24"/>
                <w:highlight w:val="none"/>
              </w:rPr>
            </w:pPr>
            <w:r>
              <w:rPr>
                <w:rFonts w:hint="eastAsia" w:ascii="宋体" w:hAnsi="宋体" w:cs="宋体"/>
                <w:color w:val="auto"/>
                <w:sz w:val="24"/>
                <w:highlight w:val="none"/>
              </w:rPr>
              <w:t>水洗法＜0.075mm颗粒含量              不大于（%）</w:t>
            </w:r>
          </w:p>
        </w:tc>
        <w:tc>
          <w:tcPr>
            <w:tcW w:w="2341" w:type="dxa"/>
            <w:noWrap w:val="0"/>
            <w:vAlign w:val="top"/>
          </w:tcPr>
          <w:p w14:paraId="4AD1BBD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r>
      <w:tr w14:paraId="2D56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16DA97A7">
            <w:pPr>
              <w:spacing w:line="400" w:lineRule="exact"/>
              <w:rPr>
                <w:rFonts w:ascii="宋体" w:hAnsi="宋体" w:cs="宋体"/>
                <w:color w:val="auto"/>
                <w:sz w:val="24"/>
                <w:highlight w:val="none"/>
              </w:rPr>
            </w:pPr>
            <w:r>
              <w:rPr>
                <w:rFonts w:hint="eastAsia" w:ascii="宋体" w:hAnsi="宋体" w:cs="宋体"/>
                <w:color w:val="auto"/>
                <w:sz w:val="24"/>
                <w:highlight w:val="none"/>
              </w:rPr>
              <w:t>软石含量                              不大于（%）</w:t>
            </w:r>
          </w:p>
        </w:tc>
        <w:tc>
          <w:tcPr>
            <w:tcW w:w="2341" w:type="dxa"/>
            <w:noWrap w:val="0"/>
            <w:vAlign w:val="top"/>
          </w:tcPr>
          <w:p w14:paraId="6DED5FE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r>
      <w:tr w14:paraId="3C67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6ABA7B55">
            <w:pPr>
              <w:spacing w:line="400" w:lineRule="exact"/>
              <w:rPr>
                <w:rFonts w:ascii="宋体" w:hAnsi="宋体" w:cs="宋体"/>
                <w:color w:val="auto"/>
                <w:sz w:val="24"/>
                <w:highlight w:val="none"/>
              </w:rPr>
            </w:pPr>
            <w:r>
              <w:rPr>
                <w:rFonts w:hint="eastAsia" w:ascii="宋体" w:hAnsi="宋体" w:cs="宋体"/>
                <w:color w:val="auto"/>
                <w:sz w:val="24"/>
                <w:highlight w:val="none"/>
              </w:rPr>
              <w:t>石灰岩磨光值                          不小于（BPN）</w:t>
            </w:r>
          </w:p>
        </w:tc>
        <w:tc>
          <w:tcPr>
            <w:tcW w:w="2341" w:type="dxa"/>
            <w:noWrap w:val="0"/>
            <w:vAlign w:val="top"/>
          </w:tcPr>
          <w:p w14:paraId="452AC51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42</w:t>
            </w:r>
          </w:p>
        </w:tc>
      </w:tr>
      <w:tr w14:paraId="4A86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0" w:type="dxa"/>
            <w:noWrap w:val="0"/>
            <w:vAlign w:val="top"/>
          </w:tcPr>
          <w:p w14:paraId="12CD36DF">
            <w:pPr>
              <w:spacing w:line="400" w:lineRule="exact"/>
              <w:rPr>
                <w:rFonts w:ascii="宋体" w:hAnsi="宋体" w:cs="宋体"/>
                <w:color w:val="auto"/>
                <w:sz w:val="24"/>
                <w:highlight w:val="none"/>
              </w:rPr>
            </w:pPr>
            <w:r>
              <w:rPr>
                <w:rFonts w:hint="eastAsia" w:ascii="宋体" w:hAnsi="宋体" w:cs="宋体"/>
                <w:color w:val="auto"/>
                <w:sz w:val="24"/>
                <w:highlight w:val="none"/>
              </w:rPr>
              <w:t>石灰岩冲击值                          不大于（%）</w:t>
            </w:r>
          </w:p>
        </w:tc>
        <w:tc>
          <w:tcPr>
            <w:tcW w:w="2341" w:type="dxa"/>
            <w:noWrap w:val="0"/>
            <w:vAlign w:val="top"/>
          </w:tcPr>
          <w:p w14:paraId="2192499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28</w:t>
            </w:r>
          </w:p>
        </w:tc>
      </w:tr>
    </w:tbl>
    <w:p w14:paraId="1AC240A9">
      <w:pPr>
        <w:rPr>
          <w:rFonts w:hint="eastAsia" w:ascii="宋体" w:hAnsi="宋体" w:eastAsia="宋体" w:cs="宋体"/>
          <w:color w:val="auto"/>
          <w:sz w:val="24"/>
          <w:szCs w:val="24"/>
          <w:highlight w:val="none"/>
        </w:rPr>
      </w:pPr>
    </w:p>
    <w:p w14:paraId="60BA01D1">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注：①坚固性试验可根据需要进行；</w:t>
      </w:r>
    </w:p>
    <w:p w14:paraId="09262B6A">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②当粗集料用于高速公路、一级公路和城市快速路、主干道时，多孔</w:t>
      </w:r>
      <w:r>
        <w:rPr>
          <w:rFonts w:hint="eastAsia" w:ascii="宋体" w:hAnsi="宋体" w:cs="宋体"/>
          <w:color w:val="auto"/>
          <w:sz w:val="24"/>
          <w:highlight w:val="none"/>
          <w:lang w:eastAsia="zh-CN"/>
        </w:rPr>
        <w:t>石灰岩</w:t>
      </w:r>
      <w:r>
        <w:rPr>
          <w:rFonts w:hint="eastAsia" w:ascii="宋体" w:hAnsi="宋体" w:eastAsia="宋体" w:cs="宋体"/>
          <w:color w:val="auto"/>
          <w:sz w:val="24"/>
          <w:highlight w:val="none"/>
        </w:rPr>
        <w:t>的视密度可放宽至2.45t/m3，吸水率可放宽至3%，并得到主管部门的批准；</w:t>
      </w:r>
    </w:p>
    <w:p w14:paraId="4315229C">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③石灰岩磨光值是为高速公路、一级公路和城市快速路、主干道的表层抗滑需要而试验的指标，石灰岩冲击值可根据需要进行。其他公路与城市道路如需要时，可提出相应的指标；</w:t>
      </w:r>
    </w:p>
    <w:p w14:paraId="1503AE0F">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④钢渣的游离氧化钙的含量不应大于3%，浸水后的膨胀率不应大于2%。</w:t>
      </w:r>
    </w:p>
    <w:p w14:paraId="0CFE1F4E">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石灰岩细集料质量要求</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1"/>
        <w:gridCol w:w="2693"/>
      </w:tblGrid>
      <w:tr w14:paraId="17AC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321" w:type="dxa"/>
            <w:noWrap w:val="0"/>
            <w:vAlign w:val="center"/>
          </w:tcPr>
          <w:p w14:paraId="33CA7A4B">
            <w:pPr>
              <w:tabs>
                <w:tab w:val="left" w:pos="1665"/>
              </w:tabs>
              <w:spacing w:line="400" w:lineRule="exact"/>
              <w:jc w:val="center"/>
              <w:rPr>
                <w:rFonts w:ascii="宋体" w:hAnsi="宋体" w:cs="宋体"/>
                <w:color w:val="auto"/>
                <w:sz w:val="24"/>
                <w:highlight w:val="none"/>
              </w:rPr>
            </w:pPr>
            <w:r>
              <w:rPr>
                <w:rFonts w:hint="eastAsia" w:ascii="宋体" w:hAnsi="宋体" w:cs="宋体"/>
                <w:color w:val="auto"/>
                <w:sz w:val="24"/>
                <w:highlight w:val="none"/>
              </w:rPr>
              <w:t>试  验  指  标</w:t>
            </w:r>
          </w:p>
        </w:tc>
        <w:tc>
          <w:tcPr>
            <w:tcW w:w="2693" w:type="dxa"/>
            <w:noWrap w:val="0"/>
            <w:vAlign w:val="center"/>
          </w:tcPr>
          <w:p w14:paraId="084E671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内     容</w:t>
            </w:r>
          </w:p>
        </w:tc>
      </w:tr>
      <w:tr w14:paraId="6F37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noWrap w:val="0"/>
            <w:vAlign w:val="top"/>
          </w:tcPr>
          <w:p w14:paraId="4EA6E65F">
            <w:pPr>
              <w:spacing w:line="400" w:lineRule="exact"/>
              <w:rPr>
                <w:rFonts w:ascii="宋体" w:hAnsi="宋体" w:cs="宋体"/>
                <w:color w:val="auto"/>
                <w:sz w:val="24"/>
                <w:highlight w:val="none"/>
              </w:rPr>
            </w:pPr>
            <w:r>
              <w:rPr>
                <w:rFonts w:hint="eastAsia" w:ascii="宋体" w:hAnsi="宋体" w:cs="宋体"/>
                <w:color w:val="auto"/>
                <w:sz w:val="24"/>
                <w:highlight w:val="none"/>
              </w:rPr>
              <w:t>视密度                           不小于（t/m3）</w:t>
            </w:r>
          </w:p>
        </w:tc>
        <w:tc>
          <w:tcPr>
            <w:tcW w:w="2693" w:type="dxa"/>
            <w:noWrap w:val="0"/>
            <w:vAlign w:val="top"/>
          </w:tcPr>
          <w:p w14:paraId="0B57DEB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2.50</w:t>
            </w:r>
          </w:p>
        </w:tc>
      </w:tr>
      <w:tr w14:paraId="65B8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21" w:type="dxa"/>
            <w:noWrap w:val="0"/>
            <w:vAlign w:val="top"/>
          </w:tcPr>
          <w:p w14:paraId="25CC1B78">
            <w:pPr>
              <w:spacing w:line="400" w:lineRule="exact"/>
              <w:rPr>
                <w:rFonts w:ascii="宋体" w:hAnsi="宋体" w:cs="宋体"/>
                <w:color w:val="auto"/>
                <w:sz w:val="24"/>
                <w:highlight w:val="none"/>
              </w:rPr>
            </w:pPr>
            <w:r>
              <w:rPr>
                <w:rFonts w:hint="eastAsia" w:ascii="宋体" w:hAnsi="宋体" w:cs="宋体"/>
                <w:color w:val="auto"/>
                <w:sz w:val="24"/>
                <w:highlight w:val="none"/>
              </w:rPr>
              <w:t>坚固性（＞0.3mm部分）             不大于（%）</w:t>
            </w:r>
          </w:p>
        </w:tc>
        <w:tc>
          <w:tcPr>
            <w:tcW w:w="2693" w:type="dxa"/>
            <w:noWrap w:val="0"/>
            <w:vAlign w:val="top"/>
          </w:tcPr>
          <w:p w14:paraId="57ED63A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r>
      <w:tr w14:paraId="01B2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21" w:type="dxa"/>
            <w:noWrap w:val="0"/>
            <w:vAlign w:val="top"/>
          </w:tcPr>
          <w:p w14:paraId="03B9358D">
            <w:pPr>
              <w:spacing w:line="400" w:lineRule="exact"/>
              <w:rPr>
                <w:rFonts w:ascii="宋体" w:hAnsi="宋体" w:cs="宋体"/>
                <w:color w:val="auto"/>
                <w:sz w:val="24"/>
                <w:highlight w:val="none"/>
              </w:rPr>
            </w:pPr>
            <w:r>
              <w:rPr>
                <w:rFonts w:hint="eastAsia" w:ascii="宋体" w:hAnsi="宋体" w:cs="宋体"/>
                <w:color w:val="auto"/>
                <w:sz w:val="24"/>
                <w:highlight w:val="none"/>
              </w:rPr>
              <w:t>砂当量                             不小于（%）</w:t>
            </w:r>
          </w:p>
        </w:tc>
        <w:tc>
          <w:tcPr>
            <w:tcW w:w="2693" w:type="dxa"/>
            <w:noWrap w:val="0"/>
            <w:vAlign w:val="top"/>
          </w:tcPr>
          <w:p w14:paraId="76816FA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60</w:t>
            </w:r>
          </w:p>
        </w:tc>
      </w:tr>
    </w:tbl>
    <w:p w14:paraId="30C2AEF3">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注：①坚固性试验可根据需要进行；</w:t>
      </w:r>
    </w:p>
    <w:p w14:paraId="7623B1B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②当进行砂当量试验有困难时，也可用水洗法测定小于0.075mm部分的含量（仅适用于天然砂），对高速公路、一级公路城市快速路、主干路要求该含量不大于3%，对其他公路与城市道路要求该含量不大于5%。</w:t>
      </w:r>
    </w:p>
    <w:p w14:paraId="453A0C76">
      <w:pPr>
        <w:pStyle w:val="44"/>
        <w:spacing w:line="400" w:lineRule="exact"/>
        <w:rPr>
          <w:rFonts w:hint="eastAsia" w:ascii="宋体" w:hAnsi="宋体" w:eastAsia="宋体" w:cs="宋体"/>
          <w:color w:val="auto"/>
          <w:sz w:val="24"/>
          <w:szCs w:val="24"/>
          <w:highlight w:val="none"/>
        </w:rPr>
      </w:pPr>
      <w:bookmarkStart w:id="132" w:name="OLE_LINK6"/>
      <w:r>
        <w:rPr>
          <w:rFonts w:hint="eastAsia" w:ascii="宋体" w:hAnsi="宋体" w:eastAsia="宋体" w:cs="宋体"/>
          <w:color w:val="auto"/>
          <w:sz w:val="24"/>
          <w:szCs w:val="24"/>
          <w:highlight w:val="none"/>
        </w:rPr>
        <w:t>▲</w:t>
      </w:r>
      <w:bookmarkEnd w:id="132"/>
      <w:r>
        <w:rPr>
          <w:rFonts w:hint="eastAsia" w:ascii="宋体" w:hAnsi="宋体" w:eastAsia="宋体" w:cs="宋体"/>
          <w:color w:val="auto"/>
          <w:sz w:val="24"/>
          <w:szCs w:val="24"/>
          <w:highlight w:val="none"/>
        </w:rPr>
        <w:t>3.2原材料在进料前应在有资质的试验室至少做一次试验，确保合格后，方可使用。并在供货时向业主提交相关检验报告单。</w:t>
      </w:r>
    </w:p>
    <w:p w14:paraId="2672CF96">
      <w:pPr>
        <w:pStyle w:val="44"/>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4、供货要求</w:t>
      </w:r>
    </w:p>
    <w:p w14:paraId="28020466">
      <w:pPr>
        <w:pStyle w:val="44"/>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4.1供货</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需要送货，并须有采购人当场验收。供货地点：采购人指定地点。</w:t>
      </w:r>
    </w:p>
    <w:p w14:paraId="79D39FC0">
      <w:pPr>
        <w:pStyle w:val="44"/>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▲4.2提供</w:t>
      </w:r>
      <w:r>
        <w:rPr>
          <w:rFonts w:hint="eastAsia" w:ascii="宋体" w:hAnsi="宋体" w:eastAsia="宋体" w:cs="宋体"/>
          <w:color w:val="auto"/>
          <w:sz w:val="24"/>
          <w:szCs w:val="24"/>
          <w:highlight w:val="none"/>
          <w:lang w:eastAsia="zh-CN"/>
        </w:rPr>
        <w:t>石灰岩</w:t>
      </w:r>
      <w:r>
        <w:rPr>
          <w:rFonts w:hint="eastAsia" w:ascii="宋体" w:hAnsi="宋体" w:eastAsia="宋体" w:cs="宋体"/>
          <w:color w:val="auto"/>
          <w:sz w:val="24"/>
          <w:szCs w:val="24"/>
          <w:highlight w:val="none"/>
        </w:rPr>
        <w:t>的矿源必须100%由采购人认可，且</w:t>
      </w:r>
      <w:r>
        <w:rPr>
          <w:rFonts w:hint="eastAsia" w:ascii="宋体" w:hAnsi="宋体" w:eastAsia="宋体" w:cs="宋体"/>
          <w:color w:val="auto"/>
          <w:sz w:val="24"/>
          <w:szCs w:val="24"/>
          <w:highlight w:val="none"/>
          <w:lang w:eastAsia="zh-CN"/>
        </w:rPr>
        <w:t>石灰岩</w:t>
      </w:r>
      <w:r>
        <w:rPr>
          <w:rFonts w:hint="eastAsia" w:ascii="宋体" w:hAnsi="宋体" w:eastAsia="宋体" w:cs="宋体"/>
          <w:color w:val="auto"/>
          <w:sz w:val="24"/>
          <w:szCs w:val="24"/>
          <w:highlight w:val="none"/>
        </w:rPr>
        <w:t>质量满足采购人的生产要求。若到新石矿进料，须提前以书面形式告知采购人，并经采购人确认同意后方可进料。</w:t>
      </w:r>
    </w:p>
    <w:p w14:paraId="50606E05">
      <w:pPr>
        <w:pStyle w:val="44"/>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▲4.3本项目实施过程中引起的安全责任事故均</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中标单位承担。</w:t>
      </w:r>
    </w:p>
    <w:p w14:paraId="76AF80CC">
      <w:pPr>
        <w:pStyle w:val="44"/>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5、验收</w:t>
      </w:r>
    </w:p>
    <w:p w14:paraId="3992F25C">
      <w:pPr>
        <w:pStyle w:val="44"/>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5.1材料运达到货地点后，由采购人</w:t>
      </w:r>
      <w:r>
        <w:rPr>
          <w:rFonts w:hint="eastAsia" w:ascii="宋体" w:hAnsi="宋体" w:eastAsia="宋体" w:cs="宋体"/>
          <w:color w:val="auto"/>
          <w:sz w:val="24"/>
          <w:szCs w:val="24"/>
          <w:highlight w:val="none"/>
          <w:lang w:eastAsia="zh-CN"/>
        </w:rPr>
        <w:t>过磅</w:t>
      </w:r>
      <w:r>
        <w:rPr>
          <w:rFonts w:hint="eastAsia" w:ascii="宋体" w:hAnsi="宋体" w:eastAsia="宋体" w:cs="宋体"/>
          <w:color w:val="auto"/>
          <w:sz w:val="24"/>
          <w:szCs w:val="24"/>
          <w:highlight w:val="none"/>
        </w:rPr>
        <w:t>接货。如因包装或运输不当造成材料质量下降或缺损等，中标人承担责任。</w:t>
      </w:r>
    </w:p>
    <w:p w14:paraId="4D578049">
      <w:pPr>
        <w:pStyle w:val="44"/>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材料到达交货地点后，中标人应按采购人安排的时间派人到交货点进行检验。中标人应按合同所需供应的材料提供检测报告单，供需双方按合同要求进行验收，若有短少或不符合标准的材料，中标人应12小时内补足或更换全新同规格的材料，并承担由此产生的一切费用；如果该不合格材料已经被使用，由此引发的一切后果由中标人承担。</w:t>
      </w:r>
    </w:p>
    <w:p w14:paraId="34DD8A7E">
      <w:pPr>
        <w:pStyle w:val="44"/>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在供货期间如采购人发现产品存在质量疑问时，中标人须和采购人一起在公开、公正的情况下按现行规范对存在疑问的产品进行取样、封存，并委托由采购人指定的试验检测单位进行检验，试验费用由中标人承担。</w:t>
      </w:r>
    </w:p>
    <w:p w14:paraId="51C0D46B">
      <w:pPr>
        <w:pStyle w:val="44"/>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5.4中标人所提供产品的试验费用由中标人承担，相应材料的抽验频率按有关国家标准、行业标准确定。材料抽查频率如下：每批次随机抽检。</w:t>
      </w:r>
    </w:p>
    <w:p w14:paraId="6EDC382C">
      <w:pPr>
        <w:pStyle w:val="44"/>
        <w:spacing w:line="4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6、付款方式：</w:t>
      </w:r>
      <w:r>
        <w:rPr>
          <w:rFonts w:hint="eastAsia" w:ascii="宋体" w:hAnsi="宋体" w:eastAsia="宋体" w:cs="宋体"/>
          <w:color w:val="auto"/>
          <w:sz w:val="24"/>
          <w:szCs w:val="24"/>
          <w:highlight w:val="none"/>
          <w:u w:val="single"/>
          <w:lang w:val="en-US" w:eastAsia="zh-CN"/>
        </w:rPr>
        <w:t>每月24日对账结算，以双方签字盖章的结算单为付款依据，次月月底支付上月总货款的70%，每月剩余货款待合同到期后6个月内全款无息付清，乙方应开具13%的增值税专用发票。</w:t>
      </w:r>
      <w:r>
        <w:rPr>
          <w:rFonts w:hint="eastAsia" w:ascii="宋体" w:hAnsi="宋体" w:eastAsia="宋体" w:cs="宋体"/>
          <w:color w:val="auto"/>
          <w:sz w:val="24"/>
          <w:szCs w:val="24"/>
          <w:highlight w:val="none"/>
          <w:u w:val="none"/>
          <w:lang w:val="en-US" w:eastAsia="zh-CN"/>
        </w:rPr>
        <w:t xml:space="preserve"> </w:t>
      </w:r>
    </w:p>
    <w:p w14:paraId="2C22B2C5">
      <w:pPr>
        <w:rPr>
          <w:rFonts w:hint="eastAsia"/>
          <w:color w:val="auto"/>
          <w:sz w:val="32"/>
          <w:szCs w:val="32"/>
          <w:highlight w:val="none"/>
        </w:rPr>
      </w:pPr>
      <w:r>
        <w:rPr>
          <w:rFonts w:hint="eastAsia"/>
          <w:color w:val="auto"/>
          <w:sz w:val="32"/>
          <w:szCs w:val="32"/>
          <w:highlight w:val="none"/>
        </w:rPr>
        <w:br w:type="page"/>
      </w:r>
    </w:p>
    <w:p w14:paraId="200CDD7E">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2"/>
          <w:szCs w:val="32"/>
          <w:highlight w:val="none"/>
        </w:rPr>
      </w:pPr>
      <w:bookmarkStart w:id="133" w:name="_Toc32388"/>
      <w:r>
        <w:rPr>
          <w:rFonts w:hint="eastAsia"/>
          <w:color w:val="auto"/>
          <w:sz w:val="32"/>
          <w:szCs w:val="32"/>
          <w:highlight w:val="none"/>
        </w:rPr>
        <w:t>第四部分  合同条款</w:t>
      </w:r>
      <w:bookmarkEnd w:id="4"/>
      <w:bookmarkEnd w:id="5"/>
      <w:bookmarkEnd w:id="6"/>
      <w:bookmarkEnd w:id="7"/>
      <w:bookmarkEnd w:id="8"/>
      <w:bookmarkEnd w:id="9"/>
      <w:bookmarkEnd w:id="128"/>
      <w:bookmarkEnd w:id="133"/>
    </w:p>
    <w:p w14:paraId="1D3E8846">
      <w:pPr>
        <w:widowControl w:val="0"/>
        <w:numPr>
          <w:ilvl w:val="0"/>
          <w:numId w:val="0"/>
        </w:numPr>
        <w:spacing w:after="0" w:afterLines="0"/>
        <w:ind w:leftChars="0"/>
        <w:jc w:val="center"/>
        <w:rPr>
          <w:rFonts w:hint="eastAsia" w:ascii="宋体" w:hAnsi="宋体" w:eastAsia="宋体" w:cs="宋体"/>
          <w:b/>
          <w:bCs/>
          <w:color w:val="auto"/>
          <w:spacing w:val="-20"/>
          <w:kern w:val="44"/>
          <w:sz w:val="32"/>
          <w:szCs w:val="32"/>
          <w:highlight w:val="none"/>
          <w:lang w:val="en-US" w:eastAsia="zh-CN" w:bidi="ar-SA"/>
        </w:rPr>
      </w:pPr>
      <w:bookmarkStart w:id="134" w:name="_Toc23822"/>
      <w:bookmarkStart w:id="135" w:name="_Toc249760790"/>
      <w:bookmarkStart w:id="136" w:name="_Toc251566661"/>
      <w:bookmarkStart w:id="137" w:name="_Toc5202"/>
      <w:bookmarkStart w:id="138" w:name="_Toc14349"/>
      <w:bookmarkStart w:id="139" w:name="_Toc31852"/>
      <w:r>
        <w:rPr>
          <w:rFonts w:hint="eastAsia" w:ascii="宋体" w:hAnsi="宋体" w:eastAsia="宋体" w:cs="宋体"/>
          <w:b/>
          <w:bCs/>
          <w:color w:val="auto"/>
          <w:spacing w:val="-20"/>
          <w:kern w:val="44"/>
          <w:sz w:val="32"/>
          <w:szCs w:val="32"/>
          <w:highlight w:val="none"/>
          <w:lang w:val="en-US" w:eastAsia="zh-CN" w:bidi="ar-SA"/>
        </w:rPr>
        <w:t>采购货物买卖合同</w:t>
      </w:r>
    </w:p>
    <w:p w14:paraId="7B8E95F7">
      <w:pPr>
        <w:rPr>
          <w:rFonts w:ascii="宋体" w:hAnsi="宋体" w:eastAsia="宋体" w:cs="宋体"/>
          <w:b/>
          <w:bCs/>
          <w:color w:val="auto"/>
          <w:spacing w:val="-20"/>
          <w:kern w:val="44"/>
          <w:sz w:val="40"/>
          <w:szCs w:val="40"/>
          <w:highlight w:val="none"/>
        </w:rPr>
      </w:pPr>
    </w:p>
    <w:p w14:paraId="3A567F07">
      <w:pPr>
        <w:rPr>
          <w:rFonts w:ascii="宋体" w:hAnsi="宋体" w:eastAsia="宋体" w:cs="宋体"/>
          <w:b/>
          <w:bCs/>
          <w:color w:val="auto"/>
          <w:spacing w:val="-20"/>
          <w:kern w:val="44"/>
          <w:sz w:val="40"/>
          <w:szCs w:val="40"/>
          <w:highlight w:val="none"/>
        </w:rPr>
      </w:pPr>
    </w:p>
    <w:p w14:paraId="4D2F7473">
      <w:pPr>
        <w:rPr>
          <w:rFonts w:ascii="宋体" w:hAnsi="宋体" w:eastAsia="宋体" w:cs="宋体"/>
          <w:b/>
          <w:bCs/>
          <w:color w:val="auto"/>
          <w:spacing w:val="-20"/>
          <w:kern w:val="44"/>
          <w:sz w:val="40"/>
          <w:szCs w:val="40"/>
          <w:highlight w:val="none"/>
        </w:rPr>
      </w:pPr>
    </w:p>
    <w:p w14:paraId="0F9CF3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项目名称：</w:t>
      </w:r>
      <w:r>
        <w:rPr>
          <w:rFonts w:hint="eastAsia" w:ascii="宋体" w:hAnsi="宋体" w:cs="宋体"/>
          <w:color w:val="auto"/>
          <w:kern w:val="0"/>
          <w:sz w:val="28"/>
          <w:szCs w:val="28"/>
          <w:highlight w:val="none"/>
          <w:u w:val="single"/>
          <w:lang w:eastAsia="zh-CN"/>
        </w:rPr>
        <w:t>浦江县交投贸易有限公司2024年-2025年石灰岩采购项目</w:t>
      </w:r>
    </w:p>
    <w:p w14:paraId="35A6789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宋体" w:cs="Times New Roman"/>
          <w:color w:val="auto"/>
          <w:sz w:val="28"/>
          <w:szCs w:val="28"/>
          <w:highlight w:val="none"/>
          <w:u w:val="single"/>
        </w:rPr>
      </w:pPr>
      <w:r>
        <w:rPr>
          <w:rFonts w:hint="eastAsia" w:cs="Times New Roman"/>
          <w:color w:val="auto"/>
          <w:sz w:val="28"/>
          <w:szCs w:val="28"/>
          <w:highlight w:val="none"/>
          <w:lang w:eastAsia="zh-CN"/>
        </w:rPr>
        <w:t>项目</w:t>
      </w:r>
      <w:bookmarkStart w:id="275" w:name="_GoBack"/>
      <w:bookmarkEnd w:id="275"/>
      <w:r>
        <w:rPr>
          <w:rFonts w:hint="eastAsia" w:ascii="Times New Roman" w:hAnsi="Times New Roman" w:eastAsia="宋体" w:cs="Times New Roman"/>
          <w:color w:val="auto"/>
          <w:sz w:val="28"/>
          <w:szCs w:val="28"/>
          <w:highlight w:val="none"/>
        </w:rPr>
        <w:t>编号：</w:t>
      </w:r>
      <w:r>
        <w:rPr>
          <w:rFonts w:hint="eastAsia" w:ascii="Times New Roman" w:hAnsi="Times New Roman" w:eastAsia="宋体" w:cs="Times New Roman"/>
          <w:color w:val="auto"/>
          <w:sz w:val="28"/>
          <w:szCs w:val="28"/>
          <w:highlight w:val="none"/>
          <w:u w:val="single"/>
        </w:rPr>
        <w:t xml:space="preserve">                             </w:t>
      </w:r>
    </w:p>
    <w:p w14:paraId="4E706B8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甲    方：</w:t>
      </w:r>
      <w:r>
        <w:rPr>
          <w:rFonts w:hint="eastAsia" w:cs="Times New Roman"/>
          <w:color w:val="auto"/>
          <w:sz w:val="28"/>
          <w:szCs w:val="28"/>
          <w:highlight w:val="none"/>
          <w:u w:val="single"/>
          <w:lang w:eastAsia="zh-CN"/>
        </w:rPr>
        <w:t>浦江县交投贸易有限公司</w:t>
      </w:r>
      <w:r>
        <w:rPr>
          <w:rFonts w:hint="eastAsia" w:ascii="Times New Roman" w:hAnsi="Times New Roman" w:eastAsia="宋体" w:cs="Times New Roman"/>
          <w:color w:val="auto"/>
          <w:sz w:val="28"/>
          <w:szCs w:val="28"/>
          <w:highlight w:val="none"/>
        </w:rPr>
        <w:t xml:space="preserve"> </w:t>
      </w:r>
    </w:p>
    <w:p w14:paraId="1ABCFAA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宋体" w:cs="Times New Roman"/>
          <w:color w:val="auto"/>
          <w:sz w:val="28"/>
          <w:szCs w:val="28"/>
          <w:highlight w:val="none"/>
          <w:u w:val="single"/>
        </w:rPr>
      </w:pPr>
      <w:r>
        <w:rPr>
          <w:rFonts w:hint="eastAsia" w:ascii="Times New Roman" w:hAnsi="Times New Roman" w:eastAsia="宋体" w:cs="Times New Roman"/>
          <w:color w:val="auto"/>
          <w:sz w:val="28"/>
          <w:szCs w:val="28"/>
          <w:highlight w:val="none"/>
        </w:rPr>
        <w:t>乙    方：</w:t>
      </w:r>
      <w:r>
        <w:rPr>
          <w:rFonts w:hint="eastAsia" w:ascii="Times New Roman" w:hAnsi="Times New Roman" w:eastAsia="宋体" w:cs="Times New Roman"/>
          <w:color w:val="auto"/>
          <w:sz w:val="28"/>
          <w:szCs w:val="28"/>
          <w:highlight w:val="none"/>
          <w:u w:val="single"/>
        </w:rPr>
        <w:t xml:space="preserve">                             </w:t>
      </w:r>
    </w:p>
    <w:p w14:paraId="283B500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签订时间：</w:t>
      </w:r>
      <w:r>
        <w:rPr>
          <w:rFonts w:hint="eastAsia" w:ascii="Times New Roman" w:hAnsi="Times New Roman" w:eastAsia="宋体" w:cs="Times New Roman"/>
          <w:color w:val="auto"/>
          <w:sz w:val="28"/>
          <w:szCs w:val="28"/>
          <w:highlight w:val="none"/>
          <w:u w:val="single"/>
        </w:rPr>
        <w:t xml:space="preserve">      </w:t>
      </w:r>
      <w:r>
        <w:rPr>
          <w:rFonts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u w:val="single"/>
        </w:rPr>
        <w:t xml:space="preserve">            </w:t>
      </w:r>
    </w:p>
    <w:p w14:paraId="61EEEE08">
      <w:pPr>
        <w:rPr>
          <w:rFonts w:ascii="Times New Roman" w:hAnsi="Times New Roman" w:eastAsia="宋体" w:cs="Times New Roman"/>
          <w:color w:val="auto"/>
          <w:highlight w:val="none"/>
        </w:rPr>
      </w:pPr>
    </w:p>
    <w:p w14:paraId="01FC616E">
      <w:pPr>
        <w:keepNext/>
        <w:keepLines/>
        <w:widowControl w:val="0"/>
        <w:adjustRightInd w:val="0"/>
        <w:snapToGrid w:val="0"/>
        <w:spacing w:before="260" w:beforeLines="0" w:after="260" w:afterLines="0" w:line="400" w:lineRule="exact"/>
        <w:jc w:val="center"/>
        <w:outlineLvl w:val="9"/>
        <w:rPr>
          <w:rFonts w:ascii="黑体" w:hAnsi="黑体" w:eastAsia="黑体" w:cs="Times New Roman"/>
          <w:b/>
          <w:bCs/>
          <w:color w:val="auto"/>
          <w:kern w:val="2"/>
          <w:sz w:val="44"/>
          <w:szCs w:val="44"/>
          <w:highlight w:val="none"/>
          <w:lang w:val="en-US" w:eastAsia="zh-CN" w:bidi="ar-SA"/>
        </w:rPr>
        <w:sectPr>
          <w:headerReference r:id="rId8" w:type="default"/>
          <w:footerReference r:id="rId9" w:type="default"/>
          <w:pgSz w:w="11906" w:h="16838"/>
          <w:pgMar w:top="1474" w:right="1134" w:bottom="1134" w:left="1361" w:header="850" w:footer="850" w:gutter="0"/>
          <w:pgBorders>
            <w:top w:val="none" w:sz="0" w:space="0"/>
            <w:left w:val="none" w:sz="0" w:space="0"/>
            <w:bottom w:val="none" w:sz="0" w:space="0"/>
            <w:right w:val="none" w:sz="0" w:space="0"/>
          </w:pgBorders>
          <w:pgNumType w:fmt="decimal"/>
          <w:cols w:space="720" w:num="1"/>
          <w:rtlGutter w:val="0"/>
          <w:docGrid w:linePitch="312" w:charSpace="0"/>
        </w:sectPr>
      </w:pPr>
    </w:p>
    <w:p w14:paraId="79C33BF1">
      <w:pPr>
        <w:jc w:val="center"/>
        <w:rPr>
          <w:rFonts w:ascii="Times New Roman" w:hAnsi="Times New Roman" w:eastAsia="黑体" w:cs="Times New Roman"/>
          <w:color w:val="auto"/>
          <w:sz w:val="44"/>
          <w:szCs w:val="44"/>
          <w:highlight w:val="none"/>
        </w:rPr>
      </w:pPr>
      <w:r>
        <w:rPr>
          <w:rFonts w:hint="eastAsia" w:ascii="Times New Roman" w:hAnsi="Times New Roman" w:eastAsia="黑体" w:cs="Times New Roman"/>
          <w:color w:val="auto"/>
          <w:sz w:val="44"/>
          <w:szCs w:val="44"/>
          <w:highlight w:val="none"/>
        </w:rPr>
        <w:t>使</w:t>
      </w:r>
      <w:r>
        <w:rPr>
          <w:rFonts w:ascii="Times New Roman" w:hAnsi="Times New Roman" w:eastAsia="黑体" w:cs="Times New Roman"/>
          <w:color w:val="auto"/>
          <w:sz w:val="44"/>
          <w:szCs w:val="44"/>
          <w:highlight w:val="none"/>
        </w:rPr>
        <w:t xml:space="preserve"> </w:t>
      </w:r>
      <w:r>
        <w:rPr>
          <w:rFonts w:hint="eastAsia" w:ascii="Times New Roman" w:hAnsi="Times New Roman" w:eastAsia="黑体" w:cs="Times New Roman"/>
          <w:color w:val="auto"/>
          <w:sz w:val="44"/>
          <w:szCs w:val="44"/>
          <w:highlight w:val="none"/>
        </w:rPr>
        <w:t>用</w:t>
      </w:r>
      <w:r>
        <w:rPr>
          <w:rFonts w:ascii="Times New Roman" w:hAnsi="Times New Roman" w:eastAsia="黑体" w:cs="Times New Roman"/>
          <w:color w:val="auto"/>
          <w:sz w:val="44"/>
          <w:szCs w:val="44"/>
          <w:highlight w:val="none"/>
        </w:rPr>
        <w:t xml:space="preserve"> </w:t>
      </w:r>
      <w:r>
        <w:rPr>
          <w:rFonts w:hint="eastAsia" w:ascii="Times New Roman" w:hAnsi="Times New Roman" w:eastAsia="黑体" w:cs="Times New Roman"/>
          <w:color w:val="auto"/>
          <w:sz w:val="44"/>
          <w:szCs w:val="44"/>
          <w:highlight w:val="none"/>
        </w:rPr>
        <w:t>说</w:t>
      </w:r>
      <w:r>
        <w:rPr>
          <w:rFonts w:ascii="Times New Roman" w:hAnsi="Times New Roman" w:eastAsia="黑体" w:cs="Times New Roman"/>
          <w:color w:val="auto"/>
          <w:sz w:val="44"/>
          <w:szCs w:val="44"/>
          <w:highlight w:val="none"/>
        </w:rPr>
        <w:t xml:space="preserve"> </w:t>
      </w:r>
      <w:r>
        <w:rPr>
          <w:rFonts w:hint="eastAsia" w:ascii="Times New Roman" w:hAnsi="Times New Roman" w:eastAsia="黑体" w:cs="Times New Roman"/>
          <w:color w:val="auto"/>
          <w:sz w:val="44"/>
          <w:szCs w:val="44"/>
          <w:highlight w:val="none"/>
        </w:rPr>
        <w:t>明</w:t>
      </w:r>
    </w:p>
    <w:p w14:paraId="395C22B0">
      <w:pPr>
        <w:ind w:firstLine="640" w:firstLineChars="200"/>
        <w:rPr>
          <w:rFonts w:ascii="仿宋_GB2312" w:hAnsi="仿宋_GB2312" w:eastAsia="仿宋_GB2312" w:cs="仿宋_GB2312"/>
          <w:color w:val="auto"/>
          <w:sz w:val="32"/>
          <w:szCs w:val="32"/>
          <w:highlight w:val="none"/>
        </w:rPr>
      </w:pPr>
    </w:p>
    <w:p w14:paraId="5466C679">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1.本合同标准文本适用于购买现成货物的采购项目，不包括需要供应商定制开发、创新研发的货物采购项目。</w:t>
      </w:r>
    </w:p>
    <w:p w14:paraId="0CE99656">
      <w:pPr>
        <w:rPr>
          <w:rFonts w:hint="eastAsia" w:ascii="Times New Roman" w:hAnsi="Times New Roman" w:eastAsia="黑体" w:cs="Times New Roman"/>
          <w:color w:val="auto"/>
          <w:sz w:val="44"/>
          <w:szCs w:val="44"/>
          <w:highlight w:val="none"/>
        </w:rPr>
      </w:pPr>
      <w:r>
        <w:rPr>
          <w:rFonts w:ascii="Times New Roman" w:hAnsi="Times New Roman" w:eastAsia="黑体" w:cs="Times New Roman"/>
          <w:color w:val="auto"/>
          <w:sz w:val="44"/>
          <w:szCs w:val="44"/>
          <w:highlight w:val="none"/>
        </w:rPr>
        <w:t xml:space="preserve">   </w:t>
      </w:r>
      <w:r>
        <w:rPr>
          <w:rFonts w:hint="eastAsia" w:ascii="仿宋_GB2312" w:hAnsi="仿宋_GB2312" w:eastAsia="仿宋_GB2312" w:cs="仿宋_GB2312"/>
          <w:color w:val="auto"/>
          <w:sz w:val="32"/>
          <w:szCs w:val="32"/>
          <w:highlight w:val="none"/>
        </w:rPr>
        <w:t>2.本合同标准文本为采购货物买卖合同编制提供参考，可以结合采购项目具体情况，对文本做必要的调整修订后使用。</w:t>
      </w:r>
    </w:p>
    <w:p w14:paraId="5B5482AF">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3.本合同标准文本各条款中，如涉及填写多家供应商、制造商，多种采购标的、分包主要内容等信息的，可根据采购项目具体情况添加信息项。</w:t>
      </w:r>
    </w:p>
    <w:p w14:paraId="159FB910">
      <w:pPr>
        <w:widowControl/>
        <w:jc w:val="left"/>
        <w:rPr>
          <w:rFonts w:eastAsia="黑体"/>
          <w:color w:val="auto"/>
          <w:sz w:val="44"/>
          <w:szCs w:val="44"/>
          <w:highlight w:val="none"/>
        </w:rPr>
        <w:sectPr>
          <w:pgSz w:w="11906" w:h="16838"/>
          <w:pgMar w:top="1440" w:right="1800" w:bottom="1440" w:left="1800" w:header="851" w:footer="992" w:gutter="0"/>
          <w:pgNumType w:fmt="decimal"/>
          <w:cols w:space="720" w:num="1"/>
          <w:docGrid w:type="lines" w:linePitch="312" w:charSpace="0"/>
        </w:sectPr>
      </w:pPr>
    </w:p>
    <w:p w14:paraId="7A6E63D0">
      <w:pPr>
        <w:keepNext/>
        <w:keepLines/>
        <w:widowControl w:val="0"/>
        <w:adjustRightInd w:val="0"/>
        <w:snapToGrid w:val="0"/>
        <w:spacing w:before="260" w:beforeLines="0" w:after="260" w:afterLines="0" w:line="400" w:lineRule="exact"/>
        <w:jc w:val="center"/>
        <w:outlineLvl w:val="1"/>
        <w:rPr>
          <w:rFonts w:hint="eastAsia" w:ascii="黑体" w:hAnsi="华文中宋" w:eastAsia="黑体" w:cs="Times New Roman"/>
          <w:b w:val="0"/>
          <w:bCs w:val="0"/>
          <w:color w:val="auto"/>
          <w:kern w:val="2"/>
          <w:sz w:val="28"/>
          <w:szCs w:val="28"/>
          <w:highlight w:val="none"/>
          <w:lang w:val="en-US" w:eastAsia="zh-CN" w:bidi="ar-SA"/>
        </w:rPr>
      </w:pPr>
      <w:bookmarkStart w:id="140" w:name="_Toc22209"/>
      <w:r>
        <w:rPr>
          <w:rFonts w:hint="eastAsia" w:ascii="黑体" w:hAnsi="黑体" w:eastAsia="黑体" w:cs="Times New Roman"/>
          <w:b w:val="0"/>
          <w:bCs w:val="0"/>
          <w:color w:val="auto"/>
          <w:kern w:val="2"/>
          <w:sz w:val="28"/>
          <w:szCs w:val="28"/>
          <w:highlight w:val="none"/>
          <w:lang w:val="en-US" w:eastAsia="zh-CN" w:bidi="ar-SA"/>
        </w:rPr>
        <w:t xml:space="preserve">第一节 </w:t>
      </w:r>
      <w:r>
        <w:rPr>
          <w:rFonts w:hint="eastAsia" w:ascii="黑体" w:hAnsi="华文中宋" w:eastAsia="黑体" w:cs="Times New Roman"/>
          <w:b w:val="0"/>
          <w:bCs w:val="0"/>
          <w:color w:val="auto"/>
          <w:kern w:val="2"/>
          <w:sz w:val="28"/>
          <w:szCs w:val="28"/>
          <w:highlight w:val="none"/>
          <w:lang w:val="en-US" w:eastAsia="zh-CN" w:bidi="ar-SA"/>
        </w:rPr>
        <w:t>采购合同协议书</w:t>
      </w:r>
      <w:bookmarkEnd w:id="140"/>
    </w:p>
    <w:p w14:paraId="432045D3">
      <w:pPr>
        <w:keepNext w:val="0"/>
        <w:keepLines w:val="0"/>
        <w:pageBreakBefore w:val="0"/>
        <w:kinsoku/>
        <w:wordWrap/>
        <w:overflowPunct/>
        <w:topLinePunct w:val="0"/>
        <w:bidi w:val="0"/>
        <w:adjustRightInd w:val="0"/>
        <w:snapToGrid w:val="0"/>
        <w:spacing w:before="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cs="宋体"/>
          <w:color w:val="auto"/>
          <w:sz w:val="24"/>
          <w:highlight w:val="none"/>
          <w:u w:val="single"/>
          <w:lang w:eastAsia="zh-CN"/>
        </w:rPr>
        <w:t>浦江县交投贸易有限公司</w:t>
      </w:r>
      <w:r>
        <w:rPr>
          <w:rFonts w:hint="eastAsia" w:ascii="宋体" w:hAnsi="宋体" w:eastAsia="宋体" w:cs="宋体"/>
          <w:color w:val="auto"/>
          <w:sz w:val="24"/>
          <w:szCs w:val="24"/>
          <w:highlight w:val="none"/>
        </w:rPr>
        <w:t>（采购人）</w:t>
      </w:r>
    </w:p>
    <w:p w14:paraId="38C83E7A">
      <w:pPr>
        <w:keepNext w:val="0"/>
        <w:keepLines w:val="0"/>
        <w:pageBreakBefore w:val="0"/>
        <w:kinsoku/>
        <w:wordWrap/>
        <w:overflowPunct/>
        <w:topLinePunct w:val="0"/>
        <w:bidi w:val="0"/>
        <w:adjustRightInd w:val="0"/>
        <w:snapToGrid w:val="0"/>
        <w:spacing w:before="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（供应商）</w:t>
      </w:r>
    </w:p>
    <w:p w14:paraId="40B1B41E">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4"/>
          <w:szCs w:val="24"/>
          <w:highlight w:val="none"/>
          <w:lang w:val="en-US" w:eastAsia="zh-CN"/>
        </w:rPr>
      </w:pPr>
    </w:p>
    <w:p w14:paraId="50368853">
      <w:pPr>
        <w:keepNext w:val="0"/>
        <w:keepLines w:val="0"/>
        <w:pageBreakBefore w:val="0"/>
        <w:widowControl w:val="0"/>
        <w:kinsoku/>
        <w:wordWrap/>
        <w:overflowPunct/>
        <w:topLinePunct w:val="0"/>
        <w:bidi w:val="0"/>
        <w:adjustRightInd w:val="0"/>
        <w:snapToGrid w:val="0"/>
        <w:spacing w:line="400" w:lineRule="exact"/>
        <w:ind w:left="0" w:lef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依据《中华人民共和国民法典》、《中华人民共和国政府采购法》等有关的法律法规，以及</w:t>
      </w:r>
      <w:r>
        <w:rPr>
          <w:rFonts w:hint="eastAsia" w:ascii="宋体" w:hAnsi="宋体" w:eastAsia="宋体" w:cs="宋体"/>
          <w:i w:val="0"/>
          <w:iCs w:val="0"/>
          <w:color w:val="auto"/>
          <w:kern w:val="2"/>
          <w:sz w:val="24"/>
          <w:szCs w:val="24"/>
          <w:highlight w:val="none"/>
          <w:u w:val="none"/>
          <w:lang w:val="en-US" w:eastAsia="zh-CN" w:bidi="ar-SA"/>
        </w:rPr>
        <w:t>本采购项目</w:t>
      </w:r>
      <w:r>
        <w:rPr>
          <w:rFonts w:hint="eastAsia" w:ascii="宋体" w:hAnsi="宋体" w:eastAsia="宋体" w:cs="宋体"/>
          <w:color w:val="auto"/>
          <w:kern w:val="2"/>
          <w:sz w:val="24"/>
          <w:szCs w:val="24"/>
          <w:highlight w:val="none"/>
          <w:lang w:val="en-US" w:eastAsia="zh-CN" w:bidi="ar-SA"/>
        </w:rPr>
        <w:t xml:space="preserve">的招标/谈判文件等采购文件、乙方的《投标（响应）文件》及《中标（成交）通知书》，甲乙双方同意签订本合同。具体情况及要求如下：     </w:t>
      </w:r>
    </w:p>
    <w:p w14:paraId="01142002">
      <w:pPr>
        <w:keepNext w:val="0"/>
        <w:keepLines w:val="0"/>
        <w:pageBreakBefore w:val="0"/>
        <w:numPr>
          <w:ilvl w:val="0"/>
          <w:numId w:val="9"/>
        </w:numPr>
        <w:kinsoku/>
        <w:wordWrap/>
        <w:overflowPunct/>
        <w:topLinePunct w:val="0"/>
        <w:bidi w:val="0"/>
        <w:adjustRightInd w:val="0"/>
        <w:snapToGrid w:val="0"/>
        <w:spacing w:line="400" w:lineRule="exact"/>
        <w:ind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515EF6C5">
      <w:pPr>
        <w:keepNext w:val="0"/>
        <w:keepLines w:val="0"/>
        <w:pageBreakBefore w:val="0"/>
        <w:widowControl w:val="0"/>
        <w:numPr>
          <w:ilvl w:val="0"/>
          <w:numId w:val="10"/>
        </w:numPr>
        <w:kinsoku/>
        <w:wordWrap/>
        <w:overflowPunct/>
        <w:topLinePunct w:val="0"/>
        <w:bidi w:val="0"/>
        <w:adjustRightInd w:val="0"/>
        <w:snapToGrid w:val="0"/>
        <w:spacing w:line="400" w:lineRule="exact"/>
        <w:ind w:left="0" w:leftChars="0" w:firstLine="480" w:firstLineChars="200"/>
        <w:jc w:val="left"/>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采购项目名称：</w:t>
      </w:r>
      <w:r>
        <w:rPr>
          <w:rFonts w:hint="eastAsia" w:ascii="宋体" w:hAnsi="宋体" w:cs="宋体"/>
          <w:color w:val="auto"/>
          <w:sz w:val="24"/>
          <w:highlight w:val="none"/>
          <w:u w:val="single"/>
          <w:lang w:eastAsia="zh-CN"/>
        </w:rPr>
        <w:t>浦江县交投贸易有限公司2024年-2025年石灰岩采购项目</w:t>
      </w:r>
    </w:p>
    <w:p w14:paraId="16A0B9AA">
      <w:pPr>
        <w:keepNext w:val="0"/>
        <w:keepLines w:val="0"/>
        <w:pageBreakBefore w:val="0"/>
        <w:widowControl w:val="0"/>
        <w:numPr>
          <w:ilvl w:val="0"/>
          <w:numId w:val="0"/>
        </w:numPr>
        <w:tabs>
          <w:tab w:val="left" w:pos="999"/>
        </w:tabs>
        <w:kinsoku/>
        <w:wordWrap/>
        <w:overflowPunct/>
        <w:topLinePunct w:val="0"/>
        <w:bidi w:val="0"/>
        <w:adjustRightInd w:val="0"/>
        <w:snapToGrid w:val="0"/>
        <w:spacing w:line="400" w:lineRule="exact"/>
        <w:ind w:left="0" w:leftChars="0" w:firstLine="0" w:firstLineChars="0"/>
        <w:jc w:val="left"/>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 xml:space="preserve">         采购项目编号：</w:t>
      </w:r>
      <w:r>
        <w:rPr>
          <w:rFonts w:hint="eastAsia" w:ascii="宋体" w:hAnsi="宋体" w:eastAsia="宋体" w:cs="宋体"/>
          <w:color w:val="auto"/>
          <w:kern w:val="2"/>
          <w:sz w:val="24"/>
          <w:szCs w:val="24"/>
          <w:highlight w:val="none"/>
          <w:u w:val="single"/>
          <w:lang w:val="en-US" w:eastAsia="zh-CN" w:bidi="ar-SA"/>
        </w:rPr>
        <w:t xml:space="preserve">                                          </w:t>
      </w:r>
    </w:p>
    <w:p w14:paraId="58E0A584">
      <w:pPr>
        <w:keepNext w:val="0"/>
        <w:keepLines w:val="0"/>
        <w:pageBreakBefore w:val="0"/>
        <w:widowControl w:val="0"/>
        <w:kinsoku/>
        <w:wordWrap/>
        <w:overflowPunct/>
        <w:topLinePunct w:val="0"/>
        <w:bidi w:val="0"/>
        <w:adjustRightInd w:val="0"/>
        <w:snapToGrid w:val="0"/>
        <w:spacing w:line="400" w:lineRule="exact"/>
        <w:ind w:left="0" w:lef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（2）项目内容：</w:t>
      </w:r>
    </w:p>
    <w:p w14:paraId="50FA6346">
      <w:pPr>
        <w:keepNext w:val="0"/>
        <w:keepLines w:val="0"/>
        <w:pageBreakBefore w:val="0"/>
        <w:kinsoku/>
        <w:wordWrap/>
        <w:overflowPunct/>
        <w:topLinePunct w:val="0"/>
        <w:bidi w:val="0"/>
        <w:adjustRightInd w:val="0"/>
        <w:snapToGrid w:val="0"/>
        <w:spacing w:line="400" w:lineRule="exact"/>
        <w:ind w:leftChars="0" w:firstLine="480" w:firstLineChars="200"/>
        <w:textAlignment w:val="auto"/>
        <w:rPr>
          <w:rFonts w:hint="eastAsia" w:ascii="宋体" w:hAnsi="宋体" w:eastAsia="宋体" w:cs="宋体"/>
          <w:color w:val="auto"/>
          <w:sz w:val="24"/>
          <w:szCs w:val="24"/>
          <w:highlight w:val="none"/>
          <w:lang w:val="en"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采购标的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数量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规格型号：</w:t>
      </w:r>
    </w:p>
    <w:tbl>
      <w:tblPr>
        <w:tblStyle w:val="46"/>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00"/>
        <w:gridCol w:w="3905"/>
        <w:gridCol w:w="1830"/>
        <w:gridCol w:w="1830"/>
      </w:tblGrid>
      <w:tr w14:paraId="5BE2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noWrap w:val="0"/>
            <w:vAlign w:val="center"/>
          </w:tcPr>
          <w:p w14:paraId="4684D746">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500" w:type="dxa"/>
            <w:noWrap w:val="0"/>
            <w:vAlign w:val="center"/>
          </w:tcPr>
          <w:p w14:paraId="4D87D61B">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货物名称</w:t>
            </w:r>
          </w:p>
        </w:tc>
        <w:tc>
          <w:tcPr>
            <w:tcW w:w="3905" w:type="dxa"/>
            <w:noWrap w:val="0"/>
            <w:vAlign w:val="center"/>
          </w:tcPr>
          <w:p w14:paraId="74CE71D5">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规格型号</w:t>
            </w:r>
          </w:p>
        </w:tc>
        <w:tc>
          <w:tcPr>
            <w:tcW w:w="1830" w:type="dxa"/>
            <w:noWrap w:val="0"/>
            <w:vAlign w:val="center"/>
          </w:tcPr>
          <w:p w14:paraId="1245C2F3">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p w14:paraId="780B2BC8">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（吨）</w:t>
            </w:r>
          </w:p>
        </w:tc>
        <w:tc>
          <w:tcPr>
            <w:tcW w:w="1830" w:type="dxa"/>
            <w:noWrap w:val="0"/>
            <w:vAlign w:val="center"/>
          </w:tcPr>
          <w:p w14:paraId="52338A13">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中标单价</w:t>
            </w:r>
          </w:p>
          <w:p w14:paraId="000D1E5F">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（元</w:t>
            </w:r>
            <w:r>
              <w:rPr>
                <w:rFonts w:hint="eastAsia" w:ascii="宋体" w:hAnsi="宋体" w:cs="宋体"/>
                <w:color w:val="auto"/>
                <w:sz w:val="24"/>
                <w:szCs w:val="24"/>
                <w:highlight w:val="none"/>
                <w:lang w:val="en-US" w:eastAsia="zh-CN"/>
              </w:rPr>
              <w:t>/吨</w:t>
            </w:r>
            <w:r>
              <w:rPr>
                <w:rFonts w:hint="eastAsia" w:ascii="宋体" w:hAnsi="宋体" w:cs="宋体"/>
                <w:color w:val="auto"/>
                <w:sz w:val="24"/>
                <w:szCs w:val="24"/>
                <w:highlight w:val="none"/>
                <w:lang w:eastAsia="zh-CN"/>
              </w:rPr>
              <w:t>）</w:t>
            </w:r>
          </w:p>
        </w:tc>
      </w:tr>
      <w:tr w14:paraId="46C6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Merge w:val="restart"/>
            <w:noWrap w:val="0"/>
            <w:vAlign w:val="center"/>
          </w:tcPr>
          <w:p w14:paraId="23B7D156">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500" w:type="dxa"/>
            <w:vMerge w:val="restart"/>
            <w:noWrap w:val="0"/>
            <w:vAlign w:val="center"/>
          </w:tcPr>
          <w:p w14:paraId="400666B9">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石灰岩</w:t>
            </w:r>
          </w:p>
          <w:p w14:paraId="1C42908C">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整形）</w:t>
            </w:r>
          </w:p>
        </w:tc>
        <w:tc>
          <w:tcPr>
            <w:tcW w:w="3905" w:type="dxa"/>
            <w:noWrap w:val="0"/>
            <w:vAlign w:val="center"/>
          </w:tcPr>
          <w:p w14:paraId="489B1487">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cs="Arial"/>
                <w:bCs/>
                <w:color w:val="auto"/>
                <w:sz w:val="24"/>
                <w:highlight w:val="none"/>
                <w:lang w:val="en-US" w:eastAsia="zh-CN"/>
              </w:rPr>
              <w:t>0-3</w:t>
            </w:r>
            <w:r>
              <w:rPr>
                <w:rFonts w:hint="eastAsia" w:ascii="宋体" w:hAnsi="宋体" w:cs="Arial"/>
                <w:bCs/>
                <w:color w:val="auto"/>
                <w:sz w:val="24"/>
                <w:highlight w:val="none"/>
              </w:rPr>
              <w:t>（网规格</w:t>
            </w: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mm）</w:t>
            </w:r>
          </w:p>
        </w:tc>
        <w:tc>
          <w:tcPr>
            <w:tcW w:w="1830" w:type="dxa"/>
            <w:noWrap w:val="0"/>
            <w:vAlign w:val="center"/>
          </w:tcPr>
          <w:p w14:paraId="1C129E0E">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highlight w:val="none"/>
                <w:lang w:val="en-US" w:eastAsia="zh-CN"/>
              </w:rPr>
              <w:t>55000</w:t>
            </w:r>
          </w:p>
        </w:tc>
        <w:tc>
          <w:tcPr>
            <w:tcW w:w="1830" w:type="dxa"/>
            <w:vMerge w:val="restart"/>
            <w:noWrap w:val="0"/>
            <w:vAlign w:val="center"/>
          </w:tcPr>
          <w:p w14:paraId="7A0C430A">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color w:val="auto"/>
                <w:kern w:val="0"/>
                <w:sz w:val="24"/>
                <w:highlight w:val="none"/>
                <w:lang w:val="en-US" w:eastAsia="zh-CN"/>
              </w:rPr>
            </w:pPr>
          </w:p>
        </w:tc>
      </w:tr>
      <w:tr w14:paraId="28B8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Merge w:val="continue"/>
            <w:noWrap w:val="0"/>
            <w:vAlign w:val="center"/>
          </w:tcPr>
          <w:p w14:paraId="7C8C21F4">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500" w:type="dxa"/>
            <w:vMerge w:val="continue"/>
            <w:noWrap w:val="0"/>
            <w:vAlign w:val="center"/>
          </w:tcPr>
          <w:p w14:paraId="5AC9CEDA">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3905" w:type="dxa"/>
            <w:noWrap w:val="0"/>
            <w:vAlign w:val="center"/>
          </w:tcPr>
          <w:p w14:paraId="09CCBBD1">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-5（网规格5*5mm）</w:t>
            </w:r>
          </w:p>
        </w:tc>
        <w:tc>
          <w:tcPr>
            <w:tcW w:w="1830" w:type="dxa"/>
            <w:noWrap w:val="0"/>
            <w:vAlign w:val="center"/>
          </w:tcPr>
          <w:p w14:paraId="1C9B1F31">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highlight w:val="none"/>
                <w:lang w:val="en-US" w:eastAsia="zh-CN"/>
              </w:rPr>
              <w:t>10000</w:t>
            </w:r>
          </w:p>
        </w:tc>
        <w:tc>
          <w:tcPr>
            <w:tcW w:w="1830" w:type="dxa"/>
            <w:vMerge w:val="continue"/>
            <w:noWrap w:val="0"/>
            <w:vAlign w:val="center"/>
          </w:tcPr>
          <w:p w14:paraId="44301299">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color w:val="auto"/>
                <w:kern w:val="0"/>
                <w:sz w:val="24"/>
                <w:highlight w:val="none"/>
                <w:lang w:val="en-US" w:eastAsia="zh-CN"/>
              </w:rPr>
            </w:pPr>
          </w:p>
        </w:tc>
      </w:tr>
      <w:tr w14:paraId="7A37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Merge w:val="continue"/>
            <w:noWrap w:val="0"/>
            <w:vAlign w:val="center"/>
          </w:tcPr>
          <w:p w14:paraId="758227FB">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500" w:type="dxa"/>
            <w:vMerge w:val="continue"/>
            <w:noWrap w:val="0"/>
            <w:vAlign w:val="center"/>
          </w:tcPr>
          <w:p w14:paraId="016B579C">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3905" w:type="dxa"/>
            <w:noWrap w:val="0"/>
            <w:vAlign w:val="center"/>
          </w:tcPr>
          <w:p w14:paraId="66D84CDA">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cs="Arial"/>
                <w:bCs/>
                <w:color w:val="auto"/>
                <w:sz w:val="24"/>
                <w:highlight w:val="none"/>
              </w:rPr>
              <w:t>5-1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（网规格1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mm）</w:t>
            </w:r>
          </w:p>
        </w:tc>
        <w:tc>
          <w:tcPr>
            <w:tcW w:w="1830" w:type="dxa"/>
            <w:noWrap w:val="0"/>
            <w:vAlign w:val="center"/>
          </w:tcPr>
          <w:p w14:paraId="510F6FAB">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highlight w:val="none"/>
                <w:lang w:val="en-US" w:eastAsia="zh-CN"/>
              </w:rPr>
              <w:t>85000</w:t>
            </w:r>
          </w:p>
        </w:tc>
        <w:tc>
          <w:tcPr>
            <w:tcW w:w="1830" w:type="dxa"/>
            <w:vMerge w:val="continue"/>
            <w:noWrap w:val="0"/>
            <w:vAlign w:val="center"/>
          </w:tcPr>
          <w:p w14:paraId="5BBB23D5">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bCs/>
                <w:color w:val="auto"/>
                <w:sz w:val="24"/>
                <w:highlight w:val="none"/>
                <w:lang w:val="en-US" w:eastAsia="zh-CN"/>
              </w:rPr>
            </w:pPr>
          </w:p>
        </w:tc>
      </w:tr>
      <w:tr w14:paraId="6E10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Merge w:val="continue"/>
            <w:noWrap w:val="0"/>
            <w:vAlign w:val="top"/>
          </w:tcPr>
          <w:p w14:paraId="4D502DCF">
            <w:pPr>
              <w:keepNext w:val="0"/>
              <w:keepLines w:val="0"/>
              <w:pageBreakBefore w:val="0"/>
              <w:kinsoku/>
              <w:wordWrap/>
              <w:overflowPunct/>
              <w:topLinePunct w:val="0"/>
              <w:autoSpaceDE/>
              <w:autoSpaceDN/>
              <w:bidi w:val="0"/>
              <w:snapToGrid w:val="0"/>
              <w:spacing w:line="440" w:lineRule="exact"/>
              <w:jc w:val="left"/>
              <w:textAlignment w:val="auto"/>
              <w:rPr>
                <w:rFonts w:hint="eastAsia" w:ascii="宋体" w:hAnsi="宋体" w:eastAsia="宋体" w:cs="宋体"/>
                <w:bCs/>
                <w:color w:val="auto"/>
                <w:sz w:val="24"/>
                <w:szCs w:val="24"/>
                <w:highlight w:val="none"/>
              </w:rPr>
            </w:pPr>
          </w:p>
        </w:tc>
        <w:tc>
          <w:tcPr>
            <w:tcW w:w="1500" w:type="dxa"/>
            <w:vMerge w:val="continue"/>
            <w:noWrap w:val="0"/>
            <w:vAlign w:val="center"/>
          </w:tcPr>
          <w:p w14:paraId="15CFDA7F">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3905" w:type="dxa"/>
            <w:noWrap w:val="0"/>
            <w:vAlign w:val="center"/>
          </w:tcPr>
          <w:p w14:paraId="604388AC">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cs="Arial"/>
                <w:bCs/>
                <w:color w:val="auto"/>
                <w:sz w:val="24"/>
                <w:highlight w:val="none"/>
              </w:rPr>
              <w:t>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16</w:t>
            </w:r>
            <w:r>
              <w:rPr>
                <w:rFonts w:hint="eastAsia" w:ascii="宋体" w:hAnsi="宋体" w:cs="Arial"/>
                <w:bCs/>
                <w:color w:val="auto"/>
                <w:sz w:val="24"/>
                <w:highlight w:val="none"/>
              </w:rPr>
              <w:t>（网规格</w:t>
            </w:r>
            <w:r>
              <w:rPr>
                <w:rFonts w:hint="eastAsia" w:ascii="宋体" w:hAnsi="宋体" w:cs="Arial"/>
                <w:bCs/>
                <w:color w:val="auto"/>
                <w:sz w:val="24"/>
                <w:highlight w:val="none"/>
                <w:lang w:val="en-US" w:eastAsia="zh-CN"/>
              </w:rPr>
              <w:t>16</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16</w:t>
            </w:r>
            <w:r>
              <w:rPr>
                <w:rFonts w:hint="eastAsia" w:ascii="宋体" w:hAnsi="宋体" w:cs="Arial"/>
                <w:bCs/>
                <w:color w:val="auto"/>
                <w:sz w:val="24"/>
                <w:highlight w:val="none"/>
              </w:rPr>
              <w:t>mm）</w:t>
            </w:r>
          </w:p>
        </w:tc>
        <w:tc>
          <w:tcPr>
            <w:tcW w:w="1830" w:type="dxa"/>
            <w:noWrap w:val="0"/>
            <w:vAlign w:val="center"/>
          </w:tcPr>
          <w:p w14:paraId="1F830AF6">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highlight w:val="none"/>
                <w:lang w:val="en-US" w:eastAsia="zh-CN"/>
              </w:rPr>
              <w:t>30000</w:t>
            </w:r>
          </w:p>
        </w:tc>
        <w:tc>
          <w:tcPr>
            <w:tcW w:w="1830" w:type="dxa"/>
            <w:vMerge w:val="continue"/>
            <w:noWrap w:val="0"/>
            <w:vAlign w:val="center"/>
          </w:tcPr>
          <w:p w14:paraId="7EC11AE0">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bCs/>
                <w:color w:val="auto"/>
                <w:sz w:val="24"/>
                <w:highlight w:val="none"/>
                <w:lang w:val="en-US" w:eastAsia="zh-CN"/>
              </w:rPr>
            </w:pPr>
          </w:p>
        </w:tc>
      </w:tr>
      <w:tr w14:paraId="11BE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Merge w:val="continue"/>
            <w:noWrap w:val="0"/>
            <w:vAlign w:val="top"/>
          </w:tcPr>
          <w:p w14:paraId="6757E8FE">
            <w:pPr>
              <w:keepNext w:val="0"/>
              <w:keepLines w:val="0"/>
              <w:pageBreakBefore w:val="0"/>
              <w:kinsoku/>
              <w:wordWrap/>
              <w:overflowPunct/>
              <w:topLinePunct w:val="0"/>
              <w:autoSpaceDE/>
              <w:autoSpaceDN/>
              <w:bidi w:val="0"/>
              <w:snapToGrid w:val="0"/>
              <w:spacing w:line="440" w:lineRule="exact"/>
              <w:jc w:val="left"/>
              <w:textAlignment w:val="auto"/>
              <w:rPr>
                <w:rFonts w:hint="eastAsia" w:ascii="宋体" w:hAnsi="宋体" w:eastAsia="宋体" w:cs="宋体"/>
                <w:bCs/>
                <w:color w:val="auto"/>
                <w:sz w:val="24"/>
                <w:szCs w:val="24"/>
                <w:highlight w:val="none"/>
              </w:rPr>
            </w:pPr>
          </w:p>
        </w:tc>
        <w:tc>
          <w:tcPr>
            <w:tcW w:w="1500" w:type="dxa"/>
            <w:vMerge w:val="continue"/>
            <w:noWrap w:val="0"/>
            <w:vAlign w:val="center"/>
          </w:tcPr>
          <w:p w14:paraId="454D2168">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3905" w:type="dxa"/>
            <w:noWrap w:val="0"/>
            <w:vAlign w:val="center"/>
          </w:tcPr>
          <w:p w14:paraId="39345308">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cs="Arial"/>
                <w:bCs/>
                <w:color w:val="auto"/>
                <w:sz w:val="24"/>
                <w:highlight w:val="none"/>
              </w:rPr>
              <w:t>16-26.5（网规格</w:t>
            </w:r>
            <w:r>
              <w:rPr>
                <w:rFonts w:hint="eastAsia" w:ascii="宋体" w:hAnsi="宋体" w:cs="Arial"/>
                <w:bCs/>
                <w:color w:val="auto"/>
                <w:sz w:val="24"/>
                <w:highlight w:val="none"/>
                <w:lang w:val="en-US" w:eastAsia="zh-CN"/>
              </w:rPr>
              <w:t>26.5</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26.5</w:t>
            </w:r>
            <w:r>
              <w:rPr>
                <w:rFonts w:hint="eastAsia" w:ascii="宋体" w:hAnsi="宋体" w:cs="Arial"/>
                <w:bCs/>
                <w:color w:val="auto"/>
                <w:sz w:val="24"/>
                <w:highlight w:val="none"/>
              </w:rPr>
              <w:t>mm）</w:t>
            </w:r>
          </w:p>
        </w:tc>
        <w:tc>
          <w:tcPr>
            <w:tcW w:w="1830" w:type="dxa"/>
            <w:noWrap w:val="0"/>
            <w:vAlign w:val="center"/>
          </w:tcPr>
          <w:p w14:paraId="68A78E9F">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highlight w:val="none"/>
                <w:lang w:val="en-US" w:eastAsia="zh-CN"/>
              </w:rPr>
              <w:t>60000</w:t>
            </w:r>
          </w:p>
        </w:tc>
        <w:tc>
          <w:tcPr>
            <w:tcW w:w="1830" w:type="dxa"/>
            <w:vMerge w:val="continue"/>
            <w:noWrap w:val="0"/>
            <w:vAlign w:val="center"/>
          </w:tcPr>
          <w:p w14:paraId="69B0EF77">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bCs/>
                <w:color w:val="auto"/>
                <w:sz w:val="24"/>
                <w:highlight w:val="none"/>
                <w:lang w:val="en-US" w:eastAsia="zh-CN"/>
              </w:rPr>
            </w:pPr>
          </w:p>
        </w:tc>
      </w:tr>
      <w:tr w14:paraId="002E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Merge w:val="continue"/>
            <w:noWrap w:val="0"/>
            <w:vAlign w:val="top"/>
          </w:tcPr>
          <w:p w14:paraId="64528FBF">
            <w:pPr>
              <w:keepNext w:val="0"/>
              <w:keepLines w:val="0"/>
              <w:pageBreakBefore w:val="0"/>
              <w:kinsoku/>
              <w:wordWrap/>
              <w:overflowPunct/>
              <w:topLinePunct w:val="0"/>
              <w:autoSpaceDE/>
              <w:autoSpaceDN/>
              <w:bidi w:val="0"/>
              <w:snapToGrid w:val="0"/>
              <w:spacing w:line="440" w:lineRule="exact"/>
              <w:jc w:val="left"/>
              <w:textAlignment w:val="auto"/>
              <w:rPr>
                <w:rFonts w:hint="eastAsia" w:ascii="宋体" w:hAnsi="宋体" w:eastAsia="宋体" w:cs="宋体"/>
                <w:bCs/>
                <w:color w:val="auto"/>
                <w:sz w:val="24"/>
                <w:szCs w:val="24"/>
                <w:highlight w:val="none"/>
              </w:rPr>
            </w:pPr>
          </w:p>
        </w:tc>
        <w:tc>
          <w:tcPr>
            <w:tcW w:w="1500" w:type="dxa"/>
            <w:vMerge w:val="continue"/>
            <w:noWrap w:val="0"/>
            <w:vAlign w:val="center"/>
          </w:tcPr>
          <w:p w14:paraId="6EF00FEB">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3905" w:type="dxa"/>
            <w:noWrap w:val="0"/>
            <w:vAlign w:val="center"/>
          </w:tcPr>
          <w:p w14:paraId="572AAF5C">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Arial"/>
                <w:bCs/>
                <w:color w:val="auto"/>
                <w:sz w:val="24"/>
                <w:highlight w:val="none"/>
              </w:rPr>
              <w:t>26.5-32（网规格32*32mm）</w:t>
            </w:r>
          </w:p>
        </w:tc>
        <w:tc>
          <w:tcPr>
            <w:tcW w:w="1830" w:type="dxa"/>
            <w:noWrap w:val="0"/>
            <w:vAlign w:val="center"/>
          </w:tcPr>
          <w:p w14:paraId="2F49EE6F">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highlight w:val="none"/>
                <w:lang w:val="en-US" w:eastAsia="zh-CN"/>
              </w:rPr>
              <w:t>20000</w:t>
            </w:r>
          </w:p>
        </w:tc>
        <w:tc>
          <w:tcPr>
            <w:tcW w:w="1830" w:type="dxa"/>
            <w:vMerge w:val="continue"/>
            <w:noWrap w:val="0"/>
            <w:vAlign w:val="center"/>
          </w:tcPr>
          <w:p w14:paraId="725AA4C5">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bCs/>
                <w:color w:val="auto"/>
                <w:sz w:val="24"/>
                <w:highlight w:val="none"/>
                <w:lang w:val="en-US" w:eastAsia="zh-CN"/>
              </w:rPr>
            </w:pPr>
          </w:p>
        </w:tc>
      </w:tr>
      <w:tr w14:paraId="5CA1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21" w:type="dxa"/>
            <w:gridSpan w:val="3"/>
            <w:noWrap w:val="0"/>
            <w:vAlign w:val="center"/>
          </w:tcPr>
          <w:p w14:paraId="56B8CA84">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合计</w:t>
            </w:r>
          </w:p>
        </w:tc>
        <w:tc>
          <w:tcPr>
            <w:tcW w:w="1830" w:type="dxa"/>
            <w:noWrap w:val="0"/>
            <w:vAlign w:val="center"/>
          </w:tcPr>
          <w:p w14:paraId="5B694998">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260000</w:t>
            </w:r>
          </w:p>
        </w:tc>
        <w:tc>
          <w:tcPr>
            <w:tcW w:w="1830" w:type="dxa"/>
            <w:noWrap w:val="0"/>
            <w:vAlign w:val="center"/>
          </w:tcPr>
          <w:p w14:paraId="677B8E11">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bCs/>
                <w:color w:val="auto"/>
                <w:sz w:val="24"/>
                <w:szCs w:val="24"/>
                <w:highlight w:val="none"/>
                <w:lang w:val="en-US" w:eastAsia="zh-CN"/>
              </w:rPr>
            </w:pPr>
          </w:p>
        </w:tc>
      </w:tr>
    </w:tbl>
    <w:p w14:paraId="63DD995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iCs w:val="0"/>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采购标的的技术要求、商务要求具体见</w:t>
      </w:r>
      <w:r>
        <w:rPr>
          <w:rFonts w:hint="eastAsia" w:ascii="宋体" w:hAnsi="宋体" w:cs="宋体"/>
          <w:color w:val="auto"/>
          <w:sz w:val="24"/>
          <w:szCs w:val="24"/>
          <w:highlight w:val="none"/>
          <w:u w:val="none"/>
          <w:lang w:val="en-US" w:eastAsia="zh-CN"/>
        </w:rPr>
        <w:t>采购文件及</w:t>
      </w:r>
      <w:r>
        <w:rPr>
          <w:rFonts w:hint="eastAsia" w:ascii="宋体" w:hAnsi="宋体" w:eastAsia="宋体" w:cs="宋体"/>
          <w:color w:val="auto"/>
          <w:sz w:val="24"/>
          <w:szCs w:val="24"/>
          <w:highlight w:val="none"/>
          <w:u w:val="none"/>
          <w:lang w:val="en-US" w:eastAsia="zh-CN"/>
        </w:rPr>
        <w:t>投标文件</w:t>
      </w:r>
      <w:r>
        <w:rPr>
          <w:rFonts w:hint="eastAsia" w:ascii="宋体" w:hAnsi="宋体" w:cs="宋体"/>
          <w:color w:val="auto"/>
          <w:sz w:val="24"/>
          <w:szCs w:val="24"/>
          <w:highlight w:val="none"/>
          <w:u w:val="none"/>
          <w:lang w:val="en-US" w:eastAsia="zh-CN"/>
        </w:rPr>
        <w:t>。</w:t>
      </w:r>
    </w:p>
    <w:p w14:paraId="33AE3054">
      <w:pPr>
        <w:keepNext w:val="0"/>
        <w:keepLines w:val="0"/>
        <w:pageBreakBefore w:val="0"/>
        <w:numPr>
          <w:ilvl w:val="0"/>
          <w:numId w:val="0"/>
        </w:numPr>
        <w:kinsoku/>
        <w:wordWrap/>
        <w:overflowPunct/>
        <w:topLinePunct w:val="0"/>
        <w:autoSpaceDE w:val="0"/>
        <w:autoSpaceDN w:val="0"/>
        <w:bidi w:val="0"/>
        <w:adjustRightInd w:val="0"/>
        <w:snapToGrid w:val="0"/>
        <w:spacing w:line="400" w:lineRule="exact"/>
        <w:ind w:left="0" w:leftChars="0" w:firstLine="420" w:firstLineChars="0"/>
        <w:textAlignment w:val="auto"/>
        <w:rPr>
          <w:rFonts w:hint="eastAsia" w:ascii="宋体" w:hAnsi="宋体" w:eastAsia="宋体" w:cs="宋体"/>
          <w:iCs w:val="0"/>
          <w:color w:val="auto"/>
          <w:sz w:val="24"/>
          <w:szCs w:val="24"/>
          <w:highlight w:val="none"/>
          <w:lang w:val="en-US" w:eastAsia="zh-CN" w:bidi="ar-SA"/>
        </w:rPr>
      </w:pPr>
      <w:r>
        <w:rPr>
          <w:rFonts w:hint="eastAsia" w:ascii="宋体" w:hAnsi="宋体" w:eastAsia="宋体" w:cs="宋体"/>
          <w:iCs w:val="0"/>
          <w:color w:val="auto"/>
          <w:sz w:val="24"/>
          <w:szCs w:val="24"/>
          <w:highlight w:val="none"/>
          <w:lang w:val="en-US" w:eastAsia="zh-CN" w:bidi="ar-SA"/>
        </w:rPr>
        <w:t>（3）采购方式：</w:t>
      </w:r>
      <w:r>
        <w:rPr>
          <w:rFonts w:hint="eastAsia" w:ascii="宋体" w:hAnsi="宋体" w:eastAsia="宋体" w:cs="宋体"/>
          <w:iCs w:val="0"/>
          <w:color w:val="auto"/>
          <w:sz w:val="24"/>
          <w:szCs w:val="24"/>
          <w:highlight w:val="none"/>
          <w:lang w:val="en-US" w:eastAsia="zh-CN" w:bidi="ar-SA"/>
        </w:rPr>
        <w:sym w:font="Wingdings" w:char="00A8"/>
      </w:r>
      <w:r>
        <w:rPr>
          <w:rFonts w:hint="eastAsia" w:ascii="宋体" w:hAnsi="宋体" w:eastAsia="宋体" w:cs="宋体"/>
          <w:iCs w:val="0"/>
          <w:color w:val="auto"/>
          <w:sz w:val="24"/>
          <w:szCs w:val="24"/>
          <w:highlight w:val="none"/>
          <w:lang w:val="en-US" w:eastAsia="zh-CN" w:bidi="ar-SA"/>
        </w:rPr>
        <w:t xml:space="preserve">公开招标 </w:t>
      </w:r>
      <w:r>
        <w:rPr>
          <w:rFonts w:hint="eastAsia" w:ascii="宋体" w:hAnsi="宋体" w:eastAsia="宋体" w:cs="宋体"/>
          <w:iCs w:val="0"/>
          <w:color w:val="auto"/>
          <w:sz w:val="24"/>
          <w:szCs w:val="24"/>
          <w:highlight w:val="none"/>
          <w:lang w:val="en-US" w:eastAsia="zh-CN" w:bidi="ar-SA"/>
        </w:rPr>
        <w:sym w:font="Wingdings" w:char="00A8"/>
      </w:r>
      <w:r>
        <w:rPr>
          <w:rFonts w:hint="eastAsia" w:ascii="宋体" w:hAnsi="宋体" w:eastAsia="宋体" w:cs="宋体"/>
          <w:iCs w:val="0"/>
          <w:color w:val="auto"/>
          <w:sz w:val="24"/>
          <w:szCs w:val="24"/>
          <w:highlight w:val="none"/>
          <w:lang w:val="en-US" w:eastAsia="zh-CN" w:bidi="ar-SA"/>
        </w:rPr>
        <w:t xml:space="preserve">邀请招标 </w:t>
      </w:r>
      <w:r>
        <w:rPr>
          <w:rFonts w:hint="eastAsia" w:ascii="宋体" w:hAnsi="宋体" w:eastAsia="宋体" w:cs="宋体"/>
          <w:iCs w:val="0"/>
          <w:color w:val="auto"/>
          <w:sz w:val="24"/>
          <w:szCs w:val="24"/>
          <w:highlight w:val="none"/>
          <w:lang w:val="en-US" w:eastAsia="zh-CN" w:bidi="ar-SA"/>
        </w:rPr>
        <w:sym w:font="Wingdings" w:char="00A8"/>
      </w:r>
      <w:r>
        <w:rPr>
          <w:rFonts w:hint="eastAsia" w:ascii="宋体" w:hAnsi="宋体" w:eastAsia="宋体" w:cs="宋体"/>
          <w:iCs w:val="0"/>
          <w:color w:val="auto"/>
          <w:sz w:val="24"/>
          <w:szCs w:val="24"/>
          <w:highlight w:val="none"/>
          <w:lang w:val="en-US" w:eastAsia="zh-CN" w:bidi="ar-SA"/>
        </w:rPr>
        <w:t xml:space="preserve">竞争性谈判 </w:t>
      </w:r>
      <w:r>
        <w:rPr>
          <w:rFonts w:hint="eastAsia" w:ascii="宋体" w:hAnsi="宋体" w:eastAsia="宋体" w:cs="宋体"/>
          <w:iCs w:val="0"/>
          <w:color w:val="auto"/>
          <w:sz w:val="24"/>
          <w:szCs w:val="24"/>
          <w:highlight w:val="none"/>
          <w:lang w:val="en-US" w:eastAsia="zh-CN" w:bidi="ar-SA"/>
        </w:rPr>
        <w:sym w:font="Wingdings" w:char="00A8"/>
      </w:r>
      <w:r>
        <w:rPr>
          <w:rFonts w:hint="eastAsia" w:ascii="宋体" w:hAnsi="宋体" w:eastAsia="宋体" w:cs="宋体"/>
          <w:iCs w:val="0"/>
          <w:color w:val="auto"/>
          <w:sz w:val="24"/>
          <w:szCs w:val="24"/>
          <w:highlight w:val="none"/>
          <w:lang w:val="en-US" w:eastAsia="zh-CN" w:bidi="ar-SA"/>
        </w:rPr>
        <w:t>竞争性磋商</w:t>
      </w:r>
    </w:p>
    <w:p w14:paraId="5C11D003">
      <w:pPr>
        <w:keepNext w:val="0"/>
        <w:keepLines w:val="0"/>
        <w:pageBreakBefore w:val="0"/>
        <w:numPr>
          <w:ilvl w:val="0"/>
          <w:numId w:val="0"/>
        </w:numPr>
        <w:kinsoku/>
        <w:wordWrap/>
        <w:overflowPunct/>
        <w:topLinePunct w:val="0"/>
        <w:autoSpaceDE w:val="0"/>
        <w:autoSpaceDN w:val="0"/>
        <w:bidi w:val="0"/>
        <w:adjustRightInd w:val="0"/>
        <w:snapToGrid w:val="0"/>
        <w:spacing w:line="400" w:lineRule="exact"/>
        <w:ind w:left="0" w:leftChars="0" w:firstLine="420" w:firstLineChars="0"/>
        <w:textAlignment w:val="auto"/>
        <w:rPr>
          <w:rFonts w:hint="eastAsia" w:ascii="宋体" w:hAnsi="宋体" w:eastAsia="宋体" w:cs="宋体"/>
          <w:iCs w:val="0"/>
          <w:color w:val="auto"/>
          <w:sz w:val="24"/>
          <w:szCs w:val="24"/>
          <w:highlight w:val="none"/>
          <w:u w:val="single"/>
          <w:lang w:val="en-US" w:eastAsia="zh-CN" w:bidi="ar-SA"/>
        </w:rPr>
      </w:pPr>
      <w:r>
        <w:rPr>
          <w:rFonts w:hint="eastAsia" w:ascii="宋体" w:hAnsi="宋体" w:eastAsia="宋体" w:cs="宋体"/>
          <w:color w:val="auto"/>
          <w:sz w:val="24"/>
          <w:szCs w:val="24"/>
          <w:highlight w:val="none"/>
          <w:u w:val="none"/>
          <w:lang w:val="en-US" w:eastAsia="zh-CN" w:bidi="ar-SA"/>
        </w:rPr>
        <w:t xml:space="preserve">               </w:t>
      </w:r>
      <w:r>
        <w:rPr>
          <w:rFonts w:hint="eastAsia" w:ascii="宋体" w:hAnsi="宋体" w:eastAsia="宋体" w:cs="宋体"/>
          <w:iCs w:val="0"/>
          <w:color w:val="auto"/>
          <w:sz w:val="24"/>
          <w:szCs w:val="24"/>
          <w:highlight w:val="none"/>
          <w:lang w:val="en-US" w:eastAsia="zh-CN" w:bidi="ar-SA"/>
        </w:rPr>
        <w:sym w:font="Wingdings" w:char="00A8"/>
      </w:r>
      <w:r>
        <w:rPr>
          <w:rFonts w:hint="eastAsia" w:ascii="宋体" w:hAnsi="宋体" w:eastAsia="宋体" w:cs="宋体"/>
          <w:iCs w:val="0"/>
          <w:color w:val="auto"/>
          <w:sz w:val="24"/>
          <w:szCs w:val="24"/>
          <w:highlight w:val="none"/>
          <w:lang w:val="en-US" w:eastAsia="zh-CN" w:bidi="ar-SA"/>
        </w:rPr>
        <w:t xml:space="preserve">询价 </w:t>
      </w:r>
      <w:r>
        <w:rPr>
          <w:rFonts w:hint="eastAsia" w:ascii="宋体" w:hAnsi="宋体" w:eastAsia="宋体" w:cs="宋体"/>
          <w:iCs w:val="0"/>
          <w:color w:val="auto"/>
          <w:sz w:val="24"/>
          <w:szCs w:val="24"/>
          <w:highlight w:val="none"/>
          <w:lang w:val="en-US" w:eastAsia="zh-CN" w:bidi="ar-SA"/>
        </w:rPr>
        <w:sym w:font="Wingdings" w:char="00A8"/>
      </w:r>
      <w:r>
        <w:rPr>
          <w:rFonts w:hint="eastAsia" w:ascii="宋体" w:hAnsi="宋体" w:eastAsia="宋体" w:cs="宋体"/>
          <w:iCs w:val="0"/>
          <w:color w:val="auto"/>
          <w:sz w:val="24"/>
          <w:szCs w:val="24"/>
          <w:highlight w:val="none"/>
          <w:lang w:val="en-US" w:eastAsia="zh-CN" w:bidi="ar-SA"/>
        </w:rPr>
        <w:t xml:space="preserve">单一来源 </w:t>
      </w:r>
      <w:r>
        <w:rPr>
          <w:rFonts w:hint="eastAsia" w:ascii="宋体" w:hAnsi="宋体" w:eastAsia="宋体" w:cs="宋体"/>
          <w:iCs w:val="0"/>
          <w:color w:val="auto"/>
          <w:sz w:val="24"/>
          <w:szCs w:val="24"/>
          <w:highlight w:val="none"/>
          <w:lang w:val="en-US" w:eastAsia="zh-CN" w:bidi="ar-SA"/>
        </w:rPr>
        <w:sym w:font="Wingdings" w:char="00A8"/>
      </w:r>
      <w:r>
        <w:rPr>
          <w:rFonts w:hint="eastAsia" w:ascii="宋体" w:hAnsi="宋体" w:eastAsia="宋体" w:cs="宋体"/>
          <w:iCs w:val="0"/>
          <w:color w:val="auto"/>
          <w:sz w:val="24"/>
          <w:szCs w:val="24"/>
          <w:highlight w:val="none"/>
          <w:lang w:val="en-US" w:eastAsia="zh-CN" w:bidi="ar-SA"/>
        </w:rPr>
        <w:t xml:space="preserve">框架协议 </w:t>
      </w:r>
      <w:r>
        <w:rPr>
          <w:rFonts w:hint="eastAsia" w:ascii="宋体" w:hAnsi="宋体" w:eastAsia="宋体" w:cs="宋体"/>
          <w:iCs w:val="0"/>
          <w:color w:val="auto"/>
          <w:sz w:val="24"/>
          <w:szCs w:val="24"/>
          <w:highlight w:val="none"/>
          <w:lang w:val="en-US" w:eastAsia="zh-CN" w:bidi="ar-SA"/>
        </w:rPr>
        <w:sym w:font="Wingdings" w:char="00A8"/>
      </w:r>
      <w:r>
        <w:rPr>
          <w:rFonts w:hint="eastAsia" w:ascii="宋体" w:hAnsi="宋体" w:eastAsia="宋体" w:cs="宋体"/>
          <w:iCs w:val="0"/>
          <w:color w:val="auto"/>
          <w:sz w:val="24"/>
          <w:szCs w:val="24"/>
          <w:highlight w:val="none"/>
          <w:lang w:val="en-US" w:eastAsia="zh-CN" w:bidi="ar-SA"/>
        </w:rPr>
        <w:t>其他：</w:t>
      </w:r>
      <w:r>
        <w:rPr>
          <w:rFonts w:hint="eastAsia" w:ascii="宋体" w:hAnsi="宋体" w:eastAsia="宋体" w:cs="宋体"/>
          <w:iCs w:val="0"/>
          <w:color w:val="auto"/>
          <w:sz w:val="24"/>
          <w:szCs w:val="24"/>
          <w:highlight w:val="none"/>
          <w:u w:val="single"/>
          <w:lang w:val="en-US" w:eastAsia="zh-CN" w:bidi="ar-SA"/>
        </w:rPr>
        <w:t xml:space="preserve">          </w:t>
      </w:r>
    </w:p>
    <w:p w14:paraId="36413432">
      <w:pPr>
        <w:keepNext w:val="0"/>
        <w:keepLines w:val="0"/>
        <w:pageBreakBefore w:val="0"/>
        <w:numPr>
          <w:ilvl w:val="0"/>
          <w:numId w:val="0"/>
        </w:numPr>
        <w:kinsoku/>
        <w:wordWrap/>
        <w:overflowPunct/>
        <w:topLinePunct w:val="0"/>
        <w:autoSpaceDE w:val="0"/>
        <w:autoSpaceDN w:val="0"/>
        <w:bidi w:val="0"/>
        <w:adjustRightInd w:val="0"/>
        <w:snapToGrid w:val="0"/>
        <w:spacing w:line="400" w:lineRule="exact"/>
        <w:ind w:leftChars="0" w:firstLine="240" w:firstLineChars="100"/>
        <w:textAlignment w:val="auto"/>
        <w:rPr>
          <w:rFonts w:hint="eastAsia" w:ascii="宋体" w:hAnsi="宋体" w:eastAsia="宋体" w:cs="宋体"/>
          <w:color w:val="auto"/>
          <w:w w:val="100"/>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（4）</w:t>
      </w:r>
      <w:r>
        <w:rPr>
          <w:rFonts w:hint="eastAsia" w:ascii="宋体" w:hAnsi="宋体" w:eastAsia="宋体" w:cs="宋体"/>
          <w:color w:val="auto"/>
          <w:w w:val="100"/>
          <w:kern w:val="2"/>
          <w:sz w:val="24"/>
          <w:szCs w:val="24"/>
          <w:highlight w:val="none"/>
          <w:lang w:val="en-US" w:eastAsia="zh-CN" w:bidi="ar-SA"/>
        </w:rPr>
        <w:t>中标（成交）采购标的制造商是否为中小企业：</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 xml:space="preserve">是   </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否</w:t>
      </w:r>
    </w:p>
    <w:p w14:paraId="67D9C24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本合同是否为专门面向中小企业的采购合同（中小企业预留合同）：</w:t>
      </w:r>
      <w:r>
        <w:rPr>
          <w:rFonts w:hint="eastAsia" w:ascii="宋体" w:hAnsi="宋体" w:eastAsia="宋体" w:cs="宋体"/>
          <w:color w:val="auto"/>
          <w:sz w:val="24"/>
          <w:szCs w:val="24"/>
          <w:highlight w:val="none"/>
          <w:u w:val="none"/>
          <w:lang w:val="en-US" w:eastAsia="zh-CN"/>
        </w:rPr>
        <w:sym w:font="Wingdings" w:char="00A8"/>
      </w:r>
      <w:r>
        <w:rPr>
          <w:rFonts w:hint="eastAsia" w:ascii="宋体" w:hAnsi="宋体" w:eastAsia="宋体" w:cs="宋体"/>
          <w:color w:val="auto"/>
          <w:sz w:val="24"/>
          <w:szCs w:val="24"/>
          <w:highlight w:val="none"/>
          <w:u w:val="none"/>
          <w:lang w:val="en-US" w:eastAsia="zh-CN"/>
        </w:rPr>
        <w:t xml:space="preserve">是  </w:t>
      </w:r>
      <w:r>
        <w:rPr>
          <w:rFonts w:hint="eastAsia" w:ascii="宋体" w:hAnsi="宋体" w:eastAsia="宋体" w:cs="宋体"/>
          <w:color w:val="auto"/>
          <w:sz w:val="24"/>
          <w:szCs w:val="24"/>
          <w:highlight w:val="none"/>
          <w:u w:val="none"/>
          <w:lang w:val="en-US" w:eastAsia="zh-CN"/>
        </w:rPr>
        <w:sym w:font="Wingdings" w:char="00A8"/>
      </w:r>
      <w:r>
        <w:rPr>
          <w:rFonts w:hint="eastAsia" w:ascii="宋体" w:hAnsi="宋体" w:eastAsia="宋体" w:cs="宋体"/>
          <w:color w:val="auto"/>
          <w:sz w:val="24"/>
          <w:szCs w:val="24"/>
          <w:highlight w:val="none"/>
          <w:u w:val="none"/>
          <w:lang w:val="en-US" w:eastAsia="zh-CN"/>
        </w:rPr>
        <w:t>否</w:t>
      </w:r>
    </w:p>
    <w:p w14:paraId="4586FA1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若本项目不专门面向中小企业采购，是否给予小微企业评审优惠：</w:t>
      </w:r>
      <w:r>
        <w:rPr>
          <w:rFonts w:hint="eastAsia" w:ascii="宋体" w:hAnsi="宋体" w:eastAsia="宋体" w:cs="宋体"/>
          <w:color w:val="auto"/>
          <w:sz w:val="24"/>
          <w:szCs w:val="24"/>
          <w:highlight w:val="none"/>
          <w:u w:val="none"/>
          <w:lang w:val="en-US" w:eastAsia="zh-CN"/>
        </w:rPr>
        <w:sym w:font="Wingdings" w:char="00A8"/>
      </w:r>
      <w:r>
        <w:rPr>
          <w:rFonts w:hint="eastAsia" w:ascii="宋体" w:hAnsi="宋体" w:eastAsia="宋体" w:cs="宋体"/>
          <w:color w:val="auto"/>
          <w:sz w:val="24"/>
          <w:szCs w:val="24"/>
          <w:highlight w:val="none"/>
          <w:u w:val="none"/>
          <w:lang w:val="en-US" w:eastAsia="zh-CN"/>
        </w:rPr>
        <w:t xml:space="preserve">是   </w:t>
      </w:r>
      <w:r>
        <w:rPr>
          <w:rFonts w:hint="eastAsia" w:ascii="宋体" w:hAnsi="宋体" w:eastAsia="宋体" w:cs="宋体"/>
          <w:color w:val="auto"/>
          <w:sz w:val="24"/>
          <w:szCs w:val="24"/>
          <w:highlight w:val="none"/>
          <w:u w:val="none"/>
          <w:lang w:val="en-US" w:eastAsia="zh-CN"/>
        </w:rPr>
        <w:sym w:font="Wingdings" w:char="00A8"/>
      </w:r>
      <w:r>
        <w:rPr>
          <w:rFonts w:hint="eastAsia" w:ascii="宋体" w:hAnsi="宋体" w:eastAsia="宋体" w:cs="宋体"/>
          <w:color w:val="auto"/>
          <w:sz w:val="24"/>
          <w:szCs w:val="24"/>
          <w:highlight w:val="none"/>
          <w:u w:val="none"/>
          <w:lang w:val="en-US" w:eastAsia="zh-CN"/>
        </w:rPr>
        <w:t>否</w:t>
      </w:r>
    </w:p>
    <w:p w14:paraId="2BD35919">
      <w:pPr>
        <w:keepNext w:val="0"/>
        <w:keepLines w:val="0"/>
        <w:pageBreakBefore w:val="0"/>
        <w:kinsoku/>
        <w:wordWrap/>
        <w:overflowPunct/>
        <w:topLinePunct w:val="0"/>
        <w:bidi w:val="0"/>
        <w:adjustRightInd w:val="0"/>
        <w:snapToGrid w:val="0"/>
        <w:spacing w:line="400" w:lineRule="exact"/>
        <w:ind w:leftChars="0" w:firstLine="1080" w:firstLineChars="45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中标（成交）采购标的制造商是否为残疾人福利性单位：</w:t>
      </w:r>
      <w:r>
        <w:rPr>
          <w:rFonts w:hint="eastAsia" w:ascii="宋体" w:hAnsi="宋体" w:eastAsia="宋体" w:cs="宋体"/>
          <w:color w:val="auto"/>
          <w:sz w:val="24"/>
          <w:szCs w:val="24"/>
          <w:highlight w:val="none"/>
          <w:u w:val="none"/>
          <w:lang w:val="en-US" w:eastAsia="zh-CN"/>
        </w:rPr>
        <w:sym w:font="Wingdings" w:char="00A8"/>
      </w:r>
      <w:r>
        <w:rPr>
          <w:rFonts w:hint="eastAsia" w:ascii="宋体" w:hAnsi="宋体" w:eastAsia="宋体" w:cs="宋体"/>
          <w:color w:val="auto"/>
          <w:sz w:val="24"/>
          <w:szCs w:val="24"/>
          <w:highlight w:val="none"/>
          <w:u w:val="none"/>
          <w:lang w:val="en-US" w:eastAsia="zh-CN"/>
        </w:rPr>
        <w:t xml:space="preserve">是   </w:t>
      </w:r>
      <w:r>
        <w:rPr>
          <w:rFonts w:hint="eastAsia" w:ascii="宋体" w:hAnsi="宋体" w:eastAsia="宋体" w:cs="宋体"/>
          <w:color w:val="auto"/>
          <w:sz w:val="24"/>
          <w:szCs w:val="24"/>
          <w:highlight w:val="none"/>
          <w:u w:val="none"/>
          <w:lang w:val="en-US" w:eastAsia="zh-CN"/>
        </w:rPr>
        <w:sym w:font="Wingdings" w:char="00A8"/>
      </w:r>
      <w:r>
        <w:rPr>
          <w:rFonts w:hint="eastAsia" w:ascii="宋体" w:hAnsi="宋体" w:eastAsia="宋体" w:cs="宋体"/>
          <w:color w:val="auto"/>
          <w:sz w:val="24"/>
          <w:szCs w:val="24"/>
          <w:highlight w:val="none"/>
          <w:u w:val="none"/>
          <w:lang w:val="en-US" w:eastAsia="zh-CN"/>
        </w:rPr>
        <w:t>否</w:t>
      </w:r>
    </w:p>
    <w:p w14:paraId="4B1C5200">
      <w:pPr>
        <w:keepNext w:val="0"/>
        <w:keepLines w:val="0"/>
        <w:pageBreakBefore w:val="0"/>
        <w:kinsoku/>
        <w:wordWrap/>
        <w:overflowPunct/>
        <w:topLinePunct w:val="0"/>
        <w:bidi w:val="0"/>
        <w:adjustRightInd w:val="0"/>
        <w:snapToGrid w:val="0"/>
        <w:spacing w:line="400" w:lineRule="exact"/>
        <w:ind w:leftChars="0" w:firstLine="1080" w:firstLineChars="4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中标</w:t>
      </w:r>
      <w:r>
        <w:rPr>
          <w:rFonts w:hint="eastAsia" w:ascii="宋体" w:hAnsi="宋体" w:eastAsia="宋体" w:cs="宋体"/>
          <w:color w:val="auto"/>
          <w:sz w:val="24"/>
          <w:szCs w:val="24"/>
          <w:highlight w:val="none"/>
          <w:lang w:val="en-US" w:eastAsia="zh-CN"/>
        </w:rPr>
        <w:t>（成交）采购标的制造商是否为监狱企业：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1142B396">
      <w:pPr>
        <w:keepNext w:val="0"/>
        <w:keepLines w:val="0"/>
        <w:pageBreakBefore w:val="0"/>
        <w:kinsoku/>
        <w:wordWrap/>
        <w:overflowPunct/>
        <w:topLinePunct w:val="0"/>
        <w:bidi w:val="0"/>
        <w:adjustRightInd w:val="0"/>
        <w:snapToGrid w:val="0"/>
        <w:spacing w:line="40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762D23A">
      <w:pPr>
        <w:keepNext w:val="0"/>
        <w:keepLines w:val="0"/>
        <w:pageBreakBefore w:val="0"/>
        <w:kinsoku/>
        <w:wordWrap/>
        <w:overflowPunct/>
        <w:topLinePunct w:val="0"/>
        <w:bidi w:val="0"/>
        <w:adjustRightInd w:val="0"/>
        <w:snapToGrid w:val="0"/>
        <w:spacing w:line="400" w:lineRule="exact"/>
        <w:ind w:leftChars="0"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分包主要内容：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A35622B">
      <w:pPr>
        <w:keepNext w:val="0"/>
        <w:keepLines w:val="0"/>
        <w:pageBreakBefore w:val="0"/>
        <w:kinsoku/>
        <w:wordWrap/>
        <w:overflowPunct/>
        <w:topLinePunct w:val="0"/>
        <w:bidi w:val="0"/>
        <w:adjustRightInd w:val="0"/>
        <w:snapToGrid w:val="0"/>
        <w:spacing w:line="400" w:lineRule="exact"/>
        <w:ind w:lef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（如供应商和制造商不同，请分别填写）</w:t>
      </w:r>
      <w:r>
        <w:rPr>
          <w:rFonts w:hint="eastAsia" w:ascii="宋体" w:hAnsi="宋体" w:eastAsia="宋体" w:cs="宋体"/>
          <w:color w:val="auto"/>
          <w:sz w:val="24"/>
          <w:szCs w:val="24"/>
          <w:highlight w:val="none"/>
        </w:rPr>
        <w:t>：</w:t>
      </w:r>
    </w:p>
    <w:p w14:paraId="5CBC713F">
      <w:pPr>
        <w:keepNext w:val="0"/>
        <w:keepLines w:val="0"/>
        <w:pageBreakBefore w:val="0"/>
        <w:kinsoku/>
        <w:wordWrap/>
        <w:overflowPunct/>
        <w:topLinePunct w:val="0"/>
        <w:bidi w:val="0"/>
        <w:adjustRightInd w:val="0"/>
        <w:snapToGrid w:val="0"/>
        <w:spacing w:line="400" w:lineRule="exact"/>
        <w:ind w:leftChars="0"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73BB9DCB">
      <w:pPr>
        <w:keepNext w:val="0"/>
        <w:keepLines w:val="0"/>
        <w:pageBreakBefore w:val="0"/>
        <w:kinsoku/>
        <w:wordWrap/>
        <w:overflowPunct/>
        <w:topLinePunct w:val="0"/>
        <w:bidi w:val="0"/>
        <w:adjustRightInd w:val="0"/>
        <w:snapToGrid w:val="0"/>
        <w:spacing w:line="400" w:lineRule="exact"/>
        <w:ind w:lef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类型</w:t>
      </w:r>
      <w:r>
        <w:rPr>
          <w:rFonts w:hint="eastAsia" w:ascii="宋体" w:hAnsi="宋体" w:eastAsia="宋体" w:cs="宋体"/>
          <w:color w:val="auto"/>
          <w:sz w:val="24"/>
          <w:szCs w:val="24"/>
          <w:highlight w:val="none"/>
          <w:lang w:eastAsia="zh-CN"/>
        </w:rPr>
        <w:t>（如果供应商和制造商不同，只填写制造商类型）</w:t>
      </w:r>
      <w:r>
        <w:rPr>
          <w:rFonts w:hint="eastAsia" w:ascii="宋体" w:hAnsi="宋体" w:eastAsia="宋体" w:cs="宋体"/>
          <w:color w:val="auto"/>
          <w:sz w:val="24"/>
          <w:szCs w:val="24"/>
          <w:highlight w:val="none"/>
        </w:rPr>
        <w:t>：</w:t>
      </w:r>
    </w:p>
    <w:p w14:paraId="2446F6F1">
      <w:pPr>
        <w:keepNext w:val="0"/>
        <w:keepLines w:val="0"/>
        <w:pageBreakBefore w:val="0"/>
        <w:kinsoku/>
        <w:wordWrap/>
        <w:overflowPunct/>
        <w:topLinePunct w:val="0"/>
        <w:bidi w:val="0"/>
        <w:adjustRightInd w:val="0"/>
        <w:snapToGrid w:val="0"/>
        <w:spacing w:line="400" w:lineRule="exact"/>
        <w:ind w:leftChars="0" w:firstLine="960" w:firstLineChars="40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小微型企业</w:t>
      </w:r>
      <w:r>
        <w:rPr>
          <w:rFonts w:hint="eastAsia" w:ascii="宋体" w:hAnsi="宋体" w:eastAsia="宋体" w:cs="宋体"/>
          <w:iCs/>
          <w:color w:val="auto"/>
          <w:sz w:val="24"/>
          <w:szCs w:val="24"/>
          <w:highlight w:val="none"/>
          <w:lang w:val="en-US" w:eastAsia="zh-CN"/>
        </w:rPr>
        <w:t xml:space="preserve">  </w:t>
      </w:r>
    </w:p>
    <w:p w14:paraId="45D7CC31">
      <w:pPr>
        <w:keepNext w:val="0"/>
        <w:keepLines w:val="0"/>
        <w:pageBreakBefore w:val="0"/>
        <w:kinsoku/>
        <w:wordWrap/>
        <w:overflowPunct/>
        <w:topLinePunct w:val="0"/>
        <w:bidi w:val="0"/>
        <w:adjustRightInd w:val="0"/>
        <w:snapToGrid w:val="0"/>
        <w:spacing w:line="400" w:lineRule="exact"/>
        <w:ind w:leftChars="0" w:firstLine="960" w:firstLineChars="4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残疾人福利性单位</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监狱</w:t>
      </w:r>
      <w:r>
        <w:rPr>
          <w:rFonts w:hint="eastAsia" w:ascii="宋体" w:hAnsi="宋体" w:eastAsia="宋体" w:cs="宋体"/>
          <w:iCs/>
          <w:color w:val="auto"/>
          <w:sz w:val="24"/>
          <w:szCs w:val="24"/>
          <w:highlight w:val="none"/>
        </w:rPr>
        <w:t>企业</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p>
    <w:p w14:paraId="7C6F8235">
      <w:pPr>
        <w:keepNext w:val="0"/>
        <w:keepLines w:val="0"/>
        <w:pageBreakBefore w:val="0"/>
        <w:numPr>
          <w:ilvl w:val="0"/>
          <w:numId w:val="0"/>
        </w:numPr>
        <w:kinsoku/>
        <w:wordWrap/>
        <w:overflowPunct/>
        <w:topLinePunct w:val="0"/>
        <w:bidi w:val="0"/>
        <w:adjustRightInd w:val="0"/>
        <w:snapToGrid w:val="0"/>
        <w:spacing w:line="400" w:lineRule="exact"/>
        <w:ind w:left="0" w:leftChars="0" w:firstLine="0" w:firstLineChars="0"/>
        <w:textAlignment w:val="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u w:val="none"/>
          <w:lang w:val="en-US" w:eastAsia="zh-CN"/>
        </w:rPr>
        <w:t xml:space="preserve">    （6）中标（成交）供应商是否为外商投资企业：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12C9E185">
      <w:pPr>
        <w:keepNext w:val="0"/>
        <w:keepLines w:val="0"/>
        <w:pageBreakBefore w:val="0"/>
        <w:tabs>
          <w:tab w:val="left" w:pos="1340"/>
        </w:tabs>
        <w:kinsoku/>
        <w:wordWrap/>
        <w:overflowPunct/>
        <w:topLinePunct w:val="0"/>
        <w:autoSpaceDE w:val="0"/>
        <w:autoSpaceDN w:val="0"/>
        <w:bidi w:val="0"/>
        <w:adjustRightInd w:val="0"/>
        <w:spacing w:line="400" w:lineRule="exact"/>
        <w:ind w:leftChars="0" w:firstLine="480" w:firstLineChars="200"/>
        <w:textAlignment w:val="auto"/>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none"/>
          <w:lang w:val="en-US" w:eastAsia="zh-CN" w:bidi="ar-SA"/>
        </w:rPr>
        <w:t xml:space="preserve">     外商投资企业类型：</w:t>
      </w:r>
      <w:r>
        <w:rPr>
          <w:rFonts w:hint="eastAsia" w:ascii="宋体" w:hAnsi="宋体" w:eastAsia="宋体" w:cs="宋体"/>
          <w:iCs/>
          <w:color w:val="auto"/>
          <w:sz w:val="24"/>
          <w:szCs w:val="24"/>
          <w:highlight w:val="none"/>
          <w:lang w:val="en-US" w:eastAsia="zh-CN" w:bidi="ar-SA"/>
        </w:rPr>
        <w:sym w:font="Wingdings" w:char="00A8"/>
      </w:r>
      <w:r>
        <w:rPr>
          <w:rFonts w:hint="eastAsia" w:ascii="宋体" w:hAnsi="宋体" w:eastAsia="宋体" w:cs="宋体"/>
          <w:color w:val="auto"/>
          <w:sz w:val="24"/>
          <w:szCs w:val="24"/>
          <w:highlight w:val="none"/>
          <w:u w:val="none"/>
          <w:lang w:val="en-US" w:eastAsia="zh-CN" w:bidi="ar-SA"/>
        </w:rPr>
        <w:t xml:space="preserve">全部由外国投资者投资  </w:t>
      </w:r>
      <w:r>
        <w:rPr>
          <w:rFonts w:hint="eastAsia" w:ascii="宋体" w:hAnsi="宋体" w:eastAsia="宋体" w:cs="宋体"/>
          <w:iCs/>
          <w:color w:val="auto"/>
          <w:sz w:val="24"/>
          <w:szCs w:val="24"/>
          <w:highlight w:val="none"/>
          <w:lang w:val="en-US" w:eastAsia="zh-CN" w:bidi="ar-SA"/>
        </w:rPr>
        <w:sym w:font="Wingdings" w:char="00A8"/>
      </w:r>
      <w:r>
        <w:rPr>
          <w:rFonts w:hint="eastAsia" w:ascii="宋体" w:hAnsi="宋体" w:eastAsia="宋体" w:cs="宋体"/>
          <w:iCs/>
          <w:color w:val="auto"/>
          <w:sz w:val="24"/>
          <w:szCs w:val="24"/>
          <w:highlight w:val="none"/>
          <w:lang w:val="en-US" w:eastAsia="zh-CN" w:bidi="ar-SA"/>
        </w:rPr>
        <w:t>部分由外国投资者投资</w:t>
      </w:r>
    </w:p>
    <w:p w14:paraId="08AEF3AB">
      <w:pPr>
        <w:keepNext w:val="0"/>
        <w:keepLines w:val="0"/>
        <w:pageBreakBefore w:val="0"/>
        <w:numPr>
          <w:ilvl w:val="0"/>
          <w:numId w:val="0"/>
        </w:numPr>
        <w:kinsoku/>
        <w:wordWrap/>
        <w:overflowPunct/>
        <w:topLinePunct w:val="0"/>
        <w:bidi w:val="0"/>
        <w:adjustRightInd w:val="0"/>
        <w:snapToGrid w:val="0"/>
        <w:spacing w:line="400" w:lineRule="exact"/>
        <w:ind w:lef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（7）是否涉及进口产品：</w:t>
      </w:r>
    </w:p>
    <w:p w14:paraId="384100C1">
      <w:pPr>
        <w:keepNext w:val="0"/>
        <w:keepLines w:val="0"/>
        <w:pageBreakBefore w:val="0"/>
        <w:numPr>
          <w:ilvl w:val="0"/>
          <w:numId w:val="0"/>
        </w:numPr>
        <w:kinsoku/>
        <w:wordWrap/>
        <w:overflowPunct/>
        <w:topLinePunct w:val="0"/>
        <w:bidi w:val="0"/>
        <w:adjustRightInd w:val="0"/>
        <w:snapToGrid w:val="0"/>
        <w:spacing w:line="400" w:lineRule="exact"/>
        <w:ind w:leftChars="0" w:firstLine="960" w:firstLineChars="4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p>
    <w:p w14:paraId="2F2297CE">
      <w:pPr>
        <w:keepNext w:val="0"/>
        <w:keepLines w:val="0"/>
        <w:pageBreakBefore w:val="0"/>
        <w:numPr>
          <w:ilvl w:val="0"/>
          <w:numId w:val="0"/>
        </w:numPr>
        <w:kinsoku/>
        <w:wordWrap/>
        <w:overflowPunct/>
        <w:topLinePunct w:val="0"/>
        <w:bidi w:val="0"/>
        <w:adjustRightInd w:val="0"/>
        <w:snapToGrid w:val="0"/>
        <w:spacing w:line="400" w:lineRule="exact"/>
        <w:ind w:leftChars="0" w:firstLine="960" w:firstLineChars="400"/>
        <w:textAlignment w:val="auto"/>
        <w:rPr>
          <w:rFonts w:hint="eastAsia" w:ascii="宋体" w:hAnsi="宋体" w:eastAsia="宋体" w:cs="宋体"/>
          <w:iCs w:val="0"/>
          <w:color w:val="auto"/>
          <w:sz w:val="24"/>
          <w:szCs w:val="24"/>
          <w:highlight w:val="none"/>
        </w:rPr>
      </w:pPr>
      <w:r>
        <w:rPr>
          <w:rFonts w:hint="eastAsia" w:ascii="宋体" w:hAnsi="宋体" w:eastAsia="宋体" w:cs="宋体"/>
          <w:color w:val="auto"/>
          <w:sz w:val="24"/>
          <w:szCs w:val="24"/>
          <w:highlight w:val="none"/>
          <w:lang w:val="en-US" w:eastAsia="zh-CN"/>
        </w:rPr>
        <w:t xml:space="preserve"> 国别：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rPr>
        <w:t xml:space="preserve">      </w:t>
      </w:r>
    </w:p>
    <w:p w14:paraId="2519F35E">
      <w:pPr>
        <w:keepNext w:val="0"/>
        <w:keepLines w:val="0"/>
        <w:pageBreakBefore w:val="0"/>
        <w:kinsoku/>
        <w:wordWrap/>
        <w:overflowPunct/>
        <w:topLinePunct w:val="0"/>
        <w:bidi w:val="0"/>
        <w:adjustRightInd w:val="0"/>
        <w:snapToGrid w:val="0"/>
        <w:spacing w:line="400" w:lineRule="exact"/>
        <w:ind w:leftChars="0" w:firstLine="960" w:firstLineChars="4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7E06A278">
      <w:pPr>
        <w:keepNext w:val="0"/>
        <w:keepLines w:val="0"/>
        <w:pageBreakBefore w:val="0"/>
        <w:numPr>
          <w:ilvl w:val="0"/>
          <w:numId w:val="0"/>
        </w:numPr>
        <w:tabs>
          <w:tab w:val="left" w:pos="740"/>
        </w:tabs>
        <w:kinsoku/>
        <w:wordWrap/>
        <w:overflowPunct/>
        <w:topLinePunct w:val="0"/>
        <w:bidi w:val="0"/>
        <w:adjustRightInd w:val="0"/>
        <w:snapToGrid w:val="0"/>
        <w:spacing w:line="400" w:lineRule="exact"/>
        <w:ind w:left="0" w:leftChars="0" w:firstLine="0" w:firstLine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（8）是否涉及节能产品：</w:t>
      </w:r>
    </w:p>
    <w:p w14:paraId="7E28F100">
      <w:pPr>
        <w:keepNext w:val="0"/>
        <w:keepLines w:val="0"/>
        <w:pageBreakBefore w:val="0"/>
        <w:numPr>
          <w:ilvl w:val="0"/>
          <w:numId w:val="0"/>
        </w:numPr>
        <w:tabs>
          <w:tab w:val="left" w:pos="740"/>
        </w:tabs>
        <w:kinsoku/>
        <w:wordWrap/>
        <w:overflowPunct/>
        <w:topLinePunct w:val="0"/>
        <w:bidi w:val="0"/>
        <w:adjustRightInd w:val="0"/>
        <w:snapToGrid w:val="0"/>
        <w:spacing w:line="400" w:lineRule="exact"/>
        <w:ind w:leftChars="0" w:firstLine="0" w:firstLineChars="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，《节能产品政府采购品目清单》的底级品目名称：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36C0F2BD">
      <w:pPr>
        <w:keepNext w:val="0"/>
        <w:keepLines w:val="0"/>
        <w:pageBreakBefore w:val="0"/>
        <w:numPr>
          <w:ilvl w:val="0"/>
          <w:numId w:val="0"/>
        </w:numPr>
        <w:tabs>
          <w:tab w:val="left" w:pos="740"/>
        </w:tabs>
        <w:kinsoku/>
        <w:wordWrap/>
        <w:overflowPunct/>
        <w:topLinePunct w:val="0"/>
        <w:bidi w:val="0"/>
        <w:adjustRightInd w:val="0"/>
        <w:snapToGrid w:val="0"/>
        <w:spacing w:line="400" w:lineRule="exact"/>
        <w:ind w:leftChars="0" w:firstLine="0" w:firstLineChars="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7B73C92F">
      <w:pPr>
        <w:keepNext w:val="0"/>
        <w:keepLines w:val="0"/>
        <w:pageBreakBefore w:val="0"/>
        <w:numPr>
          <w:ilvl w:val="0"/>
          <w:numId w:val="0"/>
        </w:numPr>
        <w:tabs>
          <w:tab w:val="left" w:pos="740"/>
        </w:tabs>
        <w:kinsoku/>
        <w:wordWrap/>
        <w:overflowPunct/>
        <w:topLinePunct w:val="0"/>
        <w:bidi w:val="0"/>
        <w:adjustRightInd w:val="0"/>
        <w:snapToGrid w:val="0"/>
        <w:spacing w:line="400" w:lineRule="exact"/>
        <w:ind w:leftChars="0" w:firstLine="0" w:firstLineChars="0"/>
        <w:textAlignment w:val="auto"/>
        <w:rPr>
          <w:rFonts w:hint="eastAsia" w:ascii="宋体" w:hAnsi="宋体" w:eastAsia="宋体" w:cs="宋体"/>
          <w:iCs w:val="0"/>
          <w:color w:val="auto"/>
          <w:sz w:val="24"/>
          <w:szCs w:val="24"/>
          <w:highlight w:val="none"/>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2077E5ED">
      <w:pPr>
        <w:keepNext w:val="0"/>
        <w:keepLines w:val="0"/>
        <w:pageBreakBefore w:val="0"/>
        <w:numPr>
          <w:ilvl w:val="0"/>
          <w:numId w:val="0"/>
        </w:numPr>
        <w:tabs>
          <w:tab w:val="left" w:pos="740"/>
        </w:tabs>
        <w:kinsoku/>
        <w:wordWrap/>
        <w:overflowPunct/>
        <w:topLinePunct w:val="0"/>
        <w:bidi w:val="0"/>
        <w:adjustRightInd w:val="0"/>
        <w:snapToGrid w:val="0"/>
        <w:spacing w:line="400" w:lineRule="exact"/>
        <w:ind w:left="0" w:leftChars="0" w:firstLine="0" w:firstLine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是否涉及环境标志产品：</w:t>
      </w:r>
    </w:p>
    <w:p w14:paraId="10EA2B57">
      <w:pPr>
        <w:keepNext w:val="0"/>
        <w:keepLines w:val="0"/>
        <w:pageBreakBefore w:val="0"/>
        <w:numPr>
          <w:ilvl w:val="0"/>
          <w:numId w:val="0"/>
        </w:numPr>
        <w:tabs>
          <w:tab w:val="left" w:pos="740"/>
        </w:tabs>
        <w:kinsoku/>
        <w:wordWrap/>
        <w:overflowPunct/>
        <w:topLinePunct w:val="0"/>
        <w:bidi w:val="0"/>
        <w:adjustRightInd w:val="0"/>
        <w:snapToGrid w:val="0"/>
        <w:spacing w:line="400" w:lineRule="exact"/>
        <w:ind w:leftChars="0" w:firstLine="0" w:firstLineChars="0"/>
        <w:textAlignment w:val="auto"/>
        <w:rPr>
          <w:rFonts w:hint="eastAsia" w:ascii="宋体" w:hAnsi="宋体" w:eastAsia="宋体" w:cs="宋体"/>
          <w:iCs w:val="0"/>
          <w:color w:val="auto"/>
          <w:sz w:val="24"/>
          <w:szCs w:val="24"/>
          <w:highlight w:val="none"/>
          <w:lang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，《环境标志产品政府采购品目清单》的底级品目名称：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4B06E770">
      <w:pPr>
        <w:keepNext w:val="0"/>
        <w:keepLines w:val="0"/>
        <w:pageBreakBefore w:val="0"/>
        <w:numPr>
          <w:ilvl w:val="0"/>
          <w:numId w:val="0"/>
        </w:numPr>
        <w:tabs>
          <w:tab w:val="left" w:pos="740"/>
        </w:tabs>
        <w:kinsoku/>
        <w:wordWrap/>
        <w:overflowPunct/>
        <w:topLinePunct w:val="0"/>
        <w:bidi w:val="0"/>
        <w:adjustRightInd w:val="0"/>
        <w:snapToGrid w:val="0"/>
        <w:spacing w:line="400" w:lineRule="exact"/>
        <w:ind w:leftChars="0" w:firstLine="0" w:firstLineChars="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08B4D013">
      <w:pPr>
        <w:keepNext w:val="0"/>
        <w:keepLines w:val="0"/>
        <w:pageBreakBefore w:val="0"/>
        <w:numPr>
          <w:ilvl w:val="0"/>
          <w:numId w:val="0"/>
        </w:numPr>
        <w:tabs>
          <w:tab w:val="left" w:pos="740"/>
        </w:tabs>
        <w:kinsoku/>
        <w:wordWrap/>
        <w:overflowPunct/>
        <w:topLinePunct w:val="0"/>
        <w:bidi w:val="0"/>
        <w:adjustRightInd w:val="0"/>
        <w:snapToGrid w:val="0"/>
        <w:spacing w:line="400" w:lineRule="exact"/>
        <w:ind w:leftChars="0" w:firstLine="0" w:firstLine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40828E0C">
      <w:pPr>
        <w:keepNext w:val="0"/>
        <w:keepLines w:val="0"/>
        <w:pageBreakBefore w:val="0"/>
        <w:numPr>
          <w:ilvl w:val="0"/>
          <w:numId w:val="0"/>
        </w:numPr>
        <w:kinsoku/>
        <w:wordWrap/>
        <w:overflowPunct/>
        <w:topLinePunct w:val="0"/>
        <w:autoSpaceDE w:val="0"/>
        <w:autoSpaceDN w:val="0"/>
        <w:bidi w:val="0"/>
        <w:adjustRightInd w:val="0"/>
        <w:snapToGrid w:val="0"/>
        <w:spacing w:line="400" w:lineRule="exact"/>
        <w:ind w:leftChars="0" w:firstLine="0" w:firstLineChars="0"/>
        <w:textAlignment w:val="auto"/>
        <w:rPr>
          <w:rFonts w:hint="eastAsia" w:ascii="宋体" w:hAnsi="宋体" w:eastAsia="宋体" w:cs="宋体"/>
          <w:iCs w:val="0"/>
          <w:color w:val="auto"/>
          <w:kern w:val="2"/>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bidi="ar-SA"/>
        </w:rPr>
        <w:t xml:space="preserve">          </w:t>
      </w:r>
      <w:r>
        <w:rPr>
          <w:rFonts w:hint="eastAsia" w:ascii="宋体" w:hAnsi="宋体" w:eastAsia="宋体" w:cs="宋体"/>
          <w:b w:val="0"/>
          <w:bCs w:val="0"/>
          <w:color w:val="auto"/>
          <w:kern w:val="2"/>
          <w:sz w:val="24"/>
          <w:szCs w:val="24"/>
          <w:highlight w:val="none"/>
          <w:u w:val="none"/>
          <w:lang w:val="en-US" w:eastAsia="zh-CN" w:bidi="ar-SA"/>
        </w:rPr>
        <w:t>是否涉及绿色产品：</w:t>
      </w:r>
      <w:r>
        <w:rPr>
          <w:rFonts w:hint="eastAsia" w:ascii="宋体" w:hAnsi="宋体" w:eastAsia="宋体" w:cs="宋体"/>
          <w:iCs w:val="0"/>
          <w:color w:val="auto"/>
          <w:kern w:val="2"/>
          <w:sz w:val="24"/>
          <w:szCs w:val="24"/>
          <w:highlight w:val="none"/>
          <w:u w:val="none"/>
          <w:lang w:val="en-US" w:eastAsia="zh-CN" w:bidi="ar-SA"/>
        </w:rPr>
        <w:t xml:space="preserve"> </w:t>
      </w:r>
    </w:p>
    <w:p w14:paraId="25D42B07">
      <w:pPr>
        <w:keepNext w:val="0"/>
        <w:keepLines w:val="0"/>
        <w:pageBreakBefore w:val="0"/>
        <w:kinsoku/>
        <w:wordWrap/>
        <w:overflowPunct/>
        <w:topLinePunct w:val="0"/>
        <w:autoSpaceDE w:val="0"/>
        <w:autoSpaceDN w:val="0"/>
        <w:bidi w:val="0"/>
        <w:adjustRightInd w:val="0"/>
        <w:spacing w:line="400" w:lineRule="exact"/>
        <w:ind w:leftChars="0" w:firstLine="420" w:firstLineChars="0"/>
        <w:textAlignment w:val="auto"/>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iCs w:val="0"/>
          <w:color w:val="auto"/>
          <w:kern w:val="2"/>
          <w:sz w:val="24"/>
          <w:szCs w:val="24"/>
          <w:highlight w:val="none"/>
          <w:u w:val="none"/>
          <w:lang w:val="en-US" w:eastAsia="zh-CN" w:bidi="ar-SA"/>
        </w:rPr>
        <w:t xml:space="preserve">     </w:t>
      </w:r>
      <w:r>
        <w:rPr>
          <w:rFonts w:hint="eastAsia" w:ascii="宋体" w:hAnsi="宋体" w:eastAsia="宋体" w:cs="宋体"/>
          <w:iCs w:val="0"/>
          <w:color w:val="auto"/>
          <w:kern w:val="2"/>
          <w:sz w:val="24"/>
          <w:szCs w:val="24"/>
          <w:highlight w:val="none"/>
          <w:u w:val="none"/>
          <w:lang w:val="en-US" w:eastAsia="zh-CN" w:bidi="ar-SA"/>
        </w:rPr>
        <w:sym w:font="Wingdings" w:char="00A8"/>
      </w:r>
      <w:r>
        <w:rPr>
          <w:rFonts w:hint="eastAsia" w:ascii="宋体" w:hAnsi="宋体" w:eastAsia="宋体" w:cs="宋体"/>
          <w:iCs w:val="0"/>
          <w:color w:val="auto"/>
          <w:kern w:val="2"/>
          <w:sz w:val="24"/>
          <w:szCs w:val="24"/>
          <w:highlight w:val="none"/>
          <w:u w:val="none"/>
          <w:lang w:val="en-US" w:eastAsia="zh-CN" w:bidi="ar-SA"/>
        </w:rPr>
        <w:t>是，绿色产品政府采购相关政策确定的底级品目名称：</w:t>
      </w:r>
      <w:r>
        <w:rPr>
          <w:rFonts w:hint="eastAsia" w:ascii="宋体" w:hAnsi="宋体" w:eastAsia="宋体" w:cs="宋体"/>
          <w:color w:val="auto"/>
          <w:sz w:val="24"/>
          <w:szCs w:val="24"/>
          <w:highlight w:val="none"/>
          <w:u w:val="single"/>
          <w:lang w:val="en-US" w:eastAsia="zh-CN" w:bidi="ar-SA"/>
        </w:rPr>
        <w:t xml:space="preserve">         </w:t>
      </w:r>
    </w:p>
    <w:p w14:paraId="0C5B15AF">
      <w:pPr>
        <w:keepNext w:val="0"/>
        <w:keepLines w:val="0"/>
        <w:pageBreakBefore w:val="0"/>
        <w:numPr>
          <w:ilvl w:val="0"/>
          <w:numId w:val="0"/>
        </w:numPr>
        <w:tabs>
          <w:tab w:val="left" w:pos="740"/>
        </w:tabs>
        <w:kinsoku/>
        <w:wordWrap/>
        <w:overflowPunct/>
        <w:topLinePunct w:val="0"/>
        <w:bidi w:val="0"/>
        <w:adjustRightInd w:val="0"/>
        <w:snapToGrid w:val="0"/>
        <w:spacing w:line="400" w:lineRule="exact"/>
        <w:ind w:leftChars="0" w:firstLine="0" w:firstLineChars="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1BFB3190">
      <w:pPr>
        <w:keepNext w:val="0"/>
        <w:keepLines w:val="0"/>
        <w:pageBreakBefore w:val="0"/>
        <w:kinsoku/>
        <w:wordWrap/>
        <w:overflowPunct/>
        <w:topLinePunct w:val="0"/>
        <w:autoSpaceDE w:val="0"/>
        <w:autoSpaceDN w:val="0"/>
        <w:bidi w:val="0"/>
        <w:adjustRightInd w:val="0"/>
        <w:spacing w:line="400" w:lineRule="exact"/>
        <w:ind w:leftChars="0" w:firstLine="420" w:firstLineChars="0"/>
        <w:textAlignment w:val="auto"/>
        <w:rPr>
          <w:rFonts w:hint="eastAsia" w:ascii="宋体" w:hAnsi="宋体" w:eastAsia="宋体" w:cs="宋体"/>
          <w:b w:val="0"/>
          <w:bCs w:val="0"/>
          <w:color w:val="auto"/>
          <w:sz w:val="24"/>
          <w:szCs w:val="24"/>
          <w:highlight w:val="none"/>
          <w:u w:val="none"/>
          <w:lang w:val="en-US" w:eastAsia="zh-CN" w:bidi="ar-SA"/>
        </w:rPr>
      </w:pPr>
      <w:r>
        <w:rPr>
          <w:rFonts w:hint="eastAsia" w:ascii="宋体" w:hAnsi="宋体" w:eastAsia="宋体" w:cs="宋体"/>
          <w:iCs w:val="0"/>
          <w:color w:val="auto"/>
          <w:kern w:val="2"/>
          <w:sz w:val="24"/>
          <w:szCs w:val="24"/>
          <w:highlight w:val="none"/>
          <w:u w:val="none"/>
          <w:lang w:val="en-US" w:eastAsia="zh-CN" w:bidi="ar-SA"/>
        </w:rPr>
        <w:t xml:space="preserve">     </w:t>
      </w:r>
      <w:r>
        <w:rPr>
          <w:rFonts w:hint="eastAsia" w:ascii="宋体" w:hAnsi="宋体" w:eastAsia="宋体" w:cs="宋体"/>
          <w:iCs w:val="0"/>
          <w:color w:val="auto"/>
          <w:kern w:val="2"/>
          <w:sz w:val="24"/>
          <w:szCs w:val="24"/>
          <w:highlight w:val="none"/>
          <w:u w:val="none"/>
          <w:lang w:val="en-US" w:eastAsia="zh-CN" w:bidi="ar-SA"/>
        </w:rPr>
        <w:sym w:font="Wingdings" w:char="00A8"/>
      </w:r>
      <w:r>
        <w:rPr>
          <w:rFonts w:hint="eastAsia" w:ascii="宋体" w:hAnsi="宋体" w:eastAsia="宋体" w:cs="宋体"/>
          <w:iCs w:val="0"/>
          <w:color w:val="auto"/>
          <w:kern w:val="2"/>
          <w:sz w:val="24"/>
          <w:szCs w:val="24"/>
          <w:highlight w:val="none"/>
          <w:u w:val="none"/>
          <w:lang w:val="en-US" w:eastAsia="zh-CN" w:bidi="ar-SA"/>
        </w:rPr>
        <w:t>否</w:t>
      </w:r>
    </w:p>
    <w:p w14:paraId="0C7E3DEA">
      <w:pPr>
        <w:keepNext w:val="0"/>
        <w:keepLines w:val="0"/>
        <w:pageBreakBefore w:val="0"/>
        <w:numPr>
          <w:ilvl w:val="0"/>
          <w:numId w:val="9"/>
        </w:numPr>
        <w:kinsoku/>
        <w:wordWrap/>
        <w:overflowPunct/>
        <w:topLinePunct w:val="0"/>
        <w:bidi w:val="0"/>
        <w:adjustRightInd w:val="0"/>
        <w:snapToGrid w:val="0"/>
        <w:spacing w:line="400" w:lineRule="exact"/>
        <w:ind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40348D7A">
      <w:pPr>
        <w:keepNext w:val="0"/>
        <w:keepLines w:val="0"/>
        <w:pageBreakBefore w:val="0"/>
        <w:widowControl w:val="0"/>
        <w:kinsoku/>
        <w:wordWrap/>
        <w:overflowPunct/>
        <w:topLinePunct w:val="0"/>
        <w:bidi w:val="0"/>
        <w:spacing w:line="400" w:lineRule="exact"/>
        <w:ind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（1）本合同金额为（大写）：</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元）人民币。</w:t>
      </w:r>
    </w:p>
    <w:p w14:paraId="7DDB89D8">
      <w:pPr>
        <w:widowControl w:val="0"/>
        <w:spacing w:line="40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（2）付款方式：（按项目实际勾选填写）：</w:t>
      </w:r>
    </w:p>
    <w:p w14:paraId="3BD21982">
      <w:pPr>
        <w:adjustRightInd w:val="0"/>
        <w:snapToGrid w:val="0"/>
        <w:spacing w:line="400" w:lineRule="exact"/>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F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（应明确一次性支付合同款项的条件）                    </w:t>
      </w:r>
    </w:p>
    <w:p w14:paraId="1528D59B">
      <w:pPr>
        <w:ind w:firstLine="720" w:firstLineChars="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lang w:val="en-US" w:eastAsia="zh-CN"/>
        </w:rPr>
        <w:t>每月24日对账结算，以双方签字盖</w:t>
      </w:r>
      <w:bookmarkStart w:id="141" w:name="OLE_LINK24"/>
      <w:r>
        <w:rPr>
          <w:rFonts w:hint="eastAsia" w:ascii="宋体" w:hAnsi="宋体" w:eastAsia="宋体" w:cs="宋体"/>
          <w:color w:val="auto"/>
          <w:sz w:val="24"/>
          <w:szCs w:val="24"/>
          <w:highlight w:val="none"/>
          <w:u w:val="single"/>
          <w:lang w:val="en-US" w:eastAsia="zh-CN"/>
        </w:rPr>
        <w:t>章的结算单为付款依据，次月月底支付上月总货款的70%，每月剩余货款</w:t>
      </w:r>
      <w:r>
        <w:rPr>
          <w:rFonts w:hint="eastAsia" w:ascii="宋体" w:hAnsi="宋体" w:cs="宋体"/>
          <w:color w:val="auto"/>
          <w:sz w:val="24"/>
          <w:szCs w:val="24"/>
          <w:highlight w:val="none"/>
          <w:u w:val="single"/>
          <w:lang w:val="en-US" w:eastAsia="zh-CN"/>
        </w:rPr>
        <w:t>待</w:t>
      </w:r>
      <w:r>
        <w:rPr>
          <w:rFonts w:hint="eastAsia" w:ascii="宋体" w:hAnsi="宋体" w:eastAsia="宋体" w:cs="宋体"/>
          <w:color w:val="auto"/>
          <w:sz w:val="24"/>
          <w:szCs w:val="24"/>
          <w:highlight w:val="none"/>
          <w:u w:val="single"/>
          <w:lang w:val="en-US" w:eastAsia="zh-CN"/>
        </w:rPr>
        <w:t>合同到期后6个月内全款无息付清</w:t>
      </w:r>
      <w:bookmarkEnd w:id="141"/>
      <w:r>
        <w:rPr>
          <w:rFonts w:hint="eastAsia" w:ascii="宋体" w:hAnsi="宋体" w:eastAsia="宋体" w:cs="宋体"/>
          <w:color w:val="auto"/>
          <w:sz w:val="24"/>
          <w:szCs w:val="24"/>
          <w:highlight w:val="none"/>
          <w:u w:val="single"/>
          <w:lang w:val="en-US" w:eastAsia="zh-CN"/>
        </w:rPr>
        <w:t>，乙方应开具13%的增值税专用发票。</w:t>
      </w:r>
      <w:r>
        <w:rPr>
          <w:rFonts w:hint="eastAsia" w:ascii="宋体" w:hAnsi="宋体" w:eastAsia="宋体" w:cs="宋体"/>
          <w:color w:val="auto"/>
          <w:sz w:val="24"/>
          <w:szCs w:val="24"/>
          <w:highlight w:val="none"/>
          <w:u w:val="none"/>
          <w:lang w:val="en-US" w:eastAsia="zh-CN"/>
        </w:rPr>
        <w:t xml:space="preserve">   </w:t>
      </w:r>
    </w:p>
    <w:p w14:paraId="011A62CF">
      <w:pPr>
        <w:adjustRightInd w:val="0"/>
        <w:snapToGrid w:val="0"/>
        <w:spacing w:line="400" w:lineRule="exact"/>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F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（应明确按照成本补偿方式的支付方式和支付条件）   </w:t>
      </w:r>
    </w:p>
    <w:p w14:paraId="46D70EC9">
      <w:pPr>
        <w:adjustRightInd w:val="0"/>
        <w:snapToGrid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（应明确按照绩效激励方式的支付方式和支付条件）   </w:t>
      </w:r>
    </w:p>
    <w:p w14:paraId="297D1420">
      <w:pPr>
        <w:keepNext w:val="0"/>
        <w:keepLines w:val="0"/>
        <w:pageBreakBefore w:val="0"/>
        <w:numPr>
          <w:ilvl w:val="0"/>
          <w:numId w:val="9"/>
        </w:numPr>
        <w:kinsoku/>
        <w:wordWrap/>
        <w:overflowPunct/>
        <w:topLinePunct w:val="0"/>
        <w:bidi w:val="0"/>
        <w:adjustRightInd w:val="0"/>
        <w:snapToGrid w:val="0"/>
        <w:spacing w:line="400" w:lineRule="exact"/>
        <w:ind w:leftChars="0" w:firstLine="482" w:firstLineChars="200"/>
        <w:textAlignment w:val="auto"/>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rPr>
        <w:t>合同履行</w:t>
      </w:r>
    </w:p>
    <w:p w14:paraId="3E6ED33C">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供货期：</w:t>
      </w:r>
      <w:r>
        <w:rPr>
          <w:rFonts w:hint="eastAsia" w:ascii="宋体" w:hAnsi="宋体" w:cs="宋体"/>
          <w:color w:val="auto"/>
          <w:kern w:val="0"/>
          <w:sz w:val="24"/>
          <w:highlight w:val="none"/>
        </w:rPr>
        <w:t>自合同签订之日起</w:t>
      </w:r>
      <w:r>
        <w:rPr>
          <w:rFonts w:hint="eastAsia" w:ascii="宋体" w:hAnsi="宋体" w:cs="宋体"/>
          <w:color w:val="auto"/>
          <w:kern w:val="0"/>
          <w:sz w:val="24"/>
          <w:highlight w:val="none"/>
          <w:lang w:val="en-US" w:eastAsia="zh-CN"/>
        </w:rPr>
        <w:t>一</w:t>
      </w:r>
      <w:r>
        <w:rPr>
          <w:rFonts w:hint="eastAsia" w:ascii="宋体" w:hAnsi="宋体" w:cs="宋体"/>
          <w:color w:val="auto"/>
          <w:kern w:val="0"/>
          <w:sz w:val="24"/>
          <w:highlight w:val="none"/>
        </w:rPr>
        <w:t>年或</w:t>
      </w:r>
      <w:r>
        <w:rPr>
          <w:rFonts w:hint="eastAsia" w:ascii="宋体" w:hAnsi="宋体" w:cs="宋体"/>
          <w:color w:val="auto"/>
          <w:kern w:val="0"/>
          <w:sz w:val="24"/>
          <w:highlight w:val="none"/>
          <w:lang w:val="en-US" w:eastAsia="zh-CN"/>
        </w:rPr>
        <w:t>货款金额</w:t>
      </w:r>
      <w:r>
        <w:rPr>
          <w:rFonts w:hint="eastAsia" w:ascii="宋体" w:hAnsi="宋体" w:cs="宋体"/>
          <w:color w:val="auto"/>
          <w:kern w:val="0"/>
          <w:sz w:val="24"/>
          <w:highlight w:val="none"/>
        </w:rPr>
        <w:t>达到</w:t>
      </w:r>
      <w:r>
        <w:rPr>
          <w:rFonts w:hint="eastAsia" w:ascii="宋体" w:hAnsi="宋体" w:cs="宋体"/>
          <w:color w:val="auto"/>
          <w:kern w:val="0"/>
          <w:sz w:val="24"/>
          <w:highlight w:val="none"/>
          <w:lang w:val="en-US" w:eastAsia="zh-CN"/>
        </w:rPr>
        <w:t>29900000</w:t>
      </w:r>
      <w:r>
        <w:rPr>
          <w:rFonts w:hint="eastAsia" w:ascii="宋体" w:hAnsi="宋体" w:cs="宋体"/>
          <w:color w:val="auto"/>
          <w:kern w:val="0"/>
          <w:sz w:val="24"/>
          <w:highlight w:val="none"/>
        </w:rPr>
        <w:t>元，先到为准</w:t>
      </w:r>
      <w:r>
        <w:rPr>
          <w:rFonts w:hint="eastAsia" w:ascii="宋体" w:hAnsi="宋体" w:eastAsia="宋体" w:cs="宋体"/>
          <w:color w:val="auto"/>
          <w:sz w:val="24"/>
          <w:szCs w:val="24"/>
          <w:highlight w:val="none"/>
          <w:lang w:eastAsia="zh-CN"/>
        </w:rPr>
        <w:t>（合同到期时如遇特殊情况，例如处于单个项目持续供货周期内可供货至项目结束）</w:t>
      </w:r>
      <w:r>
        <w:rPr>
          <w:rFonts w:hint="eastAsia" w:ascii="宋体" w:hAnsi="宋体" w:cs="宋体"/>
          <w:color w:val="auto"/>
          <w:kern w:val="0"/>
          <w:sz w:val="24"/>
          <w:highlight w:val="none"/>
          <w:lang w:eastAsia="zh-CN"/>
        </w:rPr>
        <w:t>。</w:t>
      </w:r>
      <w:r>
        <w:rPr>
          <w:rFonts w:hint="eastAsia" w:ascii="宋体" w:hAnsi="宋体" w:eastAsia="宋体" w:cs="宋体"/>
          <w:color w:val="auto"/>
          <w:sz w:val="24"/>
          <w:szCs w:val="24"/>
          <w:highlight w:val="none"/>
          <w:lang w:val="en-US" w:eastAsia="zh-CN"/>
        </w:rPr>
        <w:t xml:space="preserve"> </w:t>
      </w:r>
    </w:p>
    <w:p w14:paraId="7F9B235A">
      <w:pPr>
        <w:keepNext w:val="0"/>
        <w:keepLines w:val="0"/>
        <w:pageBreakBefore w:val="0"/>
        <w:kinsoku/>
        <w:wordWrap/>
        <w:overflowPunct/>
        <w:topLinePunct w:val="0"/>
        <w:bidi w:val="0"/>
        <w:adjustRightInd w:val="0"/>
        <w:snapToGrid w:val="0"/>
        <w:spacing w:line="400" w:lineRule="exact"/>
        <w:ind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履约</w:t>
      </w:r>
      <w:r>
        <w:rPr>
          <w:rFonts w:hint="eastAsia" w:ascii="宋体" w:hAnsi="宋体" w:eastAsia="宋体" w:cs="宋体"/>
          <w:color w:val="auto"/>
          <w:sz w:val="24"/>
          <w:szCs w:val="24"/>
          <w:highlight w:val="none"/>
        </w:rPr>
        <w:t>地点</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6BE76932">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（3）履约担保的金额：</w:t>
      </w:r>
      <w:r>
        <w:rPr>
          <w:rFonts w:hint="eastAsia" w:ascii="宋体" w:hAnsi="宋体" w:eastAsia="宋体" w:cs="宋体"/>
          <w:bCs/>
          <w:color w:val="auto"/>
          <w:sz w:val="24"/>
          <w:szCs w:val="24"/>
          <w:highlight w:val="none"/>
          <w:lang w:eastAsia="zh-CN"/>
        </w:rPr>
        <w:t>中标价的</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（不计息）。</w:t>
      </w:r>
    </w:p>
    <w:p w14:paraId="543B1DA7">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履约担保的形式：现金、支票、汇票、本票或者金融机构、保险公司、担保机构出具的保函（见函即付）/保险</w:t>
      </w:r>
    </w:p>
    <w:p w14:paraId="224FA093">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sym w:font="Wingdings" w:char="00A8"/>
      </w:r>
      <w:r>
        <w:rPr>
          <w:rFonts w:hint="eastAsia" w:ascii="宋体" w:hAnsi="宋体" w:eastAsia="宋体" w:cs="宋体"/>
          <w:bCs/>
          <w:color w:val="auto"/>
          <w:sz w:val="24"/>
          <w:szCs w:val="24"/>
          <w:highlight w:val="none"/>
          <w:lang w:val="en-US" w:eastAsia="zh-CN"/>
        </w:rPr>
        <w:t>履约担保形式为现金（账户另行通知），履约保证金待合同期满视履约情况到采购人处办理履约保证金的退还手续（不计息）；</w:t>
      </w:r>
    </w:p>
    <w:p w14:paraId="1D87FB22">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sym w:font="Wingdings" w:char="00A8"/>
      </w:r>
      <w:r>
        <w:rPr>
          <w:rFonts w:hint="eastAsia" w:ascii="宋体" w:hAnsi="宋体" w:eastAsia="宋体" w:cs="宋体"/>
          <w:bCs/>
          <w:color w:val="auto"/>
          <w:sz w:val="24"/>
          <w:szCs w:val="24"/>
          <w:highlight w:val="none"/>
          <w:lang w:val="en-US" w:eastAsia="zh-CN"/>
        </w:rPr>
        <w:t>履约担保形式为支票、汇票、本票或者金融机构、保险公司、担保机构出具的保函/保险等非现金形式的，应在合同履行期限内保持有效。若出现支票、汇票、本票或者金融机构、保险公司、担保机构出具的保函/保险失效等情形导致乙方的违约金额无法从支票、汇票、本票或保函/保险出具单位理赔的，甲方有权从合同款中予以直接扣除。</w:t>
      </w:r>
    </w:p>
    <w:p w14:paraId="7D54F915">
      <w:pPr>
        <w:keepNext w:val="0"/>
        <w:keepLines w:val="0"/>
        <w:pageBreakBefore w:val="0"/>
        <w:numPr>
          <w:ilvl w:val="0"/>
          <w:numId w:val="9"/>
        </w:numPr>
        <w:kinsoku/>
        <w:wordWrap/>
        <w:overflowPunct/>
        <w:topLinePunct w:val="0"/>
        <w:bidi w:val="0"/>
        <w:adjustRightInd w:val="0"/>
        <w:snapToGrid w:val="0"/>
        <w:spacing w:line="400" w:lineRule="exact"/>
        <w:ind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合同验收</w:t>
      </w:r>
    </w:p>
    <w:p w14:paraId="7071AD6D">
      <w:pPr>
        <w:numPr>
          <w:ilvl w:val="0"/>
          <w:numId w:val="11"/>
        </w:numPr>
        <w:adjustRightInd w:val="0"/>
        <w:snapToGrid w:val="0"/>
        <w:spacing w:line="40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验收组织方式：</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 xml:space="preserve">自行组织 </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委托第三方组织</w:t>
      </w:r>
    </w:p>
    <w:p w14:paraId="2DB55B92">
      <w:pPr>
        <w:adjustRightInd w:val="0"/>
        <w:snapToGrid w:val="0"/>
        <w:spacing w:line="40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验收主体：</w:t>
      </w:r>
      <w:r>
        <w:rPr>
          <w:rFonts w:hint="eastAsia" w:asciiTheme="minorEastAsia" w:hAnsiTheme="minorEastAsia" w:eastAsiaTheme="minorEastAsia" w:cstheme="minorEastAsia"/>
          <w:bCs/>
          <w:color w:val="auto"/>
          <w:sz w:val="24"/>
          <w:szCs w:val="24"/>
          <w:highlight w:val="none"/>
          <w:u w:val="single"/>
        </w:rPr>
        <w:t xml:space="preserve">                  </w:t>
      </w:r>
    </w:p>
    <w:p w14:paraId="57E7F7C6">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是否邀请本项目的其他供应商参加验收：</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 xml:space="preserve">是  </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否</w:t>
      </w:r>
    </w:p>
    <w:p w14:paraId="24EA2602">
      <w:pPr>
        <w:keepNext w:val="0"/>
        <w:keepLines w:val="0"/>
        <w:pageBreakBefore w:val="0"/>
        <w:kinsoku/>
        <w:wordWrap/>
        <w:overflowPunct/>
        <w:topLinePunct w:val="0"/>
        <w:bidi w:val="0"/>
        <w:adjustRightInd w:val="0"/>
        <w:snapToGrid w:val="0"/>
        <w:spacing w:line="380" w:lineRule="exact"/>
        <w:ind w:firstLine="960" w:firstLineChars="4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是否邀请专家参加验收：</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 xml:space="preserve">是  </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否</w:t>
      </w:r>
    </w:p>
    <w:p w14:paraId="20265B5A">
      <w:pPr>
        <w:keepNext w:val="0"/>
        <w:keepLines w:val="0"/>
        <w:pageBreakBefore w:val="0"/>
        <w:kinsoku/>
        <w:wordWrap/>
        <w:overflowPunct/>
        <w:topLinePunct w:val="0"/>
        <w:bidi w:val="0"/>
        <w:adjustRightInd w:val="0"/>
        <w:snapToGrid w:val="0"/>
        <w:spacing w:line="380" w:lineRule="exact"/>
        <w:ind w:firstLine="960" w:firstLineChars="4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是否邀请服务对象参加验收：</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 xml:space="preserve">是  </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否</w:t>
      </w:r>
    </w:p>
    <w:p w14:paraId="03E4CD16">
      <w:pPr>
        <w:keepNext w:val="0"/>
        <w:keepLines w:val="0"/>
        <w:pageBreakBefore w:val="0"/>
        <w:kinsoku/>
        <w:wordWrap/>
        <w:overflowPunct/>
        <w:topLinePunct w:val="0"/>
        <w:bidi w:val="0"/>
        <w:adjustRightInd w:val="0"/>
        <w:snapToGrid w:val="0"/>
        <w:spacing w:line="380" w:lineRule="exact"/>
        <w:ind w:firstLine="960" w:firstLineChars="4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是否邀请第三方检测机构参加验收：</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 xml:space="preserve">是  </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否</w:t>
      </w:r>
    </w:p>
    <w:p w14:paraId="02C74FAE">
      <w:pPr>
        <w:keepNext w:val="0"/>
        <w:keepLines w:val="0"/>
        <w:pageBreakBefore w:val="0"/>
        <w:kinsoku/>
        <w:wordWrap/>
        <w:overflowPunct/>
        <w:topLinePunct w:val="0"/>
        <w:bidi w:val="0"/>
        <w:adjustRightInd w:val="0"/>
        <w:snapToGrid w:val="0"/>
        <w:spacing w:line="380" w:lineRule="exact"/>
        <w:ind w:firstLine="960" w:firstLineChars="4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是否进行抽查检测：</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是，抽查比例：</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否</w:t>
      </w:r>
    </w:p>
    <w:p w14:paraId="55D52798">
      <w:pPr>
        <w:keepNext w:val="0"/>
        <w:keepLines w:val="0"/>
        <w:pageBreakBefore w:val="0"/>
        <w:kinsoku/>
        <w:wordWrap/>
        <w:overflowPunct/>
        <w:topLinePunct w:val="0"/>
        <w:bidi w:val="0"/>
        <w:adjustRightInd w:val="0"/>
        <w:snapToGrid w:val="0"/>
        <w:spacing w:line="380" w:lineRule="exact"/>
        <w:ind w:firstLine="960" w:firstLineChars="400"/>
        <w:textAlignment w:val="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是否存在破坏性检测：</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是，</w:t>
      </w:r>
      <w:r>
        <w:rPr>
          <w:rFonts w:hint="eastAsia" w:asciiTheme="minorEastAsia" w:hAnsiTheme="minorEastAsia" w:eastAsiaTheme="minorEastAsia" w:cstheme="minorEastAsia"/>
          <w:bCs/>
          <w:color w:val="auto"/>
          <w:sz w:val="24"/>
          <w:szCs w:val="24"/>
          <w:highlight w:val="none"/>
          <w:u w:val="single"/>
        </w:rPr>
        <w:t>（应明确对被破坏的检测产品的处理方式）</w:t>
      </w:r>
    </w:p>
    <w:p w14:paraId="1B643EA8">
      <w:pPr>
        <w:keepNext w:val="0"/>
        <w:keepLines w:val="0"/>
        <w:pageBreakBefore w:val="0"/>
        <w:kinsoku/>
        <w:wordWrap/>
        <w:overflowPunct/>
        <w:topLinePunct w:val="0"/>
        <w:bidi w:val="0"/>
        <w:adjustRightInd w:val="0"/>
        <w:snapToGrid w:val="0"/>
        <w:spacing w:line="380" w:lineRule="exact"/>
        <w:ind w:firstLine="960" w:firstLineChars="4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否</w:t>
      </w:r>
    </w:p>
    <w:p w14:paraId="24B446B5">
      <w:pPr>
        <w:keepNext w:val="0"/>
        <w:keepLines w:val="0"/>
        <w:pageBreakBefore w:val="0"/>
        <w:kinsoku/>
        <w:wordWrap/>
        <w:overflowPunct/>
        <w:topLinePunct w:val="0"/>
        <w:bidi w:val="0"/>
        <w:adjustRightInd w:val="0"/>
        <w:snapToGrid w:val="0"/>
        <w:spacing w:line="380" w:lineRule="exact"/>
        <w:ind w:firstLine="960" w:firstLineChars="400"/>
        <w:textAlignment w:val="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验收组织的其他事项：</w:t>
      </w:r>
      <w:r>
        <w:rPr>
          <w:rFonts w:hint="eastAsia" w:asciiTheme="minorEastAsia" w:hAnsiTheme="minorEastAsia" w:eastAsiaTheme="minorEastAsia" w:cstheme="minorEastAsia"/>
          <w:bCs/>
          <w:color w:val="auto"/>
          <w:sz w:val="24"/>
          <w:szCs w:val="24"/>
          <w:highlight w:val="none"/>
          <w:u w:val="single"/>
        </w:rPr>
        <w:t xml:space="preserve">                </w:t>
      </w:r>
    </w:p>
    <w:p w14:paraId="491D8063">
      <w:pPr>
        <w:keepNext w:val="0"/>
        <w:keepLines w:val="0"/>
        <w:pageBreakBefore w:val="0"/>
        <w:kinsoku/>
        <w:wordWrap/>
        <w:overflowPunct/>
        <w:topLinePunct w:val="0"/>
        <w:bidi w:val="0"/>
        <w:adjustRightInd w:val="0"/>
        <w:snapToGrid w:val="0"/>
        <w:spacing w:line="380" w:lineRule="exact"/>
        <w:ind w:firstLine="480" w:firstLineChars="200"/>
        <w:textAlignment w:val="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（2）履约验收时间：</w:t>
      </w:r>
      <w:r>
        <w:rPr>
          <w:rFonts w:hint="eastAsia" w:asciiTheme="minorEastAsia" w:hAnsiTheme="minorEastAsia" w:eastAsiaTheme="minorEastAsia" w:cstheme="minorEastAsia"/>
          <w:bCs/>
          <w:color w:val="auto"/>
          <w:sz w:val="24"/>
          <w:szCs w:val="24"/>
          <w:highlight w:val="none"/>
          <w:u w:val="single"/>
        </w:rPr>
        <w:t xml:space="preserve">（计划于何时验收/供应商提出验收申请之日起   日内组织验收） </w:t>
      </w:r>
    </w:p>
    <w:p w14:paraId="1FA18623">
      <w:pPr>
        <w:keepNext w:val="0"/>
        <w:keepLines w:val="0"/>
        <w:pageBreakBefore w:val="0"/>
        <w:kinsoku/>
        <w:wordWrap/>
        <w:overflowPunct/>
        <w:topLinePunct w:val="0"/>
        <w:bidi w:val="0"/>
        <w:adjustRightInd w:val="0"/>
        <w:snapToGrid w:val="0"/>
        <w:spacing w:line="38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（3）履约验收方式：</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 xml:space="preserve">一次性验收         </w:t>
      </w:r>
    </w:p>
    <w:p w14:paraId="02A2FD1F">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分期/分项验收：</w:t>
      </w:r>
      <w:r>
        <w:rPr>
          <w:rFonts w:hint="eastAsia" w:asciiTheme="minorEastAsia" w:hAnsiTheme="minorEastAsia" w:eastAsiaTheme="minorEastAsia" w:cstheme="minorEastAsia"/>
          <w:bCs/>
          <w:color w:val="auto"/>
          <w:sz w:val="24"/>
          <w:szCs w:val="24"/>
          <w:highlight w:val="none"/>
          <w:u w:val="single"/>
        </w:rPr>
        <w:t xml:space="preserve">                </w:t>
      </w:r>
    </w:p>
    <w:p w14:paraId="5132B67B">
      <w:pPr>
        <w:keepNext w:val="0"/>
        <w:keepLines w:val="0"/>
        <w:pageBreakBefore w:val="0"/>
        <w:kinsoku/>
        <w:wordWrap/>
        <w:overflowPunct/>
        <w:topLinePunct w:val="0"/>
        <w:bidi w:val="0"/>
        <w:adjustRightInd w:val="0"/>
        <w:snapToGrid w:val="0"/>
        <w:spacing w:line="38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（4）履约验收程序：</w:t>
      </w:r>
      <w:r>
        <w:rPr>
          <w:rFonts w:hint="eastAsia" w:asciiTheme="minorEastAsia" w:hAnsiTheme="minorEastAsia" w:eastAsiaTheme="minorEastAsia" w:cstheme="minorEastAsia"/>
          <w:bCs/>
          <w:color w:val="auto"/>
          <w:sz w:val="24"/>
          <w:szCs w:val="24"/>
          <w:highlight w:val="none"/>
          <w:u w:val="single"/>
        </w:rPr>
        <w:t xml:space="preserve">                                         </w:t>
      </w:r>
    </w:p>
    <w:p w14:paraId="420E329E">
      <w:pPr>
        <w:keepNext w:val="0"/>
        <w:keepLines w:val="0"/>
        <w:pageBreakBefore w:val="0"/>
        <w:kinsoku/>
        <w:wordWrap/>
        <w:overflowPunct/>
        <w:topLinePunct w:val="0"/>
        <w:bidi w:val="0"/>
        <w:adjustRightInd w:val="0"/>
        <w:snapToGrid w:val="0"/>
        <w:spacing w:line="380" w:lineRule="exact"/>
        <w:ind w:firstLine="480" w:firstLineChars="200"/>
        <w:textAlignment w:val="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（5）履约验收的内容：</w:t>
      </w:r>
      <w:r>
        <w:rPr>
          <w:rFonts w:hint="eastAsia" w:asciiTheme="minorEastAsia" w:hAnsiTheme="minorEastAsia" w:eastAsiaTheme="minorEastAsia" w:cstheme="minorEastAsia"/>
          <w:bCs/>
          <w:color w:val="auto"/>
          <w:sz w:val="24"/>
          <w:szCs w:val="24"/>
          <w:highlight w:val="none"/>
          <w:u w:val="single"/>
        </w:rPr>
        <w:t xml:space="preserve"> （应当包括每一项技术和商务要求的履约情况，特别是落实政府采购扶持中小企业，支持绿色发展和乡村振兴等政策情况）                                      </w:t>
      </w:r>
    </w:p>
    <w:p w14:paraId="7E0818EF">
      <w:pPr>
        <w:keepNext w:val="0"/>
        <w:keepLines w:val="0"/>
        <w:pageBreakBefore w:val="0"/>
        <w:kinsoku/>
        <w:wordWrap/>
        <w:overflowPunct/>
        <w:topLinePunct w:val="0"/>
        <w:bidi w:val="0"/>
        <w:adjustRightInd w:val="0"/>
        <w:snapToGrid w:val="0"/>
        <w:spacing w:line="380" w:lineRule="exact"/>
        <w:ind w:firstLine="480" w:firstLineChars="200"/>
        <w:textAlignment w:val="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（6）履约验收标准：</w:t>
      </w:r>
      <w:r>
        <w:rPr>
          <w:rFonts w:hint="eastAsia" w:asciiTheme="minorEastAsia" w:hAnsiTheme="minorEastAsia" w:eastAsiaTheme="minorEastAsia" w:cstheme="minorEastAsia"/>
          <w:bCs/>
          <w:color w:val="auto"/>
          <w:sz w:val="24"/>
          <w:szCs w:val="24"/>
          <w:highlight w:val="none"/>
          <w:u w:val="single"/>
        </w:rPr>
        <w:t xml:space="preserve">                                         </w:t>
      </w:r>
    </w:p>
    <w:p w14:paraId="74EE3435">
      <w:pPr>
        <w:pStyle w:val="143"/>
        <w:keepNext w:val="0"/>
        <w:keepLines w:val="0"/>
        <w:pageBreakBefore w:val="0"/>
        <w:kinsoku/>
        <w:wordWrap/>
        <w:overflowPunct/>
        <w:topLinePunct w:val="0"/>
        <w:bidi w:val="0"/>
        <w:adjustRightInd w:val="0"/>
        <w:spacing w:line="38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（7）是否以采购活动中供应商提供的样品作为参考：</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 xml:space="preserve">是  </w:t>
      </w:r>
      <w:r>
        <w:rPr>
          <w:rFonts w:hint="eastAsia" w:asciiTheme="minorEastAsia" w:hAnsiTheme="minorEastAsia" w:eastAsiaTheme="minorEastAsia" w:cstheme="minorEastAsia"/>
          <w:color w:val="auto"/>
          <w:sz w:val="24"/>
          <w:szCs w:val="24"/>
          <w:highlight w:val="none"/>
        </w:rPr>
        <w:sym w:font="Wingdings" w:char="F0A8"/>
      </w:r>
      <w:r>
        <w:rPr>
          <w:rFonts w:hint="eastAsia" w:asciiTheme="minorEastAsia" w:hAnsiTheme="minorEastAsia" w:eastAsiaTheme="minorEastAsia" w:cstheme="minorEastAsia"/>
          <w:bCs/>
          <w:color w:val="auto"/>
          <w:sz w:val="24"/>
          <w:szCs w:val="24"/>
          <w:highlight w:val="none"/>
        </w:rPr>
        <w:t>否</w:t>
      </w:r>
    </w:p>
    <w:p w14:paraId="59C5FE5B">
      <w:pPr>
        <w:keepNext w:val="0"/>
        <w:keepLines w:val="0"/>
        <w:pageBreakBefore w:val="0"/>
        <w:kinsoku/>
        <w:wordWrap/>
        <w:overflowPunct/>
        <w:topLinePunct w:val="0"/>
        <w:bidi w:val="0"/>
        <w:adjustRightInd w:val="0"/>
        <w:snapToGrid w:val="0"/>
        <w:spacing w:line="380" w:lineRule="exact"/>
        <w:ind w:firstLine="480" w:firstLineChars="200"/>
        <w:textAlignment w:val="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（8）履约验收其他事项：</w:t>
      </w:r>
      <w:r>
        <w:rPr>
          <w:rFonts w:hint="eastAsia" w:asciiTheme="minorEastAsia" w:hAnsiTheme="minorEastAsia" w:eastAsiaTheme="minorEastAsia" w:cstheme="minorEastAsia"/>
          <w:bCs/>
          <w:color w:val="auto"/>
          <w:sz w:val="24"/>
          <w:szCs w:val="24"/>
          <w:highlight w:val="none"/>
          <w:u w:val="single"/>
        </w:rPr>
        <w:t xml:space="preserve">      （产权过户登记等）          </w:t>
      </w:r>
    </w:p>
    <w:p w14:paraId="12CB5AE8">
      <w:pPr>
        <w:keepNext w:val="0"/>
        <w:keepLines w:val="0"/>
        <w:pageBreakBefore w:val="0"/>
        <w:numPr>
          <w:ilvl w:val="0"/>
          <w:numId w:val="9"/>
        </w:numPr>
        <w:kinsoku/>
        <w:wordWrap/>
        <w:overflowPunct/>
        <w:topLinePunct w:val="0"/>
        <w:bidi w:val="0"/>
        <w:adjustRightInd w:val="0"/>
        <w:snapToGrid w:val="0"/>
        <w:spacing w:line="380" w:lineRule="exact"/>
        <w:ind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3C220EAF">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3F5F5C9E">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7D85BD9B">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）采购合同专用条款</w:t>
      </w:r>
    </w:p>
    <w:p w14:paraId="5276F43C">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）采购合同通用条款</w:t>
      </w:r>
    </w:p>
    <w:p w14:paraId="1C2886E8">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0597B127">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）投标（响应）文件</w:t>
      </w:r>
    </w:p>
    <w:p w14:paraId="798027C4">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53ED16C4">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6BB780A5">
      <w:pPr>
        <w:keepNext w:val="0"/>
        <w:keepLines w:val="0"/>
        <w:pageBreakBefore w:val="0"/>
        <w:kinsoku/>
        <w:wordWrap/>
        <w:overflowPunct/>
        <w:topLinePunct w:val="0"/>
        <w:autoSpaceDE w:val="0"/>
        <w:autoSpaceDN w:val="0"/>
        <w:bidi w:val="0"/>
        <w:adjustRightInd w:val="0"/>
        <w:spacing w:line="380" w:lineRule="exact"/>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w:t>
      </w:r>
      <w:r>
        <w:rPr>
          <w:rFonts w:hint="eastAsia" w:ascii="宋体" w:hAnsi="宋体" w:eastAsia="宋体" w:cs="宋体"/>
          <w:bCs w:val="0"/>
          <w:color w:val="auto"/>
          <w:kern w:val="2"/>
          <w:sz w:val="24"/>
          <w:szCs w:val="24"/>
          <w:highlight w:val="none"/>
          <w:lang w:val="en-US" w:eastAsia="zh-CN" w:bidi="ar-SA"/>
        </w:rPr>
        <w:t>国家法律、行政法规和规章制度规定或合同约定的作为合同组成部分的其他文件</w:t>
      </w:r>
    </w:p>
    <w:p w14:paraId="3331ED91">
      <w:pPr>
        <w:keepNext w:val="0"/>
        <w:keepLines w:val="0"/>
        <w:pageBreakBefore w:val="0"/>
        <w:numPr>
          <w:ilvl w:val="0"/>
          <w:numId w:val="9"/>
        </w:numPr>
        <w:kinsoku/>
        <w:wordWrap/>
        <w:overflowPunct/>
        <w:topLinePunct w:val="0"/>
        <w:bidi w:val="0"/>
        <w:adjustRightInd w:val="0"/>
        <w:snapToGrid w:val="0"/>
        <w:spacing w:line="380" w:lineRule="exact"/>
        <w:ind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393D65FC">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生效。</w:t>
      </w:r>
    </w:p>
    <w:p w14:paraId="5AE39E2D">
      <w:pPr>
        <w:keepNext w:val="0"/>
        <w:keepLines w:val="0"/>
        <w:pageBreakBefore w:val="0"/>
        <w:numPr>
          <w:ilvl w:val="0"/>
          <w:numId w:val="9"/>
        </w:numPr>
        <w:kinsoku/>
        <w:wordWrap/>
        <w:overflowPunct/>
        <w:topLinePunct w:val="0"/>
        <w:bidi w:val="0"/>
        <w:adjustRightInd w:val="0"/>
        <w:snapToGrid w:val="0"/>
        <w:spacing w:line="380" w:lineRule="exact"/>
        <w:ind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08CB89E2">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w:t>
      </w:r>
    </w:p>
    <w:p w14:paraId="65CC258D">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4372573">
      <w:pPr>
        <w:keepNext w:val="0"/>
        <w:keepLines w:val="0"/>
        <w:pageBreakBefore w:val="0"/>
        <w:kinsoku/>
        <w:wordWrap/>
        <w:overflowPunct/>
        <w:topLinePunct w:val="0"/>
        <w:bidi w:val="0"/>
        <w:adjustRightInd w:val="0"/>
        <w:snapToGrid w:val="0"/>
        <w:spacing w:line="3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p>
    <w:p w14:paraId="0AF17044">
      <w:pPr>
        <w:keepNext w:val="0"/>
        <w:keepLines w:val="0"/>
        <w:pageBreakBefore w:val="0"/>
        <w:kinsoku/>
        <w:wordWrap/>
        <w:overflowPunct/>
        <w:topLinePunct w:val="0"/>
        <w:bidi w:val="0"/>
        <w:adjustRightInd w:val="0"/>
        <w:snapToGrid w:val="0"/>
        <w:spacing w:line="400" w:lineRule="exact"/>
        <w:ind w:leftChars="0" w:firstLine="480" w:firstLineChars="200"/>
        <w:textAlignment w:val="auto"/>
        <w:rPr>
          <w:rFonts w:hint="eastAsia" w:ascii="宋体" w:hAnsi="宋体" w:eastAsia="宋体" w:cs="宋体"/>
          <w:color w:val="auto"/>
          <w:sz w:val="24"/>
          <w:szCs w:val="24"/>
          <w:highlight w:val="none"/>
        </w:rPr>
      </w:pPr>
    </w:p>
    <w:p w14:paraId="66A656C5">
      <w:pPr>
        <w:keepNext w:val="0"/>
        <w:keepLines w:val="0"/>
        <w:pageBreakBefore w:val="0"/>
        <w:kinsoku/>
        <w:wordWrap/>
        <w:overflowPunct/>
        <w:topLinePunct w:val="0"/>
        <w:bidi w:val="0"/>
        <w:adjustRightInd w:val="0"/>
        <w:snapToGrid w:val="0"/>
        <w:spacing w:line="40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w:t>
      </w:r>
      <w:r>
        <w:rPr>
          <w:rFonts w:hint="eastAsia" w:ascii="宋体" w:hAnsi="宋体" w:eastAsia="宋体" w:cs="宋体"/>
          <w:color w:val="auto"/>
          <w:sz w:val="24"/>
          <w:szCs w:val="24"/>
          <w:highlight w:val="none"/>
          <w:lang w:eastAsia="zh-CN"/>
        </w:rPr>
        <w:t>的及其</w:t>
      </w:r>
      <w:r>
        <w:rPr>
          <w:rFonts w:hint="eastAsia" w:ascii="宋体" w:hAnsi="宋体" w:eastAsia="宋体" w:cs="宋体"/>
          <w:color w:val="auto"/>
          <w:sz w:val="24"/>
          <w:szCs w:val="24"/>
          <w:highlight w:val="none"/>
          <w:u w:val="none"/>
          <w:lang w:val="en-US" w:eastAsia="zh-CN"/>
        </w:rPr>
        <w:t>技术要求和商务要求</w:t>
      </w:r>
      <w:r>
        <w:rPr>
          <w:rFonts w:hint="eastAsia" w:ascii="宋体" w:hAnsi="宋体" w:eastAsia="宋体" w:cs="宋体"/>
          <w:color w:val="auto"/>
          <w:sz w:val="24"/>
          <w:szCs w:val="24"/>
          <w:highlight w:val="none"/>
        </w:rPr>
        <w:t>、联合协议、分包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协议等。</w:t>
      </w:r>
    </w:p>
    <w:p w14:paraId="1A03E224">
      <w:pPr>
        <w:rPr>
          <w:rFonts w:hint="eastAsia" w:ascii="宋体" w:hAnsi="宋体" w:eastAsia="宋体" w:cs="宋体"/>
          <w:color w:val="auto"/>
          <w:sz w:val="24"/>
          <w:szCs w:val="24"/>
          <w:highlight w:val="none"/>
        </w:rPr>
      </w:pPr>
    </w:p>
    <w:tbl>
      <w:tblPr>
        <w:tblStyle w:val="46"/>
        <w:tblW w:w="5200" w:type="pct"/>
        <w:tblInd w:w="-489"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468"/>
        <w:gridCol w:w="2533"/>
        <w:gridCol w:w="2077"/>
        <w:gridCol w:w="2226"/>
      </w:tblGrid>
      <w:tr w14:paraId="197A5F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688" w:type="pct"/>
            <w:gridSpan w:val="2"/>
            <w:tcBorders>
              <w:bottom w:val="single" w:color="auto" w:sz="2" w:space="0"/>
              <w:right w:val="single" w:color="auto" w:sz="2" w:space="0"/>
            </w:tcBorders>
            <w:noWrap w:val="0"/>
            <w:vAlign w:val="center"/>
          </w:tcPr>
          <w:p w14:paraId="04791F9D">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p>
        </w:tc>
        <w:tc>
          <w:tcPr>
            <w:tcW w:w="2311" w:type="pct"/>
            <w:gridSpan w:val="2"/>
            <w:tcBorders>
              <w:left w:val="single" w:color="auto" w:sz="2" w:space="0"/>
              <w:bottom w:val="single" w:color="auto" w:sz="2" w:space="0"/>
            </w:tcBorders>
            <w:noWrap w:val="0"/>
            <w:vAlign w:val="center"/>
          </w:tcPr>
          <w:p w14:paraId="5423BB49">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0428D9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327" w:type="pct"/>
            <w:tcBorders>
              <w:top w:val="single" w:color="auto" w:sz="2" w:space="0"/>
              <w:bottom w:val="single" w:color="auto" w:sz="2" w:space="0"/>
              <w:right w:val="single" w:color="auto" w:sz="2" w:space="0"/>
            </w:tcBorders>
            <w:noWrap w:val="0"/>
            <w:vAlign w:val="center"/>
          </w:tcPr>
          <w:p w14:paraId="63801384">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14:paraId="77FF6680">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或合同章</w:t>
            </w:r>
            <w:r>
              <w:rPr>
                <w:rFonts w:hint="eastAsia" w:ascii="宋体" w:hAnsi="宋体" w:eastAsia="宋体" w:cs="宋体"/>
                <w:color w:val="auto"/>
                <w:sz w:val="24"/>
                <w:szCs w:val="24"/>
                <w:highlight w:val="none"/>
              </w:rPr>
              <w:t>）</w:t>
            </w:r>
          </w:p>
        </w:tc>
        <w:tc>
          <w:tcPr>
            <w:tcW w:w="1361" w:type="pct"/>
            <w:tcBorders>
              <w:top w:val="single" w:color="auto" w:sz="2" w:space="0"/>
              <w:left w:val="single" w:color="auto" w:sz="2" w:space="0"/>
              <w:bottom w:val="single" w:color="auto" w:sz="2" w:space="0"/>
              <w:right w:val="single" w:color="auto" w:sz="2" w:space="0"/>
            </w:tcBorders>
            <w:noWrap w:val="0"/>
            <w:vAlign w:val="center"/>
          </w:tcPr>
          <w:p w14:paraId="140909BF">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bottom w:val="single" w:color="auto" w:sz="2" w:space="0"/>
              <w:right w:val="single" w:color="auto" w:sz="2" w:space="0"/>
            </w:tcBorders>
            <w:noWrap w:val="0"/>
            <w:vAlign w:val="center"/>
          </w:tcPr>
          <w:p w14:paraId="6B26563A">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14:paraId="1513800C">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或合同章</w:t>
            </w:r>
            <w:r>
              <w:rPr>
                <w:rFonts w:hint="eastAsia" w:ascii="宋体" w:hAnsi="宋体" w:eastAsia="宋体" w:cs="宋体"/>
                <w:color w:val="auto"/>
                <w:sz w:val="24"/>
                <w:szCs w:val="24"/>
                <w:highlight w:val="none"/>
              </w:rPr>
              <w:t>）</w:t>
            </w:r>
          </w:p>
        </w:tc>
        <w:tc>
          <w:tcPr>
            <w:tcW w:w="1195" w:type="pct"/>
            <w:tcBorders>
              <w:top w:val="single" w:color="auto" w:sz="2" w:space="0"/>
              <w:left w:val="single" w:color="auto" w:sz="2" w:space="0"/>
              <w:bottom w:val="single" w:color="auto" w:sz="2" w:space="0"/>
            </w:tcBorders>
            <w:noWrap w:val="0"/>
            <w:vAlign w:val="center"/>
          </w:tcPr>
          <w:p w14:paraId="4782387C">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pacing w:val="20"/>
                <w:sz w:val="24"/>
                <w:szCs w:val="24"/>
                <w:highlight w:val="none"/>
              </w:rPr>
            </w:pPr>
          </w:p>
        </w:tc>
      </w:tr>
      <w:tr w14:paraId="13205C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34" w:hRule="atLeast"/>
        </w:trPr>
        <w:tc>
          <w:tcPr>
            <w:tcW w:w="1327" w:type="pct"/>
            <w:tcBorders>
              <w:top w:val="single" w:color="auto" w:sz="2" w:space="0"/>
              <w:right w:val="single" w:color="auto" w:sz="2" w:space="0"/>
            </w:tcBorders>
            <w:noWrap w:val="0"/>
            <w:vAlign w:val="center"/>
          </w:tcPr>
          <w:p w14:paraId="67E0B44F">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04735087">
            <w:pPr>
              <w:pageBreakBefore w:val="0"/>
              <w:kinsoku/>
              <w:wordWrap/>
              <w:overflowPunct/>
              <w:topLinePunct w:val="0"/>
              <w:bidi w:val="0"/>
              <w:adjustRightInd w:val="0"/>
              <w:snapToGrid w:val="0"/>
              <w:spacing w:line="400" w:lineRule="exact"/>
              <w:ind w:leftChars="0" w:firstLine="115" w:firstLineChars="4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w:t>
            </w:r>
          </w:p>
          <w:p w14:paraId="0B0D75AF">
            <w:pPr>
              <w:pageBreakBefore w:val="0"/>
              <w:kinsoku/>
              <w:wordWrap/>
              <w:overflowPunct/>
              <w:topLinePunct w:val="0"/>
              <w:bidi w:val="0"/>
              <w:adjustRightInd w:val="0"/>
              <w:snapToGrid w:val="0"/>
              <w:spacing w:line="400" w:lineRule="exact"/>
              <w:ind w:leftChars="0" w:firstLine="115" w:firstLineChars="4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（签章）</w:t>
            </w:r>
          </w:p>
        </w:tc>
        <w:tc>
          <w:tcPr>
            <w:tcW w:w="1361" w:type="pct"/>
            <w:tcBorders>
              <w:top w:val="single" w:color="auto" w:sz="2" w:space="0"/>
              <w:left w:val="single" w:color="auto" w:sz="2" w:space="0"/>
              <w:right w:val="single" w:color="auto" w:sz="2" w:space="0"/>
            </w:tcBorders>
            <w:noWrap w:val="0"/>
            <w:vAlign w:val="center"/>
          </w:tcPr>
          <w:p w14:paraId="0B7FC283">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right w:val="single" w:color="auto" w:sz="2" w:space="0"/>
            </w:tcBorders>
            <w:noWrap w:val="0"/>
            <w:vAlign w:val="center"/>
          </w:tcPr>
          <w:p w14:paraId="4D4E0B57">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24EB15DD">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195" w:type="pct"/>
            <w:tcBorders>
              <w:top w:val="single" w:color="auto" w:sz="2" w:space="0"/>
              <w:left w:val="single" w:color="auto" w:sz="2" w:space="0"/>
              <w:bottom w:val="single" w:color="auto" w:sz="2" w:space="0"/>
            </w:tcBorders>
            <w:noWrap w:val="0"/>
            <w:vAlign w:val="center"/>
          </w:tcPr>
          <w:p w14:paraId="28499189">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r>
      <w:tr w14:paraId="21A960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27" w:type="pct"/>
            <w:tcBorders>
              <w:top w:val="single" w:color="auto" w:sz="2" w:space="0"/>
              <w:bottom w:val="single" w:color="auto" w:sz="2" w:space="0"/>
              <w:right w:val="single" w:color="auto" w:sz="2" w:space="0"/>
            </w:tcBorders>
            <w:noWrap w:val="0"/>
            <w:vAlign w:val="center"/>
          </w:tcPr>
          <w:p w14:paraId="1E21B007">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所</w:t>
            </w:r>
          </w:p>
        </w:tc>
        <w:tc>
          <w:tcPr>
            <w:tcW w:w="1361" w:type="pct"/>
            <w:tcBorders>
              <w:top w:val="single" w:color="auto" w:sz="2" w:space="0"/>
              <w:left w:val="single" w:color="auto" w:sz="2" w:space="0"/>
              <w:bottom w:val="single" w:color="auto" w:sz="2" w:space="0"/>
              <w:right w:val="single" w:color="auto" w:sz="2" w:space="0"/>
            </w:tcBorders>
            <w:noWrap w:val="0"/>
            <w:vAlign w:val="center"/>
          </w:tcPr>
          <w:p w14:paraId="68039D29">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bottom w:val="single" w:color="auto" w:sz="2" w:space="0"/>
              <w:right w:val="single" w:color="auto" w:sz="2" w:space="0"/>
            </w:tcBorders>
            <w:noWrap w:val="0"/>
            <w:vAlign w:val="center"/>
          </w:tcPr>
          <w:p w14:paraId="5B0F08E8">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所</w:t>
            </w:r>
          </w:p>
        </w:tc>
        <w:tc>
          <w:tcPr>
            <w:tcW w:w="1195" w:type="pct"/>
            <w:tcBorders>
              <w:top w:val="single" w:color="auto" w:sz="2" w:space="0"/>
              <w:left w:val="single" w:color="auto" w:sz="2" w:space="0"/>
              <w:bottom w:val="single" w:color="auto" w:sz="2" w:space="0"/>
            </w:tcBorders>
            <w:noWrap w:val="0"/>
            <w:vAlign w:val="center"/>
          </w:tcPr>
          <w:p w14:paraId="3DC09D40">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pacing w:val="20"/>
                <w:sz w:val="24"/>
                <w:szCs w:val="24"/>
                <w:highlight w:val="none"/>
              </w:rPr>
            </w:pPr>
          </w:p>
        </w:tc>
      </w:tr>
      <w:tr w14:paraId="7A806E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27" w:type="pct"/>
            <w:tcBorders>
              <w:top w:val="single" w:color="auto" w:sz="2" w:space="0"/>
              <w:bottom w:val="single" w:color="auto" w:sz="2" w:space="0"/>
              <w:right w:val="single" w:color="auto" w:sz="2" w:space="0"/>
            </w:tcBorders>
            <w:noWrap w:val="0"/>
            <w:vAlign w:val="center"/>
          </w:tcPr>
          <w:p w14:paraId="18EA4F24">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361" w:type="pct"/>
            <w:tcBorders>
              <w:top w:val="single" w:color="auto" w:sz="2" w:space="0"/>
              <w:left w:val="single" w:color="auto" w:sz="2" w:space="0"/>
              <w:bottom w:val="single" w:color="auto" w:sz="2" w:space="0"/>
              <w:right w:val="single" w:color="auto" w:sz="2" w:space="0"/>
            </w:tcBorders>
            <w:noWrap w:val="0"/>
            <w:vAlign w:val="center"/>
          </w:tcPr>
          <w:p w14:paraId="6C70E53D">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bottom w:val="single" w:color="auto" w:sz="2" w:space="0"/>
              <w:right w:val="single" w:color="auto" w:sz="2" w:space="0"/>
            </w:tcBorders>
            <w:noWrap w:val="0"/>
            <w:vAlign w:val="center"/>
          </w:tcPr>
          <w:p w14:paraId="449B6900">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195" w:type="pct"/>
            <w:tcBorders>
              <w:top w:val="single" w:color="auto" w:sz="2" w:space="0"/>
              <w:left w:val="single" w:color="auto" w:sz="2" w:space="0"/>
              <w:bottom w:val="single" w:color="auto" w:sz="2" w:space="0"/>
            </w:tcBorders>
            <w:noWrap w:val="0"/>
            <w:vAlign w:val="center"/>
          </w:tcPr>
          <w:p w14:paraId="5036D84D">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pacing w:val="20"/>
                <w:sz w:val="24"/>
                <w:szCs w:val="24"/>
                <w:highlight w:val="none"/>
              </w:rPr>
            </w:pPr>
          </w:p>
        </w:tc>
      </w:tr>
      <w:tr w14:paraId="41B5A4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27" w:type="pct"/>
            <w:tcBorders>
              <w:top w:val="single" w:color="auto" w:sz="2" w:space="0"/>
              <w:bottom w:val="single" w:color="auto" w:sz="2" w:space="0"/>
              <w:right w:val="single" w:color="auto" w:sz="2" w:space="0"/>
            </w:tcBorders>
            <w:noWrap w:val="0"/>
            <w:vAlign w:val="center"/>
          </w:tcPr>
          <w:p w14:paraId="79C80D9D">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361" w:type="pct"/>
            <w:tcBorders>
              <w:top w:val="single" w:color="auto" w:sz="2" w:space="0"/>
              <w:left w:val="single" w:color="auto" w:sz="2" w:space="0"/>
              <w:bottom w:val="single" w:color="auto" w:sz="2" w:space="0"/>
              <w:right w:val="single" w:color="auto" w:sz="2" w:space="0"/>
            </w:tcBorders>
            <w:noWrap w:val="0"/>
            <w:vAlign w:val="center"/>
          </w:tcPr>
          <w:p w14:paraId="0AFDFD39">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bottom w:val="single" w:color="auto" w:sz="2" w:space="0"/>
              <w:right w:val="single" w:color="auto" w:sz="2" w:space="0"/>
            </w:tcBorders>
            <w:noWrap w:val="0"/>
            <w:vAlign w:val="center"/>
          </w:tcPr>
          <w:p w14:paraId="5BCD5B15">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195" w:type="pct"/>
            <w:tcBorders>
              <w:top w:val="single" w:color="auto" w:sz="2" w:space="0"/>
              <w:left w:val="single" w:color="auto" w:sz="2" w:space="0"/>
              <w:bottom w:val="single" w:color="auto" w:sz="2" w:space="0"/>
            </w:tcBorders>
            <w:noWrap w:val="0"/>
            <w:vAlign w:val="center"/>
          </w:tcPr>
          <w:p w14:paraId="13E49B5C">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pacing w:val="20"/>
                <w:sz w:val="24"/>
                <w:szCs w:val="24"/>
                <w:highlight w:val="none"/>
              </w:rPr>
            </w:pPr>
          </w:p>
        </w:tc>
      </w:tr>
      <w:tr w14:paraId="525281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27" w:type="pct"/>
            <w:tcBorders>
              <w:top w:val="single" w:color="auto" w:sz="2" w:space="0"/>
              <w:bottom w:val="single" w:color="auto" w:sz="2" w:space="0"/>
              <w:right w:val="single" w:color="auto" w:sz="2" w:space="0"/>
            </w:tcBorders>
            <w:noWrap w:val="0"/>
            <w:vAlign w:val="center"/>
          </w:tcPr>
          <w:p w14:paraId="2429F269">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通信地址</w:t>
            </w:r>
          </w:p>
        </w:tc>
        <w:tc>
          <w:tcPr>
            <w:tcW w:w="1361" w:type="pct"/>
            <w:tcBorders>
              <w:top w:val="single" w:color="auto" w:sz="2" w:space="0"/>
              <w:left w:val="single" w:color="auto" w:sz="2" w:space="0"/>
              <w:bottom w:val="single" w:color="auto" w:sz="2" w:space="0"/>
              <w:right w:val="single" w:color="auto" w:sz="2" w:space="0"/>
            </w:tcBorders>
            <w:noWrap w:val="0"/>
            <w:vAlign w:val="center"/>
          </w:tcPr>
          <w:p w14:paraId="1C41352B">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bottom w:val="single" w:color="auto" w:sz="2" w:space="0"/>
              <w:right w:val="single" w:color="auto" w:sz="2" w:space="0"/>
            </w:tcBorders>
            <w:noWrap w:val="0"/>
            <w:vAlign w:val="center"/>
          </w:tcPr>
          <w:p w14:paraId="58B52230">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通信地址</w:t>
            </w:r>
          </w:p>
        </w:tc>
        <w:tc>
          <w:tcPr>
            <w:tcW w:w="1195" w:type="pct"/>
            <w:tcBorders>
              <w:top w:val="single" w:color="auto" w:sz="2" w:space="0"/>
              <w:left w:val="single" w:color="auto" w:sz="2" w:space="0"/>
              <w:bottom w:val="single" w:color="auto" w:sz="2" w:space="0"/>
            </w:tcBorders>
            <w:noWrap w:val="0"/>
            <w:vAlign w:val="center"/>
          </w:tcPr>
          <w:p w14:paraId="03473C19">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pacing w:val="20"/>
                <w:sz w:val="24"/>
                <w:szCs w:val="24"/>
                <w:highlight w:val="none"/>
              </w:rPr>
            </w:pPr>
          </w:p>
        </w:tc>
      </w:tr>
      <w:tr w14:paraId="713070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27" w:type="pct"/>
            <w:tcBorders>
              <w:top w:val="single" w:color="auto" w:sz="2" w:space="0"/>
              <w:bottom w:val="single" w:color="auto" w:sz="2" w:space="0"/>
              <w:right w:val="single" w:color="auto" w:sz="2" w:space="0"/>
            </w:tcBorders>
            <w:noWrap w:val="0"/>
            <w:vAlign w:val="center"/>
          </w:tcPr>
          <w:p w14:paraId="5B2B9617">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361" w:type="pct"/>
            <w:tcBorders>
              <w:top w:val="single" w:color="auto" w:sz="2" w:space="0"/>
              <w:left w:val="single" w:color="auto" w:sz="2" w:space="0"/>
              <w:bottom w:val="single" w:color="auto" w:sz="2" w:space="0"/>
              <w:right w:val="single" w:color="auto" w:sz="2" w:space="0"/>
            </w:tcBorders>
            <w:noWrap w:val="0"/>
            <w:vAlign w:val="center"/>
          </w:tcPr>
          <w:p w14:paraId="27DF3E19">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bottom w:val="single" w:color="auto" w:sz="2" w:space="0"/>
              <w:right w:val="single" w:color="auto" w:sz="2" w:space="0"/>
            </w:tcBorders>
            <w:noWrap w:val="0"/>
            <w:vAlign w:val="center"/>
          </w:tcPr>
          <w:p w14:paraId="41234B99">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195" w:type="pct"/>
            <w:tcBorders>
              <w:top w:val="single" w:color="auto" w:sz="2" w:space="0"/>
              <w:left w:val="single" w:color="auto" w:sz="2" w:space="0"/>
              <w:bottom w:val="single" w:color="auto" w:sz="2" w:space="0"/>
            </w:tcBorders>
            <w:noWrap w:val="0"/>
            <w:vAlign w:val="center"/>
          </w:tcPr>
          <w:p w14:paraId="1377F063">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pacing w:val="20"/>
                <w:sz w:val="24"/>
                <w:szCs w:val="24"/>
                <w:highlight w:val="none"/>
              </w:rPr>
            </w:pPr>
          </w:p>
        </w:tc>
      </w:tr>
      <w:tr w14:paraId="0A1149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27" w:type="pct"/>
            <w:tcBorders>
              <w:top w:val="single" w:color="auto" w:sz="2" w:space="0"/>
              <w:bottom w:val="single" w:color="auto" w:sz="2" w:space="0"/>
              <w:right w:val="single" w:color="auto" w:sz="2" w:space="0"/>
            </w:tcBorders>
            <w:noWrap w:val="0"/>
            <w:vAlign w:val="center"/>
          </w:tcPr>
          <w:p w14:paraId="337CDEED">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361" w:type="pct"/>
            <w:tcBorders>
              <w:top w:val="single" w:color="auto" w:sz="2" w:space="0"/>
              <w:left w:val="single" w:color="auto" w:sz="2" w:space="0"/>
              <w:bottom w:val="single" w:color="auto" w:sz="2" w:space="0"/>
              <w:right w:val="single" w:color="auto" w:sz="2" w:space="0"/>
            </w:tcBorders>
            <w:noWrap w:val="0"/>
            <w:vAlign w:val="center"/>
          </w:tcPr>
          <w:p w14:paraId="3302C944">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bottom w:val="single" w:color="auto" w:sz="2" w:space="0"/>
              <w:right w:val="single" w:color="auto" w:sz="2" w:space="0"/>
            </w:tcBorders>
            <w:noWrap w:val="0"/>
            <w:vAlign w:val="center"/>
          </w:tcPr>
          <w:p w14:paraId="365F256A">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195" w:type="pct"/>
            <w:tcBorders>
              <w:top w:val="single" w:color="auto" w:sz="2" w:space="0"/>
              <w:left w:val="single" w:color="auto" w:sz="2" w:space="0"/>
              <w:bottom w:val="single" w:color="auto" w:sz="2" w:space="0"/>
            </w:tcBorders>
            <w:noWrap w:val="0"/>
            <w:vAlign w:val="center"/>
          </w:tcPr>
          <w:p w14:paraId="6E17E15D">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pacing w:val="20"/>
                <w:sz w:val="24"/>
                <w:szCs w:val="24"/>
                <w:highlight w:val="none"/>
              </w:rPr>
            </w:pPr>
          </w:p>
        </w:tc>
      </w:tr>
      <w:tr w14:paraId="180967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27" w:type="pct"/>
            <w:tcBorders>
              <w:top w:val="single" w:color="auto" w:sz="2" w:space="0"/>
              <w:bottom w:val="single" w:color="auto" w:sz="2" w:space="0"/>
              <w:right w:val="single" w:color="auto" w:sz="2" w:space="0"/>
            </w:tcBorders>
            <w:noWrap w:val="0"/>
            <w:vAlign w:val="center"/>
          </w:tcPr>
          <w:p w14:paraId="0B17D4C5">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361" w:type="pct"/>
            <w:tcBorders>
              <w:top w:val="single" w:color="auto" w:sz="2" w:space="0"/>
              <w:left w:val="single" w:color="auto" w:sz="2" w:space="0"/>
              <w:bottom w:val="single" w:color="auto" w:sz="2" w:space="0"/>
              <w:right w:val="single" w:color="auto" w:sz="2" w:space="0"/>
            </w:tcBorders>
            <w:noWrap w:val="0"/>
            <w:vAlign w:val="center"/>
          </w:tcPr>
          <w:p w14:paraId="57FF2BC6">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bottom w:val="single" w:color="auto" w:sz="2" w:space="0"/>
              <w:right w:val="single" w:color="auto" w:sz="2" w:space="0"/>
            </w:tcBorders>
            <w:noWrap w:val="0"/>
            <w:vAlign w:val="center"/>
          </w:tcPr>
          <w:p w14:paraId="2860D4FA">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195" w:type="pct"/>
            <w:tcBorders>
              <w:top w:val="single" w:color="auto" w:sz="2" w:space="0"/>
              <w:left w:val="single" w:color="auto" w:sz="2" w:space="0"/>
              <w:bottom w:val="single" w:color="auto" w:sz="2" w:space="0"/>
            </w:tcBorders>
            <w:noWrap w:val="0"/>
            <w:vAlign w:val="center"/>
          </w:tcPr>
          <w:p w14:paraId="01CE9FE6">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pacing w:val="20"/>
                <w:sz w:val="24"/>
                <w:szCs w:val="24"/>
                <w:highlight w:val="none"/>
              </w:rPr>
            </w:pPr>
          </w:p>
        </w:tc>
      </w:tr>
      <w:tr w14:paraId="432C8D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27" w:type="pct"/>
            <w:tcBorders>
              <w:top w:val="single" w:color="auto" w:sz="2" w:space="0"/>
              <w:bottom w:val="single" w:color="auto" w:sz="2" w:space="0"/>
              <w:right w:val="single" w:color="auto" w:sz="2" w:space="0"/>
            </w:tcBorders>
            <w:noWrap w:val="0"/>
            <w:vAlign w:val="center"/>
          </w:tcPr>
          <w:p w14:paraId="255E16C5">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361" w:type="pct"/>
            <w:tcBorders>
              <w:top w:val="single" w:color="auto" w:sz="2" w:space="0"/>
              <w:left w:val="single" w:color="auto" w:sz="2" w:space="0"/>
              <w:bottom w:val="single" w:color="auto" w:sz="2" w:space="0"/>
              <w:right w:val="single" w:color="auto" w:sz="2" w:space="0"/>
            </w:tcBorders>
            <w:noWrap w:val="0"/>
            <w:vAlign w:val="center"/>
          </w:tcPr>
          <w:p w14:paraId="08FA5F55">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bottom w:val="single" w:color="auto" w:sz="2" w:space="0"/>
              <w:right w:val="single" w:color="auto" w:sz="2" w:space="0"/>
            </w:tcBorders>
            <w:noWrap w:val="0"/>
            <w:vAlign w:val="center"/>
          </w:tcPr>
          <w:p w14:paraId="566D1CE7">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1195" w:type="pct"/>
            <w:tcBorders>
              <w:top w:val="single" w:color="auto" w:sz="2" w:space="0"/>
              <w:left w:val="single" w:color="auto" w:sz="2" w:space="0"/>
              <w:bottom w:val="single" w:color="auto" w:sz="2" w:space="0"/>
            </w:tcBorders>
            <w:noWrap w:val="0"/>
            <w:vAlign w:val="center"/>
          </w:tcPr>
          <w:p w14:paraId="536728DE">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pacing w:val="20"/>
                <w:sz w:val="24"/>
                <w:szCs w:val="24"/>
                <w:highlight w:val="none"/>
              </w:rPr>
            </w:pPr>
          </w:p>
        </w:tc>
      </w:tr>
      <w:tr w14:paraId="52FE68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27" w:type="pct"/>
            <w:tcBorders>
              <w:top w:val="single" w:color="auto" w:sz="2" w:space="0"/>
              <w:bottom w:val="single" w:color="auto" w:sz="2" w:space="0"/>
              <w:right w:val="single" w:color="auto" w:sz="2" w:space="0"/>
            </w:tcBorders>
            <w:noWrap w:val="0"/>
            <w:vAlign w:val="center"/>
          </w:tcPr>
          <w:p w14:paraId="302152A8">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361" w:type="pct"/>
            <w:tcBorders>
              <w:top w:val="single" w:color="auto" w:sz="2" w:space="0"/>
              <w:left w:val="single" w:color="auto" w:sz="2" w:space="0"/>
              <w:bottom w:val="single" w:color="auto" w:sz="2" w:space="0"/>
              <w:right w:val="single" w:color="auto" w:sz="2" w:space="0"/>
            </w:tcBorders>
            <w:noWrap w:val="0"/>
            <w:vAlign w:val="center"/>
          </w:tcPr>
          <w:p w14:paraId="29E19005">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bottom w:val="single" w:color="auto" w:sz="2" w:space="0"/>
              <w:right w:val="single" w:color="auto" w:sz="2" w:space="0"/>
            </w:tcBorders>
            <w:noWrap w:val="0"/>
            <w:vAlign w:val="center"/>
          </w:tcPr>
          <w:p w14:paraId="207779DC">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195" w:type="pct"/>
            <w:tcBorders>
              <w:top w:val="single" w:color="auto" w:sz="2" w:space="0"/>
              <w:left w:val="single" w:color="auto" w:sz="2" w:space="0"/>
              <w:bottom w:val="single" w:color="auto" w:sz="2" w:space="0"/>
            </w:tcBorders>
            <w:noWrap w:val="0"/>
            <w:vAlign w:val="center"/>
          </w:tcPr>
          <w:p w14:paraId="53F6B4CA">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pacing w:val="20"/>
                <w:sz w:val="24"/>
                <w:szCs w:val="24"/>
                <w:highlight w:val="none"/>
              </w:rPr>
            </w:pPr>
          </w:p>
        </w:tc>
      </w:tr>
      <w:tr w14:paraId="6170A8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27" w:type="pct"/>
            <w:tcBorders>
              <w:top w:val="single" w:color="auto" w:sz="2" w:space="0"/>
              <w:bottom w:val="single" w:color="auto" w:sz="2" w:space="0"/>
              <w:right w:val="single" w:color="auto" w:sz="2" w:space="0"/>
            </w:tcBorders>
            <w:noWrap w:val="0"/>
            <w:vAlign w:val="center"/>
          </w:tcPr>
          <w:p w14:paraId="04B7FE37">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361" w:type="pct"/>
            <w:tcBorders>
              <w:top w:val="single" w:color="auto" w:sz="2" w:space="0"/>
              <w:left w:val="single" w:color="auto" w:sz="2" w:space="0"/>
              <w:bottom w:val="single" w:color="auto" w:sz="2" w:space="0"/>
              <w:right w:val="single" w:color="auto" w:sz="2" w:space="0"/>
            </w:tcBorders>
            <w:noWrap w:val="0"/>
            <w:vAlign w:val="center"/>
          </w:tcPr>
          <w:p w14:paraId="049F7BBA">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p>
        </w:tc>
        <w:tc>
          <w:tcPr>
            <w:tcW w:w="1116" w:type="pct"/>
            <w:tcBorders>
              <w:top w:val="single" w:color="auto" w:sz="2" w:space="0"/>
              <w:left w:val="single" w:color="auto" w:sz="2" w:space="0"/>
              <w:bottom w:val="single" w:color="auto" w:sz="2" w:space="0"/>
              <w:right w:val="single" w:color="auto" w:sz="2" w:space="0"/>
            </w:tcBorders>
            <w:noWrap w:val="0"/>
            <w:vAlign w:val="center"/>
          </w:tcPr>
          <w:p w14:paraId="5F8BA312">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1195" w:type="pct"/>
            <w:tcBorders>
              <w:top w:val="single" w:color="auto" w:sz="2" w:space="0"/>
              <w:left w:val="single" w:color="auto" w:sz="2" w:space="0"/>
              <w:bottom w:val="single" w:color="auto" w:sz="2" w:space="0"/>
            </w:tcBorders>
            <w:noWrap w:val="0"/>
            <w:vAlign w:val="center"/>
          </w:tcPr>
          <w:p w14:paraId="0975C073">
            <w:pPr>
              <w:pageBreakBefore w:val="0"/>
              <w:kinsoku/>
              <w:wordWrap/>
              <w:overflowPunct/>
              <w:topLinePunct w:val="0"/>
              <w:bidi w:val="0"/>
              <w:adjustRightInd w:val="0"/>
              <w:snapToGrid w:val="0"/>
              <w:spacing w:line="400" w:lineRule="exact"/>
              <w:ind w:leftChars="0"/>
              <w:jc w:val="center"/>
              <w:textAlignment w:val="auto"/>
              <w:rPr>
                <w:rFonts w:hint="eastAsia" w:ascii="宋体" w:hAnsi="宋体" w:eastAsia="宋体" w:cs="宋体"/>
                <w:color w:val="auto"/>
                <w:spacing w:val="20"/>
                <w:sz w:val="24"/>
                <w:szCs w:val="24"/>
                <w:highlight w:val="none"/>
              </w:rPr>
            </w:pPr>
          </w:p>
        </w:tc>
      </w:tr>
      <w:tr w14:paraId="662FE7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000" w:type="pct"/>
            <w:gridSpan w:val="4"/>
            <w:tcBorders>
              <w:top w:val="single" w:color="auto" w:sz="2" w:space="0"/>
            </w:tcBorders>
            <w:noWrap w:val="0"/>
            <w:vAlign w:val="center"/>
          </w:tcPr>
          <w:p w14:paraId="132F6B4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合同鉴证方:</w:t>
            </w:r>
          </w:p>
          <w:p w14:paraId="5D71C0F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法定代表人或主要负责人:</w:t>
            </w:r>
          </w:p>
          <w:p w14:paraId="036D8CF6">
            <w:pPr>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宋体"/>
                <w:color w:val="auto"/>
                <w:spacing w:val="20"/>
                <w:sz w:val="24"/>
                <w:szCs w:val="24"/>
                <w:highlight w:val="none"/>
                <w:lang w:val="en-US" w:eastAsia="zh-CN"/>
              </w:rPr>
            </w:pPr>
            <w:r>
              <w:rPr>
                <w:rFonts w:hint="eastAsia" w:ascii="宋体" w:hAnsi="宋体" w:eastAsia="宋体" w:cs="宋体"/>
                <w:color w:val="auto"/>
                <w:sz w:val="24"/>
                <w:szCs w:val="24"/>
                <w:highlight w:val="none"/>
              </w:rPr>
              <w:t>鉴证日期:</w:t>
            </w:r>
          </w:p>
        </w:tc>
      </w:tr>
    </w:tbl>
    <w:p w14:paraId="3615D003">
      <w:pPr>
        <w:keepNext/>
        <w:keepLines/>
        <w:widowControl w:val="0"/>
        <w:adjustRightInd w:val="0"/>
        <w:snapToGrid w:val="0"/>
        <w:spacing w:before="156" w:beforeLines="50" w:after="260" w:afterLines="0" w:line="415" w:lineRule="auto"/>
        <w:jc w:val="center"/>
        <w:outlineLvl w:val="1"/>
        <w:rPr>
          <w:rFonts w:ascii="黑体" w:hAnsi="黑体" w:eastAsia="黑体" w:cs="Times New Roman"/>
          <w:b/>
          <w:bCs/>
          <w:color w:val="auto"/>
          <w:kern w:val="2"/>
          <w:sz w:val="28"/>
          <w:szCs w:val="28"/>
          <w:highlight w:val="none"/>
          <w:lang w:val="en-US" w:eastAsia="zh-CN" w:bidi="ar-SA"/>
        </w:rPr>
      </w:pPr>
      <w:r>
        <w:rPr>
          <w:rFonts w:ascii="宋体" w:hAnsi="宋体" w:eastAsia="楷体" w:cs="Times New Roman"/>
          <w:b/>
          <w:bCs/>
          <w:color w:val="auto"/>
          <w:kern w:val="2"/>
          <w:sz w:val="21"/>
          <w:szCs w:val="21"/>
          <w:highlight w:val="none"/>
          <w:u w:val="single"/>
          <w:lang w:val="en-US" w:eastAsia="zh-CN" w:bidi="ar-SA"/>
        </w:rPr>
        <w:br w:type="page"/>
      </w:r>
      <w:bookmarkStart w:id="142" w:name="_Toc27624"/>
      <w:r>
        <w:rPr>
          <w:rFonts w:hint="eastAsia" w:ascii="黑体" w:hAnsi="黑体" w:eastAsia="黑体" w:cs="Times New Roman"/>
          <w:b w:val="0"/>
          <w:bCs w:val="0"/>
          <w:color w:val="auto"/>
          <w:kern w:val="2"/>
          <w:sz w:val="28"/>
          <w:szCs w:val="28"/>
          <w:highlight w:val="none"/>
          <w:lang w:val="en-US" w:eastAsia="zh-CN" w:bidi="ar-SA"/>
        </w:rPr>
        <w:t>第二节 采购合同通用条款</w:t>
      </w:r>
      <w:bookmarkEnd w:id="142"/>
    </w:p>
    <w:p w14:paraId="28A367CB">
      <w:pPr>
        <w:pageBreakBefore w:val="0"/>
        <w:tabs>
          <w:tab w:val="left" w:pos="8820"/>
          <w:tab w:val="left" w:pos="9345"/>
          <w:tab w:val="left" w:pos="9765"/>
        </w:tabs>
        <w:kinsoku/>
        <w:wordWrap/>
        <w:overflowPunct/>
        <w:topLinePunct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bCs/>
          <w:color w:val="auto"/>
          <w:sz w:val="24"/>
          <w:szCs w:val="24"/>
          <w:highlight w:val="none"/>
        </w:rPr>
        <w:t>定义</w:t>
      </w:r>
    </w:p>
    <w:p w14:paraId="0051E60A">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34BB01C9">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w:t>
      </w:r>
      <w:r>
        <w:rPr>
          <w:rFonts w:hint="eastAsia" w:ascii="宋体" w:hAnsi="宋体" w:eastAsia="宋体" w:cs="宋体"/>
          <w:color w:val="auto"/>
          <w:sz w:val="24"/>
          <w:szCs w:val="24"/>
          <w:highlight w:val="none"/>
          <w:lang w:eastAsia="zh-CN"/>
        </w:rPr>
        <w:t>国有企业资金或专项债资金</w:t>
      </w:r>
      <w:r>
        <w:rPr>
          <w:rFonts w:hint="eastAsia" w:ascii="宋体" w:hAnsi="宋体" w:eastAsia="宋体" w:cs="宋体"/>
          <w:color w:val="auto"/>
          <w:sz w:val="24"/>
          <w:szCs w:val="24"/>
          <w:highlight w:val="none"/>
        </w:rPr>
        <w:t>，通过采购</w:t>
      </w:r>
      <w:r>
        <w:rPr>
          <w:rFonts w:hint="eastAsia" w:ascii="宋体" w:hAnsi="宋体" w:eastAsia="宋体" w:cs="宋体"/>
          <w:color w:val="auto"/>
          <w:sz w:val="24"/>
          <w:szCs w:val="24"/>
          <w:highlight w:val="none"/>
          <w:lang w:eastAsia="zh-CN"/>
        </w:rPr>
        <w:t>方式</w:t>
      </w:r>
      <w:r>
        <w:rPr>
          <w:rFonts w:hint="eastAsia" w:ascii="宋体" w:hAnsi="宋体" w:eastAsia="宋体" w:cs="宋体"/>
          <w:color w:val="auto"/>
          <w:sz w:val="24"/>
          <w:szCs w:val="24"/>
          <w:highlight w:val="none"/>
        </w:rPr>
        <w:t>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lang w:eastAsia="zh-CN"/>
        </w:rPr>
        <w:t>国有企业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组织。</w:t>
      </w:r>
    </w:p>
    <w:p w14:paraId="12A9671D">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398AEC8A">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2F82AF1A">
      <w:pPr>
        <w:pageBreakBefore w:val="0"/>
        <w:tabs>
          <w:tab w:val="left" w:pos="570"/>
          <w:tab w:val="left" w:pos="9240"/>
          <w:tab w:val="left" w:pos="9555"/>
        </w:tabs>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0E19AD90">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采购合同专用条款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采购合同通用条款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有关技术文件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图纸</w:t>
      </w:r>
      <w:r>
        <w:rPr>
          <w:rFonts w:hint="eastAsia" w:ascii="宋体" w:hAnsi="宋体" w:eastAsia="宋体" w:cs="宋体"/>
          <w:color w:val="auto"/>
          <w:sz w:val="24"/>
          <w:szCs w:val="24"/>
          <w:highlight w:val="none"/>
          <w:lang w:eastAsia="zh-CN"/>
        </w:rPr>
        <w:t>，以及</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25C5E6B6">
      <w:pPr>
        <w:pageBreakBefore w:val="0"/>
        <w:tabs>
          <w:tab w:val="left" w:pos="570"/>
          <w:tab w:val="left" w:pos="9240"/>
          <w:tab w:val="left" w:pos="9555"/>
        </w:tabs>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571F0AB1">
      <w:pPr>
        <w:pageBreakBefore w:val="0"/>
        <w:tabs>
          <w:tab w:val="left" w:pos="570"/>
          <w:tab w:val="left" w:pos="9240"/>
          <w:tab w:val="left" w:pos="9555"/>
        </w:tabs>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14:paraId="63C7AF50">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服务”系指根据合同规定，乙方应提供的</w:t>
      </w:r>
      <w:r>
        <w:rPr>
          <w:rFonts w:hint="eastAsia" w:ascii="宋体" w:hAnsi="宋体" w:eastAsia="宋体" w:cs="宋体"/>
          <w:color w:val="auto"/>
          <w:sz w:val="24"/>
          <w:szCs w:val="24"/>
          <w:highlight w:val="none"/>
          <w:lang w:val="en-US" w:eastAsia="zh-CN"/>
        </w:rPr>
        <w:t>与货物有关的</w:t>
      </w:r>
      <w:r>
        <w:rPr>
          <w:rFonts w:hint="eastAsia" w:ascii="宋体" w:hAnsi="宋体" w:eastAsia="宋体" w:cs="宋体"/>
          <w:color w:val="auto"/>
          <w:sz w:val="24"/>
          <w:szCs w:val="24"/>
          <w:highlight w:val="none"/>
        </w:rPr>
        <w:t>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w:t>
      </w:r>
      <w:r>
        <w:rPr>
          <w:rFonts w:hint="eastAsia" w:ascii="宋体" w:hAnsi="宋体" w:eastAsia="宋体" w:cs="宋体"/>
          <w:color w:val="auto"/>
          <w:sz w:val="24"/>
          <w:szCs w:val="24"/>
          <w:highlight w:val="none"/>
          <w:lang w:eastAsia="zh-CN"/>
        </w:rPr>
        <w:t>废弃处置、</w:t>
      </w:r>
      <w:r>
        <w:rPr>
          <w:rFonts w:hint="eastAsia" w:ascii="宋体" w:hAnsi="宋体" w:eastAsia="宋体" w:cs="宋体"/>
          <w:color w:val="auto"/>
          <w:sz w:val="24"/>
          <w:szCs w:val="24"/>
          <w:highlight w:val="none"/>
        </w:rPr>
        <w:t>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2A62A41A">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）“分包”系指中标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供应商按采购文件、投标（响应）文件的规定，根据分包意向协议，将中标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项目中的部分履约内容，分给具有相应资质条件的供应商履行合同的行为。</w:t>
      </w:r>
    </w:p>
    <w:p w14:paraId="4C2C89DC">
      <w:pPr>
        <w:pageBreakBefore w:val="0"/>
        <w:tabs>
          <w:tab w:val="left" w:pos="570"/>
          <w:tab w:val="left" w:pos="9240"/>
          <w:tab w:val="left" w:pos="9555"/>
        </w:tabs>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）“联合体”系指</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两个以上的自然人、法人或者</w:t>
      </w:r>
      <w:r>
        <w:rPr>
          <w:rFonts w:hint="eastAsia" w:ascii="宋体" w:hAnsi="宋体" w:eastAsia="宋体" w:cs="宋体"/>
          <w:color w:val="auto"/>
          <w:sz w:val="24"/>
          <w:szCs w:val="24"/>
          <w:highlight w:val="none"/>
          <w:lang w:val="en-US" w:eastAsia="zh-CN"/>
        </w:rPr>
        <w:t>非法人</w:t>
      </w:r>
      <w:r>
        <w:rPr>
          <w:rFonts w:hint="eastAsia" w:ascii="宋体" w:hAnsi="宋体" w:eastAsia="宋体" w:cs="宋体"/>
          <w:color w:val="auto"/>
          <w:sz w:val="24"/>
          <w:szCs w:val="24"/>
          <w:highlight w:val="none"/>
        </w:rPr>
        <w:t>组织组成，</w:t>
      </w:r>
      <w:r>
        <w:rPr>
          <w:rFonts w:hint="eastAsia" w:ascii="宋体" w:hAnsi="宋体" w:eastAsia="宋体" w:cs="宋体"/>
          <w:color w:val="auto"/>
          <w:sz w:val="24"/>
          <w:szCs w:val="24"/>
          <w:highlight w:val="none"/>
          <w:lang w:eastAsia="zh-CN"/>
        </w:rPr>
        <w:t>以一个供应商的身份共同参加采购的主体。</w:t>
      </w:r>
      <w:r>
        <w:rPr>
          <w:rFonts w:hint="eastAsia" w:ascii="宋体" w:hAnsi="宋体" w:eastAsia="宋体" w:cs="宋体"/>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承担连带责任。联合体具体要求见【</w:t>
      </w:r>
      <w:r>
        <w:rPr>
          <w:rFonts w:hint="eastAsia" w:ascii="宋体" w:hAnsi="宋体" w:eastAsia="宋体" w:cs="宋体"/>
          <w:b/>
          <w:bCs/>
          <w:color w:val="auto"/>
          <w:sz w:val="24"/>
          <w:szCs w:val="24"/>
          <w:highlight w:val="none"/>
        </w:rPr>
        <w:t>采购合同专用条款</w:t>
      </w:r>
      <w:r>
        <w:rPr>
          <w:rFonts w:hint="eastAsia" w:ascii="宋体" w:hAnsi="宋体" w:eastAsia="宋体" w:cs="宋体"/>
          <w:color w:val="auto"/>
          <w:sz w:val="24"/>
          <w:szCs w:val="24"/>
          <w:highlight w:val="none"/>
        </w:rPr>
        <w:t>】。</w:t>
      </w:r>
    </w:p>
    <w:p w14:paraId="041120DE">
      <w:pPr>
        <w:pageBreakBefore w:val="0"/>
        <w:tabs>
          <w:tab w:val="left" w:pos="570"/>
          <w:tab w:val="left" w:pos="9240"/>
          <w:tab w:val="left" w:pos="9555"/>
        </w:tabs>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）其他术语解释，见【</w:t>
      </w:r>
      <w:r>
        <w:rPr>
          <w:rFonts w:hint="eastAsia" w:ascii="宋体" w:hAnsi="宋体" w:eastAsia="宋体" w:cs="宋体"/>
          <w:b/>
          <w:bCs/>
          <w:color w:val="auto"/>
          <w:sz w:val="24"/>
          <w:szCs w:val="24"/>
          <w:highlight w:val="none"/>
        </w:rPr>
        <w:t>采购合同专用条款</w:t>
      </w:r>
      <w:r>
        <w:rPr>
          <w:rFonts w:hint="eastAsia" w:ascii="宋体" w:hAnsi="宋体" w:eastAsia="宋体" w:cs="宋体"/>
          <w:color w:val="auto"/>
          <w:sz w:val="24"/>
          <w:szCs w:val="24"/>
          <w:highlight w:val="none"/>
        </w:rPr>
        <w:t>】。</w:t>
      </w:r>
    </w:p>
    <w:p w14:paraId="673FE72A">
      <w:pPr>
        <w:pageBreakBefore w:val="0"/>
        <w:numPr>
          <w:ilvl w:val="0"/>
          <w:numId w:val="12"/>
        </w:numPr>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28B8CCD6">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.1 合同标的及金额应与中标（成交）结果一致。乙方为履行本合同而发生的所有费用均应包含在合同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03A9D6C3">
      <w:pPr>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3</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履行合同的时间、地点和方式</w:t>
      </w:r>
    </w:p>
    <w:p w14:paraId="5178CDFD">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乙方应当在约定的时间、地点</w:t>
      </w:r>
      <w:r>
        <w:rPr>
          <w:rFonts w:hint="eastAsia" w:ascii="宋体" w:hAnsi="宋体" w:eastAsia="宋体" w:cs="宋体"/>
          <w:color w:val="auto"/>
          <w:sz w:val="24"/>
          <w:szCs w:val="24"/>
          <w:highlight w:val="none"/>
          <w:lang w:eastAsia="zh-CN"/>
        </w:rPr>
        <w:t>，按照约定</w:t>
      </w:r>
      <w:r>
        <w:rPr>
          <w:rFonts w:hint="eastAsia" w:ascii="宋体" w:hAnsi="宋体" w:eastAsia="宋体" w:cs="宋体"/>
          <w:color w:val="auto"/>
          <w:sz w:val="24"/>
          <w:szCs w:val="24"/>
          <w:highlight w:val="none"/>
        </w:rPr>
        <w:t>方式履行合同。</w:t>
      </w:r>
    </w:p>
    <w:p w14:paraId="79B58883">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甲方的权利和义务</w:t>
      </w:r>
    </w:p>
    <w:p w14:paraId="017E454F">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签署合同后，甲方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，负责与本合同有关的事务。甲方有权对乙方的履约行为进行检查，并及时确认乙方提交的事项。甲方应当配合乙方完成相关项目实施工作。</w:t>
      </w:r>
    </w:p>
    <w:p w14:paraId="50F5FAC1">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14:paraId="2F8825EB">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.3 甲方有权要求乙方对缺陷部分予以修复，并按合同约定享有货物保修及其他合同约定的权利。</w:t>
      </w:r>
    </w:p>
    <w:p w14:paraId="7964867B">
      <w:pPr>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 甲方应当按照合同约定及时对交付的货物进行验收，</w:t>
      </w:r>
      <w:r>
        <w:rPr>
          <w:rFonts w:hint="eastAsia" w:ascii="宋体" w:hAnsi="宋体" w:eastAsia="宋体" w:cs="宋体"/>
          <w:b w:val="0"/>
          <w:bCs w:val="0"/>
          <w:color w:val="auto"/>
          <w:sz w:val="24"/>
          <w:szCs w:val="24"/>
          <w:highlight w:val="none"/>
          <w:lang w:eastAsia="zh-CN"/>
        </w:rPr>
        <w:t>未</w:t>
      </w:r>
      <w:r>
        <w:rPr>
          <w:rFonts w:hint="eastAsia" w:ascii="宋体" w:hAnsi="宋体" w:eastAsia="宋体" w:cs="宋体"/>
          <w:color w:val="auto"/>
          <w:sz w:val="24"/>
          <w:szCs w:val="24"/>
          <w:highlight w:val="none"/>
          <w:lang w:val="en-US" w:eastAsia="zh-CN"/>
        </w:rPr>
        <w:t>在</w:t>
      </w:r>
      <w:r>
        <w:rPr>
          <w:rFonts w:hint="eastAsia" w:ascii="宋体" w:hAnsi="宋体" w:eastAsia="宋体" w:cs="宋体"/>
          <w:b/>
          <w:bCs/>
          <w:color w:val="auto"/>
          <w:sz w:val="24"/>
          <w:szCs w:val="24"/>
          <w:highlight w:val="none"/>
        </w:rPr>
        <w:t>【采购合同专用条款】</w:t>
      </w:r>
      <w:r>
        <w:rPr>
          <w:rFonts w:hint="eastAsia" w:ascii="宋体" w:hAnsi="宋体" w:eastAsia="宋体" w:cs="宋体"/>
          <w:b w:val="0"/>
          <w:bCs w:val="0"/>
          <w:color w:val="auto"/>
          <w:sz w:val="24"/>
          <w:szCs w:val="24"/>
          <w:highlight w:val="none"/>
          <w:lang w:eastAsia="zh-CN"/>
        </w:rPr>
        <w:t>约定的期限内对乙方履约提出任何异议或者向乙方作出任何说明的，</w:t>
      </w:r>
      <w:r>
        <w:rPr>
          <w:rFonts w:hint="eastAsia" w:ascii="宋体" w:hAnsi="宋体" w:eastAsia="宋体" w:cs="宋体"/>
          <w:color w:val="auto"/>
          <w:sz w:val="24"/>
          <w:szCs w:val="24"/>
          <w:highlight w:val="none"/>
          <w:lang w:val="en-US" w:eastAsia="zh-CN"/>
        </w:rPr>
        <w:t>视为验收通过。</w:t>
      </w:r>
    </w:p>
    <w:p w14:paraId="35957C35">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甲方应当根据合同约定</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时向乙方支付</w:t>
      </w:r>
      <w:r>
        <w:rPr>
          <w:rFonts w:hint="eastAsia" w:ascii="宋体" w:hAnsi="宋体" w:eastAsia="宋体" w:cs="宋体"/>
          <w:color w:val="auto"/>
          <w:sz w:val="24"/>
          <w:szCs w:val="24"/>
          <w:highlight w:val="none"/>
          <w:lang w:eastAsia="zh-CN"/>
        </w:rPr>
        <w:t>合同价款，不得以内部人员变更、履行内部付款流程等为由，拒绝或迟延支付。</w:t>
      </w:r>
    </w:p>
    <w:p w14:paraId="153B24EF">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【采购合同专用条款】</w:t>
      </w:r>
      <w:r>
        <w:rPr>
          <w:rFonts w:hint="eastAsia" w:ascii="宋体" w:hAnsi="宋体" w:eastAsia="宋体" w:cs="宋体"/>
          <w:color w:val="auto"/>
          <w:sz w:val="24"/>
          <w:szCs w:val="24"/>
          <w:highlight w:val="none"/>
          <w:lang w:eastAsia="zh-CN"/>
        </w:rPr>
        <w:t>约定应</w:t>
      </w:r>
      <w:r>
        <w:rPr>
          <w:rFonts w:hint="eastAsia" w:ascii="宋体" w:hAnsi="宋体" w:eastAsia="宋体" w:cs="宋体"/>
          <w:color w:val="auto"/>
          <w:sz w:val="24"/>
          <w:szCs w:val="24"/>
          <w:highlight w:val="none"/>
        </w:rPr>
        <w:t>由甲方承担的其他义务和责任。</w:t>
      </w:r>
    </w:p>
    <w:p w14:paraId="2CF14D67">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乙方的权利和义务</w:t>
      </w:r>
    </w:p>
    <w:p w14:paraId="50796200">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.1 签署合同后，乙方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w:t>
      </w:r>
    </w:p>
    <w:p w14:paraId="78B2DEFD">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.2 乙方应按照合同要求履约，充分合理安排，确保提供的货物</w:t>
      </w:r>
      <w:r>
        <w:rPr>
          <w:rFonts w:hint="eastAsia" w:ascii="宋体" w:hAnsi="宋体" w:eastAsia="宋体" w:cs="宋体"/>
          <w:color w:val="auto"/>
          <w:sz w:val="24"/>
          <w:szCs w:val="24"/>
          <w:highlight w:val="none"/>
          <w:lang w:eastAsia="zh-CN"/>
        </w:rPr>
        <w:t>及相关</w:t>
      </w:r>
      <w:r>
        <w:rPr>
          <w:rFonts w:hint="eastAsia" w:ascii="宋体" w:hAnsi="宋体" w:eastAsia="宋体" w:cs="宋体"/>
          <w:color w:val="auto"/>
          <w:sz w:val="24"/>
          <w:szCs w:val="24"/>
          <w:highlight w:val="none"/>
        </w:rPr>
        <w:t>服务符合合同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要求。接受项目行业管理部门及政府有关部门的指导，配合甲方的履约检查</w:t>
      </w:r>
      <w:r>
        <w:rPr>
          <w:rFonts w:hint="eastAsia" w:ascii="宋体" w:hAnsi="宋体" w:eastAsia="宋体" w:cs="宋体"/>
          <w:color w:val="auto"/>
          <w:sz w:val="24"/>
          <w:szCs w:val="24"/>
          <w:highlight w:val="none"/>
          <w:lang w:eastAsia="zh-CN"/>
        </w:rPr>
        <w:t>及验收</w:t>
      </w:r>
      <w:r>
        <w:rPr>
          <w:rFonts w:hint="eastAsia" w:ascii="宋体" w:hAnsi="宋体" w:eastAsia="宋体" w:cs="宋体"/>
          <w:color w:val="auto"/>
          <w:sz w:val="24"/>
          <w:szCs w:val="24"/>
          <w:highlight w:val="none"/>
        </w:rPr>
        <w:t>，并负责项目实施过程中的所有协调工作。</w:t>
      </w:r>
    </w:p>
    <w:p w14:paraId="1D35CB08">
      <w:pPr>
        <w:pageBreakBefore w:val="0"/>
        <w:widowControl w:val="0"/>
        <w:kinsoku/>
        <w:wordWrap/>
        <w:overflowPunct/>
        <w:topLinePunct w:val="0"/>
        <w:bidi w:val="0"/>
        <w:spacing w:after="0" w:afterLines="0" w:line="400" w:lineRule="exact"/>
        <w:ind w:firstLine="422" w:firstLineChars="176"/>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5.3乙方有权根据合同约定向甲方收取合同价款。</w:t>
      </w:r>
    </w:p>
    <w:p w14:paraId="36D6DC52">
      <w:pPr>
        <w:pageBreakBefore w:val="0"/>
        <w:widowControl w:val="0"/>
        <w:kinsoku/>
        <w:wordWrap/>
        <w:overflowPunct/>
        <w:topLinePunct w:val="0"/>
        <w:bidi w:val="0"/>
        <w:spacing w:after="0" w:afterLines="0" w:line="400" w:lineRule="exact"/>
        <w:ind w:firstLine="422" w:firstLineChars="176"/>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5.4国家法律法规规定及</w:t>
      </w:r>
      <w:r>
        <w:rPr>
          <w:rFonts w:hint="eastAsia" w:ascii="宋体" w:hAnsi="宋体" w:eastAsia="宋体" w:cs="宋体"/>
          <w:b/>
          <w:bCs/>
          <w:color w:val="auto"/>
          <w:kern w:val="2"/>
          <w:sz w:val="24"/>
          <w:szCs w:val="24"/>
          <w:highlight w:val="none"/>
          <w:lang w:val="en-US" w:eastAsia="zh-CN" w:bidi="ar-SA"/>
        </w:rPr>
        <w:t>【采购合同专用条款】</w:t>
      </w:r>
      <w:r>
        <w:rPr>
          <w:rFonts w:hint="eastAsia" w:ascii="宋体" w:hAnsi="宋体" w:eastAsia="宋体" w:cs="宋体"/>
          <w:b w:val="0"/>
          <w:bCs w:val="0"/>
          <w:color w:val="auto"/>
          <w:kern w:val="2"/>
          <w:sz w:val="24"/>
          <w:szCs w:val="24"/>
          <w:highlight w:val="none"/>
          <w:lang w:val="en-US" w:eastAsia="zh-CN" w:bidi="ar-SA"/>
        </w:rPr>
        <w:t>约定应</w:t>
      </w:r>
      <w:r>
        <w:rPr>
          <w:rFonts w:hint="eastAsia" w:ascii="宋体" w:hAnsi="宋体" w:eastAsia="宋体" w:cs="宋体"/>
          <w:color w:val="auto"/>
          <w:kern w:val="2"/>
          <w:sz w:val="24"/>
          <w:szCs w:val="24"/>
          <w:highlight w:val="none"/>
          <w:lang w:val="en-US" w:eastAsia="zh-CN" w:bidi="ar-SA"/>
        </w:rPr>
        <w:t>由乙方承担的其他义务和责任。</w:t>
      </w:r>
    </w:p>
    <w:p w14:paraId="05563C21">
      <w:pPr>
        <w:pageBreakBefore w:val="0"/>
        <w:numPr>
          <w:ilvl w:val="0"/>
          <w:numId w:val="13"/>
        </w:numPr>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w:t>
      </w:r>
      <w:r>
        <w:rPr>
          <w:rFonts w:hint="eastAsia" w:ascii="宋体" w:hAnsi="宋体" w:eastAsia="宋体" w:cs="宋体"/>
          <w:b/>
          <w:bCs/>
          <w:color w:val="auto"/>
          <w:sz w:val="24"/>
          <w:szCs w:val="24"/>
          <w:highlight w:val="none"/>
          <w:lang w:val="en-US" w:eastAsia="zh-CN"/>
        </w:rPr>
        <w:t>行</w:t>
      </w:r>
    </w:p>
    <w:p w14:paraId="281111B0">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.1 甲乙双方应当按照</w:t>
      </w:r>
      <w:r>
        <w:rPr>
          <w:rFonts w:hint="eastAsia" w:ascii="宋体" w:hAnsi="宋体" w:eastAsia="宋体" w:cs="宋体"/>
          <w:b/>
          <w:bCs/>
          <w:color w:val="auto"/>
          <w:sz w:val="24"/>
          <w:szCs w:val="24"/>
          <w:highlight w:val="none"/>
        </w:rPr>
        <w:t>【采购合同专用条款】</w:t>
      </w:r>
      <w:r>
        <w:rPr>
          <w:rFonts w:hint="eastAsia" w:ascii="宋体" w:hAnsi="宋体" w:eastAsia="宋体" w:cs="宋体"/>
          <w:color w:val="auto"/>
          <w:sz w:val="24"/>
          <w:szCs w:val="24"/>
          <w:highlight w:val="none"/>
        </w:rPr>
        <w:t>约定顺序履行合同义务；如果没有先后顺序的，应当同时履行。</w:t>
      </w:r>
    </w:p>
    <w:p w14:paraId="4E09B5DB">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28E6CCD3">
      <w:pPr>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7</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货物包装、运输</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保险</w:t>
      </w:r>
      <w:r>
        <w:rPr>
          <w:rFonts w:hint="eastAsia" w:ascii="宋体" w:hAnsi="宋体" w:eastAsia="宋体" w:cs="宋体"/>
          <w:b/>
          <w:bCs/>
          <w:color w:val="auto"/>
          <w:sz w:val="24"/>
          <w:szCs w:val="24"/>
          <w:highlight w:val="none"/>
          <w:lang w:eastAsia="zh-CN"/>
        </w:rPr>
        <w:t>和交付</w:t>
      </w:r>
      <w:r>
        <w:rPr>
          <w:rFonts w:hint="eastAsia" w:ascii="宋体" w:hAnsi="宋体" w:eastAsia="宋体" w:cs="宋体"/>
          <w:b/>
          <w:bCs/>
          <w:color w:val="auto"/>
          <w:sz w:val="24"/>
          <w:szCs w:val="24"/>
          <w:highlight w:val="none"/>
        </w:rPr>
        <w:t>要求</w:t>
      </w:r>
    </w:p>
    <w:p w14:paraId="7A50396B">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.1 本合同</w:t>
      </w:r>
      <w:r>
        <w:rPr>
          <w:rFonts w:hint="eastAsia" w:ascii="宋体" w:hAnsi="宋体" w:eastAsia="宋体" w:cs="宋体"/>
          <w:bCs/>
          <w:color w:val="auto"/>
          <w:sz w:val="24"/>
          <w:szCs w:val="24"/>
          <w:highlight w:val="none"/>
        </w:rPr>
        <w:t>涉及商品包装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【采购合同专用条款】</w:t>
      </w:r>
      <w:r>
        <w:rPr>
          <w:rFonts w:hint="eastAsia" w:ascii="宋体" w:hAnsi="宋体" w:eastAsia="宋体" w:cs="宋体"/>
          <w:b w:val="0"/>
          <w:bCs/>
          <w:color w:val="auto"/>
          <w:sz w:val="24"/>
          <w:szCs w:val="24"/>
          <w:highlight w:val="none"/>
          <w:lang w:eastAsia="zh-CN"/>
        </w:rPr>
        <w:t>约定的</w:t>
      </w:r>
      <w:r>
        <w:rPr>
          <w:rFonts w:hint="eastAsia" w:ascii="宋体" w:hAnsi="宋体" w:eastAsia="宋体" w:cs="宋体"/>
          <w:color w:val="auto"/>
          <w:sz w:val="24"/>
          <w:szCs w:val="24"/>
          <w:highlight w:val="none"/>
        </w:rPr>
        <w:t>指定现场。</w:t>
      </w:r>
    </w:p>
    <w:p w14:paraId="46A8D52C">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.2 除</w:t>
      </w:r>
      <w:r>
        <w:rPr>
          <w:rFonts w:hint="eastAsia" w:ascii="宋体" w:hAnsi="宋体" w:eastAsia="宋体" w:cs="宋体"/>
          <w:b/>
          <w:color w:val="auto"/>
          <w:sz w:val="24"/>
          <w:szCs w:val="24"/>
          <w:highlight w:val="none"/>
        </w:rPr>
        <w:t>【采购合同专用条款】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乙方负责办理将货物运抵本合同规定的交货地点</w:t>
      </w:r>
      <w:r>
        <w:rPr>
          <w:rFonts w:hint="eastAsia" w:ascii="宋体" w:hAnsi="宋体" w:eastAsia="宋体" w:cs="宋体"/>
          <w:color w:val="auto"/>
          <w:sz w:val="24"/>
          <w:szCs w:val="24"/>
          <w:highlight w:val="none"/>
          <w:lang w:eastAsia="zh-CN"/>
        </w:rPr>
        <w:t>，并装卸、交付至甲方</w:t>
      </w:r>
      <w:r>
        <w:rPr>
          <w:rFonts w:hint="eastAsia" w:ascii="宋体" w:hAnsi="宋体" w:eastAsia="宋体" w:cs="宋体"/>
          <w:color w:val="auto"/>
          <w:sz w:val="24"/>
          <w:szCs w:val="24"/>
          <w:highlight w:val="none"/>
        </w:rPr>
        <w:t>的一切运输事项，相关费用应</w:t>
      </w:r>
      <w:r>
        <w:rPr>
          <w:rFonts w:hint="eastAsia" w:ascii="宋体" w:hAnsi="宋体" w:eastAsia="宋体" w:cs="宋体"/>
          <w:color w:val="auto"/>
          <w:sz w:val="24"/>
          <w:szCs w:val="24"/>
          <w:highlight w:val="none"/>
          <w:lang w:eastAsia="zh-CN"/>
        </w:rPr>
        <w:t>包含</w:t>
      </w:r>
      <w:r>
        <w:rPr>
          <w:rFonts w:hint="eastAsia" w:ascii="宋体" w:hAnsi="宋体" w:eastAsia="宋体" w:cs="宋体"/>
          <w:color w:val="auto"/>
          <w:sz w:val="24"/>
          <w:szCs w:val="24"/>
          <w:highlight w:val="none"/>
        </w:rPr>
        <w:t>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w:t>
      </w:r>
    </w:p>
    <w:p w14:paraId="2E418245">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.3 货物保险要求按</w:t>
      </w:r>
      <w:r>
        <w:rPr>
          <w:rFonts w:hint="eastAsia" w:ascii="宋体" w:hAnsi="宋体" w:eastAsia="宋体" w:cs="宋体"/>
          <w:b/>
          <w:color w:val="auto"/>
          <w:sz w:val="24"/>
          <w:szCs w:val="24"/>
          <w:highlight w:val="none"/>
        </w:rPr>
        <w:t>【采购合同专用条款】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4E15F1E6">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除采购活动</w:t>
      </w:r>
      <w:r>
        <w:rPr>
          <w:rFonts w:hint="eastAsia" w:ascii="宋体" w:hAnsi="宋体" w:eastAsia="宋体" w:cs="宋体"/>
          <w:color w:val="auto"/>
          <w:sz w:val="24"/>
          <w:szCs w:val="24"/>
          <w:highlight w:val="none"/>
        </w:rPr>
        <w:t>对商品包装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w:t>
      </w:r>
      <w:r>
        <w:rPr>
          <w:rFonts w:hint="eastAsia" w:ascii="宋体" w:hAnsi="宋体" w:eastAsia="宋体" w:cs="宋体"/>
          <w:color w:val="auto"/>
          <w:sz w:val="24"/>
          <w:szCs w:val="24"/>
          <w:highlight w:val="none"/>
          <w:lang w:val="en-US" w:eastAsia="zh-CN"/>
        </w:rPr>
        <w:t>达成具体约定外</w:t>
      </w:r>
      <w:r>
        <w:rPr>
          <w:rFonts w:hint="eastAsia" w:ascii="宋体" w:hAnsi="宋体" w:eastAsia="宋体" w:cs="宋体"/>
          <w:color w:val="auto"/>
          <w:sz w:val="24"/>
          <w:szCs w:val="24"/>
          <w:highlight w:val="none"/>
        </w:rPr>
        <w:t>，乙方提供产品及相关快递服务</w:t>
      </w:r>
      <w:r>
        <w:rPr>
          <w:rFonts w:hint="eastAsia" w:ascii="宋体" w:hAnsi="宋体" w:eastAsia="宋体" w:cs="宋体"/>
          <w:color w:val="auto"/>
          <w:sz w:val="24"/>
          <w:szCs w:val="24"/>
          <w:highlight w:val="none"/>
          <w:lang w:val="en-US" w:eastAsia="zh-CN"/>
        </w:rPr>
        <w:t>涉及到</w:t>
      </w:r>
      <w:r>
        <w:rPr>
          <w:rFonts w:hint="eastAsia" w:ascii="宋体" w:hAnsi="宋体" w:eastAsia="宋体" w:cs="宋体"/>
          <w:color w:val="auto"/>
          <w:sz w:val="24"/>
          <w:szCs w:val="24"/>
          <w:highlight w:val="none"/>
        </w:rPr>
        <w:t>具体包装要求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《商品包装政府采购需求标准（试行）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快递包装政府采购需求标准（试行）》</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rPr>
        <w:t>，并作为履约验收的内容，必要时甲方可以要求乙方在履约验收环节出具检测报告。</w:t>
      </w:r>
    </w:p>
    <w:p w14:paraId="4120CFDF">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rPr>
        <w:t>乙方在运输到达之前</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提前通知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，并提示货物运输装卸的注意事项</w:t>
      </w:r>
      <w:r>
        <w:rPr>
          <w:rFonts w:hint="eastAsia" w:ascii="宋体" w:hAnsi="宋体" w:eastAsia="宋体" w:cs="宋体"/>
          <w:color w:val="auto"/>
          <w:sz w:val="24"/>
          <w:szCs w:val="24"/>
          <w:highlight w:val="none"/>
          <w:lang w:eastAsia="zh-CN"/>
        </w:rPr>
        <w:t>，甲方配合乙方做好货物的接收工作。</w:t>
      </w:r>
    </w:p>
    <w:p w14:paraId="22465D0F">
      <w:pPr>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7.6 如因包装、运输问题导致货物损毁、丢失或者品质下降，甲方有权要求降价、换货、拒收部分或整批货物，由此产生的费用和损失，均由乙方承担。</w:t>
      </w:r>
    </w:p>
    <w:p w14:paraId="18049B22">
      <w:pPr>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8</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31EB300A">
      <w:pPr>
        <w:pageBreakBefore w:val="0"/>
        <w:widowControl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8.1 质量标准</w:t>
      </w:r>
    </w:p>
    <w:p w14:paraId="73310AA8">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合同约</w:t>
      </w:r>
      <w:r>
        <w:rPr>
          <w:rFonts w:hint="eastAsia" w:ascii="宋体" w:hAnsi="宋体" w:eastAsia="宋体" w:cs="宋体"/>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32921F07">
      <w:pPr>
        <w:pageBreakBefore w:val="0"/>
        <w:widowControl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（2）采用中华人民共和国法定计量单位。</w:t>
      </w:r>
    </w:p>
    <w:p w14:paraId="044197CB">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2A837B06">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0E2C12D4">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6C12F2E1">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4"/>
          <w:szCs w:val="24"/>
          <w:highlight w:val="none"/>
          <w:lang w:eastAsia="zh-CN"/>
        </w:rPr>
        <w:t>备合同约定</w:t>
      </w:r>
      <w:r>
        <w:rPr>
          <w:rFonts w:hint="eastAsia" w:ascii="宋体" w:hAnsi="宋体" w:eastAsia="宋体" w:cs="宋体"/>
          <w:color w:val="auto"/>
          <w:sz w:val="24"/>
          <w:szCs w:val="24"/>
          <w:highlight w:val="none"/>
        </w:rPr>
        <w:t>的性能。</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3FA51588">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32FA1ADC">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632100C4">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auto"/>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的违约责任</w:t>
      </w:r>
      <w:r>
        <w:rPr>
          <w:rFonts w:hint="eastAsia" w:ascii="宋体" w:hAnsi="宋体" w:eastAsia="宋体" w:cs="宋体"/>
          <w:color w:val="auto"/>
          <w:sz w:val="24"/>
          <w:szCs w:val="24"/>
          <w:highlight w:val="none"/>
        </w:rPr>
        <w:t>。</w:t>
      </w:r>
    </w:p>
    <w:p w14:paraId="73D4FF1E">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1D260D19">
      <w:pPr>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32B63C74">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.1 乙方保证对其出售的货物享有合法的权利。</w:t>
      </w:r>
    </w:p>
    <w:p w14:paraId="17750F54">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.2 乙方保证在交付的货物上不存在抵押权等担保物权。</w:t>
      </w:r>
    </w:p>
    <w:p w14:paraId="3EB19168">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.3 如甲方使用</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货物构成</w:t>
      </w:r>
      <w:r>
        <w:rPr>
          <w:rFonts w:hint="eastAsia" w:ascii="宋体" w:hAnsi="宋体" w:eastAsia="宋体" w:cs="宋体"/>
          <w:color w:val="auto"/>
          <w:sz w:val="24"/>
          <w:szCs w:val="24"/>
          <w:highlight w:val="none"/>
          <w:lang w:val="en-US" w:eastAsia="zh-CN"/>
        </w:rPr>
        <w:t>对第三人</w:t>
      </w:r>
      <w:r>
        <w:rPr>
          <w:rFonts w:hint="eastAsia" w:ascii="宋体" w:hAnsi="宋体" w:eastAsia="宋体" w:cs="宋体"/>
          <w:color w:val="auto"/>
          <w:sz w:val="24"/>
          <w:szCs w:val="24"/>
          <w:highlight w:val="none"/>
        </w:rPr>
        <w:t>侵权的，则由乙方承担全部责任。</w:t>
      </w:r>
    </w:p>
    <w:p w14:paraId="2FBA28C6">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知识产权保护</w:t>
      </w:r>
    </w:p>
    <w:p w14:paraId="0F10D575">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rPr>
        <w:t>.1 乙方对其所销售的货物应当享有知识产权或经权利人合法授权，保证没有侵犯任何第三人的知识产权等权利。</w:t>
      </w:r>
      <w:bookmarkStart w:id="143"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143"/>
      <w:r>
        <w:rPr>
          <w:rFonts w:hint="eastAsia" w:ascii="宋体" w:hAnsi="宋体" w:eastAsia="宋体" w:cs="宋体"/>
          <w:color w:val="auto"/>
          <w:sz w:val="24"/>
          <w:szCs w:val="24"/>
          <w:highlight w:val="none"/>
        </w:rPr>
        <w:t>。</w:t>
      </w:r>
    </w:p>
    <w:p w14:paraId="5733FECE">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39A01DFC">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 </w:t>
      </w:r>
      <w:r>
        <w:rPr>
          <w:rFonts w:hint="eastAsia" w:ascii="宋体" w:hAnsi="宋体" w:eastAsia="宋体" w:cs="宋体"/>
          <w:color w:val="auto"/>
          <w:sz w:val="24"/>
          <w:szCs w:val="24"/>
          <w:highlight w:val="none"/>
        </w:rPr>
        <w:t>甲、乙双方</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采购和合同履行过程中所获悉的</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商业秘密或者其他应当保密的信息，均有保密义务</w:t>
      </w:r>
      <w:r>
        <w:rPr>
          <w:rFonts w:hint="eastAsia" w:ascii="宋体" w:hAnsi="宋体" w:eastAsia="宋体" w:cs="宋体"/>
          <w:color w:val="auto"/>
          <w:sz w:val="24"/>
          <w:szCs w:val="24"/>
          <w:highlight w:val="none"/>
          <w:lang w:eastAsia="zh-CN"/>
        </w:rPr>
        <w:t>且不受合同有效期所限，直至该信息成为公开信息</w:t>
      </w:r>
      <w:r>
        <w:rPr>
          <w:rFonts w:hint="eastAsia" w:ascii="宋体" w:hAnsi="宋体" w:eastAsia="宋体" w:cs="宋体"/>
          <w:color w:val="auto"/>
          <w:sz w:val="24"/>
          <w:szCs w:val="24"/>
          <w:highlight w:val="none"/>
        </w:rPr>
        <w:t>。泄露、不正当地使用</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w:t>
      </w:r>
      <w:r>
        <w:rPr>
          <w:rFonts w:hint="eastAsia" w:ascii="宋体" w:hAnsi="宋体" w:eastAsia="宋体" w:cs="宋体"/>
          <w:color w:val="auto"/>
          <w:sz w:val="24"/>
          <w:szCs w:val="24"/>
          <w:highlight w:val="none"/>
          <w:lang w:eastAsia="zh-CN"/>
        </w:rPr>
        <w:t>其他应当保密的</w:t>
      </w:r>
      <w:r>
        <w:rPr>
          <w:rFonts w:hint="eastAsia" w:ascii="宋体" w:hAnsi="宋体" w:eastAsia="宋体" w:cs="宋体"/>
          <w:color w:val="auto"/>
          <w:sz w:val="24"/>
          <w:szCs w:val="24"/>
          <w:highlight w:val="none"/>
        </w:rPr>
        <w:t>信息，应当承担</w:t>
      </w:r>
      <w:r>
        <w:rPr>
          <w:rFonts w:hint="eastAsia" w:ascii="宋体" w:hAnsi="宋体" w:eastAsia="宋体" w:cs="宋体"/>
          <w:color w:val="auto"/>
          <w:sz w:val="24"/>
          <w:szCs w:val="24"/>
          <w:highlight w:val="none"/>
          <w:lang w:eastAsia="zh-CN"/>
        </w:rPr>
        <w:t>相应</w:t>
      </w:r>
      <w:r>
        <w:rPr>
          <w:rFonts w:hint="eastAsia" w:ascii="宋体" w:hAnsi="宋体" w:eastAsia="宋体" w:cs="宋体"/>
          <w:color w:val="auto"/>
          <w:sz w:val="24"/>
          <w:szCs w:val="24"/>
          <w:highlight w:val="none"/>
        </w:rPr>
        <w:t>责任。其他应当保密的信息由双方在</w:t>
      </w:r>
      <w:r>
        <w:rPr>
          <w:rFonts w:hint="eastAsia" w:ascii="宋体" w:hAnsi="宋体" w:eastAsia="宋体" w:cs="宋体"/>
          <w:b/>
          <w:bCs/>
          <w:color w:val="auto"/>
          <w:sz w:val="24"/>
          <w:szCs w:val="24"/>
          <w:highlight w:val="none"/>
        </w:rPr>
        <w:t>【采购合同专用条款】</w:t>
      </w:r>
      <w:r>
        <w:rPr>
          <w:rFonts w:hint="eastAsia" w:ascii="宋体" w:hAnsi="宋体" w:eastAsia="宋体" w:cs="宋体"/>
          <w:color w:val="auto"/>
          <w:sz w:val="24"/>
          <w:szCs w:val="24"/>
          <w:highlight w:val="none"/>
        </w:rPr>
        <w:t>中约定。</w:t>
      </w:r>
    </w:p>
    <w:p w14:paraId="6DF223FF">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7583E181">
      <w:pPr>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财务管理相关</w:t>
      </w:r>
      <w:r>
        <w:rPr>
          <w:rFonts w:hint="eastAsia" w:ascii="宋体" w:hAnsi="宋体" w:eastAsia="宋体" w:cs="宋体"/>
          <w:color w:val="auto"/>
          <w:sz w:val="24"/>
          <w:szCs w:val="24"/>
          <w:highlight w:val="none"/>
        </w:rPr>
        <w:t>规定执行。</w:t>
      </w:r>
    </w:p>
    <w:p w14:paraId="4ACE2329">
      <w:pPr>
        <w:keepNext/>
        <w:keepLines/>
        <w:pageBreakBefore w:val="0"/>
        <w:widowControl w:val="0"/>
        <w:kinsoku/>
        <w:wordWrap/>
        <w:overflowPunct/>
        <w:topLinePunct w:val="0"/>
        <w:bidi w:val="0"/>
        <w:adjustRightInd w:val="0"/>
        <w:spacing w:before="0" w:beforeLines="0" w:after="0" w:afterLines="0" w:line="400" w:lineRule="exact"/>
        <w:ind w:firstLine="480"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12.2 对于满足合同约定支付条件的，甲方</w:t>
      </w:r>
      <w:r>
        <w:rPr>
          <w:rFonts w:hint="eastAsia" w:ascii="宋体" w:hAnsi="宋体" w:eastAsia="宋体" w:cs="宋体"/>
          <w:b w:val="0"/>
          <w:bCs w:val="0"/>
          <w:i w:val="0"/>
          <w:iCs w:val="0"/>
          <w:caps w:val="0"/>
          <w:color w:val="auto"/>
          <w:spacing w:val="0"/>
          <w:kern w:val="2"/>
          <w:sz w:val="24"/>
          <w:szCs w:val="24"/>
          <w:highlight w:val="none"/>
          <w:shd w:val="clear" w:color="auto" w:fill="auto"/>
          <w:vertAlign w:val="baseline"/>
          <w:lang w:val="en-US" w:eastAsia="zh-CN" w:bidi="ar-SA"/>
        </w:rPr>
        <w:t>应当自收到发票后将资金支付到合同约定的乙方账户</w:t>
      </w:r>
      <w:r>
        <w:rPr>
          <w:rFonts w:hint="eastAsia" w:ascii="宋体" w:hAnsi="宋体" w:eastAsia="宋体" w:cs="宋体"/>
          <w:b w:val="0"/>
          <w:bCs w:val="0"/>
          <w:color w:val="auto"/>
          <w:kern w:val="2"/>
          <w:sz w:val="24"/>
          <w:szCs w:val="24"/>
          <w:highlight w:val="none"/>
          <w:lang w:val="en-US" w:eastAsia="zh-CN" w:bidi="ar-SA"/>
        </w:rPr>
        <w:t>，不得以机构变动、人员更替、政策调整等为由迟延付款，不得将采购文件和合同中未规定的义务作为向乙方付款的条件。具体合同价款支付时间在【</w:t>
      </w:r>
      <w:r>
        <w:rPr>
          <w:rFonts w:hint="eastAsia" w:ascii="宋体" w:hAnsi="宋体" w:eastAsia="宋体" w:cs="宋体"/>
          <w:b/>
          <w:bCs/>
          <w:color w:val="auto"/>
          <w:kern w:val="2"/>
          <w:sz w:val="24"/>
          <w:szCs w:val="24"/>
          <w:highlight w:val="none"/>
          <w:lang w:val="en-US" w:eastAsia="zh-CN" w:bidi="ar-SA"/>
        </w:rPr>
        <w:t>采购合同专用条款</w:t>
      </w:r>
      <w:r>
        <w:rPr>
          <w:rFonts w:hint="eastAsia" w:ascii="宋体" w:hAnsi="宋体" w:eastAsia="宋体" w:cs="宋体"/>
          <w:b w:val="0"/>
          <w:bCs w:val="0"/>
          <w:color w:val="auto"/>
          <w:kern w:val="2"/>
          <w:sz w:val="24"/>
          <w:szCs w:val="24"/>
          <w:highlight w:val="none"/>
          <w:lang w:val="en-US" w:eastAsia="zh-CN" w:bidi="ar-SA"/>
        </w:rPr>
        <w:t>】中约定。</w:t>
      </w:r>
    </w:p>
    <w:p w14:paraId="22869B65">
      <w:pPr>
        <w:pageBreakBefore w:val="0"/>
        <w:widowControl w:val="0"/>
        <w:kinsoku/>
        <w:wordWrap/>
        <w:overflowPunct/>
        <w:topLinePunct w:val="0"/>
        <w:bidi w:val="0"/>
        <w:spacing w:after="0" w:afterLines="0" w:line="400" w:lineRule="exact"/>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13. 履约保证金</w:t>
      </w:r>
    </w:p>
    <w:p w14:paraId="0BC18662">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乙方应当以支票、汇票、本票或者金融机构、担保机构出具的保函等非现金形式提交。</w:t>
      </w:r>
    </w:p>
    <w:p w14:paraId="6F336902">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color w:val="auto"/>
          <w:sz w:val="24"/>
          <w:szCs w:val="24"/>
          <w:highlight w:val="none"/>
        </w:rPr>
        <w:t>【采购合同专用条款】</w:t>
      </w:r>
      <w:r>
        <w:rPr>
          <w:rFonts w:hint="eastAsia" w:ascii="宋体" w:hAnsi="宋体" w:eastAsia="宋体" w:cs="宋体"/>
          <w:b w:val="0"/>
          <w:bCs w:val="0"/>
          <w:color w:val="auto"/>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4E35AB0C">
      <w:pPr>
        <w:pageBreakBefore w:val="0"/>
        <w:kinsoku/>
        <w:wordWrap/>
        <w:overflowPunct/>
        <w:topLinePunct w:val="0"/>
        <w:bidi w:val="0"/>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【采购合同专用条款】</w:t>
      </w:r>
      <w:r>
        <w:rPr>
          <w:rFonts w:hint="eastAsia" w:ascii="宋体" w:hAnsi="宋体" w:eastAsia="宋体" w:cs="宋体"/>
          <w:color w:val="auto"/>
          <w:sz w:val="24"/>
          <w:szCs w:val="24"/>
          <w:highlight w:val="none"/>
        </w:rPr>
        <w:t>规定支付。</w:t>
      </w:r>
    </w:p>
    <w:p w14:paraId="35D0C75F">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25CF0CA0">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7F8BCB0A">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2CB34D03">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57342D4E">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50544881">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color w:val="auto"/>
          <w:sz w:val="24"/>
          <w:szCs w:val="24"/>
          <w:highlight w:val="none"/>
          <w:lang w:eastAsia="zh-CN"/>
        </w:rPr>
        <w:t>；</w:t>
      </w:r>
    </w:p>
    <w:p w14:paraId="34C76807">
      <w:pPr>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（5）依照法律、行政法规的规定或者按照</w:t>
      </w:r>
      <w:r>
        <w:rPr>
          <w:rFonts w:hint="eastAsia" w:ascii="宋体" w:hAnsi="宋体" w:eastAsia="宋体" w:cs="宋体"/>
          <w:b/>
          <w:bCs/>
          <w:color w:val="auto"/>
          <w:sz w:val="24"/>
          <w:szCs w:val="24"/>
          <w:highlight w:val="none"/>
          <w:lang w:val="en-US" w:eastAsia="zh-CN" w:bidi="ar-SA"/>
        </w:rPr>
        <w:t>【采购合同专用条款】</w:t>
      </w:r>
      <w:r>
        <w:rPr>
          <w:rFonts w:hint="eastAsia" w:ascii="宋体" w:hAnsi="宋体" w:eastAsia="宋体" w:cs="宋体"/>
          <w:color w:val="auto"/>
          <w:sz w:val="24"/>
          <w:szCs w:val="24"/>
          <w:highlight w:val="none"/>
          <w:lang w:val="en-US" w:eastAsia="zh-CN" w:bidi="ar-SA"/>
        </w:rPr>
        <w:t>约定，货物在有效使用年限届满后应予回收的，乙方负有自行或者委托第三人对货物予以回收的义务；</w:t>
      </w:r>
    </w:p>
    <w:p w14:paraId="6C72619F">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【采购合同专用条款】</w:t>
      </w:r>
      <w:r>
        <w:rPr>
          <w:rFonts w:hint="eastAsia" w:ascii="宋体" w:hAnsi="宋体" w:eastAsia="宋体" w:cs="宋体"/>
          <w:color w:val="auto"/>
          <w:sz w:val="24"/>
          <w:szCs w:val="24"/>
          <w:highlight w:val="none"/>
        </w:rPr>
        <w:t>规定由乙方提供的其他服务。</w:t>
      </w:r>
    </w:p>
    <w:p w14:paraId="5A6D465D">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3FCB0965">
      <w:pPr>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31DDD7DA">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4DBA551C">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564CFE42">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69BA6A3A">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1C16C81A">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1FD7F335">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0BF5CA18">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【采购合同专用条款】</w:t>
      </w:r>
      <w:r>
        <w:rPr>
          <w:rFonts w:hint="eastAsia" w:ascii="宋体" w:hAnsi="宋体" w:eastAsia="宋体" w:cs="宋体"/>
          <w:color w:val="auto"/>
          <w:sz w:val="24"/>
          <w:szCs w:val="24"/>
          <w:highlight w:val="none"/>
        </w:rPr>
        <w:t>规定的逾期付款利息。</w:t>
      </w:r>
    </w:p>
    <w:p w14:paraId="269BC26C">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【采购合同专用条款】</w:t>
      </w:r>
      <w:r>
        <w:rPr>
          <w:rFonts w:hint="eastAsia" w:ascii="宋体" w:hAnsi="宋体" w:eastAsia="宋体" w:cs="宋体"/>
          <w:color w:val="auto"/>
          <w:sz w:val="24"/>
          <w:szCs w:val="24"/>
          <w:highlight w:val="none"/>
        </w:rPr>
        <w:t>规定执行。</w:t>
      </w:r>
    </w:p>
    <w:p w14:paraId="5F7373D4">
      <w:pPr>
        <w:pageBreakBefore w:val="0"/>
        <w:numPr>
          <w:ilvl w:val="0"/>
          <w:numId w:val="14"/>
        </w:numPr>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2C2E77E5">
      <w:pPr>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3B5AC317">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00CCCD15">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567EE309">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5937CC67">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7D31294F">
      <w:pPr>
        <w:pageBreakBefore w:val="0"/>
        <w:kinsoku/>
        <w:wordWrap/>
        <w:overflowPunct/>
        <w:topLinePunct w:val="0"/>
        <w:autoSpaceDE w:val="0"/>
        <w:autoSpaceDN w:val="0"/>
        <w:bidi w:val="0"/>
        <w:adjustRightInd w:val="0"/>
        <w:spacing w:line="400" w:lineRule="exact"/>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1C0A308D">
      <w:pPr>
        <w:pageBreakBefore w:val="0"/>
        <w:kinsoku/>
        <w:wordWrap/>
        <w:overflowPunct/>
        <w:topLinePunct w:val="0"/>
        <w:bidi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10FF7F37">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6E21DC2D">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459516EE">
      <w:pPr>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并追究乙方的违约责</w:t>
      </w:r>
      <w:r>
        <w:rPr>
          <w:rFonts w:hint="eastAsia" w:ascii="宋体" w:hAnsi="宋体" w:eastAsia="宋体" w:cs="宋体"/>
          <w:color w:val="auto"/>
          <w:sz w:val="24"/>
          <w:szCs w:val="24"/>
          <w:highlight w:val="none"/>
          <w:lang w:val="en-US" w:eastAsia="zh-CN"/>
        </w:rPr>
        <w:t>任</w:t>
      </w:r>
      <w:r>
        <w:rPr>
          <w:rFonts w:hint="eastAsia" w:ascii="宋体" w:hAnsi="宋体" w:eastAsia="宋体" w:cs="宋体"/>
          <w:color w:val="auto"/>
          <w:sz w:val="24"/>
          <w:szCs w:val="24"/>
          <w:highlight w:val="none"/>
        </w:rPr>
        <w:t>。</w:t>
      </w:r>
    </w:p>
    <w:p w14:paraId="11DE71AD">
      <w:pPr>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16.4 </w:t>
      </w:r>
      <w:r>
        <w:rPr>
          <w:rFonts w:hint="eastAsia" w:ascii="宋体" w:hAnsi="宋体" w:eastAsia="宋体" w:cs="宋体"/>
          <w:color w:val="auto"/>
          <w:kern w:val="2"/>
          <w:sz w:val="24"/>
          <w:szCs w:val="24"/>
          <w:highlight w:val="none"/>
          <w:lang w:val="en-US" w:eastAsia="zh-CN" w:bidi="ar-SA"/>
        </w:rPr>
        <w:t>涉及国家利益、社会公共利益的情形</w:t>
      </w:r>
    </w:p>
    <w:p w14:paraId="7B560510">
      <w:pPr>
        <w:pageBreakBefore w:val="0"/>
        <w:kinsoku/>
        <w:wordWrap/>
        <w:overflowPunct/>
        <w:topLinePunct w:val="0"/>
        <w:autoSpaceDE w:val="0"/>
        <w:autoSpaceDN w:val="0"/>
        <w:bidi w:val="0"/>
        <w:adjustRightInd w:val="0"/>
        <w:spacing w:line="400" w:lineRule="exact"/>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采购合同继续履行将损害国家利益和社会公共利益的，双方当事人应当变更、中止或者终止合同。有过错的一方应当承担赔偿责任，双方都有过错的，各自承担相应的责任。</w:t>
      </w:r>
    </w:p>
    <w:p w14:paraId="65BB8F48">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6F9FFB7E">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010D1E22">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79071AE3">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0E55F821">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4444773C">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3895813C">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5A3197BC">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4B5A1803">
      <w:pPr>
        <w:pageBreakBefore w:val="0"/>
        <w:kinsoku/>
        <w:wordWrap/>
        <w:overflowPunct/>
        <w:topLinePunct w:val="0"/>
        <w:autoSpaceDE w:val="0"/>
        <w:autoSpaceDN w:val="0"/>
        <w:bidi w:val="0"/>
        <w:adjustRightInd w:val="0"/>
        <w:spacing w:line="400" w:lineRule="exact"/>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14:paraId="7E697485">
      <w:pPr>
        <w:pageBreakBefore w:val="0"/>
        <w:kinsoku/>
        <w:wordWrap/>
        <w:overflowPunct/>
        <w:topLinePunct w:val="0"/>
        <w:autoSpaceDE w:val="0"/>
        <w:autoSpaceDN w:val="0"/>
        <w:bidi w:val="0"/>
        <w:adjustRightInd w:val="0"/>
        <w:spacing w:line="400" w:lineRule="exact"/>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19.2 选择仲裁的，应在</w:t>
      </w:r>
      <w:r>
        <w:rPr>
          <w:rFonts w:hint="eastAsia" w:ascii="宋体" w:hAnsi="宋体" w:eastAsia="宋体" w:cs="宋体"/>
          <w:b/>
          <w:bCs/>
          <w:color w:val="auto"/>
          <w:sz w:val="24"/>
          <w:szCs w:val="24"/>
          <w:highlight w:val="none"/>
          <w:lang w:val="en-US" w:eastAsia="zh-CN" w:bidi="ar-SA"/>
        </w:rPr>
        <w:t>【采购合同专用条款】</w:t>
      </w:r>
      <w:r>
        <w:rPr>
          <w:rFonts w:hint="eastAsia" w:ascii="宋体" w:hAnsi="宋体" w:eastAsia="宋体" w:cs="宋体"/>
          <w:color w:val="auto"/>
          <w:sz w:val="24"/>
          <w:szCs w:val="24"/>
          <w:highlight w:val="none"/>
          <w:lang w:val="en-US" w:eastAsia="zh-CN" w:bidi="ar-SA"/>
        </w:rPr>
        <w:t>中明确仲裁机构及仲裁地；通过诉讼方式解决的，可以在</w:t>
      </w:r>
      <w:r>
        <w:rPr>
          <w:rFonts w:hint="eastAsia" w:ascii="宋体" w:hAnsi="宋体" w:eastAsia="宋体" w:cs="宋体"/>
          <w:b/>
          <w:bCs/>
          <w:color w:val="auto"/>
          <w:sz w:val="24"/>
          <w:szCs w:val="24"/>
          <w:highlight w:val="none"/>
          <w:lang w:val="en-US" w:eastAsia="zh-CN" w:bidi="ar-SA"/>
        </w:rPr>
        <w:t>【采购合同专用条款】</w:t>
      </w:r>
      <w:r>
        <w:rPr>
          <w:rFonts w:hint="eastAsia" w:ascii="宋体" w:hAnsi="宋体" w:eastAsia="宋体" w:cs="宋体"/>
          <w:color w:val="auto"/>
          <w:sz w:val="24"/>
          <w:szCs w:val="24"/>
          <w:highlight w:val="none"/>
          <w:lang w:val="en-US" w:eastAsia="zh-CN" w:bidi="ar-SA"/>
        </w:rPr>
        <w:t>中进一步约定选择与争议有实际联系的地点的人民法院管辖，但管辖法院的约定不得违反级别管辖和专属管辖的规定。</w:t>
      </w:r>
    </w:p>
    <w:p w14:paraId="4942C19E">
      <w:pPr>
        <w:pageBreakBefore w:val="0"/>
        <w:kinsoku/>
        <w:wordWrap/>
        <w:overflowPunct/>
        <w:topLinePunct w:val="0"/>
        <w:autoSpaceDE w:val="0"/>
        <w:autoSpaceDN w:val="0"/>
        <w:bidi w:val="0"/>
        <w:adjustRightInd w:val="0"/>
        <w:spacing w:line="400" w:lineRule="exact"/>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19.3 如甲乙双方有争议的事项不影响合同其他部分的履行，在争议解决期间，合同其他部分应当继续履行。</w:t>
      </w:r>
    </w:p>
    <w:p w14:paraId="1CAC4BE8">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采购政策</w:t>
      </w:r>
    </w:p>
    <w:p w14:paraId="2401E0E1">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color w:val="auto"/>
          <w:sz w:val="24"/>
          <w:szCs w:val="24"/>
          <w:highlight w:val="none"/>
          <w:lang w:val="en-GB"/>
        </w:rPr>
        <w:t>本合同应当按照规定执行政府采购政策。</w:t>
      </w:r>
    </w:p>
    <w:p w14:paraId="3BBF282A">
      <w:pPr>
        <w:pageBreakBefore w:val="0"/>
        <w:kinsoku/>
        <w:wordWrap/>
        <w:overflowPunct/>
        <w:topLinePunct w:val="0"/>
        <w:autoSpaceDE w:val="0"/>
        <w:autoSpaceDN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本合同依法执行采购政策的方式和内容，属于合同履约验收的范围。</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lang w:val="en-GB"/>
        </w:rPr>
        <w:t>未按规定要求执行采购政策造成损失的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1D82BD42">
      <w:pPr>
        <w:pageBreakBefore w:val="0"/>
        <w:widowControl w:val="0"/>
        <w:kinsoku/>
        <w:wordWrap/>
        <w:overflowPunct/>
        <w:topLinePunct w:val="0"/>
        <w:bidi w:val="0"/>
        <w:spacing w:after="0" w:afterLines="0" w:line="40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20.3 要求以联合体形式参加采购活动或者合同分包的，须将联合协议或者分包意向协议作为采购合同的组成部分。</w:t>
      </w:r>
    </w:p>
    <w:p w14:paraId="3BD09519">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12EC1E30">
      <w:pPr>
        <w:pageBreakBefore w:val="0"/>
        <w:kinsoku/>
        <w:wordWrap/>
        <w:overflowPunct/>
        <w:topLinePunct w:val="0"/>
        <w:autoSpaceDE w:val="0"/>
        <w:autoSpaceDN w:val="0"/>
        <w:bidi w:val="0"/>
        <w:adjustRightInd w:val="0"/>
        <w:spacing w:line="400" w:lineRule="exact"/>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21.1 本合同的订立、生效、解释、履行及与本合同有关的争议解决，均适用法律、行政法规。</w:t>
      </w:r>
    </w:p>
    <w:p w14:paraId="57C48349">
      <w:pPr>
        <w:pageBreakBefore w:val="0"/>
        <w:kinsoku/>
        <w:wordWrap/>
        <w:overflowPunct/>
        <w:topLinePunct w:val="0"/>
        <w:autoSpaceDE w:val="0"/>
        <w:autoSpaceDN w:val="0"/>
        <w:bidi w:val="0"/>
        <w:adjustRightInd w:val="0"/>
        <w:spacing w:line="400" w:lineRule="exact"/>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21.2 本合同条款与法律、行政法规的强制性规定不一致的，双方当事人应按照法律、行政法规的强制性规定修改本合同的相关条款。</w:t>
      </w:r>
    </w:p>
    <w:p w14:paraId="2EA2D3F1">
      <w:pPr>
        <w:pageBreakBefore w:val="0"/>
        <w:numPr>
          <w:ilvl w:val="0"/>
          <w:numId w:val="0"/>
        </w:numPr>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7330DA76">
      <w:pPr>
        <w:pageBreakBefore w:val="0"/>
        <w:kinsoku/>
        <w:wordWrap/>
        <w:overflowPunct/>
        <w:topLinePunct w:val="0"/>
        <w:autoSpaceDE w:val="0"/>
        <w:autoSpaceDN w:val="0"/>
        <w:bidi w:val="0"/>
        <w:adjustRightInd w:val="0"/>
        <w:spacing w:line="400" w:lineRule="exact"/>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22.1 本合同任何一方向对方发出的通知、信件、数据电文等，应当发送至本合同第一部分《采购合同协议书》所约定的通讯地址、联系人、联系电话或电子邮箱。</w:t>
      </w:r>
    </w:p>
    <w:p w14:paraId="4D7D7F17">
      <w:pPr>
        <w:pageBreakBefore w:val="0"/>
        <w:kinsoku/>
        <w:wordWrap/>
        <w:overflowPunct/>
        <w:topLinePunct w:val="0"/>
        <w:autoSpaceDE w:val="0"/>
        <w:autoSpaceDN w:val="0"/>
        <w:bidi w:val="0"/>
        <w:adjustRightInd w:val="0"/>
        <w:spacing w:line="400" w:lineRule="exact"/>
        <w:ind w:firstLine="0" w:firstLine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22.2 一方当事人变更名称、住所、联系人、联系电话或电子邮箱等信息的，应当在变更后3日内及时书面通知对方，对方实际收到变更通知前的送达仍为有效送达。</w:t>
      </w:r>
    </w:p>
    <w:p w14:paraId="13C64A1E">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3B32346A">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6B633640">
      <w:pPr>
        <w:pageBreakBefore w:val="0"/>
        <w:numPr>
          <w:ilvl w:val="0"/>
          <w:numId w:val="15"/>
        </w:numPr>
        <w:kinsoku/>
        <w:wordWrap/>
        <w:overflowPunct/>
        <w:topLinePunct w:val="0"/>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48ECAF5D">
      <w:pPr>
        <w:pageBreakBefore w:val="0"/>
        <w:kinsoku/>
        <w:wordWrap/>
        <w:overflowPunct/>
        <w:topLinePunct w:val="0"/>
        <w:bidi w:val="0"/>
        <w:adjustRightInd w:val="0"/>
        <w:snapToGrid w:val="0"/>
        <w:spacing w:line="4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【采购合同专用条款】</w:t>
      </w:r>
      <w:r>
        <w:rPr>
          <w:rFonts w:hint="eastAsia" w:ascii="宋体" w:hAnsi="宋体" w:eastAsia="宋体" w:cs="宋体"/>
          <w:bCs/>
          <w:color w:val="auto"/>
          <w:sz w:val="24"/>
          <w:szCs w:val="24"/>
          <w:highlight w:val="none"/>
        </w:rPr>
        <w:t>。</w:t>
      </w:r>
    </w:p>
    <w:p w14:paraId="4D1DC7BB">
      <w:pPr>
        <w:pageBreakBefore w:val="0"/>
        <w:kinsoku/>
        <w:wordWrap/>
        <w:overflowPunct/>
        <w:topLinePunct w:val="0"/>
        <w:bidi w:val="0"/>
        <w:adjustRightInd w:val="0"/>
        <w:snapToGrid w:val="0"/>
        <w:spacing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144" w:name="_Toc20313"/>
    </w:p>
    <w:p w14:paraId="15B87831">
      <w:pPr>
        <w:adjustRightInd w:val="0"/>
        <w:snapToGrid w:val="0"/>
        <w:jc w:val="center"/>
        <w:rPr>
          <w:rFonts w:ascii="黑体" w:hAnsi="华文中宋" w:eastAsia="黑体" w:cs="Times New Roman"/>
          <w:b w:val="0"/>
          <w:bCs w:val="0"/>
          <w:color w:val="auto"/>
          <w:sz w:val="28"/>
          <w:szCs w:val="28"/>
          <w:highlight w:val="none"/>
        </w:rPr>
      </w:pPr>
      <w:r>
        <w:rPr>
          <w:rFonts w:hint="eastAsia" w:ascii="黑体" w:hAnsi="华文中宋" w:eastAsia="黑体" w:cs="Times New Roman"/>
          <w:b w:val="0"/>
          <w:bCs w:val="0"/>
          <w:color w:val="auto"/>
          <w:sz w:val="28"/>
          <w:szCs w:val="28"/>
          <w:highlight w:val="none"/>
        </w:rPr>
        <w:br w:type="page"/>
      </w:r>
      <w:r>
        <w:rPr>
          <w:rFonts w:hint="eastAsia" w:ascii="黑体" w:hAnsi="华文中宋" w:eastAsia="黑体" w:cs="Times New Roman"/>
          <w:b w:val="0"/>
          <w:bCs w:val="0"/>
          <w:color w:val="auto"/>
          <w:sz w:val="28"/>
          <w:szCs w:val="28"/>
          <w:highlight w:val="none"/>
        </w:rPr>
        <w:t>第三节 采购合同专用条款</w:t>
      </w:r>
      <w:bookmarkEnd w:id="144"/>
    </w:p>
    <w:tbl>
      <w:tblPr>
        <w:tblStyle w:val="46"/>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BF809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5415C07F">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79A68519">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第1.2（</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）项</w:t>
            </w:r>
          </w:p>
        </w:tc>
        <w:tc>
          <w:tcPr>
            <w:tcW w:w="1742" w:type="dxa"/>
            <w:noWrap w:val="0"/>
            <w:vAlign w:val="center"/>
          </w:tcPr>
          <w:p w14:paraId="5E2783DF">
            <w:pPr>
              <w:adjustRightInd w:val="0"/>
              <w:snapToGrid w:val="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联合体具体要求</w:t>
            </w:r>
          </w:p>
        </w:tc>
        <w:tc>
          <w:tcPr>
            <w:tcW w:w="5170" w:type="dxa"/>
            <w:noWrap w:val="0"/>
            <w:vAlign w:val="center"/>
          </w:tcPr>
          <w:p w14:paraId="11230CF1">
            <w:pPr>
              <w:adjustRightInd w:val="0"/>
              <w:snapToGrid w:val="0"/>
              <w:jc w:val="left"/>
              <w:rPr>
                <w:rFonts w:ascii="宋体" w:hAnsi="宋体" w:eastAsia="宋体" w:cs="Times New Roman"/>
                <w:color w:val="auto"/>
                <w:szCs w:val="21"/>
                <w:highlight w:val="none"/>
              </w:rPr>
            </w:pPr>
          </w:p>
        </w:tc>
      </w:tr>
      <w:tr w14:paraId="135E0D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noWrap w:val="0"/>
            <w:vAlign w:val="center"/>
          </w:tcPr>
          <w:p w14:paraId="17B2702D">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715638F1">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第1.2（</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）项</w:t>
            </w:r>
          </w:p>
        </w:tc>
        <w:tc>
          <w:tcPr>
            <w:tcW w:w="1742" w:type="dxa"/>
            <w:noWrap w:val="0"/>
            <w:vAlign w:val="center"/>
          </w:tcPr>
          <w:p w14:paraId="13A28BC2">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其他术语解释</w:t>
            </w:r>
          </w:p>
        </w:tc>
        <w:tc>
          <w:tcPr>
            <w:tcW w:w="5170" w:type="dxa"/>
            <w:noWrap w:val="0"/>
            <w:vAlign w:val="center"/>
          </w:tcPr>
          <w:p w14:paraId="73FB11F4">
            <w:pPr>
              <w:adjustRightInd w:val="0"/>
              <w:snapToGrid w:val="0"/>
              <w:jc w:val="left"/>
              <w:rPr>
                <w:rFonts w:ascii="宋体" w:hAnsi="宋体" w:eastAsia="宋体" w:cs="Times New Roman"/>
                <w:color w:val="auto"/>
                <w:kern w:val="2"/>
                <w:sz w:val="21"/>
                <w:szCs w:val="21"/>
                <w:highlight w:val="none"/>
                <w:lang w:val="en-US" w:eastAsia="zh-CN" w:bidi="ar-SA"/>
              </w:rPr>
            </w:pPr>
          </w:p>
        </w:tc>
      </w:tr>
      <w:tr w14:paraId="7ED230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22A639DB">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1AF78141">
            <w:pPr>
              <w:adjustRightInd w:val="0"/>
              <w:snapToGrid w:val="0"/>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第</w:t>
            </w:r>
            <w:r>
              <w:rPr>
                <w:rFonts w:hint="eastAsia" w:ascii="宋体" w:hAnsi="宋体" w:eastAsia="宋体" w:cs="Times New Roman"/>
                <w:color w:val="auto"/>
                <w:szCs w:val="21"/>
                <w:highlight w:val="none"/>
                <w:lang w:val="en-US" w:eastAsia="zh-CN"/>
              </w:rPr>
              <w:t>4.4款</w:t>
            </w:r>
          </w:p>
        </w:tc>
        <w:tc>
          <w:tcPr>
            <w:tcW w:w="1742" w:type="dxa"/>
            <w:noWrap w:val="0"/>
            <w:vAlign w:val="center"/>
          </w:tcPr>
          <w:p w14:paraId="3E6D3319">
            <w:pPr>
              <w:adjustRightInd w:val="0"/>
              <w:snapToGrid w:val="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履约验收中甲方提出异议或作出说明的期限</w:t>
            </w:r>
          </w:p>
        </w:tc>
        <w:tc>
          <w:tcPr>
            <w:tcW w:w="5170" w:type="dxa"/>
            <w:noWrap w:val="0"/>
            <w:vAlign w:val="center"/>
          </w:tcPr>
          <w:p w14:paraId="693FDA79">
            <w:pPr>
              <w:adjustRightInd w:val="0"/>
              <w:snapToGrid w:val="0"/>
              <w:jc w:val="left"/>
              <w:rPr>
                <w:rFonts w:ascii="宋体" w:hAnsi="宋体" w:eastAsia="宋体" w:cs="Times New Roman"/>
                <w:color w:val="auto"/>
                <w:kern w:val="2"/>
                <w:sz w:val="21"/>
                <w:szCs w:val="21"/>
                <w:highlight w:val="none"/>
                <w:lang w:val="en-US" w:eastAsia="zh-CN" w:bidi="ar-SA"/>
              </w:rPr>
            </w:pPr>
          </w:p>
        </w:tc>
      </w:tr>
      <w:tr w14:paraId="171F63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48C4F71F">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247F0110">
            <w:pPr>
              <w:adjustRightInd w:val="0"/>
              <w:snapToGrid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第</w:t>
            </w:r>
            <w:r>
              <w:rPr>
                <w:rFonts w:hint="eastAsia" w:ascii="宋体" w:hAnsi="宋体" w:eastAsia="宋体" w:cs="Times New Roman"/>
                <w:color w:val="auto"/>
                <w:szCs w:val="21"/>
                <w:highlight w:val="none"/>
                <w:lang w:val="en-US" w:eastAsia="zh-CN"/>
              </w:rPr>
              <w:t>4.6款</w:t>
            </w:r>
          </w:p>
        </w:tc>
        <w:tc>
          <w:tcPr>
            <w:tcW w:w="1742" w:type="dxa"/>
            <w:noWrap w:val="0"/>
            <w:vAlign w:val="center"/>
          </w:tcPr>
          <w:p w14:paraId="7CCB0648">
            <w:pPr>
              <w:adjustRightInd w:val="0"/>
              <w:snapToGrid w:val="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约定甲方承担的其他义务和责任</w:t>
            </w:r>
          </w:p>
        </w:tc>
        <w:tc>
          <w:tcPr>
            <w:tcW w:w="5170" w:type="dxa"/>
            <w:noWrap w:val="0"/>
            <w:vAlign w:val="center"/>
          </w:tcPr>
          <w:p w14:paraId="04363E5E">
            <w:pPr>
              <w:numPr>
                <w:ilvl w:val="0"/>
                <w:numId w:val="16"/>
              </w:numPr>
              <w:adjustRightInd w:val="0"/>
              <w:snapToGrid w:val="0"/>
              <w:jc w:val="left"/>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甲方对乙方提交的货物依据招标文件上的技术规格要求和国家有关质量标准进行现场初步验收，外观、说明书符合招标文件技术要求的，给予签收，初步验收不合格的不予签收。</w:t>
            </w:r>
          </w:p>
          <w:p w14:paraId="2DE15AC1">
            <w:pPr>
              <w:numPr>
                <w:ilvl w:val="0"/>
                <w:numId w:val="16"/>
              </w:num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每批材料到现场后，甲方有权自行或委托权威部门实行抽样检测</w:t>
            </w:r>
            <w:r>
              <w:rPr>
                <w:rFonts w:ascii="宋体" w:hAnsi="宋体" w:eastAsia="宋体" w:cs="Times New Roman"/>
                <w:color w:val="auto"/>
                <w:kern w:val="2"/>
                <w:sz w:val="21"/>
                <w:szCs w:val="21"/>
                <w:highlight w:val="none"/>
                <w:lang w:val="en-US" w:eastAsia="zh-CN" w:bidi="ar-SA"/>
              </w:rPr>
              <w:t>，并由其出具质量检测报告。</w:t>
            </w:r>
          </w:p>
        </w:tc>
      </w:tr>
      <w:tr w14:paraId="350AFD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38A49D6C">
            <w:pPr>
              <w:adjustRightInd w:val="0"/>
              <w:snapToGrid w:val="0"/>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第二节</w:t>
            </w:r>
          </w:p>
          <w:p w14:paraId="3630F327">
            <w:pPr>
              <w:snapToGrid w:val="0"/>
              <w:jc w:val="center"/>
              <w:rPr>
                <w:rFonts w:hint="default" w:ascii="Times New Roman" w:hAnsi="Times New Roman" w:eastAsia="宋体" w:cs="Times New Roman"/>
                <w:color w:val="auto"/>
                <w:highlight w:val="none"/>
                <w:lang w:val="en-US" w:eastAsia="zh-CN"/>
              </w:rPr>
            </w:pPr>
            <w:r>
              <w:rPr>
                <w:rFonts w:hint="eastAsia" w:ascii="宋体" w:hAnsi="宋体" w:eastAsia="宋体" w:cs="Times New Roman"/>
                <w:color w:val="auto"/>
                <w:szCs w:val="21"/>
                <w:highlight w:val="none"/>
                <w:lang w:eastAsia="zh-CN"/>
              </w:rPr>
              <w:t>第</w:t>
            </w:r>
            <w:r>
              <w:rPr>
                <w:rFonts w:hint="eastAsia" w:ascii="宋体" w:hAnsi="宋体" w:eastAsia="宋体" w:cs="Times New Roman"/>
                <w:color w:val="auto"/>
                <w:szCs w:val="21"/>
                <w:highlight w:val="none"/>
                <w:lang w:val="en-US" w:eastAsia="zh-CN"/>
              </w:rPr>
              <w:t>5.4款</w:t>
            </w:r>
          </w:p>
        </w:tc>
        <w:tc>
          <w:tcPr>
            <w:tcW w:w="1742" w:type="dxa"/>
            <w:noWrap w:val="0"/>
            <w:vAlign w:val="center"/>
          </w:tcPr>
          <w:p w14:paraId="74867D96">
            <w:pPr>
              <w:adjustRightInd w:val="0"/>
              <w:snapToGrid w:val="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约定乙方承担的其他义务和责任</w:t>
            </w:r>
          </w:p>
        </w:tc>
        <w:tc>
          <w:tcPr>
            <w:tcW w:w="5170" w:type="dxa"/>
            <w:noWrap w:val="0"/>
            <w:vAlign w:val="center"/>
          </w:tcPr>
          <w:p w14:paraId="1BDB5F09">
            <w:pPr>
              <w:adjustRightInd w:val="0"/>
              <w:snapToGrid w:val="0"/>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1.根据甲方的计划要求，提供石灰岩的矿源必须100%由甲方认可，且石灰岩质量满足甲方的生产要求。若到新石矿进料，须提前以书面形式告知甲方，并经甲方确认同意后方可进料。</w:t>
            </w:r>
          </w:p>
          <w:p w14:paraId="2C18D826">
            <w:p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w:t>
            </w:r>
            <w:r>
              <w:rPr>
                <w:rFonts w:ascii="宋体" w:hAnsi="宋体" w:eastAsia="宋体" w:cs="Times New Roman"/>
                <w:color w:val="auto"/>
                <w:kern w:val="2"/>
                <w:sz w:val="21"/>
                <w:szCs w:val="21"/>
                <w:highlight w:val="none"/>
                <w:lang w:val="en-US" w:eastAsia="zh-CN" w:bidi="ar-SA"/>
              </w:rPr>
              <w:t>乙方交货前应对产品作出全面检查和对验收文件进行整理，并列出清单，作为甲方收货验收和使用的技术条件依据，检验的结果应随货物交甲方。</w:t>
            </w:r>
            <w:r>
              <w:rPr>
                <w:rFonts w:hint="eastAsia" w:ascii="宋体" w:hAnsi="宋体" w:eastAsia="宋体" w:cs="Times New Roman"/>
                <w:color w:val="auto"/>
                <w:kern w:val="2"/>
                <w:sz w:val="21"/>
                <w:szCs w:val="21"/>
                <w:highlight w:val="none"/>
                <w:lang w:val="en-US" w:eastAsia="zh-CN" w:bidi="ar-SA"/>
              </w:rPr>
              <w:t>所有原材料运至甲方指定地点，以甲方地磅过磅单为准验收签字。</w:t>
            </w:r>
          </w:p>
        </w:tc>
      </w:tr>
      <w:tr w14:paraId="74AB49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63E87951">
            <w:pPr>
              <w:adjustRightInd w:val="0"/>
              <w:snapToGrid w:val="0"/>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第二节</w:t>
            </w:r>
          </w:p>
          <w:p w14:paraId="6CFC92C3">
            <w:pPr>
              <w:snapToGrid w:val="0"/>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第</w:t>
            </w:r>
            <w:r>
              <w:rPr>
                <w:rFonts w:hint="eastAsia" w:ascii="宋体" w:hAnsi="宋体" w:eastAsia="宋体" w:cs="Times New Roman"/>
                <w:color w:val="auto"/>
                <w:szCs w:val="21"/>
                <w:highlight w:val="none"/>
                <w:lang w:val="en-US" w:eastAsia="zh-CN"/>
              </w:rPr>
              <w:t>6.1款</w:t>
            </w:r>
          </w:p>
        </w:tc>
        <w:tc>
          <w:tcPr>
            <w:tcW w:w="1742" w:type="dxa"/>
            <w:noWrap w:val="0"/>
            <w:vAlign w:val="center"/>
          </w:tcPr>
          <w:p w14:paraId="383FAAB5">
            <w:pPr>
              <w:adjustRightInd w:val="0"/>
              <w:snapToGrid w:val="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履行合同义务的顺序</w:t>
            </w:r>
          </w:p>
        </w:tc>
        <w:tc>
          <w:tcPr>
            <w:tcW w:w="5170" w:type="dxa"/>
            <w:noWrap w:val="0"/>
            <w:vAlign w:val="center"/>
          </w:tcPr>
          <w:p w14:paraId="74F8F43D">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(1)采购合同协议书及其变更、补充协议</w:t>
            </w:r>
          </w:p>
          <w:p w14:paraId="6D44293E">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(2)采购合同专用条款</w:t>
            </w:r>
          </w:p>
          <w:p w14:paraId="236F0472">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(3)采购合同通用条款</w:t>
            </w:r>
          </w:p>
          <w:p w14:paraId="49AE628F">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(4)中标(成交)通知书</w:t>
            </w:r>
          </w:p>
          <w:p w14:paraId="147FBEBB">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(5)投标(响应)文件</w:t>
            </w:r>
          </w:p>
          <w:p w14:paraId="4E2681CC">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(6)采购文件</w:t>
            </w:r>
          </w:p>
          <w:p w14:paraId="5961B1F1">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(7)有关技术文件、图纸(如有)</w:t>
            </w:r>
          </w:p>
          <w:p w14:paraId="140BAA4C">
            <w:p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(8)国家法律、行政法规和规章制度规定或合同约定的作为合同组成部分的其他文件。</w:t>
            </w:r>
          </w:p>
        </w:tc>
      </w:tr>
      <w:tr w14:paraId="6818F0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noWrap w:val="0"/>
            <w:vAlign w:val="center"/>
          </w:tcPr>
          <w:p w14:paraId="0C61CFDB">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58D0B4E6">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款</w:t>
            </w:r>
          </w:p>
        </w:tc>
        <w:tc>
          <w:tcPr>
            <w:tcW w:w="1742" w:type="dxa"/>
            <w:noWrap w:val="0"/>
            <w:vAlign w:val="center"/>
          </w:tcPr>
          <w:p w14:paraId="049465A0">
            <w:pPr>
              <w:adjustRightInd w:val="0"/>
              <w:snapToGrid w:val="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包装</w:t>
            </w:r>
            <w:r>
              <w:rPr>
                <w:rFonts w:hint="eastAsia" w:ascii="宋体" w:hAnsi="宋体" w:eastAsia="宋体" w:cs="Times New Roman"/>
                <w:color w:val="auto"/>
                <w:szCs w:val="21"/>
                <w:highlight w:val="none"/>
                <w:lang w:eastAsia="zh-CN"/>
              </w:rPr>
              <w:t>特殊要求</w:t>
            </w:r>
          </w:p>
        </w:tc>
        <w:tc>
          <w:tcPr>
            <w:tcW w:w="5170" w:type="dxa"/>
            <w:noWrap w:val="0"/>
            <w:vAlign w:val="center"/>
          </w:tcPr>
          <w:p w14:paraId="7125E927">
            <w:pP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符合国家现行规定、要求</w:t>
            </w:r>
          </w:p>
        </w:tc>
      </w:tr>
      <w:tr w14:paraId="2D10DB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noWrap w:val="0"/>
            <w:vAlign w:val="center"/>
          </w:tcPr>
          <w:p w14:paraId="35EDCCEF">
            <w:pPr>
              <w:adjustRightInd w:val="0"/>
              <w:snapToGrid w:val="0"/>
              <w:jc w:val="center"/>
              <w:rPr>
                <w:rFonts w:hint="eastAsia" w:ascii="宋体" w:hAnsi="宋体" w:eastAsia="宋体" w:cs="Times New Roman"/>
                <w:color w:val="auto"/>
                <w:szCs w:val="21"/>
                <w:highlight w:val="none"/>
              </w:rPr>
            </w:pPr>
          </w:p>
        </w:tc>
        <w:tc>
          <w:tcPr>
            <w:tcW w:w="1742" w:type="dxa"/>
            <w:noWrap w:val="0"/>
            <w:vAlign w:val="center"/>
          </w:tcPr>
          <w:p w14:paraId="164174C5">
            <w:pPr>
              <w:adjustRightInd w:val="0"/>
              <w:snapToGrid w:val="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指定现场</w:t>
            </w:r>
          </w:p>
        </w:tc>
        <w:tc>
          <w:tcPr>
            <w:tcW w:w="5170" w:type="dxa"/>
            <w:noWrap w:val="0"/>
            <w:vAlign w:val="center"/>
          </w:tcPr>
          <w:p w14:paraId="119BAF1D">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甲方</w:t>
            </w:r>
            <w:r>
              <w:rPr>
                <w:rFonts w:hint="eastAsia" w:ascii="Times New Roman" w:hAnsi="Times New Roman" w:eastAsia="宋体" w:cs="Times New Roman"/>
                <w:color w:val="auto"/>
                <w:highlight w:val="none"/>
              </w:rPr>
              <w:t>指定的交货地点</w:t>
            </w:r>
          </w:p>
        </w:tc>
      </w:tr>
      <w:tr w14:paraId="1BCD2B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noWrap w:val="0"/>
            <w:vAlign w:val="center"/>
          </w:tcPr>
          <w:p w14:paraId="7844904B">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51622EC5">
            <w:pPr>
              <w:adjustRightInd w:val="0"/>
              <w:snapToGrid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款</w:t>
            </w:r>
          </w:p>
        </w:tc>
        <w:tc>
          <w:tcPr>
            <w:tcW w:w="1742" w:type="dxa"/>
            <w:noWrap w:val="0"/>
            <w:vAlign w:val="center"/>
          </w:tcPr>
          <w:p w14:paraId="08C973DD">
            <w:pPr>
              <w:adjustRightInd w:val="0"/>
              <w:snapToGrid w:val="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运输特殊要求</w:t>
            </w:r>
          </w:p>
        </w:tc>
        <w:tc>
          <w:tcPr>
            <w:tcW w:w="5170" w:type="dxa"/>
            <w:noWrap w:val="0"/>
            <w:vAlign w:val="center"/>
          </w:tcPr>
          <w:p w14:paraId="2B34C4E3">
            <w:pPr>
              <w:rPr>
                <w:rFonts w:hint="eastAsia" w:ascii="Times New Roman" w:hAnsi="Times New Roman" w:eastAsia="宋体" w:cs="Times New Roman"/>
                <w:color w:val="auto"/>
                <w:highlight w:val="none"/>
              </w:rPr>
            </w:pPr>
          </w:p>
        </w:tc>
      </w:tr>
      <w:tr w14:paraId="695A80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noWrap w:val="0"/>
            <w:vAlign w:val="center"/>
          </w:tcPr>
          <w:p w14:paraId="77F47C6B">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52B1E4D7">
            <w:pPr>
              <w:adjustRightInd w:val="0"/>
              <w:snapToGrid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val="en-US" w:eastAsia="zh-CN"/>
              </w:rPr>
              <w:t>款</w:t>
            </w:r>
          </w:p>
        </w:tc>
        <w:tc>
          <w:tcPr>
            <w:tcW w:w="1742" w:type="dxa"/>
            <w:noWrap w:val="0"/>
            <w:vAlign w:val="center"/>
          </w:tcPr>
          <w:p w14:paraId="3A39F22E">
            <w:pPr>
              <w:adjustRightInd w:val="0"/>
              <w:snapToGrid w:val="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保险要求</w:t>
            </w:r>
          </w:p>
        </w:tc>
        <w:tc>
          <w:tcPr>
            <w:tcW w:w="5170" w:type="dxa"/>
            <w:noWrap w:val="0"/>
            <w:vAlign w:val="center"/>
          </w:tcPr>
          <w:p w14:paraId="2B4E4BB2">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甲方</w:t>
            </w:r>
            <w:r>
              <w:rPr>
                <w:rFonts w:hint="eastAsia" w:ascii="Times New Roman" w:hAnsi="Times New Roman" w:eastAsia="宋体" w:cs="Times New Roman"/>
                <w:color w:val="auto"/>
                <w:highlight w:val="none"/>
              </w:rPr>
              <w:t>可根据项目实施进度提出相应的货物保险要求</w:t>
            </w:r>
          </w:p>
        </w:tc>
      </w:tr>
      <w:tr w14:paraId="2CCFE7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noWrap w:val="0"/>
            <w:vAlign w:val="center"/>
          </w:tcPr>
          <w:p w14:paraId="4665A41F">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2E02C44D">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.2（1）项</w:t>
            </w:r>
          </w:p>
        </w:tc>
        <w:tc>
          <w:tcPr>
            <w:tcW w:w="1742" w:type="dxa"/>
            <w:noWrap w:val="0"/>
            <w:vAlign w:val="center"/>
          </w:tcPr>
          <w:p w14:paraId="1E20D4BC">
            <w:pPr>
              <w:adjustRightInd w:val="0"/>
              <w:snapToGrid w:val="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质量保证期</w:t>
            </w:r>
          </w:p>
        </w:tc>
        <w:tc>
          <w:tcPr>
            <w:tcW w:w="5170" w:type="dxa"/>
            <w:noWrap w:val="0"/>
            <w:vAlign w:val="center"/>
          </w:tcPr>
          <w:p w14:paraId="224FD364">
            <w:pPr>
              <w:autoSpaceDE w:val="0"/>
              <w:autoSpaceDN w:val="0"/>
              <w:adjustRightInd w:val="0"/>
              <w:snapToGrid w:val="0"/>
              <w:jc w:val="left"/>
              <w:rPr>
                <w:rFonts w:ascii="宋体" w:hAnsi="宋体" w:eastAsia="宋体" w:cs="Times New Roman"/>
                <w:color w:val="auto"/>
                <w:szCs w:val="21"/>
                <w:highlight w:val="none"/>
              </w:rPr>
            </w:pPr>
          </w:p>
        </w:tc>
      </w:tr>
      <w:tr w14:paraId="0492C5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1607" w:type="dxa"/>
            <w:noWrap w:val="0"/>
            <w:vAlign w:val="center"/>
          </w:tcPr>
          <w:p w14:paraId="4B62E223">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44977915">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.2（3）项</w:t>
            </w:r>
          </w:p>
        </w:tc>
        <w:tc>
          <w:tcPr>
            <w:tcW w:w="1742" w:type="dxa"/>
            <w:noWrap w:val="0"/>
            <w:vAlign w:val="center"/>
          </w:tcPr>
          <w:p w14:paraId="78B1A1D3">
            <w:pPr>
              <w:adjustRightInd w:val="0"/>
              <w:snapToGrid w:val="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货物质量缺陷</w:t>
            </w:r>
          </w:p>
          <w:p w14:paraId="787E5BC7">
            <w:pPr>
              <w:adjustRightInd w:val="0"/>
              <w:snapToGrid w:val="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响应时间</w:t>
            </w:r>
          </w:p>
        </w:tc>
        <w:tc>
          <w:tcPr>
            <w:tcW w:w="5170" w:type="dxa"/>
            <w:noWrap w:val="0"/>
            <w:vAlign w:val="center"/>
          </w:tcPr>
          <w:p w14:paraId="62A99616">
            <w:pPr>
              <w:adjustRightInd w:val="0"/>
              <w:snapToGrid w:val="0"/>
              <w:jc w:val="left"/>
              <w:rPr>
                <w:rFonts w:ascii="宋体" w:hAnsi="宋体" w:eastAsia="宋体" w:cs="Times New Roman"/>
                <w:color w:val="auto"/>
                <w:szCs w:val="21"/>
                <w:highlight w:val="none"/>
              </w:rPr>
            </w:pPr>
          </w:p>
        </w:tc>
      </w:tr>
      <w:tr w14:paraId="00B81D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noWrap w:val="0"/>
            <w:vAlign w:val="center"/>
          </w:tcPr>
          <w:p w14:paraId="57DACE0E">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第二节</w:t>
            </w:r>
          </w:p>
          <w:p w14:paraId="32AB1FE9">
            <w:pPr>
              <w:autoSpaceDE w:val="0"/>
              <w:autoSpaceDN w:val="0"/>
              <w:adjustRightInd w:val="0"/>
              <w:spacing w:line="400" w:lineRule="exact"/>
              <w:ind w:firstLine="0" w:firstLineChars="0"/>
              <w:jc w:val="center"/>
              <w:rPr>
                <w:rFonts w:hint="default" w:ascii="华文楷体" w:hAnsi="华文楷体" w:eastAsia="华文楷体" w:cs="华文楷体"/>
                <w:color w:val="auto"/>
                <w:sz w:val="22"/>
                <w:szCs w:val="21"/>
                <w:highlight w:val="none"/>
                <w:lang w:val="en-US" w:eastAsia="zh-CN" w:bidi="ar-SA"/>
              </w:rPr>
            </w:pPr>
            <w:r>
              <w:rPr>
                <w:rFonts w:hint="eastAsia" w:ascii="宋体" w:hAnsi="宋体" w:eastAsia="宋体" w:cs="宋体"/>
                <w:color w:val="auto"/>
                <w:sz w:val="22"/>
                <w:szCs w:val="21"/>
                <w:highlight w:val="none"/>
                <w:lang w:val="en-US" w:eastAsia="zh-CN" w:bidi="ar-SA"/>
              </w:rPr>
              <w:t>第11.1款</w:t>
            </w:r>
          </w:p>
        </w:tc>
        <w:tc>
          <w:tcPr>
            <w:tcW w:w="1742" w:type="dxa"/>
            <w:noWrap w:val="0"/>
            <w:vAlign w:val="center"/>
          </w:tcPr>
          <w:p w14:paraId="6BEC25CE">
            <w:pPr>
              <w:adjustRightInd w:val="0"/>
              <w:snapToGrid w:val="0"/>
              <w:jc w:val="both"/>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其他应当保密的信息</w:t>
            </w:r>
          </w:p>
        </w:tc>
        <w:tc>
          <w:tcPr>
            <w:tcW w:w="5170" w:type="dxa"/>
            <w:noWrap w:val="0"/>
            <w:vAlign w:val="center"/>
          </w:tcPr>
          <w:p w14:paraId="1443A3CA">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乙方应按</w:t>
            </w:r>
            <w:r>
              <w:rPr>
                <w:rFonts w:hint="eastAsia" w:ascii="宋体" w:hAnsi="宋体" w:eastAsia="宋体" w:cs="Times New Roman"/>
                <w:color w:val="auto"/>
                <w:szCs w:val="21"/>
                <w:highlight w:val="none"/>
              </w:rPr>
              <w:t>采购文件</w:t>
            </w:r>
            <w:r>
              <w:rPr>
                <w:rFonts w:ascii="宋体" w:hAnsi="宋体" w:eastAsia="宋体" w:cs="Times New Roman"/>
                <w:color w:val="auto"/>
                <w:szCs w:val="21"/>
                <w:highlight w:val="none"/>
              </w:rPr>
              <w:t>规定的时间向甲方提供使用货物的有关技术资料。</w:t>
            </w:r>
          </w:p>
          <w:p w14:paraId="348AA9F1">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eastAsia="zh-CN"/>
              </w:rPr>
              <w:t>未经</w:t>
            </w:r>
            <w:r>
              <w:rPr>
                <w:rFonts w:ascii="宋体" w:hAnsi="宋体" w:eastAsia="宋体" w:cs="Times New Roman"/>
                <w:color w:val="auto"/>
                <w:szCs w:val="21"/>
                <w:highlight w:val="none"/>
              </w:rPr>
              <w:t>甲方事先书面同意，乙方不得将由甲方提供的有关合同或任何合同条文、规格、计划、图纸、样品或资料提供</w:t>
            </w:r>
            <w:r>
              <w:rPr>
                <w:rFonts w:hint="eastAsia" w:ascii="宋体" w:hAnsi="宋体" w:eastAsia="宋体" w:cs="Times New Roman"/>
                <w:color w:val="auto"/>
                <w:szCs w:val="21"/>
                <w:highlight w:val="none"/>
              </w:rPr>
              <w:t>给予</w:t>
            </w:r>
            <w:r>
              <w:rPr>
                <w:rFonts w:ascii="宋体" w:hAnsi="宋体" w:eastAsia="宋体" w:cs="Times New Roman"/>
                <w:color w:val="auto"/>
                <w:szCs w:val="21"/>
                <w:highlight w:val="none"/>
              </w:rPr>
              <w:t>履行本合同无关的任何其他人。即使向履行本合同有关的人员提供，也应注意保密并限于履行合同的必需范围。</w:t>
            </w:r>
          </w:p>
        </w:tc>
      </w:tr>
      <w:tr w14:paraId="30AD43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noWrap w:val="0"/>
            <w:vAlign w:val="center"/>
          </w:tcPr>
          <w:p w14:paraId="377DE972">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20399804">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第1</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.2款</w:t>
            </w:r>
          </w:p>
        </w:tc>
        <w:tc>
          <w:tcPr>
            <w:tcW w:w="1742" w:type="dxa"/>
            <w:noWrap w:val="0"/>
            <w:vAlign w:val="center"/>
          </w:tcPr>
          <w:p w14:paraId="5F55B33F">
            <w:pPr>
              <w:adjustRightInd w:val="0"/>
              <w:snapToGrid w:val="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合同价款支付</w:t>
            </w:r>
            <w:r>
              <w:rPr>
                <w:rFonts w:hint="eastAsia" w:ascii="宋体" w:hAnsi="宋体" w:eastAsia="宋体" w:cs="Times New Roman"/>
                <w:color w:val="auto"/>
                <w:szCs w:val="21"/>
                <w:highlight w:val="none"/>
                <w:lang w:eastAsia="zh-CN"/>
              </w:rPr>
              <w:t>时间</w:t>
            </w:r>
          </w:p>
        </w:tc>
        <w:tc>
          <w:tcPr>
            <w:tcW w:w="5170" w:type="dxa"/>
            <w:noWrap w:val="0"/>
            <w:vAlign w:val="center"/>
          </w:tcPr>
          <w:p w14:paraId="03CCA774">
            <w:pPr>
              <w:adjustRightInd w:val="0"/>
              <w:snapToGrid w:val="0"/>
              <w:jc w:val="left"/>
              <w:rPr>
                <w:rFonts w:hint="eastAsia" w:ascii="Times New Roman" w:hAnsi="宋体" w:eastAsia="宋体" w:cs="Times New Roman"/>
                <w:color w:val="auto"/>
                <w:highlight w:val="none"/>
                <w:lang w:val="en-US" w:eastAsia="zh-CN"/>
              </w:rPr>
            </w:pPr>
            <w:r>
              <w:rPr>
                <w:rFonts w:hint="eastAsia" w:hAnsi="宋体" w:eastAsia="宋体" w:cs="Times New Roman"/>
                <w:b/>
                <w:bCs/>
                <w:color w:val="auto"/>
                <w:highlight w:val="none"/>
                <w:lang w:val="en-US" w:eastAsia="zh-CN"/>
              </w:rPr>
              <w:t>支付方式：</w:t>
            </w:r>
            <w:r>
              <w:rPr>
                <w:rFonts w:hint="eastAsia" w:hAnsi="宋体" w:eastAsia="宋体" w:cs="Times New Roman"/>
                <w:b w:val="0"/>
                <w:bCs w:val="0"/>
                <w:color w:val="auto"/>
                <w:highlight w:val="none"/>
                <w:lang w:val="en-US" w:eastAsia="zh-CN"/>
              </w:rPr>
              <w:t>每月24日对账结算，以双方签字盖章的结算单为付款依据，次月月底支付上月总货款的70%，每月剩余货款</w:t>
            </w:r>
            <w:r>
              <w:rPr>
                <w:rFonts w:hint="eastAsia" w:hAnsi="宋体" w:cs="Times New Roman"/>
                <w:b w:val="0"/>
                <w:bCs w:val="0"/>
                <w:color w:val="auto"/>
                <w:highlight w:val="none"/>
                <w:lang w:val="en-US" w:eastAsia="zh-CN"/>
              </w:rPr>
              <w:t>待</w:t>
            </w:r>
            <w:r>
              <w:rPr>
                <w:rFonts w:hint="eastAsia" w:hAnsi="宋体" w:eastAsia="宋体" w:cs="Times New Roman"/>
                <w:b w:val="0"/>
                <w:bCs w:val="0"/>
                <w:color w:val="auto"/>
                <w:highlight w:val="none"/>
                <w:lang w:val="en-US" w:eastAsia="zh-CN"/>
              </w:rPr>
              <w:t>合同到期后6个月内全款无息付清，乙方应开具13%的增值税专用发票。</w:t>
            </w:r>
          </w:p>
          <w:p w14:paraId="47E52767">
            <w:pPr>
              <w:adjustRightInd w:val="0"/>
              <w:snapToGrid w:val="0"/>
              <w:jc w:val="left"/>
              <w:rPr>
                <w:rFonts w:ascii="Century Gothic" w:hAnsi="宋体" w:eastAsia="Century Gothic" w:cs="楷体_GB2312"/>
                <w:color w:val="auto"/>
                <w:kern w:val="2"/>
                <w:sz w:val="21"/>
                <w:szCs w:val="21"/>
                <w:highlight w:val="none"/>
                <w:lang w:val="en-US" w:eastAsia="zh-CN" w:bidi="ar-SA"/>
              </w:rPr>
            </w:pPr>
            <w:r>
              <w:rPr>
                <w:rFonts w:hint="eastAsia" w:ascii="Times New Roman" w:hAnsi="宋体" w:eastAsia="宋体" w:cs="Times New Roman"/>
                <w:b/>
                <w:bCs/>
                <w:color w:val="auto"/>
                <w:highlight w:val="none"/>
                <w:lang w:val="en-US" w:eastAsia="zh-CN"/>
              </w:rPr>
              <w:t>结算方式：</w:t>
            </w:r>
            <w:r>
              <w:rPr>
                <w:rFonts w:hint="eastAsia" w:ascii="Times New Roman" w:hAnsi="宋体" w:eastAsia="宋体" w:cs="Times New Roman"/>
                <w:color w:val="auto"/>
                <w:highlight w:val="none"/>
                <w:lang w:val="en-US" w:eastAsia="zh-CN"/>
              </w:rPr>
              <w:t>合同的最终结算金额以实际</w:t>
            </w:r>
            <w:r>
              <w:rPr>
                <w:rFonts w:hint="eastAsia" w:hAnsi="宋体" w:eastAsia="宋体" w:cs="Times New Roman"/>
                <w:color w:val="auto"/>
                <w:highlight w:val="none"/>
                <w:lang w:val="en-US" w:eastAsia="zh-CN"/>
              </w:rPr>
              <w:t>供货吨数</w:t>
            </w:r>
            <w:r>
              <w:rPr>
                <w:rFonts w:hint="eastAsia" w:ascii="Times New Roman" w:hAnsi="宋体" w:eastAsia="宋体" w:cs="Times New Roman"/>
                <w:color w:val="auto"/>
                <w:highlight w:val="none"/>
                <w:lang w:val="en-US" w:eastAsia="zh-CN"/>
              </w:rPr>
              <w:t>乘以</w:t>
            </w:r>
            <w:r>
              <w:rPr>
                <w:rFonts w:hint="eastAsia" w:hAnsi="宋体" w:eastAsia="宋体" w:cs="Times New Roman"/>
                <w:color w:val="auto"/>
                <w:highlight w:val="none"/>
                <w:lang w:val="en-US" w:eastAsia="zh-CN"/>
              </w:rPr>
              <w:t>中标</w:t>
            </w:r>
            <w:r>
              <w:rPr>
                <w:rFonts w:hint="eastAsia" w:ascii="Times New Roman" w:hAnsi="宋体" w:eastAsia="宋体" w:cs="Times New Roman"/>
                <w:color w:val="auto"/>
                <w:highlight w:val="none"/>
                <w:lang w:val="en-US" w:eastAsia="zh-CN"/>
              </w:rPr>
              <w:t>单价进行计算。</w:t>
            </w:r>
          </w:p>
        </w:tc>
      </w:tr>
      <w:tr w14:paraId="40B575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noWrap w:val="0"/>
            <w:vAlign w:val="center"/>
          </w:tcPr>
          <w:p w14:paraId="585D5B7B">
            <w:pPr>
              <w:adjustRightInd w:val="0"/>
              <w:snapToGrid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2E10AC30">
            <w:pPr>
              <w:adjustRightInd w:val="0"/>
              <w:snapToGrid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w:t>
            </w:r>
            <w:r>
              <w:rPr>
                <w:rFonts w:hint="eastAsia" w:ascii="宋体" w:hAnsi="宋体" w:eastAsia="宋体" w:cs="Times New Roman"/>
                <w:color w:val="auto"/>
                <w:szCs w:val="21"/>
                <w:highlight w:val="none"/>
                <w:lang w:val="en-US" w:eastAsia="zh-CN"/>
              </w:rPr>
              <w:t>13.2</w:t>
            </w:r>
            <w:r>
              <w:rPr>
                <w:rFonts w:hint="eastAsia" w:ascii="宋体" w:hAnsi="宋体" w:eastAsia="宋体" w:cs="Times New Roman"/>
                <w:color w:val="auto"/>
                <w:szCs w:val="21"/>
                <w:highlight w:val="none"/>
              </w:rPr>
              <w:t>款</w:t>
            </w:r>
          </w:p>
        </w:tc>
        <w:tc>
          <w:tcPr>
            <w:tcW w:w="1742" w:type="dxa"/>
            <w:noWrap w:val="0"/>
            <w:vAlign w:val="center"/>
          </w:tcPr>
          <w:p w14:paraId="55FB0658">
            <w:pPr>
              <w:adjustRightInd w:val="0"/>
              <w:snapToGrid w:val="0"/>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履约保证金不予退还的情形</w:t>
            </w:r>
          </w:p>
        </w:tc>
        <w:tc>
          <w:tcPr>
            <w:tcW w:w="5170" w:type="dxa"/>
            <w:noWrap w:val="0"/>
            <w:vAlign w:val="center"/>
          </w:tcPr>
          <w:p w14:paraId="2BCF4EFB">
            <w:pPr>
              <w:adjustRightInd w:val="0"/>
              <w:snapToGrid w:val="0"/>
              <w:jc w:val="left"/>
              <w:rPr>
                <w:rFonts w:ascii="宋体" w:hAnsi="宋体" w:eastAsia="宋体" w:cs="Times New Roman"/>
                <w:color w:val="auto"/>
                <w:kern w:val="2"/>
                <w:sz w:val="21"/>
                <w:szCs w:val="21"/>
                <w:highlight w:val="none"/>
                <w:lang w:val="en-US" w:eastAsia="zh-CN" w:bidi="ar-SA"/>
              </w:rPr>
            </w:pPr>
          </w:p>
        </w:tc>
      </w:tr>
      <w:tr w14:paraId="4BF358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607" w:type="dxa"/>
            <w:noWrap w:val="0"/>
            <w:vAlign w:val="center"/>
          </w:tcPr>
          <w:p w14:paraId="3D1C6ABC">
            <w:pPr>
              <w:adjustRightInd w:val="0"/>
              <w:snapToGrid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28820561">
            <w:pPr>
              <w:adjustRightInd w:val="0"/>
              <w:snapToGrid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w:t>
            </w:r>
            <w:r>
              <w:rPr>
                <w:rFonts w:hint="eastAsia" w:ascii="宋体" w:hAnsi="宋体" w:eastAsia="宋体" w:cs="Times New Roman"/>
                <w:color w:val="auto"/>
                <w:szCs w:val="21"/>
                <w:highlight w:val="none"/>
                <w:lang w:val="en-US" w:eastAsia="zh-CN"/>
              </w:rPr>
              <w:t>13.3</w:t>
            </w:r>
            <w:r>
              <w:rPr>
                <w:rFonts w:hint="eastAsia" w:ascii="宋体" w:hAnsi="宋体" w:eastAsia="宋体" w:cs="Times New Roman"/>
                <w:color w:val="auto"/>
                <w:szCs w:val="21"/>
                <w:highlight w:val="none"/>
              </w:rPr>
              <w:t>款</w:t>
            </w:r>
          </w:p>
        </w:tc>
        <w:tc>
          <w:tcPr>
            <w:tcW w:w="1742" w:type="dxa"/>
            <w:noWrap w:val="0"/>
            <w:vAlign w:val="center"/>
          </w:tcPr>
          <w:p w14:paraId="55233261">
            <w:pPr>
              <w:adjustRightInd w:val="0"/>
              <w:snapToGrid w:val="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履约保证金退还时间及</w:t>
            </w:r>
            <w:r>
              <w:rPr>
                <w:rFonts w:hint="eastAsia" w:ascii="宋体" w:hAnsi="宋体" w:eastAsia="宋体" w:cs="Times New Roman"/>
                <w:color w:val="auto"/>
                <w:szCs w:val="21"/>
                <w:highlight w:val="none"/>
                <w:lang w:eastAsia="zh-CN"/>
              </w:rPr>
              <w:t>逾期退还的</w:t>
            </w:r>
            <w:r>
              <w:rPr>
                <w:rFonts w:hint="eastAsia" w:ascii="宋体" w:hAnsi="宋体" w:eastAsia="宋体" w:cs="Times New Roman"/>
                <w:color w:val="auto"/>
                <w:szCs w:val="21"/>
                <w:highlight w:val="none"/>
              </w:rPr>
              <w:t>违约金</w:t>
            </w:r>
          </w:p>
        </w:tc>
        <w:tc>
          <w:tcPr>
            <w:tcW w:w="5170" w:type="dxa"/>
            <w:noWrap w:val="0"/>
            <w:vAlign w:val="center"/>
          </w:tcPr>
          <w:p w14:paraId="395F5312">
            <w:p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履约保证金待合同期满视履约情况到</w:t>
            </w:r>
            <w:r>
              <w:rPr>
                <w:rFonts w:hint="eastAsia" w:ascii="宋体" w:hAnsi="宋体" w:cs="Times New Roman"/>
                <w:color w:val="auto"/>
                <w:kern w:val="2"/>
                <w:sz w:val="21"/>
                <w:szCs w:val="21"/>
                <w:highlight w:val="none"/>
                <w:lang w:val="en-US" w:eastAsia="zh-CN" w:bidi="ar-SA"/>
              </w:rPr>
              <w:t>甲方</w:t>
            </w:r>
            <w:r>
              <w:rPr>
                <w:rFonts w:hint="eastAsia" w:ascii="宋体" w:hAnsi="宋体" w:eastAsia="宋体" w:cs="Times New Roman"/>
                <w:color w:val="auto"/>
                <w:kern w:val="2"/>
                <w:sz w:val="21"/>
                <w:szCs w:val="21"/>
                <w:highlight w:val="none"/>
                <w:lang w:val="en-US" w:eastAsia="zh-CN" w:bidi="ar-SA"/>
              </w:rPr>
              <w:t>处办理履约保证金的退还手续（不计息）。</w:t>
            </w:r>
          </w:p>
        </w:tc>
      </w:tr>
      <w:tr w14:paraId="301944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1607" w:type="dxa"/>
            <w:noWrap w:val="0"/>
            <w:vAlign w:val="center"/>
          </w:tcPr>
          <w:p w14:paraId="428261D8">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06895EDD">
            <w:pPr>
              <w:adjustRightInd w:val="0"/>
              <w:snapToGrid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）项</w:t>
            </w:r>
          </w:p>
        </w:tc>
        <w:tc>
          <w:tcPr>
            <w:tcW w:w="1742" w:type="dxa"/>
            <w:noWrap w:val="0"/>
            <w:vAlign w:val="center"/>
          </w:tcPr>
          <w:p w14:paraId="5668BDA1">
            <w:pPr>
              <w:adjustRightInd w:val="0"/>
              <w:snapToGrid w:val="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运行监督、维修期限</w:t>
            </w:r>
          </w:p>
        </w:tc>
        <w:tc>
          <w:tcPr>
            <w:tcW w:w="5170" w:type="dxa"/>
            <w:noWrap w:val="0"/>
            <w:vAlign w:val="center"/>
          </w:tcPr>
          <w:p w14:paraId="620465C3">
            <w:pPr>
              <w:adjustRightInd w:val="0"/>
              <w:snapToGrid w:val="0"/>
              <w:jc w:val="left"/>
              <w:rPr>
                <w:rFonts w:ascii="宋体" w:hAnsi="宋体" w:eastAsia="宋体" w:cs="Times New Roman"/>
                <w:color w:val="auto"/>
                <w:szCs w:val="21"/>
                <w:highlight w:val="none"/>
              </w:rPr>
            </w:pPr>
          </w:p>
        </w:tc>
      </w:tr>
      <w:tr w14:paraId="472974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607" w:type="dxa"/>
            <w:noWrap w:val="0"/>
            <w:vAlign w:val="center"/>
          </w:tcPr>
          <w:p w14:paraId="0557BD53">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79A9CE1D">
            <w:pPr>
              <w:adjustRightInd w:val="0"/>
              <w:snapToGrid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）项</w:t>
            </w:r>
          </w:p>
        </w:tc>
        <w:tc>
          <w:tcPr>
            <w:tcW w:w="1742" w:type="dxa"/>
            <w:noWrap w:val="0"/>
            <w:vAlign w:val="center"/>
          </w:tcPr>
          <w:p w14:paraId="6072578A">
            <w:pPr>
              <w:adjustRightInd w:val="0"/>
              <w:snapToGrid w:val="0"/>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货物回收的约定</w:t>
            </w:r>
          </w:p>
        </w:tc>
        <w:tc>
          <w:tcPr>
            <w:tcW w:w="5170" w:type="dxa"/>
            <w:noWrap w:val="0"/>
            <w:vAlign w:val="center"/>
          </w:tcPr>
          <w:p w14:paraId="0C4C44B5">
            <w:pPr>
              <w:adjustRightInd w:val="0"/>
              <w:snapToGrid w:val="0"/>
              <w:jc w:val="left"/>
              <w:rPr>
                <w:rFonts w:ascii="宋体" w:hAnsi="宋体" w:eastAsia="宋体" w:cs="Times New Roman"/>
                <w:color w:val="auto"/>
                <w:szCs w:val="21"/>
                <w:highlight w:val="none"/>
              </w:rPr>
            </w:pPr>
          </w:p>
        </w:tc>
      </w:tr>
      <w:tr w14:paraId="581184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1607" w:type="dxa"/>
            <w:noWrap w:val="0"/>
            <w:vAlign w:val="center"/>
          </w:tcPr>
          <w:p w14:paraId="22B3F075">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366221DF">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）项</w:t>
            </w:r>
          </w:p>
        </w:tc>
        <w:tc>
          <w:tcPr>
            <w:tcW w:w="1742" w:type="dxa"/>
            <w:noWrap w:val="0"/>
            <w:vAlign w:val="center"/>
          </w:tcPr>
          <w:p w14:paraId="36996AFB">
            <w:pPr>
              <w:adjustRightInd w:val="0"/>
              <w:snapToGrid w:val="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乙方提供的其他服务</w:t>
            </w:r>
          </w:p>
        </w:tc>
        <w:tc>
          <w:tcPr>
            <w:tcW w:w="5170" w:type="dxa"/>
            <w:noWrap w:val="0"/>
            <w:vAlign w:val="center"/>
          </w:tcPr>
          <w:p w14:paraId="49D113F5">
            <w:pPr>
              <w:adjustRightInd w:val="0"/>
              <w:snapToGrid w:val="0"/>
              <w:jc w:val="left"/>
              <w:rPr>
                <w:rFonts w:ascii="宋体" w:hAnsi="宋体" w:eastAsia="宋体" w:cs="Times New Roman"/>
                <w:color w:val="auto"/>
                <w:szCs w:val="21"/>
                <w:highlight w:val="none"/>
              </w:rPr>
            </w:pPr>
          </w:p>
        </w:tc>
      </w:tr>
      <w:tr w14:paraId="77FB5F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607" w:type="dxa"/>
            <w:noWrap w:val="0"/>
            <w:vAlign w:val="center"/>
          </w:tcPr>
          <w:p w14:paraId="74BF7744">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36C5EFD0">
            <w:pPr>
              <w:adjustRightInd w:val="0"/>
              <w:snapToGrid w:val="0"/>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第1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1款</w:t>
            </w:r>
          </w:p>
        </w:tc>
        <w:tc>
          <w:tcPr>
            <w:tcW w:w="1742" w:type="dxa"/>
            <w:noWrap w:val="0"/>
            <w:vAlign w:val="center"/>
          </w:tcPr>
          <w:p w14:paraId="0A5CAC30">
            <w:pPr>
              <w:adjustRightInd w:val="0"/>
              <w:snapToGrid w:val="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修理、重作、更换相关具体规定</w:t>
            </w:r>
          </w:p>
        </w:tc>
        <w:tc>
          <w:tcPr>
            <w:tcW w:w="5170" w:type="dxa"/>
            <w:noWrap w:val="0"/>
            <w:vAlign w:val="center"/>
          </w:tcPr>
          <w:p w14:paraId="6E0D37E7">
            <w:pPr>
              <w:adjustRightInd w:val="0"/>
              <w:snapToGrid w:val="0"/>
              <w:jc w:val="left"/>
              <w:rPr>
                <w:rFonts w:ascii="宋体" w:hAnsi="宋体" w:eastAsia="宋体" w:cs="Times New Roman"/>
                <w:color w:val="auto"/>
                <w:szCs w:val="21"/>
                <w:highlight w:val="none"/>
              </w:rPr>
            </w:pPr>
          </w:p>
        </w:tc>
      </w:tr>
      <w:tr w14:paraId="6E0E75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3C535A8C">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6E8A1706">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.2（2）项</w:t>
            </w:r>
          </w:p>
        </w:tc>
        <w:tc>
          <w:tcPr>
            <w:tcW w:w="1742" w:type="dxa"/>
            <w:noWrap w:val="0"/>
            <w:vAlign w:val="center"/>
          </w:tcPr>
          <w:p w14:paraId="1F7AC3AD">
            <w:pPr>
              <w:adjustRightInd w:val="0"/>
              <w:snapToGrid w:val="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迟延交货赔偿费</w:t>
            </w:r>
          </w:p>
        </w:tc>
        <w:tc>
          <w:tcPr>
            <w:tcW w:w="5170" w:type="dxa"/>
            <w:noWrap w:val="0"/>
            <w:vAlign w:val="center"/>
          </w:tcPr>
          <w:p w14:paraId="415BAD5B">
            <w:pPr>
              <w:adjustRightInd w:val="0"/>
              <w:snapToGrid w:val="0"/>
              <w:jc w:val="left"/>
              <w:rPr>
                <w:rFonts w:ascii="Times New Roman" w:hAnsi="宋体" w:eastAsia="宋体" w:cs="Times New Roman"/>
                <w:color w:val="auto"/>
                <w:highlight w:val="none"/>
              </w:rPr>
            </w:pPr>
            <w:r>
              <w:rPr>
                <w:rFonts w:hint="eastAsia" w:ascii="Times New Roman" w:hAnsi="宋体" w:eastAsia="宋体" w:cs="Times New Roman"/>
                <w:color w:val="auto"/>
                <w:highlight w:val="none"/>
              </w:rPr>
              <w:t>1.乙方逾期交货，按逾期交货天数计算向甲方支付违约金，每逾期1天，罚款人民币壹仟元</w:t>
            </w:r>
            <w:r>
              <w:rPr>
                <w:rFonts w:ascii="Times New Roman" w:hAnsi="宋体" w:eastAsia="宋体" w:cs="Times New Roman"/>
                <w:color w:val="auto"/>
                <w:highlight w:val="none"/>
              </w:rPr>
              <w:t>，由甲方从待付货款中扣除。</w:t>
            </w:r>
            <w:r>
              <w:rPr>
                <w:rFonts w:hint="eastAsia" w:ascii="Times New Roman" w:hAnsi="宋体" w:eastAsia="宋体" w:cs="Times New Roman"/>
                <w:color w:val="auto"/>
                <w:highlight w:val="none"/>
              </w:rPr>
              <w:t>逾期交货的违约赔偿达到人民币壹万元时，乙方仍不能交货，甲方</w:t>
            </w:r>
            <w:r>
              <w:rPr>
                <w:rFonts w:hint="eastAsia" w:ascii="Times New Roman" w:hAnsi="宋体" w:eastAsia="宋体" w:cs="Times New Roman"/>
                <w:color w:val="auto"/>
                <w:highlight w:val="none"/>
                <w:lang w:eastAsia="zh-CN"/>
              </w:rPr>
              <w:t>有权</w:t>
            </w:r>
            <w:r>
              <w:rPr>
                <w:rFonts w:hint="eastAsia" w:ascii="Times New Roman" w:hAnsi="宋体" w:eastAsia="宋体" w:cs="Times New Roman"/>
                <w:color w:val="auto"/>
                <w:highlight w:val="none"/>
              </w:rPr>
              <w:t>终止合同</w:t>
            </w:r>
            <w:r>
              <w:rPr>
                <w:rFonts w:ascii="Times New Roman" w:hAnsi="宋体" w:eastAsia="宋体" w:cs="Times New Roman"/>
                <w:color w:val="auto"/>
                <w:highlight w:val="none"/>
              </w:rPr>
              <w:t xml:space="preserve">，如造成甲方损失超过违约金的，超出部分由乙方继续承担赔偿责任。 </w:t>
            </w:r>
          </w:p>
          <w:p w14:paraId="468E2EBC">
            <w:pPr>
              <w:adjustRightInd w:val="0"/>
              <w:snapToGrid w:val="0"/>
              <w:jc w:val="left"/>
              <w:rPr>
                <w:rFonts w:ascii="宋体" w:hAnsi="宋体" w:eastAsia="宋体" w:cs="Times New Roman"/>
                <w:color w:val="auto"/>
                <w:szCs w:val="21"/>
                <w:highlight w:val="none"/>
                <w:u w:val="single"/>
              </w:rPr>
            </w:pPr>
            <w:r>
              <w:rPr>
                <w:rFonts w:hint="eastAsia" w:ascii="Times New Roman" w:hAnsi="宋体" w:eastAsia="宋体" w:cs="Times New Roman"/>
                <w:color w:val="auto"/>
                <w:highlight w:val="none"/>
              </w:rPr>
              <w:t>2.</w:t>
            </w:r>
            <w:r>
              <w:rPr>
                <w:rFonts w:ascii="Times New Roman" w:hAnsi="宋体" w:eastAsia="宋体" w:cs="Times New Roman"/>
                <w:color w:val="auto"/>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tc>
      </w:tr>
      <w:tr w14:paraId="12900A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64A1FAF4">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21DD27B8">
            <w:pPr>
              <w:adjustRightInd w:val="0"/>
              <w:snapToGrid w:val="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3款</w:t>
            </w:r>
          </w:p>
        </w:tc>
        <w:tc>
          <w:tcPr>
            <w:tcW w:w="1742" w:type="dxa"/>
            <w:noWrap w:val="0"/>
            <w:vAlign w:val="center"/>
          </w:tcPr>
          <w:p w14:paraId="4E5AD83C">
            <w:pPr>
              <w:adjustRightInd w:val="0"/>
              <w:snapToGrid w:val="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逾期付款利息</w:t>
            </w:r>
          </w:p>
        </w:tc>
        <w:tc>
          <w:tcPr>
            <w:tcW w:w="5170" w:type="dxa"/>
            <w:noWrap w:val="0"/>
            <w:vAlign w:val="center"/>
          </w:tcPr>
          <w:p w14:paraId="0ECDE0CD">
            <w:pPr>
              <w:adjustRightInd w:val="0"/>
              <w:snapToGrid w:val="0"/>
              <w:jc w:val="left"/>
              <w:rPr>
                <w:rFonts w:ascii="宋体" w:hAnsi="宋体" w:eastAsia="宋体" w:cs="Times New Roman"/>
                <w:color w:val="auto"/>
                <w:szCs w:val="21"/>
                <w:highlight w:val="none"/>
                <w:u w:val="single"/>
              </w:rPr>
            </w:pPr>
          </w:p>
        </w:tc>
      </w:tr>
      <w:tr w14:paraId="7FA9D6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1607" w:type="dxa"/>
            <w:tcBorders>
              <w:bottom w:val="single" w:color="auto" w:sz="2" w:space="0"/>
              <w:right w:val="single" w:color="auto" w:sz="2" w:space="0"/>
            </w:tcBorders>
            <w:noWrap w:val="0"/>
            <w:vAlign w:val="center"/>
          </w:tcPr>
          <w:p w14:paraId="531B1B7D">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60779EF8">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2D93F4C2">
            <w:pPr>
              <w:adjustRightInd w:val="0"/>
              <w:snapToGrid w:val="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其他违约责任</w:t>
            </w:r>
          </w:p>
        </w:tc>
        <w:tc>
          <w:tcPr>
            <w:tcW w:w="5170" w:type="dxa"/>
            <w:tcBorders>
              <w:left w:val="single" w:color="auto" w:sz="2" w:space="0"/>
              <w:bottom w:val="single" w:color="auto" w:sz="2" w:space="0"/>
            </w:tcBorders>
            <w:noWrap w:val="0"/>
            <w:vAlign w:val="center"/>
          </w:tcPr>
          <w:p w14:paraId="74BB84C0">
            <w:pPr>
              <w:adjustRightInd w:val="0"/>
              <w:snapToGrid w:val="0"/>
              <w:jc w:val="left"/>
              <w:rPr>
                <w:rFonts w:ascii="宋体" w:hAnsi="宋体" w:eastAsia="宋体" w:cs="Times New Roman"/>
                <w:color w:val="auto"/>
                <w:szCs w:val="21"/>
                <w:highlight w:val="none"/>
                <w:u w:val="single"/>
              </w:rPr>
            </w:pPr>
          </w:p>
        </w:tc>
      </w:tr>
      <w:tr w14:paraId="096BEA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noWrap w:val="0"/>
            <w:vAlign w:val="center"/>
          </w:tcPr>
          <w:p w14:paraId="0A364B99">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663761EC">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w:t>
            </w:r>
            <w:r>
              <w:rPr>
                <w:rFonts w:hint="eastAsia" w:ascii="宋体" w:hAnsi="宋体" w:eastAsia="宋体" w:cs="Times New Roman"/>
                <w:color w:val="auto"/>
                <w:szCs w:val="21"/>
                <w:highlight w:val="none"/>
                <w:lang w:val="en-US" w:eastAsia="zh-CN"/>
              </w:rPr>
              <w:t>19</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269975A0">
            <w:pPr>
              <w:adjustRightInd w:val="0"/>
              <w:snapToGrid w:val="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解决争议的方法</w:t>
            </w:r>
          </w:p>
        </w:tc>
        <w:tc>
          <w:tcPr>
            <w:tcW w:w="5170" w:type="dxa"/>
            <w:tcBorders>
              <w:top w:val="single" w:color="auto" w:sz="2" w:space="0"/>
              <w:left w:val="single" w:color="auto" w:sz="2" w:space="0"/>
            </w:tcBorders>
            <w:noWrap w:val="0"/>
            <w:vAlign w:val="center"/>
          </w:tcPr>
          <w:p w14:paraId="1BB2C11E">
            <w:pPr>
              <w:autoSpaceDE w:val="0"/>
              <w:autoSpaceDN w:val="0"/>
              <w:adjustRightInd w:val="0"/>
              <w:snapToGrid w:val="0"/>
              <w:spacing w:line="400" w:lineRule="exact"/>
              <w:jc w:val="left"/>
              <w:rPr>
                <w:rFonts w:hint="eastAsia" w:asciiTheme="minorEastAsia" w:hAnsiTheme="minorEastAsia" w:eastAsiaTheme="minorEastAsia" w:cstheme="minorEastAsia"/>
                <w:b w:val="0"/>
                <w:bCs w:val="0"/>
                <w:iCs/>
                <w:color w:val="auto"/>
                <w:sz w:val="21"/>
                <w:szCs w:val="21"/>
                <w:highlight w:val="none"/>
              </w:rPr>
            </w:pPr>
            <w:r>
              <w:rPr>
                <w:rFonts w:hint="eastAsia" w:asciiTheme="minorEastAsia" w:hAnsiTheme="minorEastAsia" w:eastAsiaTheme="minorEastAsia" w:cstheme="minorEastAsia"/>
                <w:b w:val="0"/>
                <w:bCs w:val="0"/>
                <w:iCs/>
                <w:color w:val="auto"/>
                <w:sz w:val="21"/>
                <w:szCs w:val="21"/>
                <w:highlight w:val="none"/>
              </w:rPr>
              <w:t>因本合同及合同有关事项发生的争议，按下列第</w:t>
            </w:r>
            <w:r>
              <w:rPr>
                <w:rFonts w:hint="eastAsia" w:asciiTheme="minorEastAsia" w:hAnsiTheme="minorEastAsia" w:eastAsiaTheme="minorEastAsia" w:cstheme="minorEastAsia"/>
                <w:b w:val="0"/>
                <w:bCs w:val="0"/>
                <w:iCs/>
                <w:color w:val="auto"/>
                <w:sz w:val="21"/>
                <w:szCs w:val="21"/>
                <w:highlight w:val="none"/>
                <w:u w:val="single"/>
              </w:rPr>
              <w:t xml:space="preserve"> </w:t>
            </w:r>
            <w:r>
              <w:rPr>
                <w:rFonts w:hint="eastAsia" w:asciiTheme="minorEastAsia" w:hAnsiTheme="minorEastAsia" w:eastAsiaTheme="minorEastAsia" w:cstheme="minorEastAsia"/>
                <w:b w:val="0"/>
                <w:bCs w:val="0"/>
                <w:iCs/>
                <w:color w:val="auto"/>
                <w:sz w:val="21"/>
                <w:szCs w:val="21"/>
                <w:highlight w:val="none"/>
                <w:u w:val="single"/>
                <w:lang w:eastAsia="zh-CN"/>
              </w:rPr>
              <w:t>（</w:t>
            </w:r>
            <w:r>
              <w:rPr>
                <w:rFonts w:hint="eastAsia" w:asciiTheme="minorEastAsia" w:hAnsiTheme="minorEastAsia" w:eastAsiaTheme="minorEastAsia" w:cstheme="minorEastAsia"/>
                <w:b w:val="0"/>
                <w:bCs w:val="0"/>
                <w:iCs/>
                <w:color w:val="auto"/>
                <w:sz w:val="21"/>
                <w:szCs w:val="21"/>
                <w:highlight w:val="none"/>
                <w:u w:val="single"/>
                <w:lang w:val="en-US" w:eastAsia="zh-CN"/>
              </w:rPr>
              <w:t>2</w:t>
            </w:r>
            <w:r>
              <w:rPr>
                <w:rFonts w:hint="eastAsia" w:asciiTheme="minorEastAsia" w:hAnsiTheme="minorEastAsia" w:eastAsiaTheme="minorEastAsia" w:cstheme="minorEastAsia"/>
                <w:b w:val="0"/>
                <w:bCs w:val="0"/>
                <w:iCs/>
                <w:color w:val="auto"/>
                <w:sz w:val="21"/>
                <w:szCs w:val="21"/>
                <w:highlight w:val="none"/>
                <w:u w:val="single"/>
                <w:lang w:eastAsia="zh-CN"/>
              </w:rPr>
              <w:t>）</w:t>
            </w:r>
            <w:r>
              <w:rPr>
                <w:rFonts w:hint="eastAsia" w:asciiTheme="minorEastAsia" w:hAnsiTheme="minorEastAsia" w:eastAsiaTheme="minorEastAsia" w:cstheme="minorEastAsia"/>
                <w:b w:val="0"/>
                <w:bCs w:val="0"/>
                <w:iCs/>
                <w:color w:val="auto"/>
                <w:sz w:val="21"/>
                <w:szCs w:val="21"/>
                <w:highlight w:val="none"/>
                <w:u w:val="single"/>
              </w:rPr>
              <w:t xml:space="preserve">  </w:t>
            </w:r>
            <w:r>
              <w:rPr>
                <w:rFonts w:hint="eastAsia" w:asciiTheme="minorEastAsia" w:hAnsiTheme="minorEastAsia" w:eastAsiaTheme="minorEastAsia" w:cstheme="minorEastAsia"/>
                <w:b w:val="0"/>
                <w:bCs w:val="0"/>
                <w:iCs/>
                <w:color w:val="auto"/>
                <w:sz w:val="21"/>
                <w:szCs w:val="21"/>
                <w:highlight w:val="none"/>
              </w:rPr>
              <w:t>种方式解决：</w:t>
            </w:r>
          </w:p>
          <w:p w14:paraId="071C6D8B">
            <w:pPr>
              <w:autoSpaceDE w:val="0"/>
              <w:autoSpaceDN w:val="0"/>
              <w:adjustRightInd w:val="0"/>
              <w:snapToGrid w:val="0"/>
              <w:spacing w:line="400" w:lineRule="exact"/>
              <w:jc w:val="left"/>
              <w:rPr>
                <w:rFonts w:hint="eastAsia" w:asciiTheme="minorEastAsia" w:hAnsiTheme="minorEastAsia" w:eastAsiaTheme="minorEastAsia" w:cstheme="minorEastAsia"/>
                <w:b w:val="0"/>
                <w:bCs w:val="0"/>
                <w:iCs/>
                <w:color w:val="auto"/>
                <w:sz w:val="21"/>
                <w:szCs w:val="21"/>
                <w:highlight w:val="none"/>
              </w:rPr>
            </w:pPr>
            <w:r>
              <w:rPr>
                <w:rFonts w:hint="eastAsia" w:asciiTheme="minorEastAsia" w:hAnsiTheme="minorEastAsia" w:eastAsiaTheme="minorEastAsia" w:cstheme="minorEastAsia"/>
                <w:b w:val="0"/>
                <w:bCs w:val="0"/>
                <w:iCs/>
                <w:color w:val="auto"/>
                <w:sz w:val="21"/>
                <w:szCs w:val="21"/>
                <w:highlight w:val="none"/>
              </w:rPr>
              <w:t>（1）向</w:t>
            </w:r>
            <w:r>
              <w:rPr>
                <w:rFonts w:hint="eastAsia" w:asciiTheme="minorEastAsia" w:hAnsiTheme="minorEastAsia" w:eastAsiaTheme="minorEastAsia" w:cstheme="minorEastAsia"/>
                <w:b w:val="0"/>
                <w:bCs w:val="0"/>
                <w:iCs/>
                <w:color w:val="auto"/>
                <w:sz w:val="21"/>
                <w:szCs w:val="21"/>
                <w:highlight w:val="none"/>
                <w:u w:val="single"/>
              </w:rPr>
              <w:t xml:space="preserve">                    </w:t>
            </w:r>
            <w:r>
              <w:rPr>
                <w:rFonts w:hint="eastAsia" w:asciiTheme="minorEastAsia" w:hAnsiTheme="minorEastAsia" w:eastAsiaTheme="minorEastAsia" w:cstheme="minorEastAsia"/>
                <w:b w:val="0"/>
                <w:bCs w:val="0"/>
                <w:iCs/>
                <w:color w:val="auto"/>
                <w:sz w:val="21"/>
                <w:szCs w:val="21"/>
                <w:highlight w:val="none"/>
              </w:rPr>
              <w:t>仲裁委员会申请仲裁，仲裁地点为</w:t>
            </w:r>
            <w:r>
              <w:rPr>
                <w:rFonts w:hint="eastAsia" w:asciiTheme="minorEastAsia" w:hAnsiTheme="minorEastAsia" w:eastAsiaTheme="minorEastAsia" w:cstheme="minorEastAsia"/>
                <w:b w:val="0"/>
                <w:bCs w:val="0"/>
                <w:iCs/>
                <w:color w:val="auto"/>
                <w:sz w:val="21"/>
                <w:szCs w:val="21"/>
                <w:highlight w:val="none"/>
                <w:u w:val="single"/>
              </w:rPr>
              <w:t xml:space="preserve">           </w:t>
            </w:r>
            <w:r>
              <w:rPr>
                <w:rFonts w:hint="eastAsia" w:asciiTheme="minorEastAsia" w:hAnsiTheme="minorEastAsia" w:eastAsiaTheme="minorEastAsia" w:cstheme="minorEastAsia"/>
                <w:b w:val="0"/>
                <w:bCs w:val="0"/>
                <w:iCs/>
                <w:color w:val="auto"/>
                <w:sz w:val="21"/>
                <w:szCs w:val="21"/>
                <w:highlight w:val="none"/>
              </w:rPr>
              <w:t>；</w:t>
            </w:r>
          </w:p>
          <w:p w14:paraId="7A205C18">
            <w:pPr>
              <w:adjustRightInd w:val="0"/>
              <w:snapToGrid w:val="0"/>
              <w:ind w:firstLine="0" w:firstLineChars="0"/>
              <w:jc w:val="left"/>
              <w:rPr>
                <w:rFonts w:ascii="宋体" w:hAnsi="宋体" w:eastAsia="宋体" w:cs="Times New Roman"/>
                <w:color w:val="auto"/>
                <w:szCs w:val="21"/>
                <w:highlight w:val="none"/>
                <w:u w:val="single"/>
              </w:rPr>
            </w:pPr>
            <w:r>
              <w:rPr>
                <w:rFonts w:hint="eastAsia" w:asciiTheme="minorEastAsia" w:hAnsiTheme="minorEastAsia" w:eastAsiaTheme="minorEastAsia" w:cstheme="minorEastAsia"/>
                <w:b w:val="0"/>
                <w:bCs w:val="0"/>
                <w:iCs/>
                <w:color w:val="auto"/>
                <w:sz w:val="21"/>
                <w:szCs w:val="21"/>
                <w:highlight w:val="none"/>
              </w:rPr>
              <w:t>（2）向</w:t>
            </w:r>
            <w:r>
              <w:rPr>
                <w:rFonts w:hint="eastAsia" w:asciiTheme="minorEastAsia" w:hAnsiTheme="minorEastAsia" w:eastAsiaTheme="minorEastAsia" w:cstheme="minorEastAsia"/>
                <w:b w:val="0"/>
                <w:bCs w:val="0"/>
                <w:iCs/>
                <w:color w:val="auto"/>
                <w:sz w:val="21"/>
                <w:szCs w:val="21"/>
                <w:highlight w:val="none"/>
                <w:u w:val="single"/>
              </w:rPr>
              <w:t xml:space="preserve"> </w:t>
            </w:r>
            <w:r>
              <w:rPr>
                <w:rFonts w:hint="eastAsia" w:asciiTheme="minorEastAsia" w:hAnsiTheme="minorEastAsia" w:eastAsiaTheme="minorEastAsia" w:cstheme="minorEastAsia"/>
                <w:b w:val="0"/>
                <w:bCs w:val="0"/>
                <w:iCs/>
                <w:color w:val="auto"/>
                <w:sz w:val="21"/>
                <w:szCs w:val="21"/>
                <w:highlight w:val="none"/>
                <w:u w:val="single"/>
                <w:lang w:val="en-US" w:eastAsia="zh-CN"/>
              </w:rPr>
              <w:t>浦江县</w:t>
            </w:r>
            <w:r>
              <w:rPr>
                <w:rFonts w:hint="eastAsia" w:asciiTheme="minorEastAsia" w:hAnsiTheme="minorEastAsia" w:eastAsiaTheme="minorEastAsia" w:cstheme="minorEastAsia"/>
                <w:b w:val="0"/>
                <w:bCs w:val="0"/>
                <w:iCs/>
                <w:color w:val="auto"/>
                <w:sz w:val="21"/>
                <w:szCs w:val="21"/>
                <w:highlight w:val="none"/>
                <w:u w:val="single"/>
              </w:rPr>
              <w:t xml:space="preserve"> </w:t>
            </w:r>
            <w:r>
              <w:rPr>
                <w:rFonts w:hint="eastAsia" w:asciiTheme="minorEastAsia" w:hAnsiTheme="minorEastAsia" w:eastAsiaTheme="minorEastAsia" w:cstheme="minorEastAsia"/>
                <w:b w:val="0"/>
                <w:bCs w:val="0"/>
                <w:iCs/>
                <w:color w:val="auto"/>
                <w:sz w:val="21"/>
                <w:szCs w:val="21"/>
                <w:highlight w:val="none"/>
              </w:rPr>
              <w:t>人民法院起诉。</w:t>
            </w:r>
          </w:p>
        </w:tc>
      </w:tr>
      <w:tr w14:paraId="139344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noWrap w:val="0"/>
            <w:vAlign w:val="center"/>
          </w:tcPr>
          <w:p w14:paraId="74446682">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第二节</w:t>
            </w:r>
          </w:p>
          <w:p w14:paraId="52C94D24">
            <w:pPr>
              <w:adjustRightInd w:val="0"/>
              <w:snapToGrid w:val="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第2</w:t>
            </w:r>
            <w:r>
              <w:rPr>
                <w:rFonts w:hint="eastAsia" w:ascii="宋体" w:hAnsi="宋体" w:eastAsia="宋体" w:cs="Times New Roman"/>
                <w:color w:val="auto"/>
                <w:szCs w:val="21"/>
                <w:highlight w:val="none"/>
                <w:lang w:val="en-US" w:eastAsia="zh-CN"/>
              </w:rPr>
              <w:t>3.1</w:t>
            </w:r>
            <w:r>
              <w:rPr>
                <w:rFonts w:hint="eastAsia" w:ascii="宋体" w:hAnsi="宋体" w:eastAsia="宋体" w:cs="Times New Roman"/>
                <w:color w:val="auto"/>
                <w:szCs w:val="21"/>
                <w:highlight w:val="none"/>
                <w:lang w:eastAsia="zh-CN"/>
              </w:rPr>
              <w:t>款</w:t>
            </w:r>
          </w:p>
        </w:tc>
        <w:tc>
          <w:tcPr>
            <w:tcW w:w="1742" w:type="dxa"/>
            <w:noWrap w:val="0"/>
            <w:vAlign w:val="center"/>
          </w:tcPr>
          <w:p w14:paraId="22678298">
            <w:pPr>
              <w:adjustRightInd w:val="0"/>
              <w:snapToGrid w:val="0"/>
              <w:jc w:val="left"/>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lang w:eastAsia="zh-CN"/>
              </w:rPr>
              <w:t>其他专用条款</w:t>
            </w:r>
          </w:p>
        </w:tc>
        <w:tc>
          <w:tcPr>
            <w:tcW w:w="5170" w:type="dxa"/>
            <w:noWrap w:val="0"/>
            <w:vAlign w:val="center"/>
          </w:tcPr>
          <w:p w14:paraId="253A78B0">
            <w:pPr>
              <w:adjustRightInd w:val="0"/>
              <w:snapToGrid w:val="0"/>
              <w:jc w:val="left"/>
              <w:rPr>
                <w:rFonts w:hint="default" w:ascii="宋体" w:hAnsi="宋体" w:eastAsia="宋体" w:cs="Times New Roman"/>
                <w:color w:val="auto"/>
                <w:szCs w:val="21"/>
                <w:highlight w:val="none"/>
                <w:lang w:val="en-US" w:eastAsia="zh-CN"/>
              </w:rPr>
            </w:pPr>
          </w:p>
        </w:tc>
      </w:tr>
    </w:tbl>
    <w:p w14:paraId="568B6E88">
      <w:pPr>
        <w:spacing w:line="480" w:lineRule="exact"/>
        <w:jc w:val="center"/>
        <w:outlineLvl w:val="0"/>
        <w:rPr>
          <w:rStyle w:val="56"/>
          <w:rFonts w:hint="eastAsia"/>
          <w:color w:val="auto"/>
          <w:sz w:val="32"/>
          <w:szCs w:val="32"/>
          <w:highlight w:val="none"/>
        </w:rPr>
      </w:pPr>
      <w:bookmarkStart w:id="145" w:name="OLE_LINK13"/>
      <w:bookmarkEnd w:id="145"/>
      <w:bookmarkStart w:id="146" w:name="_Toc26698"/>
    </w:p>
    <w:p w14:paraId="5527E010">
      <w:pPr>
        <w:spacing w:line="480" w:lineRule="exact"/>
        <w:jc w:val="center"/>
        <w:outlineLvl w:val="0"/>
        <w:rPr>
          <w:rStyle w:val="56"/>
          <w:rFonts w:hint="eastAsia"/>
          <w:color w:val="auto"/>
          <w:sz w:val="32"/>
          <w:szCs w:val="32"/>
          <w:highlight w:val="none"/>
        </w:rPr>
      </w:pPr>
    </w:p>
    <w:p w14:paraId="427D1669">
      <w:pPr>
        <w:spacing w:line="480" w:lineRule="exact"/>
        <w:jc w:val="center"/>
        <w:outlineLvl w:val="0"/>
        <w:rPr>
          <w:rFonts w:hint="eastAsia" w:ascii="宋体" w:hAnsi="宋体" w:eastAsia="宋体" w:cs="宋体"/>
          <w:color w:val="auto"/>
          <w:sz w:val="24"/>
          <w:szCs w:val="24"/>
          <w:highlight w:val="none"/>
        </w:rPr>
      </w:pPr>
      <w:bookmarkStart w:id="147" w:name="_Toc2707"/>
      <w:r>
        <w:rPr>
          <w:rStyle w:val="56"/>
          <w:rFonts w:hint="eastAsia"/>
          <w:color w:val="auto"/>
          <w:sz w:val="32"/>
          <w:szCs w:val="32"/>
          <w:highlight w:val="none"/>
        </w:rPr>
        <w:t xml:space="preserve">第五部分  </w:t>
      </w:r>
      <w:bookmarkEnd w:id="134"/>
      <w:bookmarkEnd w:id="135"/>
      <w:bookmarkEnd w:id="136"/>
      <w:bookmarkEnd w:id="137"/>
      <w:bookmarkEnd w:id="138"/>
      <w:bookmarkEnd w:id="139"/>
      <w:r>
        <w:rPr>
          <w:rStyle w:val="56"/>
          <w:rFonts w:hint="eastAsia"/>
          <w:color w:val="auto"/>
          <w:sz w:val="32"/>
          <w:szCs w:val="32"/>
          <w:highlight w:val="none"/>
        </w:rPr>
        <w:t>评标办法（最低评标价法）</w:t>
      </w:r>
      <w:bookmarkEnd w:id="146"/>
      <w:bookmarkEnd w:id="147"/>
    </w:p>
    <w:p w14:paraId="1C4F518F">
      <w:pPr>
        <w:pageBreakBefore w:val="0"/>
        <w:widowControl w:val="0"/>
        <w:kinsoku/>
        <w:wordWrap/>
        <w:overflowPunct/>
        <w:topLinePunct w:val="0"/>
        <w:autoSpaceDE/>
        <w:autoSpaceDN/>
        <w:bidi w:val="0"/>
        <w:spacing w:before="120" w:beforeLines="50" w:after="120" w:afterLines="50"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为公正、公平、科学地选择中标人，根据《中华人民共和国招标投标法》等有关法律法规的规定，并结合本项目的实际，制定本办法。</w:t>
      </w:r>
    </w:p>
    <w:p w14:paraId="775CB38E">
      <w:pPr>
        <w:pStyle w:val="3"/>
        <w:pageBreakBefore w:val="0"/>
        <w:widowControl w:val="0"/>
        <w:kinsoku/>
        <w:wordWrap/>
        <w:overflowPunct/>
        <w:topLinePunct w:val="0"/>
        <w:autoSpaceDE/>
        <w:autoSpaceDN/>
        <w:bidi w:val="0"/>
        <w:snapToGrid w:val="0"/>
        <w:spacing w:before="120" w:beforeLines="50" w:after="120" w:afterLines="50" w:line="360" w:lineRule="exact"/>
        <w:textAlignment w:val="auto"/>
        <w:rPr>
          <w:rFonts w:hint="eastAsia" w:ascii="宋体" w:hAnsi="宋体" w:eastAsia="宋体" w:cs="宋体"/>
          <w:color w:val="auto"/>
          <w:sz w:val="24"/>
          <w:szCs w:val="24"/>
          <w:highlight w:val="none"/>
        </w:rPr>
      </w:pPr>
      <w:bookmarkStart w:id="148" w:name="_Toc21410"/>
      <w:bookmarkStart w:id="149" w:name="_Toc30949"/>
      <w:bookmarkStart w:id="150" w:name="_Toc23967"/>
      <w:bookmarkStart w:id="151" w:name="_Toc16606"/>
      <w:bookmarkStart w:id="152" w:name="_Toc21062"/>
      <w:bookmarkStart w:id="153" w:name="_Toc28236"/>
      <w:bookmarkStart w:id="154" w:name="_Toc19257"/>
      <w:r>
        <w:rPr>
          <w:rFonts w:hint="eastAsia" w:ascii="宋体" w:hAnsi="宋体" w:eastAsia="宋体" w:cs="宋体"/>
          <w:color w:val="auto"/>
          <w:sz w:val="24"/>
          <w:szCs w:val="24"/>
          <w:highlight w:val="none"/>
        </w:rPr>
        <w:t>一、总则</w:t>
      </w:r>
      <w:bookmarkEnd w:id="148"/>
      <w:bookmarkEnd w:id="149"/>
      <w:bookmarkEnd w:id="150"/>
      <w:bookmarkEnd w:id="151"/>
      <w:bookmarkEnd w:id="152"/>
      <w:bookmarkEnd w:id="153"/>
      <w:bookmarkEnd w:id="154"/>
    </w:p>
    <w:p w14:paraId="2918952A">
      <w:pPr>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snapToGrid w:val="0"/>
          <w:color w:val="auto"/>
          <w:kern w:val="0"/>
          <w:sz w:val="24"/>
          <w:highlight w:val="none"/>
        </w:rPr>
      </w:pPr>
      <w:bookmarkStart w:id="155" w:name="_Toc251566663"/>
      <w:bookmarkStart w:id="156" w:name="_Toc249760792"/>
      <w:r>
        <w:rPr>
          <w:rFonts w:hint="eastAsia" w:ascii="宋体" w:hAnsi="宋体" w:cs="宋体"/>
          <w:snapToGrid w:val="0"/>
          <w:color w:val="auto"/>
          <w:kern w:val="0"/>
          <w:sz w:val="24"/>
          <w:highlight w:val="none"/>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14:paraId="0DEA0856">
      <w:pPr>
        <w:pStyle w:val="3"/>
        <w:pageBreakBefore w:val="0"/>
        <w:widowControl w:val="0"/>
        <w:kinsoku/>
        <w:wordWrap/>
        <w:overflowPunct/>
        <w:topLinePunct w:val="0"/>
        <w:autoSpaceDE/>
        <w:autoSpaceDN/>
        <w:bidi w:val="0"/>
        <w:snapToGrid w:val="0"/>
        <w:spacing w:before="120" w:beforeLines="50" w:after="120" w:afterLines="50" w:line="360" w:lineRule="exact"/>
        <w:textAlignment w:val="auto"/>
        <w:rPr>
          <w:rFonts w:hint="eastAsia" w:ascii="宋体" w:hAnsi="宋体" w:eastAsia="宋体" w:cs="宋体"/>
          <w:color w:val="auto"/>
          <w:sz w:val="24"/>
          <w:szCs w:val="24"/>
          <w:highlight w:val="none"/>
        </w:rPr>
      </w:pPr>
      <w:bookmarkStart w:id="157" w:name="_Toc1050"/>
      <w:bookmarkStart w:id="158" w:name="_Toc27593"/>
      <w:bookmarkStart w:id="159" w:name="_Toc21873"/>
      <w:bookmarkStart w:id="160" w:name="_Toc22601"/>
      <w:bookmarkStart w:id="161" w:name="_Toc23250"/>
      <w:bookmarkStart w:id="162" w:name="_Toc11305"/>
      <w:bookmarkStart w:id="163" w:name="_Toc27046"/>
      <w:bookmarkStart w:id="164" w:name="_Toc22739"/>
      <w:bookmarkStart w:id="165" w:name="_Toc8152"/>
      <w:bookmarkStart w:id="166" w:name="_Toc8990"/>
      <w:bookmarkStart w:id="167" w:name="_Toc10206"/>
      <w:bookmarkStart w:id="168" w:name="_Toc2930"/>
      <w:r>
        <w:rPr>
          <w:rFonts w:hint="eastAsia" w:ascii="宋体" w:hAnsi="宋体" w:eastAsia="宋体" w:cs="宋体"/>
          <w:color w:val="auto"/>
          <w:sz w:val="24"/>
          <w:szCs w:val="24"/>
          <w:highlight w:val="none"/>
        </w:rPr>
        <w:t>二、评标组织</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5CB0CBC">
      <w:pPr>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snapToGrid w:val="0"/>
          <w:color w:val="auto"/>
          <w:kern w:val="0"/>
          <w:sz w:val="24"/>
          <w:highlight w:val="none"/>
        </w:rPr>
        <w:t>评标工作由招标采购人负责组织，依法组建由奇数的人员组成的评标委员会，负责对投标文件进行审查、质询、评审等。评标委员会由</w:t>
      </w:r>
      <w:r>
        <w:rPr>
          <w:rFonts w:hint="eastAsia" w:ascii="宋体" w:hAnsi="宋体" w:cs="宋体"/>
          <w:color w:val="auto"/>
          <w:sz w:val="24"/>
          <w:highlight w:val="none"/>
        </w:rPr>
        <w:t>采购人代表和评审专家组成，成员人数为</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人</w:t>
      </w:r>
      <w:r>
        <w:rPr>
          <w:rFonts w:hint="eastAsia" w:ascii="宋体" w:hAnsi="宋体" w:cs="宋体"/>
          <w:color w:val="auto"/>
          <w:sz w:val="24"/>
          <w:highlight w:val="none"/>
        </w:rPr>
        <w:t>或以上单数，其中评审专家不得少于成员总数的三分之二。</w:t>
      </w:r>
    </w:p>
    <w:p w14:paraId="6DE34FD9">
      <w:pPr>
        <w:pStyle w:val="3"/>
        <w:pageBreakBefore w:val="0"/>
        <w:widowControl w:val="0"/>
        <w:kinsoku/>
        <w:wordWrap/>
        <w:overflowPunct/>
        <w:topLinePunct w:val="0"/>
        <w:autoSpaceDE/>
        <w:autoSpaceDN/>
        <w:bidi w:val="0"/>
        <w:snapToGrid w:val="0"/>
        <w:spacing w:before="120" w:beforeLines="50" w:after="120" w:afterLines="50" w:line="360" w:lineRule="exact"/>
        <w:textAlignment w:val="auto"/>
        <w:rPr>
          <w:rFonts w:hint="eastAsia" w:ascii="宋体" w:hAnsi="宋体" w:eastAsia="宋体" w:cs="宋体"/>
          <w:color w:val="auto"/>
          <w:sz w:val="24"/>
          <w:szCs w:val="24"/>
          <w:highlight w:val="none"/>
        </w:rPr>
      </w:pPr>
      <w:bookmarkStart w:id="169" w:name="_Toc2781"/>
      <w:bookmarkStart w:id="170" w:name="_Toc21556"/>
      <w:bookmarkStart w:id="171" w:name="_Toc32203"/>
      <w:bookmarkStart w:id="172" w:name="_Toc31345"/>
      <w:bookmarkStart w:id="173" w:name="_Toc12576"/>
      <w:bookmarkStart w:id="174" w:name="_Toc249760793"/>
      <w:bookmarkStart w:id="175" w:name="_Toc251566664"/>
      <w:bookmarkStart w:id="176" w:name="_Toc21151"/>
      <w:bookmarkStart w:id="177" w:name="_Toc1155"/>
      <w:bookmarkStart w:id="178" w:name="_Toc32084"/>
      <w:bookmarkStart w:id="179" w:name="_Toc15352"/>
      <w:bookmarkStart w:id="180" w:name="_Toc14683"/>
      <w:bookmarkStart w:id="181" w:name="_Toc8565"/>
      <w:bookmarkStart w:id="182" w:name="_Toc31081"/>
      <w:r>
        <w:rPr>
          <w:rFonts w:hint="eastAsia" w:ascii="宋体" w:hAnsi="宋体" w:eastAsia="宋体" w:cs="宋体"/>
          <w:color w:val="auto"/>
          <w:sz w:val="24"/>
          <w:szCs w:val="24"/>
          <w:highlight w:val="none"/>
        </w:rPr>
        <w:t>三、评标纪律</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12E21AD5">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1、评标是招标工作的重要环节，评标工作在评标委员会内独立进行。评标委员会将按照评标原则的要求，公正、平等地对待所有投标人。</w:t>
      </w:r>
    </w:p>
    <w:p w14:paraId="3EC3D499">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2、所有评标人员应忠于职守、廉洁自律、秉公办事、不徇私情。</w:t>
      </w:r>
    </w:p>
    <w:p w14:paraId="78ED4EC1">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3、评标人员不得接受或参加投标人或与投标有关的单位、组织或个人的有碍公务的宴请、娱乐活动等，不得以任何形式弄虚作假。</w:t>
      </w:r>
    </w:p>
    <w:p w14:paraId="24E900C9">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4、评标期间，评标人员不得随意出入评标地点、与外界通讯、会客等。</w:t>
      </w:r>
    </w:p>
    <w:p w14:paraId="73EA446D">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5、在投标文件的审查、澄清、评价和比较以及授予合同的过程中，投标人对采购人、采购代理机构人员及评标委员会成员施加影响的任何行为，都将导致被取消投标资格。</w:t>
      </w:r>
    </w:p>
    <w:p w14:paraId="3EF3A6C9">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6、为保证评标的公正性，在评标过程中，评标委员会成员不得与投标人或与中标结果有利害关系的人进行私下接触。在评标工作结束后，凡与评标情况有接触的任何人，不得将评标情况扩散出评标委员会以外。</w:t>
      </w:r>
    </w:p>
    <w:p w14:paraId="217B6A5E">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7、评标过程中，当发表结论性意见时，先听取专家评委意见，采购人代表随后发表意见；评标专家对投标人的优劣情况，以及认为差异较大的情况等，应以书面意见作出真实、专业、诚恳负责的表述，不得违背客观、公正的原则。</w:t>
      </w:r>
    </w:p>
    <w:p w14:paraId="04B8F29F">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8、评标结束后，各评标人员应将全部资料整理上交采购人，严禁将评标过程中的任何资料带出评标现场向投标人或其他单位提供。</w:t>
      </w:r>
    </w:p>
    <w:p w14:paraId="316E1103">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9、在中标结果公布前应对评标委员会成员名单予以保密。</w:t>
      </w:r>
    </w:p>
    <w:p w14:paraId="45BA8648">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10、评标委员会对各投标人的商业秘密予以保密。</w:t>
      </w:r>
    </w:p>
    <w:p w14:paraId="24D9EF16">
      <w:pPr>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11、评标委员会成员应当客观、公正地履行职责，遵守职业道德，对所提出的评审意见承担个人责任。</w:t>
      </w:r>
    </w:p>
    <w:p w14:paraId="74AFCA89">
      <w:pPr>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12、在整个评标过程中，投标人企图影响招标结果的任何活动，可能导致其投标失败。如有违法行为，将依法追究其法律责任。</w:t>
      </w:r>
    </w:p>
    <w:p w14:paraId="316FB794">
      <w:pPr>
        <w:keepNext/>
        <w:keepLines/>
        <w:pageBreakBefore w:val="0"/>
        <w:widowControl w:val="0"/>
        <w:kinsoku/>
        <w:wordWrap/>
        <w:overflowPunct/>
        <w:topLinePunct w:val="0"/>
        <w:autoSpaceDE/>
        <w:autoSpaceDN/>
        <w:bidi w:val="0"/>
        <w:spacing w:before="100" w:line="360" w:lineRule="exact"/>
        <w:jc w:val="left"/>
        <w:textAlignment w:val="auto"/>
        <w:outlineLvl w:val="1"/>
        <w:rPr>
          <w:rFonts w:hint="eastAsia" w:ascii="宋体" w:hAnsi="宋体" w:eastAsia="宋体" w:cs="宋体"/>
          <w:b/>
          <w:bCs/>
          <w:color w:val="auto"/>
          <w:sz w:val="24"/>
          <w:szCs w:val="24"/>
          <w:highlight w:val="none"/>
        </w:rPr>
      </w:pPr>
      <w:r>
        <w:rPr>
          <w:rFonts w:hint="eastAsia" w:ascii="宋体" w:hAnsi="宋体" w:cs="宋体"/>
          <w:color w:val="auto"/>
          <w:szCs w:val="21"/>
          <w:highlight w:val="none"/>
        </w:rPr>
        <w:br w:type="page"/>
      </w:r>
      <w:bookmarkStart w:id="183" w:name="_Toc24712"/>
      <w:bookmarkStart w:id="184" w:name="_Toc30344"/>
      <w:bookmarkStart w:id="185" w:name="_Toc1156"/>
      <w:bookmarkStart w:id="186" w:name="_Toc19809"/>
      <w:bookmarkStart w:id="187" w:name="_Toc21589"/>
      <w:bookmarkStart w:id="188" w:name="_Toc29525"/>
      <w:bookmarkStart w:id="189" w:name="_Toc251566668"/>
      <w:bookmarkStart w:id="190" w:name="_Toc1306"/>
      <w:bookmarkStart w:id="191" w:name="_Toc31271"/>
      <w:bookmarkStart w:id="192" w:name="_Toc249760797"/>
      <w:bookmarkStart w:id="193" w:name="_Toc14478"/>
      <w:bookmarkStart w:id="194" w:name="_Toc234764855"/>
      <w:bookmarkStart w:id="195" w:name="_Toc6924"/>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评标办法</w:t>
      </w:r>
      <w:bookmarkEnd w:id="183"/>
      <w:bookmarkEnd w:id="184"/>
      <w:bookmarkEnd w:id="185"/>
      <w:bookmarkEnd w:id="186"/>
      <w:bookmarkEnd w:id="187"/>
      <w:bookmarkEnd w:id="188"/>
    </w:p>
    <w:p w14:paraId="488D46EE">
      <w:pPr>
        <w:pageBreakBefore w:val="0"/>
        <w:widowControl w:val="0"/>
        <w:kinsoku/>
        <w:wordWrap/>
        <w:overflowPunct/>
        <w:topLinePunct w:val="0"/>
        <w:autoSpaceDE/>
        <w:autoSpaceDN/>
        <w:bidi w:val="0"/>
        <w:spacing w:before="120" w:beforeLines="50" w:after="120" w:afterLines="50" w:line="360" w:lineRule="exact"/>
        <w:ind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本办法适用于</w:t>
      </w:r>
      <w:r>
        <w:rPr>
          <w:rFonts w:hint="eastAsia" w:ascii="宋体" w:hAnsi="宋体" w:cs="宋体"/>
          <w:color w:val="auto"/>
          <w:sz w:val="24"/>
          <w:szCs w:val="24"/>
          <w:highlight w:val="none"/>
          <w:lang w:eastAsia="zh-CN"/>
        </w:rPr>
        <w:t>浦江县交投贸易有限公司2024年-2025年石灰岩采购项目</w:t>
      </w:r>
      <w:r>
        <w:rPr>
          <w:rFonts w:hint="eastAsia" w:ascii="宋体" w:hAnsi="宋体" w:eastAsia="宋体" w:cs="宋体"/>
          <w:bCs/>
          <w:color w:val="auto"/>
          <w:sz w:val="24"/>
          <w:szCs w:val="24"/>
          <w:highlight w:val="none"/>
        </w:rPr>
        <w:t>的评标。</w:t>
      </w:r>
    </w:p>
    <w:p w14:paraId="209F12CA">
      <w:pPr>
        <w:pageBreakBefore w:val="0"/>
        <w:widowControl w:val="0"/>
        <w:kinsoku/>
        <w:wordWrap/>
        <w:overflowPunct/>
        <w:topLinePunct w:val="0"/>
        <w:autoSpaceDE/>
        <w:autoSpaceDN/>
        <w:bidi w:val="0"/>
        <w:spacing w:before="120" w:beforeLines="50" w:after="120" w:afterLines="50" w:line="360" w:lineRule="exact"/>
        <w:ind w:firstLine="420"/>
        <w:jc w:val="left"/>
        <w:textAlignment w:val="auto"/>
        <w:rPr>
          <w:rFonts w:hint="eastAsia" w:ascii="宋体" w:hAnsi="宋体" w:eastAsia="宋体" w:cs="宋体"/>
          <w:color w:val="auto"/>
          <w:sz w:val="24"/>
          <w:szCs w:val="24"/>
          <w:highlight w:val="none"/>
        </w:rPr>
      </w:pPr>
      <w:bookmarkStart w:id="196" w:name="_Toc152045601"/>
      <w:bookmarkStart w:id="197" w:name="_Toc318960027"/>
      <w:bookmarkStart w:id="198" w:name="_Toc144974568"/>
      <w:bookmarkStart w:id="199" w:name="_Toc152042378"/>
      <w:bookmarkStart w:id="200" w:name="_Toc179632619"/>
      <w:r>
        <w:rPr>
          <w:rFonts w:hint="eastAsia" w:ascii="宋体" w:hAnsi="宋体" w:eastAsia="宋体" w:cs="宋体"/>
          <w:color w:val="auto"/>
          <w:sz w:val="24"/>
          <w:szCs w:val="24"/>
          <w:highlight w:val="none"/>
        </w:rPr>
        <w:t>本次评标采用最低评标价法。评标委员会根据本章评标办法规定的顺序进行评审，推荐采购需求、质量和服务均能满足采购文件实质性响应要求，且投标报价最低的投标人为第一中标候选人。如出现投标报价相同情形的，则以抽签方式随机确定成交供应商。如某单位不参加抽签，取消其中标候选人资格，同时按其他有关规定给予相应处罚。</w:t>
      </w:r>
    </w:p>
    <w:p w14:paraId="0F1FF89A">
      <w:pPr>
        <w:keepNext/>
        <w:keepLines/>
        <w:pageBreakBefore w:val="0"/>
        <w:widowControl w:val="0"/>
        <w:kinsoku/>
        <w:wordWrap/>
        <w:overflowPunct/>
        <w:topLinePunct w:val="0"/>
        <w:autoSpaceDE/>
        <w:autoSpaceDN/>
        <w:bidi w:val="0"/>
        <w:spacing w:before="100" w:line="360" w:lineRule="exact"/>
        <w:jc w:val="left"/>
        <w:textAlignment w:val="auto"/>
        <w:outlineLvl w:val="1"/>
        <w:rPr>
          <w:rFonts w:hint="eastAsia" w:ascii="宋体" w:hAnsi="宋体" w:eastAsia="宋体" w:cs="宋体"/>
          <w:b/>
          <w:bCs/>
          <w:color w:val="auto"/>
          <w:sz w:val="24"/>
          <w:szCs w:val="24"/>
          <w:highlight w:val="none"/>
        </w:rPr>
      </w:pPr>
      <w:bookmarkStart w:id="201" w:name="_Toc28407"/>
      <w:bookmarkStart w:id="202" w:name="_Toc29553"/>
      <w:bookmarkStart w:id="203" w:name="_Toc30251"/>
      <w:bookmarkStart w:id="204" w:name="_Toc26424"/>
      <w:bookmarkStart w:id="205" w:name="_Toc11102"/>
      <w:bookmarkStart w:id="206" w:name="_Toc24348"/>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评审</w:t>
      </w:r>
      <w:bookmarkEnd w:id="196"/>
      <w:bookmarkEnd w:id="197"/>
      <w:bookmarkEnd w:id="198"/>
      <w:bookmarkEnd w:id="199"/>
      <w:bookmarkEnd w:id="200"/>
      <w:r>
        <w:rPr>
          <w:rFonts w:hint="eastAsia" w:ascii="宋体" w:hAnsi="宋体" w:eastAsia="宋体" w:cs="宋体"/>
          <w:b/>
          <w:bCs/>
          <w:color w:val="auto"/>
          <w:sz w:val="24"/>
          <w:szCs w:val="24"/>
          <w:highlight w:val="none"/>
        </w:rPr>
        <w:t>程序</w:t>
      </w:r>
      <w:bookmarkEnd w:id="201"/>
      <w:bookmarkEnd w:id="202"/>
      <w:bookmarkEnd w:id="203"/>
      <w:bookmarkEnd w:id="204"/>
      <w:bookmarkEnd w:id="205"/>
      <w:bookmarkEnd w:id="206"/>
    </w:p>
    <w:p w14:paraId="2B3AF0E5">
      <w:pPr>
        <w:keepNext/>
        <w:keepLines/>
        <w:pageBreakBefore w:val="0"/>
        <w:widowControl w:val="0"/>
        <w:kinsoku/>
        <w:wordWrap/>
        <w:overflowPunct/>
        <w:topLinePunct w:val="0"/>
        <w:autoSpaceDE/>
        <w:autoSpaceDN/>
        <w:bidi w:val="0"/>
        <w:spacing w:line="360" w:lineRule="exact"/>
        <w:jc w:val="left"/>
        <w:textAlignment w:val="auto"/>
        <w:outlineLvl w:val="2"/>
        <w:rPr>
          <w:rFonts w:hint="eastAsia" w:ascii="宋体" w:hAnsi="宋体" w:eastAsia="宋体" w:cs="宋体"/>
          <w:color w:val="auto"/>
          <w:sz w:val="24"/>
          <w:szCs w:val="24"/>
          <w:highlight w:val="none"/>
        </w:rPr>
      </w:pPr>
      <w:bookmarkStart w:id="207" w:name="_Toc152045602"/>
      <w:bookmarkStart w:id="208" w:name="_Toc179632620"/>
      <w:bookmarkStart w:id="209" w:name="_Toc144974569"/>
      <w:bookmarkStart w:id="210" w:name="_Toc152042379"/>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初步评审</w:t>
      </w:r>
      <w:bookmarkEnd w:id="207"/>
      <w:bookmarkEnd w:id="208"/>
      <w:bookmarkEnd w:id="209"/>
      <w:bookmarkEnd w:id="210"/>
    </w:p>
    <w:p w14:paraId="7BDAE964">
      <w:pPr>
        <w:pageBreakBefore w:val="0"/>
        <w:widowControl w:val="0"/>
        <w:kinsoku/>
        <w:wordWrap/>
        <w:overflowPunct/>
        <w:topLinePunct w:val="0"/>
        <w:autoSpaceDE/>
        <w:autoSpaceDN/>
        <w:bidi w:val="0"/>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1.1资格评审</w:t>
      </w:r>
    </w:p>
    <w:p w14:paraId="29C68C89">
      <w:pPr>
        <w:pageBreakBefore w:val="0"/>
        <w:widowControl w:val="0"/>
        <w:kinsoku/>
        <w:wordWrap/>
        <w:overflowPunct/>
        <w:topLinePunct w:val="0"/>
        <w:autoSpaceDE/>
        <w:autoSpaceDN/>
        <w:bidi w:val="0"/>
        <w:spacing w:before="120" w:beforeLines="50" w:after="120" w:afterLines="50"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招标人将对投标人是否满足采购公告要求的资格条件进行逐项审查。经审查，投标人的资格条件不符合采购文件要求或未按要求提交相关资料的，作无效标处理。</w:t>
      </w:r>
    </w:p>
    <w:p w14:paraId="5C4E1805">
      <w:pPr>
        <w:pageBreakBefore w:val="0"/>
        <w:widowControl w:val="0"/>
        <w:kinsoku/>
        <w:wordWrap/>
        <w:overflowPunct/>
        <w:topLinePunct w:val="0"/>
        <w:autoSpaceDE/>
        <w:autoSpaceDN/>
        <w:bidi w:val="0"/>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1.2响应性评审</w:t>
      </w:r>
    </w:p>
    <w:p w14:paraId="54EFDEC0">
      <w:pPr>
        <w:pageBreakBefore w:val="0"/>
        <w:widowControl w:val="0"/>
        <w:kinsoku/>
        <w:wordWrap/>
        <w:overflowPunct/>
        <w:topLinePunct w:val="0"/>
        <w:autoSpaceDE/>
        <w:autoSpaceDN/>
        <w:bidi w:val="0"/>
        <w:adjustRightInd w:val="0"/>
        <w:snapToGrid w:val="0"/>
        <w:spacing w:before="120" w:beforeLines="50" w:line="3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评标委员会将对投标人的投标文件进行响应性评审，投标人存在第</w:t>
      </w:r>
      <w:r>
        <w:rPr>
          <w:rFonts w:hint="eastAsia" w:ascii="宋体" w:hAnsi="宋体" w:eastAsia="宋体" w:cs="宋体"/>
          <w:b w:val="0"/>
          <w:bCs w:val="0"/>
          <w:color w:val="auto"/>
          <w:sz w:val="24"/>
          <w:szCs w:val="24"/>
          <w:highlight w:val="none"/>
          <w:lang w:eastAsia="zh-CN"/>
        </w:rPr>
        <w:t>二部分</w:t>
      </w:r>
      <w:r>
        <w:rPr>
          <w:rFonts w:hint="eastAsia" w:ascii="宋体" w:hAnsi="宋体" w:eastAsia="宋体" w:cs="宋体"/>
          <w:b w:val="0"/>
          <w:bCs w:val="0"/>
          <w:color w:val="auto"/>
          <w:sz w:val="24"/>
          <w:szCs w:val="24"/>
          <w:highlight w:val="none"/>
        </w:rPr>
        <w:t>投标人须知</w:t>
      </w:r>
      <w:r>
        <w:rPr>
          <w:rFonts w:hint="eastAsia" w:ascii="宋体" w:hAnsi="宋体" w:cs="宋体"/>
          <w:b w:val="0"/>
          <w:bCs w:val="0"/>
          <w:color w:val="auto"/>
          <w:sz w:val="24"/>
          <w:highlight w:val="none"/>
        </w:rPr>
        <w:t>22、无效投标的认定</w:t>
      </w:r>
      <w:r>
        <w:rPr>
          <w:rFonts w:hint="eastAsia" w:ascii="宋体" w:hAnsi="宋体" w:eastAsia="宋体" w:cs="宋体"/>
          <w:b w:val="0"/>
          <w:bCs w:val="0"/>
          <w:color w:val="auto"/>
          <w:sz w:val="24"/>
          <w:szCs w:val="24"/>
          <w:highlight w:val="none"/>
        </w:rPr>
        <w:t>的，作无效标处理。</w:t>
      </w:r>
    </w:p>
    <w:p w14:paraId="0A95D0D5">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详细评审</w:t>
      </w:r>
    </w:p>
    <w:p w14:paraId="544C510B">
      <w:pPr>
        <w:pageBreakBefore w:val="0"/>
        <w:widowControl w:val="0"/>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color w:val="auto"/>
          <w:sz w:val="24"/>
          <w:szCs w:val="24"/>
          <w:highlight w:val="none"/>
        </w:rPr>
      </w:pPr>
      <w:bookmarkStart w:id="211" w:name="_Toc144974575"/>
      <w:bookmarkStart w:id="212" w:name="_Toc179632625"/>
      <w:bookmarkStart w:id="213" w:name="_Toc152045607"/>
      <w:bookmarkStart w:id="214" w:name="_Toc152042385"/>
      <w:r>
        <w:rPr>
          <w:rFonts w:hint="eastAsia" w:ascii="宋体" w:hAnsi="宋体" w:eastAsia="宋体" w:cs="宋体"/>
          <w:color w:val="auto"/>
          <w:sz w:val="24"/>
          <w:szCs w:val="24"/>
          <w:highlight w:val="none"/>
        </w:rPr>
        <w:t>2.1投标报价有算术错误的，评标委员会按以下原则对投标报价进行修正，修正的价格经投标人书面确认后具有约束力。投标人不接受修正价格的，作否决投标处理。</w:t>
      </w:r>
    </w:p>
    <w:p w14:paraId="069EE261">
      <w:pPr>
        <w:pageBreakBefore w:val="0"/>
        <w:widowControl w:val="0"/>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color w:val="auto"/>
          <w:sz w:val="24"/>
          <w:szCs w:val="24"/>
          <w:highlight w:val="none"/>
        </w:rPr>
      </w:pPr>
      <w:bookmarkStart w:id="215" w:name="_Toc152042383"/>
      <w:r>
        <w:rPr>
          <w:rFonts w:hint="eastAsia" w:ascii="宋体" w:hAnsi="宋体" w:eastAsia="宋体" w:cs="宋体"/>
          <w:color w:val="auto"/>
          <w:sz w:val="24"/>
          <w:szCs w:val="24"/>
          <w:highlight w:val="none"/>
        </w:rPr>
        <w:t>（1）投标文件中的大写金额与小写金额不一致的，以大写金额为准；</w:t>
      </w:r>
      <w:bookmarkEnd w:id="215"/>
    </w:p>
    <w:p w14:paraId="59D2EDC0">
      <w:pPr>
        <w:pageBreakBefore w:val="0"/>
        <w:widowControl w:val="0"/>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（2）总价金额与依据单价计算出的结果不一致的，以单价金额为准修正总价，但单价金额小数点有明显错误的除外。</w:t>
      </w:r>
    </w:p>
    <w:p w14:paraId="22C43E4B">
      <w:pPr>
        <w:pStyle w:val="25"/>
        <w:pageBreakBefore w:val="0"/>
        <w:widowControl w:val="0"/>
        <w:numPr>
          <w:ilvl w:val="0"/>
          <w:numId w:val="0"/>
        </w:numPr>
        <w:tabs>
          <w:tab w:val="left" w:pos="630"/>
          <w:tab w:val="left" w:pos="900"/>
        </w:tabs>
        <w:kinsoku/>
        <w:wordWrap/>
        <w:overflowPunct/>
        <w:topLinePunct w:val="0"/>
        <w:autoSpaceDE/>
        <w:autoSpaceDN/>
        <w:bidi w:val="0"/>
        <w:snapToGrid w:val="0"/>
        <w:spacing w:before="0" w:beforeLines="0" w:after="120" w:afterLines="0"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2.2评标委员会认为投标人的报价明显低于其他通过符合性审查投标人的报价，有可能影响</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质量或者不能诚信履约的，有权要求其在评标现场合理的时间内作出书面说明，必要时提交相关证明材料；投标人不能证明其报价合理性的，其投标无效。</w:t>
      </w:r>
    </w:p>
    <w:p w14:paraId="476CFBCC">
      <w:pPr>
        <w:keepNext/>
        <w:keepLines/>
        <w:pageBreakBefore w:val="0"/>
        <w:widowControl w:val="0"/>
        <w:kinsoku/>
        <w:wordWrap/>
        <w:overflowPunct/>
        <w:topLinePunct w:val="0"/>
        <w:autoSpaceDE/>
        <w:autoSpaceDN/>
        <w:bidi w:val="0"/>
        <w:spacing w:before="100" w:line="360" w:lineRule="exact"/>
        <w:jc w:val="left"/>
        <w:textAlignment w:val="auto"/>
        <w:outlineLvl w:val="1"/>
        <w:rPr>
          <w:rFonts w:hint="eastAsia" w:ascii="宋体" w:hAnsi="宋体" w:eastAsia="宋体" w:cs="宋体"/>
          <w:color w:val="auto"/>
          <w:sz w:val="24"/>
          <w:szCs w:val="24"/>
          <w:highlight w:val="none"/>
        </w:rPr>
      </w:pPr>
      <w:bookmarkStart w:id="216" w:name="_Toc22027"/>
      <w:bookmarkStart w:id="217" w:name="_Toc20707"/>
      <w:bookmarkStart w:id="218" w:name="_Toc6899"/>
      <w:bookmarkStart w:id="219" w:name="_Toc10410"/>
      <w:bookmarkStart w:id="220" w:name="_Toc29121"/>
      <w:bookmarkStart w:id="221" w:name="_Toc18420"/>
      <w:r>
        <w:rPr>
          <w:rFonts w:hint="eastAsia" w:ascii="宋体" w:hAnsi="宋体" w:eastAsia="宋体" w:cs="宋体"/>
          <w:color w:val="auto"/>
          <w:sz w:val="24"/>
          <w:szCs w:val="24"/>
          <w:highlight w:val="none"/>
        </w:rPr>
        <w:t>3.投标文件的澄清</w:t>
      </w:r>
      <w:bookmarkEnd w:id="211"/>
      <w:r>
        <w:rPr>
          <w:rFonts w:hint="eastAsia" w:ascii="宋体" w:hAnsi="宋体" w:eastAsia="宋体" w:cs="宋体"/>
          <w:color w:val="auto"/>
          <w:sz w:val="24"/>
          <w:szCs w:val="24"/>
          <w:highlight w:val="none"/>
        </w:rPr>
        <w:t>和补正</w:t>
      </w:r>
      <w:bookmarkEnd w:id="212"/>
      <w:bookmarkEnd w:id="213"/>
      <w:bookmarkEnd w:id="214"/>
      <w:bookmarkEnd w:id="216"/>
      <w:bookmarkEnd w:id="217"/>
      <w:bookmarkEnd w:id="218"/>
      <w:bookmarkEnd w:id="219"/>
      <w:bookmarkEnd w:id="220"/>
      <w:bookmarkEnd w:id="221"/>
    </w:p>
    <w:p w14:paraId="3ECE1F24">
      <w:pPr>
        <w:pageBreakBefore w:val="0"/>
        <w:widowControl w:val="0"/>
        <w:kinsoku/>
        <w:wordWrap/>
        <w:overflowPunct/>
        <w:topLinePunct w:val="0"/>
        <w:autoSpaceDE/>
        <w:autoSpaceDN/>
        <w:bidi w:val="0"/>
        <w:spacing w:before="120" w:beforeLines="50" w:after="120" w:afterLines="50"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3.1在评标过程中，评标委员会可以书面形式要求投标人对所提交的投标文件中不明确的内容进行书面澄清或说明，或者对细微偏差进行补正。评标委员会不接受投标人主动提出的澄清、说明或补正。</w:t>
      </w:r>
    </w:p>
    <w:p w14:paraId="07A275A4">
      <w:pPr>
        <w:pageBreakBefore w:val="0"/>
        <w:widowControl w:val="0"/>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澄清、说明和补正不得改变投标文件的实质性内容（算术性错误修正的除外）。投标人的书面澄清、说明和补正属于投标文件的组成部分。</w:t>
      </w:r>
    </w:p>
    <w:p w14:paraId="25197AFD">
      <w:pPr>
        <w:pageBreakBefore w:val="0"/>
        <w:widowControl w:val="0"/>
        <w:kinsoku/>
        <w:wordWrap/>
        <w:overflowPunct/>
        <w:topLinePunct w:val="0"/>
        <w:autoSpaceDE/>
        <w:autoSpaceDN/>
        <w:bidi w:val="0"/>
        <w:spacing w:line="360" w:lineRule="exact"/>
        <w:ind w:firstLine="480" w:firstLineChars="200"/>
        <w:jc w:val="left"/>
        <w:textAlignment w:val="auto"/>
        <w:rPr>
          <w:rFonts w:hint="eastAsia"/>
          <w:color w:val="auto"/>
          <w:sz w:val="44"/>
          <w:szCs w:val="44"/>
          <w:highlight w:val="none"/>
        </w:rPr>
      </w:pPr>
      <w:bookmarkStart w:id="222" w:name="_Toc4913"/>
      <w:bookmarkStart w:id="223" w:name="_Toc30984"/>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评标委员会对投标人提交的澄清、说明或补正有疑问的，可以要求投标人进一步澄清、说明或补正，直至满足评标委员会的要求。</w:t>
      </w:r>
      <w:r>
        <w:rPr>
          <w:rFonts w:hint="eastAsia" w:ascii="宋体" w:hAnsi="宋体" w:eastAsia="宋体" w:cs="宋体"/>
          <w:color w:val="auto"/>
          <w:sz w:val="24"/>
          <w:szCs w:val="24"/>
          <w:highlight w:val="none"/>
        </w:rPr>
        <w:br w:type="page"/>
      </w:r>
    </w:p>
    <w:p w14:paraId="1BA54439">
      <w:pPr>
        <w:pStyle w:val="2"/>
        <w:bidi w:val="0"/>
        <w:jc w:val="center"/>
        <w:rPr>
          <w:rFonts w:hint="eastAsia"/>
          <w:color w:val="auto"/>
          <w:highlight w:val="none"/>
        </w:rPr>
      </w:pPr>
      <w:bookmarkStart w:id="224" w:name="_Toc12750"/>
      <w:bookmarkStart w:id="225" w:name="_Toc26433"/>
      <w:r>
        <w:rPr>
          <w:rFonts w:hint="eastAsia"/>
          <w:color w:val="auto"/>
          <w:highlight w:val="none"/>
        </w:rPr>
        <w:t>第六部分  投标文件格式</w:t>
      </w:r>
      <w:bookmarkEnd w:id="189"/>
      <w:bookmarkEnd w:id="190"/>
      <w:bookmarkEnd w:id="191"/>
      <w:bookmarkEnd w:id="192"/>
      <w:bookmarkEnd w:id="193"/>
      <w:bookmarkEnd w:id="194"/>
      <w:bookmarkEnd w:id="195"/>
      <w:bookmarkEnd w:id="222"/>
      <w:bookmarkEnd w:id="223"/>
      <w:bookmarkEnd w:id="224"/>
      <w:bookmarkEnd w:id="225"/>
    </w:p>
    <w:p w14:paraId="063283AB">
      <w:pPr>
        <w:autoSpaceDE w:val="0"/>
        <w:autoSpaceDN w:val="0"/>
        <w:adjustRightInd w:val="0"/>
        <w:spacing w:line="360" w:lineRule="auto"/>
        <w:ind w:firstLine="480"/>
        <w:rPr>
          <w:rFonts w:hint="eastAsia" w:ascii="宋体" w:hAnsi="宋体" w:cs="宋体"/>
          <w:color w:val="auto"/>
          <w:sz w:val="24"/>
          <w:highlight w:val="none"/>
        </w:rPr>
      </w:pPr>
    </w:p>
    <w:p w14:paraId="2339F357">
      <w:pPr>
        <w:pStyle w:val="2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1417136">
      <w:pPr>
        <w:pStyle w:val="2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1．投标文件由投标人根据采购文件要求参照附件格式编制。</w:t>
      </w:r>
    </w:p>
    <w:p w14:paraId="4123C5B7">
      <w:pPr>
        <w:pStyle w:val="2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2．投标人根据实际情况填写。</w:t>
      </w:r>
    </w:p>
    <w:p w14:paraId="5B947D00">
      <w:pPr>
        <w:pStyle w:val="2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3．采购文件中没有参考格式的，投标人自行编制。</w:t>
      </w:r>
    </w:p>
    <w:p w14:paraId="2B16CDC3">
      <w:pPr>
        <w:autoSpaceDE w:val="0"/>
        <w:autoSpaceDN w:val="0"/>
        <w:adjustRightInd w:val="0"/>
        <w:rPr>
          <w:rFonts w:hint="eastAsia" w:ascii="宋体" w:hAnsi="宋体" w:cs="宋体"/>
          <w:bCs/>
          <w:color w:val="auto"/>
          <w:highlight w:val="none"/>
        </w:rPr>
      </w:pPr>
      <w:r>
        <w:rPr>
          <w:rFonts w:hint="eastAsia" w:ascii="宋体" w:hAnsi="宋体" w:cs="宋体"/>
          <w:b/>
          <w:bCs/>
          <w:color w:val="auto"/>
          <w:sz w:val="32"/>
          <w:szCs w:val="32"/>
          <w:highlight w:val="none"/>
        </w:rPr>
        <w:br w:type="page"/>
      </w:r>
      <w:bookmarkStart w:id="226" w:name="_Toc30357"/>
      <w:bookmarkStart w:id="227" w:name="_Toc15142"/>
      <w:bookmarkStart w:id="228" w:name="_Toc1647"/>
      <w:bookmarkStart w:id="229" w:name="_Toc27220"/>
      <w:bookmarkStart w:id="230" w:name="_Toc1074"/>
      <w:r>
        <w:rPr>
          <w:rFonts w:hint="eastAsia" w:ascii="宋体" w:hAnsi="宋体" w:cs="宋体"/>
          <w:b/>
          <w:snapToGrid w:val="0"/>
          <w:color w:val="auto"/>
          <w:kern w:val="0"/>
          <w:sz w:val="32"/>
          <w:szCs w:val="32"/>
          <w:highlight w:val="none"/>
        </w:rPr>
        <w:t>一、</w:t>
      </w:r>
      <w:bookmarkEnd w:id="226"/>
      <w:bookmarkEnd w:id="227"/>
      <w:bookmarkEnd w:id="228"/>
      <w:bookmarkEnd w:id="229"/>
      <w:bookmarkEnd w:id="230"/>
      <w:r>
        <w:rPr>
          <w:rFonts w:hint="eastAsia" w:ascii="宋体" w:hAnsi="宋体" w:cs="宋体"/>
          <w:b/>
          <w:color w:val="auto"/>
          <w:sz w:val="32"/>
          <w:szCs w:val="32"/>
          <w:highlight w:val="none"/>
        </w:rPr>
        <w:t>资格投标文件封面格式</w:t>
      </w:r>
    </w:p>
    <w:p w14:paraId="5F3AA748">
      <w:pPr>
        <w:autoSpaceDE w:val="0"/>
        <w:autoSpaceDN w:val="0"/>
        <w:adjustRightInd w:val="0"/>
        <w:rPr>
          <w:rFonts w:hint="eastAsia" w:ascii="宋体" w:hAnsi="宋体" w:cs="宋体"/>
          <w:b/>
          <w:bCs/>
          <w:color w:val="auto"/>
          <w:highlight w:val="none"/>
        </w:rPr>
      </w:pPr>
    </w:p>
    <w:p w14:paraId="010AEBCB">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p>
    <w:p w14:paraId="51FB56A6">
      <w:pPr>
        <w:spacing w:line="360" w:lineRule="auto"/>
        <w:jc w:val="center"/>
        <w:rPr>
          <w:rFonts w:hint="eastAsia" w:ascii="宋体" w:hAnsi="宋体" w:cs="宋体"/>
          <w:b/>
          <w:color w:val="auto"/>
          <w:sz w:val="44"/>
          <w:szCs w:val="44"/>
          <w:highlight w:val="none"/>
          <w:lang w:eastAsia="zh-CN"/>
        </w:rPr>
      </w:pPr>
      <w:r>
        <w:rPr>
          <w:rFonts w:hint="eastAsia" w:ascii="宋体" w:hAnsi="宋体" w:cs="宋体"/>
          <w:b/>
          <w:color w:val="auto"/>
          <w:sz w:val="44"/>
          <w:szCs w:val="44"/>
          <w:highlight w:val="none"/>
          <w:lang w:eastAsia="zh-CN"/>
        </w:rPr>
        <w:t>浦江县交投贸易有限公司2024年-2025年</w:t>
      </w:r>
    </w:p>
    <w:p w14:paraId="1E5260B2">
      <w:pPr>
        <w:spacing w:line="360" w:lineRule="auto"/>
        <w:jc w:val="center"/>
        <w:rPr>
          <w:rFonts w:hint="eastAsia" w:ascii="宋体" w:hAnsi="宋体" w:cs="宋体"/>
          <w:b/>
          <w:color w:val="auto"/>
          <w:sz w:val="44"/>
          <w:szCs w:val="44"/>
          <w:highlight w:val="none"/>
          <w:lang w:eastAsia="zh-CN"/>
        </w:rPr>
      </w:pPr>
      <w:r>
        <w:rPr>
          <w:rFonts w:hint="eastAsia" w:ascii="宋体" w:hAnsi="宋体" w:cs="宋体"/>
          <w:b/>
          <w:color w:val="auto"/>
          <w:sz w:val="44"/>
          <w:szCs w:val="44"/>
          <w:highlight w:val="none"/>
          <w:lang w:eastAsia="zh-CN"/>
        </w:rPr>
        <w:t>石灰岩采购项目</w:t>
      </w:r>
    </w:p>
    <w:p w14:paraId="7B85FF8D">
      <w:pPr>
        <w:pStyle w:val="25"/>
        <w:rPr>
          <w:rFonts w:hint="eastAsia"/>
          <w:color w:val="auto"/>
          <w:lang w:eastAsia="zh-CN"/>
        </w:rPr>
      </w:pPr>
    </w:p>
    <w:p w14:paraId="1911BFE3">
      <w:pPr>
        <w:pStyle w:val="25"/>
        <w:rPr>
          <w:rFonts w:hint="eastAsia"/>
          <w:color w:val="auto"/>
          <w:lang w:eastAsia="zh-CN"/>
        </w:rPr>
      </w:pPr>
    </w:p>
    <w:p w14:paraId="668D755D">
      <w:pPr>
        <w:spacing w:line="360" w:lineRule="auto"/>
        <w:jc w:val="center"/>
        <w:rPr>
          <w:rFonts w:hint="eastAsia"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14:paraId="6FF9826E">
      <w:pPr>
        <w:autoSpaceDE w:val="0"/>
        <w:autoSpaceDN w:val="0"/>
        <w:adjustRightInd w:val="0"/>
        <w:spacing w:line="360" w:lineRule="auto"/>
        <w:jc w:val="center"/>
        <w:rPr>
          <w:rFonts w:hint="eastAsia" w:ascii="宋体" w:hAnsi="宋体" w:cs="宋体"/>
          <w:b/>
          <w:color w:val="auto"/>
          <w:sz w:val="44"/>
          <w:szCs w:val="44"/>
          <w:highlight w:val="none"/>
        </w:rPr>
      </w:pPr>
    </w:p>
    <w:p w14:paraId="192E55A4">
      <w:pPr>
        <w:autoSpaceDE w:val="0"/>
        <w:autoSpaceDN w:val="0"/>
        <w:adjustRightInd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（资格投标文件）</w:t>
      </w:r>
    </w:p>
    <w:p w14:paraId="6FDD47A5">
      <w:pPr>
        <w:autoSpaceDE w:val="0"/>
        <w:autoSpaceDN w:val="0"/>
        <w:adjustRightInd w:val="0"/>
        <w:spacing w:line="360" w:lineRule="auto"/>
        <w:jc w:val="center"/>
        <w:rPr>
          <w:rFonts w:hint="eastAsia" w:ascii="宋体" w:hAnsi="宋体" w:cs="宋体"/>
          <w:b/>
          <w:color w:val="auto"/>
          <w:sz w:val="32"/>
          <w:szCs w:val="32"/>
          <w:highlight w:val="none"/>
        </w:rPr>
      </w:pPr>
    </w:p>
    <w:p w14:paraId="25D3C1D1">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PJCQGK(JTMY)2024-1030A</w:t>
      </w:r>
      <w:r>
        <w:rPr>
          <w:rFonts w:hint="eastAsia" w:ascii="宋体" w:hAnsi="宋体" w:cs="宋体"/>
          <w:b/>
          <w:color w:val="auto"/>
          <w:sz w:val="32"/>
          <w:szCs w:val="32"/>
          <w:highlight w:val="none"/>
        </w:rPr>
        <w:t xml:space="preserve">  </w:t>
      </w:r>
    </w:p>
    <w:p w14:paraId="2FAE606B">
      <w:pPr>
        <w:pStyle w:val="44"/>
        <w:ind w:firstLine="480"/>
        <w:rPr>
          <w:rFonts w:hint="eastAsia"/>
          <w:color w:val="auto"/>
          <w:highlight w:val="none"/>
        </w:rPr>
      </w:pPr>
    </w:p>
    <w:p w14:paraId="2B88AF24">
      <w:pPr>
        <w:autoSpaceDE w:val="0"/>
        <w:autoSpaceDN w:val="0"/>
        <w:adjustRightInd w:val="0"/>
        <w:spacing w:line="360" w:lineRule="auto"/>
        <w:rPr>
          <w:rFonts w:hint="eastAsia" w:ascii="宋体" w:hAnsi="宋体" w:cs="宋体"/>
          <w:b/>
          <w:color w:val="auto"/>
          <w:sz w:val="32"/>
          <w:szCs w:val="32"/>
          <w:highlight w:val="none"/>
        </w:rPr>
      </w:pPr>
    </w:p>
    <w:p w14:paraId="06AF5066">
      <w:pPr>
        <w:autoSpaceDE w:val="0"/>
        <w:autoSpaceDN w:val="0"/>
        <w:adjustRightInd w:val="0"/>
        <w:spacing w:line="360" w:lineRule="auto"/>
        <w:rPr>
          <w:rFonts w:hint="eastAsia" w:ascii="宋体" w:hAnsi="宋体" w:cs="宋体"/>
          <w:b/>
          <w:color w:val="auto"/>
          <w:sz w:val="32"/>
          <w:szCs w:val="32"/>
          <w:highlight w:val="none"/>
        </w:rPr>
      </w:pPr>
    </w:p>
    <w:p w14:paraId="20A5AF2E">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投标人名称（盖电子公章）：</w:t>
      </w:r>
      <w:r>
        <w:rPr>
          <w:rFonts w:hint="eastAsia" w:ascii="宋体" w:hAnsi="宋体" w:cs="宋体"/>
          <w:b/>
          <w:color w:val="auto"/>
          <w:sz w:val="32"/>
          <w:szCs w:val="32"/>
          <w:highlight w:val="none"/>
          <w:u w:val="single"/>
        </w:rPr>
        <w:t xml:space="preserve">                             </w:t>
      </w:r>
    </w:p>
    <w:p w14:paraId="048F9429">
      <w:pPr>
        <w:autoSpaceDE w:val="0"/>
        <w:autoSpaceDN w:val="0"/>
        <w:adjustRightInd w:val="0"/>
        <w:spacing w:line="360" w:lineRule="auto"/>
        <w:rPr>
          <w:rFonts w:hint="eastAsia" w:ascii="宋体" w:hAnsi="宋体" w:cs="宋体"/>
          <w:b/>
          <w:color w:val="auto"/>
          <w:sz w:val="32"/>
          <w:szCs w:val="32"/>
          <w:highlight w:val="none"/>
        </w:rPr>
      </w:pPr>
    </w:p>
    <w:p w14:paraId="6F3AA707">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法定代表人或授权代表(签字或盖章)： </w:t>
      </w:r>
      <w:r>
        <w:rPr>
          <w:rFonts w:hint="eastAsia" w:ascii="宋体" w:hAnsi="宋体" w:cs="宋体"/>
          <w:b/>
          <w:color w:val="auto"/>
          <w:sz w:val="32"/>
          <w:szCs w:val="32"/>
          <w:highlight w:val="none"/>
          <w:u w:val="single"/>
        </w:rPr>
        <w:t xml:space="preserve">              </w:t>
      </w:r>
    </w:p>
    <w:p w14:paraId="4E66B332">
      <w:pPr>
        <w:autoSpaceDE w:val="0"/>
        <w:autoSpaceDN w:val="0"/>
        <w:adjustRightInd w:val="0"/>
        <w:spacing w:line="360" w:lineRule="auto"/>
        <w:rPr>
          <w:rFonts w:hint="eastAsia" w:ascii="宋体" w:hAnsi="宋体" w:cs="宋体"/>
          <w:b/>
          <w:color w:val="auto"/>
          <w:sz w:val="32"/>
          <w:szCs w:val="32"/>
          <w:highlight w:val="none"/>
        </w:rPr>
      </w:pPr>
    </w:p>
    <w:p w14:paraId="32D510AA">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时间：    年   月   日</w:t>
      </w:r>
    </w:p>
    <w:p w14:paraId="5534221E">
      <w:pPr>
        <w:pStyle w:val="44"/>
        <w:rPr>
          <w:rFonts w:hint="eastAsia"/>
          <w:color w:val="auto"/>
          <w:highlight w:val="none"/>
        </w:rPr>
      </w:pPr>
    </w:p>
    <w:p w14:paraId="6E903FEC">
      <w:pPr>
        <w:pStyle w:val="44"/>
        <w:rPr>
          <w:rFonts w:hint="eastAsia"/>
          <w:color w:val="auto"/>
          <w:highlight w:val="none"/>
        </w:rPr>
      </w:pPr>
    </w:p>
    <w:p w14:paraId="2CB538AC">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目  录</w:t>
      </w:r>
    </w:p>
    <w:p w14:paraId="6ABD789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auto"/>
          <w:sz w:val="24"/>
          <w:szCs w:val="24"/>
          <w:highlight w:val="none"/>
        </w:rPr>
      </w:pPr>
      <w:bookmarkStart w:id="231" w:name="_Toc8920"/>
      <w:bookmarkStart w:id="232" w:name="_Toc16631"/>
      <w:bookmarkStart w:id="233" w:name="_Toc3961"/>
      <w:bookmarkStart w:id="234" w:name="_Toc9303"/>
      <w:r>
        <w:rPr>
          <w:rFonts w:hint="eastAsia" w:ascii="宋体" w:hAnsi="宋体" w:eastAsia="宋体" w:cs="宋体"/>
          <w:b/>
          <w:bCs/>
          <w:color w:val="auto"/>
          <w:sz w:val="24"/>
          <w:szCs w:val="24"/>
          <w:highlight w:val="none"/>
        </w:rPr>
        <w:t>1.投标声明书（格式附后）</w:t>
      </w:r>
    </w:p>
    <w:p w14:paraId="1AA5134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2.资格承诺函（格式附后）</w:t>
      </w:r>
    </w:p>
    <w:p w14:paraId="4DFD97D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3.具有独立承担民事责任能力的说明材料：</w:t>
      </w:r>
    </w:p>
    <w:p w14:paraId="255CB9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投标人须在投标文件中出具符合以下情况的说明材料复印件（五选一）：</w:t>
      </w:r>
    </w:p>
    <w:p w14:paraId="0D2331A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①如投标人是企业（包括合伙企业），提供在工商部门注册的有效“企业法人营业执照”或“营业执照”；</w:t>
      </w:r>
    </w:p>
    <w:p w14:paraId="252CAC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②如投标人是事业单位，提供有效的“事业单位法人证书”；</w:t>
      </w:r>
    </w:p>
    <w:p w14:paraId="20BF64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③如投标人是非企业专业服务机构的，提供执业许可证等说明文件；</w:t>
      </w:r>
    </w:p>
    <w:p w14:paraId="085309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④如投标人是个体工商户，提供有效的“个体工商户营业执照”；</w:t>
      </w:r>
    </w:p>
    <w:p w14:paraId="51F5DC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⑤如投标人是自然人，提供有效的自然人身份说明（居民身份证正反面或公安机关出具的临时居民身份证正反面或港澳台胞证或护照）。</w:t>
      </w:r>
    </w:p>
    <w:p w14:paraId="6BAD93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34CBD1C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投标保证金凭证。</w:t>
      </w:r>
    </w:p>
    <w:p w14:paraId="54D8E457">
      <w:pPr>
        <w:pStyle w:val="44"/>
        <w:numPr>
          <w:ilvl w:val="0"/>
          <w:numId w:val="0"/>
        </w:numPr>
        <w:ind w:leftChars="0"/>
        <w:rPr>
          <w:rFonts w:hint="eastAsia"/>
          <w:color w:val="auto"/>
          <w:highlight w:val="none"/>
          <w:lang w:val="en-US" w:eastAsia="zh-CN"/>
        </w:rPr>
      </w:pPr>
    </w:p>
    <w:p w14:paraId="11AC12F4">
      <w:pPr>
        <w:snapToGrid w:val="0"/>
        <w:spacing w:line="28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 xml:space="preserve">注：以上资料为强制性资格要求，投标时投标人必须提供扫描件，未提供的作否决投标处理。同时投标人应确保资料的真实、有效，一经查实存在弄虚作假行为的，作否决投标处理，同时对其不良行为予以记录，并纳入统一的信用信息平台。  </w:t>
      </w:r>
    </w:p>
    <w:p w14:paraId="56B95223">
      <w:pPr>
        <w:snapToGrid w:val="0"/>
        <w:spacing w:before="50" w:after="120" w:afterLines="50" w:line="400" w:lineRule="exact"/>
        <w:jc w:val="both"/>
        <w:rPr>
          <w:rFonts w:hint="eastAsia" w:hAnsi="宋体" w:cs="宋体"/>
          <w:b/>
          <w:color w:val="auto"/>
          <w:sz w:val="32"/>
          <w:szCs w:val="32"/>
          <w:highlight w:val="none"/>
          <w:u w:val="single"/>
        </w:rPr>
      </w:pPr>
    </w:p>
    <w:p w14:paraId="006861B7">
      <w:pPr>
        <w:snapToGrid w:val="0"/>
        <w:spacing w:before="50" w:after="120" w:afterLines="50" w:line="400" w:lineRule="exact"/>
        <w:jc w:val="center"/>
        <w:rPr>
          <w:rFonts w:hint="eastAsia" w:hAnsi="宋体" w:cs="宋体"/>
          <w:b/>
          <w:color w:val="auto"/>
          <w:sz w:val="32"/>
          <w:szCs w:val="32"/>
          <w:highlight w:val="none"/>
          <w:u w:val="single"/>
        </w:rPr>
      </w:pPr>
      <w:r>
        <w:rPr>
          <w:rFonts w:hint="eastAsia" w:hAnsi="宋体" w:cs="宋体"/>
          <w:b/>
          <w:color w:val="auto"/>
          <w:sz w:val="32"/>
          <w:szCs w:val="32"/>
          <w:highlight w:val="none"/>
          <w:u w:val="single"/>
        </w:rPr>
        <w:t>附后无格式部</w:t>
      </w:r>
      <w:r>
        <w:rPr>
          <w:rFonts w:hint="eastAsia" w:hAnsi="宋体" w:cs="宋体"/>
          <w:b/>
          <w:color w:val="auto"/>
          <w:sz w:val="32"/>
          <w:szCs w:val="32"/>
          <w:highlight w:val="none"/>
          <w:u w:val="single"/>
          <w:lang w:eastAsia="zh-CN"/>
        </w:rPr>
        <w:t>分由</w:t>
      </w:r>
      <w:r>
        <w:rPr>
          <w:rFonts w:hint="eastAsia" w:hAnsi="宋体" w:cs="宋体"/>
          <w:b/>
          <w:color w:val="auto"/>
          <w:sz w:val="32"/>
          <w:szCs w:val="32"/>
          <w:highlight w:val="none"/>
          <w:u w:val="single"/>
        </w:rPr>
        <w:t>各投标人规定自行编制</w:t>
      </w:r>
    </w:p>
    <w:p w14:paraId="3B561417">
      <w:pPr>
        <w:snapToGrid w:val="0"/>
        <w:spacing w:line="360" w:lineRule="auto"/>
        <w:jc w:val="center"/>
        <w:rPr>
          <w:rFonts w:hint="eastAsia" w:ascii="宋体" w:hAnsi="宋体" w:cs="宋体"/>
          <w:b/>
          <w:bCs/>
          <w:color w:val="auto"/>
          <w:sz w:val="32"/>
          <w:szCs w:val="32"/>
          <w:highlight w:val="none"/>
        </w:rPr>
      </w:pPr>
    </w:p>
    <w:p w14:paraId="6F44BC0D">
      <w:pPr>
        <w:snapToGrid w:val="0"/>
        <w:spacing w:line="360" w:lineRule="auto"/>
        <w:jc w:val="center"/>
        <w:rPr>
          <w:rFonts w:hint="eastAsia" w:ascii="宋体" w:hAnsi="宋体" w:cs="宋体"/>
          <w:b/>
          <w:bCs/>
          <w:color w:val="auto"/>
          <w:sz w:val="32"/>
          <w:szCs w:val="32"/>
          <w:highlight w:val="none"/>
        </w:rPr>
      </w:pPr>
    </w:p>
    <w:p w14:paraId="70BDE57D">
      <w:pPr>
        <w:snapToGrid w:val="0"/>
        <w:spacing w:line="360" w:lineRule="auto"/>
        <w:jc w:val="center"/>
        <w:rPr>
          <w:rFonts w:hint="eastAsia" w:ascii="宋体" w:hAnsi="宋体" w:cs="宋体"/>
          <w:b/>
          <w:bCs/>
          <w:color w:val="auto"/>
          <w:sz w:val="32"/>
          <w:szCs w:val="32"/>
          <w:highlight w:val="none"/>
        </w:rPr>
      </w:pPr>
    </w:p>
    <w:p w14:paraId="7D4384E0">
      <w:pPr>
        <w:snapToGrid w:val="0"/>
        <w:spacing w:line="360" w:lineRule="auto"/>
        <w:jc w:val="center"/>
        <w:rPr>
          <w:rFonts w:hint="eastAsia" w:ascii="宋体" w:hAnsi="宋体" w:cs="宋体"/>
          <w:b/>
          <w:bCs/>
          <w:color w:val="auto"/>
          <w:sz w:val="32"/>
          <w:szCs w:val="32"/>
          <w:highlight w:val="none"/>
        </w:rPr>
      </w:pPr>
    </w:p>
    <w:p w14:paraId="2349B2A5">
      <w:pPr>
        <w:pStyle w:val="44"/>
        <w:rPr>
          <w:rFonts w:hint="eastAsia" w:ascii="宋体" w:hAnsi="宋体" w:cs="宋体"/>
          <w:b/>
          <w:bCs/>
          <w:color w:val="auto"/>
          <w:sz w:val="32"/>
          <w:szCs w:val="32"/>
          <w:highlight w:val="none"/>
        </w:rPr>
      </w:pPr>
    </w:p>
    <w:p w14:paraId="1E8857D2">
      <w:pPr>
        <w:bidi w:val="0"/>
        <w:rPr>
          <w:rFonts w:hint="eastAsia"/>
          <w:color w:val="auto"/>
          <w:highlight w:val="none"/>
        </w:rPr>
      </w:pPr>
    </w:p>
    <w:p w14:paraId="27C9B0AC">
      <w:pPr>
        <w:snapToGrid w:val="0"/>
        <w:spacing w:before="50" w:after="156" w:afterLines="50" w:line="360" w:lineRule="auto"/>
        <w:jc w:val="left"/>
        <w:rPr>
          <w:rFonts w:hint="eastAsia" w:ascii="宋体" w:hAnsi="宋体" w:eastAsia="宋体" w:cs="宋体"/>
          <w:b/>
          <w:bCs/>
          <w:color w:val="auto"/>
          <w:sz w:val="30"/>
          <w:szCs w:val="24"/>
          <w:highlight w:val="none"/>
        </w:rPr>
      </w:pPr>
      <w:r>
        <w:rPr>
          <w:rFonts w:hint="eastAsia" w:ascii="宋体" w:hAnsi="宋体" w:eastAsia="宋体" w:cs="宋体"/>
          <w:b/>
          <w:color w:val="auto"/>
          <w:sz w:val="24"/>
          <w:szCs w:val="24"/>
          <w:highlight w:val="none"/>
        </w:rPr>
        <w:t>投标声明书格式</w:t>
      </w:r>
      <w:r>
        <w:rPr>
          <w:rFonts w:hint="eastAsia" w:ascii="宋体" w:hAnsi="宋体" w:eastAsia="宋体" w:cs="宋体"/>
          <w:color w:val="auto"/>
          <w:sz w:val="24"/>
          <w:szCs w:val="24"/>
          <w:highlight w:val="none"/>
        </w:rPr>
        <w:t>：</w:t>
      </w:r>
    </w:p>
    <w:p w14:paraId="35416C2B">
      <w:pPr>
        <w:snapToGrid w:val="0"/>
        <w:spacing w:before="156" w:beforeLines="50" w:after="50" w:line="240" w:lineRule="auto"/>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30"/>
          <w:szCs w:val="24"/>
          <w:highlight w:val="none"/>
        </w:rPr>
        <w:t>投标声明书</w:t>
      </w:r>
    </w:p>
    <w:p w14:paraId="2C8553CF">
      <w:pPr>
        <w:snapToGrid w:val="0"/>
        <w:spacing w:before="156" w:beforeLines="50" w:after="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w:t>
      </w:r>
    </w:p>
    <w:p w14:paraId="70FCB803">
      <w:pPr>
        <w:snapToGrid w:val="0"/>
        <w:spacing w:before="156" w:beforeLines="50" w:after="50" w:line="24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5BF2862">
      <w:pPr>
        <w:snapToGrid w:val="0"/>
        <w:spacing w:before="156" w:beforeLines="50" w:after="50" w:line="240" w:lineRule="auto"/>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（投标人名称）的法定代表人，我方愿意参加贵方组织的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项目的投标，为便于贵方公正、择优地确定中标人及其投标产品和服务，我方就本次投标有关事项郑重声明如下：</w:t>
      </w:r>
    </w:p>
    <w:p w14:paraId="58A3A6D2">
      <w:pPr>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1.我方向贵方提交的所有投标文件、资料都是准确的和真实的。我方在近三年内的经营活动中没有重大违法记录，且财务状况良好，并已依法按时缴纳税收和社会保障资金，具备履行本项目合同</w:t>
      </w:r>
      <w:r>
        <w:rPr>
          <w:rFonts w:hint="eastAsia" w:ascii="宋体" w:hAnsi="宋体" w:cs="宋体"/>
          <w:color w:val="auto"/>
          <w:sz w:val="24"/>
          <w:szCs w:val="24"/>
          <w:highlight w:val="none"/>
          <w:lang w:eastAsia="zh-CN"/>
        </w:rPr>
        <w:t>所必需的</w:t>
      </w:r>
      <w:r>
        <w:rPr>
          <w:rFonts w:hint="eastAsia" w:ascii="宋体" w:hAnsi="宋体" w:eastAsia="宋体" w:cs="宋体"/>
          <w:color w:val="auto"/>
          <w:sz w:val="24"/>
          <w:szCs w:val="24"/>
          <w:highlight w:val="none"/>
        </w:rPr>
        <w:t>设备和专业技术能力。</w:t>
      </w:r>
    </w:p>
    <w:p w14:paraId="16CA5E91">
      <w:pPr>
        <w:snapToGrid w:val="0"/>
        <w:spacing w:before="156" w:beforeLines="50"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2.我方不是采购人的附属机构；在获知本项目采购信息后，与采购人聘请的为此项目提供咨询服务的公司及其附属机构没有任何联系。</w:t>
      </w:r>
    </w:p>
    <w:p w14:paraId="69366BF5">
      <w:pPr>
        <w:snapToGrid w:val="0"/>
        <w:spacing w:before="156" w:beforeLines="50"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.我方诚意提请贵方关注：近期有关该型号产品的生产、供货、售后服务以及性能等方面的重大决策和事项有：</w:t>
      </w:r>
      <w:r>
        <w:rPr>
          <w:rFonts w:hint="eastAsia" w:ascii="宋体" w:hAnsi="宋体" w:eastAsia="宋体" w:cs="宋体"/>
          <w:color w:val="auto"/>
          <w:sz w:val="24"/>
          <w:szCs w:val="24"/>
          <w:highlight w:val="none"/>
          <w:u w:val="single"/>
        </w:rPr>
        <w:t>　　　　　　　　　　　　　　　　　　　　　　　　　　　</w:t>
      </w:r>
    </w:p>
    <w:p w14:paraId="4CD360D3">
      <w:pPr>
        <w:snapToGrid w:val="0"/>
        <w:spacing w:line="240" w:lineRule="auto"/>
        <w:ind w:firstLine="464"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pacing w:val="-4"/>
          <w:sz w:val="24"/>
          <w:szCs w:val="20"/>
          <w:highlight w:val="none"/>
          <w:lang w:val="en-US" w:eastAsia="zh-CN"/>
        </w:rPr>
        <w:t>4</w:t>
      </w:r>
      <w:r>
        <w:rPr>
          <w:rFonts w:hint="eastAsia" w:ascii="宋体" w:hAnsi="宋体" w:eastAsia="宋体" w:cs="宋体"/>
          <w:color w:val="auto"/>
          <w:spacing w:val="-4"/>
          <w:sz w:val="24"/>
          <w:szCs w:val="20"/>
          <w:highlight w:val="none"/>
        </w:rPr>
        <w:t>.我方及由本人担任法定代表人的其他机构最近三年内被通报或者被处罚的违法行为有：</w:t>
      </w:r>
      <w:r>
        <w:rPr>
          <w:rFonts w:hint="eastAsia" w:ascii="宋体" w:hAnsi="宋体" w:eastAsia="宋体" w:cs="宋体"/>
          <w:color w:val="auto"/>
          <w:sz w:val="24"/>
          <w:szCs w:val="24"/>
          <w:highlight w:val="none"/>
          <w:u w:val="single"/>
        </w:rPr>
        <w:t>　　　　　　　　　　　　　　　　　　　　　　　　　　　</w:t>
      </w:r>
    </w:p>
    <w:p w14:paraId="5DC337B9">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0"/>
          <w:highlight w:val="none"/>
          <w:lang w:val="en-US" w:eastAsia="zh-CN"/>
        </w:rPr>
        <w:t>5</w:t>
      </w:r>
      <w:r>
        <w:rPr>
          <w:rFonts w:hint="eastAsia" w:ascii="宋体" w:hAnsi="宋体" w:eastAsia="宋体" w:cs="宋体"/>
          <w:color w:val="auto"/>
          <w:spacing w:val="-4"/>
          <w:sz w:val="24"/>
          <w:szCs w:val="20"/>
          <w:highlight w:val="none"/>
        </w:rPr>
        <w:t>.</w:t>
      </w:r>
      <w:r>
        <w:rPr>
          <w:rFonts w:hint="eastAsia" w:ascii="宋体" w:hAnsi="宋体" w:eastAsia="宋体" w:cs="宋体"/>
          <w:color w:val="auto"/>
          <w:spacing w:val="-4"/>
          <w:sz w:val="24"/>
          <w:szCs w:val="24"/>
          <w:highlight w:val="none"/>
        </w:rPr>
        <w:t>我们已详细审查全部招标文件及有关的澄清、修改文件（若有的话），我们完全理解并同意放弃对这方面提出任何异议的权利。保证遵守招标文件有关条款规定。</w:t>
      </w:r>
    </w:p>
    <w:p w14:paraId="691BB5F8">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6.</w:t>
      </w:r>
      <w:r>
        <w:rPr>
          <w:rFonts w:hint="eastAsia" w:ascii="宋体" w:hAnsi="宋体" w:eastAsia="宋体" w:cs="宋体"/>
          <w:color w:val="auto"/>
          <w:spacing w:val="-4"/>
          <w:sz w:val="24"/>
          <w:szCs w:val="24"/>
          <w:highlight w:val="none"/>
        </w:rPr>
        <w:t>保证在中标后忠实地执行与采购人所签署的合同，并承担合同规定的责任义务。保证在中标后按照招标文件的规定支付采购代理服务费。承诺按</w:t>
      </w:r>
      <w:r>
        <w:rPr>
          <w:rFonts w:hint="eastAsia" w:ascii="宋体" w:hAnsi="宋体" w:eastAsia="宋体" w:cs="宋体"/>
          <w:color w:val="auto"/>
          <w:spacing w:val="-4"/>
          <w:sz w:val="24"/>
          <w:szCs w:val="24"/>
          <w:highlight w:val="none"/>
          <w:lang w:eastAsia="zh-CN"/>
        </w:rPr>
        <w:t>采购人</w:t>
      </w:r>
      <w:r>
        <w:rPr>
          <w:rFonts w:hint="eastAsia" w:ascii="宋体" w:hAnsi="宋体" w:eastAsia="宋体" w:cs="宋体"/>
          <w:color w:val="auto"/>
          <w:spacing w:val="-4"/>
          <w:sz w:val="24"/>
          <w:szCs w:val="24"/>
          <w:highlight w:val="none"/>
        </w:rPr>
        <w:t>要求</w:t>
      </w:r>
      <w:r>
        <w:rPr>
          <w:rFonts w:hint="eastAsia" w:ascii="宋体" w:hAnsi="宋体" w:cs="宋体"/>
          <w:color w:val="auto"/>
          <w:spacing w:val="-4"/>
          <w:sz w:val="24"/>
          <w:szCs w:val="24"/>
          <w:highlight w:val="none"/>
          <w:lang w:eastAsia="zh-CN"/>
        </w:rPr>
        <w:t>做好</w:t>
      </w:r>
      <w:r>
        <w:rPr>
          <w:rFonts w:hint="eastAsia" w:ascii="宋体" w:hAnsi="宋体" w:eastAsia="宋体" w:cs="宋体"/>
          <w:color w:val="auto"/>
          <w:spacing w:val="-4"/>
          <w:sz w:val="24"/>
          <w:szCs w:val="24"/>
          <w:highlight w:val="none"/>
        </w:rPr>
        <w:t>保密工作。</w:t>
      </w:r>
    </w:p>
    <w:p w14:paraId="05D63860">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rPr>
        <w:t>我们郑重声明：我公司符合采购法规定的参加活动应当具备的条件：具有健全的财务会计制度、依法缴纳税收和社会保障资金、参加本次采购活动之前的三年内，在经营活动中无重大违法活动，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highlight w:val="none"/>
        </w:rPr>
        <w:t>并在人员、设备、技术、资金、售后服务等方面具有相应的服务能力</w:t>
      </w:r>
      <w:r>
        <w:rPr>
          <w:rFonts w:hint="eastAsia" w:ascii="宋体" w:hAnsi="宋体" w:eastAsia="宋体" w:cs="宋体"/>
          <w:color w:val="auto"/>
          <w:spacing w:val="-4"/>
          <w:sz w:val="24"/>
          <w:szCs w:val="24"/>
          <w:highlight w:val="none"/>
        </w:rPr>
        <w:t>。我公司</w:t>
      </w:r>
      <w:r>
        <w:rPr>
          <w:rFonts w:hint="eastAsia" w:ascii="宋体" w:hAnsi="宋体" w:eastAsia="宋体" w:cs="宋体"/>
          <w:color w:val="auto"/>
          <w:spacing w:val="-4"/>
          <w:sz w:val="24"/>
          <w:szCs w:val="20"/>
          <w:highlight w:val="none"/>
        </w:rPr>
        <w:t>未被列入失信被执行人名单、</w:t>
      </w:r>
      <w:r>
        <w:rPr>
          <w:rFonts w:hint="eastAsia" w:ascii="宋体" w:hAnsi="宋体" w:eastAsia="宋体" w:cs="宋体"/>
          <w:color w:val="auto"/>
          <w:spacing w:val="-4"/>
          <w:sz w:val="24"/>
          <w:szCs w:val="20"/>
          <w:highlight w:val="none"/>
          <w:lang w:eastAsia="zh-CN"/>
        </w:rPr>
        <w:t>重大税收违法失信主体</w:t>
      </w:r>
      <w:r>
        <w:rPr>
          <w:rFonts w:hint="eastAsia" w:ascii="宋体" w:hAnsi="宋体" w:eastAsia="宋体" w:cs="宋体"/>
          <w:color w:val="auto"/>
          <w:spacing w:val="-4"/>
          <w:sz w:val="24"/>
          <w:szCs w:val="20"/>
          <w:highlight w:val="none"/>
        </w:rPr>
        <w:t>、政府采购严重违法失信行为记录名单。</w:t>
      </w:r>
    </w:p>
    <w:p w14:paraId="1CE87035">
      <w:pPr>
        <w:snapToGrid w:val="0"/>
        <w:spacing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以上事项如有虚假或隐瞒，我方愿意承担一切后果，并不再寻求任何旨在减轻或免除法律责任的辩解。</w:t>
      </w:r>
    </w:p>
    <w:p w14:paraId="2A7B1F8A">
      <w:pPr>
        <w:spacing w:line="360" w:lineRule="auto"/>
        <w:rPr>
          <w:rFonts w:hint="eastAsia" w:ascii="宋体" w:hAnsi="宋体" w:eastAsia="宋体" w:cs="宋体"/>
          <w:b/>
          <w:color w:val="auto"/>
          <w:sz w:val="21"/>
          <w:szCs w:val="24"/>
          <w:highlight w:val="none"/>
        </w:rPr>
      </w:pPr>
    </w:p>
    <w:p w14:paraId="7905392D">
      <w:pPr>
        <w:spacing w:line="360" w:lineRule="auto"/>
        <w:rPr>
          <w:rFonts w:hint="eastAsia" w:ascii="宋体" w:hAnsi="宋体" w:eastAsia="宋体" w:cs="宋体"/>
          <w:b/>
          <w:color w:val="auto"/>
          <w:sz w:val="21"/>
          <w:szCs w:val="24"/>
          <w:highlight w:val="none"/>
        </w:rPr>
      </w:pPr>
    </w:p>
    <w:p w14:paraId="7987F188">
      <w:pPr>
        <w:spacing w:line="360" w:lineRule="auto"/>
        <w:rPr>
          <w:rFonts w:hint="eastAsia" w:ascii="宋体" w:hAnsi="宋体" w:eastAsia="宋体" w:cs="宋体"/>
          <w:b/>
          <w:color w:val="auto"/>
          <w:sz w:val="21"/>
          <w:szCs w:val="24"/>
          <w:highlight w:val="none"/>
        </w:rPr>
      </w:pPr>
    </w:p>
    <w:p w14:paraId="624F4B18">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14:paraId="33376E65">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14:paraId="013B86C7">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14:paraId="740D3C46">
      <w:pPr>
        <w:spacing w:line="360" w:lineRule="auto"/>
        <w:rPr>
          <w:rFonts w:hint="eastAsia" w:ascii="宋体" w:hAnsi="宋体" w:eastAsia="宋体" w:cs="宋体"/>
          <w:b/>
          <w:color w:val="auto"/>
          <w:sz w:val="21"/>
          <w:szCs w:val="24"/>
          <w:highlight w:val="none"/>
        </w:rPr>
      </w:pPr>
    </w:p>
    <w:p w14:paraId="2C20B9EA">
      <w:pPr>
        <w:spacing w:line="360" w:lineRule="auto"/>
        <w:rPr>
          <w:rFonts w:hint="eastAsia" w:ascii="宋体" w:hAnsi="宋体" w:eastAsia="宋体" w:cs="宋体"/>
          <w:b/>
          <w:color w:val="auto"/>
          <w:sz w:val="21"/>
          <w:szCs w:val="24"/>
          <w:highlight w:val="none"/>
        </w:rPr>
      </w:pPr>
    </w:p>
    <w:p w14:paraId="6E0C6182">
      <w:pPr>
        <w:spacing w:line="360" w:lineRule="auto"/>
        <w:rPr>
          <w:rFonts w:hint="eastAsia" w:ascii="宋体" w:hAnsi="宋体" w:eastAsia="宋体" w:cs="宋体"/>
          <w:b/>
          <w:color w:val="auto"/>
          <w:sz w:val="21"/>
          <w:szCs w:val="24"/>
          <w:highlight w:val="none"/>
        </w:rPr>
      </w:pPr>
    </w:p>
    <w:p w14:paraId="33FA5CCB">
      <w:pPr>
        <w:spacing w:line="360" w:lineRule="auto"/>
        <w:rPr>
          <w:rFonts w:hint="eastAsia" w:ascii="宋体" w:hAnsi="宋体" w:eastAsia="宋体" w:cs="宋体"/>
          <w:b/>
          <w:color w:val="auto"/>
          <w:sz w:val="21"/>
          <w:szCs w:val="24"/>
          <w:highlight w:val="none"/>
        </w:rPr>
      </w:pPr>
    </w:p>
    <w:p w14:paraId="2BE1AD76">
      <w:pPr>
        <w:spacing w:line="360" w:lineRule="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资格承诺函格式：</w:t>
      </w:r>
    </w:p>
    <w:p w14:paraId="32F9F68B">
      <w:pPr>
        <w:snapToGrid w:val="0"/>
        <w:spacing w:before="156" w:beforeLines="50" w:after="50" w:line="240" w:lineRule="auto"/>
        <w:jc w:val="center"/>
        <w:rPr>
          <w:rFonts w:hint="eastAsia"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资格承诺函</w:t>
      </w:r>
    </w:p>
    <w:p w14:paraId="725DAE50">
      <w:pPr>
        <w:pStyle w:val="44"/>
        <w:rPr>
          <w:rFonts w:hint="eastAsia"/>
          <w:color w:val="auto"/>
          <w:highlight w:val="none"/>
        </w:rPr>
      </w:pPr>
    </w:p>
    <w:p w14:paraId="445DCBF0">
      <w:pPr>
        <w:tabs>
          <w:tab w:val="left" w:pos="0"/>
        </w:tabs>
        <w:snapToGrid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采购人）、（采购代理机构）</w:t>
      </w:r>
      <w:r>
        <w:rPr>
          <w:rFonts w:hint="eastAsia" w:ascii="宋体" w:hAnsi="宋体" w:eastAsia="宋体" w:cs="宋体"/>
          <w:color w:val="auto"/>
          <w:kern w:val="0"/>
          <w:sz w:val="24"/>
          <w:szCs w:val="24"/>
          <w:highlight w:val="none"/>
        </w:rPr>
        <w:t>：</w:t>
      </w:r>
    </w:p>
    <w:p w14:paraId="7BC77736">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我方参与</w:t>
      </w:r>
      <w:r>
        <w:rPr>
          <w:rFonts w:hint="eastAsia" w:ascii="宋体" w:hAnsi="宋体" w:eastAsia="宋体" w:cs="宋体"/>
          <w:b/>
          <w:color w:val="auto"/>
          <w:kern w:val="0"/>
          <w:sz w:val="21"/>
          <w:szCs w:val="24"/>
          <w:highlight w:val="none"/>
          <w:u w:val="single"/>
        </w:rPr>
        <w:t xml:space="preserve">          </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b/>
          <w:color w:val="auto"/>
          <w:kern w:val="0"/>
          <w:sz w:val="24"/>
          <w:szCs w:val="24"/>
          <w:highlight w:val="none"/>
          <w:u w:val="single"/>
        </w:rPr>
        <w:t>（项目编号：    ）</w:t>
      </w:r>
      <w:r>
        <w:rPr>
          <w:rFonts w:hint="eastAsia" w:ascii="宋体" w:hAnsi="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活动，郑重承诺：</w:t>
      </w:r>
    </w:p>
    <w:p w14:paraId="0463423B">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（一）具备《中华人民共和国政府采购法》第二十二条第一款规定的条件：</w:t>
      </w:r>
    </w:p>
    <w:p w14:paraId="074ACBA4">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具有独立承担民事责任的能力；</w:t>
      </w:r>
    </w:p>
    <w:p w14:paraId="3E9E9818">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具有良好的商业信誉和健全的财务会计制度； </w:t>
      </w:r>
    </w:p>
    <w:p w14:paraId="34AA250A">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具有履行合同所必需的设备和专业技术能力；</w:t>
      </w:r>
    </w:p>
    <w:p w14:paraId="39404230">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有依法缴纳税收和社会保障资金的良好记录；</w:t>
      </w:r>
    </w:p>
    <w:p w14:paraId="66117228">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参加政府采购活动前三年内，在经营活动中没有重大违法记录；</w:t>
      </w:r>
    </w:p>
    <w:p w14:paraId="737B9EDB">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具有法律、行政法规规定的其他条件。</w:t>
      </w:r>
    </w:p>
    <w:p w14:paraId="6BE02994">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（二）未被信用中国（www.creditchina.gov.cn)、中国政府采购网（www.ccgp.gov.cn）列入失信被执行人、</w:t>
      </w:r>
      <w:r>
        <w:rPr>
          <w:rFonts w:hint="eastAsia" w:ascii="宋体" w:hAnsi="宋体" w:eastAsia="宋体" w:cs="宋体"/>
          <w:color w:val="auto"/>
          <w:kern w:val="0"/>
          <w:sz w:val="24"/>
          <w:szCs w:val="24"/>
          <w:highlight w:val="none"/>
          <w:lang w:eastAsia="zh-CN"/>
        </w:rPr>
        <w:t>重大税收违法失信主体</w:t>
      </w:r>
      <w:r>
        <w:rPr>
          <w:rFonts w:hint="eastAsia" w:ascii="宋体" w:hAnsi="宋体" w:eastAsia="宋体" w:cs="宋体"/>
          <w:color w:val="auto"/>
          <w:kern w:val="0"/>
          <w:sz w:val="24"/>
          <w:szCs w:val="24"/>
          <w:highlight w:val="none"/>
        </w:rPr>
        <w:t>、政府采购严重违法失信行为记录名单。</w:t>
      </w:r>
    </w:p>
    <w:p w14:paraId="0547E430">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（三）不存在以下情况：</w:t>
      </w:r>
    </w:p>
    <w:p w14:paraId="2E22442D">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单位负责人为同一人或者存在直接控股、管理关系的不同供应商参加同一合同项下的政府采购活动的；</w:t>
      </w:r>
    </w:p>
    <w:p w14:paraId="3F6453B9">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为采购项目提供整体设计、规范编制或者项目管理、监理、检测等服务后再参加该采购项目的其他采购活动的。</w:t>
      </w:r>
    </w:p>
    <w:p w14:paraId="0479AEDD">
      <w:pPr>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以上承诺如有虚假或隐瞒，采购人可取消我方任何资格（投标/中标/签订合同），我方对此无任何异议，并愿意承担一切后果和责任。</w:t>
      </w:r>
    </w:p>
    <w:p w14:paraId="50A3AF5F">
      <w:pPr>
        <w:spacing w:line="360" w:lineRule="auto"/>
        <w:ind w:firstLine="420" w:firstLineChars="200"/>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特此承诺！</w:t>
      </w:r>
    </w:p>
    <w:p w14:paraId="2937DD01">
      <w:pPr>
        <w:snapToGrid w:val="0"/>
        <w:spacing w:line="360" w:lineRule="auto"/>
        <w:rPr>
          <w:rFonts w:hint="eastAsia" w:ascii="宋体" w:hAnsi="宋体" w:cs="宋体"/>
          <w:color w:val="auto"/>
          <w:sz w:val="24"/>
          <w:highlight w:val="none"/>
        </w:rPr>
      </w:pPr>
    </w:p>
    <w:p w14:paraId="2B598CC2">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14:paraId="1A1BD6DC">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14:paraId="42B748F3">
      <w:pPr>
        <w:spacing w:line="360" w:lineRule="auto"/>
        <w:rPr>
          <w:rFonts w:hint="eastAsia" w:ascii="宋体" w:hAnsi="宋体" w:eastAsia="宋体" w:cs="宋体"/>
          <w:b/>
          <w:color w:val="auto"/>
          <w:kern w:val="0"/>
          <w:sz w:val="21"/>
          <w:szCs w:val="24"/>
          <w:highlight w:val="none"/>
        </w:rPr>
      </w:pPr>
    </w:p>
    <w:p w14:paraId="363F1CAE">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cs="宋体"/>
          <w:color w:val="auto"/>
          <w:highlight w:val="none"/>
        </w:rPr>
        <w:br w:type="page"/>
      </w:r>
    </w:p>
    <w:p w14:paraId="2B5AABC7">
      <w:pPr>
        <w:autoSpaceDE w:val="0"/>
        <w:autoSpaceDN w:val="0"/>
        <w:adjustRightInd w:val="0"/>
        <w:rPr>
          <w:rFonts w:hint="eastAsia" w:ascii="宋体" w:hAnsi="宋体" w:cs="宋体"/>
          <w:bCs/>
          <w:color w:val="auto"/>
          <w:highlight w:val="none"/>
        </w:rPr>
      </w:pPr>
      <w:r>
        <w:rPr>
          <w:rFonts w:hint="eastAsia" w:ascii="宋体" w:hAnsi="宋体" w:cs="宋体"/>
          <w:b/>
          <w:color w:val="auto"/>
          <w:sz w:val="32"/>
          <w:szCs w:val="32"/>
          <w:highlight w:val="none"/>
        </w:rPr>
        <w:t>二、商务技术投标文件封面格式</w:t>
      </w:r>
    </w:p>
    <w:p w14:paraId="16BE83F1">
      <w:pPr>
        <w:autoSpaceDE w:val="0"/>
        <w:autoSpaceDN w:val="0"/>
        <w:adjustRightInd w:val="0"/>
        <w:rPr>
          <w:rFonts w:hint="eastAsia" w:ascii="宋体" w:hAnsi="宋体" w:cs="宋体"/>
          <w:b/>
          <w:bCs/>
          <w:color w:val="auto"/>
          <w:highlight w:val="none"/>
        </w:rPr>
      </w:pPr>
    </w:p>
    <w:p w14:paraId="5FF1AF07">
      <w:pPr>
        <w:autoSpaceDE w:val="0"/>
        <w:autoSpaceDN w:val="0"/>
        <w:adjustRightInd w:val="0"/>
        <w:spacing w:line="360" w:lineRule="auto"/>
        <w:jc w:val="right"/>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p>
    <w:p w14:paraId="2CCBE705">
      <w:pPr>
        <w:spacing w:line="360" w:lineRule="auto"/>
        <w:jc w:val="center"/>
        <w:rPr>
          <w:rFonts w:hint="eastAsia" w:ascii="宋体" w:hAnsi="宋体" w:cs="宋体"/>
          <w:b/>
          <w:color w:val="auto"/>
          <w:sz w:val="44"/>
          <w:szCs w:val="44"/>
          <w:highlight w:val="none"/>
          <w:lang w:eastAsia="zh-CN"/>
        </w:rPr>
      </w:pPr>
      <w:r>
        <w:rPr>
          <w:rFonts w:hint="eastAsia" w:ascii="宋体" w:hAnsi="宋体" w:cs="宋体"/>
          <w:b/>
          <w:color w:val="auto"/>
          <w:sz w:val="44"/>
          <w:szCs w:val="44"/>
          <w:highlight w:val="none"/>
          <w:lang w:eastAsia="zh-CN"/>
        </w:rPr>
        <w:t>浦江县交投贸易有限公司2024年-2025年</w:t>
      </w:r>
    </w:p>
    <w:p w14:paraId="5716B18B">
      <w:pPr>
        <w:spacing w:line="360" w:lineRule="auto"/>
        <w:jc w:val="center"/>
        <w:rPr>
          <w:rFonts w:hint="eastAsia" w:ascii="宋体" w:hAnsi="宋体" w:cs="宋体"/>
          <w:b/>
          <w:color w:val="auto"/>
          <w:sz w:val="44"/>
          <w:szCs w:val="44"/>
          <w:highlight w:val="none"/>
          <w:lang w:eastAsia="zh-CN"/>
        </w:rPr>
      </w:pPr>
      <w:r>
        <w:rPr>
          <w:rFonts w:hint="eastAsia" w:ascii="宋体" w:hAnsi="宋体" w:cs="宋体"/>
          <w:b/>
          <w:color w:val="auto"/>
          <w:sz w:val="44"/>
          <w:szCs w:val="44"/>
          <w:highlight w:val="none"/>
          <w:lang w:eastAsia="zh-CN"/>
        </w:rPr>
        <w:t>石灰岩采购项目</w:t>
      </w:r>
    </w:p>
    <w:p w14:paraId="51C9CA37">
      <w:pPr>
        <w:spacing w:line="360" w:lineRule="auto"/>
        <w:jc w:val="center"/>
        <w:rPr>
          <w:rFonts w:hint="eastAsia" w:ascii="宋体" w:hAnsi="宋体" w:cs="宋体"/>
          <w:color w:val="auto"/>
          <w:spacing w:val="40"/>
          <w:w w:val="90"/>
          <w:sz w:val="96"/>
          <w:szCs w:val="96"/>
          <w:highlight w:val="none"/>
          <w:lang w:bidi="th-TH"/>
        </w:rPr>
      </w:pPr>
    </w:p>
    <w:p w14:paraId="48AF0542">
      <w:pPr>
        <w:spacing w:line="360" w:lineRule="auto"/>
        <w:jc w:val="center"/>
        <w:rPr>
          <w:rFonts w:hint="eastAsia"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14:paraId="6D8BC7AA">
      <w:pPr>
        <w:autoSpaceDE w:val="0"/>
        <w:autoSpaceDN w:val="0"/>
        <w:adjustRightInd w:val="0"/>
        <w:spacing w:line="360" w:lineRule="auto"/>
        <w:jc w:val="center"/>
        <w:rPr>
          <w:rFonts w:hint="eastAsia" w:ascii="宋体" w:hAnsi="宋体" w:cs="宋体"/>
          <w:b/>
          <w:color w:val="auto"/>
          <w:sz w:val="44"/>
          <w:szCs w:val="44"/>
          <w:highlight w:val="none"/>
        </w:rPr>
      </w:pPr>
    </w:p>
    <w:p w14:paraId="7F2BCD90">
      <w:pPr>
        <w:autoSpaceDE w:val="0"/>
        <w:autoSpaceDN w:val="0"/>
        <w:adjustRightInd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（商务技术投标文件）</w:t>
      </w:r>
    </w:p>
    <w:p w14:paraId="5F9A89B6">
      <w:pPr>
        <w:autoSpaceDE w:val="0"/>
        <w:autoSpaceDN w:val="0"/>
        <w:adjustRightInd w:val="0"/>
        <w:spacing w:line="360" w:lineRule="auto"/>
        <w:jc w:val="center"/>
        <w:rPr>
          <w:rFonts w:hint="eastAsia" w:ascii="宋体" w:hAnsi="宋体" w:cs="宋体"/>
          <w:b/>
          <w:color w:val="auto"/>
          <w:sz w:val="32"/>
          <w:szCs w:val="32"/>
          <w:highlight w:val="none"/>
        </w:rPr>
      </w:pPr>
    </w:p>
    <w:p w14:paraId="7A6343AA">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PJCQGK(JTMY)2024-1030A</w:t>
      </w:r>
      <w:r>
        <w:rPr>
          <w:rFonts w:hint="eastAsia" w:ascii="宋体" w:hAnsi="宋体" w:cs="宋体"/>
          <w:b/>
          <w:color w:val="auto"/>
          <w:sz w:val="32"/>
          <w:szCs w:val="32"/>
          <w:highlight w:val="none"/>
        </w:rPr>
        <w:t xml:space="preserve"> </w:t>
      </w:r>
    </w:p>
    <w:p w14:paraId="10CEC217">
      <w:pPr>
        <w:autoSpaceDE w:val="0"/>
        <w:autoSpaceDN w:val="0"/>
        <w:adjustRightInd w:val="0"/>
        <w:spacing w:line="360" w:lineRule="auto"/>
        <w:rPr>
          <w:rFonts w:hint="eastAsia" w:ascii="宋体" w:hAnsi="宋体" w:cs="宋体"/>
          <w:b/>
          <w:color w:val="auto"/>
          <w:sz w:val="32"/>
          <w:szCs w:val="32"/>
          <w:highlight w:val="none"/>
        </w:rPr>
      </w:pPr>
    </w:p>
    <w:p w14:paraId="03B7E843">
      <w:pPr>
        <w:autoSpaceDE w:val="0"/>
        <w:autoSpaceDN w:val="0"/>
        <w:adjustRightInd w:val="0"/>
        <w:spacing w:line="360" w:lineRule="auto"/>
        <w:rPr>
          <w:rFonts w:hint="eastAsia" w:ascii="宋体" w:hAnsi="宋体" w:cs="宋体"/>
          <w:b/>
          <w:color w:val="auto"/>
          <w:sz w:val="32"/>
          <w:szCs w:val="32"/>
          <w:highlight w:val="none"/>
        </w:rPr>
      </w:pPr>
    </w:p>
    <w:p w14:paraId="5E1960C4">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投标人名称（盖电子公章）：  </w:t>
      </w:r>
      <w:r>
        <w:rPr>
          <w:rFonts w:hint="eastAsia" w:ascii="宋体" w:hAnsi="宋体" w:cs="宋体"/>
          <w:b/>
          <w:color w:val="auto"/>
          <w:sz w:val="32"/>
          <w:szCs w:val="32"/>
          <w:highlight w:val="none"/>
          <w:u w:val="single"/>
        </w:rPr>
        <w:t xml:space="preserve">                           </w:t>
      </w:r>
    </w:p>
    <w:p w14:paraId="7653C9B3">
      <w:pPr>
        <w:autoSpaceDE w:val="0"/>
        <w:autoSpaceDN w:val="0"/>
        <w:adjustRightInd w:val="0"/>
        <w:spacing w:line="360" w:lineRule="auto"/>
        <w:rPr>
          <w:rFonts w:hint="eastAsia" w:ascii="宋体" w:hAnsi="宋体" w:cs="宋体"/>
          <w:b/>
          <w:color w:val="auto"/>
          <w:sz w:val="32"/>
          <w:szCs w:val="32"/>
          <w:highlight w:val="none"/>
        </w:rPr>
      </w:pPr>
    </w:p>
    <w:p w14:paraId="1B8ACAD9">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法定代表人或授权代表(签字或盖章)： </w:t>
      </w:r>
      <w:r>
        <w:rPr>
          <w:rFonts w:hint="eastAsia" w:ascii="宋体" w:hAnsi="宋体" w:cs="宋体"/>
          <w:b/>
          <w:color w:val="auto"/>
          <w:sz w:val="32"/>
          <w:szCs w:val="32"/>
          <w:highlight w:val="none"/>
          <w:u w:val="single"/>
        </w:rPr>
        <w:t xml:space="preserve">              </w:t>
      </w:r>
    </w:p>
    <w:p w14:paraId="064FCB3F">
      <w:pPr>
        <w:autoSpaceDE w:val="0"/>
        <w:autoSpaceDN w:val="0"/>
        <w:adjustRightInd w:val="0"/>
        <w:spacing w:line="360" w:lineRule="auto"/>
        <w:rPr>
          <w:rFonts w:hint="eastAsia" w:ascii="宋体" w:hAnsi="宋体" w:cs="宋体"/>
          <w:b/>
          <w:color w:val="auto"/>
          <w:sz w:val="32"/>
          <w:szCs w:val="32"/>
          <w:highlight w:val="none"/>
        </w:rPr>
      </w:pPr>
    </w:p>
    <w:p w14:paraId="4A7BB659">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时间：    年   月   日</w:t>
      </w:r>
    </w:p>
    <w:p w14:paraId="05B90534">
      <w:pPr>
        <w:autoSpaceDE w:val="0"/>
        <w:autoSpaceDN w:val="0"/>
        <w:adjustRightInd w:val="0"/>
        <w:spacing w:line="360" w:lineRule="auto"/>
        <w:jc w:val="center"/>
        <w:outlineLvl w:val="1"/>
        <w:rPr>
          <w:rFonts w:hint="eastAsia" w:ascii="宋体" w:hAnsi="宋体" w:cs="宋体"/>
          <w:b/>
          <w:bCs/>
          <w:color w:val="auto"/>
          <w:sz w:val="44"/>
          <w:szCs w:val="44"/>
          <w:highlight w:val="none"/>
        </w:rPr>
      </w:pPr>
      <w:bookmarkStart w:id="235" w:name="_Toc25823"/>
      <w:bookmarkStart w:id="236" w:name="_Toc27496"/>
      <w:bookmarkStart w:id="237" w:name="_Toc17018"/>
      <w:bookmarkStart w:id="238" w:name="_Toc16706"/>
      <w:bookmarkStart w:id="239" w:name="_Toc19275"/>
      <w:bookmarkStart w:id="240" w:name="_Toc10695"/>
      <w:bookmarkStart w:id="241" w:name="_Toc1937"/>
      <w:bookmarkStart w:id="242" w:name="_Toc1866"/>
      <w:bookmarkStart w:id="243" w:name="_Toc5445"/>
      <w:bookmarkStart w:id="244" w:name="_Toc11222"/>
      <w:r>
        <w:rPr>
          <w:rFonts w:hint="eastAsia" w:ascii="宋体" w:hAnsi="宋体" w:cs="宋体"/>
          <w:b/>
          <w:bCs/>
          <w:color w:val="auto"/>
          <w:sz w:val="44"/>
          <w:szCs w:val="44"/>
          <w:highlight w:val="none"/>
        </w:rPr>
        <w:t>目  录</w:t>
      </w:r>
      <w:bookmarkEnd w:id="235"/>
      <w:bookmarkEnd w:id="236"/>
      <w:bookmarkEnd w:id="237"/>
      <w:bookmarkEnd w:id="238"/>
      <w:bookmarkEnd w:id="239"/>
      <w:bookmarkEnd w:id="240"/>
      <w:bookmarkEnd w:id="241"/>
      <w:bookmarkEnd w:id="242"/>
      <w:bookmarkEnd w:id="243"/>
      <w:bookmarkEnd w:id="244"/>
    </w:p>
    <w:bookmarkEnd w:id="231"/>
    <w:bookmarkEnd w:id="232"/>
    <w:bookmarkEnd w:id="233"/>
    <w:bookmarkEnd w:id="234"/>
    <w:p w14:paraId="57B9D05A">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bCs/>
          <w:color w:val="auto"/>
          <w:sz w:val="24"/>
          <w:highlight w:val="none"/>
        </w:rPr>
      </w:pPr>
    </w:p>
    <w:p w14:paraId="62EE5F93">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bCs/>
          <w:color w:val="auto"/>
          <w:sz w:val="24"/>
          <w:highlight w:val="none"/>
        </w:rPr>
      </w:pPr>
      <w:r>
        <w:rPr>
          <w:rFonts w:hint="eastAsia" w:ascii="宋体" w:hAnsi="宋体"/>
          <w:bCs/>
          <w:color w:val="auto"/>
          <w:sz w:val="24"/>
          <w:highlight w:val="none"/>
        </w:rPr>
        <w:t>（1）投标人基本情况表</w:t>
      </w:r>
      <w:r>
        <w:rPr>
          <w:rFonts w:ascii="宋体" w:hAnsi="宋体"/>
          <w:bCs/>
          <w:color w:val="auto"/>
          <w:sz w:val="24"/>
          <w:highlight w:val="none"/>
        </w:rPr>
        <w:t xml:space="preserve"> (格式见附件)</w:t>
      </w:r>
      <w:r>
        <w:rPr>
          <w:rFonts w:hint="eastAsia" w:ascii="宋体" w:hAnsi="宋体"/>
          <w:bCs/>
          <w:color w:val="auto"/>
          <w:sz w:val="24"/>
          <w:highlight w:val="none"/>
        </w:rPr>
        <w:t>；</w:t>
      </w:r>
    </w:p>
    <w:p w14:paraId="104D33A2">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bCs/>
          <w:color w:val="auto"/>
          <w:sz w:val="24"/>
          <w:highlight w:val="none"/>
        </w:rPr>
      </w:pPr>
      <w:r>
        <w:rPr>
          <w:rFonts w:hint="eastAsia" w:ascii="宋体" w:hAnsi="宋体"/>
          <w:bCs/>
          <w:color w:val="auto"/>
          <w:sz w:val="24"/>
          <w:highlight w:val="none"/>
        </w:rPr>
        <w:t>（2）法定代表人资格证明书及法定代表人授权书，同时须附法定代表人和授权委托代表的有效身份证扫描件（法定代表人直接参加投标并对相应文件签字的，只需提供前者）</w:t>
      </w:r>
    </w:p>
    <w:p w14:paraId="5E4BDB1C">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bCs/>
          <w:color w:val="auto"/>
          <w:sz w:val="24"/>
          <w:highlight w:val="none"/>
        </w:rPr>
      </w:pPr>
      <w:r>
        <w:rPr>
          <w:rFonts w:hint="eastAsia" w:ascii="宋体" w:hAnsi="宋体"/>
          <w:bCs/>
          <w:color w:val="auto"/>
          <w:sz w:val="24"/>
          <w:highlight w:val="none"/>
        </w:rPr>
        <w:t>（3）廉政承诺书 (格式见附件)；</w:t>
      </w:r>
    </w:p>
    <w:p w14:paraId="1725BF99">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商务响应表（格式见附件）；</w:t>
      </w:r>
    </w:p>
    <w:p w14:paraId="39FE8B92">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）类似业绩合同</w:t>
      </w:r>
      <w:r>
        <w:rPr>
          <w:rFonts w:hint="eastAsia" w:ascii="宋体" w:hAnsi="宋体"/>
          <w:bCs/>
          <w:color w:val="auto"/>
          <w:sz w:val="24"/>
          <w:highlight w:val="none"/>
          <w:lang w:eastAsia="zh-CN"/>
        </w:rPr>
        <w:t>扫描件</w:t>
      </w:r>
      <w:r>
        <w:rPr>
          <w:rFonts w:hint="eastAsia" w:ascii="宋体" w:hAnsi="宋体"/>
          <w:bCs/>
          <w:color w:val="auto"/>
          <w:sz w:val="24"/>
          <w:highlight w:val="none"/>
        </w:rPr>
        <w:t>（</w:t>
      </w:r>
      <w:r>
        <w:rPr>
          <w:rFonts w:hint="eastAsia" w:ascii="宋体" w:hAnsi="宋体"/>
          <w:bCs/>
          <w:color w:val="auto"/>
          <w:sz w:val="24"/>
          <w:highlight w:val="none"/>
          <w:lang w:eastAsia="zh-CN"/>
        </w:rPr>
        <w:t>如有，</w:t>
      </w:r>
      <w:r>
        <w:rPr>
          <w:rFonts w:hint="eastAsia" w:ascii="宋体" w:hAnsi="宋体"/>
          <w:bCs/>
          <w:color w:val="auto"/>
          <w:sz w:val="24"/>
          <w:highlight w:val="none"/>
        </w:rPr>
        <w:t>格式见附件）；</w:t>
      </w:r>
    </w:p>
    <w:p w14:paraId="7D4BDFC5">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color w:val="auto"/>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6</w:t>
      </w:r>
      <w:r>
        <w:rPr>
          <w:rFonts w:hint="eastAsia" w:ascii="宋体" w:hAnsi="宋体"/>
          <w:bCs/>
          <w:color w:val="auto"/>
          <w:sz w:val="24"/>
          <w:highlight w:val="none"/>
        </w:rPr>
        <w:t>）供货方案；</w:t>
      </w:r>
    </w:p>
    <w:p w14:paraId="27D93028">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7</w:t>
      </w:r>
      <w:r>
        <w:rPr>
          <w:rFonts w:hint="eastAsia" w:ascii="宋体" w:hAnsi="宋体"/>
          <w:bCs/>
          <w:color w:val="auto"/>
          <w:sz w:val="24"/>
          <w:highlight w:val="none"/>
        </w:rPr>
        <w:t>）货物配置清单（均不含报价）；</w:t>
      </w:r>
    </w:p>
    <w:p w14:paraId="6A2783ED">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8</w:t>
      </w:r>
      <w:r>
        <w:rPr>
          <w:rFonts w:hint="eastAsia" w:ascii="宋体" w:hAnsi="宋体" w:eastAsia="宋体" w:cs="Times New Roman"/>
          <w:bCs/>
          <w:color w:val="auto"/>
          <w:sz w:val="24"/>
          <w:highlight w:val="none"/>
        </w:rPr>
        <w:t>）技术响应表（格式见附件）；</w:t>
      </w:r>
      <w:r>
        <w:rPr>
          <w:rFonts w:hint="eastAsia" w:ascii="宋体" w:hAnsi="宋体" w:eastAsia="宋体" w:cs="Times New Roman"/>
          <w:bCs/>
          <w:color w:val="auto"/>
          <w:sz w:val="24"/>
          <w:highlight w:val="none"/>
          <w:lang w:val="en-US" w:eastAsia="zh-CN"/>
        </w:rPr>
        <w:t xml:space="preserve"> </w:t>
      </w:r>
    </w:p>
    <w:p w14:paraId="0F6B6D71">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eastAsia="zh-CN"/>
        </w:rPr>
        <w:t>（</w:t>
      </w:r>
      <w:r>
        <w:rPr>
          <w:rFonts w:hint="eastAsia" w:ascii="宋体" w:hAnsi="宋体" w:cs="Times New Roman"/>
          <w:bCs/>
          <w:color w:val="auto"/>
          <w:sz w:val="24"/>
          <w:highlight w:val="none"/>
          <w:lang w:val="en-US" w:eastAsia="zh-CN"/>
        </w:rPr>
        <w:t>9</w:t>
      </w:r>
      <w:r>
        <w:rPr>
          <w:rFonts w:hint="eastAsia" w:ascii="宋体" w:hAnsi="宋体" w:eastAsia="宋体" w:cs="Times New Roman"/>
          <w:bCs/>
          <w:color w:val="auto"/>
          <w:sz w:val="24"/>
          <w:highlight w:val="none"/>
          <w:lang w:val="en-US" w:eastAsia="zh-CN"/>
        </w:rPr>
        <w:t>）</w:t>
      </w:r>
      <w:r>
        <w:rPr>
          <w:rFonts w:hint="eastAsia" w:ascii="宋体" w:hAnsi="宋体" w:eastAsia="宋体" w:cs="Times New Roman"/>
          <w:bCs/>
          <w:color w:val="auto"/>
          <w:sz w:val="24"/>
          <w:highlight w:val="none"/>
        </w:rPr>
        <w:t xml:space="preserve">售后服务方案； </w:t>
      </w:r>
    </w:p>
    <w:p w14:paraId="4E75F0D3">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10</w:t>
      </w:r>
      <w:r>
        <w:rPr>
          <w:rFonts w:hint="eastAsia" w:ascii="宋体" w:hAnsi="宋体" w:eastAsia="宋体" w:cs="Times New Roman"/>
          <w:bCs/>
          <w:color w:val="auto"/>
          <w:sz w:val="24"/>
          <w:highlight w:val="none"/>
        </w:rPr>
        <w:t>）投标人需要说</w:t>
      </w:r>
      <w:r>
        <w:rPr>
          <w:rFonts w:hint="eastAsia" w:ascii="宋体" w:hAnsi="宋体"/>
          <w:bCs/>
          <w:color w:val="auto"/>
          <w:sz w:val="24"/>
          <w:highlight w:val="none"/>
        </w:rPr>
        <w:t>明的其他资料（对照相应项目评分标准，由投标人自行考虑）。</w:t>
      </w:r>
    </w:p>
    <w:p w14:paraId="7A126F2E">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bCs/>
          <w:color w:val="auto"/>
          <w:sz w:val="24"/>
          <w:highlight w:val="none"/>
        </w:rPr>
      </w:pPr>
    </w:p>
    <w:p w14:paraId="760EBE2C">
      <w:pPr>
        <w:snapToGrid w:val="0"/>
        <w:spacing w:line="440" w:lineRule="exact"/>
        <w:ind w:firstLine="472" w:firstLineChars="196"/>
        <w:jc w:val="left"/>
        <w:rPr>
          <w:rFonts w:hint="eastAsia" w:hAnsi="宋体" w:cs="宋体"/>
          <w:color w:val="auto"/>
          <w:sz w:val="24"/>
          <w:highlight w:val="none"/>
        </w:rPr>
      </w:pPr>
      <w:r>
        <w:rPr>
          <w:rFonts w:hint="eastAsia" w:hAnsi="宋体" w:cs="宋体"/>
          <w:b/>
          <w:bCs/>
          <w:color w:val="auto"/>
          <w:sz w:val="24"/>
          <w:highlight w:val="none"/>
        </w:rPr>
        <w:t xml:space="preserve">注：投标人应确保资料的真实、有效，一经查实存在弄虚作假行为的，作否决投标处理，同时对其不良行为予以记录，并纳入统一的信用信息平台。  </w:t>
      </w:r>
    </w:p>
    <w:p w14:paraId="21CAF1AD">
      <w:pPr>
        <w:snapToGrid w:val="0"/>
        <w:spacing w:line="440" w:lineRule="exact"/>
        <w:ind w:firstLine="411" w:firstLineChars="196"/>
        <w:jc w:val="left"/>
        <w:rPr>
          <w:rFonts w:hint="eastAsia" w:hAnsi="宋体" w:cs="宋体"/>
          <w:color w:val="auto"/>
          <w:highlight w:val="none"/>
        </w:rPr>
      </w:pPr>
    </w:p>
    <w:p w14:paraId="2D9A5695">
      <w:pPr>
        <w:snapToGrid w:val="0"/>
        <w:spacing w:line="440" w:lineRule="exact"/>
        <w:ind w:firstLine="411" w:firstLineChars="196"/>
        <w:jc w:val="left"/>
        <w:rPr>
          <w:rFonts w:hint="eastAsia" w:hAnsi="宋体" w:cs="宋体"/>
          <w:color w:val="auto"/>
          <w:highlight w:val="none"/>
        </w:rPr>
      </w:pPr>
    </w:p>
    <w:p w14:paraId="41147CFA">
      <w:pPr>
        <w:snapToGrid w:val="0"/>
        <w:spacing w:line="440" w:lineRule="exact"/>
        <w:ind w:firstLine="411" w:firstLineChars="196"/>
        <w:jc w:val="left"/>
        <w:rPr>
          <w:rFonts w:hint="eastAsia" w:hAnsi="宋体" w:cs="宋体"/>
          <w:color w:val="auto"/>
          <w:highlight w:val="none"/>
        </w:rPr>
      </w:pPr>
    </w:p>
    <w:p w14:paraId="6F70D747">
      <w:pPr>
        <w:snapToGrid w:val="0"/>
        <w:spacing w:line="440" w:lineRule="exact"/>
        <w:ind w:firstLine="630" w:firstLineChars="196"/>
        <w:jc w:val="left"/>
        <w:rPr>
          <w:rFonts w:hint="eastAsia" w:hAnsi="宋体" w:cs="宋体"/>
          <w:b/>
          <w:color w:val="auto"/>
          <w:sz w:val="32"/>
          <w:szCs w:val="32"/>
          <w:highlight w:val="none"/>
          <w:u w:val="single"/>
        </w:rPr>
      </w:pPr>
      <w:r>
        <w:rPr>
          <w:rFonts w:hint="eastAsia" w:hAnsi="宋体" w:cs="宋体"/>
          <w:b/>
          <w:color w:val="auto"/>
          <w:sz w:val="32"/>
          <w:szCs w:val="32"/>
          <w:highlight w:val="none"/>
          <w:u w:val="single"/>
        </w:rPr>
        <w:t>附后无格式部分由各投标人根据评标办法规定自行编制</w:t>
      </w:r>
    </w:p>
    <w:p w14:paraId="2FD436F8">
      <w:pPr>
        <w:spacing w:line="240" w:lineRule="atLeast"/>
        <w:jc w:val="center"/>
        <w:rPr>
          <w:rFonts w:hint="eastAsia" w:ascii="宋体" w:hAnsi="宋体" w:cs="宋体"/>
          <w:b/>
          <w:color w:val="auto"/>
          <w:sz w:val="32"/>
          <w:szCs w:val="32"/>
          <w:highlight w:val="none"/>
        </w:rPr>
      </w:pPr>
    </w:p>
    <w:p w14:paraId="07881211">
      <w:pPr>
        <w:spacing w:line="240" w:lineRule="atLeast"/>
        <w:jc w:val="center"/>
        <w:rPr>
          <w:rFonts w:hint="eastAsia" w:ascii="宋体" w:hAnsi="宋体" w:cs="宋体"/>
          <w:b/>
          <w:color w:val="auto"/>
          <w:sz w:val="32"/>
          <w:szCs w:val="32"/>
          <w:highlight w:val="none"/>
        </w:rPr>
      </w:pPr>
    </w:p>
    <w:p w14:paraId="52452152">
      <w:pPr>
        <w:spacing w:line="240" w:lineRule="atLeast"/>
        <w:jc w:val="center"/>
        <w:rPr>
          <w:rFonts w:hint="eastAsia" w:ascii="宋体" w:hAnsi="宋体" w:cs="宋体"/>
          <w:b/>
          <w:color w:val="auto"/>
          <w:sz w:val="32"/>
          <w:szCs w:val="32"/>
          <w:highlight w:val="none"/>
        </w:rPr>
      </w:pPr>
    </w:p>
    <w:p w14:paraId="0EC7945F">
      <w:pPr>
        <w:spacing w:line="240" w:lineRule="atLeast"/>
        <w:jc w:val="center"/>
        <w:rPr>
          <w:rFonts w:hint="eastAsia" w:ascii="宋体" w:hAnsi="宋体" w:cs="宋体"/>
          <w:b/>
          <w:color w:val="auto"/>
          <w:sz w:val="32"/>
          <w:szCs w:val="32"/>
          <w:highlight w:val="none"/>
        </w:rPr>
      </w:pPr>
    </w:p>
    <w:p w14:paraId="58F8D653">
      <w:pPr>
        <w:spacing w:line="240" w:lineRule="atLeast"/>
        <w:jc w:val="center"/>
        <w:rPr>
          <w:rFonts w:hint="eastAsia" w:ascii="宋体" w:hAnsi="宋体" w:cs="宋体"/>
          <w:b/>
          <w:color w:val="auto"/>
          <w:sz w:val="32"/>
          <w:szCs w:val="32"/>
          <w:highlight w:val="none"/>
        </w:rPr>
      </w:pPr>
    </w:p>
    <w:p w14:paraId="598247D6">
      <w:pPr>
        <w:pStyle w:val="44"/>
        <w:rPr>
          <w:rFonts w:hint="eastAsia"/>
          <w:color w:val="auto"/>
          <w:highlight w:val="none"/>
        </w:rPr>
      </w:pPr>
    </w:p>
    <w:p w14:paraId="45AC1190">
      <w:pPr>
        <w:pStyle w:val="44"/>
        <w:rPr>
          <w:rFonts w:hint="eastAsia"/>
          <w:color w:val="auto"/>
          <w:highlight w:val="none"/>
        </w:rPr>
      </w:pPr>
    </w:p>
    <w:p w14:paraId="5675A172">
      <w:pPr>
        <w:pStyle w:val="44"/>
        <w:rPr>
          <w:rFonts w:hint="eastAsia"/>
          <w:color w:val="auto"/>
          <w:highlight w:val="none"/>
        </w:rPr>
      </w:pPr>
    </w:p>
    <w:p w14:paraId="163E6A54">
      <w:pPr>
        <w:spacing w:line="240" w:lineRule="atLeas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投标人基本情况表</w:t>
      </w:r>
    </w:p>
    <w:p w14:paraId="1A77FB91">
      <w:pPr>
        <w:spacing w:line="240" w:lineRule="atLeast"/>
        <w:ind w:firstLine="2233" w:firstLineChars="695"/>
        <w:rPr>
          <w:rFonts w:hint="eastAsia" w:ascii="宋体" w:hAnsi="宋体" w:cs="宋体"/>
          <w:b/>
          <w:color w:val="auto"/>
          <w:sz w:val="32"/>
          <w:szCs w:val="32"/>
          <w:highlight w:val="none"/>
        </w:rPr>
      </w:pPr>
    </w:p>
    <w:tbl>
      <w:tblPr>
        <w:tblStyle w:val="46"/>
        <w:tblW w:w="0" w:type="auto"/>
        <w:tblInd w:w="0" w:type="dxa"/>
        <w:tblLayout w:type="fixed"/>
        <w:tblCellMar>
          <w:top w:w="0" w:type="dxa"/>
          <w:left w:w="28" w:type="dxa"/>
          <w:bottom w:w="0" w:type="dxa"/>
          <w:right w:w="28" w:type="dxa"/>
        </w:tblCellMar>
      </w:tblPr>
      <w:tblGrid>
        <w:gridCol w:w="2488"/>
        <w:gridCol w:w="2616"/>
        <w:gridCol w:w="1653"/>
        <w:gridCol w:w="2538"/>
      </w:tblGrid>
      <w:tr w14:paraId="06DCA254">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14:paraId="1BB49148">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投标人全称</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14:paraId="16D6F86F">
            <w:pPr>
              <w:widowControl/>
              <w:autoSpaceDE w:val="0"/>
              <w:autoSpaceDN w:val="0"/>
              <w:spacing w:line="440" w:lineRule="atLeast"/>
              <w:textAlignment w:val="bottom"/>
              <w:rPr>
                <w:rFonts w:hint="eastAsia" w:ascii="宋体" w:hAnsi="宋体" w:cs="宋体"/>
                <w:color w:val="auto"/>
                <w:sz w:val="24"/>
                <w:highlight w:val="none"/>
              </w:rPr>
            </w:pPr>
          </w:p>
        </w:tc>
      </w:tr>
      <w:tr w14:paraId="76BC5E29">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14:paraId="77E163FB">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企业资质</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14:paraId="36C24A57">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1.等级:            2.证书号:       3.发证单位: </w:t>
            </w:r>
          </w:p>
        </w:tc>
      </w:tr>
      <w:tr w14:paraId="7215CEAE">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14:paraId="6534B689">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营业执照</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14:paraId="204949BA">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1.编号:            2.营业范围:     3.发照单位: </w:t>
            </w:r>
          </w:p>
        </w:tc>
      </w:tr>
      <w:tr w14:paraId="1B19B83E">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14:paraId="618B7A03">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建立日期</w:t>
            </w:r>
          </w:p>
        </w:tc>
        <w:tc>
          <w:tcPr>
            <w:tcW w:w="2616" w:type="dxa"/>
            <w:tcBorders>
              <w:top w:val="single" w:color="auto" w:sz="6" w:space="0"/>
              <w:left w:val="single" w:color="auto" w:sz="6" w:space="0"/>
              <w:bottom w:val="single" w:color="auto" w:sz="6" w:space="0"/>
              <w:right w:val="single" w:color="auto" w:sz="6" w:space="0"/>
            </w:tcBorders>
            <w:noWrap w:val="0"/>
            <w:vAlign w:val="top"/>
          </w:tcPr>
          <w:p w14:paraId="1928AAD0">
            <w:pPr>
              <w:widowControl/>
              <w:autoSpaceDE w:val="0"/>
              <w:autoSpaceDN w:val="0"/>
              <w:spacing w:line="440" w:lineRule="atLeast"/>
              <w:textAlignment w:val="bottom"/>
              <w:rPr>
                <w:rFonts w:hint="eastAsia" w:ascii="宋体" w:hAnsi="宋体" w:cs="宋体"/>
                <w:color w:val="auto"/>
                <w:sz w:val="24"/>
                <w:highlight w:val="none"/>
              </w:rPr>
            </w:pPr>
          </w:p>
        </w:tc>
        <w:tc>
          <w:tcPr>
            <w:tcW w:w="1653" w:type="dxa"/>
            <w:tcBorders>
              <w:top w:val="single" w:color="auto" w:sz="6" w:space="0"/>
              <w:left w:val="single" w:color="auto" w:sz="6" w:space="0"/>
              <w:bottom w:val="single" w:color="auto" w:sz="6" w:space="0"/>
              <w:right w:val="single" w:color="auto" w:sz="6" w:space="0"/>
            </w:tcBorders>
            <w:noWrap w:val="0"/>
            <w:vAlign w:val="top"/>
          </w:tcPr>
          <w:p w14:paraId="3AC8D096">
            <w:pPr>
              <w:widowControl/>
              <w:autoSpaceDE w:val="0"/>
              <w:autoSpaceDN w:val="0"/>
              <w:spacing w:line="440" w:lineRule="atLeas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现有职工</w:t>
            </w:r>
          </w:p>
        </w:tc>
        <w:tc>
          <w:tcPr>
            <w:tcW w:w="2538" w:type="dxa"/>
            <w:tcBorders>
              <w:top w:val="single" w:color="auto" w:sz="6" w:space="0"/>
              <w:left w:val="single" w:color="auto" w:sz="6" w:space="0"/>
              <w:bottom w:val="single" w:color="auto" w:sz="6" w:space="0"/>
              <w:right w:val="single" w:color="auto" w:sz="6" w:space="0"/>
            </w:tcBorders>
            <w:noWrap w:val="0"/>
            <w:vAlign w:val="top"/>
          </w:tcPr>
          <w:p w14:paraId="4F6FF754">
            <w:pPr>
              <w:widowControl/>
              <w:autoSpaceDE w:val="0"/>
              <w:autoSpaceDN w:val="0"/>
              <w:spacing w:line="440" w:lineRule="atLeast"/>
              <w:textAlignment w:val="bottom"/>
              <w:rPr>
                <w:rFonts w:hint="eastAsia" w:ascii="宋体" w:hAnsi="宋体" w:cs="宋体"/>
                <w:color w:val="auto"/>
                <w:sz w:val="24"/>
                <w:highlight w:val="none"/>
              </w:rPr>
            </w:pPr>
          </w:p>
        </w:tc>
      </w:tr>
      <w:tr w14:paraId="53330C78">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14:paraId="657DF130">
            <w:pPr>
              <w:widowControl/>
              <w:autoSpaceDE w:val="0"/>
              <w:autoSpaceDN w:val="0"/>
              <w:spacing w:line="440" w:lineRule="atLeas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固定资产净值(万元)</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14:paraId="2E48B752">
            <w:pPr>
              <w:widowControl/>
              <w:autoSpaceDE w:val="0"/>
              <w:autoSpaceDN w:val="0"/>
              <w:spacing w:line="440" w:lineRule="atLeast"/>
              <w:textAlignment w:val="bottom"/>
              <w:rPr>
                <w:rFonts w:hint="eastAsia" w:ascii="宋体" w:hAnsi="宋体" w:cs="宋体"/>
                <w:color w:val="auto"/>
                <w:sz w:val="24"/>
                <w:highlight w:val="none"/>
              </w:rPr>
            </w:pPr>
          </w:p>
        </w:tc>
      </w:tr>
      <w:tr w14:paraId="3C6AA1AE">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14:paraId="4A1A2069">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单位负责人</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14:paraId="2446425A">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姓名:             职务:             职称:</w:t>
            </w:r>
          </w:p>
        </w:tc>
      </w:tr>
      <w:tr w14:paraId="06E7609D">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14:paraId="72B6E796">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技术负责人</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14:paraId="5A87F2F0">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姓名:             职务:             职称:</w:t>
            </w:r>
          </w:p>
        </w:tc>
      </w:tr>
      <w:tr w14:paraId="388BC3A1">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center"/>
          </w:tcPr>
          <w:p w14:paraId="4789CA04">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联系方式</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14:paraId="7B47B27B">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地址</w:t>
            </w:r>
          </w:p>
          <w:p w14:paraId="660D4BBA">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邮编:</w:t>
            </w:r>
          </w:p>
          <w:p w14:paraId="196EA648">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电话:  </w:t>
            </w:r>
          </w:p>
          <w:p w14:paraId="37429A12">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传真:       </w:t>
            </w:r>
          </w:p>
        </w:tc>
      </w:tr>
      <w:tr w14:paraId="723CAAB8">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14:paraId="301E7C5E">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开户银行</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14:paraId="61365EA5">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名称:                      账号:          </w:t>
            </w:r>
          </w:p>
        </w:tc>
      </w:tr>
      <w:tr w14:paraId="25FB7813">
        <w:tblPrEx>
          <w:tblCellMar>
            <w:top w:w="0" w:type="dxa"/>
            <w:left w:w="28" w:type="dxa"/>
            <w:bottom w:w="0" w:type="dxa"/>
            <w:right w:w="28" w:type="dxa"/>
          </w:tblCellMar>
        </w:tblPrEx>
        <w:trPr>
          <w:cantSplit/>
          <w:trHeight w:val="661" w:hRule="atLeast"/>
        </w:trPr>
        <w:tc>
          <w:tcPr>
            <w:tcW w:w="2488" w:type="dxa"/>
            <w:tcBorders>
              <w:top w:val="single" w:color="auto" w:sz="6" w:space="0"/>
              <w:left w:val="single" w:color="auto" w:sz="6" w:space="0"/>
              <w:bottom w:val="single" w:color="auto" w:sz="6" w:space="0"/>
              <w:right w:val="single" w:color="auto" w:sz="6" w:space="0"/>
            </w:tcBorders>
            <w:noWrap w:val="0"/>
            <w:vAlign w:val="top"/>
          </w:tcPr>
          <w:p w14:paraId="6547D77C">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专业履约能力介绍</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14:paraId="54758F53">
            <w:pPr>
              <w:widowControl/>
              <w:autoSpaceDE w:val="0"/>
              <w:autoSpaceDN w:val="0"/>
              <w:spacing w:line="440" w:lineRule="atLeast"/>
              <w:textAlignment w:val="bottom"/>
              <w:rPr>
                <w:rFonts w:hint="eastAsia" w:ascii="宋体" w:hAnsi="宋体" w:cs="宋体"/>
                <w:color w:val="auto"/>
                <w:sz w:val="24"/>
                <w:highlight w:val="none"/>
              </w:rPr>
            </w:pPr>
          </w:p>
        </w:tc>
      </w:tr>
      <w:tr w14:paraId="1B447913">
        <w:tblPrEx>
          <w:tblCellMar>
            <w:top w:w="0" w:type="dxa"/>
            <w:left w:w="28" w:type="dxa"/>
            <w:bottom w:w="0" w:type="dxa"/>
            <w:right w:w="28" w:type="dxa"/>
          </w:tblCellMar>
        </w:tblPrEx>
        <w:trPr>
          <w:cantSplit/>
          <w:trHeight w:val="2325" w:hRule="atLeast"/>
        </w:trPr>
        <w:tc>
          <w:tcPr>
            <w:tcW w:w="2488" w:type="dxa"/>
            <w:tcBorders>
              <w:top w:val="single" w:color="auto" w:sz="6" w:space="0"/>
              <w:left w:val="single" w:color="auto" w:sz="6" w:space="0"/>
              <w:bottom w:val="single" w:color="auto" w:sz="6" w:space="0"/>
              <w:right w:val="single" w:color="auto" w:sz="6" w:space="0"/>
            </w:tcBorders>
            <w:noWrap w:val="0"/>
            <w:vAlign w:val="top"/>
          </w:tcPr>
          <w:p w14:paraId="2CAC0A9F">
            <w:pPr>
              <w:widowControl/>
              <w:autoSpaceDE w:val="0"/>
              <w:autoSpaceDN w:val="0"/>
              <w:spacing w:line="440" w:lineRule="atLeast"/>
              <w:ind w:left="105"/>
              <w:jc w:val="center"/>
              <w:textAlignment w:val="bottom"/>
              <w:rPr>
                <w:rFonts w:hint="eastAsia" w:ascii="宋体" w:hAnsi="宋体" w:cs="宋体"/>
                <w:color w:val="auto"/>
                <w:sz w:val="24"/>
                <w:highlight w:val="none"/>
              </w:rPr>
            </w:pPr>
          </w:p>
          <w:p w14:paraId="72199F91">
            <w:pPr>
              <w:widowControl/>
              <w:autoSpaceDE w:val="0"/>
              <w:autoSpaceDN w:val="0"/>
              <w:spacing w:line="440" w:lineRule="atLeast"/>
              <w:ind w:left="105"/>
              <w:jc w:val="center"/>
              <w:textAlignment w:val="bottom"/>
              <w:rPr>
                <w:rFonts w:hint="eastAsia" w:ascii="宋体" w:hAnsi="宋体" w:cs="宋体"/>
                <w:color w:val="auto"/>
                <w:sz w:val="24"/>
                <w:highlight w:val="none"/>
              </w:rPr>
            </w:pPr>
          </w:p>
          <w:p w14:paraId="0AD98E5F">
            <w:pPr>
              <w:widowControl/>
              <w:autoSpaceDE w:val="0"/>
              <w:autoSpaceDN w:val="0"/>
              <w:spacing w:line="440" w:lineRule="atLeast"/>
              <w:ind w:left="105"/>
              <w:jc w:val="center"/>
              <w:textAlignment w:val="bottom"/>
              <w:rPr>
                <w:rFonts w:hint="eastAsia" w:ascii="宋体" w:hAnsi="宋体" w:cs="宋体"/>
                <w:color w:val="auto"/>
                <w:sz w:val="24"/>
                <w:highlight w:val="none"/>
              </w:rPr>
            </w:pPr>
          </w:p>
          <w:p w14:paraId="21EA1C48">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组织机构框图</w:t>
            </w:r>
          </w:p>
          <w:p w14:paraId="422EE28C">
            <w:pPr>
              <w:widowControl/>
              <w:autoSpaceDE w:val="0"/>
              <w:autoSpaceDN w:val="0"/>
              <w:spacing w:line="440" w:lineRule="atLeast"/>
              <w:ind w:left="105"/>
              <w:jc w:val="center"/>
              <w:textAlignment w:val="bottom"/>
              <w:rPr>
                <w:rFonts w:hint="eastAsia" w:ascii="宋体" w:hAnsi="宋体" w:cs="宋体"/>
                <w:color w:val="auto"/>
                <w:sz w:val="24"/>
                <w:highlight w:val="none"/>
              </w:rPr>
            </w:pPr>
          </w:p>
          <w:p w14:paraId="1A7288EB">
            <w:pPr>
              <w:autoSpaceDE w:val="0"/>
              <w:autoSpaceDN w:val="0"/>
              <w:spacing w:line="440" w:lineRule="atLeast"/>
              <w:ind w:left="105"/>
              <w:textAlignment w:val="bottom"/>
              <w:rPr>
                <w:rFonts w:hint="eastAsia" w:ascii="宋体" w:hAnsi="宋体" w:cs="宋体"/>
                <w:color w:val="auto"/>
                <w:sz w:val="24"/>
                <w:highlight w:val="none"/>
              </w:rPr>
            </w:pP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14:paraId="295A8A9E">
            <w:pPr>
              <w:widowControl/>
              <w:autoSpaceDE w:val="0"/>
              <w:autoSpaceDN w:val="0"/>
              <w:spacing w:line="440" w:lineRule="atLeast"/>
              <w:textAlignment w:val="bottom"/>
              <w:rPr>
                <w:rFonts w:hint="eastAsia" w:ascii="宋体" w:hAnsi="宋体" w:cs="宋体"/>
                <w:color w:val="auto"/>
                <w:sz w:val="24"/>
                <w:highlight w:val="none"/>
              </w:rPr>
            </w:pPr>
          </w:p>
        </w:tc>
      </w:tr>
    </w:tbl>
    <w:p w14:paraId="4A242CC4">
      <w:pPr>
        <w:spacing w:line="360" w:lineRule="auto"/>
        <w:ind w:left="630" w:hanging="630" w:hangingChars="300"/>
        <w:rPr>
          <w:rFonts w:hint="eastAsia" w:ascii="宋体" w:hAnsi="宋体" w:cs="宋体"/>
          <w:color w:val="auto"/>
          <w:highlight w:val="none"/>
        </w:rPr>
      </w:pPr>
    </w:p>
    <w:p w14:paraId="2198BEE9">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14:paraId="7FA0DB1F">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14:paraId="6A0B81FC">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14:paraId="616F7BA7">
      <w:pPr>
        <w:jc w:val="center"/>
        <w:rPr>
          <w:rFonts w:hint="eastAsia" w:ascii="宋体" w:hAnsi="宋体" w:cs="宋体"/>
          <w:b/>
          <w:bCs/>
          <w:snapToGrid w:val="0"/>
          <w:color w:val="auto"/>
          <w:kern w:val="0"/>
          <w:sz w:val="28"/>
          <w:szCs w:val="28"/>
          <w:highlight w:val="none"/>
        </w:rPr>
      </w:pPr>
      <w:r>
        <w:rPr>
          <w:rFonts w:hint="eastAsia" w:ascii="宋体" w:hAnsi="宋体" w:cs="宋体"/>
          <w:b/>
          <w:color w:val="auto"/>
          <w:sz w:val="24"/>
          <w:highlight w:val="none"/>
        </w:rPr>
        <w:br w:type="page"/>
      </w:r>
      <w:r>
        <w:rPr>
          <w:rFonts w:hint="eastAsia" w:ascii="宋体" w:hAnsi="宋体" w:cs="宋体"/>
          <w:b/>
          <w:bCs/>
          <w:snapToGrid w:val="0"/>
          <w:color w:val="auto"/>
          <w:kern w:val="0"/>
          <w:sz w:val="28"/>
          <w:szCs w:val="28"/>
          <w:highlight w:val="none"/>
        </w:rPr>
        <w:t>法定代表人资格证明书</w:t>
      </w:r>
    </w:p>
    <w:p w14:paraId="44425BB2">
      <w:pPr>
        <w:pStyle w:val="10"/>
        <w:spacing w:line="600" w:lineRule="exact"/>
        <w:rPr>
          <w:rFonts w:hint="eastAsia" w:ascii="宋体" w:hAnsi="宋体" w:eastAsia="宋体" w:cs="宋体"/>
          <w:b/>
          <w:bCs/>
          <w:snapToGrid w:val="0"/>
          <w:color w:val="auto"/>
          <w:kern w:val="0"/>
          <w:sz w:val="36"/>
          <w:highlight w:val="none"/>
        </w:rPr>
      </w:pPr>
    </w:p>
    <w:p w14:paraId="7B608FC3">
      <w:pPr>
        <w:pStyle w:val="10"/>
        <w:spacing w:line="600" w:lineRule="exact"/>
        <w:ind w:firstLine="480" w:firstLineChars="200"/>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系</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的法定代表人。身份证号：</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w:t>
      </w:r>
    </w:p>
    <w:p w14:paraId="2F8DBE40">
      <w:pPr>
        <w:pStyle w:val="10"/>
        <w:spacing w:line="600" w:lineRule="exac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特此证明</w:t>
      </w:r>
    </w:p>
    <w:p w14:paraId="3205BF25">
      <w:pPr>
        <w:pStyle w:val="10"/>
        <w:spacing w:line="6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投标人全称（盖电子公章）</w:t>
      </w:r>
    </w:p>
    <w:p w14:paraId="585C646D">
      <w:pPr>
        <w:pStyle w:val="10"/>
        <w:spacing w:line="600" w:lineRule="exac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日期：</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年</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月</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日</w:t>
      </w:r>
    </w:p>
    <w:p w14:paraId="5A42F863">
      <w:pPr>
        <w:adjustRightInd w:val="0"/>
        <w:spacing w:line="360" w:lineRule="auto"/>
        <w:rPr>
          <w:rFonts w:hint="eastAsia" w:ascii="宋体" w:hAnsi="宋体" w:cs="宋体"/>
          <w:snapToGrid w:val="0"/>
          <w:color w:val="auto"/>
          <w:kern w:val="0"/>
          <w:sz w:val="24"/>
          <w:highlight w:val="none"/>
        </w:rPr>
      </w:pPr>
    </w:p>
    <w:p w14:paraId="1FCBF6D9">
      <w:pPr>
        <w:adjustRightIn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附：法定代表人身份证扫描件（正反面）</w:t>
      </w:r>
    </w:p>
    <w:p w14:paraId="4C9CA72C">
      <w:pPr>
        <w:adjustRightInd w:val="0"/>
        <w:spacing w:line="360" w:lineRule="auto"/>
        <w:rPr>
          <w:rFonts w:hint="eastAsia" w:ascii="宋体" w:hAnsi="宋体" w:cs="宋体"/>
          <w:snapToGrid w:val="0"/>
          <w:color w:val="auto"/>
          <w:kern w:val="0"/>
          <w:szCs w:val="21"/>
          <w:highlight w:val="none"/>
        </w:rPr>
      </w:pPr>
    </w:p>
    <w:p w14:paraId="0DD2D03C">
      <w:pPr>
        <w:pStyle w:val="20"/>
        <w:rPr>
          <w:rFonts w:hint="eastAsia" w:ascii="宋体" w:hAnsi="宋体" w:cs="宋体"/>
          <w:snapToGrid w:val="0"/>
          <w:color w:val="auto"/>
          <w:kern w:val="0"/>
          <w:szCs w:val="21"/>
          <w:highlight w:val="none"/>
        </w:rPr>
      </w:pPr>
    </w:p>
    <w:p w14:paraId="3FA5E842">
      <w:pPr>
        <w:pStyle w:val="20"/>
        <w:rPr>
          <w:rFonts w:hint="eastAsia" w:ascii="宋体" w:hAnsi="宋体" w:cs="宋体"/>
          <w:snapToGrid w:val="0"/>
          <w:color w:val="auto"/>
          <w:kern w:val="0"/>
          <w:szCs w:val="21"/>
          <w:highlight w:val="none"/>
        </w:rPr>
      </w:pPr>
    </w:p>
    <w:p w14:paraId="43637F0F">
      <w:pPr>
        <w:pStyle w:val="20"/>
        <w:rPr>
          <w:rFonts w:hint="eastAsia" w:ascii="宋体" w:hAnsi="宋体" w:cs="宋体"/>
          <w:snapToGrid w:val="0"/>
          <w:color w:val="auto"/>
          <w:kern w:val="0"/>
          <w:szCs w:val="21"/>
          <w:highlight w:val="none"/>
        </w:rPr>
      </w:pPr>
    </w:p>
    <w:p w14:paraId="4F561CC6">
      <w:pPr>
        <w:pStyle w:val="20"/>
        <w:rPr>
          <w:rFonts w:hint="eastAsia" w:ascii="宋体" w:hAnsi="宋体" w:cs="宋体"/>
          <w:snapToGrid w:val="0"/>
          <w:color w:val="auto"/>
          <w:kern w:val="0"/>
          <w:szCs w:val="21"/>
          <w:highlight w:val="none"/>
        </w:rPr>
      </w:pPr>
    </w:p>
    <w:p w14:paraId="5E4B5F45">
      <w:pPr>
        <w:pStyle w:val="20"/>
        <w:rPr>
          <w:rFonts w:hint="eastAsia" w:ascii="宋体" w:hAnsi="宋体" w:cs="宋体"/>
          <w:snapToGrid w:val="0"/>
          <w:color w:val="auto"/>
          <w:kern w:val="0"/>
          <w:szCs w:val="21"/>
          <w:highlight w:val="none"/>
        </w:rPr>
      </w:pPr>
    </w:p>
    <w:p w14:paraId="02BD1B19">
      <w:pPr>
        <w:pStyle w:val="20"/>
        <w:rPr>
          <w:rFonts w:hint="eastAsia" w:ascii="宋体" w:hAnsi="宋体" w:cs="宋体"/>
          <w:snapToGrid w:val="0"/>
          <w:color w:val="auto"/>
          <w:kern w:val="0"/>
          <w:szCs w:val="21"/>
          <w:highlight w:val="none"/>
        </w:rPr>
      </w:pPr>
    </w:p>
    <w:p w14:paraId="22C5E778">
      <w:pPr>
        <w:pStyle w:val="20"/>
        <w:rPr>
          <w:rFonts w:hint="eastAsia" w:ascii="宋体" w:hAnsi="宋体" w:cs="宋体"/>
          <w:snapToGrid w:val="0"/>
          <w:color w:val="auto"/>
          <w:kern w:val="0"/>
          <w:szCs w:val="21"/>
          <w:highlight w:val="none"/>
        </w:rPr>
      </w:pPr>
    </w:p>
    <w:p w14:paraId="241AE2B2">
      <w:pPr>
        <w:pStyle w:val="20"/>
        <w:rPr>
          <w:rFonts w:hint="eastAsia" w:ascii="宋体" w:hAnsi="宋体" w:cs="宋体"/>
          <w:snapToGrid w:val="0"/>
          <w:color w:val="auto"/>
          <w:kern w:val="0"/>
          <w:szCs w:val="21"/>
          <w:highlight w:val="none"/>
        </w:rPr>
      </w:pPr>
    </w:p>
    <w:p w14:paraId="451D5CE9">
      <w:pPr>
        <w:pStyle w:val="20"/>
        <w:rPr>
          <w:rFonts w:hint="eastAsia" w:ascii="宋体" w:hAnsi="宋体" w:cs="宋体"/>
          <w:snapToGrid w:val="0"/>
          <w:color w:val="auto"/>
          <w:kern w:val="0"/>
          <w:szCs w:val="21"/>
          <w:highlight w:val="none"/>
        </w:rPr>
      </w:pPr>
    </w:p>
    <w:p w14:paraId="16BFEFD7">
      <w:pPr>
        <w:pStyle w:val="20"/>
        <w:rPr>
          <w:rFonts w:hint="eastAsia" w:ascii="宋体" w:hAnsi="宋体" w:cs="宋体"/>
          <w:snapToGrid w:val="0"/>
          <w:color w:val="auto"/>
          <w:kern w:val="0"/>
          <w:szCs w:val="21"/>
          <w:highlight w:val="none"/>
        </w:rPr>
      </w:pPr>
    </w:p>
    <w:p w14:paraId="180EAD86">
      <w:pPr>
        <w:pStyle w:val="20"/>
        <w:rPr>
          <w:rFonts w:hint="eastAsia" w:ascii="宋体" w:hAnsi="宋体" w:cs="宋体"/>
          <w:snapToGrid w:val="0"/>
          <w:color w:val="auto"/>
          <w:kern w:val="0"/>
          <w:szCs w:val="21"/>
          <w:highlight w:val="none"/>
        </w:rPr>
      </w:pPr>
    </w:p>
    <w:p w14:paraId="142C8600">
      <w:pPr>
        <w:pStyle w:val="20"/>
        <w:rPr>
          <w:rFonts w:hint="eastAsia" w:ascii="宋体" w:hAnsi="宋体" w:cs="宋体"/>
          <w:snapToGrid w:val="0"/>
          <w:color w:val="auto"/>
          <w:kern w:val="0"/>
          <w:szCs w:val="21"/>
          <w:highlight w:val="none"/>
        </w:rPr>
      </w:pPr>
    </w:p>
    <w:p w14:paraId="6366F2B3">
      <w:pPr>
        <w:pStyle w:val="20"/>
        <w:rPr>
          <w:rFonts w:hint="eastAsia" w:ascii="宋体" w:hAnsi="宋体" w:cs="宋体"/>
          <w:snapToGrid w:val="0"/>
          <w:color w:val="auto"/>
          <w:kern w:val="0"/>
          <w:szCs w:val="21"/>
          <w:highlight w:val="none"/>
        </w:rPr>
      </w:pPr>
    </w:p>
    <w:p w14:paraId="5DFA60FF">
      <w:pPr>
        <w:pStyle w:val="20"/>
        <w:rPr>
          <w:rFonts w:hint="eastAsia" w:ascii="宋体" w:hAnsi="宋体" w:cs="宋体"/>
          <w:snapToGrid w:val="0"/>
          <w:color w:val="auto"/>
          <w:kern w:val="0"/>
          <w:szCs w:val="21"/>
          <w:highlight w:val="none"/>
        </w:rPr>
      </w:pPr>
    </w:p>
    <w:p w14:paraId="70E5D491">
      <w:pPr>
        <w:pStyle w:val="20"/>
        <w:rPr>
          <w:rFonts w:hint="eastAsia" w:ascii="宋体" w:hAnsi="宋体" w:cs="宋体"/>
          <w:snapToGrid w:val="0"/>
          <w:color w:val="auto"/>
          <w:kern w:val="0"/>
          <w:szCs w:val="21"/>
          <w:highlight w:val="none"/>
        </w:rPr>
      </w:pPr>
    </w:p>
    <w:p w14:paraId="6E53490C">
      <w:pPr>
        <w:pStyle w:val="20"/>
        <w:rPr>
          <w:rFonts w:hint="eastAsia" w:ascii="宋体" w:hAnsi="宋体" w:cs="宋体"/>
          <w:snapToGrid w:val="0"/>
          <w:color w:val="auto"/>
          <w:kern w:val="0"/>
          <w:szCs w:val="21"/>
          <w:highlight w:val="none"/>
        </w:rPr>
      </w:pPr>
    </w:p>
    <w:p w14:paraId="13BEA798">
      <w:pPr>
        <w:pStyle w:val="20"/>
        <w:rPr>
          <w:rFonts w:hint="eastAsia" w:ascii="宋体" w:hAnsi="宋体" w:cs="宋体"/>
          <w:snapToGrid w:val="0"/>
          <w:color w:val="auto"/>
          <w:kern w:val="0"/>
          <w:szCs w:val="21"/>
          <w:highlight w:val="none"/>
        </w:rPr>
      </w:pPr>
    </w:p>
    <w:p w14:paraId="1609919D">
      <w:pPr>
        <w:pStyle w:val="20"/>
        <w:rPr>
          <w:rFonts w:hint="eastAsia" w:ascii="宋体" w:hAnsi="宋体" w:cs="宋体"/>
          <w:snapToGrid w:val="0"/>
          <w:color w:val="auto"/>
          <w:kern w:val="0"/>
          <w:szCs w:val="21"/>
          <w:highlight w:val="none"/>
        </w:rPr>
      </w:pPr>
    </w:p>
    <w:p w14:paraId="2835743A">
      <w:pPr>
        <w:pStyle w:val="20"/>
        <w:rPr>
          <w:rFonts w:hint="eastAsia" w:ascii="宋体" w:hAnsi="宋体" w:cs="宋体"/>
          <w:snapToGrid w:val="0"/>
          <w:color w:val="auto"/>
          <w:kern w:val="0"/>
          <w:szCs w:val="21"/>
          <w:highlight w:val="none"/>
        </w:rPr>
      </w:pPr>
    </w:p>
    <w:p w14:paraId="18D98B4F">
      <w:pPr>
        <w:pStyle w:val="20"/>
        <w:rPr>
          <w:rFonts w:hint="eastAsia" w:ascii="宋体" w:hAnsi="宋体" w:cs="宋体"/>
          <w:snapToGrid w:val="0"/>
          <w:color w:val="auto"/>
          <w:kern w:val="0"/>
          <w:szCs w:val="21"/>
          <w:highlight w:val="none"/>
        </w:rPr>
      </w:pPr>
    </w:p>
    <w:p w14:paraId="408C80CA">
      <w:pPr>
        <w:pStyle w:val="20"/>
        <w:rPr>
          <w:rFonts w:hint="eastAsia" w:ascii="宋体" w:hAnsi="宋体" w:cs="宋体"/>
          <w:snapToGrid w:val="0"/>
          <w:color w:val="auto"/>
          <w:kern w:val="0"/>
          <w:szCs w:val="21"/>
          <w:highlight w:val="none"/>
        </w:rPr>
      </w:pPr>
    </w:p>
    <w:p w14:paraId="482B6223">
      <w:pPr>
        <w:pStyle w:val="20"/>
        <w:rPr>
          <w:rFonts w:hint="eastAsia" w:ascii="宋体" w:hAnsi="宋体" w:cs="宋体"/>
          <w:snapToGrid w:val="0"/>
          <w:color w:val="auto"/>
          <w:kern w:val="0"/>
          <w:szCs w:val="21"/>
          <w:highlight w:val="none"/>
        </w:rPr>
      </w:pPr>
    </w:p>
    <w:p w14:paraId="4C57612E">
      <w:pPr>
        <w:pStyle w:val="20"/>
        <w:rPr>
          <w:rFonts w:hint="eastAsia" w:ascii="宋体" w:hAnsi="宋体" w:cs="宋体"/>
          <w:snapToGrid w:val="0"/>
          <w:color w:val="auto"/>
          <w:kern w:val="0"/>
          <w:szCs w:val="21"/>
          <w:highlight w:val="none"/>
        </w:rPr>
      </w:pPr>
    </w:p>
    <w:p w14:paraId="6ABD724A">
      <w:pPr>
        <w:pStyle w:val="20"/>
        <w:rPr>
          <w:rFonts w:hint="eastAsia" w:ascii="宋体" w:hAnsi="宋体" w:cs="宋体"/>
          <w:snapToGrid w:val="0"/>
          <w:color w:val="auto"/>
          <w:kern w:val="0"/>
          <w:szCs w:val="21"/>
          <w:highlight w:val="none"/>
        </w:rPr>
      </w:pPr>
    </w:p>
    <w:p w14:paraId="13AEE552">
      <w:pPr>
        <w:adjustRightInd w:val="0"/>
        <w:spacing w:line="360" w:lineRule="auto"/>
        <w:jc w:val="center"/>
        <w:rPr>
          <w:rFonts w:hint="eastAsia" w:ascii="宋体" w:hAnsi="宋体" w:cs="宋体"/>
          <w:b/>
          <w:snapToGrid w:val="0"/>
          <w:color w:val="auto"/>
          <w:kern w:val="0"/>
          <w:sz w:val="28"/>
          <w:szCs w:val="28"/>
          <w:highlight w:val="none"/>
        </w:rPr>
      </w:pPr>
      <w:r>
        <w:rPr>
          <w:rFonts w:hint="eastAsia" w:ascii="宋体" w:hAnsi="宋体" w:cs="宋体"/>
          <w:b/>
          <w:bCs/>
          <w:snapToGrid w:val="0"/>
          <w:color w:val="auto"/>
          <w:kern w:val="0"/>
          <w:sz w:val="28"/>
          <w:szCs w:val="28"/>
          <w:highlight w:val="none"/>
        </w:rPr>
        <w:t>授权委托书</w:t>
      </w:r>
    </w:p>
    <w:p w14:paraId="49E02EFE">
      <w:pPr>
        <w:adjustRightInd w:val="0"/>
        <w:spacing w:line="360" w:lineRule="auto"/>
        <w:jc w:val="left"/>
        <w:rPr>
          <w:rFonts w:hint="eastAsia" w:ascii="宋体" w:hAnsi="宋体" w:cs="宋体"/>
          <w:b/>
          <w:snapToGrid w:val="0"/>
          <w:color w:val="auto"/>
          <w:kern w:val="0"/>
          <w:sz w:val="32"/>
          <w:szCs w:val="20"/>
          <w:highlight w:val="none"/>
        </w:rPr>
      </w:pPr>
    </w:p>
    <w:p w14:paraId="6C7C6EE5">
      <w:pPr>
        <w:adjustRightInd w:val="0"/>
        <w:spacing w:line="520" w:lineRule="exact"/>
        <w:ind w:left="4" w:firstLine="520" w:firstLineChars="217"/>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我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（姓名）系</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（投标人名称）的法定代表人，现授权委托</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（姓名）为我公司授权代表，以本公司的名义参加</w:t>
      </w:r>
      <w:r>
        <w:rPr>
          <w:rFonts w:hint="eastAsia" w:ascii="宋体" w:hAnsi="宋体" w:cs="宋体"/>
          <w:snapToGrid w:val="0"/>
          <w:color w:val="auto"/>
          <w:kern w:val="0"/>
          <w:sz w:val="24"/>
          <w:highlight w:val="none"/>
          <w:u w:val="single"/>
        </w:rPr>
        <w:t xml:space="preserve">   （采购人）    </w:t>
      </w:r>
      <w:r>
        <w:rPr>
          <w:rFonts w:hint="eastAsia" w:ascii="宋体" w:hAnsi="宋体" w:cs="宋体"/>
          <w:snapToGrid w:val="0"/>
          <w:color w:val="auto"/>
          <w:kern w:val="0"/>
          <w:sz w:val="24"/>
          <w:highlight w:val="none"/>
        </w:rPr>
        <w:t xml:space="preserve">的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项目的投标活动。授权代表在开标、评标、合同谈判过程中所签署的一切文件和处理与之有关的一切事务，我均予以承认。</w:t>
      </w:r>
    </w:p>
    <w:p w14:paraId="26911340">
      <w:pPr>
        <w:adjustRightInd w:val="0"/>
        <w:spacing w:line="5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授权代表无权转委托。特此委托。</w:t>
      </w:r>
    </w:p>
    <w:p w14:paraId="6BF5C0DB">
      <w:pPr>
        <w:pStyle w:val="2"/>
        <w:outlineLvl w:val="9"/>
        <w:rPr>
          <w:rFonts w:hint="eastAsia" w:ascii="宋体" w:hAnsi="宋体" w:eastAsia="宋体" w:cs="宋体"/>
          <w:color w:val="auto"/>
          <w:highlight w:val="none"/>
        </w:rPr>
      </w:pPr>
    </w:p>
    <w:p w14:paraId="4F761DA2">
      <w:pPr>
        <w:pStyle w:val="10"/>
        <w:spacing w:line="600" w:lineRule="exact"/>
        <w:ind w:firstLine="3674" w:firstLineChars="1531"/>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 xml:space="preserve">投标人： </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w:t>
      </w:r>
      <w:r>
        <w:rPr>
          <w:rFonts w:hint="eastAsia" w:ascii="宋体" w:hAnsi="宋体" w:eastAsia="宋体" w:cs="宋体"/>
          <w:color w:val="auto"/>
          <w:szCs w:val="24"/>
          <w:highlight w:val="none"/>
        </w:rPr>
        <w:t>盖电子公章</w:t>
      </w:r>
      <w:r>
        <w:rPr>
          <w:rFonts w:hint="eastAsia" w:ascii="宋体" w:hAnsi="宋体" w:eastAsia="宋体" w:cs="宋体"/>
          <w:snapToGrid w:val="0"/>
          <w:color w:val="auto"/>
          <w:kern w:val="0"/>
          <w:szCs w:val="24"/>
          <w:highlight w:val="none"/>
        </w:rPr>
        <w:t xml:space="preserve">）  </w:t>
      </w:r>
    </w:p>
    <w:p w14:paraId="78A7EAC4">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法定代表人：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（签字或盖章） </w:t>
      </w:r>
    </w:p>
    <w:p w14:paraId="18630C87">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法定代表人身份证号码：</w:t>
      </w:r>
      <w:r>
        <w:rPr>
          <w:rFonts w:hint="eastAsia" w:ascii="宋体" w:hAnsi="宋体" w:cs="宋体"/>
          <w:snapToGrid w:val="0"/>
          <w:color w:val="auto"/>
          <w:kern w:val="0"/>
          <w:sz w:val="24"/>
          <w:highlight w:val="none"/>
          <w:u w:val="single"/>
        </w:rPr>
        <w:t xml:space="preserve">              </w:t>
      </w:r>
    </w:p>
    <w:p w14:paraId="0FC5FA68">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授权代表</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（签字或盖章） </w:t>
      </w:r>
    </w:p>
    <w:p w14:paraId="1FAF9ACA">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授权代表身份证号码：</w:t>
      </w:r>
      <w:r>
        <w:rPr>
          <w:rFonts w:hint="eastAsia" w:ascii="宋体" w:hAnsi="宋体" w:cs="宋体"/>
          <w:snapToGrid w:val="0"/>
          <w:color w:val="auto"/>
          <w:kern w:val="0"/>
          <w:sz w:val="24"/>
          <w:highlight w:val="none"/>
          <w:u w:val="single"/>
        </w:rPr>
        <w:t xml:space="preserve">              </w:t>
      </w:r>
    </w:p>
    <w:p w14:paraId="40189313">
      <w:pPr>
        <w:autoSpaceDE w:val="0"/>
        <w:autoSpaceDN w:val="0"/>
        <w:adjustRightInd w:val="0"/>
        <w:spacing w:line="520" w:lineRule="exact"/>
        <w:ind w:right="420"/>
        <w:rPr>
          <w:rFonts w:hint="eastAsia" w:ascii="宋体" w:hAnsi="宋体" w:cs="宋体"/>
          <w:snapToGrid w:val="0"/>
          <w:color w:val="auto"/>
          <w:kern w:val="0"/>
          <w:sz w:val="24"/>
          <w:highlight w:val="none"/>
        </w:rPr>
      </w:pPr>
    </w:p>
    <w:p w14:paraId="2AFEBC78">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年    月    日</w:t>
      </w:r>
    </w:p>
    <w:p w14:paraId="3D59B982">
      <w:pPr>
        <w:autoSpaceDE w:val="0"/>
        <w:autoSpaceDN w:val="0"/>
        <w:adjustRightInd w:val="0"/>
        <w:snapToGrid w:val="0"/>
        <w:spacing w:line="360" w:lineRule="auto"/>
        <w:ind w:right="42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附：授权代表的身份证扫描件（正反面）</w:t>
      </w:r>
    </w:p>
    <w:p w14:paraId="1E88D4C2">
      <w:pPr>
        <w:autoSpaceDE w:val="0"/>
        <w:autoSpaceDN w:val="0"/>
        <w:adjustRightInd w:val="0"/>
        <w:spacing w:line="360" w:lineRule="auto"/>
        <w:jc w:val="center"/>
        <w:rPr>
          <w:rFonts w:hint="eastAsia" w:ascii="宋体" w:hAnsi="宋体" w:cs="宋体"/>
          <w:b/>
          <w:bCs/>
          <w:color w:val="auto"/>
          <w:sz w:val="32"/>
          <w:szCs w:val="32"/>
          <w:highlight w:val="none"/>
        </w:rPr>
      </w:pPr>
      <w:r>
        <w:rPr>
          <w:rFonts w:hint="eastAsia" w:ascii="宋体" w:hAnsi="宋体" w:cs="宋体"/>
          <w:snapToGrid w:val="0"/>
          <w:color w:val="auto"/>
          <w:kern w:val="0"/>
          <w:szCs w:val="21"/>
          <w:highlight w:val="none"/>
        </w:rPr>
        <w:br w:type="page"/>
      </w:r>
      <w:r>
        <w:rPr>
          <w:rFonts w:hint="eastAsia" w:ascii="宋体" w:hAnsi="宋体" w:cs="宋体"/>
          <w:b/>
          <w:bCs/>
          <w:color w:val="auto"/>
          <w:sz w:val="32"/>
          <w:szCs w:val="32"/>
          <w:highlight w:val="none"/>
        </w:rPr>
        <w:t xml:space="preserve">廉 政 承 </w:t>
      </w:r>
      <w:bookmarkStart w:id="245" w:name="OLE_LINK10"/>
      <w:r>
        <w:rPr>
          <w:rFonts w:hint="eastAsia" w:ascii="宋体" w:hAnsi="宋体" w:cs="宋体"/>
          <w:b/>
          <w:bCs/>
          <w:color w:val="auto"/>
          <w:sz w:val="32"/>
          <w:szCs w:val="32"/>
          <w:highlight w:val="none"/>
        </w:rPr>
        <w:t>诺 书</w:t>
      </w:r>
    </w:p>
    <w:p w14:paraId="1FD10185">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snapToGrid w:val="0"/>
          <w:color w:val="auto"/>
          <w:kern w:val="0"/>
          <w:sz w:val="24"/>
          <w:highlight w:val="none"/>
          <w:u w:val="single"/>
          <w:lang w:eastAsia="zh-CN"/>
        </w:rPr>
        <w:t>浦江县交投贸易有限公司</w:t>
      </w:r>
      <w:r>
        <w:rPr>
          <w:rFonts w:hint="eastAsia" w:ascii="宋体" w:hAnsi="宋体" w:cs="宋体"/>
          <w:bCs/>
          <w:color w:val="auto"/>
          <w:sz w:val="24"/>
          <w:highlight w:val="none"/>
        </w:rPr>
        <w:t>：</w:t>
      </w:r>
    </w:p>
    <w:p w14:paraId="3D5CBF46">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我单位响应你单位项目招标要求参加应标。在这次应标过程中和中标后，我们将严格遵守国家法律法规规定要求，并郑重承诺：</w:t>
      </w:r>
    </w:p>
    <w:p w14:paraId="305BFBFC">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一、不向项目有关人员及部门赠送礼金礼物、有价证券、回扣以及中介费、介绍费、咨询费等好处费；</w:t>
      </w:r>
    </w:p>
    <w:p w14:paraId="682296C4">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二、不为项目有关人员及部门报销应由你方单位或个人支付的费用；</w:t>
      </w:r>
    </w:p>
    <w:p w14:paraId="3323F63E">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三、不向项目有关人员及部门提供有可能影响公正执行公务的宴请和健身娱乐等活动；</w:t>
      </w:r>
    </w:p>
    <w:p w14:paraId="7C4C00D8">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四、不为项目有关人员及部门出国（境）、旅游等提供方便；</w:t>
      </w:r>
    </w:p>
    <w:p w14:paraId="4E929232">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五、不为项目有关人员个人装修住房、婚丧嫁娶、配偶子女工作安排等提供好处； </w:t>
      </w:r>
    </w:p>
    <w:p w14:paraId="548B1F2E">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六、严格遵守采购法、合同法等法律，诚实守信，合法经营，坚决抵制各种违法违纪行为。</w:t>
      </w:r>
    </w:p>
    <w:p w14:paraId="4EBC8D9A">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如违反上述承诺，你单位有权立即取消我单位应标、中标或在建项目的资格，有权拒绝我单位在一定时期内进入你单位进行工程建设或其他经营活动，并通报县国资办。由此引起的相应损失均由我单位承担。</w:t>
      </w:r>
    </w:p>
    <w:p w14:paraId="7D223356">
      <w:pPr>
        <w:autoSpaceDE w:val="0"/>
        <w:autoSpaceDN w:val="0"/>
        <w:adjustRightInd w:val="0"/>
        <w:spacing w:line="360" w:lineRule="auto"/>
        <w:rPr>
          <w:rFonts w:hint="eastAsia" w:ascii="宋体" w:hAnsi="宋体" w:cs="宋体"/>
          <w:bCs/>
          <w:color w:val="auto"/>
          <w:sz w:val="24"/>
          <w:highlight w:val="none"/>
        </w:rPr>
      </w:pPr>
    </w:p>
    <w:p w14:paraId="494F6223">
      <w:pPr>
        <w:autoSpaceDE w:val="0"/>
        <w:autoSpaceDN w:val="0"/>
        <w:adjustRightInd w:val="0"/>
        <w:spacing w:line="360" w:lineRule="auto"/>
        <w:rPr>
          <w:rFonts w:hint="eastAsia" w:ascii="宋体" w:hAnsi="宋体" w:cs="宋体"/>
          <w:bCs/>
          <w:color w:val="auto"/>
          <w:sz w:val="24"/>
          <w:highlight w:val="none"/>
        </w:rPr>
      </w:pPr>
    </w:p>
    <w:p w14:paraId="604FE845">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14:paraId="4DDB5FD4">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14:paraId="32684A17">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14:paraId="446BD685">
      <w:pPr>
        <w:pStyle w:val="25"/>
        <w:tabs>
          <w:tab w:val="left" w:pos="900"/>
        </w:tabs>
        <w:snapToGrid w:val="0"/>
        <w:spacing w:before="120" w:after="120"/>
        <w:jc w:val="center"/>
        <w:rPr>
          <w:rFonts w:hint="eastAsia" w:ascii="宋体" w:hAnsi="宋体" w:cs="宋体"/>
          <w:b/>
          <w:color w:val="auto"/>
          <w:sz w:val="24"/>
          <w:highlight w:val="none"/>
        </w:rPr>
      </w:pPr>
    </w:p>
    <w:p w14:paraId="5191BF61">
      <w:pPr>
        <w:pStyle w:val="25"/>
        <w:tabs>
          <w:tab w:val="left" w:pos="900"/>
        </w:tabs>
        <w:snapToGrid w:val="0"/>
        <w:spacing w:before="120" w:after="120"/>
        <w:jc w:val="center"/>
        <w:rPr>
          <w:rFonts w:hint="eastAsia" w:ascii="宋体" w:hAnsi="宋体" w:cs="宋体"/>
          <w:b/>
          <w:color w:val="auto"/>
          <w:sz w:val="24"/>
          <w:highlight w:val="none"/>
        </w:rPr>
      </w:pPr>
    </w:p>
    <w:p w14:paraId="6F73AC89">
      <w:pPr>
        <w:pStyle w:val="25"/>
        <w:tabs>
          <w:tab w:val="left" w:pos="900"/>
        </w:tabs>
        <w:snapToGrid w:val="0"/>
        <w:spacing w:before="120" w:after="120"/>
        <w:jc w:val="center"/>
        <w:rPr>
          <w:rFonts w:hint="eastAsia" w:ascii="宋体" w:hAnsi="宋体" w:cs="宋体"/>
          <w:b/>
          <w:color w:val="auto"/>
          <w:sz w:val="24"/>
          <w:highlight w:val="none"/>
        </w:rPr>
      </w:pPr>
    </w:p>
    <w:p w14:paraId="259EE380">
      <w:pPr>
        <w:pStyle w:val="25"/>
        <w:tabs>
          <w:tab w:val="left" w:pos="900"/>
        </w:tabs>
        <w:snapToGrid w:val="0"/>
        <w:spacing w:before="120" w:after="120"/>
        <w:jc w:val="center"/>
        <w:rPr>
          <w:rFonts w:hint="eastAsia" w:ascii="宋体" w:hAnsi="宋体" w:cs="宋体"/>
          <w:b/>
          <w:color w:val="auto"/>
          <w:sz w:val="24"/>
          <w:highlight w:val="none"/>
        </w:rPr>
      </w:pPr>
    </w:p>
    <w:p w14:paraId="4DDF7C0E">
      <w:pPr>
        <w:pStyle w:val="25"/>
        <w:tabs>
          <w:tab w:val="left" w:pos="900"/>
        </w:tabs>
        <w:snapToGrid w:val="0"/>
        <w:spacing w:before="120" w:after="120"/>
        <w:jc w:val="center"/>
        <w:rPr>
          <w:rFonts w:hint="eastAsia" w:ascii="宋体" w:hAnsi="宋体" w:cs="宋体"/>
          <w:b/>
          <w:color w:val="auto"/>
          <w:sz w:val="24"/>
          <w:highlight w:val="none"/>
        </w:rPr>
      </w:pPr>
    </w:p>
    <w:p w14:paraId="3EF8FB6A">
      <w:pPr>
        <w:pStyle w:val="25"/>
        <w:tabs>
          <w:tab w:val="left" w:pos="900"/>
        </w:tabs>
        <w:snapToGrid w:val="0"/>
        <w:spacing w:before="120" w:after="120"/>
        <w:jc w:val="center"/>
        <w:rPr>
          <w:rFonts w:hint="eastAsia" w:ascii="宋体" w:hAnsi="宋体" w:cs="宋体"/>
          <w:b/>
          <w:color w:val="auto"/>
          <w:sz w:val="24"/>
          <w:highlight w:val="none"/>
        </w:rPr>
      </w:pPr>
    </w:p>
    <w:p w14:paraId="07ED45C2">
      <w:pPr>
        <w:pStyle w:val="25"/>
        <w:tabs>
          <w:tab w:val="left" w:pos="900"/>
        </w:tabs>
        <w:snapToGrid w:val="0"/>
        <w:spacing w:before="120" w:after="120"/>
        <w:jc w:val="center"/>
        <w:rPr>
          <w:rFonts w:hint="eastAsia" w:ascii="宋体" w:hAnsi="宋体" w:cs="宋体"/>
          <w:b/>
          <w:color w:val="auto"/>
          <w:sz w:val="24"/>
          <w:highlight w:val="none"/>
        </w:rPr>
      </w:pPr>
    </w:p>
    <w:bookmarkEnd w:id="245"/>
    <w:p w14:paraId="0A881947">
      <w:pPr>
        <w:keepNext w:val="0"/>
        <w:keepLines w:val="0"/>
        <w:pageBreakBefore w:val="0"/>
        <w:widowControl w:val="0"/>
        <w:tabs>
          <w:tab w:val="left" w:pos="2790"/>
        </w:tabs>
        <w:kinsoku/>
        <w:wordWrap/>
        <w:overflowPunct/>
        <w:topLinePunct w:val="0"/>
        <w:autoSpaceDE/>
        <w:autoSpaceDN/>
        <w:bidi w:val="0"/>
        <w:adjustRightInd/>
        <w:snapToGrid/>
        <w:spacing w:line="480" w:lineRule="exact"/>
        <w:textAlignment w:val="auto"/>
        <w:rPr>
          <w:rFonts w:ascii="华文仿宋" w:hAnsi="华文仿宋" w:eastAsia="华文仿宋"/>
          <w:color w:val="auto"/>
          <w:sz w:val="28"/>
          <w:szCs w:val="28"/>
          <w:highlight w:val="none"/>
        </w:rPr>
      </w:pPr>
    </w:p>
    <w:p w14:paraId="0651481A">
      <w:pPr>
        <w:tabs>
          <w:tab w:val="left" w:pos="2790"/>
        </w:tabs>
        <w:spacing w:line="340" w:lineRule="exact"/>
        <w:rPr>
          <w:rFonts w:ascii="宋体" w:hAnsi="宋体"/>
          <w:color w:val="auto"/>
          <w:sz w:val="28"/>
          <w:szCs w:val="28"/>
          <w:highlight w:val="none"/>
        </w:rPr>
      </w:pPr>
    </w:p>
    <w:p w14:paraId="131F90A1">
      <w:pPr>
        <w:pStyle w:val="25"/>
        <w:tabs>
          <w:tab w:val="left" w:pos="900"/>
        </w:tabs>
        <w:snapToGrid w:val="0"/>
        <w:spacing w:before="120" w:after="120"/>
        <w:jc w:val="center"/>
        <w:rPr>
          <w:rFonts w:hint="eastAsia" w:ascii="宋体" w:hAnsi="宋体" w:eastAsia="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eastAsia="宋体" w:cs="宋体"/>
          <w:b/>
          <w:color w:val="auto"/>
          <w:sz w:val="32"/>
          <w:szCs w:val="32"/>
          <w:highlight w:val="none"/>
        </w:rPr>
        <w:t>商务响应表</w:t>
      </w:r>
    </w:p>
    <w:p w14:paraId="21A1CA7E">
      <w:pPr>
        <w:rPr>
          <w:color w:val="auto"/>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70"/>
        <w:gridCol w:w="1260"/>
        <w:gridCol w:w="2750"/>
      </w:tblGrid>
      <w:tr w14:paraId="2F1C9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72BD9610">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项目</w:t>
            </w:r>
          </w:p>
        </w:tc>
        <w:tc>
          <w:tcPr>
            <w:tcW w:w="2970" w:type="dxa"/>
            <w:tcBorders>
              <w:top w:val="single" w:color="auto" w:sz="4" w:space="0"/>
              <w:left w:val="single" w:color="auto" w:sz="4" w:space="0"/>
              <w:bottom w:val="single" w:color="auto" w:sz="4" w:space="0"/>
              <w:right w:val="single" w:color="auto" w:sz="4" w:space="0"/>
            </w:tcBorders>
            <w:noWrap w:val="0"/>
            <w:vAlign w:val="top"/>
          </w:tcPr>
          <w:p w14:paraId="061D920C">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110CC524">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是否响应</w:t>
            </w:r>
          </w:p>
        </w:tc>
        <w:tc>
          <w:tcPr>
            <w:tcW w:w="2750" w:type="dxa"/>
            <w:tcBorders>
              <w:top w:val="single" w:color="auto" w:sz="4" w:space="0"/>
              <w:left w:val="single" w:color="auto" w:sz="4" w:space="0"/>
              <w:bottom w:val="single" w:color="auto" w:sz="4" w:space="0"/>
              <w:right w:val="single" w:color="auto" w:sz="4" w:space="0"/>
            </w:tcBorders>
            <w:noWrap w:val="0"/>
            <w:vAlign w:val="top"/>
          </w:tcPr>
          <w:p w14:paraId="5E587ADB">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投标人的承诺或说明</w:t>
            </w:r>
          </w:p>
        </w:tc>
      </w:tr>
      <w:tr w14:paraId="6E557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239FA562">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售后技术服务要求</w:t>
            </w:r>
          </w:p>
        </w:tc>
        <w:tc>
          <w:tcPr>
            <w:tcW w:w="2970" w:type="dxa"/>
            <w:tcBorders>
              <w:top w:val="single" w:color="auto" w:sz="4" w:space="0"/>
              <w:left w:val="single" w:color="auto" w:sz="4" w:space="0"/>
              <w:bottom w:val="single" w:color="auto" w:sz="4" w:space="0"/>
              <w:right w:val="single" w:color="auto" w:sz="4" w:space="0"/>
            </w:tcBorders>
            <w:noWrap w:val="0"/>
            <w:vAlign w:val="top"/>
          </w:tcPr>
          <w:p w14:paraId="21AE3362">
            <w:pPr>
              <w:snapToGrid w:val="0"/>
              <w:spacing w:before="120" w:beforeLines="50" w:line="440" w:lineRule="exact"/>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8233ED9">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14:paraId="65EC0888">
            <w:pPr>
              <w:snapToGrid w:val="0"/>
              <w:spacing w:before="120" w:beforeLines="50" w:line="440" w:lineRule="exact"/>
              <w:rPr>
                <w:rFonts w:ascii="宋体" w:hAnsi="宋体"/>
                <w:color w:val="auto"/>
                <w:sz w:val="24"/>
                <w:szCs w:val="20"/>
                <w:highlight w:val="none"/>
              </w:rPr>
            </w:pPr>
          </w:p>
        </w:tc>
      </w:tr>
      <w:tr w14:paraId="70775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1709846B">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交货时间及地点</w:t>
            </w:r>
          </w:p>
        </w:tc>
        <w:tc>
          <w:tcPr>
            <w:tcW w:w="2970" w:type="dxa"/>
            <w:tcBorders>
              <w:top w:val="single" w:color="auto" w:sz="4" w:space="0"/>
              <w:left w:val="single" w:color="auto" w:sz="4" w:space="0"/>
              <w:bottom w:val="single" w:color="auto" w:sz="4" w:space="0"/>
              <w:right w:val="single" w:color="auto" w:sz="4" w:space="0"/>
            </w:tcBorders>
            <w:noWrap w:val="0"/>
            <w:vAlign w:val="top"/>
          </w:tcPr>
          <w:p w14:paraId="72F8FDB7">
            <w:pPr>
              <w:snapToGrid w:val="0"/>
              <w:spacing w:before="120" w:beforeLines="50" w:line="440" w:lineRule="exact"/>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676287B">
            <w:pPr>
              <w:snapToGrid w:val="0"/>
              <w:spacing w:before="120" w:beforeLines="50" w:line="440" w:lineRule="exact"/>
              <w:ind w:left="43"/>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14:paraId="24CEEFF1">
            <w:pPr>
              <w:snapToGrid w:val="0"/>
              <w:spacing w:before="120" w:beforeLines="50" w:line="440" w:lineRule="exact"/>
              <w:ind w:left="43"/>
              <w:rPr>
                <w:rFonts w:ascii="宋体" w:hAnsi="宋体"/>
                <w:color w:val="auto"/>
                <w:sz w:val="24"/>
                <w:szCs w:val="20"/>
                <w:highlight w:val="none"/>
              </w:rPr>
            </w:pPr>
          </w:p>
        </w:tc>
      </w:tr>
      <w:tr w14:paraId="61A79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3DB7B965">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付款条件</w:t>
            </w:r>
          </w:p>
        </w:tc>
        <w:tc>
          <w:tcPr>
            <w:tcW w:w="2970" w:type="dxa"/>
            <w:tcBorders>
              <w:top w:val="single" w:color="auto" w:sz="4" w:space="0"/>
              <w:left w:val="single" w:color="auto" w:sz="4" w:space="0"/>
              <w:bottom w:val="single" w:color="auto" w:sz="4" w:space="0"/>
              <w:right w:val="single" w:color="auto" w:sz="4" w:space="0"/>
            </w:tcBorders>
            <w:noWrap w:val="0"/>
            <w:vAlign w:val="top"/>
          </w:tcPr>
          <w:p w14:paraId="6FA5CEF7">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44E6766B">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14:paraId="2C88F9D4">
            <w:pPr>
              <w:snapToGrid w:val="0"/>
              <w:spacing w:before="120" w:beforeLines="50" w:line="440" w:lineRule="exact"/>
              <w:rPr>
                <w:rFonts w:ascii="宋体" w:hAnsi="宋体"/>
                <w:color w:val="auto"/>
                <w:sz w:val="24"/>
                <w:szCs w:val="20"/>
                <w:highlight w:val="none"/>
              </w:rPr>
            </w:pPr>
          </w:p>
        </w:tc>
      </w:tr>
      <w:tr w14:paraId="7A745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58C85C8A">
            <w:pPr>
              <w:snapToGrid w:val="0"/>
              <w:spacing w:before="120" w:beforeLines="50" w:line="440" w:lineRule="exact"/>
              <w:rPr>
                <w:rFonts w:hint="eastAsia" w:ascii="宋体" w:hAnsi="宋体"/>
                <w:color w:val="auto"/>
                <w:sz w:val="24"/>
                <w:highlight w:val="none"/>
              </w:rPr>
            </w:pPr>
          </w:p>
        </w:tc>
        <w:tc>
          <w:tcPr>
            <w:tcW w:w="2970" w:type="dxa"/>
            <w:tcBorders>
              <w:top w:val="single" w:color="auto" w:sz="4" w:space="0"/>
              <w:left w:val="single" w:color="auto" w:sz="4" w:space="0"/>
              <w:bottom w:val="single" w:color="auto" w:sz="4" w:space="0"/>
              <w:right w:val="single" w:color="auto" w:sz="4" w:space="0"/>
            </w:tcBorders>
            <w:noWrap w:val="0"/>
            <w:vAlign w:val="top"/>
          </w:tcPr>
          <w:p w14:paraId="24D49D1F">
            <w:pPr>
              <w:snapToGrid w:val="0"/>
              <w:spacing w:before="120" w:beforeLines="50" w:line="440" w:lineRule="exact"/>
              <w:rPr>
                <w:rFonts w:hint="eastAsia"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1BBBEE4">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14:paraId="72401226">
            <w:pPr>
              <w:snapToGrid w:val="0"/>
              <w:spacing w:before="120" w:beforeLines="50" w:line="440" w:lineRule="exact"/>
              <w:rPr>
                <w:rFonts w:ascii="宋体" w:hAnsi="宋体"/>
                <w:color w:val="auto"/>
                <w:sz w:val="24"/>
                <w:szCs w:val="20"/>
                <w:highlight w:val="none"/>
              </w:rPr>
            </w:pPr>
          </w:p>
        </w:tc>
      </w:tr>
      <w:tr w14:paraId="73897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5CC58EF7">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w:t>
            </w:r>
          </w:p>
        </w:tc>
        <w:tc>
          <w:tcPr>
            <w:tcW w:w="2970" w:type="dxa"/>
            <w:tcBorders>
              <w:top w:val="single" w:color="auto" w:sz="4" w:space="0"/>
              <w:left w:val="single" w:color="auto" w:sz="4" w:space="0"/>
              <w:bottom w:val="single" w:color="auto" w:sz="4" w:space="0"/>
              <w:right w:val="single" w:color="auto" w:sz="4" w:space="0"/>
            </w:tcBorders>
            <w:noWrap w:val="0"/>
            <w:vAlign w:val="top"/>
          </w:tcPr>
          <w:p w14:paraId="64476750">
            <w:pPr>
              <w:snapToGrid w:val="0"/>
              <w:spacing w:before="120" w:beforeLines="50" w:line="440" w:lineRule="exact"/>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6C63188">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14:paraId="74EAA50F">
            <w:pPr>
              <w:snapToGrid w:val="0"/>
              <w:spacing w:before="120" w:beforeLines="50" w:line="440" w:lineRule="exact"/>
              <w:rPr>
                <w:rFonts w:ascii="宋体" w:hAnsi="宋体"/>
                <w:color w:val="auto"/>
                <w:sz w:val="24"/>
                <w:szCs w:val="20"/>
                <w:highlight w:val="none"/>
              </w:rPr>
            </w:pPr>
          </w:p>
        </w:tc>
      </w:tr>
    </w:tbl>
    <w:p w14:paraId="3B66829D">
      <w:pPr>
        <w:pStyle w:val="19"/>
        <w:spacing w:line="440" w:lineRule="exact"/>
        <w:rPr>
          <w:color w:val="auto"/>
          <w:highlight w:val="none"/>
        </w:rPr>
      </w:pPr>
      <w:r>
        <w:rPr>
          <w:color w:val="auto"/>
          <w:highlight w:val="none"/>
        </w:rPr>
        <w:t>注：如不填写，招标人将视为 “无偏离”。</w:t>
      </w:r>
    </w:p>
    <w:p w14:paraId="4238BF76">
      <w:pPr>
        <w:snapToGrid w:val="0"/>
        <w:spacing w:before="50" w:after="50"/>
        <w:rPr>
          <w:rFonts w:ascii="宋体" w:hAnsi="宋体"/>
          <w:color w:val="auto"/>
          <w:spacing w:val="20"/>
          <w:sz w:val="24"/>
          <w:highlight w:val="none"/>
        </w:rPr>
      </w:pPr>
    </w:p>
    <w:p w14:paraId="4DE6B68D">
      <w:pPr>
        <w:snapToGrid w:val="0"/>
        <w:spacing w:line="360" w:lineRule="auto"/>
        <w:rPr>
          <w:rFonts w:hint="eastAsia" w:ascii="宋体" w:hAnsi="宋体" w:cs="宋体"/>
          <w:color w:val="auto"/>
          <w:sz w:val="24"/>
          <w:highlight w:val="none"/>
        </w:rPr>
      </w:pPr>
    </w:p>
    <w:p w14:paraId="71E94F75">
      <w:pPr>
        <w:snapToGrid w:val="0"/>
        <w:spacing w:line="360" w:lineRule="auto"/>
        <w:rPr>
          <w:rFonts w:hint="eastAsia" w:ascii="宋体" w:hAnsi="宋体" w:cs="宋体"/>
          <w:color w:val="auto"/>
          <w:sz w:val="24"/>
          <w:highlight w:val="none"/>
        </w:rPr>
      </w:pPr>
    </w:p>
    <w:p w14:paraId="00B00B09">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14:paraId="3D61F5F6">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14:paraId="61F74794">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14:paraId="29B50411">
      <w:pPr>
        <w:snapToGrid w:val="0"/>
        <w:spacing w:line="440" w:lineRule="exact"/>
        <w:jc w:val="left"/>
        <w:rPr>
          <w:rFonts w:ascii="宋体" w:hAnsi="宋体"/>
          <w:color w:val="auto"/>
          <w:sz w:val="24"/>
          <w:highlight w:val="none"/>
        </w:rPr>
      </w:pPr>
    </w:p>
    <w:p w14:paraId="7A7300EE">
      <w:pPr>
        <w:snapToGrid w:val="0"/>
        <w:spacing w:line="440" w:lineRule="exact"/>
        <w:jc w:val="left"/>
        <w:rPr>
          <w:rFonts w:ascii="宋体" w:hAnsi="宋体"/>
          <w:color w:val="auto"/>
          <w:sz w:val="24"/>
          <w:highlight w:val="none"/>
        </w:rPr>
      </w:pPr>
    </w:p>
    <w:p w14:paraId="7E4FD406">
      <w:pPr>
        <w:pStyle w:val="25"/>
        <w:rPr>
          <w:rFonts w:ascii="宋体" w:hAnsi="宋体"/>
          <w:color w:val="auto"/>
          <w:sz w:val="24"/>
          <w:highlight w:val="none"/>
        </w:rPr>
      </w:pPr>
    </w:p>
    <w:p w14:paraId="135F4165">
      <w:pPr>
        <w:pStyle w:val="25"/>
        <w:rPr>
          <w:rFonts w:ascii="宋体" w:hAnsi="宋体"/>
          <w:color w:val="auto"/>
          <w:sz w:val="24"/>
          <w:highlight w:val="none"/>
        </w:rPr>
      </w:pPr>
    </w:p>
    <w:p w14:paraId="6AE14035">
      <w:pPr>
        <w:pStyle w:val="25"/>
        <w:rPr>
          <w:rFonts w:ascii="宋体" w:hAnsi="宋体"/>
          <w:color w:val="auto"/>
          <w:sz w:val="24"/>
          <w:highlight w:val="none"/>
        </w:rPr>
      </w:pPr>
    </w:p>
    <w:p w14:paraId="4A083E2F">
      <w:pPr>
        <w:pStyle w:val="25"/>
        <w:rPr>
          <w:rFonts w:ascii="宋体" w:hAnsi="宋体"/>
          <w:color w:val="auto"/>
          <w:sz w:val="24"/>
          <w:highlight w:val="none"/>
        </w:rPr>
      </w:pPr>
    </w:p>
    <w:p w14:paraId="73881D43">
      <w:pPr>
        <w:pStyle w:val="25"/>
        <w:rPr>
          <w:rFonts w:ascii="宋体" w:hAnsi="宋体"/>
          <w:color w:val="auto"/>
          <w:sz w:val="24"/>
          <w:highlight w:val="none"/>
        </w:rPr>
      </w:pPr>
    </w:p>
    <w:p w14:paraId="2CC10443">
      <w:pPr>
        <w:pStyle w:val="25"/>
        <w:rPr>
          <w:rFonts w:ascii="宋体" w:hAnsi="宋体"/>
          <w:color w:val="auto"/>
          <w:sz w:val="24"/>
          <w:highlight w:val="none"/>
        </w:rPr>
      </w:pPr>
    </w:p>
    <w:p w14:paraId="00BF2AC5">
      <w:pPr>
        <w:pStyle w:val="25"/>
        <w:rPr>
          <w:rFonts w:ascii="宋体" w:hAnsi="宋体"/>
          <w:color w:val="auto"/>
          <w:sz w:val="24"/>
          <w:highlight w:val="none"/>
        </w:rPr>
      </w:pPr>
    </w:p>
    <w:p w14:paraId="638A630C">
      <w:pPr>
        <w:pStyle w:val="25"/>
        <w:rPr>
          <w:rFonts w:ascii="宋体" w:hAnsi="宋体"/>
          <w:color w:val="auto"/>
          <w:sz w:val="24"/>
          <w:highlight w:val="none"/>
        </w:rPr>
      </w:pPr>
    </w:p>
    <w:p w14:paraId="7C68EB27">
      <w:pPr>
        <w:pStyle w:val="25"/>
        <w:rPr>
          <w:rFonts w:ascii="宋体" w:hAnsi="宋体"/>
          <w:color w:val="auto"/>
          <w:sz w:val="24"/>
          <w:highlight w:val="none"/>
        </w:rPr>
      </w:pPr>
    </w:p>
    <w:p w14:paraId="6A6CE425">
      <w:pPr>
        <w:pStyle w:val="25"/>
        <w:rPr>
          <w:rFonts w:ascii="宋体" w:hAnsi="宋体"/>
          <w:color w:val="auto"/>
          <w:sz w:val="24"/>
          <w:highlight w:val="none"/>
        </w:rPr>
      </w:pPr>
    </w:p>
    <w:p w14:paraId="6B324940">
      <w:pPr>
        <w:pStyle w:val="25"/>
        <w:rPr>
          <w:rFonts w:ascii="宋体" w:hAnsi="宋体"/>
          <w:color w:val="auto"/>
          <w:sz w:val="24"/>
          <w:highlight w:val="none"/>
        </w:rPr>
      </w:pPr>
    </w:p>
    <w:p w14:paraId="7FD8B55E">
      <w:pPr>
        <w:pStyle w:val="25"/>
        <w:rPr>
          <w:rFonts w:ascii="宋体" w:hAnsi="宋体"/>
          <w:color w:val="auto"/>
          <w:sz w:val="24"/>
          <w:highlight w:val="none"/>
        </w:rPr>
      </w:pPr>
    </w:p>
    <w:p w14:paraId="6F98C1A7">
      <w:pPr>
        <w:pStyle w:val="25"/>
        <w:rPr>
          <w:rFonts w:ascii="宋体" w:hAnsi="宋体"/>
          <w:color w:val="auto"/>
          <w:sz w:val="24"/>
          <w:highlight w:val="none"/>
        </w:rPr>
      </w:pPr>
    </w:p>
    <w:p w14:paraId="1239B3B2">
      <w:pPr>
        <w:pStyle w:val="25"/>
        <w:rPr>
          <w:rFonts w:ascii="宋体" w:hAnsi="宋体"/>
          <w:color w:val="auto"/>
          <w:sz w:val="24"/>
          <w:highlight w:val="none"/>
        </w:rPr>
      </w:pPr>
    </w:p>
    <w:p w14:paraId="4067BC7F">
      <w:pPr>
        <w:pStyle w:val="25"/>
        <w:rPr>
          <w:rFonts w:ascii="宋体" w:hAnsi="宋体"/>
          <w:color w:val="auto"/>
          <w:sz w:val="24"/>
          <w:highlight w:val="none"/>
        </w:rPr>
      </w:pPr>
    </w:p>
    <w:p w14:paraId="075CEC21">
      <w:pPr>
        <w:pStyle w:val="25"/>
        <w:rPr>
          <w:rFonts w:ascii="宋体" w:hAnsi="宋体"/>
          <w:color w:val="auto"/>
          <w:sz w:val="24"/>
          <w:highlight w:val="none"/>
        </w:rPr>
      </w:pPr>
    </w:p>
    <w:p w14:paraId="2AB47E08">
      <w:pPr>
        <w:pStyle w:val="3"/>
        <w:jc w:val="center"/>
        <w:rPr>
          <w:rFonts w:hint="eastAsia" w:ascii="宋体" w:hAnsi="宋体" w:eastAsia="宋体" w:cs="宋体"/>
          <w:color w:val="auto"/>
          <w:highlight w:val="none"/>
        </w:rPr>
      </w:pPr>
      <w:bookmarkStart w:id="246" w:name="_Toc17550"/>
      <w:bookmarkStart w:id="247" w:name="_Toc14573"/>
      <w:bookmarkStart w:id="248" w:name="_Toc6127"/>
      <w:bookmarkStart w:id="249" w:name="_Toc484"/>
      <w:bookmarkStart w:id="250" w:name="_Toc31104"/>
      <w:bookmarkStart w:id="251" w:name="_Toc15719"/>
      <w:bookmarkStart w:id="252" w:name="_Toc17250"/>
      <w:r>
        <w:rPr>
          <w:rFonts w:hint="eastAsia" w:ascii="宋体" w:hAnsi="宋体" w:eastAsia="宋体" w:cs="宋体"/>
          <w:color w:val="auto"/>
          <w:highlight w:val="none"/>
        </w:rPr>
        <w:t>投标人曾承担过的类似项目业绩一览表</w:t>
      </w:r>
      <w:bookmarkEnd w:id="246"/>
      <w:bookmarkEnd w:id="247"/>
      <w:bookmarkEnd w:id="248"/>
      <w:bookmarkEnd w:id="249"/>
      <w:bookmarkEnd w:id="250"/>
      <w:bookmarkEnd w:id="251"/>
      <w:bookmarkEnd w:id="252"/>
    </w:p>
    <w:tbl>
      <w:tblPr>
        <w:tblStyle w:val="4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2399"/>
        <w:gridCol w:w="2213"/>
        <w:gridCol w:w="1800"/>
        <w:gridCol w:w="1800"/>
      </w:tblGrid>
      <w:tr w14:paraId="68890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14:paraId="627C99AF">
            <w:pPr>
              <w:autoSpaceDE w:val="0"/>
              <w:autoSpaceDN w:val="0"/>
              <w:adjustRightInd w:val="0"/>
              <w:snapToGrid w:val="0"/>
              <w:jc w:val="center"/>
              <w:textAlignment w:val="bottom"/>
              <w:rPr>
                <w:rFonts w:hint="eastAsia" w:ascii="宋体" w:hAnsi="宋体" w:cs="宋体"/>
                <w:color w:val="auto"/>
                <w:sz w:val="24"/>
                <w:highlight w:val="none"/>
              </w:rPr>
            </w:pPr>
            <w:r>
              <w:rPr>
                <w:rFonts w:hint="eastAsia" w:ascii="宋体" w:hAnsi="宋体" w:cs="宋体"/>
                <w:color w:val="auto"/>
                <w:spacing w:val="30"/>
                <w:sz w:val="24"/>
                <w:highlight w:val="none"/>
              </w:rPr>
              <w:t>序号</w:t>
            </w:r>
          </w:p>
        </w:tc>
        <w:tc>
          <w:tcPr>
            <w:tcW w:w="2399" w:type="dxa"/>
            <w:tcBorders>
              <w:top w:val="single" w:color="auto" w:sz="4" w:space="0"/>
              <w:left w:val="single" w:color="auto" w:sz="4" w:space="0"/>
              <w:bottom w:val="single" w:color="auto" w:sz="4" w:space="0"/>
              <w:right w:val="single" w:color="auto" w:sz="4" w:space="0"/>
            </w:tcBorders>
            <w:noWrap w:val="0"/>
            <w:vAlign w:val="center"/>
          </w:tcPr>
          <w:p w14:paraId="76DE593B">
            <w:pPr>
              <w:autoSpaceDE w:val="0"/>
              <w:autoSpaceDN w:val="0"/>
              <w:adjustRightInd w:val="0"/>
              <w:snapToGrid w:val="0"/>
              <w:jc w:val="center"/>
              <w:textAlignment w:val="bottom"/>
              <w:rPr>
                <w:rFonts w:hint="eastAsia" w:ascii="宋体" w:hAnsi="宋体" w:cs="宋体"/>
                <w:color w:val="auto"/>
                <w:sz w:val="24"/>
                <w:highlight w:val="none"/>
              </w:rPr>
            </w:pPr>
            <w:r>
              <w:rPr>
                <w:rFonts w:hint="eastAsia" w:ascii="宋体" w:hAnsi="宋体" w:cs="宋体"/>
                <w:color w:val="auto"/>
                <w:spacing w:val="30"/>
                <w:sz w:val="24"/>
                <w:highlight w:val="none"/>
              </w:rPr>
              <w:t>项目名称</w:t>
            </w:r>
          </w:p>
        </w:tc>
        <w:tc>
          <w:tcPr>
            <w:tcW w:w="2213" w:type="dxa"/>
            <w:tcBorders>
              <w:top w:val="single" w:color="auto" w:sz="4" w:space="0"/>
              <w:left w:val="single" w:color="auto" w:sz="4" w:space="0"/>
              <w:bottom w:val="single" w:color="auto" w:sz="4" w:space="0"/>
              <w:right w:val="single" w:color="auto" w:sz="4" w:space="0"/>
            </w:tcBorders>
            <w:noWrap w:val="0"/>
            <w:vAlign w:val="center"/>
          </w:tcPr>
          <w:p w14:paraId="04E276A4">
            <w:pPr>
              <w:autoSpaceDE w:val="0"/>
              <w:autoSpaceDN w:val="0"/>
              <w:adjustRightInd w:val="0"/>
              <w:snapToGrid w:val="0"/>
              <w:jc w:val="center"/>
              <w:textAlignment w:val="bottom"/>
              <w:rPr>
                <w:rFonts w:hint="eastAsia" w:ascii="宋体" w:hAnsi="宋体" w:cs="宋体"/>
                <w:color w:val="auto"/>
                <w:sz w:val="24"/>
                <w:highlight w:val="none"/>
              </w:rPr>
            </w:pPr>
            <w:r>
              <w:rPr>
                <w:rFonts w:hint="eastAsia" w:ascii="宋体" w:hAnsi="宋体" w:cs="宋体"/>
                <w:color w:val="auto"/>
                <w:spacing w:val="30"/>
                <w:sz w:val="24"/>
                <w:highlight w:val="none"/>
              </w:rPr>
              <w:t>业主单位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C4AB0EC">
            <w:pPr>
              <w:autoSpaceDE w:val="0"/>
              <w:autoSpaceDN w:val="0"/>
              <w:adjustRightInd w:val="0"/>
              <w:snapToGrid w:val="0"/>
              <w:jc w:val="center"/>
              <w:textAlignment w:val="bottom"/>
              <w:rPr>
                <w:rFonts w:hint="eastAsia" w:ascii="宋体" w:hAnsi="宋体" w:cs="宋体"/>
                <w:bCs/>
                <w:color w:val="auto"/>
                <w:sz w:val="24"/>
                <w:highlight w:val="none"/>
              </w:rPr>
            </w:pPr>
            <w:r>
              <w:rPr>
                <w:rFonts w:hint="eastAsia" w:ascii="宋体" w:hAnsi="宋体" w:cs="宋体"/>
                <w:bCs/>
                <w:color w:val="auto"/>
                <w:sz w:val="24"/>
                <w:highlight w:val="none"/>
              </w:rPr>
              <w:t>联系方式</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3474E21">
            <w:pPr>
              <w:adjustRightInd w:val="0"/>
              <w:snapToGrid w:val="0"/>
              <w:jc w:val="center"/>
              <w:rPr>
                <w:rFonts w:hint="eastAsia" w:ascii="宋体" w:hAnsi="宋体" w:cs="宋体"/>
                <w:bCs/>
                <w:color w:val="auto"/>
                <w:sz w:val="24"/>
                <w:highlight w:val="none"/>
              </w:rPr>
            </w:pPr>
            <w:r>
              <w:rPr>
                <w:rFonts w:hint="eastAsia" w:ascii="宋体" w:hAnsi="宋体" w:cs="宋体"/>
                <w:color w:val="auto"/>
                <w:spacing w:val="30"/>
                <w:sz w:val="24"/>
                <w:highlight w:val="none"/>
              </w:rPr>
              <w:t>备注</w:t>
            </w:r>
          </w:p>
        </w:tc>
      </w:tr>
      <w:tr w14:paraId="632DA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14:paraId="2608868C">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14:paraId="18A4DC7C">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2846F5EA">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CA2EB3C">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27D993A">
            <w:pPr>
              <w:snapToGrid w:val="0"/>
              <w:spacing w:before="156" w:beforeLines="50" w:after="50" w:line="460" w:lineRule="exact"/>
              <w:rPr>
                <w:rFonts w:hint="eastAsia" w:ascii="宋体" w:hAnsi="宋体" w:cs="宋体"/>
                <w:color w:val="auto"/>
                <w:sz w:val="24"/>
                <w:highlight w:val="none"/>
              </w:rPr>
            </w:pPr>
          </w:p>
        </w:tc>
      </w:tr>
      <w:tr w14:paraId="5E599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14:paraId="3EDD5CD7">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14:paraId="3AEB7C53">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6A5A75D0">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191592E">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52FDC93">
            <w:pPr>
              <w:snapToGrid w:val="0"/>
              <w:spacing w:before="156" w:beforeLines="50" w:after="50" w:line="460" w:lineRule="exact"/>
              <w:rPr>
                <w:rFonts w:hint="eastAsia" w:ascii="宋体" w:hAnsi="宋体" w:cs="宋体"/>
                <w:color w:val="auto"/>
                <w:sz w:val="24"/>
                <w:highlight w:val="none"/>
              </w:rPr>
            </w:pPr>
          </w:p>
        </w:tc>
      </w:tr>
      <w:tr w14:paraId="33B7D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14:paraId="766CA6C6">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14:paraId="5D8B3397">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1A778D92">
            <w:pPr>
              <w:pStyle w:val="27"/>
              <w:snapToGrid w:val="0"/>
              <w:spacing w:before="156" w:beforeLines="50" w:after="50" w:line="460" w:lineRule="exact"/>
              <w:ind w:left="5250"/>
              <w:rPr>
                <w:rFonts w:hint="eastAsia"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EEA25D9">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B2164AF">
            <w:pPr>
              <w:snapToGrid w:val="0"/>
              <w:spacing w:before="156" w:beforeLines="50" w:after="50" w:line="460" w:lineRule="exact"/>
              <w:rPr>
                <w:rFonts w:hint="eastAsia" w:ascii="宋体" w:hAnsi="宋体" w:cs="宋体"/>
                <w:color w:val="auto"/>
                <w:sz w:val="24"/>
                <w:highlight w:val="none"/>
              </w:rPr>
            </w:pPr>
          </w:p>
        </w:tc>
      </w:tr>
      <w:tr w14:paraId="3F28F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14:paraId="4894CAFA">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14:paraId="5654EFB9">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095F3A77">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9E8B1DC">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73CB7B8">
            <w:pPr>
              <w:snapToGrid w:val="0"/>
              <w:spacing w:before="156" w:beforeLines="50" w:after="50" w:line="460" w:lineRule="exact"/>
              <w:rPr>
                <w:rFonts w:hint="eastAsia" w:ascii="宋体" w:hAnsi="宋体" w:cs="宋体"/>
                <w:color w:val="auto"/>
                <w:sz w:val="24"/>
                <w:highlight w:val="none"/>
              </w:rPr>
            </w:pPr>
          </w:p>
        </w:tc>
      </w:tr>
      <w:tr w14:paraId="74400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14:paraId="68E5A812">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14:paraId="5FAF60C1">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0075609E">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D8AA452">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DAEE0BD">
            <w:pPr>
              <w:snapToGrid w:val="0"/>
              <w:spacing w:before="156" w:beforeLines="50" w:after="50" w:line="460" w:lineRule="exact"/>
              <w:rPr>
                <w:rFonts w:hint="eastAsia" w:ascii="宋体" w:hAnsi="宋体" w:cs="宋体"/>
                <w:color w:val="auto"/>
                <w:sz w:val="24"/>
                <w:highlight w:val="none"/>
              </w:rPr>
            </w:pPr>
          </w:p>
        </w:tc>
      </w:tr>
      <w:tr w14:paraId="22114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14:paraId="232627BE">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14:paraId="5161486B">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1426EDC6">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05160A7">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A4381BB">
            <w:pPr>
              <w:snapToGrid w:val="0"/>
              <w:spacing w:before="156" w:beforeLines="50" w:after="50" w:line="460" w:lineRule="exact"/>
              <w:rPr>
                <w:rFonts w:hint="eastAsia" w:ascii="宋体" w:hAnsi="宋体" w:cs="宋体"/>
                <w:color w:val="auto"/>
                <w:sz w:val="24"/>
                <w:highlight w:val="none"/>
              </w:rPr>
            </w:pPr>
          </w:p>
        </w:tc>
      </w:tr>
      <w:tr w14:paraId="6E06A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14:paraId="72F4AB26">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14:paraId="14BD7364">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4E9050B0">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E22F138">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758A1EE">
            <w:pPr>
              <w:snapToGrid w:val="0"/>
              <w:spacing w:before="156" w:beforeLines="50" w:after="50" w:line="460" w:lineRule="exact"/>
              <w:rPr>
                <w:rFonts w:hint="eastAsia" w:ascii="宋体" w:hAnsi="宋体" w:cs="宋体"/>
                <w:color w:val="auto"/>
                <w:sz w:val="24"/>
                <w:highlight w:val="none"/>
              </w:rPr>
            </w:pPr>
          </w:p>
        </w:tc>
      </w:tr>
      <w:tr w14:paraId="72FA7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14:paraId="2EFEB368">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14:paraId="2B77D4A0">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7105C6A9">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682FF1B">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3B67AE8">
            <w:pPr>
              <w:snapToGrid w:val="0"/>
              <w:spacing w:before="156" w:beforeLines="50" w:after="50" w:line="460" w:lineRule="exact"/>
              <w:rPr>
                <w:rFonts w:hint="eastAsia" w:ascii="宋体" w:hAnsi="宋体" w:cs="宋体"/>
                <w:color w:val="auto"/>
                <w:sz w:val="24"/>
                <w:highlight w:val="none"/>
              </w:rPr>
            </w:pPr>
          </w:p>
        </w:tc>
      </w:tr>
      <w:tr w14:paraId="3482B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14:paraId="5FF17ECA">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14:paraId="0EAFCF8B">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06FF8919">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08434A7">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652B0FD">
            <w:pPr>
              <w:snapToGrid w:val="0"/>
              <w:spacing w:before="156" w:beforeLines="50" w:after="50" w:line="460" w:lineRule="exact"/>
              <w:rPr>
                <w:rFonts w:hint="eastAsia" w:ascii="宋体" w:hAnsi="宋体" w:cs="宋体"/>
                <w:color w:val="auto"/>
                <w:sz w:val="24"/>
                <w:highlight w:val="none"/>
              </w:rPr>
            </w:pPr>
          </w:p>
        </w:tc>
      </w:tr>
      <w:tr w14:paraId="69698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14:paraId="3DF0F678">
            <w:pPr>
              <w:snapToGrid w:val="0"/>
              <w:spacing w:before="156"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top"/>
          </w:tcPr>
          <w:p w14:paraId="7082509A">
            <w:pPr>
              <w:snapToGrid w:val="0"/>
              <w:spacing w:before="156"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noWrap w:val="0"/>
            <w:vAlign w:val="top"/>
          </w:tcPr>
          <w:p w14:paraId="1126FD78">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EBA3D82">
            <w:pPr>
              <w:snapToGrid w:val="0"/>
              <w:spacing w:before="156"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D807D8D">
            <w:pPr>
              <w:snapToGrid w:val="0"/>
              <w:spacing w:before="156" w:beforeLines="50" w:after="50" w:line="460" w:lineRule="exact"/>
              <w:rPr>
                <w:rFonts w:hint="eastAsia" w:ascii="宋体" w:hAnsi="宋体" w:cs="宋体"/>
                <w:color w:val="auto"/>
                <w:sz w:val="24"/>
                <w:highlight w:val="none"/>
              </w:rPr>
            </w:pPr>
          </w:p>
        </w:tc>
      </w:tr>
    </w:tbl>
    <w:p w14:paraId="5F3689FF">
      <w:pPr>
        <w:tabs>
          <w:tab w:val="left" w:pos="744"/>
        </w:tabs>
        <w:spacing w:line="400" w:lineRule="exact"/>
        <w:ind w:firstLine="352" w:firstLineChars="147"/>
        <w:rPr>
          <w:rFonts w:hint="eastAsia" w:ascii="宋体" w:hAnsi="宋体" w:cs="宋体"/>
          <w:color w:val="auto"/>
          <w:sz w:val="24"/>
          <w:highlight w:val="none"/>
        </w:rPr>
      </w:pPr>
      <w:r>
        <w:rPr>
          <w:rFonts w:hint="eastAsia" w:ascii="宋体" w:hAnsi="宋体" w:cs="宋体"/>
          <w:color w:val="auto"/>
          <w:sz w:val="24"/>
          <w:highlight w:val="none"/>
        </w:rPr>
        <w:t>注：表后附清晰可辨的合同</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lang w:eastAsia="zh-CN"/>
        </w:rPr>
        <w:t>等</w:t>
      </w:r>
      <w:r>
        <w:rPr>
          <w:rFonts w:hint="eastAsia" w:ascii="宋体" w:hAnsi="宋体" w:eastAsia="宋体" w:cs="宋体"/>
          <w:color w:val="auto"/>
          <w:sz w:val="24"/>
          <w:highlight w:val="none"/>
        </w:rPr>
        <w:t>；</w:t>
      </w:r>
    </w:p>
    <w:p w14:paraId="5628F84E">
      <w:pPr>
        <w:pStyle w:val="25"/>
        <w:tabs>
          <w:tab w:val="left" w:pos="900"/>
        </w:tabs>
        <w:snapToGrid w:val="0"/>
        <w:spacing w:before="120" w:after="120"/>
        <w:jc w:val="center"/>
        <w:rPr>
          <w:rFonts w:hint="eastAsia" w:ascii="宋体" w:hAnsi="宋体" w:eastAsia="宋体" w:cs="宋体"/>
          <w:b/>
          <w:color w:val="auto"/>
          <w:sz w:val="32"/>
          <w:szCs w:val="32"/>
          <w:highlight w:val="none"/>
        </w:rPr>
      </w:pPr>
    </w:p>
    <w:p w14:paraId="3A56806E">
      <w:pPr>
        <w:snapToGrid w:val="0"/>
        <w:spacing w:before="120" w:after="120"/>
        <w:jc w:val="center"/>
        <w:rPr>
          <w:rFonts w:hint="eastAsia" w:ascii="宋体" w:eastAsia="宋体" w:cs="宋体"/>
          <w:b/>
          <w:color w:val="auto"/>
          <w:sz w:val="32"/>
          <w:szCs w:val="32"/>
          <w:highlight w:val="none"/>
        </w:rPr>
      </w:pPr>
    </w:p>
    <w:p w14:paraId="58A348DD">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14:paraId="3DFCEEA5">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14:paraId="1ED570E2">
      <w:pPr>
        <w:snapToGrid w:val="0"/>
        <w:spacing w:line="360" w:lineRule="auto"/>
        <w:rPr>
          <w:rFonts w:hint="eastAsia" w:ascii="宋体" w:hAnsi="宋体" w:cs="宋体"/>
          <w:color w:val="auto"/>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14:paraId="2471DEB7">
      <w:pPr>
        <w:rPr>
          <w:rFonts w:hint="eastAsia" w:ascii="宋体" w:hAnsi="宋体" w:cs="宋体"/>
          <w:color w:val="auto"/>
          <w:sz w:val="24"/>
          <w:highlight w:val="none"/>
        </w:rPr>
      </w:pPr>
      <w:r>
        <w:rPr>
          <w:rFonts w:hint="eastAsia" w:ascii="宋体" w:hAnsi="宋体" w:cs="宋体"/>
          <w:color w:val="auto"/>
          <w:sz w:val="24"/>
          <w:highlight w:val="none"/>
        </w:rPr>
        <w:br w:type="page"/>
      </w:r>
    </w:p>
    <w:p w14:paraId="022BE3B7">
      <w:pPr>
        <w:snapToGrid w:val="0"/>
        <w:spacing w:before="120" w:beforeLines="50" w:after="50" w:line="44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货物配置清单（均不含报价）</w:t>
      </w:r>
    </w:p>
    <w:p w14:paraId="32D78B57">
      <w:pPr>
        <w:pStyle w:val="44"/>
        <w:rPr>
          <w:rFonts w:hint="eastAsia"/>
          <w:color w:val="auto"/>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FDA3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202CD29">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4431BC2">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3DBB207E">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212DB25A">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规格型号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751400F3">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单位及数量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2051B199">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0E5BA64">
            <w:pPr>
              <w:snapToGrid w:val="0"/>
              <w:spacing w:before="50" w:after="50"/>
              <w:jc w:val="center"/>
              <w:rPr>
                <w:rFonts w:ascii="宋体" w:hAnsi="宋体"/>
                <w:color w:val="auto"/>
                <w:sz w:val="24"/>
                <w:szCs w:val="20"/>
                <w:highlight w:val="none"/>
              </w:rPr>
            </w:pPr>
            <w:r>
              <w:rPr>
                <w:rFonts w:hint="eastAsia" w:ascii="宋体" w:hAnsi="宋体"/>
                <w:color w:val="auto"/>
                <w:sz w:val="24"/>
                <w:highlight w:val="none"/>
              </w:rPr>
              <w:t>产地</w:t>
            </w:r>
          </w:p>
        </w:tc>
      </w:tr>
      <w:tr w14:paraId="7E062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D6BF588">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5E2A942D">
            <w:pPr>
              <w:snapToGrid w:val="0"/>
              <w:spacing w:before="50" w:after="50"/>
              <w:jc w:val="center"/>
              <w:rPr>
                <w:rFonts w:ascii="宋体" w:hAnsi="宋体"/>
                <w:color w:val="auto"/>
                <w:sz w:val="24"/>
                <w:szCs w:val="20"/>
                <w:highlight w:val="none"/>
              </w:rPr>
            </w:pPr>
          </w:p>
          <w:p w14:paraId="7C165A56">
            <w:pPr>
              <w:snapToGrid w:val="0"/>
              <w:spacing w:before="50" w:after="50"/>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3A690FC3">
            <w:pPr>
              <w:snapToGrid w:val="0"/>
              <w:spacing w:before="50" w:after="50"/>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55B856A9">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11C9894">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426E5719">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F79C5D">
            <w:pPr>
              <w:snapToGrid w:val="0"/>
              <w:spacing w:before="50" w:after="50"/>
              <w:jc w:val="center"/>
              <w:rPr>
                <w:rFonts w:ascii="宋体" w:hAnsi="宋体"/>
                <w:color w:val="auto"/>
                <w:sz w:val="24"/>
                <w:szCs w:val="20"/>
                <w:highlight w:val="none"/>
              </w:rPr>
            </w:pPr>
          </w:p>
        </w:tc>
      </w:tr>
      <w:tr w14:paraId="730C7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796EFDE">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AAB0D94">
            <w:pPr>
              <w:snapToGrid w:val="0"/>
              <w:spacing w:before="50" w:after="50"/>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9CC652F">
            <w:pPr>
              <w:snapToGrid w:val="0"/>
              <w:spacing w:before="50" w:after="50"/>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7CAC9BC1">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14BB2A5B">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66EEDA53">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067AA9C">
            <w:pPr>
              <w:snapToGrid w:val="0"/>
              <w:spacing w:before="50" w:after="50"/>
              <w:jc w:val="center"/>
              <w:rPr>
                <w:rFonts w:ascii="宋体" w:hAnsi="宋体"/>
                <w:color w:val="auto"/>
                <w:sz w:val="24"/>
                <w:szCs w:val="20"/>
                <w:highlight w:val="none"/>
              </w:rPr>
            </w:pPr>
          </w:p>
        </w:tc>
      </w:tr>
      <w:tr w14:paraId="6C043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54F45578">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C079A24">
            <w:pPr>
              <w:snapToGrid w:val="0"/>
              <w:spacing w:before="50" w:after="50"/>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07FCD56A">
            <w:pPr>
              <w:snapToGrid w:val="0"/>
              <w:spacing w:before="50" w:after="50"/>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7BFF7DE7">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84659DC">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479F32C4">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D7D420">
            <w:pPr>
              <w:snapToGrid w:val="0"/>
              <w:spacing w:before="50" w:after="50"/>
              <w:jc w:val="center"/>
              <w:rPr>
                <w:rFonts w:ascii="宋体" w:hAnsi="宋体"/>
                <w:color w:val="auto"/>
                <w:sz w:val="24"/>
                <w:szCs w:val="20"/>
                <w:highlight w:val="none"/>
              </w:rPr>
            </w:pPr>
          </w:p>
        </w:tc>
      </w:tr>
      <w:tr w14:paraId="1AA0F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394423A2">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52D55DA">
            <w:pPr>
              <w:snapToGrid w:val="0"/>
              <w:spacing w:before="50" w:after="50"/>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35D7DDC">
            <w:pPr>
              <w:snapToGrid w:val="0"/>
              <w:spacing w:before="50" w:after="50"/>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6C3A7695">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54CEE1C">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7C32D637">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nil"/>
              <w:right w:val="single" w:color="auto" w:sz="4" w:space="0"/>
            </w:tcBorders>
            <w:noWrap w:val="0"/>
            <w:vAlign w:val="center"/>
          </w:tcPr>
          <w:p w14:paraId="163CAD8E">
            <w:pPr>
              <w:snapToGrid w:val="0"/>
              <w:spacing w:before="50" w:after="50"/>
              <w:jc w:val="center"/>
              <w:rPr>
                <w:rFonts w:ascii="宋体" w:hAnsi="宋体"/>
                <w:color w:val="auto"/>
                <w:sz w:val="24"/>
                <w:szCs w:val="20"/>
                <w:highlight w:val="none"/>
              </w:rPr>
            </w:pPr>
          </w:p>
        </w:tc>
      </w:tr>
      <w:tr w14:paraId="3AB20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5C5CBA95">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6C9AA61">
            <w:pPr>
              <w:snapToGrid w:val="0"/>
              <w:spacing w:before="50" w:after="50"/>
              <w:jc w:val="center"/>
              <w:rPr>
                <w:rFonts w:ascii="宋体" w:hAnsi="宋体"/>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00EEA9F9">
            <w:pPr>
              <w:snapToGrid w:val="0"/>
              <w:spacing w:before="50" w:after="50"/>
              <w:ind w:left="480" w:hanging="480"/>
              <w:jc w:val="center"/>
              <w:rPr>
                <w:rFonts w:ascii="宋体" w:hAnsi="宋体"/>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82CDF73">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0AA789C1">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2A52695C">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F62FC5">
            <w:pPr>
              <w:snapToGrid w:val="0"/>
              <w:spacing w:before="50" w:after="50"/>
              <w:jc w:val="center"/>
              <w:rPr>
                <w:rFonts w:ascii="宋体" w:hAnsi="宋体"/>
                <w:color w:val="auto"/>
                <w:sz w:val="24"/>
                <w:szCs w:val="20"/>
                <w:highlight w:val="none"/>
              </w:rPr>
            </w:pPr>
          </w:p>
        </w:tc>
      </w:tr>
    </w:tbl>
    <w:p w14:paraId="6F6E0921">
      <w:pPr>
        <w:snapToGrid w:val="0"/>
        <w:spacing w:before="50" w:after="50"/>
        <w:rPr>
          <w:rFonts w:hint="eastAsia" w:ascii="宋体" w:hAnsi="宋体"/>
          <w:color w:val="auto"/>
          <w:spacing w:val="20"/>
          <w:sz w:val="24"/>
          <w:highlight w:val="none"/>
        </w:rPr>
      </w:pPr>
    </w:p>
    <w:p w14:paraId="11F51372">
      <w:pPr>
        <w:snapToGrid w:val="0"/>
        <w:spacing w:before="50" w:after="50"/>
        <w:rPr>
          <w:rFonts w:hint="eastAsia" w:ascii="宋体" w:hAnsi="宋体"/>
          <w:color w:val="auto"/>
          <w:spacing w:val="20"/>
          <w:sz w:val="24"/>
          <w:highlight w:val="none"/>
        </w:rPr>
      </w:pPr>
    </w:p>
    <w:p w14:paraId="5FF40D32">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14:paraId="22F66AC3">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14:paraId="59E1826B">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14:paraId="20B2A955">
      <w:pPr>
        <w:snapToGrid w:val="0"/>
        <w:spacing w:before="50" w:after="120" w:afterLines="50"/>
        <w:jc w:val="left"/>
        <w:rPr>
          <w:rFonts w:ascii="宋体" w:hAnsi="宋体"/>
          <w:color w:val="auto"/>
          <w:sz w:val="24"/>
          <w:szCs w:val="20"/>
          <w:highlight w:val="none"/>
        </w:rPr>
      </w:pPr>
    </w:p>
    <w:p w14:paraId="15180619">
      <w:pPr>
        <w:snapToGrid w:val="0"/>
        <w:spacing w:before="50" w:after="120" w:afterLines="50" w:line="440" w:lineRule="exact"/>
        <w:jc w:val="left"/>
        <w:rPr>
          <w:rFonts w:hint="eastAsia" w:ascii="宋体" w:hAnsi="宋体"/>
          <w:color w:val="auto"/>
          <w:sz w:val="24"/>
          <w:highlight w:val="none"/>
        </w:rPr>
      </w:pPr>
    </w:p>
    <w:p w14:paraId="2997C1E4">
      <w:pPr>
        <w:snapToGrid w:val="0"/>
        <w:spacing w:before="50" w:after="120" w:afterLines="50" w:line="440" w:lineRule="exact"/>
        <w:jc w:val="left"/>
        <w:rPr>
          <w:rFonts w:hint="eastAsia" w:ascii="宋体" w:hAnsi="宋体"/>
          <w:color w:val="auto"/>
          <w:sz w:val="24"/>
          <w:highlight w:val="none"/>
        </w:rPr>
      </w:pPr>
    </w:p>
    <w:p w14:paraId="5FB75793">
      <w:pPr>
        <w:snapToGrid w:val="0"/>
        <w:spacing w:before="50" w:after="120" w:afterLines="50" w:line="440" w:lineRule="exact"/>
        <w:jc w:val="left"/>
        <w:rPr>
          <w:rFonts w:hint="eastAsia" w:ascii="宋体" w:hAnsi="宋体"/>
          <w:color w:val="auto"/>
          <w:sz w:val="24"/>
          <w:highlight w:val="none"/>
        </w:rPr>
      </w:pPr>
    </w:p>
    <w:p w14:paraId="6E56C752">
      <w:pPr>
        <w:pStyle w:val="44"/>
        <w:rPr>
          <w:rFonts w:hint="eastAsia" w:ascii="宋体" w:hAnsi="宋体"/>
          <w:color w:val="auto"/>
          <w:sz w:val="24"/>
          <w:highlight w:val="none"/>
        </w:rPr>
      </w:pPr>
    </w:p>
    <w:p w14:paraId="5D980CB3">
      <w:pPr>
        <w:pStyle w:val="25"/>
        <w:rPr>
          <w:rFonts w:hint="eastAsia"/>
          <w:color w:val="auto"/>
        </w:rPr>
      </w:pPr>
    </w:p>
    <w:p w14:paraId="031640CC">
      <w:pPr>
        <w:pStyle w:val="25"/>
        <w:rPr>
          <w:rFonts w:hint="eastAsia"/>
          <w:color w:val="auto"/>
        </w:rPr>
      </w:pPr>
    </w:p>
    <w:p w14:paraId="6235A44D">
      <w:pPr>
        <w:pStyle w:val="25"/>
        <w:rPr>
          <w:rFonts w:hint="eastAsia"/>
          <w:color w:val="auto"/>
        </w:rPr>
      </w:pPr>
    </w:p>
    <w:p w14:paraId="2D2DAEA0">
      <w:pPr>
        <w:pStyle w:val="25"/>
        <w:rPr>
          <w:rFonts w:hint="eastAsia"/>
          <w:color w:val="auto"/>
        </w:rPr>
      </w:pPr>
    </w:p>
    <w:p w14:paraId="0A077606">
      <w:pPr>
        <w:pStyle w:val="25"/>
        <w:rPr>
          <w:rFonts w:hint="eastAsia"/>
          <w:color w:val="auto"/>
        </w:rPr>
      </w:pPr>
    </w:p>
    <w:p w14:paraId="7F32F2AF">
      <w:pPr>
        <w:pStyle w:val="25"/>
        <w:rPr>
          <w:rFonts w:hint="eastAsia"/>
          <w:color w:val="auto"/>
        </w:rPr>
      </w:pPr>
    </w:p>
    <w:p w14:paraId="2A6F1BEB">
      <w:pPr>
        <w:pStyle w:val="25"/>
        <w:rPr>
          <w:rFonts w:hint="eastAsia"/>
          <w:color w:val="auto"/>
        </w:rPr>
      </w:pPr>
    </w:p>
    <w:p w14:paraId="09CA9088">
      <w:pPr>
        <w:pStyle w:val="25"/>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技术响应表</w:t>
      </w:r>
    </w:p>
    <w:tbl>
      <w:tblPr>
        <w:tblStyle w:val="46"/>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518"/>
        <w:gridCol w:w="1749"/>
      </w:tblGrid>
      <w:tr w14:paraId="6B0C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065CCB99">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bookmarkStart w:id="253" w:name="_Toc19601"/>
            <w:bookmarkStart w:id="254" w:name="_Toc28558"/>
            <w:bookmarkStart w:id="255" w:name="_Toc19453"/>
            <w:bookmarkStart w:id="256" w:name="_Toc2740"/>
            <w:r>
              <w:rPr>
                <w:rFonts w:hint="eastAsia" w:ascii="宋体" w:hAnsi="宋体" w:cs="宋体"/>
                <w:color w:val="auto"/>
                <w:sz w:val="24"/>
                <w:highlight w:val="none"/>
              </w:rPr>
              <w:t>序号</w:t>
            </w:r>
          </w:p>
        </w:tc>
        <w:tc>
          <w:tcPr>
            <w:tcW w:w="6518" w:type="dxa"/>
            <w:noWrap w:val="0"/>
            <w:vAlign w:val="top"/>
          </w:tcPr>
          <w:p w14:paraId="0FB78421">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内             容</w:t>
            </w:r>
          </w:p>
        </w:tc>
        <w:tc>
          <w:tcPr>
            <w:tcW w:w="1749" w:type="dxa"/>
            <w:noWrap w:val="0"/>
            <w:vAlign w:val="top"/>
          </w:tcPr>
          <w:p w14:paraId="0F6D0D2F">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投标人响应</w:t>
            </w:r>
          </w:p>
        </w:tc>
      </w:tr>
      <w:tr w14:paraId="7CC9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95" w:type="dxa"/>
            <w:gridSpan w:val="3"/>
            <w:noWrap w:val="0"/>
            <w:vAlign w:val="center"/>
          </w:tcPr>
          <w:p w14:paraId="54F19578">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宋体" w:hAnsi="宋体" w:cs="宋体"/>
                <w:color w:val="auto"/>
                <w:sz w:val="24"/>
                <w:highlight w:val="none"/>
              </w:rPr>
            </w:pPr>
            <w:r>
              <w:rPr>
                <w:rFonts w:hint="eastAsia" w:ascii="宋体" w:hAnsi="宋体" w:eastAsia="宋体" w:cs="宋体"/>
                <w:b/>
                <w:bCs/>
                <w:color w:val="auto"/>
                <w:sz w:val="24"/>
                <w:szCs w:val="24"/>
                <w:highlight w:val="none"/>
              </w:rPr>
              <w:t>粗集料</w:t>
            </w:r>
          </w:p>
        </w:tc>
      </w:tr>
      <w:tr w14:paraId="05D4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338BDDAE">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6518" w:type="dxa"/>
            <w:noWrap w:val="0"/>
            <w:vAlign w:val="top"/>
          </w:tcPr>
          <w:p w14:paraId="62114B5C">
            <w:pPr>
              <w:keepNext w:val="0"/>
              <w:keepLines w:val="0"/>
              <w:pageBreakBefore w:val="0"/>
              <w:widowControl w:val="0"/>
              <w:kinsoku/>
              <w:wordWrap/>
              <w:overflowPunct/>
              <w:topLinePunct w:val="0"/>
              <w:autoSpaceDE/>
              <w:autoSpaceDN/>
              <w:bidi w:val="0"/>
              <w:snapToGrid/>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石灰岩压碎值                     不大于（%）</w:t>
            </w:r>
          </w:p>
        </w:tc>
        <w:tc>
          <w:tcPr>
            <w:tcW w:w="1749" w:type="dxa"/>
            <w:noWrap w:val="0"/>
            <w:vAlign w:val="top"/>
          </w:tcPr>
          <w:p w14:paraId="5D29E90D">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p>
        </w:tc>
      </w:tr>
      <w:tr w14:paraId="286C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7F4E0B9C">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6518" w:type="dxa"/>
            <w:noWrap w:val="0"/>
            <w:vAlign w:val="top"/>
          </w:tcPr>
          <w:p w14:paraId="451DFA65">
            <w:pPr>
              <w:keepNext w:val="0"/>
              <w:keepLines w:val="0"/>
              <w:pageBreakBefore w:val="0"/>
              <w:widowControl w:val="0"/>
              <w:kinsoku/>
              <w:wordWrap/>
              <w:overflowPunct/>
              <w:topLinePunct w:val="0"/>
              <w:autoSpaceDE/>
              <w:autoSpaceDN/>
              <w:bidi w:val="0"/>
              <w:snapToGrid/>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洛杉矶磨耗损失                   不大于（%）</w:t>
            </w:r>
          </w:p>
        </w:tc>
        <w:tc>
          <w:tcPr>
            <w:tcW w:w="1749" w:type="dxa"/>
            <w:noWrap w:val="0"/>
            <w:vAlign w:val="top"/>
          </w:tcPr>
          <w:p w14:paraId="24572EA1">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p>
        </w:tc>
      </w:tr>
      <w:tr w14:paraId="7C69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2B4D803A">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6518" w:type="dxa"/>
            <w:noWrap w:val="0"/>
            <w:vAlign w:val="top"/>
          </w:tcPr>
          <w:p w14:paraId="181433BF">
            <w:pPr>
              <w:keepNext w:val="0"/>
              <w:keepLines w:val="0"/>
              <w:pageBreakBefore w:val="0"/>
              <w:widowControl w:val="0"/>
              <w:kinsoku/>
              <w:wordWrap/>
              <w:overflowPunct/>
              <w:topLinePunct w:val="0"/>
              <w:autoSpaceDE/>
              <w:autoSpaceDN/>
              <w:bidi w:val="0"/>
              <w:snapToGrid/>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视密度                           不大于（t/m3）</w:t>
            </w:r>
          </w:p>
        </w:tc>
        <w:tc>
          <w:tcPr>
            <w:tcW w:w="1749" w:type="dxa"/>
            <w:noWrap w:val="0"/>
            <w:vAlign w:val="top"/>
          </w:tcPr>
          <w:p w14:paraId="4FADC491">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p>
        </w:tc>
      </w:tr>
      <w:tr w14:paraId="4468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7261BC2B">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6518" w:type="dxa"/>
            <w:noWrap w:val="0"/>
            <w:vAlign w:val="top"/>
          </w:tcPr>
          <w:p w14:paraId="6C14C7BD">
            <w:pPr>
              <w:keepNext w:val="0"/>
              <w:keepLines w:val="0"/>
              <w:pageBreakBefore w:val="0"/>
              <w:widowControl w:val="0"/>
              <w:kinsoku/>
              <w:wordWrap/>
              <w:overflowPunct/>
              <w:topLinePunct w:val="0"/>
              <w:autoSpaceDE/>
              <w:autoSpaceDN/>
              <w:bidi w:val="0"/>
              <w:snapToGrid/>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吸水率                           不大于（%）</w:t>
            </w:r>
          </w:p>
        </w:tc>
        <w:tc>
          <w:tcPr>
            <w:tcW w:w="1749" w:type="dxa"/>
            <w:noWrap w:val="0"/>
            <w:vAlign w:val="top"/>
          </w:tcPr>
          <w:p w14:paraId="46E72A82">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p>
        </w:tc>
      </w:tr>
      <w:tr w14:paraId="4FD4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27EE28B1">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6518" w:type="dxa"/>
            <w:noWrap w:val="0"/>
            <w:vAlign w:val="top"/>
          </w:tcPr>
          <w:p w14:paraId="0E6AC73D">
            <w:pPr>
              <w:keepNext w:val="0"/>
              <w:keepLines w:val="0"/>
              <w:pageBreakBefore w:val="0"/>
              <w:widowControl w:val="0"/>
              <w:kinsoku/>
              <w:wordWrap/>
              <w:overflowPunct/>
              <w:topLinePunct w:val="0"/>
              <w:autoSpaceDE/>
              <w:autoSpaceDN/>
              <w:bidi w:val="0"/>
              <w:snapToGrid/>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对沥青的粘附性                   不小于</w:t>
            </w:r>
          </w:p>
        </w:tc>
        <w:tc>
          <w:tcPr>
            <w:tcW w:w="1749" w:type="dxa"/>
            <w:noWrap w:val="0"/>
            <w:vAlign w:val="top"/>
          </w:tcPr>
          <w:p w14:paraId="4CEF1697">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p>
        </w:tc>
      </w:tr>
      <w:tr w14:paraId="7137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2E389D2B">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6518" w:type="dxa"/>
            <w:noWrap w:val="0"/>
            <w:vAlign w:val="top"/>
          </w:tcPr>
          <w:p w14:paraId="314B47A6">
            <w:pPr>
              <w:keepNext w:val="0"/>
              <w:keepLines w:val="0"/>
              <w:pageBreakBefore w:val="0"/>
              <w:widowControl w:val="0"/>
              <w:kinsoku/>
              <w:wordWrap/>
              <w:overflowPunct/>
              <w:topLinePunct w:val="0"/>
              <w:autoSpaceDE/>
              <w:autoSpaceDN/>
              <w:bidi w:val="0"/>
              <w:snapToGrid/>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坚固性                           不大于（%）</w:t>
            </w:r>
          </w:p>
        </w:tc>
        <w:tc>
          <w:tcPr>
            <w:tcW w:w="1749" w:type="dxa"/>
            <w:noWrap w:val="0"/>
            <w:vAlign w:val="top"/>
          </w:tcPr>
          <w:p w14:paraId="726FEF2E">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p>
        </w:tc>
      </w:tr>
      <w:tr w14:paraId="43F1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7B992470">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6518" w:type="dxa"/>
            <w:noWrap w:val="0"/>
            <w:vAlign w:val="top"/>
          </w:tcPr>
          <w:p w14:paraId="58580A58">
            <w:pPr>
              <w:keepNext w:val="0"/>
              <w:keepLines w:val="0"/>
              <w:pageBreakBefore w:val="0"/>
              <w:widowControl w:val="0"/>
              <w:kinsoku/>
              <w:wordWrap/>
              <w:overflowPunct/>
              <w:topLinePunct w:val="0"/>
              <w:autoSpaceDE/>
              <w:autoSpaceDN/>
              <w:bidi w:val="0"/>
              <w:snapToGrid/>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细长扁平颗粒含量                 不大于（%）</w:t>
            </w:r>
          </w:p>
        </w:tc>
        <w:tc>
          <w:tcPr>
            <w:tcW w:w="1749" w:type="dxa"/>
            <w:noWrap w:val="0"/>
            <w:vAlign w:val="top"/>
          </w:tcPr>
          <w:p w14:paraId="5BEFB501">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p>
        </w:tc>
      </w:tr>
      <w:tr w14:paraId="4952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1C685756">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6518" w:type="dxa"/>
            <w:noWrap w:val="0"/>
            <w:vAlign w:val="top"/>
          </w:tcPr>
          <w:p w14:paraId="3AB80792">
            <w:pPr>
              <w:keepNext w:val="0"/>
              <w:keepLines w:val="0"/>
              <w:pageBreakBefore w:val="0"/>
              <w:widowControl w:val="0"/>
              <w:kinsoku/>
              <w:wordWrap/>
              <w:overflowPunct/>
              <w:topLinePunct w:val="0"/>
              <w:autoSpaceDE/>
              <w:autoSpaceDN/>
              <w:bidi w:val="0"/>
              <w:snapToGrid/>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水洗法＜0.075mm颗粒含量         不大于（%）</w:t>
            </w:r>
          </w:p>
        </w:tc>
        <w:tc>
          <w:tcPr>
            <w:tcW w:w="1749" w:type="dxa"/>
            <w:noWrap w:val="0"/>
            <w:vAlign w:val="top"/>
          </w:tcPr>
          <w:p w14:paraId="197F870F">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p>
        </w:tc>
      </w:tr>
      <w:tr w14:paraId="5BCC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6C59C40A">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6518" w:type="dxa"/>
            <w:noWrap w:val="0"/>
            <w:vAlign w:val="top"/>
          </w:tcPr>
          <w:p w14:paraId="506535B4">
            <w:pPr>
              <w:keepNext w:val="0"/>
              <w:keepLines w:val="0"/>
              <w:pageBreakBefore w:val="0"/>
              <w:widowControl w:val="0"/>
              <w:kinsoku/>
              <w:wordWrap/>
              <w:overflowPunct/>
              <w:topLinePunct w:val="0"/>
              <w:autoSpaceDE/>
              <w:autoSpaceDN/>
              <w:bidi w:val="0"/>
              <w:snapToGrid/>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软石含量                         不大于（%）</w:t>
            </w:r>
          </w:p>
        </w:tc>
        <w:tc>
          <w:tcPr>
            <w:tcW w:w="1749" w:type="dxa"/>
            <w:noWrap w:val="0"/>
            <w:vAlign w:val="top"/>
          </w:tcPr>
          <w:p w14:paraId="6ACB5804">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p>
        </w:tc>
      </w:tr>
      <w:tr w14:paraId="7164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590630A5">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6518" w:type="dxa"/>
            <w:noWrap w:val="0"/>
            <w:vAlign w:val="top"/>
          </w:tcPr>
          <w:p w14:paraId="11179455">
            <w:pPr>
              <w:keepNext w:val="0"/>
              <w:keepLines w:val="0"/>
              <w:pageBreakBefore w:val="0"/>
              <w:widowControl w:val="0"/>
              <w:kinsoku/>
              <w:wordWrap/>
              <w:overflowPunct/>
              <w:topLinePunct w:val="0"/>
              <w:autoSpaceDE/>
              <w:autoSpaceDN/>
              <w:bidi w:val="0"/>
              <w:snapToGrid/>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石灰岩磨光值                     不小于（BPN）</w:t>
            </w:r>
          </w:p>
        </w:tc>
        <w:tc>
          <w:tcPr>
            <w:tcW w:w="1749" w:type="dxa"/>
            <w:noWrap w:val="0"/>
            <w:vAlign w:val="top"/>
          </w:tcPr>
          <w:p w14:paraId="3DBB0234">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p>
        </w:tc>
      </w:tr>
      <w:tr w14:paraId="2727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6DF6C399">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6518" w:type="dxa"/>
            <w:noWrap w:val="0"/>
            <w:vAlign w:val="top"/>
          </w:tcPr>
          <w:p w14:paraId="7E853393">
            <w:pPr>
              <w:keepNext w:val="0"/>
              <w:keepLines w:val="0"/>
              <w:pageBreakBefore w:val="0"/>
              <w:widowControl w:val="0"/>
              <w:kinsoku/>
              <w:wordWrap/>
              <w:overflowPunct/>
              <w:topLinePunct w:val="0"/>
              <w:autoSpaceDE/>
              <w:autoSpaceDN/>
              <w:bidi w:val="0"/>
              <w:snapToGrid/>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石灰岩冲击值                     不大于（%）</w:t>
            </w:r>
          </w:p>
        </w:tc>
        <w:tc>
          <w:tcPr>
            <w:tcW w:w="1749" w:type="dxa"/>
            <w:noWrap w:val="0"/>
            <w:vAlign w:val="top"/>
          </w:tcPr>
          <w:p w14:paraId="272E6A37">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p>
        </w:tc>
      </w:tr>
      <w:tr w14:paraId="5C7F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95" w:type="dxa"/>
            <w:gridSpan w:val="3"/>
            <w:noWrap w:val="0"/>
            <w:vAlign w:val="center"/>
          </w:tcPr>
          <w:p w14:paraId="642CF3B8">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lang w:eastAsia="zh-CN"/>
              </w:rPr>
              <w:t>细集料</w:t>
            </w:r>
          </w:p>
        </w:tc>
      </w:tr>
      <w:tr w14:paraId="6E37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30BC4B90">
            <w:pPr>
              <w:keepNext w:val="0"/>
              <w:keepLines w:val="0"/>
              <w:pageBreakBefore w:val="0"/>
              <w:widowControl w:val="0"/>
              <w:kinsoku/>
              <w:wordWrap/>
              <w:overflowPunct/>
              <w:topLinePunct w:val="0"/>
              <w:autoSpaceDE/>
              <w:autoSpaceDN/>
              <w:bidi w:val="0"/>
              <w:snapToGrid/>
              <w:spacing w:line="44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6518" w:type="dxa"/>
            <w:noWrap w:val="0"/>
            <w:vAlign w:val="top"/>
          </w:tcPr>
          <w:p w14:paraId="449CC3B4">
            <w:pPr>
              <w:keepNext w:val="0"/>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视密度                           不小于（t/m3）</w:t>
            </w:r>
          </w:p>
        </w:tc>
        <w:tc>
          <w:tcPr>
            <w:tcW w:w="1749" w:type="dxa"/>
            <w:noWrap w:val="0"/>
            <w:vAlign w:val="top"/>
          </w:tcPr>
          <w:p w14:paraId="0AF3F9D3">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p>
        </w:tc>
      </w:tr>
      <w:tr w14:paraId="0874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56B3EECB">
            <w:pPr>
              <w:keepNext w:val="0"/>
              <w:keepLines w:val="0"/>
              <w:pageBreakBefore w:val="0"/>
              <w:widowControl w:val="0"/>
              <w:kinsoku/>
              <w:wordWrap/>
              <w:overflowPunct/>
              <w:topLinePunct w:val="0"/>
              <w:autoSpaceDE/>
              <w:autoSpaceDN/>
              <w:bidi w:val="0"/>
              <w:snapToGrid/>
              <w:spacing w:line="44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6518" w:type="dxa"/>
            <w:noWrap w:val="0"/>
            <w:vAlign w:val="top"/>
          </w:tcPr>
          <w:p w14:paraId="060726D6">
            <w:pPr>
              <w:keepNext w:val="0"/>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坚固性（＞0.3mm部分）             不大于（%）</w:t>
            </w:r>
          </w:p>
        </w:tc>
        <w:tc>
          <w:tcPr>
            <w:tcW w:w="1749" w:type="dxa"/>
            <w:noWrap w:val="0"/>
            <w:vAlign w:val="top"/>
          </w:tcPr>
          <w:p w14:paraId="7146BAF6">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p>
        </w:tc>
      </w:tr>
      <w:tr w14:paraId="09F0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1175D190">
            <w:pPr>
              <w:keepNext w:val="0"/>
              <w:keepLines w:val="0"/>
              <w:pageBreakBefore w:val="0"/>
              <w:widowControl w:val="0"/>
              <w:kinsoku/>
              <w:wordWrap/>
              <w:overflowPunct/>
              <w:topLinePunct w:val="0"/>
              <w:autoSpaceDE/>
              <w:autoSpaceDN/>
              <w:bidi w:val="0"/>
              <w:snapToGrid/>
              <w:spacing w:line="44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6518" w:type="dxa"/>
            <w:noWrap w:val="0"/>
            <w:vAlign w:val="top"/>
          </w:tcPr>
          <w:p w14:paraId="119DECB3">
            <w:pPr>
              <w:keepNext w:val="0"/>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砂当量                             不小于（%）</w:t>
            </w:r>
          </w:p>
        </w:tc>
        <w:tc>
          <w:tcPr>
            <w:tcW w:w="1749" w:type="dxa"/>
            <w:noWrap w:val="0"/>
            <w:vAlign w:val="top"/>
          </w:tcPr>
          <w:p w14:paraId="1E293828">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p>
        </w:tc>
      </w:tr>
      <w:tr w14:paraId="778F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95" w:type="dxa"/>
            <w:gridSpan w:val="3"/>
            <w:noWrap w:val="0"/>
            <w:vAlign w:val="center"/>
          </w:tcPr>
          <w:p w14:paraId="183A3120">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lang w:eastAsia="zh-CN"/>
              </w:rPr>
              <w:t>其他</w:t>
            </w:r>
          </w:p>
        </w:tc>
      </w:tr>
      <w:tr w14:paraId="7B77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6A3E700D">
            <w:pPr>
              <w:keepNext w:val="0"/>
              <w:keepLines w:val="0"/>
              <w:pageBreakBefore w:val="0"/>
              <w:widowControl w:val="0"/>
              <w:kinsoku/>
              <w:wordWrap/>
              <w:overflowPunct/>
              <w:topLinePunct w:val="0"/>
              <w:autoSpaceDE/>
              <w:autoSpaceDN/>
              <w:bidi w:val="0"/>
              <w:snapToGrid/>
              <w:spacing w:line="44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6518" w:type="dxa"/>
            <w:noWrap w:val="0"/>
            <w:vAlign w:val="top"/>
          </w:tcPr>
          <w:p w14:paraId="74CB393C">
            <w:pPr>
              <w:keepNext w:val="0"/>
              <w:keepLines w:val="0"/>
              <w:pageBreakBefore w:val="0"/>
              <w:widowControl w:val="0"/>
              <w:kinsoku/>
              <w:wordWrap/>
              <w:overflowPunct/>
              <w:topLinePunct w:val="0"/>
              <w:autoSpaceDE/>
              <w:autoSpaceDN/>
              <w:bidi w:val="0"/>
              <w:snapToGrid/>
              <w:spacing w:line="440" w:lineRule="exact"/>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rPr>
              <w:t>原材料在进料前应在有资质的试验室至少做一次试验，确保合格后，方可使用。并在供货时向业主提交相关检验报告单。</w:t>
            </w:r>
          </w:p>
        </w:tc>
        <w:tc>
          <w:tcPr>
            <w:tcW w:w="1749" w:type="dxa"/>
            <w:noWrap w:val="0"/>
            <w:vAlign w:val="top"/>
          </w:tcPr>
          <w:p w14:paraId="22E941B1">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p>
        </w:tc>
      </w:tr>
      <w:tr w14:paraId="3CC9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7DFDC7D0">
            <w:pPr>
              <w:keepNext w:val="0"/>
              <w:keepLines w:val="0"/>
              <w:pageBreakBefore w:val="0"/>
              <w:widowControl w:val="0"/>
              <w:kinsoku/>
              <w:wordWrap/>
              <w:overflowPunct/>
              <w:topLinePunct w:val="0"/>
              <w:autoSpaceDE/>
              <w:autoSpaceDN/>
              <w:bidi w:val="0"/>
              <w:snapToGrid/>
              <w:spacing w:line="44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6518" w:type="dxa"/>
            <w:noWrap w:val="0"/>
            <w:vAlign w:val="top"/>
          </w:tcPr>
          <w:p w14:paraId="268FF6CD">
            <w:pPr>
              <w:pStyle w:val="44"/>
              <w:keepNext w:val="0"/>
              <w:keepLines w:val="0"/>
              <w:pageBreakBefore w:val="0"/>
              <w:widowControl w:val="0"/>
              <w:kinsoku/>
              <w:wordWrap/>
              <w:overflowPunct/>
              <w:topLinePunct w:val="0"/>
              <w:autoSpaceDE/>
              <w:autoSpaceDN/>
              <w:bidi w:val="0"/>
              <w:snapToGrid/>
              <w:spacing w:line="440" w:lineRule="exact"/>
              <w:ind w:left="0" w:leftChars="0" w:firstLine="0" w:firstLineChars="0"/>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石灰岩</w:t>
            </w:r>
            <w:r>
              <w:rPr>
                <w:rFonts w:hint="eastAsia" w:ascii="宋体" w:hAnsi="宋体" w:eastAsia="宋体" w:cs="宋体"/>
                <w:color w:val="auto"/>
                <w:sz w:val="24"/>
                <w:szCs w:val="24"/>
                <w:highlight w:val="none"/>
              </w:rPr>
              <w:t>的矿源必须100%由采购人认可，且</w:t>
            </w:r>
            <w:r>
              <w:rPr>
                <w:rFonts w:hint="eastAsia" w:ascii="宋体" w:hAnsi="宋体" w:eastAsia="宋体" w:cs="宋体"/>
                <w:color w:val="auto"/>
                <w:sz w:val="24"/>
                <w:szCs w:val="24"/>
                <w:highlight w:val="none"/>
                <w:lang w:eastAsia="zh-CN"/>
              </w:rPr>
              <w:t>石灰岩</w:t>
            </w:r>
            <w:r>
              <w:rPr>
                <w:rFonts w:hint="eastAsia" w:ascii="宋体" w:hAnsi="宋体" w:eastAsia="宋体" w:cs="宋体"/>
                <w:color w:val="auto"/>
                <w:sz w:val="24"/>
                <w:szCs w:val="24"/>
                <w:highlight w:val="none"/>
              </w:rPr>
              <w:t>质量满足采购人的生产要求。若到新石矿进料，须提前以书面形式告知采购人，并经采购人确认同意后方可进料。</w:t>
            </w:r>
          </w:p>
        </w:tc>
        <w:tc>
          <w:tcPr>
            <w:tcW w:w="1749" w:type="dxa"/>
            <w:noWrap w:val="0"/>
            <w:vAlign w:val="top"/>
          </w:tcPr>
          <w:p w14:paraId="451BDB83">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p>
        </w:tc>
      </w:tr>
      <w:tr w14:paraId="1E6F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2C5A69C6">
            <w:pPr>
              <w:keepNext w:val="0"/>
              <w:keepLines w:val="0"/>
              <w:pageBreakBefore w:val="0"/>
              <w:widowControl w:val="0"/>
              <w:kinsoku/>
              <w:wordWrap/>
              <w:overflowPunct/>
              <w:topLinePunct w:val="0"/>
              <w:autoSpaceDE/>
              <w:autoSpaceDN/>
              <w:bidi w:val="0"/>
              <w:snapToGrid/>
              <w:spacing w:line="44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6518" w:type="dxa"/>
            <w:noWrap w:val="0"/>
            <w:vAlign w:val="top"/>
          </w:tcPr>
          <w:p w14:paraId="4969C73D">
            <w:pPr>
              <w:keepNext w:val="0"/>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本项目实施过程中引起的安全责任事故均</w:t>
            </w:r>
            <w:r>
              <w:rPr>
                <w:rFonts w:hint="eastAsia" w:ascii="宋体" w:hAnsi="宋体" w:cs="宋体"/>
                <w:color w:val="auto"/>
                <w:sz w:val="24"/>
                <w:szCs w:val="24"/>
                <w:highlight w:val="none"/>
                <w:lang w:eastAsia="zh-CN"/>
              </w:rPr>
              <w:t>由</w:t>
            </w:r>
            <w:r>
              <w:rPr>
                <w:rFonts w:hint="eastAsia" w:ascii="宋体" w:hAnsi="宋体" w:eastAsia="宋体" w:cs="宋体"/>
                <w:color w:val="auto"/>
                <w:sz w:val="24"/>
                <w:szCs w:val="24"/>
                <w:highlight w:val="none"/>
              </w:rPr>
              <w:t>中标单位承担。</w:t>
            </w:r>
          </w:p>
        </w:tc>
        <w:tc>
          <w:tcPr>
            <w:tcW w:w="1749" w:type="dxa"/>
            <w:noWrap w:val="0"/>
            <w:vAlign w:val="top"/>
          </w:tcPr>
          <w:p w14:paraId="19299722">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p>
        </w:tc>
      </w:tr>
      <w:tr w14:paraId="1E71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786F68C2">
            <w:pPr>
              <w:keepNext w:val="0"/>
              <w:keepLines w:val="0"/>
              <w:pageBreakBefore w:val="0"/>
              <w:widowControl w:val="0"/>
              <w:kinsoku/>
              <w:wordWrap/>
              <w:overflowPunct/>
              <w:topLinePunct w:val="0"/>
              <w:autoSpaceDE/>
              <w:autoSpaceDN/>
              <w:bidi w:val="0"/>
              <w:snapToGrid/>
              <w:spacing w:line="44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6518" w:type="dxa"/>
            <w:noWrap w:val="0"/>
            <w:vAlign w:val="top"/>
          </w:tcPr>
          <w:p w14:paraId="30C32860">
            <w:pPr>
              <w:keepNext w:val="0"/>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到达交货地点后，中标人应按采购人安排的时间派人到交货点进行检验。中标人应按合同所需供应的材料提供检测报告单，供需双方按合同要求进行验收，若有短少或不符合标准的材料，中标人应12小时内补足或更换全新同规格的材料，并承担由此产生的一切费用；如果该不合格材料已经被使用，由此引发的一切后果由中标人承担。</w:t>
            </w:r>
          </w:p>
        </w:tc>
        <w:tc>
          <w:tcPr>
            <w:tcW w:w="1749" w:type="dxa"/>
            <w:noWrap w:val="0"/>
            <w:vAlign w:val="top"/>
          </w:tcPr>
          <w:p w14:paraId="59F20CA1">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p>
        </w:tc>
      </w:tr>
      <w:tr w14:paraId="59CF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noWrap w:val="0"/>
            <w:vAlign w:val="center"/>
          </w:tcPr>
          <w:p w14:paraId="1C50A74E">
            <w:pPr>
              <w:keepNext w:val="0"/>
              <w:keepLines w:val="0"/>
              <w:pageBreakBefore w:val="0"/>
              <w:widowControl w:val="0"/>
              <w:kinsoku/>
              <w:wordWrap/>
              <w:overflowPunct/>
              <w:topLinePunct w:val="0"/>
              <w:autoSpaceDE/>
              <w:autoSpaceDN/>
              <w:bidi w:val="0"/>
              <w:snapToGrid/>
              <w:spacing w:line="44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6518" w:type="dxa"/>
            <w:noWrap w:val="0"/>
            <w:vAlign w:val="top"/>
          </w:tcPr>
          <w:p w14:paraId="02F9F383">
            <w:pPr>
              <w:keepNext w:val="0"/>
              <w:keepLines w:val="0"/>
              <w:pageBreakBefore w:val="0"/>
              <w:widowControl w:val="0"/>
              <w:kinsoku/>
              <w:wordWrap/>
              <w:overflowPunct/>
              <w:topLinePunct w:val="0"/>
              <w:autoSpaceDE/>
              <w:autoSpaceDN/>
              <w:bidi w:val="0"/>
              <w:snapToGrid/>
              <w:spacing w:line="440" w:lineRule="exact"/>
              <w:textAlignment w:val="auto"/>
              <w:rPr>
                <w:rFonts w:hint="eastAsia" w:ascii="宋体" w:hAnsi="宋体" w:cs="宋体"/>
                <w:color w:val="auto"/>
                <w:sz w:val="24"/>
                <w:highlight w:val="none"/>
              </w:rPr>
            </w:pPr>
            <w:r>
              <w:rPr>
                <w:rFonts w:hint="eastAsia" w:ascii="宋体" w:hAnsi="宋体" w:eastAsia="宋体" w:cs="宋体"/>
                <w:b w:val="0"/>
                <w:bCs w:val="0"/>
                <w:color w:val="auto"/>
                <w:sz w:val="24"/>
                <w:szCs w:val="24"/>
                <w:highlight w:val="none"/>
                <w:lang w:eastAsia="zh-CN"/>
              </w:rPr>
              <w:t>其他技术条款</w:t>
            </w:r>
          </w:p>
        </w:tc>
        <w:tc>
          <w:tcPr>
            <w:tcW w:w="1749" w:type="dxa"/>
            <w:noWrap w:val="0"/>
            <w:vAlign w:val="top"/>
          </w:tcPr>
          <w:p w14:paraId="3D5FB659">
            <w:pPr>
              <w:keepNext w:val="0"/>
              <w:keepLines w:val="0"/>
              <w:pageBreakBefore w:val="0"/>
              <w:widowControl w:val="0"/>
              <w:kinsoku/>
              <w:wordWrap/>
              <w:overflowPunct/>
              <w:topLinePunct w:val="0"/>
              <w:autoSpaceDE/>
              <w:autoSpaceDN/>
              <w:bidi w:val="0"/>
              <w:snapToGrid/>
              <w:spacing w:line="440" w:lineRule="exact"/>
              <w:jc w:val="center"/>
              <w:textAlignment w:val="auto"/>
              <w:rPr>
                <w:rFonts w:ascii="宋体" w:hAnsi="宋体" w:cs="宋体"/>
                <w:color w:val="auto"/>
                <w:sz w:val="24"/>
                <w:highlight w:val="none"/>
              </w:rPr>
            </w:pPr>
          </w:p>
        </w:tc>
      </w:tr>
    </w:tbl>
    <w:p w14:paraId="73ADF935">
      <w:pPr>
        <w:pStyle w:val="19"/>
        <w:spacing w:line="440" w:lineRule="exact"/>
        <w:rPr>
          <w:rFonts w:ascii="宋体" w:hAnsi="宋体"/>
          <w:color w:val="auto"/>
          <w:spacing w:val="20"/>
          <w:sz w:val="24"/>
          <w:highlight w:val="none"/>
        </w:rPr>
      </w:pPr>
      <w:r>
        <w:rPr>
          <w:rFonts w:ascii="宋体" w:hAnsi="宋体"/>
          <w:b/>
          <w:color w:val="auto"/>
          <w:sz w:val="30"/>
          <w:szCs w:val="30"/>
          <w:highlight w:val="none"/>
        </w:rPr>
        <w:t>注：</w:t>
      </w:r>
      <w:r>
        <w:rPr>
          <w:rFonts w:hint="eastAsia" w:ascii="宋体" w:hAnsi="宋体"/>
          <w:b/>
          <w:color w:val="auto"/>
          <w:sz w:val="30"/>
          <w:szCs w:val="30"/>
          <w:highlight w:val="none"/>
        </w:rPr>
        <w:t>内容必须按上述要求如实填写</w:t>
      </w:r>
      <w:r>
        <w:rPr>
          <w:rFonts w:ascii="宋体" w:hAnsi="宋体"/>
          <w:b/>
          <w:color w:val="auto"/>
          <w:sz w:val="30"/>
          <w:szCs w:val="30"/>
          <w:highlight w:val="none"/>
        </w:rPr>
        <w:t>。</w:t>
      </w:r>
    </w:p>
    <w:p w14:paraId="5EF8AF7B">
      <w:pPr>
        <w:snapToGrid w:val="0"/>
        <w:spacing w:line="360" w:lineRule="auto"/>
        <w:rPr>
          <w:rFonts w:hint="eastAsia" w:ascii="宋体" w:hAnsi="宋体" w:cs="宋体"/>
          <w:color w:val="auto"/>
          <w:sz w:val="24"/>
          <w:highlight w:val="none"/>
        </w:rPr>
      </w:pPr>
    </w:p>
    <w:p w14:paraId="1A93F760">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14:paraId="381D158C">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14:paraId="3DB93517">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14:paraId="636553D6">
      <w:pPr>
        <w:snapToGrid w:val="0"/>
        <w:spacing w:line="360" w:lineRule="auto"/>
        <w:rPr>
          <w:rFonts w:hint="eastAsia" w:ascii="宋体" w:hAnsi="宋体" w:cs="宋体"/>
          <w:color w:val="auto"/>
          <w:sz w:val="24"/>
          <w:highlight w:val="none"/>
        </w:rPr>
      </w:pPr>
    </w:p>
    <w:p w14:paraId="50E03EAE">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7639205">
      <w:pPr>
        <w:autoSpaceDE w:val="0"/>
        <w:autoSpaceDN w:val="0"/>
        <w:adjustRightInd w:val="0"/>
        <w:rPr>
          <w:rFonts w:hint="eastAsia" w:ascii="宋体" w:hAnsi="宋体" w:cs="宋体"/>
          <w:bCs/>
          <w:color w:val="auto"/>
          <w:highlight w:val="none"/>
        </w:rPr>
      </w:pPr>
      <w:r>
        <w:rPr>
          <w:rFonts w:hint="eastAsia" w:ascii="宋体" w:hAnsi="宋体" w:cs="宋体"/>
          <w:b/>
          <w:color w:val="auto"/>
          <w:sz w:val="32"/>
          <w:szCs w:val="32"/>
          <w:highlight w:val="none"/>
        </w:rPr>
        <w:t>三、报价投标文件封面格式</w:t>
      </w:r>
    </w:p>
    <w:p w14:paraId="6B365FC6">
      <w:pPr>
        <w:autoSpaceDE w:val="0"/>
        <w:autoSpaceDN w:val="0"/>
        <w:adjustRightInd w:val="0"/>
        <w:spacing w:line="360" w:lineRule="auto"/>
        <w:jc w:val="right"/>
        <w:rPr>
          <w:rFonts w:hint="eastAsia" w:ascii="宋体" w:hAnsi="宋体" w:cs="宋体"/>
          <w:b/>
          <w:color w:val="auto"/>
          <w:sz w:val="28"/>
          <w:szCs w:val="28"/>
          <w:highlight w:val="none"/>
        </w:rPr>
      </w:pPr>
      <w:r>
        <w:rPr>
          <w:rFonts w:hint="eastAsia" w:ascii="宋体" w:hAnsi="宋体" w:cs="宋体"/>
          <w:b/>
          <w:color w:val="auto"/>
          <w:sz w:val="32"/>
          <w:szCs w:val="32"/>
          <w:highlight w:val="none"/>
        </w:rPr>
        <w:t xml:space="preserve">                </w:t>
      </w:r>
    </w:p>
    <w:p w14:paraId="55070497">
      <w:pPr>
        <w:autoSpaceDE w:val="0"/>
        <w:autoSpaceDN w:val="0"/>
        <w:adjustRightInd w:val="0"/>
        <w:spacing w:line="360" w:lineRule="auto"/>
        <w:jc w:val="center"/>
        <w:rPr>
          <w:rFonts w:hint="eastAsia" w:ascii="宋体" w:hAnsi="宋体" w:cs="宋体"/>
          <w:b/>
          <w:color w:val="auto"/>
          <w:sz w:val="32"/>
          <w:szCs w:val="32"/>
          <w:highlight w:val="none"/>
        </w:rPr>
      </w:pPr>
    </w:p>
    <w:p w14:paraId="4DE243B8">
      <w:pPr>
        <w:spacing w:line="360" w:lineRule="auto"/>
        <w:jc w:val="center"/>
        <w:rPr>
          <w:rFonts w:hint="eastAsia" w:ascii="宋体" w:hAnsi="宋体" w:cs="宋体"/>
          <w:b/>
          <w:color w:val="auto"/>
          <w:sz w:val="44"/>
          <w:szCs w:val="44"/>
          <w:highlight w:val="none"/>
          <w:lang w:eastAsia="zh-CN"/>
        </w:rPr>
      </w:pPr>
      <w:r>
        <w:rPr>
          <w:rFonts w:hint="eastAsia" w:ascii="宋体" w:hAnsi="宋体" w:cs="宋体"/>
          <w:b/>
          <w:color w:val="auto"/>
          <w:sz w:val="44"/>
          <w:szCs w:val="44"/>
          <w:highlight w:val="none"/>
          <w:lang w:eastAsia="zh-CN"/>
        </w:rPr>
        <w:t>浦江县交投贸易有限公司2024年-2025年</w:t>
      </w:r>
    </w:p>
    <w:p w14:paraId="78632A11">
      <w:pPr>
        <w:spacing w:line="360" w:lineRule="auto"/>
        <w:jc w:val="center"/>
        <w:rPr>
          <w:rFonts w:hint="eastAsia" w:ascii="宋体" w:hAnsi="宋体" w:cs="宋体"/>
          <w:b/>
          <w:color w:val="auto"/>
          <w:sz w:val="44"/>
          <w:szCs w:val="44"/>
          <w:highlight w:val="none"/>
          <w:lang w:eastAsia="zh-CN"/>
        </w:rPr>
      </w:pPr>
      <w:r>
        <w:rPr>
          <w:rFonts w:hint="eastAsia" w:ascii="宋体" w:hAnsi="宋体" w:cs="宋体"/>
          <w:b/>
          <w:color w:val="auto"/>
          <w:sz w:val="44"/>
          <w:szCs w:val="44"/>
          <w:highlight w:val="none"/>
          <w:lang w:eastAsia="zh-CN"/>
        </w:rPr>
        <w:t>石灰岩采购项目</w:t>
      </w:r>
    </w:p>
    <w:p w14:paraId="5264A1E2">
      <w:pPr>
        <w:pStyle w:val="25"/>
        <w:rPr>
          <w:rFonts w:hint="eastAsia"/>
          <w:color w:val="auto"/>
          <w:lang w:eastAsia="zh-CN"/>
        </w:rPr>
      </w:pPr>
    </w:p>
    <w:p w14:paraId="28E4AB82">
      <w:pPr>
        <w:pStyle w:val="25"/>
        <w:rPr>
          <w:rFonts w:hint="eastAsia"/>
          <w:color w:val="auto"/>
          <w:lang w:eastAsia="zh-CN"/>
        </w:rPr>
      </w:pPr>
    </w:p>
    <w:p w14:paraId="0204CC69">
      <w:pPr>
        <w:spacing w:line="360" w:lineRule="auto"/>
        <w:jc w:val="center"/>
        <w:rPr>
          <w:rFonts w:hint="eastAsia"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14:paraId="3C41D7AE">
      <w:pPr>
        <w:autoSpaceDE w:val="0"/>
        <w:autoSpaceDN w:val="0"/>
        <w:adjustRightInd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（报价投标文件）</w:t>
      </w:r>
    </w:p>
    <w:p w14:paraId="18EEC883">
      <w:pPr>
        <w:pStyle w:val="44"/>
        <w:ind w:firstLine="480"/>
        <w:rPr>
          <w:rFonts w:hint="eastAsia"/>
          <w:color w:val="auto"/>
          <w:highlight w:val="none"/>
        </w:rPr>
      </w:pPr>
    </w:p>
    <w:p w14:paraId="374BFBEB">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PJCQGK(JTMY)2024-1030A</w:t>
      </w:r>
      <w:r>
        <w:rPr>
          <w:rFonts w:hint="eastAsia" w:ascii="宋体" w:hAnsi="宋体" w:cs="宋体"/>
          <w:b/>
          <w:color w:val="auto"/>
          <w:sz w:val="32"/>
          <w:szCs w:val="32"/>
          <w:highlight w:val="none"/>
        </w:rPr>
        <w:t xml:space="preserve">  </w:t>
      </w:r>
    </w:p>
    <w:p w14:paraId="62512DCC">
      <w:pPr>
        <w:autoSpaceDE w:val="0"/>
        <w:autoSpaceDN w:val="0"/>
        <w:adjustRightInd w:val="0"/>
        <w:spacing w:line="360" w:lineRule="auto"/>
        <w:rPr>
          <w:rFonts w:hint="eastAsia" w:ascii="宋体" w:hAnsi="宋体" w:cs="宋体"/>
          <w:b/>
          <w:color w:val="auto"/>
          <w:sz w:val="32"/>
          <w:szCs w:val="32"/>
          <w:highlight w:val="none"/>
        </w:rPr>
      </w:pPr>
    </w:p>
    <w:p w14:paraId="666EC326">
      <w:pPr>
        <w:pStyle w:val="44"/>
        <w:ind w:left="0" w:leftChars="0" w:firstLine="0" w:firstLineChars="0"/>
        <w:rPr>
          <w:rFonts w:hint="eastAsia" w:ascii="宋体" w:hAnsi="宋体" w:cs="宋体"/>
          <w:b/>
          <w:color w:val="auto"/>
          <w:sz w:val="32"/>
          <w:szCs w:val="32"/>
          <w:highlight w:val="none"/>
        </w:rPr>
      </w:pPr>
    </w:p>
    <w:p w14:paraId="6ACC263C">
      <w:pPr>
        <w:autoSpaceDE w:val="0"/>
        <w:autoSpaceDN w:val="0"/>
        <w:adjustRightInd w:val="0"/>
        <w:spacing w:line="360" w:lineRule="auto"/>
        <w:rPr>
          <w:rFonts w:hint="eastAsia"/>
          <w:color w:val="auto"/>
          <w:highlight w:val="none"/>
        </w:rPr>
      </w:pPr>
    </w:p>
    <w:p w14:paraId="6341D7E9">
      <w:pPr>
        <w:autoSpaceDE w:val="0"/>
        <w:autoSpaceDN w:val="0"/>
        <w:adjustRightInd w:val="0"/>
        <w:spacing w:line="360" w:lineRule="auto"/>
        <w:rPr>
          <w:rFonts w:hint="eastAsia" w:ascii="宋体" w:hAnsi="宋体" w:cs="宋体"/>
          <w:b/>
          <w:color w:val="auto"/>
          <w:sz w:val="32"/>
          <w:szCs w:val="32"/>
          <w:highlight w:val="none"/>
        </w:rPr>
      </w:pPr>
    </w:p>
    <w:p w14:paraId="36CD9F3F">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投标人名称（盖电子公章）：</w:t>
      </w:r>
      <w:r>
        <w:rPr>
          <w:rFonts w:hint="eastAsia" w:ascii="宋体" w:hAnsi="宋体" w:cs="宋体"/>
          <w:b/>
          <w:color w:val="auto"/>
          <w:sz w:val="32"/>
          <w:szCs w:val="32"/>
          <w:highlight w:val="none"/>
          <w:u w:val="single"/>
        </w:rPr>
        <w:t xml:space="preserve">                           </w:t>
      </w:r>
    </w:p>
    <w:p w14:paraId="60098B38">
      <w:pPr>
        <w:autoSpaceDE w:val="0"/>
        <w:autoSpaceDN w:val="0"/>
        <w:adjustRightInd w:val="0"/>
        <w:spacing w:line="360" w:lineRule="auto"/>
        <w:rPr>
          <w:rFonts w:hint="eastAsia" w:ascii="宋体" w:hAnsi="宋体" w:cs="宋体"/>
          <w:b/>
          <w:color w:val="auto"/>
          <w:sz w:val="32"/>
          <w:szCs w:val="32"/>
          <w:highlight w:val="none"/>
        </w:rPr>
      </w:pPr>
    </w:p>
    <w:p w14:paraId="5BDB557F">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法定代表人或授权代表(签字或盖章)： </w:t>
      </w:r>
      <w:r>
        <w:rPr>
          <w:rFonts w:hint="eastAsia" w:ascii="宋体" w:hAnsi="宋体" w:cs="宋体"/>
          <w:b/>
          <w:color w:val="auto"/>
          <w:sz w:val="32"/>
          <w:szCs w:val="32"/>
          <w:highlight w:val="none"/>
          <w:u w:val="single"/>
        </w:rPr>
        <w:t xml:space="preserve">                  </w:t>
      </w:r>
    </w:p>
    <w:p w14:paraId="5FF2CA1F">
      <w:pPr>
        <w:autoSpaceDE w:val="0"/>
        <w:autoSpaceDN w:val="0"/>
        <w:adjustRightInd w:val="0"/>
        <w:spacing w:line="360" w:lineRule="auto"/>
        <w:rPr>
          <w:rFonts w:hint="eastAsia" w:ascii="宋体" w:hAnsi="宋体" w:cs="宋体"/>
          <w:b/>
          <w:color w:val="auto"/>
          <w:sz w:val="32"/>
          <w:szCs w:val="32"/>
          <w:highlight w:val="none"/>
        </w:rPr>
      </w:pPr>
    </w:p>
    <w:p w14:paraId="5D200AF7">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时间：    年   月   日</w:t>
      </w:r>
    </w:p>
    <w:p w14:paraId="6E21F427">
      <w:pPr>
        <w:autoSpaceDE w:val="0"/>
        <w:autoSpaceDN w:val="0"/>
        <w:adjustRightInd w:val="0"/>
        <w:spacing w:line="360" w:lineRule="auto"/>
        <w:jc w:val="center"/>
        <w:outlineLvl w:val="1"/>
        <w:rPr>
          <w:rFonts w:hint="eastAsia" w:ascii="宋体" w:hAnsi="宋体" w:cs="宋体"/>
          <w:b/>
          <w:bCs/>
          <w:color w:val="auto"/>
          <w:sz w:val="44"/>
          <w:szCs w:val="44"/>
          <w:highlight w:val="none"/>
        </w:rPr>
      </w:pPr>
      <w:r>
        <w:rPr>
          <w:rFonts w:hint="eastAsia" w:ascii="宋体" w:hAnsi="宋体" w:cs="宋体"/>
          <w:color w:val="auto"/>
          <w:highlight w:val="none"/>
        </w:rPr>
        <w:br w:type="page"/>
      </w:r>
      <w:bookmarkStart w:id="257" w:name="_Toc29033"/>
      <w:bookmarkStart w:id="258" w:name="_Toc32682"/>
      <w:bookmarkStart w:id="259" w:name="_Toc7339"/>
      <w:bookmarkStart w:id="260" w:name="_Toc12270"/>
      <w:bookmarkStart w:id="261" w:name="_Toc31549"/>
      <w:bookmarkStart w:id="262" w:name="_Toc8157"/>
      <w:bookmarkStart w:id="263" w:name="_Toc29135"/>
      <w:bookmarkStart w:id="264" w:name="_Toc8307"/>
      <w:bookmarkStart w:id="265" w:name="_Toc11638"/>
      <w:bookmarkStart w:id="266" w:name="_Toc3370"/>
      <w:r>
        <w:rPr>
          <w:rFonts w:hint="eastAsia" w:ascii="宋体" w:hAnsi="宋体" w:cs="宋体"/>
          <w:b/>
          <w:bCs/>
          <w:color w:val="auto"/>
          <w:sz w:val="44"/>
          <w:szCs w:val="44"/>
          <w:highlight w:val="none"/>
        </w:rPr>
        <w:t>目  录</w:t>
      </w:r>
      <w:bookmarkEnd w:id="257"/>
      <w:bookmarkEnd w:id="258"/>
      <w:bookmarkEnd w:id="259"/>
      <w:bookmarkEnd w:id="260"/>
      <w:bookmarkEnd w:id="261"/>
      <w:bookmarkEnd w:id="262"/>
      <w:bookmarkEnd w:id="263"/>
      <w:bookmarkEnd w:id="264"/>
      <w:bookmarkEnd w:id="265"/>
      <w:bookmarkEnd w:id="266"/>
    </w:p>
    <w:p w14:paraId="76FF416A">
      <w:pPr>
        <w:tabs>
          <w:tab w:val="left" w:pos="851"/>
          <w:tab w:val="left" w:pos="900"/>
          <w:tab w:val="left" w:pos="1080"/>
        </w:tabs>
        <w:adjustRightInd w:val="0"/>
        <w:snapToGrid w:val="0"/>
        <w:spacing w:line="360" w:lineRule="auto"/>
        <w:ind w:left="34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（1）投标函（格式见附件）；</w:t>
      </w:r>
    </w:p>
    <w:p w14:paraId="709EB3D9">
      <w:pPr>
        <w:tabs>
          <w:tab w:val="left" w:pos="851"/>
          <w:tab w:val="left" w:pos="900"/>
          <w:tab w:val="left" w:pos="1080"/>
        </w:tabs>
        <w:adjustRightInd w:val="0"/>
        <w:snapToGrid w:val="0"/>
        <w:spacing w:line="360" w:lineRule="auto"/>
        <w:ind w:left="34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（2）开标一览表（格式见附件）；</w:t>
      </w:r>
    </w:p>
    <w:p w14:paraId="055B9793">
      <w:pPr>
        <w:tabs>
          <w:tab w:val="left" w:pos="851"/>
          <w:tab w:val="left" w:pos="900"/>
          <w:tab w:val="left" w:pos="1080"/>
        </w:tabs>
        <w:adjustRightInd w:val="0"/>
        <w:snapToGrid w:val="0"/>
        <w:spacing w:line="360" w:lineRule="auto"/>
        <w:ind w:left="34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（3）投标报价明细表（格式见附件）；</w:t>
      </w:r>
    </w:p>
    <w:p w14:paraId="32355DD0">
      <w:pPr>
        <w:tabs>
          <w:tab w:val="left" w:pos="851"/>
          <w:tab w:val="left" w:pos="900"/>
          <w:tab w:val="left" w:pos="1080"/>
        </w:tabs>
        <w:adjustRightInd w:val="0"/>
        <w:snapToGrid w:val="0"/>
        <w:spacing w:line="360" w:lineRule="auto"/>
        <w:ind w:left="34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4</w:t>
      </w:r>
      <w:r>
        <w:rPr>
          <w:rFonts w:hint="eastAsia" w:ascii="宋体" w:hAnsi="宋体" w:cs="宋体"/>
          <w:snapToGrid w:val="0"/>
          <w:color w:val="auto"/>
          <w:kern w:val="0"/>
          <w:szCs w:val="21"/>
          <w:highlight w:val="none"/>
        </w:rPr>
        <w:t>）投标人认为针对报价需要说明的其他文件及资料。</w:t>
      </w:r>
    </w:p>
    <w:p w14:paraId="014C5CB8">
      <w:pPr>
        <w:autoSpaceDE w:val="0"/>
        <w:autoSpaceDN w:val="0"/>
        <w:adjustRightInd w:val="0"/>
        <w:spacing w:line="360" w:lineRule="auto"/>
        <w:jc w:val="center"/>
        <w:rPr>
          <w:rFonts w:hint="eastAsia" w:ascii="宋体" w:hAnsi="宋体" w:cs="宋体"/>
          <w:b/>
          <w:color w:val="auto"/>
          <w:sz w:val="32"/>
          <w:szCs w:val="32"/>
          <w:highlight w:val="none"/>
        </w:rPr>
      </w:pPr>
    </w:p>
    <w:p w14:paraId="1E56AFB9">
      <w:pPr>
        <w:pStyle w:val="20"/>
        <w:rPr>
          <w:rFonts w:hint="eastAsia" w:ascii="宋体" w:hAnsi="宋体" w:cs="宋体"/>
          <w:b/>
          <w:color w:val="auto"/>
          <w:sz w:val="32"/>
          <w:szCs w:val="32"/>
          <w:highlight w:val="none"/>
        </w:rPr>
      </w:pPr>
    </w:p>
    <w:p w14:paraId="7ECB7B2B">
      <w:pPr>
        <w:pStyle w:val="20"/>
        <w:rPr>
          <w:rFonts w:hint="eastAsia" w:ascii="宋体" w:hAnsi="宋体" w:cs="宋体"/>
          <w:b/>
          <w:color w:val="auto"/>
          <w:sz w:val="32"/>
          <w:szCs w:val="32"/>
          <w:highlight w:val="none"/>
        </w:rPr>
      </w:pPr>
    </w:p>
    <w:p w14:paraId="5498F83B">
      <w:pPr>
        <w:pStyle w:val="20"/>
        <w:rPr>
          <w:rFonts w:hint="eastAsia" w:ascii="宋体" w:hAnsi="宋体" w:cs="宋体"/>
          <w:b/>
          <w:color w:val="auto"/>
          <w:sz w:val="32"/>
          <w:szCs w:val="32"/>
          <w:highlight w:val="none"/>
        </w:rPr>
      </w:pPr>
    </w:p>
    <w:p w14:paraId="3E2790B1">
      <w:pPr>
        <w:pStyle w:val="20"/>
        <w:rPr>
          <w:rFonts w:hint="eastAsia" w:ascii="宋体" w:hAnsi="宋体" w:cs="宋体"/>
          <w:b/>
          <w:color w:val="auto"/>
          <w:sz w:val="32"/>
          <w:szCs w:val="32"/>
          <w:highlight w:val="none"/>
        </w:rPr>
      </w:pPr>
    </w:p>
    <w:p w14:paraId="3C717449">
      <w:pPr>
        <w:pStyle w:val="20"/>
        <w:rPr>
          <w:rFonts w:hint="eastAsia" w:ascii="宋体" w:hAnsi="宋体" w:cs="宋体"/>
          <w:b/>
          <w:color w:val="auto"/>
          <w:sz w:val="32"/>
          <w:szCs w:val="32"/>
          <w:highlight w:val="none"/>
        </w:rPr>
      </w:pPr>
    </w:p>
    <w:p w14:paraId="3F528F38">
      <w:pPr>
        <w:pStyle w:val="20"/>
        <w:rPr>
          <w:rFonts w:hint="eastAsia" w:ascii="宋体" w:hAnsi="宋体" w:cs="宋体"/>
          <w:b/>
          <w:color w:val="auto"/>
          <w:sz w:val="32"/>
          <w:szCs w:val="32"/>
          <w:highlight w:val="none"/>
        </w:rPr>
      </w:pPr>
    </w:p>
    <w:p w14:paraId="74A3B2CC">
      <w:pPr>
        <w:pStyle w:val="20"/>
        <w:rPr>
          <w:rFonts w:hint="eastAsia" w:ascii="宋体" w:hAnsi="宋体" w:cs="宋体"/>
          <w:b/>
          <w:color w:val="auto"/>
          <w:sz w:val="32"/>
          <w:szCs w:val="32"/>
          <w:highlight w:val="none"/>
        </w:rPr>
      </w:pPr>
    </w:p>
    <w:p w14:paraId="21E785E3">
      <w:pPr>
        <w:pStyle w:val="20"/>
        <w:rPr>
          <w:rFonts w:hint="eastAsia" w:ascii="宋体" w:hAnsi="宋体" w:cs="宋体"/>
          <w:b/>
          <w:color w:val="auto"/>
          <w:sz w:val="32"/>
          <w:szCs w:val="32"/>
          <w:highlight w:val="none"/>
        </w:rPr>
      </w:pPr>
    </w:p>
    <w:p w14:paraId="1EFADBB8">
      <w:pPr>
        <w:pStyle w:val="20"/>
        <w:rPr>
          <w:rFonts w:hint="eastAsia" w:ascii="宋体" w:hAnsi="宋体" w:cs="宋体"/>
          <w:b/>
          <w:color w:val="auto"/>
          <w:sz w:val="32"/>
          <w:szCs w:val="32"/>
          <w:highlight w:val="none"/>
        </w:rPr>
      </w:pPr>
    </w:p>
    <w:p w14:paraId="2F27687E">
      <w:pPr>
        <w:pStyle w:val="20"/>
        <w:rPr>
          <w:rFonts w:hint="eastAsia" w:ascii="宋体" w:hAnsi="宋体" w:cs="宋体"/>
          <w:b/>
          <w:color w:val="auto"/>
          <w:sz w:val="32"/>
          <w:szCs w:val="32"/>
          <w:highlight w:val="none"/>
        </w:rPr>
      </w:pPr>
    </w:p>
    <w:p w14:paraId="0C298503">
      <w:pPr>
        <w:pStyle w:val="20"/>
        <w:rPr>
          <w:rFonts w:hint="eastAsia" w:ascii="宋体" w:hAnsi="宋体" w:cs="宋体"/>
          <w:b/>
          <w:color w:val="auto"/>
          <w:sz w:val="32"/>
          <w:szCs w:val="32"/>
          <w:highlight w:val="none"/>
        </w:rPr>
      </w:pPr>
    </w:p>
    <w:p w14:paraId="5FDDECC9">
      <w:pPr>
        <w:pStyle w:val="20"/>
        <w:rPr>
          <w:rFonts w:hint="eastAsia" w:ascii="宋体" w:hAnsi="宋体" w:cs="宋体"/>
          <w:b/>
          <w:color w:val="auto"/>
          <w:sz w:val="32"/>
          <w:szCs w:val="32"/>
          <w:highlight w:val="none"/>
        </w:rPr>
      </w:pPr>
    </w:p>
    <w:p w14:paraId="5A7A5D9E">
      <w:pPr>
        <w:pStyle w:val="20"/>
        <w:rPr>
          <w:rFonts w:hint="eastAsia" w:ascii="宋体" w:hAnsi="宋体" w:cs="宋体"/>
          <w:b/>
          <w:color w:val="auto"/>
          <w:sz w:val="32"/>
          <w:szCs w:val="32"/>
          <w:highlight w:val="none"/>
        </w:rPr>
      </w:pPr>
    </w:p>
    <w:p w14:paraId="52DEF2D9">
      <w:pPr>
        <w:pStyle w:val="20"/>
        <w:rPr>
          <w:rFonts w:hint="eastAsia" w:ascii="宋体" w:hAnsi="宋体" w:cs="宋体"/>
          <w:b/>
          <w:color w:val="auto"/>
          <w:sz w:val="32"/>
          <w:szCs w:val="32"/>
          <w:highlight w:val="none"/>
        </w:rPr>
      </w:pPr>
    </w:p>
    <w:p w14:paraId="3CF10723">
      <w:pPr>
        <w:pStyle w:val="20"/>
        <w:rPr>
          <w:rFonts w:hint="eastAsia" w:ascii="宋体" w:hAnsi="宋体" w:cs="宋体"/>
          <w:b/>
          <w:color w:val="auto"/>
          <w:sz w:val="32"/>
          <w:szCs w:val="32"/>
          <w:highlight w:val="none"/>
        </w:rPr>
      </w:pPr>
    </w:p>
    <w:bookmarkEnd w:id="253"/>
    <w:bookmarkEnd w:id="254"/>
    <w:bookmarkEnd w:id="255"/>
    <w:bookmarkEnd w:id="256"/>
    <w:p w14:paraId="19BEB1DA">
      <w:pPr>
        <w:pStyle w:val="25"/>
        <w:spacing w:line="360" w:lineRule="auto"/>
        <w:jc w:val="center"/>
        <w:rPr>
          <w:rFonts w:hint="eastAsia" w:ascii="宋体" w:hAnsi="宋体" w:eastAsia="宋体" w:cs="宋体"/>
          <w:b/>
          <w:color w:val="auto"/>
          <w:sz w:val="28"/>
          <w:szCs w:val="28"/>
          <w:highlight w:val="none"/>
        </w:rPr>
      </w:pPr>
    </w:p>
    <w:p w14:paraId="7FE8DC45">
      <w:pPr>
        <w:pStyle w:val="25"/>
        <w:spacing w:line="360" w:lineRule="auto"/>
        <w:jc w:val="center"/>
        <w:rPr>
          <w:rFonts w:hint="eastAsia" w:ascii="宋体" w:hAnsi="宋体" w:eastAsia="宋体" w:cs="宋体"/>
          <w:b/>
          <w:color w:val="auto"/>
          <w:sz w:val="28"/>
          <w:szCs w:val="28"/>
          <w:highlight w:val="none"/>
        </w:rPr>
      </w:pPr>
    </w:p>
    <w:p w14:paraId="23C88C19">
      <w:pPr>
        <w:pStyle w:val="25"/>
        <w:spacing w:line="360" w:lineRule="auto"/>
        <w:jc w:val="center"/>
        <w:rPr>
          <w:rFonts w:hint="eastAsia" w:ascii="宋体" w:hAnsi="宋体" w:eastAsia="宋体" w:cs="宋体"/>
          <w:b/>
          <w:color w:val="auto"/>
          <w:sz w:val="28"/>
          <w:szCs w:val="28"/>
          <w:highlight w:val="none"/>
        </w:rPr>
      </w:pPr>
    </w:p>
    <w:p w14:paraId="594AC0E1">
      <w:pPr>
        <w:pStyle w:val="25"/>
        <w:spacing w:line="360" w:lineRule="auto"/>
        <w:jc w:val="center"/>
        <w:rPr>
          <w:rFonts w:hint="eastAsia" w:ascii="宋体" w:hAnsi="宋体" w:eastAsia="宋体" w:cs="宋体"/>
          <w:b/>
          <w:color w:val="auto"/>
          <w:sz w:val="28"/>
          <w:szCs w:val="28"/>
          <w:highlight w:val="none"/>
        </w:rPr>
      </w:pPr>
    </w:p>
    <w:p w14:paraId="43107F88">
      <w:pPr>
        <w:pStyle w:val="25"/>
        <w:spacing w:line="360" w:lineRule="auto"/>
        <w:jc w:val="center"/>
        <w:rPr>
          <w:rFonts w:hint="eastAsia" w:ascii="宋体" w:hAnsi="宋体" w:eastAsia="宋体" w:cs="宋体"/>
          <w:b/>
          <w:color w:val="auto"/>
          <w:sz w:val="28"/>
          <w:szCs w:val="28"/>
          <w:highlight w:val="none"/>
        </w:rPr>
      </w:pPr>
    </w:p>
    <w:p w14:paraId="688C12EA">
      <w:pPr>
        <w:pStyle w:val="25"/>
        <w:spacing w:line="360" w:lineRule="auto"/>
        <w:jc w:val="center"/>
        <w:rPr>
          <w:rFonts w:hint="eastAsia" w:ascii="宋体" w:hAnsi="宋体" w:eastAsia="宋体" w:cs="宋体"/>
          <w:b/>
          <w:color w:val="auto"/>
          <w:sz w:val="28"/>
          <w:szCs w:val="28"/>
          <w:highlight w:val="none"/>
        </w:rPr>
      </w:pPr>
    </w:p>
    <w:p w14:paraId="63A74502">
      <w:pPr>
        <w:pStyle w:val="25"/>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投标函</w:t>
      </w:r>
    </w:p>
    <w:p w14:paraId="4411A5AB">
      <w:pPr>
        <w:pStyle w:val="25"/>
        <w:spacing w:line="360" w:lineRule="auto"/>
        <w:rPr>
          <w:rFonts w:hint="eastAsia" w:ascii="宋体" w:hAnsi="宋体" w:eastAsia="宋体" w:cs="宋体"/>
          <w:color w:val="auto"/>
          <w:sz w:val="24"/>
          <w:szCs w:val="24"/>
          <w:highlight w:val="none"/>
          <w:u w:val="single"/>
        </w:rPr>
      </w:pPr>
      <w:r>
        <w:rPr>
          <w:rFonts w:hint="eastAsia" w:ascii="宋体" w:hAnsi="宋体" w:eastAsia="宋体" w:cs="宋体"/>
          <w:snapToGrid w:val="0"/>
          <w:color w:val="auto"/>
          <w:kern w:val="0"/>
          <w:sz w:val="24"/>
          <w:szCs w:val="24"/>
          <w:highlight w:val="none"/>
          <w:u w:val="single"/>
          <w:lang w:eastAsia="zh-CN"/>
        </w:rPr>
        <w:t>浦江县交投贸易有限公司</w:t>
      </w:r>
      <w:r>
        <w:rPr>
          <w:rFonts w:hint="eastAsia" w:ascii="宋体" w:hAnsi="宋体" w:eastAsia="宋体" w:cs="宋体"/>
          <w:color w:val="auto"/>
          <w:sz w:val="24"/>
          <w:szCs w:val="24"/>
          <w:highlight w:val="none"/>
        </w:rPr>
        <w:t>：</w:t>
      </w:r>
    </w:p>
    <w:p w14:paraId="50880440">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(投标人全称)授权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(全权代表姓名)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(职务、职称)为全权代表，参加贵方组织的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 (项目编号：</w:t>
      </w:r>
      <w:r>
        <w:rPr>
          <w:rFonts w:hint="eastAsia" w:ascii="宋体" w:hAnsi="宋体" w:eastAsia="宋体" w:cs="宋体"/>
          <w:color w:val="auto"/>
          <w:sz w:val="24"/>
          <w:szCs w:val="24"/>
          <w:highlight w:val="none"/>
          <w:lang w:eastAsia="zh-CN"/>
        </w:rPr>
        <w:t>PJCQGK(JTMY)2024-1030A</w:t>
      </w:r>
      <w:r>
        <w:rPr>
          <w:rFonts w:hint="eastAsia" w:ascii="宋体" w:hAnsi="宋体" w:eastAsia="宋体" w:cs="宋体"/>
          <w:color w:val="auto"/>
          <w:sz w:val="24"/>
          <w:szCs w:val="24"/>
          <w:highlight w:val="none"/>
        </w:rPr>
        <w:t>)的有关活动，并对此项目进行投标。为此：</w:t>
      </w:r>
    </w:p>
    <w:p w14:paraId="727FA391">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1、我方同意在投标人编制和提交投标文件须知规定的开标日期起遵守本投标书中的承诺且在投标有效期满之前均具有约束力。</w:t>
      </w:r>
    </w:p>
    <w:p w14:paraId="5C1CE6E0">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2、我方承诺已经具备《中华人民共和国政府采购法》中规定的参加采购活动的投标人应当具备的条件：</w:t>
      </w:r>
    </w:p>
    <w:p w14:paraId="2F779E5D">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010796DB">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(2)遵守国家法律、行政法规，具有良好的信誉和商业道德；</w:t>
      </w:r>
    </w:p>
    <w:p w14:paraId="36C5AD6C">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(3)具有履行合同的能力和良好的履行合同记录；</w:t>
      </w:r>
    </w:p>
    <w:p w14:paraId="0D4C9100">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(4)良好的资金、财务状况；</w:t>
      </w:r>
    </w:p>
    <w:p w14:paraId="2C06E197">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(5)没有违反采购法规、政策的记录；</w:t>
      </w:r>
    </w:p>
    <w:p w14:paraId="47E03DC6">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(6)没有发生重大经济纠纷和走私犯罪记录。</w:t>
      </w:r>
    </w:p>
    <w:p w14:paraId="5A75A49D">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3、提供编制和提交投标文件须知规定的全部投标文件。具体内容为：</w:t>
      </w:r>
    </w:p>
    <w:p w14:paraId="24E697F4">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(1)资格投标文件、商务技术投标文件、报价投标文件；</w:t>
      </w:r>
    </w:p>
    <w:p w14:paraId="5790A87E">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(2)编制和提交投标文件须知要求投标人提交的全部文件；</w:t>
      </w:r>
    </w:p>
    <w:p w14:paraId="1C7F882F">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(3)按采购文件要求提供和交付的货物和服务的投标报价详见开标一览表；</w:t>
      </w:r>
    </w:p>
    <w:p w14:paraId="3D8BF0B4">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(4)保证忠实地执行双方所签订的合同，并承担合同规定的责任和义务；</w:t>
      </w:r>
    </w:p>
    <w:p w14:paraId="3C792449">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(5)保证遵守采购文件中的其他有关规定。</w:t>
      </w:r>
    </w:p>
    <w:p w14:paraId="1021F6FD">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4、我方完全理解贵方不一定要接受最低价的投标。</w:t>
      </w:r>
    </w:p>
    <w:p w14:paraId="4B13EB16">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5、我方愿意向贵方提供任何与该项投标有关的数据、情况和技术资料。若贵方需要，我方愿意提供我方作出的一切承诺的有效材料。</w:t>
      </w:r>
    </w:p>
    <w:p w14:paraId="24BEAD95">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6、我方已详细审核全部采购文件，包括采购文件修改书(如果有)、参考资料及有关附件，确认无误。</w:t>
      </w:r>
    </w:p>
    <w:p w14:paraId="1C949EBB">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将严格遵守《中华人民共和国政府采购法》第七十七条规定，投标人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10F3A228">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a)提供虚假材料谋取中标、成交的；</w:t>
      </w:r>
    </w:p>
    <w:p w14:paraId="5109CE39">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b)采取不正当手段诋毁、排挤其他投标人的；</w:t>
      </w:r>
    </w:p>
    <w:p w14:paraId="723A724E">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c)与采购人、其它投标人或者采购代理机构恶意串通的；</w:t>
      </w:r>
    </w:p>
    <w:p w14:paraId="2CE6A221">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d)向采购人、采购代理机构行贿或者提供其他不正当利益的；</w:t>
      </w:r>
    </w:p>
    <w:p w14:paraId="6F240171">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e)在招标采购过程中与采购人进行协商谈判的；</w:t>
      </w:r>
    </w:p>
    <w:p w14:paraId="091B25EC">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f)拒绝有关部门监督检查或提供虚假情况的。</w:t>
      </w:r>
    </w:p>
    <w:p w14:paraId="3AD22AF2">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投标人有前款第a)至e)项情形之一的，中标无效。</w:t>
      </w:r>
    </w:p>
    <w:p w14:paraId="2162B279">
      <w:pPr>
        <w:pStyle w:val="25"/>
        <w:spacing w:line="420" w:lineRule="exact"/>
        <w:ind w:firstLine="480" w:firstLineChars="200"/>
        <w:rPr>
          <w:rFonts w:hint="eastAsia" w:ascii="宋体" w:hAnsi="宋体" w:eastAsia="宋体" w:cs="宋体"/>
          <w:color w:val="auto"/>
          <w:sz w:val="24"/>
          <w:szCs w:val="24"/>
          <w:highlight w:val="none"/>
        </w:rPr>
      </w:pPr>
    </w:p>
    <w:p w14:paraId="1A81AC21">
      <w:pPr>
        <w:pStyle w:val="25"/>
        <w:spacing w:line="420" w:lineRule="exact"/>
        <w:ind w:firstLine="480" w:firstLineChars="200"/>
        <w:rPr>
          <w:rFonts w:hint="eastAsia" w:ascii="宋体" w:hAnsi="宋体" w:eastAsia="宋体" w:cs="宋体"/>
          <w:color w:val="auto"/>
          <w:sz w:val="24"/>
          <w:szCs w:val="24"/>
          <w:highlight w:val="none"/>
        </w:rPr>
      </w:pPr>
    </w:p>
    <w:p w14:paraId="6465D492">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ab/>
      </w:r>
    </w:p>
    <w:p w14:paraId="3472F243">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379F774">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投标人（盖电子公章）：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AF9FE28">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rPr>
        <w:t xml:space="preserve">：                 </w:t>
      </w:r>
    </w:p>
    <w:p w14:paraId="3B3572BC">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9B0E353">
      <w:pPr>
        <w:pStyle w:val="25"/>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传真号码</w:t>
      </w:r>
      <w:r>
        <w:rPr>
          <w:rFonts w:hint="eastAsia" w:ascii="宋体" w:hAnsi="宋体" w:eastAsia="宋体" w:cs="宋体"/>
          <w:color w:val="auto"/>
          <w:sz w:val="24"/>
          <w:szCs w:val="24"/>
          <w:highlight w:val="none"/>
          <w:u w:val="single"/>
        </w:rPr>
        <w:t xml:space="preserve">：                     </w:t>
      </w:r>
    </w:p>
    <w:p w14:paraId="446C40B7">
      <w:pPr>
        <w:pStyle w:val="25"/>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28174C1">
      <w:pPr>
        <w:autoSpaceDE w:val="0"/>
        <w:autoSpaceDN w:val="0"/>
        <w:adjustRightInd w:val="0"/>
        <w:spacing w:line="360" w:lineRule="auto"/>
        <w:jc w:val="center"/>
        <w:rPr>
          <w:rFonts w:hint="eastAsia" w:ascii="宋体" w:hAnsi="宋体" w:cs="宋体"/>
          <w:b/>
          <w:bCs/>
          <w:snapToGrid w:val="0"/>
          <w:color w:val="auto"/>
          <w:kern w:val="0"/>
          <w:sz w:val="28"/>
          <w:szCs w:val="28"/>
          <w:highlight w:val="none"/>
        </w:rPr>
      </w:pPr>
      <w:r>
        <w:rPr>
          <w:rFonts w:hint="eastAsia" w:ascii="宋体" w:hAnsi="宋体" w:cs="宋体"/>
          <w:bCs/>
          <w:color w:val="auto"/>
          <w:szCs w:val="21"/>
          <w:highlight w:val="none"/>
        </w:rPr>
        <w:br w:type="page"/>
      </w:r>
      <w:r>
        <w:rPr>
          <w:rFonts w:hint="eastAsia" w:ascii="宋体" w:hAnsi="宋体" w:cs="宋体"/>
          <w:b/>
          <w:bCs/>
          <w:snapToGrid w:val="0"/>
          <w:color w:val="auto"/>
          <w:kern w:val="0"/>
          <w:sz w:val="28"/>
          <w:szCs w:val="28"/>
          <w:highlight w:val="none"/>
        </w:rPr>
        <w:t>开标一览表</w:t>
      </w:r>
    </w:p>
    <w:p w14:paraId="1DC21D03">
      <w:pPr>
        <w:adjustRightInd w:val="0"/>
        <w:spacing w:line="360" w:lineRule="auto"/>
        <w:rPr>
          <w:rFonts w:hint="eastAsia" w:ascii="宋体" w:hAnsi="宋体" w:cs="宋体"/>
          <w:color w:val="auto"/>
          <w:szCs w:val="21"/>
          <w:highlight w:val="none"/>
        </w:rPr>
      </w:pPr>
    </w:p>
    <w:p w14:paraId="156F3DEA">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项目名称：                                 项目编号：</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7"/>
      </w:tblGrid>
      <w:tr w14:paraId="1469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8" w:hRule="atLeast"/>
        </w:trPr>
        <w:tc>
          <w:tcPr>
            <w:tcW w:w="9457" w:type="dxa"/>
            <w:noWrap w:val="0"/>
            <w:vAlign w:val="center"/>
          </w:tcPr>
          <w:p w14:paraId="6E44C1DB">
            <w:pPr>
              <w:adjustRightIn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总报价（人民币）¥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6D5BDA">
            <w:pPr>
              <w:adjustRightInd w:val="0"/>
              <w:spacing w:line="360" w:lineRule="auto"/>
              <w:ind w:firstLine="1440" w:firstLineChars="600"/>
              <w:rPr>
                <w:rFonts w:hint="eastAsia" w:ascii="宋体" w:hAnsi="宋体" w:cs="宋体"/>
                <w:color w:val="auto"/>
                <w:sz w:val="24"/>
                <w:highlight w:val="none"/>
                <w:u w:val="singl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tc>
      </w:tr>
      <w:tr w14:paraId="0C24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top"/>
          </w:tcPr>
          <w:p w14:paraId="25BAFB16">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项目负责人：</w:t>
            </w:r>
          </w:p>
        </w:tc>
      </w:tr>
      <w:tr w14:paraId="30EA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top"/>
          </w:tcPr>
          <w:p w14:paraId="3FFCD372">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合同履行期限：</w:t>
            </w:r>
          </w:p>
        </w:tc>
      </w:tr>
      <w:tr w14:paraId="594F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top"/>
          </w:tcPr>
          <w:p w14:paraId="30C1988D">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相关说明（如有）：</w:t>
            </w:r>
          </w:p>
        </w:tc>
      </w:tr>
    </w:tbl>
    <w:p w14:paraId="78096899">
      <w:pPr>
        <w:pStyle w:val="44"/>
        <w:keepNext w:val="0"/>
        <w:keepLines w:val="0"/>
        <w:pageBreakBefore w:val="0"/>
        <w:widowControl w:val="0"/>
        <w:numPr>
          <w:ilvl w:val="0"/>
          <w:numId w:val="0"/>
        </w:numPr>
        <w:kinsoku/>
        <w:wordWrap/>
        <w:overflowPunct/>
        <w:topLinePunct w:val="0"/>
        <w:autoSpaceDE/>
        <w:autoSpaceDN/>
        <w:bidi w:val="0"/>
        <w:adjustRightInd/>
        <w:snapToGrid/>
        <w:spacing w:line="364" w:lineRule="exact"/>
        <w:ind w:left="0" w:leftChars="0" w:firstLine="480"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rPr>
        <w:t>注: 总报价</w:t>
      </w:r>
      <w:r>
        <w:rPr>
          <w:rFonts w:hint="eastAsia" w:ascii="宋体" w:hAnsi="宋体" w:cs="宋体"/>
          <w:b/>
          <w:bCs/>
          <w:color w:val="auto"/>
          <w:sz w:val="24"/>
          <w:highlight w:val="none"/>
          <w:lang w:val="en-US" w:eastAsia="zh-CN"/>
        </w:rPr>
        <w:t>应包括货款、标准附件、备品备件（含满足使用要求的所有配件）、包装、制造、运输、二次搬运费、装卸、保险、管理费、利润、规费、税金、货到就位以及安装、工期、安全、文明施工、调试、培训、保修、验收监测、购买及制作标书费、招标代理费等其他一切税费，如有漏项，视同已包含在整个项目中，合同总价和单价不做调整。合同价款结算时中标人须开具增值税专用发票。</w:t>
      </w:r>
    </w:p>
    <w:p w14:paraId="22918152">
      <w:pPr>
        <w:pStyle w:val="4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color w:val="auto"/>
          <w:kern w:val="2"/>
          <w:sz w:val="24"/>
          <w:szCs w:val="24"/>
          <w:highlight w:val="none"/>
          <w:lang w:val="en-US" w:eastAsia="zh-CN" w:bidi="ar-SA"/>
        </w:rPr>
      </w:pPr>
    </w:p>
    <w:p w14:paraId="5B6DD6EF">
      <w:pPr>
        <w:adjustRightInd w:val="0"/>
        <w:spacing w:line="360" w:lineRule="auto"/>
        <w:ind w:firstLine="482" w:firstLineChars="200"/>
        <w:rPr>
          <w:rFonts w:hint="eastAsia" w:ascii="宋体" w:hAnsi="宋体" w:cs="宋体"/>
          <w:b/>
          <w:bCs/>
          <w:color w:val="auto"/>
          <w:sz w:val="24"/>
          <w:highlight w:val="none"/>
          <w:lang w:val="en-US" w:eastAsia="zh-CN"/>
        </w:rPr>
      </w:pPr>
    </w:p>
    <w:p w14:paraId="4043C927">
      <w:pPr>
        <w:adjustRightInd w:val="0"/>
        <w:spacing w:line="360" w:lineRule="auto"/>
        <w:ind w:firstLine="420" w:firstLineChars="200"/>
        <w:rPr>
          <w:rFonts w:hint="eastAsia" w:ascii="宋体" w:hAnsi="宋体" w:cs="宋体"/>
          <w:color w:val="auto"/>
          <w:szCs w:val="21"/>
          <w:highlight w:val="none"/>
        </w:rPr>
      </w:pPr>
    </w:p>
    <w:p w14:paraId="55C8C30D">
      <w:pPr>
        <w:adjustRightInd w:val="0"/>
        <w:spacing w:line="360" w:lineRule="auto"/>
        <w:ind w:firstLine="420" w:firstLineChars="200"/>
        <w:rPr>
          <w:rFonts w:hint="eastAsia" w:ascii="宋体" w:hAnsi="宋体" w:cs="宋体"/>
          <w:color w:val="auto"/>
          <w:szCs w:val="21"/>
          <w:highlight w:val="none"/>
        </w:rPr>
      </w:pPr>
    </w:p>
    <w:p w14:paraId="11F49171">
      <w:pPr>
        <w:adjustRightInd w:val="0"/>
        <w:spacing w:line="360" w:lineRule="auto"/>
        <w:ind w:firstLine="420" w:firstLineChars="200"/>
        <w:rPr>
          <w:rFonts w:hint="eastAsia" w:ascii="宋体" w:hAnsi="宋体" w:cs="宋体"/>
          <w:color w:val="auto"/>
          <w:szCs w:val="21"/>
          <w:highlight w:val="none"/>
        </w:rPr>
      </w:pPr>
    </w:p>
    <w:p w14:paraId="4B973DDA">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14:paraId="4EA099D7">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14:paraId="6C02814F">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14:paraId="169E4A4E">
      <w:pPr>
        <w:snapToGrid w:val="0"/>
        <w:spacing w:line="360" w:lineRule="auto"/>
        <w:jc w:val="center"/>
        <w:rPr>
          <w:rFonts w:hint="eastAsia" w:ascii="宋体" w:hAnsi="宋体" w:eastAsia="宋体" w:cs="宋体"/>
          <w:b/>
          <w:bCs/>
          <w:snapToGrid w:val="0"/>
          <w:color w:val="auto"/>
          <w:kern w:val="0"/>
          <w:sz w:val="28"/>
          <w:szCs w:val="28"/>
          <w:highlight w:val="none"/>
          <w:lang w:eastAsia="zh-CN"/>
        </w:rPr>
      </w:pPr>
      <w:r>
        <w:rPr>
          <w:rFonts w:hint="eastAsia" w:ascii="宋体" w:hAnsi="宋体" w:cs="宋体"/>
          <w:color w:val="auto"/>
          <w:highlight w:val="none"/>
        </w:rPr>
        <w:br w:type="page"/>
      </w:r>
      <w:r>
        <w:rPr>
          <w:rFonts w:hint="eastAsia" w:ascii="宋体" w:hAnsi="宋体" w:cs="宋体"/>
          <w:b/>
          <w:bCs/>
          <w:snapToGrid w:val="0"/>
          <w:color w:val="auto"/>
          <w:kern w:val="0"/>
          <w:sz w:val="28"/>
          <w:szCs w:val="28"/>
          <w:highlight w:val="none"/>
        </w:rPr>
        <w:t>投标报价明细表</w:t>
      </w:r>
    </w:p>
    <w:p w14:paraId="25C5ED18">
      <w:pPr>
        <w:pStyle w:val="25"/>
        <w:tabs>
          <w:tab w:val="left" w:pos="900"/>
        </w:tabs>
        <w:snapToGrid w:val="0"/>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金额单位：人民币（元）  </w:t>
      </w:r>
    </w:p>
    <w:p w14:paraId="60FD67D0">
      <w:pPr>
        <w:pStyle w:val="25"/>
        <w:tabs>
          <w:tab w:val="left" w:pos="900"/>
        </w:tabs>
        <w:snapToGrid w:val="0"/>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46"/>
        <w:tblpPr w:leftFromText="180" w:rightFromText="180" w:vertAnchor="text" w:horzAnchor="page" w:tblpX="1157" w:tblpY="140"/>
        <w:tblOverlap w:val="never"/>
        <w:tblW w:w="9834" w:type="dxa"/>
        <w:tblInd w:w="0" w:type="dxa"/>
        <w:tblLayout w:type="fixed"/>
        <w:tblCellMar>
          <w:top w:w="0" w:type="dxa"/>
          <w:left w:w="108" w:type="dxa"/>
          <w:bottom w:w="0" w:type="dxa"/>
          <w:right w:w="108" w:type="dxa"/>
        </w:tblCellMar>
      </w:tblPr>
      <w:tblGrid>
        <w:gridCol w:w="552"/>
        <w:gridCol w:w="1137"/>
        <w:gridCol w:w="2325"/>
        <w:gridCol w:w="1410"/>
        <w:gridCol w:w="1440"/>
        <w:gridCol w:w="2265"/>
        <w:gridCol w:w="705"/>
      </w:tblGrid>
      <w:tr w14:paraId="2C03ADC5">
        <w:tblPrEx>
          <w:tblCellMar>
            <w:top w:w="0" w:type="dxa"/>
            <w:left w:w="108" w:type="dxa"/>
            <w:bottom w:w="0" w:type="dxa"/>
            <w:right w:w="108" w:type="dxa"/>
          </w:tblCellMar>
        </w:tblPrEx>
        <w:trPr>
          <w:trHeight w:val="1545" w:hRule="atLeast"/>
        </w:trPr>
        <w:tc>
          <w:tcPr>
            <w:tcW w:w="552" w:type="dxa"/>
            <w:tcBorders>
              <w:top w:val="single" w:color="auto" w:sz="4" w:space="0"/>
              <w:left w:val="single" w:color="auto" w:sz="4" w:space="0"/>
              <w:bottom w:val="single" w:color="auto" w:sz="4" w:space="0"/>
              <w:right w:val="single" w:color="auto" w:sz="4" w:space="0"/>
            </w:tcBorders>
            <w:noWrap w:val="0"/>
            <w:vAlign w:val="center"/>
          </w:tcPr>
          <w:p w14:paraId="5F4401F5">
            <w:pPr>
              <w:widowControl/>
              <w:spacing w:line="2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1137" w:type="dxa"/>
            <w:tcBorders>
              <w:top w:val="single" w:color="auto" w:sz="4" w:space="0"/>
              <w:left w:val="nil"/>
              <w:bottom w:val="single" w:color="auto" w:sz="4" w:space="0"/>
              <w:right w:val="single" w:color="auto" w:sz="4" w:space="0"/>
            </w:tcBorders>
            <w:noWrap w:val="0"/>
            <w:vAlign w:val="center"/>
          </w:tcPr>
          <w:p w14:paraId="7302EA6B">
            <w:pPr>
              <w:widowControl/>
              <w:spacing w:line="2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2325" w:type="dxa"/>
            <w:tcBorders>
              <w:top w:val="single" w:color="auto" w:sz="4" w:space="0"/>
              <w:left w:val="nil"/>
              <w:bottom w:val="single" w:color="auto" w:sz="4" w:space="0"/>
              <w:right w:val="single" w:color="auto" w:sz="4" w:space="0"/>
            </w:tcBorders>
            <w:noWrap w:val="0"/>
            <w:vAlign w:val="center"/>
          </w:tcPr>
          <w:p w14:paraId="2907D179">
            <w:pPr>
              <w:widowControl/>
              <w:spacing w:line="2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技术参数及</w:t>
            </w:r>
          </w:p>
          <w:p w14:paraId="7A85A07B">
            <w:pPr>
              <w:widowControl/>
              <w:spacing w:line="2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型号规格</w:t>
            </w:r>
          </w:p>
        </w:tc>
        <w:tc>
          <w:tcPr>
            <w:tcW w:w="1410" w:type="dxa"/>
            <w:tcBorders>
              <w:top w:val="single" w:color="auto" w:sz="4" w:space="0"/>
              <w:left w:val="nil"/>
              <w:bottom w:val="single" w:color="auto" w:sz="4" w:space="0"/>
              <w:right w:val="single" w:color="auto" w:sz="4" w:space="0"/>
            </w:tcBorders>
            <w:noWrap w:val="0"/>
            <w:vAlign w:val="center"/>
          </w:tcPr>
          <w:p w14:paraId="71325423">
            <w:pPr>
              <w:widowControl/>
              <w:spacing w:line="280" w:lineRule="exact"/>
              <w:jc w:val="center"/>
              <w:rPr>
                <w:rFonts w:hint="eastAsia"/>
                <w:color w:val="auto"/>
                <w:highlight w:val="none"/>
              </w:rPr>
            </w:pPr>
            <w:r>
              <w:rPr>
                <w:rFonts w:hint="eastAsia"/>
                <w:color w:val="auto"/>
                <w:highlight w:val="none"/>
              </w:rPr>
              <w:t>数量及单位</w:t>
            </w:r>
          </w:p>
          <w:p w14:paraId="74F5C5D2">
            <w:pPr>
              <w:pStyle w:val="44"/>
              <w:ind w:left="0" w:leftChars="0" w:firstLine="0" w:firstLineChars="0"/>
              <w:jc w:val="center"/>
              <w:rPr>
                <w:rFonts w:hint="eastAsia"/>
                <w:color w:val="auto"/>
                <w:highlight w:val="none"/>
              </w:rPr>
            </w:pPr>
            <w:r>
              <w:rPr>
                <w:rFonts w:hint="eastAsia" w:hAnsi="宋体"/>
                <w:color w:val="auto"/>
                <w:kern w:val="0"/>
                <w:sz w:val="24"/>
                <w:szCs w:val="24"/>
                <w:highlight w:val="none"/>
              </w:rPr>
              <w:t>（吨）</w:t>
            </w:r>
          </w:p>
        </w:tc>
        <w:tc>
          <w:tcPr>
            <w:tcW w:w="1440" w:type="dxa"/>
            <w:tcBorders>
              <w:top w:val="single" w:color="auto" w:sz="4" w:space="0"/>
              <w:left w:val="nil"/>
              <w:bottom w:val="single" w:color="auto" w:sz="4" w:space="0"/>
              <w:right w:val="single" w:color="auto" w:sz="4" w:space="0"/>
            </w:tcBorders>
            <w:noWrap w:val="0"/>
            <w:vAlign w:val="center"/>
          </w:tcPr>
          <w:p w14:paraId="3F65B3A3">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投标单价</w:t>
            </w:r>
          </w:p>
          <w:p w14:paraId="44A070A8">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（元/吨，含税含运费)</w:t>
            </w:r>
          </w:p>
          <w:p w14:paraId="011F0807">
            <w:pPr>
              <w:keepNext w:val="0"/>
              <w:keepLines w:val="0"/>
              <w:pageBreakBefore w:val="0"/>
              <w:kinsoku/>
              <w:wordWrap/>
              <w:overflowPunct/>
              <w:topLinePunct w:val="0"/>
              <w:autoSpaceDE/>
              <w:autoSpaceDN/>
              <w:bidi w:val="0"/>
              <w:adjustRightInd/>
              <w:spacing w:line="400" w:lineRule="exact"/>
              <w:jc w:val="center"/>
              <w:textAlignment w:val="auto"/>
              <w:rPr>
                <w:rFonts w:hint="eastAsia" w:hAnsi="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序号①</w:t>
            </w:r>
          </w:p>
        </w:tc>
        <w:tc>
          <w:tcPr>
            <w:tcW w:w="2265" w:type="dxa"/>
            <w:tcBorders>
              <w:top w:val="single" w:color="auto" w:sz="4" w:space="0"/>
              <w:left w:val="nil"/>
              <w:bottom w:val="single" w:color="auto" w:sz="4" w:space="0"/>
              <w:right w:val="single" w:color="auto" w:sz="4" w:space="0"/>
            </w:tcBorders>
            <w:noWrap w:val="0"/>
            <w:vAlign w:val="center"/>
          </w:tcPr>
          <w:p w14:paraId="62BAAE35">
            <w:pPr>
              <w:keepNext w:val="0"/>
              <w:keepLines w:val="0"/>
              <w:pageBreakBefore w:val="0"/>
              <w:widowControl/>
              <w:kinsoku/>
              <w:wordWrap/>
              <w:overflowPunct/>
              <w:topLinePunct w:val="0"/>
              <w:autoSpaceDE/>
              <w:autoSpaceDN/>
              <w:bidi w:val="0"/>
              <w:adjustRightInd/>
              <w:spacing w:line="400" w:lineRule="exact"/>
              <w:ind w:left="0" w:righ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投标报价（元）</w:t>
            </w:r>
          </w:p>
          <w:p w14:paraId="327224D5">
            <w:pPr>
              <w:keepNext w:val="0"/>
              <w:keepLines w:val="0"/>
              <w:pageBreakBefore w:val="0"/>
              <w:kinsoku/>
              <w:wordWrap/>
              <w:overflowPunct/>
              <w:topLinePunct w:val="0"/>
              <w:autoSpaceDE/>
              <w:autoSpaceDN/>
              <w:bidi w:val="0"/>
              <w:adjustRightInd/>
              <w:spacing w:line="400" w:lineRule="exact"/>
              <w:jc w:val="center"/>
              <w:textAlignment w:val="auto"/>
              <w:rPr>
                <w:rFonts w:hint="default" w:ascii="宋体" w:hAnsi="宋体" w:cs="宋体"/>
                <w:color w:val="auto"/>
                <w:kern w:val="0"/>
                <w:sz w:val="24"/>
                <w:highlight w:val="none"/>
                <w:lang w:val="en-US"/>
              </w:rPr>
            </w:pPr>
            <w:r>
              <w:rPr>
                <w:rFonts w:hint="eastAsia" w:asciiTheme="minorEastAsia" w:hAnsiTheme="minorEastAsia" w:eastAsiaTheme="minorEastAsia" w:cstheme="minorEastAsia"/>
                <w:color w:val="auto"/>
                <w:sz w:val="24"/>
                <w:szCs w:val="24"/>
                <w:highlight w:val="none"/>
                <w:lang w:val="en-US" w:eastAsia="zh-CN"/>
              </w:rPr>
              <w:t>序号②=序号①×260000</w:t>
            </w:r>
          </w:p>
        </w:tc>
        <w:tc>
          <w:tcPr>
            <w:tcW w:w="705" w:type="dxa"/>
            <w:tcBorders>
              <w:top w:val="single" w:color="auto" w:sz="4" w:space="0"/>
              <w:left w:val="nil"/>
              <w:bottom w:val="single" w:color="auto" w:sz="4" w:space="0"/>
              <w:right w:val="single" w:color="auto" w:sz="4" w:space="0"/>
            </w:tcBorders>
            <w:noWrap w:val="0"/>
            <w:vAlign w:val="center"/>
          </w:tcPr>
          <w:p w14:paraId="3C7C2E3C">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cs="宋体"/>
                <w:color w:val="auto"/>
                <w:kern w:val="0"/>
                <w:sz w:val="24"/>
                <w:highlight w:val="none"/>
              </w:rPr>
            </w:pPr>
            <w:r>
              <w:rPr>
                <w:rFonts w:hint="eastAsia" w:asciiTheme="minorEastAsia" w:hAnsiTheme="minorEastAsia" w:eastAsiaTheme="minorEastAsia" w:cstheme="minorEastAsia"/>
                <w:color w:val="auto"/>
                <w:sz w:val="24"/>
                <w:szCs w:val="24"/>
                <w:highlight w:val="none"/>
              </w:rPr>
              <w:t>备注</w:t>
            </w:r>
          </w:p>
        </w:tc>
      </w:tr>
      <w:tr w14:paraId="276B15FD">
        <w:tblPrEx>
          <w:tblCellMar>
            <w:top w:w="0" w:type="dxa"/>
            <w:left w:w="108" w:type="dxa"/>
            <w:bottom w:w="0" w:type="dxa"/>
            <w:right w:w="108" w:type="dxa"/>
          </w:tblCellMar>
        </w:tblPrEx>
        <w:trPr>
          <w:trHeight w:val="737" w:hRule="exact"/>
        </w:trPr>
        <w:tc>
          <w:tcPr>
            <w:tcW w:w="552" w:type="dxa"/>
            <w:vMerge w:val="restart"/>
            <w:tcBorders>
              <w:top w:val="nil"/>
              <w:left w:val="single" w:color="auto" w:sz="4" w:space="0"/>
              <w:right w:val="single" w:color="auto" w:sz="4" w:space="0"/>
            </w:tcBorders>
            <w:noWrap w:val="0"/>
            <w:vAlign w:val="center"/>
          </w:tcPr>
          <w:p w14:paraId="738401C8">
            <w:pPr>
              <w:widowControl/>
              <w:spacing w:line="2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137" w:type="dxa"/>
            <w:vMerge w:val="restart"/>
            <w:tcBorders>
              <w:top w:val="nil"/>
              <w:left w:val="nil"/>
              <w:right w:val="single" w:color="auto" w:sz="4" w:space="0"/>
            </w:tcBorders>
            <w:noWrap w:val="0"/>
            <w:vAlign w:val="center"/>
          </w:tcPr>
          <w:p w14:paraId="2E625B3D">
            <w:pPr>
              <w:widowControl/>
              <w:spacing w:line="280" w:lineRule="exact"/>
              <w:jc w:val="center"/>
              <w:rPr>
                <w:rFonts w:hint="eastAsia" w:ascii="宋体" w:hAnsi="宋体" w:cs="Arial"/>
                <w:bCs/>
                <w:color w:val="auto"/>
                <w:sz w:val="24"/>
                <w:highlight w:val="none"/>
              </w:rPr>
            </w:pPr>
            <w:r>
              <w:rPr>
                <w:rFonts w:hint="eastAsia" w:ascii="宋体" w:hAnsi="宋体" w:cs="Arial"/>
                <w:bCs/>
                <w:color w:val="auto"/>
                <w:sz w:val="24"/>
                <w:highlight w:val="none"/>
              </w:rPr>
              <w:t>石灰岩</w:t>
            </w:r>
          </w:p>
          <w:p w14:paraId="12B7505E">
            <w:pPr>
              <w:widowControl/>
              <w:spacing w:line="280" w:lineRule="exact"/>
              <w:jc w:val="center"/>
              <w:rPr>
                <w:rFonts w:hint="eastAsia" w:ascii="宋体" w:hAnsi="宋体" w:eastAsia="宋体" w:cs="Arial"/>
                <w:bCs/>
                <w:color w:val="auto"/>
                <w:sz w:val="24"/>
                <w:highlight w:val="none"/>
                <w:lang w:eastAsia="zh-CN"/>
              </w:rPr>
            </w:pPr>
            <w:r>
              <w:rPr>
                <w:rFonts w:hint="eastAsia" w:ascii="宋体" w:hAnsi="宋体" w:cs="Arial"/>
                <w:bCs/>
                <w:color w:val="auto"/>
                <w:sz w:val="24"/>
                <w:highlight w:val="none"/>
                <w:lang w:eastAsia="zh-CN"/>
              </w:rPr>
              <w:t>（整形）</w:t>
            </w:r>
          </w:p>
        </w:tc>
        <w:tc>
          <w:tcPr>
            <w:tcW w:w="2325" w:type="dxa"/>
            <w:tcBorders>
              <w:top w:val="nil"/>
              <w:left w:val="nil"/>
              <w:bottom w:val="single" w:color="auto" w:sz="4" w:space="0"/>
              <w:right w:val="single" w:color="auto" w:sz="4" w:space="0"/>
            </w:tcBorders>
            <w:noWrap w:val="0"/>
            <w:vAlign w:val="center"/>
          </w:tcPr>
          <w:p w14:paraId="03AC0F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bCs/>
                <w:color w:val="auto"/>
                <w:sz w:val="24"/>
                <w:highlight w:val="none"/>
              </w:rPr>
            </w:pPr>
            <w:r>
              <w:rPr>
                <w:rFonts w:hint="eastAsia" w:ascii="宋体" w:hAnsi="宋体" w:cs="Arial"/>
                <w:bCs/>
                <w:color w:val="auto"/>
                <w:sz w:val="24"/>
                <w:highlight w:val="none"/>
                <w:lang w:val="en-US" w:eastAsia="zh-CN"/>
              </w:rPr>
              <w:t>0-3</w:t>
            </w:r>
            <w:r>
              <w:rPr>
                <w:rFonts w:hint="eastAsia" w:ascii="宋体" w:hAnsi="宋体" w:cs="Arial"/>
                <w:bCs/>
                <w:color w:val="auto"/>
                <w:sz w:val="24"/>
                <w:highlight w:val="none"/>
              </w:rPr>
              <w:t>（网规格</w:t>
            </w: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mm）</w:t>
            </w:r>
          </w:p>
        </w:tc>
        <w:tc>
          <w:tcPr>
            <w:tcW w:w="1410" w:type="dxa"/>
            <w:tcBorders>
              <w:top w:val="nil"/>
              <w:left w:val="nil"/>
              <w:bottom w:val="single" w:color="auto" w:sz="4" w:space="0"/>
              <w:right w:val="single" w:color="auto" w:sz="4" w:space="0"/>
            </w:tcBorders>
            <w:noWrap w:val="0"/>
            <w:vAlign w:val="center"/>
          </w:tcPr>
          <w:p w14:paraId="1FC97E89">
            <w:pPr>
              <w:spacing w:line="240" w:lineRule="exact"/>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55000</w:t>
            </w:r>
          </w:p>
        </w:tc>
        <w:tc>
          <w:tcPr>
            <w:tcW w:w="1440" w:type="dxa"/>
            <w:vMerge w:val="restart"/>
            <w:tcBorders>
              <w:top w:val="nil"/>
              <w:left w:val="nil"/>
              <w:right w:val="single" w:color="auto" w:sz="4" w:space="0"/>
            </w:tcBorders>
            <w:noWrap w:val="0"/>
            <w:vAlign w:val="center"/>
          </w:tcPr>
          <w:p w14:paraId="1EB06E0C">
            <w:pPr>
              <w:widowControl/>
              <w:spacing w:line="280" w:lineRule="exact"/>
              <w:jc w:val="center"/>
              <w:rPr>
                <w:rFonts w:hint="eastAsia" w:ascii="宋体" w:hAnsi="宋体" w:cs="宋体"/>
                <w:color w:val="auto"/>
                <w:kern w:val="0"/>
                <w:sz w:val="24"/>
                <w:highlight w:val="none"/>
              </w:rPr>
            </w:pPr>
          </w:p>
        </w:tc>
        <w:tc>
          <w:tcPr>
            <w:tcW w:w="2265" w:type="dxa"/>
            <w:vMerge w:val="restart"/>
            <w:tcBorders>
              <w:top w:val="nil"/>
              <w:left w:val="nil"/>
              <w:right w:val="single" w:color="auto" w:sz="4" w:space="0"/>
            </w:tcBorders>
            <w:noWrap w:val="0"/>
            <w:vAlign w:val="center"/>
          </w:tcPr>
          <w:p w14:paraId="6123E661">
            <w:pPr>
              <w:widowControl/>
              <w:spacing w:line="280" w:lineRule="exact"/>
              <w:jc w:val="center"/>
              <w:rPr>
                <w:rFonts w:hint="eastAsia" w:ascii="宋体" w:hAnsi="宋体" w:cs="宋体"/>
                <w:color w:val="auto"/>
                <w:kern w:val="0"/>
                <w:sz w:val="24"/>
                <w:highlight w:val="none"/>
              </w:rPr>
            </w:pPr>
          </w:p>
        </w:tc>
        <w:tc>
          <w:tcPr>
            <w:tcW w:w="705" w:type="dxa"/>
            <w:vMerge w:val="restart"/>
            <w:tcBorders>
              <w:top w:val="nil"/>
              <w:left w:val="nil"/>
              <w:right w:val="single" w:color="auto" w:sz="4" w:space="0"/>
            </w:tcBorders>
            <w:noWrap w:val="0"/>
            <w:vAlign w:val="center"/>
          </w:tcPr>
          <w:p w14:paraId="43802E3E">
            <w:pPr>
              <w:widowControl/>
              <w:spacing w:line="280" w:lineRule="exact"/>
              <w:jc w:val="center"/>
              <w:rPr>
                <w:rFonts w:hint="eastAsia" w:ascii="宋体" w:hAnsi="宋体" w:cs="宋体"/>
                <w:color w:val="auto"/>
                <w:kern w:val="0"/>
                <w:sz w:val="24"/>
                <w:highlight w:val="none"/>
              </w:rPr>
            </w:pPr>
          </w:p>
        </w:tc>
      </w:tr>
      <w:tr w14:paraId="140AF5E8">
        <w:tblPrEx>
          <w:tblCellMar>
            <w:top w:w="0" w:type="dxa"/>
            <w:left w:w="108" w:type="dxa"/>
            <w:bottom w:w="0" w:type="dxa"/>
            <w:right w:w="108" w:type="dxa"/>
          </w:tblCellMar>
        </w:tblPrEx>
        <w:trPr>
          <w:trHeight w:val="737" w:hRule="exact"/>
        </w:trPr>
        <w:tc>
          <w:tcPr>
            <w:tcW w:w="552" w:type="dxa"/>
            <w:vMerge w:val="continue"/>
            <w:tcBorders>
              <w:left w:val="single" w:color="auto" w:sz="4" w:space="0"/>
              <w:right w:val="single" w:color="auto" w:sz="4" w:space="0"/>
            </w:tcBorders>
            <w:noWrap w:val="0"/>
            <w:vAlign w:val="center"/>
          </w:tcPr>
          <w:p w14:paraId="316A715C">
            <w:pPr>
              <w:widowControl/>
              <w:spacing w:line="280" w:lineRule="exact"/>
              <w:jc w:val="center"/>
              <w:rPr>
                <w:rFonts w:hint="eastAsia" w:ascii="宋体" w:hAnsi="宋体" w:cs="宋体"/>
                <w:color w:val="auto"/>
                <w:kern w:val="0"/>
                <w:sz w:val="24"/>
                <w:highlight w:val="none"/>
              </w:rPr>
            </w:pPr>
          </w:p>
        </w:tc>
        <w:tc>
          <w:tcPr>
            <w:tcW w:w="1137" w:type="dxa"/>
            <w:vMerge w:val="continue"/>
            <w:tcBorders>
              <w:left w:val="nil"/>
              <w:right w:val="single" w:color="auto" w:sz="4" w:space="0"/>
            </w:tcBorders>
            <w:noWrap w:val="0"/>
            <w:vAlign w:val="center"/>
          </w:tcPr>
          <w:p w14:paraId="4C956233">
            <w:pPr>
              <w:widowControl/>
              <w:spacing w:line="280" w:lineRule="exact"/>
              <w:jc w:val="center"/>
              <w:rPr>
                <w:rFonts w:hint="eastAsia" w:ascii="宋体" w:hAnsi="宋体" w:cs="Arial"/>
                <w:bCs/>
                <w:color w:val="auto"/>
                <w:sz w:val="24"/>
                <w:highlight w:val="none"/>
              </w:rPr>
            </w:pPr>
          </w:p>
        </w:tc>
        <w:tc>
          <w:tcPr>
            <w:tcW w:w="2325" w:type="dxa"/>
            <w:tcBorders>
              <w:top w:val="nil"/>
              <w:left w:val="nil"/>
              <w:bottom w:val="single" w:color="auto" w:sz="4" w:space="0"/>
              <w:right w:val="single" w:color="auto" w:sz="4" w:space="0"/>
            </w:tcBorders>
            <w:noWrap w:val="0"/>
            <w:vAlign w:val="center"/>
          </w:tcPr>
          <w:p w14:paraId="188208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Arial"/>
                <w:bCs/>
                <w:color w:val="auto"/>
                <w:sz w:val="24"/>
                <w:highlight w:val="none"/>
              </w:rPr>
            </w:pP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-5（网规格5*5mm）</w:t>
            </w:r>
          </w:p>
        </w:tc>
        <w:tc>
          <w:tcPr>
            <w:tcW w:w="1410" w:type="dxa"/>
            <w:tcBorders>
              <w:top w:val="nil"/>
              <w:left w:val="nil"/>
              <w:bottom w:val="single" w:color="auto" w:sz="4" w:space="0"/>
              <w:right w:val="single" w:color="auto" w:sz="4" w:space="0"/>
            </w:tcBorders>
            <w:noWrap w:val="0"/>
            <w:vAlign w:val="center"/>
          </w:tcPr>
          <w:p w14:paraId="5F3E6ABA">
            <w:pPr>
              <w:spacing w:line="240" w:lineRule="exact"/>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10000</w:t>
            </w:r>
          </w:p>
        </w:tc>
        <w:tc>
          <w:tcPr>
            <w:tcW w:w="1440" w:type="dxa"/>
            <w:vMerge w:val="continue"/>
            <w:tcBorders>
              <w:left w:val="nil"/>
              <w:right w:val="single" w:color="auto" w:sz="4" w:space="0"/>
            </w:tcBorders>
            <w:noWrap w:val="0"/>
            <w:vAlign w:val="center"/>
          </w:tcPr>
          <w:p w14:paraId="32B479D6">
            <w:pPr>
              <w:widowControl/>
              <w:spacing w:line="280" w:lineRule="exact"/>
              <w:jc w:val="center"/>
              <w:rPr>
                <w:rFonts w:hint="eastAsia" w:ascii="宋体" w:hAnsi="宋体" w:cs="宋体"/>
                <w:color w:val="auto"/>
                <w:kern w:val="0"/>
                <w:sz w:val="24"/>
                <w:highlight w:val="none"/>
              </w:rPr>
            </w:pPr>
          </w:p>
        </w:tc>
        <w:tc>
          <w:tcPr>
            <w:tcW w:w="2265" w:type="dxa"/>
            <w:vMerge w:val="continue"/>
            <w:tcBorders>
              <w:left w:val="nil"/>
              <w:right w:val="single" w:color="auto" w:sz="4" w:space="0"/>
            </w:tcBorders>
            <w:noWrap w:val="0"/>
            <w:vAlign w:val="center"/>
          </w:tcPr>
          <w:p w14:paraId="376DF001">
            <w:pPr>
              <w:widowControl/>
              <w:spacing w:line="280" w:lineRule="exact"/>
              <w:jc w:val="center"/>
              <w:rPr>
                <w:rFonts w:hint="eastAsia" w:ascii="宋体" w:hAnsi="宋体" w:cs="宋体"/>
                <w:color w:val="auto"/>
                <w:kern w:val="0"/>
                <w:sz w:val="24"/>
                <w:highlight w:val="none"/>
              </w:rPr>
            </w:pPr>
          </w:p>
        </w:tc>
        <w:tc>
          <w:tcPr>
            <w:tcW w:w="705" w:type="dxa"/>
            <w:vMerge w:val="continue"/>
            <w:tcBorders>
              <w:left w:val="nil"/>
              <w:right w:val="single" w:color="auto" w:sz="4" w:space="0"/>
            </w:tcBorders>
            <w:noWrap w:val="0"/>
            <w:vAlign w:val="center"/>
          </w:tcPr>
          <w:p w14:paraId="4B0A1887">
            <w:pPr>
              <w:widowControl/>
              <w:spacing w:line="280" w:lineRule="exact"/>
              <w:jc w:val="center"/>
              <w:rPr>
                <w:rFonts w:hint="eastAsia" w:ascii="宋体" w:hAnsi="宋体" w:cs="宋体"/>
                <w:color w:val="auto"/>
                <w:kern w:val="0"/>
                <w:sz w:val="24"/>
                <w:highlight w:val="none"/>
              </w:rPr>
            </w:pPr>
          </w:p>
        </w:tc>
      </w:tr>
      <w:tr w14:paraId="1B490B9A">
        <w:tblPrEx>
          <w:tblCellMar>
            <w:top w:w="0" w:type="dxa"/>
            <w:left w:w="108" w:type="dxa"/>
            <w:bottom w:w="0" w:type="dxa"/>
            <w:right w:w="108" w:type="dxa"/>
          </w:tblCellMar>
        </w:tblPrEx>
        <w:trPr>
          <w:trHeight w:val="737" w:hRule="exact"/>
        </w:trPr>
        <w:tc>
          <w:tcPr>
            <w:tcW w:w="552" w:type="dxa"/>
            <w:vMerge w:val="continue"/>
            <w:tcBorders>
              <w:left w:val="single" w:color="auto" w:sz="4" w:space="0"/>
              <w:right w:val="single" w:color="auto" w:sz="4" w:space="0"/>
            </w:tcBorders>
            <w:noWrap w:val="0"/>
            <w:vAlign w:val="center"/>
          </w:tcPr>
          <w:p w14:paraId="0492D15B">
            <w:pPr>
              <w:widowControl/>
              <w:spacing w:line="280" w:lineRule="exact"/>
              <w:jc w:val="center"/>
              <w:rPr>
                <w:rFonts w:ascii="宋体" w:hAnsi="宋体" w:cs="宋体"/>
                <w:color w:val="auto"/>
                <w:kern w:val="0"/>
                <w:sz w:val="24"/>
                <w:highlight w:val="none"/>
              </w:rPr>
            </w:pPr>
          </w:p>
        </w:tc>
        <w:tc>
          <w:tcPr>
            <w:tcW w:w="1137" w:type="dxa"/>
            <w:vMerge w:val="continue"/>
            <w:tcBorders>
              <w:left w:val="nil"/>
              <w:right w:val="single" w:color="auto" w:sz="4" w:space="0"/>
            </w:tcBorders>
            <w:noWrap w:val="0"/>
            <w:vAlign w:val="center"/>
          </w:tcPr>
          <w:p w14:paraId="68B4E155">
            <w:pPr>
              <w:widowControl/>
              <w:spacing w:line="280" w:lineRule="exact"/>
              <w:jc w:val="center"/>
              <w:rPr>
                <w:rFonts w:hint="eastAsia" w:ascii="宋体" w:hAnsi="宋体" w:cs="宋体"/>
                <w:color w:val="auto"/>
                <w:kern w:val="0"/>
                <w:sz w:val="24"/>
                <w:highlight w:val="none"/>
              </w:rPr>
            </w:pPr>
          </w:p>
        </w:tc>
        <w:tc>
          <w:tcPr>
            <w:tcW w:w="2325" w:type="dxa"/>
            <w:tcBorders>
              <w:top w:val="nil"/>
              <w:left w:val="nil"/>
              <w:bottom w:val="single" w:color="auto" w:sz="4" w:space="0"/>
              <w:right w:val="single" w:color="auto" w:sz="4" w:space="0"/>
            </w:tcBorders>
            <w:noWrap w:val="0"/>
            <w:vAlign w:val="center"/>
          </w:tcPr>
          <w:p w14:paraId="1C026C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highlight w:val="none"/>
              </w:rPr>
            </w:pPr>
            <w:r>
              <w:rPr>
                <w:rFonts w:hint="eastAsia" w:ascii="宋体" w:hAnsi="宋体" w:cs="Arial"/>
                <w:bCs/>
                <w:color w:val="auto"/>
                <w:sz w:val="24"/>
                <w:highlight w:val="none"/>
              </w:rPr>
              <w:t>5-1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（网规格1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mm）</w:t>
            </w:r>
          </w:p>
        </w:tc>
        <w:tc>
          <w:tcPr>
            <w:tcW w:w="1410" w:type="dxa"/>
            <w:tcBorders>
              <w:top w:val="nil"/>
              <w:left w:val="nil"/>
              <w:bottom w:val="single" w:color="auto" w:sz="4" w:space="0"/>
              <w:right w:val="single" w:color="auto" w:sz="4" w:space="0"/>
            </w:tcBorders>
            <w:noWrap w:val="0"/>
            <w:vAlign w:val="center"/>
          </w:tcPr>
          <w:p w14:paraId="40548A44">
            <w:pPr>
              <w:spacing w:line="240" w:lineRule="exact"/>
              <w:jc w:val="center"/>
              <w:rPr>
                <w:rFonts w:hint="default" w:ascii="宋体" w:hAnsi="宋体" w:eastAsia="宋体" w:cs="宋体"/>
                <w:color w:val="auto"/>
                <w:kern w:val="0"/>
                <w:sz w:val="24"/>
                <w:highlight w:val="none"/>
                <w:lang w:val="en-US" w:eastAsia="zh-CN"/>
              </w:rPr>
            </w:pPr>
            <w:r>
              <w:rPr>
                <w:rFonts w:hint="eastAsia" w:ascii="宋体" w:hAnsi="宋体" w:cs="宋体"/>
                <w:bCs/>
                <w:color w:val="auto"/>
                <w:sz w:val="24"/>
                <w:highlight w:val="none"/>
                <w:lang w:val="en-US" w:eastAsia="zh-CN"/>
              </w:rPr>
              <w:t>85000</w:t>
            </w:r>
          </w:p>
        </w:tc>
        <w:tc>
          <w:tcPr>
            <w:tcW w:w="1440" w:type="dxa"/>
            <w:vMerge w:val="continue"/>
            <w:tcBorders>
              <w:left w:val="nil"/>
              <w:right w:val="single" w:color="auto" w:sz="4" w:space="0"/>
            </w:tcBorders>
            <w:noWrap w:val="0"/>
            <w:vAlign w:val="center"/>
          </w:tcPr>
          <w:p w14:paraId="00B8349D">
            <w:pPr>
              <w:widowControl/>
              <w:spacing w:line="280" w:lineRule="exact"/>
              <w:jc w:val="center"/>
              <w:rPr>
                <w:rFonts w:hint="eastAsia" w:ascii="宋体" w:hAnsi="宋体" w:cs="宋体"/>
                <w:color w:val="auto"/>
                <w:kern w:val="0"/>
                <w:sz w:val="24"/>
                <w:highlight w:val="none"/>
              </w:rPr>
            </w:pPr>
          </w:p>
        </w:tc>
        <w:tc>
          <w:tcPr>
            <w:tcW w:w="2265" w:type="dxa"/>
            <w:vMerge w:val="continue"/>
            <w:tcBorders>
              <w:left w:val="nil"/>
              <w:right w:val="single" w:color="auto" w:sz="4" w:space="0"/>
            </w:tcBorders>
            <w:noWrap w:val="0"/>
            <w:vAlign w:val="center"/>
          </w:tcPr>
          <w:p w14:paraId="45639432">
            <w:pPr>
              <w:widowControl/>
              <w:spacing w:line="280" w:lineRule="exact"/>
              <w:jc w:val="center"/>
              <w:rPr>
                <w:rFonts w:hint="eastAsia" w:ascii="宋体" w:hAnsi="宋体" w:cs="宋体"/>
                <w:color w:val="auto"/>
                <w:kern w:val="0"/>
                <w:sz w:val="24"/>
                <w:highlight w:val="none"/>
              </w:rPr>
            </w:pPr>
          </w:p>
        </w:tc>
        <w:tc>
          <w:tcPr>
            <w:tcW w:w="705" w:type="dxa"/>
            <w:vMerge w:val="continue"/>
            <w:tcBorders>
              <w:left w:val="nil"/>
              <w:right w:val="single" w:color="auto" w:sz="4" w:space="0"/>
            </w:tcBorders>
            <w:noWrap w:val="0"/>
            <w:vAlign w:val="center"/>
          </w:tcPr>
          <w:p w14:paraId="6A5A592B">
            <w:pPr>
              <w:widowControl/>
              <w:spacing w:line="280" w:lineRule="exact"/>
              <w:jc w:val="center"/>
              <w:rPr>
                <w:rFonts w:hint="eastAsia" w:ascii="宋体" w:hAnsi="宋体" w:cs="宋体"/>
                <w:color w:val="auto"/>
                <w:kern w:val="0"/>
                <w:sz w:val="24"/>
                <w:highlight w:val="none"/>
              </w:rPr>
            </w:pPr>
          </w:p>
        </w:tc>
      </w:tr>
      <w:tr w14:paraId="031B2913">
        <w:tblPrEx>
          <w:tblCellMar>
            <w:top w:w="0" w:type="dxa"/>
            <w:left w:w="108" w:type="dxa"/>
            <w:bottom w:w="0" w:type="dxa"/>
            <w:right w:w="108" w:type="dxa"/>
          </w:tblCellMar>
        </w:tblPrEx>
        <w:trPr>
          <w:trHeight w:val="737" w:hRule="exact"/>
        </w:trPr>
        <w:tc>
          <w:tcPr>
            <w:tcW w:w="552" w:type="dxa"/>
            <w:vMerge w:val="continue"/>
            <w:tcBorders>
              <w:left w:val="single" w:color="auto" w:sz="4" w:space="0"/>
              <w:right w:val="single" w:color="auto" w:sz="4" w:space="0"/>
            </w:tcBorders>
            <w:noWrap w:val="0"/>
            <w:vAlign w:val="center"/>
          </w:tcPr>
          <w:p w14:paraId="6CE766D5">
            <w:pPr>
              <w:widowControl/>
              <w:spacing w:line="280" w:lineRule="exact"/>
              <w:jc w:val="center"/>
              <w:rPr>
                <w:rFonts w:hint="eastAsia" w:ascii="宋体" w:hAnsi="宋体" w:cs="宋体"/>
                <w:color w:val="auto"/>
                <w:kern w:val="0"/>
                <w:sz w:val="24"/>
                <w:highlight w:val="none"/>
              </w:rPr>
            </w:pPr>
          </w:p>
        </w:tc>
        <w:tc>
          <w:tcPr>
            <w:tcW w:w="1137" w:type="dxa"/>
            <w:vMerge w:val="continue"/>
            <w:tcBorders>
              <w:left w:val="nil"/>
              <w:right w:val="single" w:color="auto" w:sz="4" w:space="0"/>
            </w:tcBorders>
            <w:noWrap w:val="0"/>
            <w:vAlign w:val="center"/>
          </w:tcPr>
          <w:p w14:paraId="1DC13384">
            <w:pPr>
              <w:widowControl/>
              <w:spacing w:line="280" w:lineRule="exact"/>
              <w:jc w:val="center"/>
              <w:rPr>
                <w:rFonts w:hint="eastAsia" w:ascii="宋体" w:hAnsi="宋体" w:cs="Arial"/>
                <w:bCs/>
                <w:color w:val="auto"/>
                <w:sz w:val="24"/>
                <w:highlight w:val="none"/>
              </w:rPr>
            </w:pPr>
          </w:p>
        </w:tc>
        <w:tc>
          <w:tcPr>
            <w:tcW w:w="2325" w:type="dxa"/>
            <w:tcBorders>
              <w:top w:val="nil"/>
              <w:left w:val="nil"/>
              <w:bottom w:val="single" w:color="auto" w:sz="4" w:space="0"/>
              <w:right w:val="single" w:color="auto" w:sz="4" w:space="0"/>
            </w:tcBorders>
            <w:noWrap w:val="0"/>
            <w:vAlign w:val="center"/>
          </w:tcPr>
          <w:p w14:paraId="098A2F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highlight w:val="none"/>
              </w:rPr>
            </w:pPr>
            <w:r>
              <w:rPr>
                <w:rFonts w:hint="eastAsia" w:ascii="宋体" w:hAnsi="宋体" w:cs="Arial"/>
                <w:bCs/>
                <w:color w:val="auto"/>
                <w:sz w:val="24"/>
                <w:highlight w:val="none"/>
              </w:rPr>
              <w:t>1</w:t>
            </w:r>
            <w:r>
              <w:rPr>
                <w:rFonts w:hint="eastAsia" w:ascii="宋体" w:hAnsi="宋体" w:cs="Arial"/>
                <w:bCs/>
                <w:color w:val="auto"/>
                <w:sz w:val="24"/>
                <w:highlight w:val="none"/>
                <w:lang w:val="en-US" w:eastAsia="zh-CN"/>
              </w:rPr>
              <w:t>0</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16</w:t>
            </w:r>
            <w:r>
              <w:rPr>
                <w:rFonts w:hint="eastAsia" w:ascii="宋体" w:hAnsi="宋体" w:cs="Arial"/>
                <w:bCs/>
                <w:color w:val="auto"/>
                <w:sz w:val="24"/>
                <w:highlight w:val="none"/>
              </w:rPr>
              <w:t>（网规格</w:t>
            </w:r>
            <w:r>
              <w:rPr>
                <w:rFonts w:hint="eastAsia" w:ascii="宋体" w:hAnsi="宋体" w:cs="Arial"/>
                <w:bCs/>
                <w:color w:val="auto"/>
                <w:sz w:val="24"/>
                <w:highlight w:val="none"/>
                <w:lang w:val="en-US" w:eastAsia="zh-CN"/>
              </w:rPr>
              <w:t>16</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16</w:t>
            </w:r>
            <w:r>
              <w:rPr>
                <w:rFonts w:hint="eastAsia" w:ascii="宋体" w:hAnsi="宋体" w:cs="Arial"/>
                <w:bCs/>
                <w:color w:val="auto"/>
                <w:sz w:val="24"/>
                <w:highlight w:val="none"/>
              </w:rPr>
              <w:t>mm）</w:t>
            </w:r>
          </w:p>
        </w:tc>
        <w:tc>
          <w:tcPr>
            <w:tcW w:w="1410" w:type="dxa"/>
            <w:tcBorders>
              <w:top w:val="nil"/>
              <w:left w:val="nil"/>
              <w:bottom w:val="single" w:color="auto" w:sz="4" w:space="0"/>
              <w:right w:val="single" w:color="auto" w:sz="4" w:space="0"/>
            </w:tcBorders>
            <w:noWrap w:val="0"/>
            <w:vAlign w:val="center"/>
          </w:tcPr>
          <w:p w14:paraId="1C4D47E2">
            <w:pPr>
              <w:spacing w:line="240" w:lineRule="exact"/>
              <w:jc w:val="center"/>
              <w:rPr>
                <w:rFonts w:hint="default" w:ascii="宋体" w:hAnsi="宋体" w:eastAsia="宋体" w:cs="宋体"/>
                <w:color w:val="auto"/>
                <w:kern w:val="0"/>
                <w:sz w:val="24"/>
                <w:highlight w:val="none"/>
                <w:lang w:val="en-US" w:eastAsia="zh-CN"/>
              </w:rPr>
            </w:pPr>
            <w:r>
              <w:rPr>
                <w:rFonts w:hint="eastAsia" w:ascii="宋体" w:hAnsi="宋体" w:cs="宋体"/>
                <w:bCs/>
                <w:color w:val="auto"/>
                <w:sz w:val="24"/>
                <w:highlight w:val="none"/>
                <w:lang w:val="en-US" w:eastAsia="zh-CN"/>
              </w:rPr>
              <w:t>30000</w:t>
            </w:r>
          </w:p>
        </w:tc>
        <w:tc>
          <w:tcPr>
            <w:tcW w:w="1440" w:type="dxa"/>
            <w:vMerge w:val="continue"/>
            <w:tcBorders>
              <w:left w:val="nil"/>
              <w:right w:val="single" w:color="auto" w:sz="4" w:space="0"/>
            </w:tcBorders>
            <w:noWrap w:val="0"/>
            <w:vAlign w:val="center"/>
          </w:tcPr>
          <w:p w14:paraId="450CBF32">
            <w:pPr>
              <w:widowControl/>
              <w:spacing w:line="280" w:lineRule="exact"/>
              <w:jc w:val="center"/>
              <w:rPr>
                <w:rFonts w:hint="eastAsia" w:ascii="宋体" w:hAnsi="宋体" w:cs="宋体"/>
                <w:color w:val="auto"/>
                <w:kern w:val="0"/>
                <w:sz w:val="24"/>
                <w:highlight w:val="none"/>
              </w:rPr>
            </w:pPr>
          </w:p>
        </w:tc>
        <w:tc>
          <w:tcPr>
            <w:tcW w:w="2265" w:type="dxa"/>
            <w:vMerge w:val="continue"/>
            <w:tcBorders>
              <w:left w:val="nil"/>
              <w:right w:val="single" w:color="auto" w:sz="4" w:space="0"/>
            </w:tcBorders>
            <w:noWrap w:val="0"/>
            <w:vAlign w:val="center"/>
          </w:tcPr>
          <w:p w14:paraId="5255D43F">
            <w:pPr>
              <w:widowControl/>
              <w:spacing w:line="280" w:lineRule="exact"/>
              <w:jc w:val="center"/>
              <w:rPr>
                <w:rFonts w:hint="eastAsia" w:ascii="宋体" w:hAnsi="宋体" w:cs="宋体"/>
                <w:color w:val="auto"/>
                <w:kern w:val="0"/>
                <w:sz w:val="24"/>
                <w:highlight w:val="none"/>
              </w:rPr>
            </w:pPr>
          </w:p>
        </w:tc>
        <w:tc>
          <w:tcPr>
            <w:tcW w:w="705" w:type="dxa"/>
            <w:vMerge w:val="continue"/>
            <w:tcBorders>
              <w:left w:val="nil"/>
              <w:right w:val="single" w:color="auto" w:sz="4" w:space="0"/>
            </w:tcBorders>
            <w:noWrap w:val="0"/>
            <w:vAlign w:val="center"/>
          </w:tcPr>
          <w:p w14:paraId="7365234F">
            <w:pPr>
              <w:widowControl/>
              <w:spacing w:line="280" w:lineRule="exact"/>
              <w:jc w:val="center"/>
              <w:rPr>
                <w:rFonts w:hint="eastAsia" w:ascii="宋体" w:hAnsi="宋体" w:cs="宋体"/>
                <w:color w:val="auto"/>
                <w:kern w:val="0"/>
                <w:sz w:val="24"/>
                <w:highlight w:val="none"/>
              </w:rPr>
            </w:pPr>
          </w:p>
        </w:tc>
      </w:tr>
      <w:tr w14:paraId="14B533AD">
        <w:tblPrEx>
          <w:tblCellMar>
            <w:top w:w="0" w:type="dxa"/>
            <w:left w:w="108" w:type="dxa"/>
            <w:bottom w:w="0" w:type="dxa"/>
            <w:right w:w="108" w:type="dxa"/>
          </w:tblCellMar>
        </w:tblPrEx>
        <w:trPr>
          <w:trHeight w:val="737" w:hRule="exact"/>
        </w:trPr>
        <w:tc>
          <w:tcPr>
            <w:tcW w:w="552" w:type="dxa"/>
            <w:vMerge w:val="continue"/>
            <w:tcBorders>
              <w:left w:val="single" w:color="auto" w:sz="4" w:space="0"/>
              <w:right w:val="single" w:color="auto" w:sz="4" w:space="0"/>
            </w:tcBorders>
            <w:noWrap w:val="0"/>
            <w:vAlign w:val="center"/>
          </w:tcPr>
          <w:p w14:paraId="10F5E8AB">
            <w:pPr>
              <w:widowControl/>
              <w:spacing w:line="280" w:lineRule="exact"/>
              <w:jc w:val="center"/>
              <w:rPr>
                <w:rFonts w:hint="eastAsia" w:ascii="宋体" w:hAnsi="宋体" w:cs="宋体"/>
                <w:color w:val="auto"/>
                <w:kern w:val="0"/>
                <w:sz w:val="24"/>
                <w:highlight w:val="none"/>
              </w:rPr>
            </w:pPr>
          </w:p>
        </w:tc>
        <w:tc>
          <w:tcPr>
            <w:tcW w:w="1137" w:type="dxa"/>
            <w:vMerge w:val="continue"/>
            <w:tcBorders>
              <w:left w:val="nil"/>
              <w:right w:val="single" w:color="auto" w:sz="4" w:space="0"/>
            </w:tcBorders>
            <w:noWrap w:val="0"/>
            <w:vAlign w:val="center"/>
          </w:tcPr>
          <w:p w14:paraId="0B47777F">
            <w:pPr>
              <w:widowControl/>
              <w:spacing w:line="280" w:lineRule="exact"/>
              <w:jc w:val="center"/>
              <w:rPr>
                <w:rFonts w:hint="eastAsia" w:ascii="宋体" w:hAnsi="宋体" w:cs="Arial"/>
                <w:bCs/>
                <w:color w:val="auto"/>
                <w:sz w:val="24"/>
                <w:highlight w:val="none"/>
              </w:rPr>
            </w:pPr>
          </w:p>
        </w:tc>
        <w:tc>
          <w:tcPr>
            <w:tcW w:w="2325" w:type="dxa"/>
            <w:tcBorders>
              <w:top w:val="nil"/>
              <w:left w:val="nil"/>
              <w:bottom w:val="single" w:color="auto" w:sz="4" w:space="0"/>
              <w:right w:val="single" w:color="auto" w:sz="4" w:space="0"/>
            </w:tcBorders>
            <w:noWrap w:val="0"/>
            <w:vAlign w:val="center"/>
          </w:tcPr>
          <w:p w14:paraId="09F9E7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highlight w:val="none"/>
              </w:rPr>
            </w:pPr>
            <w:r>
              <w:rPr>
                <w:rFonts w:hint="eastAsia" w:ascii="宋体" w:hAnsi="宋体" w:cs="Arial"/>
                <w:bCs/>
                <w:color w:val="auto"/>
                <w:sz w:val="24"/>
                <w:highlight w:val="none"/>
              </w:rPr>
              <w:t xml:space="preserve"> 16-26.5（网规格</w:t>
            </w:r>
            <w:r>
              <w:rPr>
                <w:rFonts w:hint="eastAsia" w:ascii="宋体" w:hAnsi="宋体" w:cs="Arial"/>
                <w:bCs/>
                <w:color w:val="auto"/>
                <w:sz w:val="24"/>
                <w:highlight w:val="none"/>
                <w:lang w:val="en-US" w:eastAsia="zh-CN"/>
              </w:rPr>
              <w:t>26.5</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26.5</w:t>
            </w:r>
            <w:r>
              <w:rPr>
                <w:rFonts w:hint="eastAsia" w:ascii="宋体" w:hAnsi="宋体" w:cs="Arial"/>
                <w:bCs/>
                <w:color w:val="auto"/>
                <w:sz w:val="24"/>
                <w:highlight w:val="none"/>
              </w:rPr>
              <w:t>mm）</w:t>
            </w:r>
          </w:p>
        </w:tc>
        <w:tc>
          <w:tcPr>
            <w:tcW w:w="1410" w:type="dxa"/>
            <w:tcBorders>
              <w:top w:val="nil"/>
              <w:left w:val="nil"/>
              <w:bottom w:val="single" w:color="auto" w:sz="4" w:space="0"/>
              <w:right w:val="single" w:color="auto" w:sz="4" w:space="0"/>
            </w:tcBorders>
            <w:noWrap w:val="0"/>
            <w:vAlign w:val="center"/>
          </w:tcPr>
          <w:p w14:paraId="26E847AE">
            <w:pPr>
              <w:spacing w:line="240" w:lineRule="exact"/>
              <w:jc w:val="center"/>
              <w:rPr>
                <w:rFonts w:hint="default" w:ascii="宋体" w:hAnsi="宋体" w:eastAsia="宋体" w:cs="宋体"/>
                <w:color w:val="auto"/>
                <w:kern w:val="0"/>
                <w:sz w:val="24"/>
                <w:highlight w:val="none"/>
                <w:lang w:val="en-US" w:eastAsia="zh-CN"/>
              </w:rPr>
            </w:pPr>
            <w:r>
              <w:rPr>
                <w:rFonts w:hint="eastAsia" w:ascii="宋体" w:hAnsi="宋体" w:cs="宋体"/>
                <w:bCs/>
                <w:color w:val="auto"/>
                <w:sz w:val="24"/>
                <w:highlight w:val="none"/>
                <w:lang w:val="en-US" w:eastAsia="zh-CN"/>
              </w:rPr>
              <w:t>60000</w:t>
            </w:r>
          </w:p>
        </w:tc>
        <w:tc>
          <w:tcPr>
            <w:tcW w:w="1440" w:type="dxa"/>
            <w:vMerge w:val="continue"/>
            <w:tcBorders>
              <w:left w:val="nil"/>
              <w:right w:val="single" w:color="auto" w:sz="4" w:space="0"/>
            </w:tcBorders>
            <w:noWrap w:val="0"/>
            <w:vAlign w:val="center"/>
          </w:tcPr>
          <w:p w14:paraId="286F57C8">
            <w:pPr>
              <w:widowControl/>
              <w:spacing w:line="280" w:lineRule="exact"/>
              <w:jc w:val="center"/>
              <w:rPr>
                <w:rFonts w:hint="eastAsia" w:ascii="宋体" w:hAnsi="宋体" w:cs="宋体"/>
                <w:color w:val="auto"/>
                <w:kern w:val="0"/>
                <w:sz w:val="24"/>
                <w:highlight w:val="none"/>
              </w:rPr>
            </w:pPr>
          </w:p>
        </w:tc>
        <w:tc>
          <w:tcPr>
            <w:tcW w:w="2265" w:type="dxa"/>
            <w:vMerge w:val="continue"/>
            <w:tcBorders>
              <w:left w:val="nil"/>
              <w:right w:val="single" w:color="auto" w:sz="4" w:space="0"/>
            </w:tcBorders>
            <w:noWrap w:val="0"/>
            <w:vAlign w:val="center"/>
          </w:tcPr>
          <w:p w14:paraId="00429271">
            <w:pPr>
              <w:widowControl/>
              <w:spacing w:line="280" w:lineRule="exact"/>
              <w:jc w:val="center"/>
              <w:rPr>
                <w:rFonts w:hint="eastAsia" w:ascii="宋体" w:hAnsi="宋体" w:cs="宋体"/>
                <w:color w:val="auto"/>
                <w:kern w:val="0"/>
                <w:sz w:val="24"/>
                <w:highlight w:val="none"/>
              </w:rPr>
            </w:pPr>
          </w:p>
        </w:tc>
        <w:tc>
          <w:tcPr>
            <w:tcW w:w="705" w:type="dxa"/>
            <w:vMerge w:val="continue"/>
            <w:tcBorders>
              <w:left w:val="nil"/>
              <w:right w:val="single" w:color="auto" w:sz="4" w:space="0"/>
            </w:tcBorders>
            <w:noWrap w:val="0"/>
            <w:vAlign w:val="center"/>
          </w:tcPr>
          <w:p w14:paraId="3DF7FDE2">
            <w:pPr>
              <w:widowControl/>
              <w:spacing w:line="280" w:lineRule="exact"/>
              <w:jc w:val="center"/>
              <w:rPr>
                <w:rFonts w:hint="eastAsia" w:ascii="宋体" w:hAnsi="宋体" w:cs="宋体"/>
                <w:color w:val="auto"/>
                <w:kern w:val="0"/>
                <w:sz w:val="24"/>
                <w:highlight w:val="none"/>
              </w:rPr>
            </w:pPr>
          </w:p>
        </w:tc>
      </w:tr>
      <w:tr w14:paraId="428011D9">
        <w:tblPrEx>
          <w:tblCellMar>
            <w:top w:w="0" w:type="dxa"/>
            <w:left w:w="108" w:type="dxa"/>
            <w:bottom w:w="0" w:type="dxa"/>
            <w:right w:w="108" w:type="dxa"/>
          </w:tblCellMar>
        </w:tblPrEx>
        <w:trPr>
          <w:trHeight w:val="737" w:hRule="exact"/>
        </w:trPr>
        <w:tc>
          <w:tcPr>
            <w:tcW w:w="552" w:type="dxa"/>
            <w:vMerge w:val="continue"/>
            <w:tcBorders>
              <w:left w:val="single" w:color="auto" w:sz="4" w:space="0"/>
              <w:bottom w:val="single" w:color="auto" w:sz="4" w:space="0"/>
              <w:right w:val="single" w:color="auto" w:sz="4" w:space="0"/>
            </w:tcBorders>
            <w:noWrap w:val="0"/>
            <w:vAlign w:val="center"/>
          </w:tcPr>
          <w:p w14:paraId="01A4131A">
            <w:pPr>
              <w:widowControl/>
              <w:spacing w:line="280" w:lineRule="exact"/>
              <w:jc w:val="center"/>
              <w:rPr>
                <w:rFonts w:hint="eastAsia" w:ascii="宋体" w:hAnsi="宋体" w:cs="宋体"/>
                <w:color w:val="auto"/>
                <w:kern w:val="0"/>
                <w:sz w:val="24"/>
                <w:highlight w:val="none"/>
              </w:rPr>
            </w:pPr>
          </w:p>
        </w:tc>
        <w:tc>
          <w:tcPr>
            <w:tcW w:w="1137" w:type="dxa"/>
            <w:vMerge w:val="continue"/>
            <w:tcBorders>
              <w:left w:val="nil"/>
              <w:bottom w:val="single" w:color="auto" w:sz="4" w:space="0"/>
              <w:right w:val="single" w:color="auto" w:sz="4" w:space="0"/>
            </w:tcBorders>
            <w:noWrap w:val="0"/>
            <w:vAlign w:val="center"/>
          </w:tcPr>
          <w:p w14:paraId="5013247C">
            <w:pPr>
              <w:widowControl/>
              <w:spacing w:line="280" w:lineRule="exact"/>
              <w:jc w:val="center"/>
              <w:rPr>
                <w:rFonts w:hint="eastAsia" w:ascii="宋体" w:hAnsi="宋体" w:cs="Arial"/>
                <w:bCs/>
                <w:color w:val="auto"/>
                <w:sz w:val="24"/>
                <w:highlight w:val="none"/>
              </w:rPr>
            </w:pPr>
          </w:p>
        </w:tc>
        <w:tc>
          <w:tcPr>
            <w:tcW w:w="2325" w:type="dxa"/>
            <w:tcBorders>
              <w:top w:val="nil"/>
              <w:left w:val="nil"/>
              <w:bottom w:val="single" w:color="auto" w:sz="4" w:space="0"/>
              <w:right w:val="single" w:color="auto" w:sz="4" w:space="0"/>
            </w:tcBorders>
            <w:noWrap w:val="0"/>
            <w:vAlign w:val="center"/>
          </w:tcPr>
          <w:p w14:paraId="1FFDCB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highlight w:val="none"/>
              </w:rPr>
            </w:pPr>
            <w:r>
              <w:rPr>
                <w:rFonts w:hint="eastAsia" w:ascii="宋体" w:hAnsi="宋体" w:eastAsia="宋体" w:cs="Arial"/>
                <w:bCs/>
                <w:color w:val="auto"/>
                <w:sz w:val="24"/>
                <w:highlight w:val="none"/>
              </w:rPr>
              <w:t>26.5-32（网规格32*32mm）</w:t>
            </w:r>
          </w:p>
        </w:tc>
        <w:tc>
          <w:tcPr>
            <w:tcW w:w="1410" w:type="dxa"/>
            <w:tcBorders>
              <w:top w:val="nil"/>
              <w:left w:val="nil"/>
              <w:bottom w:val="single" w:color="auto" w:sz="4" w:space="0"/>
              <w:right w:val="single" w:color="auto" w:sz="4" w:space="0"/>
            </w:tcBorders>
            <w:noWrap w:val="0"/>
            <w:vAlign w:val="center"/>
          </w:tcPr>
          <w:p w14:paraId="41F05441">
            <w:pPr>
              <w:spacing w:line="240" w:lineRule="exact"/>
              <w:jc w:val="center"/>
              <w:rPr>
                <w:rFonts w:hint="default" w:ascii="宋体" w:hAnsi="宋体" w:eastAsia="宋体" w:cs="宋体"/>
                <w:color w:val="auto"/>
                <w:kern w:val="0"/>
                <w:sz w:val="24"/>
                <w:highlight w:val="none"/>
                <w:lang w:val="en-US" w:eastAsia="zh-CN"/>
              </w:rPr>
            </w:pPr>
            <w:r>
              <w:rPr>
                <w:rFonts w:hint="eastAsia" w:ascii="宋体" w:hAnsi="宋体" w:cs="宋体"/>
                <w:bCs/>
                <w:color w:val="auto"/>
                <w:sz w:val="24"/>
                <w:highlight w:val="none"/>
                <w:lang w:val="en-US" w:eastAsia="zh-CN"/>
              </w:rPr>
              <w:t>20000</w:t>
            </w:r>
          </w:p>
        </w:tc>
        <w:tc>
          <w:tcPr>
            <w:tcW w:w="1440" w:type="dxa"/>
            <w:vMerge w:val="continue"/>
            <w:tcBorders>
              <w:left w:val="nil"/>
              <w:bottom w:val="single" w:color="auto" w:sz="4" w:space="0"/>
              <w:right w:val="single" w:color="auto" w:sz="4" w:space="0"/>
            </w:tcBorders>
            <w:noWrap w:val="0"/>
            <w:vAlign w:val="center"/>
          </w:tcPr>
          <w:p w14:paraId="686CA9AC">
            <w:pPr>
              <w:widowControl/>
              <w:spacing w:line="280" w:lineRule="exact"/>
              <w:jc w:val="center"/>
              <w:rPr>
                <w:rFonts w:hint="eastAsia" w:ascii="宋体" w:hAnsi="宋体" w:cs="宋体"/>
                <w:color w:val="auto"/>
                <w:kern w:val="0"/>
                <w:sz w:val="24"/>
                <w:highlight w:val="none"/>
              </w:rPr>
            </w:pPr>
          </w:p>
        </w:tc>
        <w:tc>
          <w:tcPr>
            <w:tcW w:w="2265" w:type="dxa"/>
            <w:vMerge w:val="continue"/>
            <w:tcBorders>
              <w:left w:val="nil"/>
              <w:bottom w:val="single" w:color="auto" w:sz="4" w:space="0"/>
              <w:right w:val="single" w:color="auto" w:sz="4" w:space="0"/>
            </w:tcBorders>
            <w:noWrap w:val="0"/>
            <w:vAlign w:val="center"/>
          </w:tcPr>
          <w:p w14:paraId="15B1F713">
            <w:pPr>
              <w:widowControl/>
              <w:spacing w:line="280" w:lineRule="exact"/>
              <w:jc w:val="center"/>
              <w:rPr>
                <w:rFonts w:hint="eastAsia" w:ascii="宋体" w:hAnsi="宋体" w:cs="宋体"/>
                <w:color w:val="auto"/>
                <w:kern w:val="0"/>
                <w:sz w:val="24"/>
                <w:highlight w:val="none"/>
              </w:rPr>
            </w:pPr>
          </w:p>
        </w:tc>
        <w:tc>
          <w:tcPr>
            <w:tcW w:w="705" w:type="dxa"/>
            <w:vMerge w:val="continue"/>
            <w:tcBorders>
              <w:left w:val="nil"/>
              <w:bottom w:val="single" w:color="auto" w:sz="4" w:space="0"/>
              <w:right w:val="single" w:color="auto" w:sz="4" w:space="0"/>
            </w:tcBorders>
            <w:noWrap w:val="0"/>
            <w:vAlign w:val="center"/>
          </w:tcPr>
          <w:p w14:paraId="50E9E1A3">
            <w:pPr>
              <w:widowControl/>
              <w:spacing w:line="280" w:lineRule="exact"/>
              <w:jc w:val="center"/>
              <w:rPr>
                <w:rFonts w:hint="eastAsia" w:ascii="宋体" w:hAnsi="宋体" w:cs="宋体"/>
                <w:color w:val="auto"/>
                <w:kern w:val="0"/>
                <w:sz w:val="24"/>
                <w:highlight w:val="none"/>
              </w:rPr>
            </w:pPr>
          </w:p>
        </w:tc>
      </w:tr>
      <w:tr w14:paraId="70376814">
        <w:tblPrEx>
          <w:tblCellMar>
            <w:top w:w="0" w:type="dxa"/>
            <w:left w:w="108" w:type="dxa"/>
            <w:bottom w:w="0" w:type="dxa"/>
            <w:right w:w="108" w:type="dxa"/>
          </w:tblCellMar>
        </w:tblPrEx>
        <w:trPr>
          <w:trHeight w:val="1134" w:hRule="exact"/>
        </w:trPr>
        <w:tc>
          <w:tcPr>
            <w:tcW w:w="552" w:type="dxa"/>
            <w:tcBorders>
              <w:top w:val="single" w:color="auto" w:sz="4" w:space="0"/>
              <w:left w:val="single" w:color="auto" w:sz="4" w:space="0"/>
              <w:bottom w:val="single" w:color="auto" w:sz="4" w:space="0"/>
              <w:right w:val="single" w:color="auto" w:sz="4" w:space="0"/>
            </w:tcBorders>
            <w:noWrap w:val="0"/>
            <w:vAlign w:val="center"/>
          </w:tcPr>
          <w:p w14:paraId="5857B2B0">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2</w:t>
            </w:r>
          </w:p>
        </w:tc>
        <w:tc>
          <w:tcPr>
            <w:tcW w:w="9282" w:type="dxa"/>
            <w:gridSpan w:val="6"/>
            <w:tcBorders>
              <w:left w:val="nil"/>
              <w:bottom w:val="single" w:color="auto" w:sz="4" w:space="0"/>
              <w:right w:val="single" w:color="auto" w:sz="4" w:space="0"/>
            </w:tcBorders>
            <w:noWrap w:val="0"/>
            <w:vAlign w:val="center"/>
          </w:tcPr>
          <w:p w14:paraId="240A66EF">
            <w:pPr>
              <w:widowControl/>
              <w:spacing w:line="280" w:lineRule="exact"/>
              <w:jc w:val="left"/>
              <w:rPr>
                <w:rFonts w:hint="eastAsia" w:ascii="宋体" w:hAnsi="宋体" w:cs="宋体"/>
                <w:color w:val="auto"/>
                <w:sz w:val="24"/>
                <w:highlight w:val="none"/>
              </w:rPr>
            </w:pPr>
            <w:r>
              <w:rPr>
                <w:rFonts w:hint="eastAsia" w:ascii="宋体" w:hAnsi="宋体" w:cs="宋体"/>
                <w:color w:val="auto"/>
                <w:sz w:val="24"/>
                <w:highlight w:val="none"/>
              </w:rPr>
              <w:t>投标总价：大写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元（￥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元）</w:t>
            </w:r>
          </w:p>
        </w:tc>
      </w:tr>
    </w:tbl>
    <w:p w14:paraId="5B31163E">
      <w:pPr>
        <w:pStyle w:val="25"/>
        <w:keepNext w:val="0"/>
        <w:keepLines w:val="0"/>
        <w:pageBreakBefore w:val="0"/>
        <w:widowControl w:val="0"/>
        <w:tabs>
          <w:tab w:val="left" w:pos="900"/>
        </w:tabs>
        <w:kinsoku/>
        <w:wordWrap/>
        <w:overflowPunct/>
        <w:topLinePunct w:val="0"/>
        <w:autoSpaceDE/>
        <w:autoSpaceDN/>
        <w:bidi w:val="0"/>
        <w:adjustRightInd/>
        <w:snapToGrid w:val="0"/>
        <w:spacing w:line="400" w:lineRule="exact"/>
        <w:jc w:val="left"/>
        <w:textAlignment w:val="auto"/>
        <w:rPr>
          <w:rFonts w:hint="eastAsia" w:ascii="宋体" w:hAnsi="宋体"/>
          <w:b/>
          <w:bCs/>
          <w:color w:val="auto"/>
          <w:sz w:val="24"/>
          <w:highlight w:val="none"/>
          <w:lang w:val="en-US" w:eastAsia="zh-CN"/>
        </w:rPr>
      </w:pPr>
      <w:r>
        <w:rPr>
          <w:rFonts w:hint="eastAsia" w:ascii="宋体" w:hAnsi="宋体" w:cs="宋体"/>
          <w:b/>
          <w:bCs/>
          <w:color w:val="auto"/>
          <w:sz w:val="24"/>
          <w:highlight w:val="none"/>
        </w:rPr>
        <w:t>注：</w:t>
      </w:r>
      <w:r>
        <w:rPr>
          <w:rFonts w:hint="eastAsia" w:ascii="宋体" w:hAnsi="宋体" w:cs="宋体"/>
          <w:color w:val="auto"/>
          <w:sz w:val="24"/>
          <w:highlight w:val="none"/>
        </w:rPr>
        <w:t>1.</w:t>
      </w:r>
      <w:r>
        <w:rPr>
          <w:rFonts w:hint="eastAsia" w:ascii="宋体" w:hAnsi="宋体"/>
          <w:b/>
          <w:bCs/>
          <w:color w:val="auto"/>
          <w:sz w:val="24"/>
          <w:highlight w:val="none"/>
          <w:lang w:val="en-US" w:eastAsia="zh-CN"/>
        </w:rPr>
        <w:t>本项目采购预算为人民币29900000元，超过预算的报价作无效标处理。</w:t>
      </w:r>
    </w:p>
    <w:p w14:paraId="5C8DED6D">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投标人</w:t>
      </w:r>
      <w:r>
        <w:rPr>
          <w:rFonts w:hint="eastAsia" w:ascii="宋体" w:hAnsi="宋体" w:eastAsia="宋体" w:cs="宋体"/>
          <w:color w:val="auto"/>
          <w:sz w:val="24"/>
          <w:highlight w:val="none"/>
        </w:rPr>
        <w:t>根据</w:t>
      </w:r>
      <w:r>
        <w:rPr>
          <w:rFonts w:hint="eastAsia" w:ascii="宋体" w:hAnsi="宋体" w:cs="宋体"/>
          <w:color w:val="auto"/>
          <w:sz w:val="24"/>
          <w:highlight w:val="none"/>
        </w:rPr>
        <w:t>实际情况可在表中报价明细的基础上进行扩展。</w:t>
      </w:r>
    </w:p>
    <w:p w14:paraId="26D506C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.上表所述“总报价”应与“开标一览表”中的总报价一致，如有矛盾，以“开标一览表”中的为准。</w:t>
      </w:r>
    </w:p>
    <w:p w14:paraId="52176995">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结算时需提供税率为13%的增值税专用发票。</w:t>
      </w:r>
    </w:p>
    <w:p w14:paraId="684A685E">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宋体" w:hAnsi="宋体" w:eastAsia="宋体" w:cs="宋体"/>
          <w:color w:val="auto"/>
          <w:sz w:val="24"/>
          <w:highlight w:val="none"/>
          <w:lang w:val="en-US" w:eastAsia="zh-CN"/>
        </w:rPr>
      </w:pPr>
    </w:p>
    <w:p w14:paraId="396DC671">
      <w:pPr>
        <w:snapToGrid w:val="0"/>
        <w:spacing w:line="360" w:lineRule="auto"/>
        <w:rPr>
          <w:rFonts w:hint="eastAsia" w:ascii="宋体" w:hAnsi="宋体" w:cs="宋体"/>
          <w:color w:val="auto"/>
          <w:sz w:val="24"/>
          <w:highlight w:val="none"/>
        </w:rPr>
      </w:pPr>
    </w:p>
    <w:p w14:paraId="30915810">
      <w:pPr>
        <w:pStyle w:val="44"/>
        <w:rPr>
          <w:rFonts w:hint="eastAsia"/>
          <w:color w:val="auto"/>
          <w:highlight w:val="none"/>
        </w:rPr>
      </w:pPr>
    </w:p>
    <w:p w14:paraId="6CE9949B">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14:paraId="67153B04">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14:paraId="46A33839">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14:paraId="5288EA9B">
      <w:pPr>
        <w:bidi w:val="0"/>
        <w:rPr>
          <w:rFonts w:hint="eastAsia"/>
          <w:color w:val="auto"/>
          <w:highlight w:val="none"/>
        </w:rPr>
      </w:pPr>
      <w:bookmarkStart w:id="267" w:name="_Toc19861"/>
      <w:bookmarkStart w:id="268" w:name="_Toc28316"/>
      <w:bookmarkStart w:id="269" w:name="_Toc29263"/>
      <w:bookmarkStart w:id="270" w:name="_Toc1813"/>
    </w:p>
    <w:p w14:paraId="1911E002">
      <w:pPr>
        <w:pStyle w:val="44"/>
        <w:rPr>
          <w:rFonts w:hint="eastAsia"/>
          <w:color w:val="auto"/>
          <w:highlight w:val="none"/>
        </w:rPr>
      </w:pPr>
    </w:p>
    <w:p w14:paraId="38BBAECE">
      <w:pPr>
        <w:numPr>
          <w:ilvl w:val="0"/>
          <w:numId w:val="17"/>
        </w:numPr>
        <w:bidi w:val="0"/>
        <w:jc w:val="center"/>
        <w:outlineLvl w:val="0"/>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 xml:space="preserve">  </w:t>
      </w:r>
      <w:bookmarkStart w:id="271" w:name="_Toc20603"/>
      <w:bookmarkStart w:id="272" w:name="_Toc3989"/>
      <w:r>
        <w:rPr>
          <w:rFonts w:hint="eastAsia" w:ascii="宋体" w:hAnsi="宋体" w:eastAsia="宋体" w:cs="宋体"/>
          <w:b/>
          <w:color w:val="auto"/>
          <w:kern w:val="2"/>
          <w:sz w:val="28"/>
          <w:szCs w:val="28"/>
          <w:highlight w:val="none"/>
          <w:lang w:val="en-US" w:eastAsia="zh-CN" w:bidi="ar-SA"/>
        </w:rPr>
        <w:t>其它</w:t>
      </w:r>
      <w:bookmarkEnd w:id="267"/>
      <w:bookmarkEnd w:id="268"/>
      <w:bookmarkEnd w:id="269"/>
      <w:bookmarkEnd w:id="270"/>
      <w:bookmarkEnd w:id="271"/>
      <w:bookmarkEnd w:id="272"/>
    </w:p>
    <w:p w14:paraId="0211A28D">
      <w:pPr>
        <w:pStyle w:val="103"/>
        <w:widowControl w:val="0"/>
        <w:snapToGrid w:val="0"/>
        <w:spacing w:line="500" w:lineRule="exact"/>
        <w:jc w:val="center"/>
        <w:rPr>
          <w:rFonts w:hAnsi="宋体" w:cs="宋体"/>
          <w:b/>
          <w:color w:val="auto"/>
          <w:sz w:val="28"/>
          <w:szCs w:val="28"/>
          <w:highlight w:val="none"/>
        </w:rPr>
      </w:pPr>
      <w:r>
        <w:rPr>
          <w:rFonts w:hAnsi="宋体" w:cs="宋体"/>
          <w:b/>
          <w:color w:val="auto"/>
          <w:sz w:val="28"/>
          <w:szCs w:val="28"/>
          <w:highlight w:val="none"/>
        </w:rPr>
        <w:t>采购活动现场确认声明书</w:t>
      </w:r>
    </w:p>
    <w:p w14:paraId="71344884">
      <w:pPr>
        <w:pStyle w:val="103"/>
        <w:widowControl w:val="0"/>
        <w:adjustRightInd w:val="0"/>
        <w:snapToGrid w:val="0"/>
        <w:spacing w:line="360" w:lineRule="auto"/>
        <w:jc w:val="both"/>
        <w:rPr>
          <w:rFonts w:hAnsi="宋体" w:cs="宋体"/>
          <w:color w:val="auto"/>
          <w:kern w:val="0"/>
          <w:szCs w:val="21"/>
          <w:highlight w:val="none"/>
          <w:u w:val="single"/>
        </w:rPr>
      </w:pPr>
    </w:p>
    <w:p w14:paraId="0C1072B3">
      <w:pPr>
        <w:pStyle w:val="103"/>
        <w:widowControl w:val="0"/>
        <w:adjustRightInd w:val="0"/>
        <w:snapToGrid w:val="0"/>
        <w:spacing w:line="360" w:lineRule="auto"/>
        <w:jc w:val="both"/>
        <w:rPr>
          <w:rFonts w:hAnsi="宋体" w:cs="宋体"/>
          <w:color w:val="auto"/>
          <w:kern w:val="0"/>
          <w:szCs w:val="21"/>
          <w:highlight w:val="none"/>
        </w:rPr>
      </w:pPr>
      <w:r>
        <w:rPr>
          <w:rFonts w:hint="eastAsia" w:hAnsi="宋体" w:cs="宋体"/>
          <w:color w:val="auto"/>
          <w:kern w:val="0"/>
          <w:szCs w:val="21"/>
          <w:highlight w:val="none"/>
          <w:u w:val="single"/>
          <w:lang w:eastAsia="zh-CN"/>
        </w:rPr>
        <w:t>浦江县交投贸易有限公司</w:t>
      </w:r>
      <w:r>
        <w:rPr>
          <w:rFonts w:hAnsi="宋体" w:cs="宋体"/>
          <w:color w:val="auto"/>
          <w:kern w:val="0"/>
          <w:szCs w:val="21"/>
          <w:highlight w:val="none"/>
        </w:rPr>
        <w:t>：</w:t>
      </w:r>
    </w:p>
    <w:p w14:paraId="555ED283">
      <w:pPr>
        <w:pStyle w:val="103"/>
        <w:widowControl w:val="0"/>
        <w:adjustRightInd w:val="0"/>
        <w:snapToGrid w:val="0"/>
        <w:spacing w:line="360" w:lineRule="auto"/>
        <w:jc w:val="both"/>
        <w:rPr>
          <w:rFonts w:hAnsi="宋体" w:cs="宋体"/>
          <w:color w:val="auto"/>
          <w:kern w:val="0"/>
          <w:szCs w:val="21"/>
          <w:highlight w:val="none"/>
        </w:rPr>
      </w:pPr>
      <w:r>
        <w:rPr>
          <w:rFonts w:hAnsi="宋体" w:cs="宋体"/>
          <w:color w:val="auto"/>
          <w:kern w:val="0"/>
          <w:szCs w:val="21"/>
          <w:highlight w:val="none"/>
          <w:u w:val="single"/>
        </w:rPr>
        <w:t>浦江县产权交易有限公司</w:t>
      </w:r>
      <w:r>
        <w:rPr>
          <w:rFonts w:hAnsi="宋体" w:cs="宋体"/>
          <w:color w:val="auto"/>
          <w:kern w:val="0"/>
          <w:szCs w:val="21"/>
          <w:highlight w:val="none"/>
        </w:rPr>
        <w:t>：</w:t>
      </w:r>
    </w:p>
    <w:p w14:paraId="695615C3">
      <w:pPr>
        <w:pStyle w:val="103"/>
        <w:widowControl w:val="0"/>
        <w:adjustRightInd w:val="0"/>
        <w:snapToGrid w:val="0"/>
        <w:spacing w:line="360" w:lineRule="auto"/>
        <w:ind w:firstLine="444" w:firstLineChars="200"/>
        <w:jc w:val="both"/>
        <w:rPr>
          <w:rFonts w:hAnsi="宋体" w:cs="宋体"/>
          <w:color w:val="auto"/>
          <w:spacing w:val="6"/>
          <w:szCs w:val="21"/>
          <w:highlight w:val="none"/>
        </w:rPr>
      </w:pPr>
      <w:r>
        <w:rPr>
          <w:rFonts w:hAnsi="宋体" w:cs="宋体"/>
          <w:color w:val="auto"/>
          <w:spacing w:val="6"/>
          <w:szCs w:val="21"/>
          <w:highlight w:val="none"/>
        </w:rPr>
        <w:t>本人经由</w:t>
      </w:r>
      <w:r>
        <w:rPr>
          <w:rFonts w:hAnsi="宋体" w:cs="宋体"/>
          <w:color w:val="auto"/>
          <w:spacing w:val="6"/>
          <w:szCs w:val="21"/>
          <w:highlight w:val="none"/>
          <w:u w:val="single"/>
        </w:rPr>
        <w:t xml:space="preserve">                    （单位）</w:t>
      </w:r>
      <w:r>
        <w:rPr>
          <w:rFonts w:hAnsi="宋体" w:cs="宋体"/>
          <w:color w:val="auto"/>
          <w:spacing w:val="6"/>
          <w:szCs w:val="21"/>
          <w:highlight w:val="none"/>
        </w:rPr>
        <w:t>负责人</w:t>
      </w:r>
      <w:r>
        <w:rPr>
          <w:rFonts w:hAnsi="宋体" w:cs="宋体"/>
          <w:color w:val="auto"/>
          <w:spacing w:val="6"/>
          <w:szCs w:val="21"/>
          <w:highlight w:val="none"/>
          <w:u w:val="single"/>
        </w:rPr>
        <w:t xml:space="preserve">        （姓名）</w:t>
      </w:r>
      <w:r>
        <w:rPr>
          <w:rFonts w:hAnsi="宋体" w:cs="宋体"/>
          <w:color w:val="auto"/>
          <w:spacing w:val="6"/>
          <w:szCs w:val="21"/>
          <w:highlight w:val="none"/>
        </w:rPr>
        <w:t>合法授权参加</w:t>
      </w:r>
      <w:r>
        <w:rPr>
          <w:rFonts w:hint="eastAsia" w:hAnsi="宋体" w:cs="宋体"/>
          <w:color w:val="auto"/>
          <w:spacing w:val="6"/>
          <w:szCs w:val="21"/>
          <w:highlight w:val="none"/>
          <w:u w:val="single"/>
          <w:lang w:eastAsia="zh-CN"/>
        </w:rPr>
        <w:t>浦江县交投贸易有限公司2024年-2025年石灰岩采购项目</w:t>
      </w:r>
      <w:r>
        <w:rPr>
          <w:rFonts w:hAnsi="宋体" w:cs="宋体"/>
          <w:color w:val="auto"/>
          <w:spacing w:val="6"/>
          <w:szCs w:val="21"/>
          <w:highlight w:val="none"/>
        </w:rPr>
        <w:t>（编号：</w:t>
      </w:r>
      <w:r>
        <w:rPr>
          <w:rFonts w:hint="eastAsia" w:hAnsi="宋体" w:cs="宋体"/>
          <w:color w:val="auto"/>
          <w:spacing w:val="6"/>
          <w:szCs w:val="21"/>
          <w:highlight w:val="none"/>
          <w:u w:val="single"/>
          <w:lang w:eastAsia="zh-CN"/>
        </w:rPr>
        <w:t>PJCQGK(JTMY)2024-1030A</w:t>
      </w:r>
      <w:r>
        <w:rPr>
          <w:rFonts w:hAnsi="宋体" w:cs="宋体"/>
          <w:color w:val="auto"/>
          <w:spacing w:val="6"/>
          <w:szCs w:val="21"/>
          <w:highlight w:val="none"/>
        </w:rPr>
        <w:t xml:space="preserve">）采购活动，经与本单位法人代表（负责人）联系确认，现就有关公平竞争事项郑重声明如下： </w:t>
      </w:r>
    </w:p>
    <w:p w14:paraId="5C94154C">
      <w:pPr>
        <w:pStyle w:val="104"/>
        <w:widowControl/>
        <w:numPr>
          <w:ilvl w:val="0"/>
          <w:numId w:val="18"/>
        </w:numPr>
        <w:adjustRightInd w:val="0"/>
        <w:snapToGrid w:val="0"/>
        <w:spacing w:line="360" w:lineRule="auto"/>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7298D5DB">
      <w:pPr>
        <w:pStyle w:val="104"/>
        <w:widowControl/>
        <w:adjustRightInd w:val="0"/>
        <w:snapToGrid w:val="0"/>
        <w:spacing w:line="360" w:lineRule="auto"/>
        <w:ind w:firstLine="200"/>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0CEDFF71">
      <w:pPr>
        <w:pStyle w:val="104"/>
        <w:widowControl/>
        <w:adjustRightInd w:val="0"/>
        <w:snapToGrid w:val="0"/>
        <w:spacing w:line="360" w:lineRule="auto"/>
        <w:ind w:firstLine="200"/>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64E8FCDF">
      <w:pPr>
        <w:pStyle w:val="104"/>
        <w:widowControl/>
        <w:adjustRightInd w:val="0"/>
        <w:snapToGrid w:val="0"/>
        <w:spacing w:line="360" w:lineRule="auto"/>
        <w:ind w:firstLine="200"/>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现已清楚知道参加本项目采购活动的其他所有投标人名称，本单位 □与其他所有投标人之间均不存在利害关系 □与</w:t>
      </w:r>
      <w:r>
        <w:rPr>
          <w:rFonts w:ascii="宋体" w:hAnsi="宋体" w:cs="宋体"/>
          <w:color w:val="auto"/>
          <w:kern w:val="0"/>
          <w:szCs w:val="21"/>
          <w:highlight w:val="none"/>
          <w:u w:val="single"/>
        </w:rPr>
        <w:t xml:space="preserve">           （投标人名称）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095F4E4F">
      <w:pPr>
        <w:pStyle w:val="103"/>
        <w:widowControl w:val="0"/>
        <w:adjustRightInd w:val="0"/>
        <w:snapToGrid w:val="0"/>
        <w:spacing w:line="360" w:lineRule="auto"/>
        <w:ind w:firstLine="200"/>
        <w:jc w:val="both"/>
        <w:rPr>
          <w:rFonts w:hAnsi="宋体" w:cs="宋体"/>
          <w:color w:val="auto"/>
          <w:kern w:val="0"/>
          <w:szCs w:val="21"/>
          <w:highlight w:val="none"/>
        </w:rPr>
      </w:pPr>
      <w:r>
        <w:rPr>
          <w:rFonts w:hAnsi="宋体" w:cs="宋体"/>
          <w:color w:val="auto"/>
          <w:kern w:val="0"/>
          <w:szCs w:val="21"/>
          <w:highlight w:val="none"/>
        </w:rPr>
        <w:t xml:space="preserve">  A.法定代表人或负责人或实际控制人是同一人</w:t>
      </w:r>
    </w:p>
    <w:p w14:paraId="7152AC5C">
      <w:pPr>
        <w:pStyle w:val="103"/>
        <w:widowControl w:val="0"/>
        <w:adjustRightInd w:val="0"/>
        <w:snapToGrid w:val="0"/>
        <w:spacing w:line="360" w:lineRule="auto"/>
        <w:ind w:firstLine="200"/>
        <w:jc w:val="both"/>
        <w:rPr>
          <w:rFonts w:hAnsi="宋体" w:cs="宋体"/>
          <w:color w:val="auto"/>
          <w:spacing w:val="6"/>
          <w:szCs w:val="21"/>
          <w:highlight w:val="none"/>
        </w:rPr>
      </w:pPr>
      <w:r>
        <w:rPr>
          <w:rFonts w:hAnsi="宋体" w:cs="宋体"/>
          <w:color w:val="auto"/>
          <w:kern w:val="0"/>
          <w:szCs w:val="21"/>
          <w:highlight w:val="none"/>
        </w:rPr>
        <w:t xml:space="preserve">  B.法定代表人或负责人或实际控制人是夫妻关系</w:t>
      </w:r>
    </w:p>
    <w:p w14:paraId="6F0C70C1">
      <w:pPr>
        <w:pStyle w:val="103"/>
        <w:widowControl w:val="0"/>
        <w:adjustRightInd w:val="0"/>
        <w:snapToGrid w:val="0"/>
        <w:spacing w:line="360" w:lineRule="auto"/>
        <w:ind w:firstLine="200"/>
        <w:jc w:val="both"/>
        <w:rPr>
          <w:rFonts w:hAnsi="宋体" w:cs="宋体"/>
          <w:color w:val="auto"/>
          <w:spacing w:val="6"/>
          <w:szCs w:val="21"/>
          <w:highlight w:val="none"/>
        </w:rPr>
      </w:pPr>
      <w:r>
        <w:rPr>
          <w:rFonts w:hAnsi="宋体" w:cs="宋体"/>
          <w:color w:val="auto"/>
          <w:kern w:val="0"/>
          <w:szCs w:val="21"/>
          <w:highlight w:val="none"/>
        </w:rPr>
        <w:t xml:space="preserve">  C.法定代表人或负责人或实际控制人是直系血亲关系</w:t>
      </w:r>
    </w:p>
    <w:p w14:paraId="1DE0DF49">
      <w:pPr>
        <w:pStyle w:val="103"/>
        <w:widowControl w:val="0"/>
        <w:adjustRightInd w:val="0"/>
        <w:snapToGrid w:val="0"/>
        <w:spacing w:line="360" w:lineRule="auto"/>
        <w:ind w:firstLine="200"/>
        <w:jc w:val="both"/>
        <w:rPr>
          <w:rFonts w:hAnsi="宋体" w:cs="宋体"/>
          <w:color w:val="auto"/>
          <w:spacing w:val="6"/>
          <w:szCs w:val="21"/>
          <w:highlight w:val="none"/>
        </w:rPr>
      </w:pPr>
      <w:r>
        <w:rPr>
          <w:rFonts w:hAnsi="宋体" w:cs="宋体"/>
          <w:color w:val="auto"/>
          <w:kern w:val="0"/>
          <w:szCs w:val="21"/>
          <w:highlight w:val="none"/>
        </w:rPr>
        <w:t xml:space="preserve">  D.法定代表人或负责人或实际控制人存在三代以内旁系血亲关系</w:t>
      </w:r>
    </w:p>
    <w:p w14:paraId="252E4360">
      <w:pPr>
        <w:pStyle w:val="103"/>
        <w:widowControl w:val="0"/>
        <w:adjustRightInd w:val="0"/>
        <w:snapToGrid w:val="0"/>
        <w:spacing w:line="360" w:lineRule="auto"/>
        <w:ind w:firstLine="200"/>
        <w:jc w:val="both"/>
        <w:rPr>
          <w:rFonts w:hAnsi="宋体" w:cs="宋体"/>
          <w:color w:val="auto"/>
          <w:kern w:val="0"/>
          <w:szCs w:val="21"/>
          <w:highlight w:val="none"/>
        </w:rPr>
      </w:pPr>
      <w:r>
        <w:rPr>
          <w:rFonts w:hAnsi="宋体" w:cs="宋体"/>
          <w:color w:val="auto"/>
          <w:kern w:val="0"/>
          <w:szCs w:val="21"/>
          <w:highlight w:val="none"/>
        </w:rPr>
        <w:t xml:space="preserve">  E.法定代表人或负责人或实际控制人存在近姻亲关系</w:t>
      </w:r>
    </w:p>
    <w:p w14:paraId="25EE8BA1">
      <w:pPr>
        <w:pStyle w:val="103"/>
        <w:widowControl w:val="0"/>
        <w:adjustRightInd w:val="0"/>
        <w:snapToGrid w:val="0"/>
        <w:spacing w:line="360" w:lineRule="auto"/>
        <w:ind w:firstLine="200"/>
        <w:jc w:val="both"/>
        <w:rPr>
          <w:rFonts w:hAnsi="宋体" w:cs="宋体"/>
          <w:color w:val="auto"/>
          <w:kern w:val="0"/>
          <w:szCs w:val="21"/>
          <w:highlight w:val="none"/>
        </w:rPr>
      </w:pPr>
      <w:r>
        <w:rPr>
          <w:rFonts w:hAnsi="宋体" w:cs="宋体"/>
          <w:color w:val="auto"/>
          <w:kern w:val="0"/>
          <w:szCs w:val="21"/>
          <w:highlight w:val="none"/>
        </w:rPr>
        <w:t xml:space="preserve">  F.法定代表人或负责人或实际控制人存在股份控制或实际控制关系</w:t>
      </w:r>
    </w:p>
    <w:p w14:paraId="25B51FD6">
      <w:pPr>
        <w:pStyle w:val="103"/>
        <w:widowControl w:val="0"/>
        <w:adjustRightInd w:val="0"/>
        <w:snapToGrid w:val="0"/>
        <w:spacing w:line="360" w:lineRule="auto"/>
        <w:ind w:firstLine="200"/>
        <w:jc w:val="both"/>
        <w:rPr>
          <w:rFonts w:hAnsi="宋体" w:cs="宋体"/>
          <w:color w:val="auto"/>
          <w:kern w:val="0"/>
          <w:szCs w:val="21"/>
          <w:highlight w:val="none"/>
        </w:rPr>
      </w:pPr>
      <w:r>
        <w:rPr>
          <w:rFonts w:hAnsi="宋体" w:cs="宋体"/>
          <w:color w:val="auto"/>
          <w:kern w:val="0"/>
          <w:szCs w:val="21"/>
          <w:highlight w:val="none"/>
        </w:rPr>
        <w:t xml:space="preserve">  G.存在共同直接或间接投资设立子公司、联营企业和合营企业情况</w:t>
      </w:r>
    </w:p>
    <w:p w14:paraId="47FD0875">
      <w:pPr>
        <w:pStyle w:val="103"/>
        <w:widowControl w:val="0"/>
        <w:adjustRightInd w:val="0"/>
        <w:snapToGrid w:val="0"/>
        <w:spacing w:line="360" w:lineRule="auto"/>
        <w:ind w:firstLine="200"/>
        <w:jc w:val="both"/>
        <w:rPr>
          <w:rFonts w:hAnsi="宋体" w:cs="宋体"/>
          <w:color w:val="auto"/>
          <w:szCs w:val="21"/>
          <w:highlight w:val="none"/>
        </w:rPr>
      </w:pPr>
      <w:r>
        <w:rPr>
          <w:rFonts w:hAnsi="宋体" w:cs="宋体"/>
          <w:color w:val="auto"/>
          <w:kern w:val="0"/>
          <w:szCs w:val="21"/>
          <w:highlight w:val="none"/>
        </w:rPr>
        <w:t xml:space="preserve">  H.存在分级代理或代销关系、同一生产制造商关系、</w:t>
      </w:r>
      <w:r>
        <w:rPr>
          <w:rFonts w:hAnsi="宋体" w:cs="宋体"/>
          <w:color w:val="auto"/>
          <w:szCs w:val="21"/>
          <w:highlight w:val="none"/>
        </w:rPr>
        <w:t>管理关系、重要业务（占主营业务收入50%以上）或重要财务往来关系（如融资）等其他实质性控制关系</w:t>
      </w:r>
    </w:p>
    <w:p w14:paraId="14A787DB">
      <w:pPr>
        <w:pStyle w:val="103"/>
        <w:widowControl w:val="0"/>
        <w:adjustRightInd w:val="0"/>
        <w:snapToGrid w:val="0"/>
        <w:spacing w:line="360" w:lineRule="auto"/>
        <w:ind w:firstLine="200"/>
        <w:jc w:val="both"/>
        <w:rPr>
          <w:rFonts w:hAnsi="宋体" w:cs="宋体"/>
          <w:color w:val="auto"/>
          <w:spacing w:val="6"/>
          <w:szCs w:val="21"/>
          <w:highlight w:val="none"/>
        </w:rPr>
      </w:pPr>
      <w:r>
        <w:rPr>
          <w:rFonts w:hAnsi="宋体" w:cs="宋体"/>
          <w:color w:val="auto"/>
          <w:szCs w:val="21"/>
          <w:highlight w:val="none"/>
        </w:rPr>
        <w:t xml:space="preserve">   I</w:t>
      </w:r>
      <w:r>
        <w:rPr>
          <w:rFonts w:hAnsi="宋体" w:cs="宋体"/>
          <w:color w:val="auto"/>
          <w:kern w:val="0"/>
          <w:szCs w:val="21"/>
          <w:highlight w:val="none"/>
        </w:rPr>
        <w:t>.</w:t>
      </w:r>
      <w:r>
        <w:rPr>
          <w:rFonts w:hAnsi="宋体" w:cs="宋体"/>
          <w:color w:val="auto"/>
          <w:szCs w:val="21"/>
          <w:highlight w:val="none"/>
        </w:rPr>
        <w:t>其他利害关系情况</w:t>
      </w:r>
      <w:r>
        <w:rPr>
          <w:rFonts w:hAnsi="宋体" w:cs="宋体"/>
          <w:color w:val="auto"/>
          <w:szCs w:val="21"/>
          <w:highlight w:val="none"/>
          <w:u w:val="single"/>
        </w:rPr>
        <w:t xml:space="preserve">                              </w:t>
      </w:r>
      <w:r>
        <w:rPr>
          <w:rFonts w:hAnsi="宋体" w:cs="宋体"/>
          <w:color w:val="auto"/>
          <w:kern w:val="0"/>
          <w:szCs w:val="21"/>
          <w:highlight w:val="none"/>
        </w:rPr>
        <w:t>。</w:t>
      </w:r>
    </w:p>
    <w:p w14:paraId="55522CAB">
      <w:pPr>
        <w:pStyle w:val="104"/>
        <w:widowControl/>
        <w:numPr>
          <w:ilvl w:val="0"/>
          <w:numId w:val="19"/>
        </w:numPr>
        <w:adjustRightInd w:val="0"/>
        <w:snapToGrid w:val="0"/>
        <w:spacing w:line="360" w:lineRule="auto"/>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严格遵守采购法律法规和现场纪律。</w:t>
      </w:r>
    </w:p>
    <w:p w14:paraId="1BE91259">
      <w:pPr>
        <w:pStyle w:val="104"/>
        <w:widowControl/>
        <w:numPr>
          <w:ilvl w:val="0"/>
          <w:numId w:val="19"/>
        </w:numPr>
        <w:adjustRightInd w:val="0"/>
        <w:snapToGrid w:val="0"/>
        <w:spacing w:line="360" w:lineRule="auto"/>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投标人之间存在或可能存在上述第二条第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4AEC674B">
      <w:pPr>
        <w:pStyle w:val="104"/>
        <w:widowControl/>
        <w:numPr>
          <w:ilvl w:val="0"/>
          <w:numId w:val="19"/>
        </w:numPr>
        <w:adjustRightInd w:val="0"/>
        <w:snapToGrid w:val="0"/>
        <w:spacing w:line="360" w:lineRule="auto"/>
        <w:ind w:firstLine="396" w:firstLineChars="189"/>
        <w:rPr>
          <w:rFonts w:ascii="宋体" w:hAnsi="宋体" w:cs="宋体"/>
          <w:color w:val="auto"/>
          <w:kern w:val="0"/>
          <w:szCs w:val="21"/>
          <w:highlight w:val="none"/>
        </w:rPr>
      </w:pPr>
      <w:r>
        <w:rPr>
          <w:rFonts w:ascii="宋体" w:hAnsi="宋体" w:cs="宋体"/>
          <w:color w:val="auto"/>
          <w:kern w:val="0"/>
          <w:szCs w:val="21"/>
          <w:highlight w:val="none"/>
        </w:rPr>
        <w:t>经检查确认所有投标人投标文件□不存在密封包装问题  □存在密封包装问题（具体指出）</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491A272F">
      <w:pPr>
        <w:pStyle w:val="104"/>
        <w:widowControl/>
        <w:adjustRightInd w:val="0"/>
        <w:snapToGrid w:val="0"/>
        <w:spacing w:line="360" w:lineRule="auto"/>
        <w:rPr>
          <w:rFonts w:ascii="宋体" w:hAnsi="宋体" w:cs="宋体"/>
          <w:color w:val="auto"/>
          <w:kern w:val="0"/>
          <w:szCs w:val="21"/>
          <w:highlight w:val="none"/>
        </w:rPr>
      </w:pPr>
    </w:p>
    <w:p w14:paraId="50C02AA2">
      <w:pPr>
        <w:pStyle w:val="103"/>
        <w:widowControl w:val="0"/>
        <w:adjustRightInd w:val="0"/>
        <w:snapToGrid w:val="0"/>
        <w:spacing w:line="360" w:lineRule="auto"/>
        <w:ind w:firstLine="420" w:firstLineChars="200"/>
        <w:jc w:val="both"/>
        <w:rPr>
          <w:rFonts w:hAnsi="宋体" w:cs="宋体"/>
          <w:color w:val="auto"/>
          <w:szCs w:val="21"/>
          <w:highlight w:val="none"/>
        </w:rPr>
      </w:pPr>
      <w:r>
        <w:rPr>
          <w:rFonts w:hAnsi="宋体" w:cs="宋体"/>
          <w:color w:val="auto"/>
          <w:szCs w:val="21"/>
          <w:highlight w:val="none"/>
        </w:rPr>
        <w:t xml:space="preserve">                                （投标人代表签名）</w:t>
      </w:r>
    </w:p>
    <w:p w14:paraId="183DA0DF">
      <w:pPr>
        <w:adjustRightInd w:val="0"/>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                                  年  月  日   </w:t>
      </w:r>
    </w:p>
    <w:bookmarkEnd w:id="0"/>
    <w:p w14:paraId="42CC76E5">
      <w:pPr>
        <w:widowControl/>
        <w:spacing w:before="100" w:beforeAutospacing="1" w:after="100" w:afterAutospacing="1" w:line="300" w:lineRule="atLeast"/>
        <w:jc w:val="left"/>
        <w:rPr>
          <w:rFonts w:hint="eastAsia" w:ascii="宋体" w:hAnsi="宋体" w:cs="宋体"/>
          <w:b/>
          <w:bCs/>
          <w:color w:val="auto"/>
          <w:kern w:val="0"/>
          <w:sz w:val="28"/>
          <w:szCs w:val="28"/>
          <w:highlight w:val="none"/>
          <w:lang w:eastAsia="zh-CN"/>
        </w:rPr>
      </w:pPr>
      <w:r>
        <w:rPr>
          <w:rFonts w:hint="eastAsia" w:ascii="宋体" w:hAnsi="宋体" w:cs="宋体"/>
          <w:b/>
          <w:bCs/>
          <w:color w:val="auto"/>
          <w:kern w:val="0"/>
          <w:sz w:val="24"/>
          <w:szCs w:val="24"/>
          <w:highlight w:val="none"/>
          <w:lang w:eastAsia="zh-CN"/>
        </w:rPr>
        <w:t>注：</w:t>
      </w:r>
      <w:r>
        <w:rPr>
          <w:rFonts w:hint="eastAsia" w:ascii="宋体" w:hAnsi="宋体" w:cs="宋体"/>
          <w:b/>
          <w:bCs/>
          <w:color w:val="auto"/>
          <w:kern w:val="0"/>
          <w:sz w:val="24"/>
          <w:szCs w:val="24"/>
          <w:highlight w:val="none"/>
        </w:rPr>
        <w:t>结束解密后，投标人通过邮件形式将经授权代表签署的《采购活动现场确认声明书》扫描件发至代理机构经办人邮箱（邮箱地址：524416712@qq.com）</w:t>
      </w:r>
      <w:r>
        <w:rPr>
          <w:rFonts w:hint="eastAsia" w:ascii="宋体" w:hAnsi="宋体" w:cs="宋体"/>
          <w:b/>
          <w:bCs/>
          <w:color w:val="auto"/>
          <w:kern w:val="0"/>
          <w:sz w:val="24"/>
          <w:szCs w:val="24"/>
          <w:highlight w:val="none"/>
          <w:lang w:eastAsia="zh-CN"/>
        </w:rPr>
        <w:t>。</w:t>
      </w:r>
    </w:p>
    <w:p w14:paraId="6C0E40C0">
      <w:pPr>
        <w:widowControl/>
        <w:spacing w:before="100" w:beforeAutospacing="1" w:after="100" w:afterAutospacing="1" w:line="300" w:lineRule="atLeast"/>
        <w:jc w:val="left"/>
        <w:outlineLvl w:val="0"/>
        <w:rPr>
          <w:rFonts w:ascii="宋体" w:hAnsi="宋体" w:cs="宋体"/>
          <w:color w:val="auto"/>
          <w:kern w:val="0"/>
          <w:sz w:val="28"/>
          <w:szCs w:val="28"/>
          <w:highlight w:val="none"/>
        </w:rPr>
      </w:pPr>
      <w:bookmarkStart w:id="273" w:name="_Toc1676"/>
      <w:bookmarkStart w:id="274" w:name="_Toc22705"/>
      <w:r>
        <w:rPr>
          <w:rFonts w:hint="eastAsia" w:ascii="宋体" w:hAnsi="宋体" w:cs="宋体"/>
          <w:b/>
          <w:bCs/>
          <w:color w:val="auto"/>
          <w:kern w:val="0"/>
          <w:sz w:val="28"/>
          <w:szCs w:val="28"/>
          <w:highlight w:val="none"/>
        </w:rPr>
        <w:t>招标代理服务收费标准</w:t>
      </w:r>
      <w:r>
        <w:rPr>
          <w:rFonts w:hint="eastAsia" w:ascii="宋体" w:hAnsi="宋体" w:cs="宋体"/>
          <w:color w:val="auto"/>
          <w:kern w:val="0"/>
          <w:sz w:val="28"/>
          <w:szCs w:val="28"/>
          <w:highlight w:val="none"/>
        </w:rPr>
        <w:t xml:space="preserve">( </w:t>
      </w:r>
      <w:r>
        <w:rPr>
          <w:rFonts w:hint="eastAsia" w:ascii="宋体" w:hAnsi="宋体" w:cs="宋体"/>
          <w:b/>
          <w:bCs/>
          <w:color w:val="auto"/>
          <w:kern w:val="0"/>
          <w:sz w:val="28"/>
          <w:szCs w:val="28"/>
          <w:highlight w:val="none"/>
        </w:rPr>
        <w:t>费 率)</w:t>
      </w:r>
      <w:bookmarkEnd w:id="273"/>
      <w:bookmarkEnd w:id="274"/>
      <w:r>
        <w:rPr>
          <w:rFonts w:hint="eastAsia" w:ascii="宋体" w:hAnsi="宋体" w:cs="宋体"/>
          <w:color w:val="auto"/>
          <w:kern w:val="0"/>
          <w:sz w:val="28"/>
          <w:szCs w:val="28"/>
          <w:highlight w:val="none"/>
        </w:rPr>
        <w:t xml:space="preserve"> </w:t>
      </w:r>
    </w:p>
    <w:tbl>
      <w:tblPr>
        <w:tblStyle w:val="46"/>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950"/>
        <w:gridCol w:w="1134"/>
        <w:gridCol w:w="1134"/>
        <w:gridCol w:w="1118"/>
      </w:tblGrid>
      <w:tr w14:paraId="0E26A3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2A1737A2">
            <w:pPr>
              <w:widowControl/>
              <w:spacing w:before="100" w:beforeAutospacing="1" w:after="100" w:afterAutospacing="1" w:line="300" w:lineRule="atLeast"/>
              <w:jc w:val="center"/>
              <w:rPr>
                <w:rFonts w:hint="eastAsia" w:ascii="宋体" w:hAnsi="宋体" w:cs="宋体"/>
                <w:b/>
                <w:bCs/>
                <w:color w:val="auto"/>
                <w:kern w:val="0"/>
                <w:sz w:val="20"/>
                <w:highlight w:val="none"/>
              </w:rPr>
            </w:pPr>
            <w:r>
              <w:rPr>
                <w:rFonts w:hint="eastAsia" w:ascii="宋体" w:hAnsi="宋体" w:cs="宋体"/>
                <w:color w:val="auto"/>
                <w:kern w:val="0"/>
                <w:sz w:val="20"/>
                <w:szCs w:val="20"/>
                <w:highlight w:val="none"/>
              </w:rPr>
              <w:t xml:space="preserve">              </w:t>
            </w:r>
            <w:r>
              <w:rPr>
                <w:rFonts w:hint="eastAsia" w:ascii="宋体" w:hAnsi="宋体" w:cs="宋体"/>
                <w:b/>
                <w:bCs/>
                <w:color w:val="auto"/>
                <w:kern w:val="0"/>
                <w:sz w:val="20"/>
                <w:highlight w:val="none"/>
              </w:rPr>
              <w:t xml:space="preserve">服务类型     </w:t>
            </w:r>
          </w:p>
          <w:p w14:paraId="23B7BA41">
            <w:pPr>
              <w:widowControl/>
              <w:spacing w:before="100" w:beforeAutospacing="1" w:after="100" w:afterAutospacing="1" w:line="300" w:lineRule="atLeast"/>
              <w:rPr>
                <w:rFonts w:ascii="宋体" w:hAnsi="宋体" w:cs="宋体"/>
                <w:color w:val="auto"/>
                <w:kern w:val="0"/>
                <w:sz w:val="24"/>
                <w:highlight w:val="none"/>
              </w:rPr>
            </w:pPr>
            <w:r>
              <w:rPr>
                <w:rFonts w:hint="eastAsia" w:ascii="宋体" w:hAnsi="宋体" w:cs="宋体"/>
                <w:b/>
                <w:bCs/>
                <w:color w:val="auto"/>
                <w:kern w:val="0"/>
                <w:sz w:val="20"/>
                <w:highlight w:val="none"/>
              </w:rPr>
              <w:t>中标金额（万元）</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12F9CC58">
            <w:pPr>
              <w:widowControl/>
              <w:spacing w:before="100" w:beforeAutospacing="1" w:after="100" w:afterAutospacing="1" w:line="300" w:lineRule="atLeast"/>
              <w:jc w:val="center"/>
              <w:rPr>
                <w:rFonts w:ascii="宋体" w:hAnsi="宋体" w:cs="宋体"/>
                <w:b/>
                <w:bCs/>
                <w:color w:val="auto"/>
                <w:kern w:val="0"/>
                <w:sz w:val="24"/>
                <w:highlight w:val="none"/>
              </w:rPr>
            </w:pPr>
            <w:r>
              <w:rPr>
                <w:rFonts w:hint="eastAsia" w:ascii="宋体" w:hAnsi="宋体" w:cs="宋体"/>
                <w:b/>
                <w:bCs/>
                <w:color w:val="auto"/>
                <w:kern w:val="0"/>
                <w:sz w:val="20"/>
                <w:highlight w:val="none"/>
              </w:rPr>
              <w:t>货物招标</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444EC813">
            <w:pPr>
              <w:widowControl/>
              <w:spacing w:before="100" w:beforeAutospacing="1" w:after="100" w:afterAutospacing="1" w:line="300" w:lineRule="atLeast"/>
              <w:jc w:val="center"/>
              <w:rPr>
                <w:rFonts w:ascii="宋体" w:hAnsi="宋体" w:cs="宋体"/>
                <w:b/>
                <w:color w:val="auto"/>
                <w:kern w:val="0"/>
                <w:sz w:val="24"/>
                <w:highlight w:val="none"/>
              </w:rPr>
            </w:pPr>
            <w:r>
              <w:rPr>
                <w:rFonts w:hint="eastAsia" w:ascii="宋体" w:hAnsi="宋体" w:cs="宋体"/>
                <w:b/>
                <w:bCs/>
                <w:color w:val="auto"/>
                <w:kern w:val="0"/>
                <w:sz w:val="20"/>
                <w:highlight w:val="none"/>
              </w:rPr>
              <w:t>服务招标</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696A1C2C">
            <w:pPr>
              <w:widowControl/>
              <w:spacing w:before="100" w:beforeAutospacing="1" w:after="100" w:afterAutospacing="1" w:line="300" w:lineRule="atLeast"/>
              <w:jc w:val="center"/>
              <w:rPr>
                <w:rFonts w:ascii="宋体" w:hAnsi="宋体" w:cs="宋体"/>
                <w:color w:val="auto"/>
                <w:kern w:val="0"/>
                <w:sz w:val="24"/>
                <w:highlight w:val="none"/>
              </w:rPr>
            </w:pPr>
            <w:r>
              <w:rPr>
                <w:rFonts w:hint="eastAsia" w:ascii="宋体" w:hAnsi="宋体" w:cs="宋体"/>
                <w:b/>
                <w:bCs/>
                <w:color w:val="auto"/>
                <w:kern w:val="0"/>
                <w:sz w:val="20"/>
                <w:highlight w:val="none"/>
              </w:rPr>
              <w:t>工程招标</w:t>
            </w:r>
          </w:p>
        </w:tc>
      </w:tr>
      <w:tr w14:paraId="181781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70C6B1B3">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100以下</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4E986656">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1.5％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706E3614">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1.5％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7F77B172">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1.0％</w:t>
            </w:r>
          </w:p>
        </w:tc>
      </w:tr>
      <w:tr w14:paraId="45C641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44102698">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100—500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0E986E08">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1.1％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3B60085B">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0.8％</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66D964AF">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0.7％</w:t>
            </w:r>
          </w:p>
        </w:tc>
      </w:tr>
      <w:tr w14:paraId="43945A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2EC76682">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500—1000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2A6CD283">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0.8％</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7D1D8992">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0.45％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16D6225A">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0.55％</w:t>
            </w:r>
          </w:p>
        </w:tc>
      </w:tr>
      <w:tr w14:paraId="582A40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16B7DD59">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1000—5000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67E6456C">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4DCE9B35">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0.25％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544BE6A6">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0.35％</w:t>
            </w:r>
          </w:p>
        </w:tc>
      </w:tr>
      <w:tr w14:paraId="6578DB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0474D23C">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5000—10000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5DF46126">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0.25％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7B42F2A7">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1D1DCD97">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0.2％</w:t>
            </w:r>
          </w:p>
        </w:tc>
      </w:tr>
      <w:tr w14:paraId="182F7F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2DB1A730">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10000——100000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2C88CD0A">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256314A6">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4CF5A218">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0.05％</w:t>
            </w:r>
          </w:p>
        </w:tc>
      </w:tr>
      <w:tr w14:paraId="3B7686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26D6B536">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1000000以上</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4E607AFB">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0.01％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4D7701AB">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50820205">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0.01％</w:t>
            </w:r>
          </w:p>
        </w:tc>
      </w:tr>
    </w:tbl>
    <w:p w14:paraId="4C593CAF">
      <w:pPr>
        <w:widowControl/>
        <w:spacing w:line="432" w:lineRule="auto"/>
        <w:jc w:val="left"/>
        <w:rPr>
          <w:rFonts w:hint="eastAsia" w:ascii="宋体" w:hAnsi="宋体" w:cs="宋体"/>
          <w:color w:val="auto"/>
          <w:kern w:val="0"/>
          <w:sz w:val="20"/>
          <w:szCs w:val="20"/>
          <w:highlight w:val="none"/>
        </w:rPr>
      </w:pPr>
    </w:p>
    <w:p w14:paraId="7250743B">
      <w:pPr>
        <w:widowControl/>
        <w:spacing w:line="432" w:lineRule="auto"/>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注：</w:t>
      </w:r>
    </w:p>
    <w:p w14:paraId="2ECD9BB4">
      <w:pPr>
        <w:widowControl/>
        <w:spacing w:line="432" w:lineRule="auto"/>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招标代理服务收费按差额定率累进法计算。例如：某工程招标代理业务中标金额为6000万元，计算招标代理服务费额如下：</w:t>
      </w:r>
    </w:p>
    <w:p w14:paraId="33478485">
      <w:pPr>
        <w:widowControl/>
        <w:spacing w:line="432" w:lineRule="auto"/>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100万元×1.0％＝1万元</w:t>
      </w:r>
    </w:p>
    <w:p w14:paraId="1ACE678D">
      <w:pPr>
        <w:widowControl/>
        <w:spacing w:line="432" w:lineRule="auto"/>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（500－100）万元×0.7％＝2.8万元</w:t>
      </w:r>
    </w:p>
    <w:p w14:paraId="657568DC">
      <w:pPr>
        <w:widowControl/>
        <w:spacing w:line="432" w:lineRule="auto"/>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（1000－500）万元×0.55％＝2.75万元</w:t>
      </w:r>
    </w:p>
    <w:p w14:paraId="61CC4B51">
      <w:pPr>
        <w:widowControl/>
        <w:spacing w:line="432" w:lineRule="auto"/>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（5000－1000）万元×0.35％＝14万元</w:t>
      </w:r>
    </w:p>
    <w:p w14:paraId="1CA8B588">
      <w:pPr>
        <w:widowControl/>
        <w:spacing w:line="432" w:lineRule="auto"/>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    （6000－5000）万元×0.2％＝2万元</w:t>
      </w:r>
    </w:p>
    <w:p w14:paraId="54A16B67">
      <w:pPr>
        <w:widowControl/>
        <w:spacing w:line="432" w:lineRule="auto"/>
        <w:jc w:val="left"/>
        <w:rPr>
          <w:rFonts w:ascii="宋体" w:hAnsi="宋体" w:cs="宋体"/>
          <w:color w:val="auto"/>
          <w:kern w:val="0"/>
          <w:sz w:val="24"/>
          <w:highlight w:val="none"/>
        </w:rPr>
      </w:pPr>
      <w:r>
        <w:rPr>
          <w:rFonts w:hint="eastAsia" w:ascii="宋体" w:hAnsi="宋体" w:cs="宋体"/>
          <w:color w:val="auto"/>
          <w:kern w:val="0"/>
          <w:sz w:val="20"/>
          <w:szCs w:val="20"/>
          <w:highlight w:val="none"/>
        </w:rPr>
        <w:t>    合计收费＝1＋2.8＋2.75＋14＋2＝22.55(万元)</w:t>
      </w:r>
    </w:p>
    <w:p w14:paraId="060550B5">
      <w:pPr>
        <w:snapToGrid w:val="0"/>
        <w:spacing w:before="50" w:after="50" w:line="440" w:lineRule="exact"/>
        <w:ind w:left="-3" w:leftChars="-72" w:right="-817" w:rightChars="-389" w:hanging="148" w:hangingChars="62"/>
        <w:rPr>
          <w:rFonts w:hint="eastAsia" w:ascii="宋体" w:hAnsi="宋体" w:cs="宋体"/>
          <w:color w:val="auto"/>
          <w:sz w:val="24"/>
          <w:highlight w:val="none"/>
        </w:rPr>
      </w:pPr>
    </w:p>
    <w:p w14:paraId="7FF30E6A">
      <w:pPr>
        <w:rPr>
          <w:rFonts w:hint="eastAsia"/>
          <w:color w:val="auto"/>
          <w:highlight w:val="none"/>
        </w:rPr>
      </w:pPr>
    </w:p>
    <w:sectPr>
      <w:footerReference r:id="rId10" w:type="default"/>
      <w:pgSz w:w="11906" w:h="16838"/>
      <w:pgMar w:top="1247" w:right="1588" w:bottom="1089" w:left="158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10D4B">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03EC4">
    <w:pPr>
      <w:pStyle w:val="3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5DE45">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9D1C6">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F18EB0">
                          <w:pPr>
                            <w:pStyle w:val="3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bLqDckBAACa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5&#10;yv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suoNyQEAAJoDAAAOAAAAAAAAAAEAIAAAAB4BAABkcnMvZTJvRG9j&#10;LnhtbFBLBQYAAAAABgAGAFkBAABZBQAAAAA=&#10;">
              <v:fill on="f" focussize="0,0"/>
              <v:stroke on="f"/>
              <v:imagedata o:title=""/>
              <o:lock v:ext="edit" aspectratio="f"/>
              <v:textbox inset="0mm,0mm,0mm,0mm" style="mso-fit-shape-to-text:t;">
                <w:txbxContent>
                  <w:p w14:paraId="45F18EB0">
                    <w:pPr>
                      <w:pStyle w:val="3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EAF1">
    <w:pPr>
      <w:pStyle w:val="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D9B3A9">
                          <w:pPr>
                            <w:pStyle w:val="3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5LWM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UBJHLc48cvPH5dffy6/v5Pl&#10;MgvUB6gx7z5gZhre+QGTZz+gM/MeVLT5i4wIxhHrfJVXDomI/Gi9Wq8rDAmMzRfEZw/PQ4T0XnpL&#10;stHQiPMrsvLTR0hj6pySqzl/p40pMzTuHwdiZg/LvY89ZisN+2EitPftGfn0OPqGOtx0SswHh8pi&#10;f2k24mzsZ+MYoj50ZY1yPQi3x4RNlN5yhRF2KowzK+ym/cpL8fhes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4+S1jIAQAAmwMAAA4AAAAAAAAAAQAgAAAAHgEAAGRycy9lMm9Eb2Mu&#10;eG1sUEsFBgAAAAAGAAYAWQEAAFgFAAAAAA==&#10;">
              <v:fill on="f" focussize="0,0"/>
              <v:stroke on="f"/>
              <v:imagedata o:title=""/>
              <o:lock v:ext="edit" aspectratio="f"/>
              <v:textbox inset="0mm,0mm,0mm,0mm" style="mso-fit-shape-to-text:t;">
                <w:txbxContent>
                  <w:p w14:paraId="0BD9B3A9">
                    <w:pPr>
                      <w:pStyle w:val="3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B5C71">
    <w:pPr>
      <w:widowControl w:val="0"/>
      <w:tabs>
        <w:tab w:val="center" w:pos="4153"/>
        <w:tab w:val="right" w:pos="8306"/>
      </w:tabs>
      <w:adjustRightInd w:val="0"/>
      <w:jc w:val="center"/>
      <w:rPr>
        <w:rFonts w:ascii="Times New Roman" w:hAnsi="Times New Roman" w:eastAsia="Century Gothic" w:cs="Times New Roman"/>
        <w:kern w:val="2"/>
        <w:sz w:val="18"/>
        <w:szCs w:val="20"/>
        <w:lang w:val="en-US" w:eastAsia="zh-CN" w:bidi="ar-SA"/>
      </w:rPr>
    </w:pPr>
    <w:r>
      <w:rPr>
        <w:rFonts w:ascii="Times New Roman" w:hAnsi="Times New Roman" w:eastAsia="Century Gothic"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150842">
                          <w:pPr>
                            <w:widowControl w:val="0"/>
                            <w:tabs>
                              <w:tab w:val="center" w:pos="4153"/>
                              <w:tab w:val="right" w:pos="8306"/>
                            </w:tabs>
                            <w:adjustRightInd w:val="0"/>
                            <w:jc w:val="left"/>
                            <w:rPr>
                              <w:rFonts w:ascii="Times New Roman" w:hAnsi="Times New Roman" w:eastAsia="Century Gothic" w:cs="Times New Roman"/>
                              <w:kern w:val="2"/>
                              <w:sz w:val="18"/>
                              <w:szCs w:val="20"/>
                              <w:lang w:val="en-US" w:eastAsia="zh-CN" w:bidi="ar-SA"/>
                            </w:rPr>
                          </w:pPr>
                          <w:r>
                            <w:rPr>
                              <w:rFonts w:ascii="Times New Roman" w:hAnsi="Times New Roman" w:eastAsia="Century Gothic" w:cs="Times New Roman"/>
                              <w:kern w:val="2"/>
                              <w:sz w:val="18"/>
                              <w:szCs w:val="20"/>
                              <w:lang w:val="en-US" w:eastAsia="zh-CN" w:bidi="ar-SA"/>
                            </w:rPr>
                            <w:fldChar w:fldCharType="begin"/>
                          </w:r>
                          <w:r>
                            <w:rPr>
                              <w:rFonts w:ascii="Times New Roman" w:hAnsi="Times New Roman" w:eastAsia="Century Gothic" w:cs="Times New Roman"/>
                              <w:kern w:val="2"/>
                              <w:sz w:val="18"/>
                              <w:szCs w:val="20"/>
                              <w:lang w:val="en-US" w:eastAsia="zh-CN" w:bidi="ar-SA"/>
                            </w:rPr>
                            <w:instrText xml:space="preserve"> PAGE  \* MERGEFORMAT </w:instrText>
                          </w:r>
                          <w:r>
                            <w:rPr>
                              <w:rFonts w:ascii="Times New Roman" w:hAnsi="Times New Roman" w:eastAsia="Century Gothic" w:cs="Times New Roman"/>
                              <w:kern w:val="2"/>
                              <w:sz w:val="18"/>
                              <w:szCs w:val="20"/>
                              <w:lang w:val="en-US" w:eastAsia="zh-CN" w:bidi="ar-SA"/>
                            </w:rPr>
                            <w:fldChar w:fldCharType="separate"/>
                          </w:r>
                          <w:r>
                            <w:rPr>
                              <w:rFonts w:ascii="Times New Roman" w:hAnsi="Times New Roman" w:eastAsia="Century Gothic" w:cs="Times New Roman"/>
                              <w:kern w:val="2"/>
                              <w:sz w:val="18"/>
                              <w:szCs w:val="20"/>
                              <w:lang w:val="en-US" w:eastAsia="zh-CN" w:bidi="ar-SA"/>
                            </w:rPr>
                            <w:t>87</w:t>
                          </w:r>
                          <w:r>
                            <w:rPr>
                              <w:rFonts w:ascii="Times New Roman" w:hAnsi="Times New Roman" w:eastAsia="Century Gothic" w:cs="Times New Roman"/>
                              <w:kern w:val="2"/>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73150842">
                    <w:pPr>
                      <w:widowControl w:val="0"/>
                      <w:tabs>
                        <w:tab w:val="center" w:pos="4153"/>
                        <w:tab w:val="right" w:pos="8306"/>
                      </w:tabs>
                      <w:adjustRightInd w:val="0"/>
                      <w:jc w:val="left"/>
                      <w:rPr>
                        <w:rFonts w:ascii="Times New Roman" w:hAnsi="Times New Roman" w:eastAsia="Century Gothic" w:cs="Times New Roman"/>
                        <w:kern w:val="2"/>
                        <w:sz w:val="18"/>
                        <w:szCs w:val="20"/>
                        <w:lang w:val="en-US" w:eastAsia="zh-CN" w:bidi="ar-SA"/>
                      </w:rPr>
                    </w:pPr>
                    <w:r>
                      <w:rPr>
                        <w:rFonts w:ascii="Times New Roman" w:hAnsi="Times New Roman" w:eastAsia="Century Gothic" w:cs="Times New Roman"/>
                        <w:kern w:val="2"/>
                        <w:sz w:val="18"/>
                        <w:szCs w:val="20"/>
                        <w:lang w:val="en-US" w:eastAsia="zh-CN" w:bidi="ar-SA"/>
                      </w:rPr>
                      <w:fldChar w:fldCharType="begin"/>
                    </w:r>
                    <w:r>
                      <w:rPr>
                        <w:rFonts w:ascii="Times New Roman" w:hAnsi="Times New Roman" w:eastAsia="Century Gothic" w:cs="Times New Roman"/>
                        <w:kern w:val="2"/>
                        <w:sz w:val="18"/>
                        <w:szCs w:val="20"/>
                        <w:lang w:val="en-US" w:eastAsia="zh-CN" w:bidi="ar-SA"/>
                      </w:rPr>
                      <w:instrText xml:space="preserve"> PAGE  \* MERGEFORMAT </w:instrText>
                    </w:r>
                    <w:r>
                      <w:rPr>
                        <w:rFonts w:ascii="Times New Roman" w:hAnsi="Times New Roman" w:eastAsia="Century Gothic" w:cs="Times New Roman"/>
                        <w:kern w:val="2"/>
                        <w:sz w:val="18"/>
                        <w:szCs w:val="20"/>
                        <w:lang w:val="en-US" w:eastAsia="zh-CN" w:bidi="ar-SA"/>
                      </w:rPr>
                      <w:fldChar w:fldCharType="separate"/>
                    </w:r>
                    <w:r>
                      <w:rPr>
                        <w:rFonts w:ascii="Times New Roman" w:hAnsi="Times New Roman" w:eastAsia="Century Gothic" w:cs="Times New Roman"/>
                        <w:kern w:val="2"/>
                        <w:sz w:val="18"/>
                        <w:szCs w:val="20"/>
                        <w:lang w:val="en-US" w:eastAsia="zh-CN" w:bidi="ar-SA"/>
                      </w:rPr>
                      <w:t>87</w:t>
                    </w:r>
                    <w:r>
                      <w:rPr>
                        <w:rFonts w:ascii="Times New Roman" w:hAnsi="Times New Roman" w:eastAsia="Century Gothic" w:cs="Times New Roman"/>
                        <w:kern w:val="2"/>
                        <w:sz w:val="18"/>
                        <w:szCs w:val="20"/>
                        <w:lang w:val="en-US" w:eastAsia="zh-CN"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757E0">
    <w:pPr>
      <w:pStyle w:val="30"/>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334649">
                          <w:pPr>
                            <w:pStyle w:val="3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0p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BfSmyQEAAJkDAAAOAAAAAAAAAAEAIAAAAB4BAABkcnMvZTJvRG9j&#10;LnhtbFBLBQYAAAAABgAGAFkBAABZBQAAAAA=&#10;">
              <v:fill on="f" focussize="0,0"/>
              <v:stroke on="f"/>
              <v:imagedata o:title=""/>
              <o:lock v:ext="edit" aspectratio="f"/>
              <v:textbox inset="0mm,0mm,0mm,0mm" style="mso-fit-shape-to-text:t;">
                <w:txbxContent>
                  <w:p w14:paraId="0C334649">
                    <w:pPr>
                      <w:pStyle w:val="3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66575">
    <w:pPr>
      <w:spacing w:line="14" w:lineRule="auto"/>
      <w:rPr>
        <w:rFonts w:ascii="Times New Roman" w:hAnsi="Times New Roman" w:eastAsia="宋体" w:cs="Times New Roman"/>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570BE"/>
    <w:multiLevelType w:val="singleLevel"/>
    <w:tmpl w:val="A9A570BE"/>
    <w:lvl w:ilvl="0" w:tentative="0">
      <w:start w:val="7"/>
      <w:numFmt w:val="chineseCounting"/>
      <w:suff w:val="space"/>
      <w:lvlText w:val="第%1部分"/>
      <w:lvlJc w:val="left"/>
      <w:rPr>
        <w:rFonts w:hint="eastAsia"/>
      </w:rPr>
    </w:lvl>
  </w:abstractNum>
  <w:abstractNum w:abstractNumId="1">
    <w:nsid w:val="AFA05FB4"/>
    <w:multiLevelType w:val="singleLevel"/>
    <w:tmpl w:val="AFA05FB4"/>
    <w:lvl w:ilvl="0" w:tentative="0">
      <w:start w:val="2"/>
      <w:numFmt w:val="decimal"/>
      <w:suff w:val="nothing"/>
      <w:lvlText w:val="%1、"/>
      <w:lvlJc w:val="left"/>
    </w:lvl>
  </w:abstractNum>
  <w:abstractNum w:abstractNumId="2">
    <w:nsid w:val="B57C21B6"/>
    <w:multiLevelType w:val="singleLevel"/>
    <w:tmpl w:val="B57C21B6"/>
    <w:lvl w:ilvl="0" w:tentative="0">
      <w:start w:val="1"/>
      <w:numFmt w:val="decimal"/>
      <w:lvlText w:val="%1."/>
      <w:lvlJc w:val="left"/>
      <w:pPr>
        <w:tabs>
          <w:tab w:val="left" w:pos="312"/>
        </w:tabs>
      </w:p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8E4A651"/>
    <w:multiLevelType w:val="singleLevel"/>
    <w:tmpl w:val="C8E4A651"/>
    <w:lvl w:ilvl="0" w:tentative="0">
      <w:start w:val="1"/>
      <w:numFmt w:val="decimal"/>
      <w:lvlText w:val="(%1)"/>
      <w:lvlJc w:val="left"/>
      <w:pPr>
        <w:ind w:left="425" w:hanging="425"/>
      </w:pPr>
      <w:rPr>
        <w:rFonts w:hint="default"/>
      </w:rPr>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ECFF2DD4"/>
    <w:multiLevelType w:val="singleLevel"/>
    <w:tmpl w:val="ECFF2DD4"/>
    <w:lvl w:ilvl="0" w:tentative="0">
      <w:start w:val="1"/>
      <w:numFmt w:val="decimal"/>
      <w:suff w:val="nothing"/>
      <w:lvlText w:val="（%1）"/>
      <w:lvlJc w:val="left"/>
      <w:pPr>
        <w:ind w:left="-50"/>
      </w:pPr>
    </w:lvl>
  </w:abstractNum>
  <w:abstractNum w:abstractNumId="10">
    <w:nsid w:val="FFEFC674"/>
    <w:multiLevelType w:val="singleLevel"/>
    <w:tmpl w:val="FFEFC674"/>
    <w:lvl w:ilvl="0" w:tentative="0">
      <w:start w:val="1"/>
      <w:numFmt w:val="decimal"/>
      <w:suff w:val="nothing"/>
      <w:lvlText w:val="（%1）"/>
      <w:lvlJc w:val="left"/>
      <w:pPr>
        <w:ind w:left="0" w:firstLine="0"/>
      </w:pPr>
    </w:lvl>
  </w:abstractNum>
  <w:abstractNum w:abstractNumId="11">
    <w:nsid w:val="02FCA2B6"/>
    <w:multiLevelType w:val="singleLevel"/>
    <w:tmpl w:val="02FCA2B6"/>
    <w:lvl w:ilvl="0" w:tentative="0">
      <w:start w:val="1"/>
      <w:numFmt w:val="decimal"/>
      <w:suff w:val="space"/>
      <w:lvlText w:val="%1."/>
      <w:lvlJc w:val="left"/>
    </w:lvl>
  </w:abstractNum>
  <w:abstractNum w:abstractNumId="12">
    <w:nsid w:val="2E09D3A6"/>
    <w:multiLevelType w:val="singleLevel"/>
    <w:tmpl w:val="2E09D3A6"/>
    <w:lvl w:ilvl="0" w:tentative="0">
      <w:start w:val="1"/>
      <w:numFmt w:val="decimal"/>
      <w:suff w:val="nothing"/>
      <w:lvlText w:val="%1、"/>
      <w:lvlJc w:val="left"/>
    </w:lvl>
  </w:abstractNum>
  <w:abstractNum w:abstractNumId="13">
    <w:nsid w:val="3D3A6164"/>
    <w:multiLevelType w:val="singleLevel"/>
    <w:tmpl w:val="3D3A6164"/>
    <w:lvl w:ilvl="0" w:tentative="0">
      <w:start w:val="1"/>
      <w:numFmt w:val="chineseCounting"/>
      <w:suff w:val="space"/>
      <w:lvlText w:val="第%1部分"/>
      <w:lvlJc w:val="left"/>
      <w:rPr>
        <w:rFonts w:hint="eastAsia"/>
      </w:rPr>
    </w:lvl>
  </w:abstractNum>
  <w:abstractNum w:abstractNumId="14">
    <w:nsid w:val="47A7DCD3"/>
    <w:multiLevelType w:val="singleLevel"/>
    <w:tmpl w:val="47A7DCD3"/>
    <w:lvl w:ilvl="0" w:tentative="0">
      <w:start w:val="1"/>
      <w:numFmt w:val="decimal"/>
      <w:suff w:val="space"/>
      <w:lvlText w:val="%1."/>
      <w:lvlJc w:val="left"/>
    </w:lvl>
  </w:abstractNum>
  <w:abstractNum w:abstractNumId="15">
    <w:nsid w:val="54F403B5"/>
    <w:multiLevelType w:val="singleLevel"/>
    <w:tmpl w:val="54F403B5"/>
    <w:lvl w:ilvl="0" w:tentative="0">
      <w:start w:val="1"/>
      <w:numFmt w:val="chineseCounting"/>
      <w:suff w:val="nothing"/>
      <w:lvlText w:val="%1、"/>
      <w:lvlJc w:val="left"/>
    </w:lvl>
  </w:abstractNum>
  <w:abstractNum w:abstractNumId="16">
    <w:nsid w:val="557FD3DA"/>
    <w:multiLevelType w:val="singleLevel"/>
    <w:tmpl w:val="557FD3DA"/>
    <w:lvl w:ilvl="0" w:tentative="0">
      <w:start w:val="3"/>
      <w:numFmt w:val="chineseCounting"/>
      <w:suff w:val="nothing"/>
      <w:lvlText w:val="%1、"/>
      <w:lvlJc w:val="left"/>
    </w:lvl>
  </w:abstractNum>
  <w:abstractNum w:abstractNumId="17">
    <w:nsid w:val="620F8904"/>
    <w:multiLevelType w:val="singleLevel"/>
    <w:tmpl w:val="620F8904"/>
    <w:lvl w:ilvl="0" w:tentative="0">
      <w:start w:val="2"/>
      <w:numFmt w:val="chineseCounting"/>
      <w:suff w:val="space"/>
      <w:lvlText w:val="第%1部分"/>
      <w:lvlJc w:val="left"/>
      <w:rPr>
        <w:rFonts w:hint="eastAsia"/>
      </w:rPr>
    </w:lvl>
  </w:abstractNum>
  <w:abstractNum w:abstractNumId="18">
    <w:nsid w:val="7A0F6431"/>
    <w:multiLevelType w:val="singleLevel"/>
    <w:tmpl w:val="7A0F6431"/>
    <w:lvl w:ilvl="0" w:tentative="0">
      <w:start w:val="1"/>
      <w:numFmt w:val="decimal"/>
      <w:suff w:val="space"/>
      <w:lvlText w:val="%1."/>
      <w:lvlJc w:val="left"/>
    </w:lvl>
  </w:abstractNum>
  <w:num w:numId="1">
    <w:abstractNumId w:val="13"/>
  </w:num>
  <w:num w:numId="2">
    <w:abstractNumId w:val="1"/>
  </w:num>
  <w:num w:numId="3">
    <w:abstractNumId w:val="14"/>
  </w:num>
  <w:num w:numId="4">
    <w:abstractNumId w:val="11"/>
  </w:num>
  <w:num w:numId="5">
    <w:abstractNumId w:val="12"/>
  </w:num>
  <w:num w:numId="6">
    <w:abstractNumId w:val="17"/>
  </w:num>
  <w:num w:numId="7">
    <w:abstractNumId w:val="4"/>
  </w:num>
  <w:num w:numId="8">
    <w:abstractNumId w:val="9"/>
  </w:num>
  <w:num w:numId="9">
    <w:abstractNumId w:val="18"/>
  </w:num>
  <w:num w:numId="10">
    <w:abstractNumId w:val="5"/>
  </w:num>
  <w:num w:numId="11">
    <w:abstractNumId w:val="10"/>
    <w:lvlOverride w:ilvl="0">
      <w:startOverride w:val="1"/>
    </w:lvlOverride>
  </w:num>
  <w:num w:numId="12">
    <w:abstractNumId w:val="7"/>
  </w:num>
  <w:num w:numId="13">
    <w:abstractNumId w:val="6"/>
  </w:num>
  <w:num w:numId="14">
    <w:abstractNumId w:val="3"/>
  </w:num>
  <w:num w:numId="15">
    <w:abstractNumId w:val="8"/>
  </w:num>
  <w:num w:numId="16">
    <w:abstractNumId w:val="2"/>
  </w:num>
  <w:num w:numId="17">
    <w:abstractNumId w:val="0"/>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NWM4ZWYxNDJlNzc4YzdkMTgwMDVkMGYxMTAxOGIifQ=="/>
  </w:docVars>
  <w:rsids>
    <w:rsidRoot w:val="00172A27"/>
    <w:rsid w:val="00001E56"/>
    <w:rsid w:val="0000396E"/>
    <w:rsid w:val="000042E7"/>
    <w:rsid w:val="00004478"/>
    <w:rsid w:val="000151EB"/>
    <w:rsid w:val="000173D9"/>
    <w:rsid w:val="00023C95"/>
    <w:rsid w:val="00033EE6"/>
    <w:rsid w:val="000364DE"/>
    <w:rsid w:val="00036535"/>
    <w:rsid w:val="000371E8"/>
    <w:rsid w:val="000445EB"/>
    <w:rsid w:val="000451B7"/>
    <w:rsid w:val="00050BD9"/>
    <w:rsid w:val="00053E49"/>
    <w:rsid w:val="00063A1A"/>
    <w:rsid w:val="0006711B"/>
    <w:rsid w:val="0006742A"/>
    <w:rsid w:val="00067A80"/>
    <w:rsid w:val="00067D63"/>
    <w:rsid w:val="0007753E"/>
    <w:rsid w:val="0008108E"/>
    <w:rsid w:val="00082EC3"/>
    <w:rsid w:val="000870E1"/>
    <w:rsid w:val="00091E58"/>
    <w:rsid w:val="00096A49"/>
    <w:rsid w:val="000A26A0"/>
    <w:rsid w:val="000A7899"/>
    <w:rsid w:val="000B0696"/>
    <w:rsid w:val="000B1A41"/>
    <w:rsid w:val="000B7C98"/>
    <w:rsid w:val="000C296B"/>
    <w:rsid w:val="000C314E"/>
    <w:rsid w:val="000E5537"/>
    <w:rsid w:val="0011283B"/>
    <w:rsid w:val="00114CF3"/>
    <w:rsid w:val="001220E7"/>
    <w:rsid w:val="001236DA"/>
    <w:rsid w:val="001307EB"/>
    <w:rsid w:val="00132FF2"/>
    <w:rsid w:val="00140949"/>
    <w:rsid w:val="001474A4"/>
    <w:rsid w:val="001662B9"/>
    <w:rsid w:val="00175AAD"/>
    <w:rsid w:val="001A2705"/>
    <w:rsid w:val="001A3C11"/>
    <w:rsid w:val="001B3D36"/>
    <w:rsid w:val="001B666B"/>
    <w:rsid w:val="001C45D1"/>
    <w:rsid w:val="001C5282"/>
    <w:rsid w:val="001D028B"/>
    <w:rsid w:val="001D0DE0"/>
    <w:rsid w:val="001E07E0"/>
    <w:rsid w:val="001F136F"/>
    <w:rsid w:val="001F4AAA"/>
    <w:rsid w:val="0020144A"/>
    <w:rsid w:val="00205FDC"/>
    <w:rsid w:val="002161CA"/>
    <w:rsid w:val="00244BE9"/>
    <w:rsid w:val="00252D74"/>
    <w:rsid w:val="00255979"/>
    <w:rsid w:val="00255D75"/>
    <w:rsid w:val="00257D41"/>
    <w:rsid w:val="00260A47"/>
    <w:rsid w:val="00261C5B"/>
    <w:rsid w:val="00271A3C"/>
    <w:rsid w:val="00273D40"/>
    <w:rsid w:val="002777A3"/>
    <w:rsid w:val="00280335"/>
    <w:rsid w:val="002851C3"/>
    <w:rsid w:val="002A0A4C"/>
    <w:rsid w:val="002A6597"/>
    <w:rsid w:val="002B7F8B"/>
    <w:rsid w:val="002C2B43"/>
    <w:rsid w:val="002C3E6B"/>
    <w:rsid w:val="002D3FEA"/>
    <w:rsid w:val="002D780C"/>
    <w:rsid w:val="002E4523"/>
    <w:rsid w:val="002E7540"/>
    <w:rsid w:val="002E77FB"/>
    <w:rsid w:val="002F5751"/>
    <w:rsid w:val="00301170"/>
    <w:rsid w:val="00301A3B"/>
    <w:rsid w:val="00312338"/>
    <w:rsid w:val="003167FF"/>
    <w:rsid w:val="0033728A"/>
    <w:rsid w:val="00340FBD"/>
    <w:rsid w:val="003458DD"/>
    <w:rsid w:val="00346FD6"/>
    <w:rsid w:val="0035269E"/>
    <w:rsid w:val="003538F2"/>
    <w:rsid w:val="003577F6"/>
    <w:rsid w:val="00361C53"/>
    <w:rsid w:val="00366E35"/>
    <w:rsid w:val="00371116"/>
    <w:rsid w:val="0037302D"/>
    <w:rsid w:val="00373E7F"/>
    <w:rsid w:val="00375001"/>
    <w:rsid w:val="00376577"/>
    <w:rsid w:val="003776F3"/>
    <w:rsid w:val="00377D84"/>
    <w:rsid w:val="00380738"/>
    <w:rsid w:val="003846B2"/>
    <w:rsid w:val="00391928"/>
    <w:rsid w:val="003919E1"/>
    <w:rsid w:val="003A48E1"/>
    <w:rsid w:val="003B3663"/>
    <w:rsid w:val="003C5572"/>
    <w:rsid w:val="003D0F5F"/>
    <w:rsid w:val="003D4FE5"/>
    <w:rsid w:val="003D62AA"/>
    <w:rsid w:val="003E445D"/>
    <w:rsid w:val="003E4D6D"/>
    <w:rsid w:val="003E76A2"/>
    <w:rsid w:val="003F19B5"/>
    <w:rsid w:val="003F298D"/>
    <w:rsid w:val="003F417C"/>
    <w:rsid w:val="004241E3"/>
    <w:rsid w:val="004278F1"/>
    <w:rsid w:val="0043095A"/>
    <w:rsid w:val="00431055"/>
    <w:rsid w:val="00433B4B"/>
    <w:rsid w:val="0043651D"/>
    <w:rsid w:val="00437005"/>
    <w:rsid w:val="0046312D"/>
    <w:rsid w:val="004652D2"/>
    <w:rsid w:val="00471CFD"/>
    <w:rsid w:val="00474574"/>
    <w:rsid w:val="0048410E"/>
    <w:rsid w:val="00486072"/>
    <w:rsid w:val="0049164C"/>
    <w:rsid w:val="004A1324"/>
    <w:rsid w:val="004A3F59"/>
    <w:rsid w:val="004B212A"/>
    <w:rsid w:val="004B35B1"/>
    <w:rsid w:val="004D09F0"/>
    <w:rsid w:val="004D1FE1"/>
    <w:rsid w:val="004D4D0B"/>
    <w:rsid w:val="004E0815"/>
    <w:rsid w:val="004F220B"/>
    <w:rsid w:val="004F29EC"/>
    <w:rsid w:val="004F2FE1"/>
    <w:rsid w:val="004F3A58"/>
    <w:rsid w:val="004F54AA"/>
    <w:rsid w:val="004F550E"/>
    <w:rsid w:val="004F653D"/>
    <w:rsid w:val="00500F82"/>
    <w:rsid w:val="00521158"/>
    <w:rsid w:val="00521913"/>
    <w:rsid w:val="0052516E"/>
    <w:rsid w:val="00527F3E"/>
    <w:rsid w:val="00542801"/>
    <w:rsid w:val="005429FE"/>
    <w:rsid w:val="005432AE"/>
    <w:rsid w:val="0054542F"/>
    <w:rsid w:val="0055099D"/>
    <w:rsid w:val="0055186A"/>
    <w:rsid w:val="0055500B"/>
    <w:rsid w:val="00565B42"/>
    <w:rsid w:val="00566AEF"/>
    <w:rsid w:val="005916E4"/>
    <w:rsid w:val="005923FB"/>
    <w:rsid w:val="0059694F"/>
    <w:rsid w:val="005A1025"/>
    <w:rsid w:val="005B0789"/>
    <w:rsid w:val="005B5D4C"/>
    <w:rsid w:val="005C0581"/>
    <w:rsid w:val="005D3123"/>
    <w:rsid w:val="005E181F"/>
    <w:rsid w:val="005E6149"/>
    <w:rsid w:val="005F4032"/>
    <w:rsid w:val="005F78E6"/>
    <w:rsid w:val="00600A3F"/>
    <w:rsid w:val="00602253"/>
    <w:rsid w:val="006358C5"/>
    <w:rsid w:val="00645F95"/>
    <w:rsid w:val="00646EED"/>
    <w:rsid w:val="0066425D"/>
    <w:rsid w:val="006802A2"/>
    <w:rsid w:val="006907C1"/>
    <w:rsid w:val="006939FC"/>
    <w:rsid w:val="00697C01"/>
    <w:rsid w:val="006A232A"/>
    <w:rsid w:val="006A5767"/>
    <w:rsid w:val="006B55CD"/>
    <w:rsid w:val="006D3A10"/>
    <w:rsid w:val="006D753A"/>
    <w:rsid w:val="006E2A6C"/>
    <w:rsid w:val="006E3886"/>
    <w:rsid w:val="006F15FC"/>
    <w:rsid w:val="006F3E6E"/>
    <w:rsid w:val="00700BC8"/>
    <w:rsid w:val="007031BD"/>
    <w:rsid w:val="0071174F"/>
    <w:rsid w:val="0071519C"/>
    <w:rsid w:val="00720826"/>
    <w:rsid w:val="00722F57"/>
    <w:rsid w:val="007239AA"/>
    <w:rsid w:val="00723BA4"/>
    <w:rsid w:val="007347A8"/>
    <w:rsid w:val="007524E0"/>
    <w:rsid w:val="007536BE"/>
    <w:rsid w:val="007704B1"/>
    <w:rsid w:val="00771B68"/>
    <w:rsid w:val="00775D40"/>
    <w:rsid w:val="00780C3A"/>
    <w:rsid w:val="00781837"/>
    <w:rsid w:val="007823CF"/>
    <w:rsid w:val="00792D0A"/>
    <w:rsid w:val="0079652A"/>
    <w:rsid w:val="007C552C"/>
    <w:rsid w:val="007D3403"/>
    <w:rsid w:val="007F5CA2"/>
    <w:rsid w:val="0080136F"/>
    <w:rsid w:val="00806699"/>
    <w:rsid w:val="00807C1C"/>
    <w:rsid w:val="00811AE1"/>
    <w:rsid w:val="0082579B"/>
    <w:rsid w:val="00827882"/>
    <w:rsid w:val="00831073"/>
    <w:rsid w:val="008412F6"/>
    <w:rsid w:val="008523D4"/>
    <w:rsid w:val="008561C8"/>
    <w:rsid w:val="00863B15"/>
    <w:rsid w:val="00873832"/>
    <w:rsid w:val="0087417C"/>
    <w:rsid w:val="00882251"/>
    <w:rsid w:val="008915FE"/>
    <w:rsid w:val="0089426F"/>
    <w:rsid w:val="008A049C"/>
    <w:rsid w:val="008A27A6"/>
    <w:rsid w:val="008B365F"/>
    <w:rsid w:val="008B6EF3"/>
    <w:rsid w:val="008C194F"/>
    <w:rsid w:val="008C4BC7"/>
    <w:rsid w:val="008C597D"/>
    <w:rsid w:val="008D0582"/>
    <w:rsid w:val="008D3C24"/>
    <w:rsid w:val="008D3E1F"/>
    <w:rsid w:val="008E1AD7"/>
    <w:rsid w:val="008E637C"/>
    <w:rsid w:val="008F72BD"/>
    <w:rsid w:val="008F7D01"/>
    <w:rsid w:val="009072E5"/>
    <w:rsid w:val="00910F4C"/>
    <w:rsid w:val="00917B9E"/>
    <w:rsid w:val="00932BD4"/>
    <w:rsid w:val="0093363C"/>
    <w:rsid w:val="00940047"/>
    <w:rsid w:val="009506F2"/>
    <w:rsid w:val="009648F4"/>
    <w:rsid w:val="0097032D"/>
    <w:rsid w:val="00971B09"/>
    <w:rsid w:val="00975676"/>
    <w:rsid w:val="00986446"/>
    <w:rsid w:val="009B2C10"/>
    <w:rsid w:val="009B59D2"/>
    <w:rsid w:val="009C0E6D"/>
    <w:rsid w:val="009C1567"/>
    <w:rsid w:val="009C5547"/>
    <w:rsid w:val="009C5B37"/>
    <w:rsid w:val="009C67E9"/>
    <w:rsid w:val="009C797E"/>
    <w:rsid w:val="009D0543"/>
    <w:rsid w:val="009D0DDC"/>
    <w:rsid w:val="009D1220"/>
    <w:rsid w:val="009D25EA"/>
    <w:rsid w:val="009D7429"/>
    <w:rsid w:val="009D7EFB"/>
    <w:rsid w:val="009E29F7"/>
    <w:rsid w:val="009F206D"/>
    <w:rsid w:val="009F4908"/>
    <w:rsid w:val="009F557F"/>
    <w:rsid w:val="00A00775"/>
    <w:rsid w:val="00A02ABC"/>
    <w:rsid w:val="00A047AA"/>
    <w:rsid w:val="00A04A75"/>
    <w:rsid w:val="00A04F8F"/>
    <w:rsid w:val="00A10C7D"/>
    <w:rsid w:val="00A1343F"/>
    <w:rsid w:val="00A2501C"/>
    <w:rsid w:val="00A33491"/>
    <w:rsid w:val="00A34D63"/>
    <w:rsid w:val="00A34F2B"/>
    <w:rsid w:val="00A3582E"/>
    <w:rsid w:val="00A365BC"/>
    <w:rsid w:val="00A50C08"/>
    <w:rsid w:val="00A63A54"/>
    <w:rsid w:val="00A64A15"/>
    <w:rsid w:val="00A702A9"/>
    <w:rsid w:val="00A70D13"/>
    <w:rsid w:val="00A8066B"/>
    <w:rsid w:val="00A818D0"/>
    <w:rsid w:val="00A92BC0"/>
    <w:rsid w:val="00A92FFB"/>
    <w:rsid w:val="00A93FC0"/>
    <w:rsid w:val="00A94D98"/>
    <w:rsid w:val="00A97D06"/>
    <w:rsid w:val="00AA410D"/>
    <w:rsid w:val="00AA6793"/>
    <w:rsid w:val="00AA7912"/>
    <w:rsid w:val="00AB1E3E"/>
    <w:rsid w:val="00AB3040"/>
    <w:rsid w:val="00AB3F6B"/>
    <w:rsid w:val="00AC0163"/>
    <w:rsid w:val="00AD5656"/>
    <w:rsid w:val="00AD77EE"/>
    <w:rsid w:val="00AE0282"/>
    <w:rsid w:val="00AE1A20"/>
    <w:rsid w:val="00AE4E6E"/>
    <w:rsid w:val="00AF341D"/>
    <w:rsid w:val="00AF6214"/>
    <w:rsid w:val="00AF7634"/>
    <w:rsid w:val="00B0444C"/>
    <w:rsid w:val="00B057FD"/>
    <w:rsid w:val="00B12E13"/>
    <w:rsid w:val="00B14E38"/>
    <w:rsid w:val="00B234C2"/>
    <w:rsid w:val="00B27DD7"/>
    <w:rsid w:val="00B36FC1"/>
    <w:rsid w:val="00B46D44"/>
    <w:rsid w:val="00B51CF4"/>
    <w:rsid w:val="00B51E27"/>
    <w:rsid w:val="00B63DF2"/>
    <w:rsid w:val="00B750BD"/>
    <w:rsid w:val="00B8103A"/>
    <w:rsid w:val="00B878F6"/>
    <w:rsid w:val="00B94A8E"/>
    <w:rsid w:val="00B96E56"/>
    <w:rsid w:val="00BA1E0D"/>
    <w:rsid w:val="00BA577A"/>
    <w:rsid w:val="00BA64EB"/>
    <w:rsid w:val="00BB2521"/>
    <w:rsid w:val="00BB6771"/>
    <w:rsid w:val="00BB7915"/>
    <w:rsid w:val="00BC170D"/>
    <w:rsid w:val="00BC46F3"/>
    <w:rsid w:val="00BD0F29"/>
    <w:rsid w:val="00BD2D21"/>
    <w:rsid w:val="00BE42E0"/>
    <w:rsid w:val="00BE4640"/>
    <w:rsid w:val="00BF40B3"/>
    <w:rsid w:val="00C022FB"/>
    <w:rsid w:val="00C024F7"/>
    <w:rsid w:val="00C06B0F"/>
    <w:rsid w:val="00C1372F"/>
    <w:rsid w:val="00C13CF4"/>
    <w:rsid w:val="00C146B3"/>
    <w:rsid w:val="00C147DF"/>
    <w:rsid w:val="00C15D7E"/>
    <w:rsid w:val="00C17F0A"/>
    <w:rsid w:val="00C239C7"/>
    <w:rsid w:val="00C338EE"/>
    <w:rsid w:val="00C36642"/>
    <w:rsid w:val="00C3672B"/>
    <w:rsid w:val="00C36CB6"/>
    <w:rsid w:val="00C37ACA"/>
    <w:rsid w:val="00C44C0F"/>
    <w:rsid w:val="00C4636D"/>
    <w:rsid w:val="00C51659"/>
    <w:rsid w:val="00C568C3"/>
    <w:rsid w:val="00C747A1"/>
    <w:rsid w:val="00C76B54"/>
    <w:rsid w:val="00C76F02"/>
    <w:rsid w:val="00C772A7"/>
    <w:rsid w:val="00C772C0"/>
    <w:rsid w:val="00C77444"/>
    <w:rsid w:val="00C80386"/>
    <w:rsid w:val="00C81CE0"/>
    <w:rsid w:val="00C83733"/>
    <w:rsid w:val="00C90DED"/>
    <w:rsid w:val="00C95402"/>
    <w:rsid w:val="00CA39B1"/>
    <w:rsid w:val="00CA4188"/>
    <w:rsid w:val="00CA4F76"/>
    <w:rsid w:val="00CB2774"/>
    <w:rsid w:val="00CB5D2B"/>
    <w:rsid w:val="00CB6394"/>
    <w:rsid w:val="00CC1307"/>
    <w:rsid w:val="00CC3B8E"/>
    <w:rsid w:val="00CC6586"/>
    <w:rsid w:val="00CC7090"/>
    <w:rsid w:val="00CD0199"/>
    <w:rsid w:val="00CD4ED5"/>
    <w:rsid w:val="00CE70F7"/>
    <w:rsid w:val="00CE78DD"/>
    <w:rsid w:val="00CF4CC8"/>
    <w:rsid w:val="00D027DA"/>
    <w:rsid w:val="00D05FAF"/>
    <w:rsid w:val="00D11F79"/>
    <w:rsid w:val="00D15320"/>
    <w:rsid w:val="00D1761F"/>
    <w:rsid w:val="00D20019"/>
    <w:rsid w:val="00D2195C"/>
    <w:rsid w:val="00D227EA"/>
    <w:rsid w:val="00D2534B"/>
    <w:rsid w:val="00D31DA9"/>
    <w:rsid w:val="00D34B9F"/>
    <w:rsid w:val="00D35E8E"/>
    <w:rsid w:val="00D61159"/>
    <w:rsid w:val="00D61F52"/>
    <w:rsid w:val="00D65057"/>
    <w:rsid w:val="00D71BDF"/>
    <w:rsid w:val="00D71F9C"/>
    <w:rsid w:val="00D755AB"/>
    <w:rsid w:val="00DA2635"/>
    <w:rsid w:val="00DA692B"/>
    <w:rsid w:val="00DC2D9B"/>
    <w:rsid w:val="00DD1A81"/>
    <w:rsid w:val="00DE7222"/>
    <w:rsid w:val="00DF070C"/>
    <w:rsid w:val="00DF1ACE"/>
    <w:rsid w:val="00DF5042"/>
    <w:rsid w:val="00DF56AD"/>
    <w:rsid w:val="00DF5723"/>
    <w:rsid w:val="00E13E5D"/>
    <w:rsid w:val="00E169CF"/>
    <w:rsid w:val="00E16BA3"/>
    <w:rsid w:val="00E23444"/>
    <w:rsid w:val="00E25909"/>
    <w:rsid w:val="00E260E6"/>
    <w:rsid w:val="00E309C7"/>
    <w:rsid w:val="00E32D71"/>
    <w:rsid w:val="00E35723"/>
    <w:rsid w:val="00E41D4E"/>
    <w:rsid w:val="00E438FF"/>
    <w:rsid w:val="00E43DC1"/>
    <w:rsid w:val="00E44726"/>
    <w:rsid w:val="00E465CF"/>
    <w:rsid w:val="00E53716"/>
    <w:rsid w:val="00E56245"/>
    <w:rsid w:val="00E568CF"/>
    <w:rsid w:val="00E76F26"/>
    <w:rsid w:val="00E901C8"/>
    <w:rsid w:val="00E94094"/>
    <w:rsid w:val="00E941BD"/>
    <w:rsid w:val="00EA55DA"/>
    <w:rsid w:val="00EB17DC"/>
    <w:rsid w:val="00EC4FF2"/>
    <w:rsid w:val="00ED0811"/>
    <w:rsid w:val="00ED23D6"/>
    <w:rsid w:val="00ED3FDB"/>
    <w:rsid w:val="00EF231F"/>
    <w:rsid w:val="00EF502F"/>
    <w:rsid w:val="00F057E6"/>
    <w:rsid w:val="00F07243"/>
    <w:rsid w:val="00F11557"/>
    <w:rsid w:val="00F1486C"/>
    <w:rsid w:val="00F16532"/>
    <w:rsid w:val="00F17641"/>
    <w:rsid w:val="00F20DC4"/>
    <w:rsid w:val="00F251D9"/>
    <w:rsid w:val="00F263DC"/>
    <w:rsid w:val="00F32409"/>
    <w:rsid w:val="00F3248B"/>
    <w:rsid w:val="00F3307C"/>
    <w:rsid w:val="00F33F05"/>
    <w:rsid w:val="00F42052"/>
    <w:rsid w:val="00F52B2E"/>
    <w:rsid w:val="00F53CE7"/>
    <w:rsid w:val="00F548C4"/>
    <w:rsid w:val="00F63E05"/>
    <w:rsid w:val="00F64AA5"/>
    <w:rsid w:val="00F6671F"/>
    <w:rsid w:val="00F67079"/>
    <w:rsid w:val="00F723A9"/>
    <w:rsid w:val="00F8405C"/>
    <w:rsid w:val="00F86D16"/>
    <w:rsid w:val="00F93265"/>
    <w:rsid w:val="00F93EFE"/>
    <w:rsid w:val="00FA1C44"/>
    <w:rsid w:val="00FA21E1"/>
    <w:rsid w:val="00FA3B25"/>
    <w:rsid w:val="00FC1946"/>
    <w:rsid w:val="00FC43EC"/>
    <w:rsid w:val="00FC6360"/>
    <w:rsid w:val="00FD5426"/>
    <w:rsid w:val="00FE2BA1"/>
    <w:rsid w:val="00FE56AD"/>
    <w:rsid w:val="00FE6D09"/>
    <w:rsid w:val="00FF3F0D"/>
    <w:rsid w:val="00FF466A"/>
    <w:rsid w:val="01242C13"/>
    <w:rsid w:val="014D28C9"/>
    <w:rsid w:val="015F40D7"/>
    <w:rsid w:val="016A18BB"/>
    <w:rsid w:val="018C519F"/>
    <w:rsid w:val="01A026F0"/>
    <w:rsid w:val="01A95E98"/>
    <w:rsid w:val="02205968"/>
    <w:rsid w:val="023C6755"/>
    <w:rsid w:val="023D593B"/>
    <w:rsid w:val="026C4AF7"/>
    <w:rsid w:val="026E0D49"/>
    <w:rsid w:val="02B80255"/>
    <w:rsid w:val="02C00B3F"/>
    <w:rsid w:val="02C72207"/>
    <w:rsid w:val="02D7069C"/>
    <w:rsid w:val="02EB59EF"/>
    <w:rsid w:val="03152AD4"/>
    <w:rsid w:val="031B25E0"/>
    <w:rsid w:val="033A2E64"/>
    <w:rsid w:val="033B3F16"/>
    <w:rsid w:val="033F29FA"/>
    <w:rsid w:val="03487073"/>
    <w:rsid w:val="038626A9"/>
    <w:rsid w:val="038652C6"/>
    <w:rsid w:val="038F7C74"/>
    <w:rsid w:val="03936BB9"/>
    <w:rsid w:val="03976619"/>
    <w:rsid w:val="039B30D1"/>
    <w:rsid w:val="03A13FE0"/>
    <w:rsid w:val="03A9328A"/>
    <w:rsid w:val="03B27594"/>
    <w:rsid w:val="03DA48E8"/>
    <w:rsid w:val="044B7DF2"/>
    <w:rsid w:val="045339BE"/>
    <w:rsid w:val="046532AA"/>
    <w:rsid w:val="04706659"/>
    <w:rsid w:val="047428C4"/>
    <w:rsid w:val="04781A0B"/>
    <w:rsid w:val="047F7B5D"/>
    <w:rsid w:val="04826D2E"/>
    <w:rsid w:val="048713D1"/>
    <w:rsid w:val="04891AA2"/>
    <w:rsid w:val="04AE2BC2"/>
    <w:rsid w:val="04FC5702"/>
    <w:rsid w:val="05175D76"/>
    <w:rsid w:val="0525198E"/>
    <w:rsid w:val="053D7140"/>
    <w:rsid w:val="05414BC9"/>
    <w:rsid w:val="056D248C"/>
    <w:rsid w:val="05843675"/>
    <w:rsid w:val="058937BD"/>
    <w:rsid w:val="05BA7A81"/>
    <w:rsid w:val="05E042B0"/>
    <w:rsid w:val="05E530D0"/>
    <w:rsid w:val="060A3E85"/>
    <w:rsid w:val="060F7B19"/>
    <w:rsid w:val="061C43EC"/>
    <w:rsid w:val="06247AF0"/>
    <w:rsid w:val="067870EA"/>
    <w:rsid w:val="06875BFC"/>
    <w:rsid w:val="068A3C77"/>
    <w:rsid w:val="06CB7AA4"/>
    <w:rsid w:val="06CD1FE9"/>
    <w:rsid w:val="06D15B4F"/>
    <w:rsid w:val="06D74D2C"/>
    <w:rsid w:val="06E14DD1"/>
    <w:rsid w:val="06EC56CE"/>
    <w:rsid w:val="06EE2458"/>
    <w:rsid w:val="06F35CC1"/>
    <w:rsid w:val="06F5714A"/>
    <w:rsid w:val="07272FEF"/>
    <w:rsid w:val="07611FC2"/>
    <w:rsid w:val="07656BC6"/>
    <w:rsid w:val="076B5857"/>
    <w:rsid w:val="07810992"/>
    <w:rsid w:val="07A86617"/>
    <w:rsid w:val="07AA7818"/>
    <w:rsid w:val="07AD51E5"/>
    <w:rsid w:val="07B23BEC"/>
    <w:rsid w:val="07C766EF"/>
    <w:rsid w:val="07D8612D"/>
    <w:rsid w:val="07F6398C"/>
    <w:rsid w:val="080F5EFD"/>
    <w:rsid w:val="082776F6"/>
    <w:rsid w:val="083234D9"/>
    <w:rsid w:val="08357E18"/>
    <w:rsid w:val="0838123A"/>
    <w:rsid w:val="08677673"/>
    <w:rsid w:val="087C6132"/>
    <w:rsid w:val="0883027E"/>
    <w:rsid w:val="08833E24"/>
    <w:rsid w:val="088A5F46"/>
    <w:rsid w:val="08954DFE"/>
    <w:rsid w:val="08966904"/>
    <w:rsid w:val="08C276F9"/>
    <w:rsid w:val="08CB2A51"/>
    <w:rsid w:val="08CD60C2"/>
    <w:rsid w:val="08DC07EE"/>
    <w:rsid w:val="08DD1D65"/>
    <w:rsid w:val="08E17195"/>
    <w:rsid w:val="09023E0B"/>
    <w:rsid w:val="090E10A8"/>
    <w:rsid w:val="091C1637"/>
    <w:rsid w:val="094E5EB9"/>
    <w:rsid w:val="09647A9E"/>
    <w:rsid w:val="096C67E0"/>
    <w:rsid w:val="09866978"/>
    <w:rsid w:val="09966D7A"/>
    <w:rsid w:val="0A186A74"/>
    <w:rsid w:val="0A236287"/>
    <w:rsid w:val="0A551F45"/>
    <w:rsid w:val="0A613B29"/>
    <w:rsid w:val="0A690634"/>
    <w:rsid w:val="0A756EBC"/>
    <w:rsid w:val="0A7D421F"/>
    <w:rsid w:val="0AA04A43"/>
    <w:rsid w:val="0AA350C7"/>
    <w:rsid w:val="0AB16EAD"/>
    <w:rsid w:val="0AB2552F"/>
    <w:rsid w:val="0AC14905"/>
    <w:rsid w:val="0AC77248"/>
    <w:rsid w:val="0AC927D0"/>
    <w:rsid w:val="0ACF3595"/>
    <w:rsid w:val="0AE67C59"/>
    <w:rsid w:val="0AEB64A8"/>
    <w:rsid w:val="0AEC0A3A"/>
    <w:rsid w:val="0AED05B0"/>
    <w:rsid w:val="0AED3445"/>
    <w:rsid w:val="0AF93542"/>
    <w:rsid w:val="0B095B30"/>
    <w:rsid w:val="0B14392D"/>
    <w:rsid w:val="0B276F9A"/>
    <w:rsid w:val="0B37679D"/>
    <w:rsid w:val="0B416FFB"/>
    <w:rsid w:val="0B48684A"/>
    <w:rsid w:val="0B4C599F"/>
    <w:rsid w:val="0B533B29"/>
    <w:rsid w:val="0B5A04AF"/>
    <w:rsid w:val="0B631A54"/>
    <w:rsid w:val="0B7A39FF"/>
    <w:rsid w:val="0B857C26"/>
    <w:rsid w:val="0B940A17"/>
    <w:rsid w:val="0B9639FD"/>
    <w:rsid w:val="0BA85D3A"/>
    <w:rsid w:val="0BD45D3D"/>
    <w:rsid w:val="0BE0144B"/>
    <w:rsid w:val="0BE10566"/>
    <w:rsid w:val="0BF401BE"/>
    <w:rsid w:val="0C3236E7"/>
    <w:rsid w:val="0C596B87"/>
    <w:rsid w:val="0C6D71DA"/>
    <w:rsid w:val="0C7762F8"/>
    <w:rsid w:val="0C886EAB"/>
    <w:rsid w:val="0C966E81"/>
    <w:rsid w:val="0CD31EEE"/>
    <w:rsid w:val="0CD93263"/>
    <w:rsid w:val="0CDF2ABA"/>
    <w:rsid w:val="0D077DD0"/>
    <w:rsid w:val="0D10137A"/>
    <w:rsid w:val="0D125C0A"/>
    <w:rsid w:val="0D196300"/>
    <w:rsid w:val="0D1F336B"/>
    <w:rsid w:val="0D472AE4"/>
    <w:rsid w:val="0D583C4A"/>
    <w:rsid w:val="0D5864B2"/>
    <w:rsid w:val="0D5D20E6"/>
    <w:rsid w:val="0D604566"/>
    <w:rsid w:val="0D6A1AC0"/>
    <w:rsid w:val="0D8E73AA"/>
    <w:rsid w:val="0D9A0057"/>
    <w:rsid w:val="0DA33F9D"/>
    <w:rsid w:val="0DB35B58"/>
    <w:rsid w:val="0DBC0C0C"/>
    <w:rsid w:val="0DCA6D17"/>
    <w:rsid w:val="0DF34EEA"/>
    <w:rsid w:val="0DF53D0E"/>
    <w:rsid w:val="0E4929AB"/>
    <w:rsid w:val="0E5F51CF"/>
    <w:rsid w:val="0E60507D"/>
    <w:rsid w:val="0E627BBF"/>
    <w:rsid w:val="0E6A1E1E"/>
    <w:rsid w:val="0E7C4C67"/>
    <w:rsid w:val="0E7F0D2E"/>
    <w:rsid w:val="0E963C30"/>
    <w:rsid w:val="0E9C617E"/>
    <w:rsid w:val="0EA12D23"/>
    <w:rsid w:val="0EAA475B"/>
    <w:rsid w:val="0EC02A06"/>
    <w:rsid w:val="0ECD4593"/>
    <w:rsid w:val="0ED92A5D"/>
    <w:rsid w:val="0EE0696C"/>
    <w:rsid w:val="0F242BC3"/>
    <w:rsid w:val="0F36630C"/>
    <w:rsid w:val="0F543075"/>
    <w:rsid w:val="0F595A5B"/>
    <w:rsid w:val="0F6C3D73"/>
    <w:rsid w:val="0F720FBB"/>
    <w:rsid w:val="0F7B764B"/>
    <w:rsid w:val="0F7F7CC9"/>
    <w:rsid w:val="0F866934"/>
    <w:rsid w:val="0F87344A"/>
    <w:rsid w:val="0F8825C5"/>
    <w:rsid w:val="0FC92877"/>
    <w:rsid w:val="0FD13902"/>
    <w:rsid w:val="0FD41F31"/>
    <w:rsid w:val="0FF245EB"/>
    <w:rsid w:val="0FF32D02"/>
    <w:rsid w:val="100067E7"/>
    <w:rsid w:val="103E73DD"/>
    <w:rsid w:val="104D6C53"/>
    <w:rsid w:val="1051038C"/>
    <w:rsid w:val="10547186"/>
    <w:rsid w:val="105A3E1A"/>
    <w:rsid w:val="10746FAE"/>
    <w:rsid w:val="1082485A"/>
    <w:rsid w:val="109C2F25"/>
    <w:rsid w:val="109C580E"/>
    <w:rsid w:val="10A673D3"/>
    <w:rsid w:val="10A87615"/>
    <w:rsid w:val="10AF2C58"/>
    <w:rsid w:val="10BE4C49"/>
    <w:rsid w:val="10C9732B"/>
    <w:rsid w:val="10CF4C25"/>
    <w:rsid w:val="10CF50A9"/>
    <w:rsid w:val="10D01A7F"/>
    <w:rsid w:val="10ED0901"/>
    <w:rsid w:val="10F378F4"/>
    <w:rsid w:val="10F55783"/>
    <w:rsid w:val="10F84557"/>
    <w:rsid w:val="11130656"/>
    <w:rsid w:val="111814CE"/>
    <w:rsid w:val="11210922"/>
    <w:rsid w:val="1129179A"/>
    <w:rsid w:val="112B6B7F"/>
    <w:rsid w:val="11423ACC"/>
    <w:rsid w:val="114306D4"/>
    <w:rsid w:val="114D4ECA"/>
    <w:rsid w:val="1170203B"/>
    <w:rsid w:val="11706E6D"/>
    <w:rsid w:val="11754E74"/>
    <w:rsid w:val="117D2D05"/>
    <w:rsid w:val="117D68B3"/>
    <w:rsid w:val="1181033B"/>
    <w:rsid w:val="11881DE2"/>
    <w:rsid w:val="11895B2B"/>
    <w:rsid w:val="11B562D3"/>
    <w:rsid w:val="11CC15E8"/>
    <w:rsid w:val="11FF44AE"/>
    <w:rsid w:val="1214215E"/>
    <w:rsid w:val="12303925"/>
    <w:rsid w:val="12356305"/>
    <w:rsid w:val="12506C20"/>
    <w:rsid w:val="128B1ADC"/>
    <w:rsid w:val="12A400B1"/>
    <w:rsid w:val="12AF5F7A"/>
    <w:rsid w:val="12EB69CE"/>
    <w:rsid w:val="13053004"/>
    <w:rsid w:val="13054DB2"/>
    <w:rsid w:val="132A57E8"/>
    <w:rsid w:val="133D0693"/>
    <w:rsid w:val="13465BC3"/>
    <w:rsid w:val="13474E97"/>
    <w:rsid w:val="13773798"/>
    <w:rsid w:val="1379231B"/>
    <w:rsid w:val="13854EAE"/>
    <w:rsid w:val="139E5A9A"/>
    <w:rsid w:val="13A66595"/>
    <w:rsid w:val="13B53D9F"/>
    <w:rsid w:val="13BA51EA"/>
    <w:rsid w:val="13BB084D"/>
    <w:rsid w:val="13CA1266"/>
    <w:rsid w:val="13CF1179"/>
    <w:rsid w:val="13E94203"/>
    <w:rsid w:val="13F15346"/>
    <w:rsid w:val="13F50372"/>
    <w:rsid w:val="140B4594"/>
    <w:rsid w:val="140D6614"/>
    <w:rsid w:val="140E3D0B"/>
    <w:rsid w:val="141A042D"/>
    <w:rsid w:val="14303E7D"/>
    <w:rsid w:val="143431C3"/>
    <w:rsid w:val="143F392F"/>
    <w:rsid w:val="14442727"/>
    <w:rsid w:val="14492E77"/>
    <w:rsid w:val="145B492E"/>
    <w:rsid w:val="146513CE"/>
    <w:rsid w:val="147E52F8"/>
    <w:rsid w:val="14816319"/>
    <w:rsid w:val="14826B88"/>
    <w:rsid w:val="1485023A"/>
    <w:rsid w:val="14961447"/>
    <w:rsid w:val="14AF52CE"/>
    <w:rsid w:val="14B64AA4"/>
    <w:rsid w:val="14B67DA5"/>
    <w:rsid w:val="14CF6C0E"/>
    <w:rsid w:val="14F30B2B"/>
    <w:rsid w:val="14F5559D"/>
    <w:rsid w:val="15090FA6"/>
    <w:rsid w:val="150E63D4"/>
    <w:rsid w:val="15340A5C"/>
    <w:rsid w:val="15604361"/>
    <w:rsid w:val="156E6427"/>
    <w:rsid w:val="15784BF0"/>
    <w:rsid w:val="15B55363"/>
    <w:rsid w:val="15C169AC"/>
    <w:rsid w:val="15C943BA"/>
    <w:rsid w:val="15C947BC"/>
    <w:rsid w:val="15D078F9"/>
    <w:rsid w:val="15DA526A"/>
    <w:rsid w:val="15E20504"/>
    <w:rsid w:val="15E77CBD"/>
    <w:rsid w:val="15FB0364"/>
    <w:rsid w:val="160B3089"/>
    <w:rsid w:val="16117D48"/>
    <w:rsid w:val="161E3F46"/>
    <w:rsid w:val="162E0AC3"/>
    <w:rsid w:val="164B41EA"/>
    <w:rsid w:val="167034B5"/>
    <w:rsid w:val="167E0152"/>
    <w:rsid w:val="16864046"/>
    <w:rsid w:val="16865F56"/>
    <w:rsid w:val="169721C5"/>
    <w:rsid w:val="16993E12"/>
    <w:rsid w:val="16A21652"/>
    <w:rsid w:val="16C3745D"/>
    <w:rsid w:val="16D73273"/>
    <w:rsid w:val="16E1175C"/>
    <w:rsid w:val="16F615E1"/>
    <w:rsid w:val="16F62850"/>
    <w:rsid w:val="17085D7B"/>
    <w:rsid w:val="174671E3"/>
    <w:rsid w:val="1767787C"/>
    <w:rsid w:val="178F7340"/>
    <w:rsid w:val="17A12968"/>
    <w:rsid w:val="17AE77A3"/>
    <w:rsid w:val="17CD1386"/>
    <w:rsid w:val="17EE4066"/>
    <w:rsid w:val="18110CF1"/>
    <w:rsid w:val="18336D8A"/>
    <w:rsid w:val="183F1D11"/>
    <w:rsid w:val="184460DC"/>
    <w:rsid w:val="186758BD"/>
    <w:rsid w:val="18743D16"/>
    <w:rsid w:val="1879406F"/>
    <w:rsid w:val="188E4285"/>
    <w:rsid w:val="18923192"/>
    <w:rsid w:val="18A03A8F"/>
    <w:rsid w:val="18C4651B"/>
    <w:rsid w:val="1913373C"/>
    <w:rsid w:val="192C1745"/>
    <w:rsid w:val="192F2891"/>
    <w:rsid w:val="193759CE"/>
    <w:rsid w:val="193C0384"/>
    <w:rsid w:val="19561140"/>
    <w:rsid w:val="1964098F"/>
    <w:rsid w:val="19660898"/>
    <w:rsid w:val="19741B41"/>
    <w:rsid w:val="197B6EE4"/>
    <w:rsid w:val="19801636"/>
    <w:rsid w:val="19965E61"/>
    <w:rsid w:val="19AC7816"/>
    <w:rsid w:val="19C01C6D"/>
    <w:rsid w:val="19CD4C5A"/>
    <w:rsid w:val="19D27DA3"/>
    <w:rsid w:val="19E26DAC"/>
    <w:rsid w:val="19E32196"/>
    <w:rsid w:val="19E905F6"/>
    <w:rsid w:val="1A063F55"/>
    <w:rsid w:val="1A2924A5"/>
    <w:rsid w:val="1A2B2ECD"/>
    <w:rsid w:val="1A330456"/>
    <w:rsid w:val="1A3641C6"/>
    <w:rsid w:val="1A69031C"/>
    <w:rsid w:val="1A7433B7"/>
    <w:rsid w:val="1A7D325E"/>
    <w:rsid w:val="1A81585F"/>
    <w:rsid w:val="1A8A114C"/>
    <w:rsid w:val="1A903AFB"/>
    <w:rsid w:val="1A9D26D5"/>
    <w:rsid w:val="1ABF7F3C"/>
    <w:rsid w:val="1AC6675E"/>
    <w:rsid w:val="1ACE3F43"/>
    <w:rsid w:val="1AE94111"/>
    <w:rsid w:val="1B0433A1"/>
    <w:rsid w:val="1B075EB3"/>
    <w:rsid w:val="1B304996"/>
    <w:rsid w:val="1B3A2729"/>
    <w:rsid w:val="1B3C333B"/>
    <w:rsid w:val="1B55025B"/>
    <w:rsid w:val="1B5A7181"/>
    <w:rsid w:val="1B631C4E"/>
    <w:rsid w:val="1B723200"/>
    <w:rsid w:val="1B7E18D3"/>
    <w:rsid w:val="1B814E26"/>
    <w:rsid w:val="1B9D3B8B"/>
    <w:rsid w:val="1BAB1DBB"/>
    <w:rsid w:val="1BAF5235"/>
    <w:rsid w:val="1BC55301"/>
    <w:rsid w:val="1BE614F8"/>
    <w:rsid w:val="1C19367C"/>
    <w:rsid w:val="1C1E2754"/>
    <w:rsid w:val="1C225C02"/>
    <w:rsid w:val="1C235E41"/>
    <w:rsid w:val="1C252021"/>
    <w:rsid w:val="1C2920DB"/>
    <w:rsid w:val="1C577B84"/>
    <w:rsid w:val="1C5C4756"/>
    <w:rsid w:val="1C682378"/>
    <w:rsid w:val="1C691F5E"/>
    <w:rsid w:val="1C6C09D5"/>
    <w:rsid w:val="1C777889"/>
    <w:rsid w:val="1C932D3D"/>
    <w:rsid w:val="1CA44A0F"/>
    <w:rsid w:val="1CBB2985"/>
    <w:rsid w:val="1CBD62EE"/>
    <w:rsid w:val="1CC62A2C"/>
    <w:rsid w:val="1CD203FA"/>
    <w:rsid w:val="1CD8208F"/>
    <w:rsid w:val="1CD960BC"/>
    <w:rsid w:val="1CDA346B"/>
    <w:rsid w:val="1CE3470D"/>
    <w:rsid w:val="1CF739BD"/>
    <w:rsid w:val="1D3C7D94"/>
    <w:rsid w:val="1D4E5FC1"/>
    <w:rsid w:val="1D7577F8"/>
    <w:rsid w:val="1D767C76"/>
    <w:rsid w:val="1D8B324F"/>
    <w:rsid w:val="1D8F2F1D"/>
    <w:rsid w:val="1D90008F"/>
    <w:rsid w:val="1D97460A"/>
    <w:rsid w:val="1D98237B"/>
    <w:rsid w:val="1DAD2265"/>
    <w:rsid w:val="1DC57B03"/>
    <w:rsid w:val="1DC968A8"/>
    <w:rsid w:val="1DCA10D2"/>
    <w:rsid w:val="1DDF351A"/>
    <w:rsid w:val="1DE4094A"/>
    <w:rsid w:val="1DE44205"/>
    <w:rsid w:val="1DF80BEA"/>
    <w:rsid w:val="1DFF0A15"/>
    <w:rsid w:val="1E0565AE"/>
    <w:rsid w:val="1E344BB7"/>
    <w:rsid w:val="1E4644CC"/>
    <w:rsid w:val="1E625CFB"/>
    <w:rsid w:val="1E786D7F"/>
    <w:rsid w:val="1EA731B6"/>
    <w:rsid w:val="1EC63F7A"/>
    <w:rsid w:val="1ECD07F1"/>
    <w:rsid w:val="1ED31E03"/>
    <w:rsid w:val="1EDB0354"/>
    <w:rsid w:val="1EE36EF9"/>
    <w:rsid w:val="1F29296D"/>
    <w:rsid w:val="1F3870E9"/>
    <w:rsid w:val="1F5C7409"/>
    <w:rsid w:val="1F6A3BAE"/>
    <w:rsid w:val="1F770A46"/>
    <w:rsid w:val="1FB3007D"/>
    <w:rsid w:val="1FBE6D9E"/>
    <w:rsid w:val="1FC86FB2"/>
    <w:rsid w:val="1FCD6C57"/>
    <w:rsid w:val="1FCF761E"/>
    <w:rsid w:val="1FE0043D"/>
    <w:rsid w:val="1FF22B46"/>
    <w:rsid w:val="1FF340AD"/>
    <w:rsid w:val="20017C8D"/>
    <w:rsid w:val="200F7270"/>
    <w:rsid w:val="20210D51"/>
    <w:rsid w:val="20250841"/>
    <w:rsid w:val="20424EC8"/>
    <w:rsid w:val="2061112D"/>
    <w:rsid w:val="20680AB3"/>
    <w:rsid w:val="206E7C3C"/>
    <w:rsid w:val="208B3AD2"/>
    <w:rsid w:val="208D5545"/>
    <w:rsid w:val="209542E2"/>
    <w:rsid w:val="2099378E"/>
    <w:rsid w:val="209E0AF5"/>
    <w:rsid w:val="20A82633"/>
    <w:rsid w:val="20AF1471"/>
    <w:rsid w:val="20C3677A"/>
    <w:rsid w:val="20CC3B5F"/>
    <w:rsid w:val="20CD4D43"/>
    <w:rsid w:val="20D91FEB"/>
    <w:rsid w:val="20E9477C"/>
    <w:rsid w:val="20EC03FB"/>
    <w:rsid w:val="211E47B1"/>
    <w:rsid w:val="213B0E23"/>
    <w:rsid w:val="214F751D"/>
    <w:rsid w:val="21805DD1"/>
    <w:rsid w:val="21822AB8"/>
    <w:rsid w:val="219B3920"/>
    <w:rsid w:val="219E4720"/>
    <w:rsid w:val="21BF6859"/>
    <w:rsid w:val="21DB0BBB"/>
    <w:rsid w:val="21E066F1"/>
    <w:rsid w:val="21FD6753"/>
    <w:rsid w:val="22047442"/>
    <w:rsid w:val="22060D0A"/>
    <w:rsid w:val="22093038"/>
    <w:rsid w:val="22277930"/>
    <w:rsid w:val="222A4EF1"/>
    <w:rsid w:val="22405DB1"/>
    <w:rsid w:val="22491AAF"/>
    <w:rsid w:val="224C7E9B"/>
    <w:rsid w:val="225812B3"/>
    <w:rsid w:val="228B768D"/>
    <w:rsid w:val="22A75387"/>
    <w:rsid w:val="22AC524A"/>
    <w:rsid w:val="22B1623E"/>
    <w:rsid w:val="22B84E04"/>
    <w:rsid w:val="23061CAF"/>
    <w:rsid w:val="230963C7"/>
    <w:rsid w:val="231F74AD"/>
    <w:rsid w:val="23206105"/>
    <w:rsid w:val="232F03F5"/>
    <w:rsid w:val="23300ECB"/>
    <w:rsid w:val="233A1C60"/>
    <w:rsid w:val="23522EA0"/>
    <w:rsid w:val="2366364A"/>
    <w:rsid w:val="23821018"/>
    <w:rsid w:val="23835116"/>
    <w:rsid w:val="23943D0E"/>
    <w:rsid w:val="239A32F4"/>
    <w:rsid w:val="23A44173"/>
    <w:rsid w:val="23A73CB8"/>
    <w:rsid w:val="23AF33C6"/>
    <w:rsid w:val="23BC0851"/>
    <w:rsid w:val="23D63E81"/>
    <w:rsid w:val="23F8626D"/>
    <w:rsid w:val="23FA517B"/>
    <w:rsid w:val="23FE2357"/>
    <w:rsid w:val="240B50B5"/>
    <w:rsid w:val="241F7AA4"/>
    <w:rsid w:val="244A5ABB"/>
    <w:rsid w:val="247C39A0"/>
    <w:rsid w:val="247E2E11"/>
    <w:rsid w:val="24803532"/>
    <w:rsid w:val="24881B3D"/>
    <w:rsid w:val="24A769E9"/>
    <w:rsid w:val="24C63A20"/>
    <w:rsid w:val="24D37CBE"/>
    <w:rsid w:val="24DD793C"/>
    <w:rsid w:val="24DF31A3"/>
    <w:rsid w:val="24E3320E"/>
    <w:rsid w:val="24FB302E"/>
    <w:rsid w:val="25056E93"/>
    <w:rsid w:val="251F3280"/>
    <w:rsid w:val="252E18B4"/>
    <w:rsid w:val="25416241"/>
    <w:rsid w:val="25472A30"/>
    <w:rsid w:val="25476B65"/>
    <w:rsid w:val="256B0F89"/>
    <w:rsid w:val="25723451"/>
    <w:rsid w:val="25744CC0"/>
    <w:rsid w:val="25931026"/>
    <w:rsid w:val="25A62424"/>
    <w:rsid w:val="25A75937"/>
    <w:rsid w:val="25BC5CB5"/>
    <w:rsid w:val="25C25F8A"/>
    <w:rsid w:val="25D061BB"/>
    <w:rsid w:val="25D11C41"/>
    <w:rsid w:val="2603366F"/>
    <w:rsid w:val="260A1D53"/>
    <w:rsid w:val="260D5FFF"/>
    <w:rsid w:val="260E1D77"/>
    <w:rsid w:val="26140373"/>
    <w:rsid w:val="26175576"/>
    <w:rsid w:val="261F5B7A"/>
    <w:rsid w:val="262275D1"/>
    <w:rsid w:val="26260703"/>
    <w:rsid w:val="2644546E"/>
    <w:rsid w:val="264E7AE5"/>
    <w:rsid w:val="265C6F87"/>
    <w:rsid w:val="26610719"/>
    <w:rsid w:val="266427D3"/>
    <w:rsid w:val="266A20D1"/>
    <w:rsid w:val="266C293C"/>
    <w:rsid w:val="266D3525"/>
    <w:rsid w:val="2675674A"/>
    <w:rsid w:val="26770BEE"/>
    <w:rsid w:val="26812549"/>
    <w:rsid w:val="26846979"/>
    <w:rsid w:val="268B606C"/>
    <w:rsid w:val="268D3A21"/>
    <w:rsid w:val="26B43466"/>
    <w:rsid w:val="26B53FC9"/>
    <w:rsid w:val="26EE4083"/>
    <w:rsid w:val="27074947"/>
    <w:rsid w:val="27273C5D"/>
    <w:rsid w:val="272A0E33"/>
    <w:rsid w:val="27305F3A"/>
    <w:rsid w:val="276964E0"/>
    <w:rsid w:val="27771461"/>
    <w:rsid w:val="27A26C29"/>
    <w:rsid w:val="27B22181"/>
    <w:rsid w:val="27D637DA"/>
    <w:rsid w:val="27DE115B"/>
    <w:rsid w:val="27FC3EFE"/>
    <w:rsid w:val="280C2F29"/>
    <w:rsid w:val="281226B9"/>
    <w:rsid w:val="285C2120"/>
    <w:rsid w:val="28662C22"/>
    <w:rsid w:val="28785447"/>
    <w:rsid w:val="287E31E4"/>
    <w:rsid w:val="2895234A"/>
    <w:rsid w:val="289F2FF8"/>
    <w:rsid w:val="28B30360"/>
    <w:rsid w:val="28B44557"/>
    <w:rsid w:val="28D63AF7"/>
    <w:rsid w:val="28FF44FC"/>
    <w:rsid w:val="292F5160"/>
    <w:rsid w:val="293264B0"/>
    <w:rsid w:val="293B442F"/>
    <w:rsid w:val="293E708B"/>
    <w:rsid w:val="294F1EA5"/>
    <w:rsid w:val="2951456F"/>
    <w:rsid w:val="29587400"/>
    <w:rsid w:val="296D6B85"/>
    <w:rsid w:val="2970518F"/>
    <w:rsid w:val="29982084"/>
    <w:rsid w:val="29A02B64"/>
    <w:rsid w:val="29B95D7E"/>
    <w:rsid w:val="29BD120F"/>
    <w:rsid w:val="29C769C8"/>
    <w:rsid w:val="29CC7A9D"/>
    <w:rsid w:val="29D016F8"/>
    <w:rsid w:val="29DA6ED0"/>
    <w:rsid w:val="29E01003"/>
    <w:rsid w:val="29F36D30"/>
    <w:rsid w:val="29F85218"/>
    <w:rsid w:val="2A0C4CCF"/>
    <w:rsid w:val="2A1A2B8E"/>
    <w:rsid w:val="2A500B96"/>
    <w:rsid w:val="2A594F8B"/>
    <w:rsid w:val="2A6653CE"/>
    <w:rsid w:val="2AA2085A"/>
    <w:rsid w:val="2AA826D0"/>
    <w:rsid w:val="2ACF5A8C"/>
    <w:rsid w:val="2ADF4AAE"/>
    <w:rsid w:val="2AE53CE8"/>
    <w:rsid w:val="2AEC737C"/>
    <w:rsid w:val="2AF4502B"/>
    <w:rsid w:val="2AF51552"/>
    <w:rsid w:val="2B074524"/>
    <w:rsid w:val="2B2621F1"/>
    <w:rsid w:val="2B4A6A01"/>
    <w:rsid w:val="2B621E24"/>
    <w:rsid w:val="2B833DCF"/>
    <w:rsid w:val="2B9C72A6"/>
    <w:rsid w:val="2BAC56A1"/>
    <w:rsid w:val="2BD31A99"/>
    <w:rsid w:val="2BEA69B2"/>
    <w:rsid w:val="2C1553C3"/>
    <w:rsid w:val="2C18524B"/>
    <w:rsid w:val="2C1E46C1"/>
    <w:rsid w:val="2C2F3124"/>
    <w:rsid w:val="2C5018BD"/>
    <w:rsid w:val="2C584791"/>
    <w:rsid w:val="2C640A05"/>
    <w:rsid w:val="2C854463"/>
    <w:rsid w:val="2C972AC7"/>
    <w:rsid w:val="2CA02338"/>
    <w:rsid w:val="2CB05897"/>
    <w:rsid w:val="2CB75795"/>
    <w:rsid w:val="2CB949F3"/>
    <w:rsid w:val="2CE11404"/>
    <w:rsid w:val="2CEC3704"/>
    <w:rsid w:val="2CF27CFD"/>
    <w:rsid w:val="2D421BE0"/>
    <w:rsid w:val="2D474B6D"/>
    <w:rsid w:val="2D4B7180"/>
    <w:rsid w:val="2D4C2233"/>
    <w:rsid w:val="2D546C0A"/>
    <w:rsid w:val="2D752421"/>
    <w:rsid w:val="2D7E033B"/>
    <w:rsid w:val="2D8E201B"/>
    <w:rsid w:val="2D962D8D"/>
    <w:rsid w:val="2DA65AC5"/>
    <w:rsid w:val="2DB5595A"/>
    <w:rsid w:val="2DD14808"/>
    <w:rsid w:val="2DD30C45"/>
    <w:rsid w:val="2DDC0D17"/>
    <w:rsid w:val="2DF73A8E"/>
    <w:rsid w:val="2DF950BB"/>
    <w:rsid w:val="2E026666"/>
    <w:rsid w:val="2E2379BC"/>
    <w:rsid w:val="2E293021"/>
    <w:rsid w:val="2E3C1B78"/>
    <w:rsid w:val="2E3D02E5"/>
    <w:rsid w:val="2E697A92"/>
    <w:rsid w:val="2E6E5AA9"/>
    <w:rsid w:val="2E7F2464"/>
    <w:rsid w:val="2E8B0A6F"/>
    <w:rsid w:val="2E8C5F2F"/>
    <w:rsid w:val="2E92294E"/>
    <w:rsid w:val="2EBC2658"/>
    <w:rsid w:val="2EBE7EAF"/>
    <w:rsid w:val="2EE2476D"/>
    <w:rsid w:val="2EE87609"/>
    <w:rsid w:val="2EFD080A"/>
    <w:rsid w:val="2EFE1015"/>
    <w:rsid w:val="2F022252"/>
    <w:rsid w:val="2F264155"/>
    <w:rsid w:val="2F363FD0"/>
    <w:rsid w:val="2F3660FB"/>
    <w:rsid w:val="2F382AB3"/>
    <w:rsid w:val="2F391C13"/>
    <w:rsid w:val="2F3D146B"/>
    <w:rsid w:val="2F4C602F"/>
    <w:rsid w:val="2F59024D"/>
    <w:rsid w:val="2F643F8E"/>
    <w:rsid w:val="2F6971AB"/>
    <w:rsid w:val="2F714C1D"/>
    <w:rsid w:val="2F7B5235"/>
    <w:rsid w:val="2F7D607E"/>
    <w:rsid w:val="2F8C268B"/>
    <w:rsid w:val="2FB058A3"/>
    <w:rsid w:val="2FB44929"/>
    <w:rsid w:val="2FE23FCB"/>
    <w:rsid w:val="2FE80829"/>
    <w:rsid w:val="300466C5"/>
    <w:rsid w:val="300D7E33"/>
    <w:rsid w:val="301F34FF"/>
    <w:rsid w:val="30387810"/>
    <w:rsid w:val="30424923"/>
    <w:rsid w:val="305F0E93"/>
    <w:rsid w:val="30637F81"/>
    <w:rsid w:val="308C66BA"/>
    <w:rsid w:val="30EB68FA"/>
    <w:rsid w:val="30EE2ED1"/>
    <w:rsid w:val="31070819"/>
    <w:rsid w:val="310D28FD"/>
    <w:rsid w:val="312622CD"/>
    <w:rsid w:val="3129097E"/>
    <w:rsid w:val="313E0517"/>
    <w:rsid w:val="31603737"/>
    <w:rsid w:val="3163452A"/>
    <w:rsid w:val="31771119"/>
    <w:rsid w:val="3179279B"/>
    <w:rsid w:val="3199022D"/>
    <w:rsid w:val="31C132B8"/>
    <w:rsid w:val="31C15187"/>
    <w:rsid w:val="31C75BFC"/>
    <w:rsid w:val="31F65A58"/>
    <w:rsid w:val="31F97990"/>
    <w:rsid w:val="32020D52"/>
    <w:rsid w:val="320311F3"/>
    <w:rsid w:val="321109A1"/>
    <w:rsid w:val="32263C46"/>
    <w:rsid w:val="322E7A9C"/>
    <w:rsid w:val="323E5792"/>
    <w:rsid w:val="32435C17"/>
    <w:rsid w:val="325955AE"/>
    <w:rsid w:val="325F092B"/>
    <w:rsid w:val="327A560B"/>
    <w:rsid w:val="328E083B"/>
    <w:rsid w:val="32946148"/>
    <w:rsid w:val="32A457A0"/>
    <w:rsid w:val="32D700C1"/>
    <w:rsid w:val="32F55324"/>
    <w:rsid w:val="33022B65"/>
    <w:rsid w:val="33245508"/>
    <w:rsid w:val="33294EB7"/>
    <w:rsid w:val="33296DDC"/>
    <w:rsid w:val="33386686"/>
    <w:rsid w:val="33411378"/>
    <w:rsid w:val="334603F1"/>
    <w:rsid w:val="33552E44"/>
    <w:rsid w:val="33655BA2"/>
    <w:rsid w:val="33717CFD"/>
    <w:rsid w:val="33C27602"/>
    <w:rsid w:val="33C51E92"/>
    <w:rsid w:val="33E16B0C"/>
    <w:rsid w:val="33EE77D1"/>
    <w:rsid w:val="340842AA"/>
    <w:rsid w:val="341A06B8"/>
    <w:rsid w:val="342A7C20"/>
    <w:rsid w:val="34345F13"/>
    <w:rsid w:val="344A48C2"/>
    <w:rsid w:val="34541A49"/>
    <w:rsid w:val="34543C79"/>
    <w:rsid w:val="345E7AE8"/>
    <w:rsid w:val="34761214"/>
    <w:rsid w:val="347B7B23"/>
    <w:rsid w:val="34832720"/>
    <w:rsid w:val="34866519"/>
    <w:rsid w:val="348773CD"/>
    <w:rsid w:val="34911C7D"/>
    <w:rsid w:val="349156A7"/>
    <w:rsid w:val="34940253"/>
    <w:rsid w:val="34A913BC"/>
    <w:rsid w:val="34BD4837"/>
    <w:rsid w:val="34D4475A"/>
    <w:rsid w:val="34DE118C"/>
    <w:rsid w:val="34E940DB"/>
    <w:rsid w:val="34F72F2B"/>
    <w:rsid w:val="34F8592A"/>
    <w:rsid w:val="350565C6"/>
    <w:rsid w:val="35171FC3"/>
    <w:rsid w:val="35324E37"/>
    <w:rsid w:val="35463A62"/>
    <w:rsid w:val="35522E02"/>
    <w:rsid w:val="356D6A09"/>
    <w:rsid w:val="357A4D33"/>
    <w:rsid w:val="35852EE6"/>
    <w:rsid w:val="359B10BA"/>
    <w:rsid w:val="35A515F1"/>
    <w:rsid w:val="35DF7319"/>
    <w:rsid w:val="36032233"/>
    <w:rsid w:val="361362EA"/>
    <w:rsid w:val="361C228F"/>
    <w:rsid w:val="36301CAE"/>
    <w:rsid w:val="36674C84"/>
    <w:rsid w:val="366B14B6"/>
    <w:rsid w:val="36847F4C"/>
    <w:rsid w:val="369179E3"/>
    <w:rsid w:val="369932CA"/>
    <w:rsid w:val="36A24CBE"/>
    <w:rsid w:val="36B32FDF"/>
    <w:rsid w:val="36BC7D30"/>
    <w:rsid w:val="36C76579"/>
    <w:rsid w:val="36D44E98"/>
    <w:rsid w:val="36DB3EF8"/>
    <w:rsid w:val="36E81580"/>
    <w:rsid w:val="36EC2A2B"/>
    <w:rsid w:val="36EF34FF"/>
    <w:rsid w:val="36F30C44"/>
    <w:rsid w:val="372E09F2"/>
    <w:rsid w:val="37534083"/>
    <w:rsid w:val="37543839"/>
    <w:rsid w:val="37585C03"/>
    <w:rsid w:val="37691503"/>
    <w:rsid w:val="376F3BFD"/>
    <w:rsid w:val="37715C00"/>
    <w:rsid w:val="37775AE4"/>
    <w:rsid w:val="37893FE8"/>
    <w:rsid w:val="37AA778A"/>
    <w:rsid w:val="37B71B23"/>
    <w:rsid w:val="37B72222"/>
    <w:rsid w:val="37C327A6"/>
    <w:rsid w:val="37C66C9B"/>
    <w:rsid w:val="37CB1876"/>
    <w:rsid w:val="37E8067A"/>
    <w:rsid w:val="37EF25FC"/>
    <w:rsid w:val="37EF34CB"/>
    <w:rsid w:val="37F7421E"/>
    <w:rsid w:val="38134DDD"/>
    <w:rsid w:val="382472C8"/>
    <w:rsid w:val="38622B72"/>
    <w:rsid w:val="388372A8"/>
    <w:rsid w:val="38890D62"/>
    <w:rsid w:val="38AB6509"/>
    <w:rsid w:val="38AC7386"/>
    <w:rsid w:val="38C67BAB"/>
    <w:rsid w:val="38CA42F7"/>
    <w:rsid w:val="38F03CF0"/>
    <w:rsid w:val="39154A37"/>
    <w:rsid w:val="39243F17"/>
    <w:rsid w:val="393B142F"/>
    <w:rsid w:val="394A0E7B"/>
    <w:rsid w:val="394C66DD"/>
    <w:rsid w:val="39764D37"/>
    <w:rsid w:val="397B107A"/>
    <w:rsid w:val="397F19E8"/>
    <w:rsid w:val="3984791B"/>
    <w:rsid w:val="39AB6693"/>
    <w:rsid w:val="39F41558"/>
    <w:rsid w:val="39F6758D"/>
    <w:rsid w:val="3A0D2FC1"/>
    <w:rsid w:val="3A101E9A"/>
    <w:rsid w:val="3A2600D4"/>
    <w:rsid w:val="3A3C7179"/>
    <w:rsid w:val="3A7451E1"/>
    <w:rsid w:val="3A8420C2"/>
    <w:rsid w:val="3AA1107E"/>
    <w:rsid w:val="3AA71118"/>
    <w:rsid w:val="3AAB43EB"/>
    <w:rsid w:val="3AB93B70"/>
    <w:rsid w:val="3AC05546"/>
    <w:rsid w:val="3AC670FB"/>
    <w:rsid w:val="3AF15A98"/>
    <w:rsid w:val="3B1176AD"/>
    <w:rsid w:val="3B2C2F74"/>
    <w:rsid w:val="3B2E5A51"/>
    <w:rsid w:val="3B3616FD"/>
    <w:rsid w:val="3B3D0765"/>
    <w:rsid w:val="3B453BE2"/>
    <w:rsid w:val="3B50142C"/>
    <w:rsid w:val="3B506C62"/>
    <w:rsid w:val="3B7D23D0"/>
    <w:rsid w:val="3B802375"/>
    <w:rsid w:val="3B855041"/>
    <w:rsid w:val="3BB13E90"/>
    <w:rsid w:val="3BB84B37"/>
    <w:rsid w:val="3BC95E3A"/>
    <w:rsid w:val="3BCD2B88"/>
    <w:rsid w:val="3BE12804"/>
    <w:rsid w:val="3BEB24E7"/>
    <w:rsid w:val="3BEB698B"/>
    <w:rsid w:val="3BF33A92"/>
    <w:rsid w:val="3C266052"/>
    <w:rsid w:val="3C2F3A49"/>
    <w:rsid w:val="3C323850"/>
    <w:rsid w:val="3C3E2F5F"/>
    <w:rsid w:val="3C5263CE"/>
    <w:rsid w:val="3C634773"/>
    <w:rsid w:val="3C696293"/>
    <w:rsid w:val="3C6C7E8D"/>
    <w:rsid w:val="3C771991"/>
    <w:rsid w:val="3C9B6136"/>
    <w:rsid w:val="3CA12987"/>
    <w:rsid w:val="3CA40291"/>
    <w:rsid w:val="3CA82BF5"/>
    <w:rsid w:val="3CAA4535"/>
    <w:rsid w:val="3CBE5E4E"/>
    <w:rsid w:val="3CD76F0F"/>
    <w:rsid w:val="3CE93818"/>
    <w:rsid w:val="3CEF6007"/>
    <w:rsid w:val="3D0A1E70"/>
    <w:rsid w:val="3D2364DC"/>
    <w:rsid w:val="3D301047"/>
    <w:rsid w:val="3D3313E5"/>
    <w:rsid w:val="3D3922F5"/>
    <w:rsid w:val="3D5D16CB"/>
    <w:rsid w:val="3D622C7D"/>
    <w:rsid w:val="3D6A50D8"/>
    <w:rsid w:val="3D6E1622"/>
    <w:rsid w:val="3D942165"/>
    <w:rsid w:val="3D9D0729"/>
    <w:rsid w:val="3DAC39CF"/>
    <w:rsid w:val="3DAD79C3"/>
    <w:rsid w:val="3DAE434A"/>
    <w:rsid w:val="3DBD2964"/>
    <w:rsid w:val="3DC6320C"/>
    <w:rsid w:val="3DD360FB"/>
    <w:rsid w:val="3DDD0529"/>
    <w:rsid w:val="3DDD67A7"/>
    <w:rsid w:val="3DDE0AF1"/>
    <w:rsid w:val="3DDF6293"/>
    <w:rsid w:val="3DDF7E2A"/>
    <w:rsid w:val="3DFF24D9"/>
    <w:rsid w:val="3E164CD4"/>
    <w:rsid w:val="3E1B4CA2"/>
    <w:rsid w:val="3E23272F"/>
    <w:rsid w:val="3E234D34"/>
    <w:rsid w:val="3E434B77"/>
    <w:rsid w:val="3E4B6981"/>
    <w:rsid w:val="3E515734"/>
    <w:rsid w:val="3E595229"/>
    <w:rsid w:val="3E7E5894"/>
    <w:rsid w:val="3E8C3254"/>
    <w:rsid w:val="3E9055C8"/>
    <w:rsid w:val="3E9A3738"/>
    <w:rsid w:val="3EB13EE2"/>
    <w:rsid w:val="3EB21EC7"/>
    <w:rsid w:val="3EB80D47"/>
    <w:rsid w:val="3EBE084F"/>
    <w:rsid w:val="3EC139D3"/>
    <w:rsid w:val="3EC32B74"/>
    <w:rsid w:val="3ED23E32"/>
    <w:rsid w:val="3ED2622E"/>
    <w:rsid w:val="3ED92825"/>
    <w:rsid w:val="3EDB7087"/>
    <w:rsid w:val="3EE13847"/>
    <w:rsid w:val="3EFF28D2"/>
    <w:rsid w:val="3F062266"/>
    <w:rsid w:val="3F326DBB"/>
    <w:rsid w:val="3F3D5750"/>
    <w:rsid w:val="3F4E4B32"/>
    <w:rsid w:val="3F60143E"/>
    <w:rsid w:val="3F61039D"/>
    <w:rsid w:val="3F625101"/>
    <w:rsid w:val="3F6A5E19"/>
    <w:rsid w:val="3F787367"/>
    <w:rsid w:val="3F795070"/>
    <w:rsid w:val="3F7A6D73"/>
    <w:rsid w:val="3F7F7398"/>
    <w:rsid w:val="3FB035F2"/>
    <w:rsid w:val="3FD71BC8"/>
    <w:rsid w:val="3FDA1D33"/>
    <w:rsid w:val="3FE815EE"/>
    <w:rsid w:val="3FEB2035"/>
    <w:rsid w:val="400E0E9A"/>
    <w:rsid w:val="400E6225"/>
    <w:rsid w:val="40314A5B"/>
    <w:rsid w:val="40512B35"/>
    <w:rsid w:val="40614CD5"/>
    <w:rsid w:val="406A5EE6"/>
    <w:rsid w:val="40746E7C"/>
    <w:rsid w:val="407B2BDA"/>
    <w:rsid w:val="4086758E"/>
    <w:rsid w:val="409A0980"/>
    <w:rsid w:val="40A806BA"/>
    <w:rsid w:val="40AF0EDB"/>
    <w:rsid w:val="40DC05C4"/>
    <w:rsid w:val="40EC294D"/>
    <w:rsid w:val="40ED70EB"/>
    <w:rsid w:val="41007C3C"/>
    <w:rsid w:val="41062E66"/>
    <w:rsid w:val="412A517F"/>
    <w:rsid w:val="412F0C3F"/>
    <w:rsid w:val="41340BF0"/>
    <w:rsid w:val="41567FFC"/>
    <w:rsid w:val="41636264"/>
    <w:rsid w:val="416F5968"/>
    <w:rsid w:val="41792DFD"/>
    <w:rsid w:val="41881218"/>
    <w:rsid w:val="418C35EF"/>
    <w:rsid w:val="419F3437"/>
    <w:rsid w:val="41B74910"/>
    <w:rsid w:val="41BA52FE"/>
    <w:rsid w:val="41BC7A4D"/>
    <w:rsid w:val="41C55588"/>
    <w:rsid w:val="41CD1DB8"/>
    <w:rsid w:val="41DA0BDC"/>
    <w:rsid w:val="41FB2635"/>
    <w:rsid w:val="42007BC3"/>
    <w:rsid w:val="421315B6"/>
    <w:rsid w:val="421C222A"/>
    <w:rsid w:val="422723C1"/>
    <w:rsid w:val="423050F8"/>
    <w:rsid w:val="423C09A7"/>
    <w:rsid w:val="423C51F6"/>
    <w:rsid w:val="423D41B8"/>
    <w:rsid w:val="425C4492"/>
    <w:rsid w:val="426254CD"/>
    <w:rsid w:val="426C4941"/>
    <w:rsid w:val="426E3861"/>
    <w:rsid w:val="42776D38"/>
    <w:rsid w:val="427E59B9"/>
    <w:rsid w:val="42855E43"/>
    <w:rsid w:val="42867761"/>
    <w:rsid w:val="428A565E"/>
    <w:rsid w:val="42995FCE"/>
    <w:rsid w:val="42AC1AFD"/>
    <w:rsid w:val="42C534F8"/>
    <w:rsid w:val="42C80099"/>
    <w:rsid w:val="42D03DF9"/>
    <w:rsid w:val="42E004E2"/>
    <w:rsid w:val="42E67EAC"/>
    <w:rsid w:val="42EE5B4D"/>
    <w:rsid w:val="432418B7"/>
    <w:rsid w:val="432675D2"/>
    <w:rsid w:val="432B652E"/>
    <w:rsid w:val="43322CB6"/>
    <w:rsid w:val="433B5086"/>
    <w:rsid w:val="43421586"/>
    <w:rsid w:val="4351111A"/>
    <w:rsid w:val="435C3CCA"/>
    <w:rsid w:val="43782F6E"/>
    <w:rsid w:val="437958FB"/>
    <w:rsid w:val="43804A43"/>
    <w:rsid w:val="43883495"/>
    <w:rsid w:val="43891467"/>
    <w:rsid w:val="438A70CD"/>
    <w:rsid w:val="43A0243A"/>
    <w:rsid w:val="43A05748"/>
    <w:rsid w:val="43D877F5"/>
    <w:rsid w:val="43DC17D0"/>
    <w:rsid w:val="43EC66C0"/>
    <w:rsid w:val="441060A4"/>
    <w:rsid w:val="4438425E"/>
    <w:rsid w:val="443E46FC"/>
    <w:rsid w:val="444E27E0"/>
    <w:rsid w:val="44594502"/>
    <w:rsid w:val="445C25FF"/>
    <w:rsid w:val="446374FE"/>
    <w:rsid w:val="44696FA8"/>
    <w:rsid w:val="447778A6"/>
    <w:rsid w:val="44897E3F"/>
    <w:rsid w:val="448C151A"/>
    <w:rsid w:val="449A179A"/>
    <w:rsid w:val="44A75FC8"/>
    <w:rsid w:val="44AF78F9"/>
    <w:rsid w:val="44B505D2"/>
    <w:rsid w:val="44BB7408"/>
    <w:rsid w:val="44D12F1C"/>
    <w:rsid w:val="44D833CE"/>
    <w:rsid w:val="44E47A78"/>
    <w:rsid w:val="44F00EFA"/>
    <w:rsid w:val="44F248E6"/>
    <w:rsid w:val="44FF0AA4"/>
    <w:rsid w:val="450D7972"/>
    <w:rsid w:val="45201CD0"/>
    <w:rsid w:val="45280308"/>
    <w:rsid w:val="4538393C"/>
    <w:rsid w:val="45387273"/>
    <w:rsid w:val="453B4135"/>
    <w:rsid w:val="453B4205"/>
    <w:rsid w:val="453F29DF"/>
    <w:rsid w:val="45440DD2"/>
    <w:rsid w:val="45583E57"/>
    <w:rsid w:val="455C71C7"/>
    <w:rsid w:val="45965BB9"/>
    <w:rsid w:val="45A41345"/>
    <w:rsid w:val="45A95584"/>
    <w:rsid w:val="45AE5BA0"/>
    <w:rsid w:val="45BE0154"/>
    <w:rsid w:val="45C06792"/>
    <w:rsid w:val="45DF3F0B"/>
    <w:rsid w:val="45EB3020"/>
    <w:rsid w:val="45EE6EB3"/>
    <w:rsid w:val="45FD6F20"/>
    <w:rsid w:val="460074D7"/>
    <w:rsid w:val="460C1A5C"/>
    <w:rsid w:val="461934A2"/>
    <w:rsid w:val="464E1FF0"/>
    <w:rsid w:val="465E24AC"/>
    <w:rsid w:val="467F5DE0"/>
    <w:rsid w:val="46944964"/>
    <w:rsid w:val="469F284C"/>
    <w:rsid w:val="46A2058E"/>
    <w:rsid w:val="46B31D9B"/>
    <w:rsid w:val="46B40B6B"/>
    <w:rsid w:val="46B417D5"/>
    <w:rsid w:val="46B72F92"/>
    <w:rsid w:val="46C87FF5"/>
    <w:rsid w:val="46D64DD7"/>
    <w:rsid w:val="46F43BD9"/>
    <w:rsid w:val="470026F4"/>
    <w:rsid w:val="470B38B4"/>
    <w:rsid w:val="47170634"/>
    <w:rsid w:val="472C3214"/>
    <w:rsid w:val="473B494C"/>
    <w:rsid w:val="4757377B"/>
    <w:rsid w:val="475A3C5F"/>
    <w:rsid w:val="477E152E"/>
    <w:rsid w:val="47803EE3"/>
    <w:rsid w:val="478B5F81"/>
    <w:rsid w:val="47BA2279"/>
    <w:rsid w:val="47C01EFF"/>
    <w:rsid w:val="47CF53EA"/>
    <w:rsid w:val="47F4285A"/>
    <w:rsid w:val="481608EC"/>
    <w:rsid w:val="48164085"/>
    <w:rsid w:val="486218A8"/>
    <w:rsid w:val="489D056C"/>
    <w:rsid w:val="489D100D"/>
    <w:rsid w:val="48A279E5"/>
    <w:rsid w:val="48E5581B"/>
    <w:rsid w:val="48EB27B9"/>
    <w:rsid w:val="4902651C"/>
    <w:rsid w:val="492C1447"/>
    <w:rsid w:val="49301B95"/>
    <w:rsid w:val="4933371F"/>
    <w:rsid w:val="49720FA3"/>
    <w:rsid w:val="49836455"/>
    <w:rsid w:val="499573D5"/>
    <w:rsid w:val="49A445B1"/>
    <w:rsid w:val="49A52622"/>
    <w:rsid w:val="49BB4DFF"/>
    <w:rsid w:val="49D40030"/>
    <w:rsid w:val="49DD3E4B"/>
    <w:rsid w:val="49F60647"/>
    <w:rsid w:val="49F71C8B"/>
    <w:rsid w:val="49FC5DE1"/>
    <w:rsid w:val="4A027711"/>
    <w:rsid w:val="4A112E27"/>
    <w:rsid w:val="4A5078FD"/>
    <w:rsid w:val="4A6B109E"/>
    <w:rsid w:val="4A7E6C1C"/>
    <w:rsid w:val="4A9B77CE"/>
    <w:rsid w:val="4AAB7AF7"/>
    <w:rsid w:val="4ABA6312"/>
    <w:rsid w:val="4ABF7122"/>
    <w:rsid w:val="4AC175BC"/>
    <w:rsid w:val="4AD4658B"/>
    <w:rsid w:val="4AD9673E"/>
    <w:rsid w:val="4AE9143A"/>
    <w:rsid w:val="4AEA43A1"/>
    <w:rsid w:val="4AF8018E"/>
    <w:rsid w:val="4B0A170C"/>
    <w:rsid w:val="4B3D4D2C"/>
    <w:rsid w:val="4B5C0786"/>
    <w:rsid w:val="4B660844"/>
    <w:rsid w:val="4B6B53F2"/>
    <w:rsid w:val="4BB15C21"/>
    <w:rsid w:val="4BB750C3"/>
    <w:rsid w:val="4BBC79FC"/>
    <w:rsid w:val="4BC94F46"/>
    <w:rsid w:val="4BCB2AEB"/>
    <w:rsid w:val="4BE06CC4"/>
    <w:rsid w:val="4BE3771B"/>
    <w:rsid w:val="4BEA1BAB"/>
    <w:rsid w:val="4BF01593"/>
    <w:rsid w:val="4BFA22D2"/>
    <w:rsid w:val="4C0A69B9"/>
    <w:rsid w:val="4C0D5716"/>
    <w:rsid w:val="4C275D4F"/>
    <w:rsid w:val="4C325E8E"/>
    <w:rsid w:val="4C617708"/>
    <w:rsid w:val="4C6407C8"/>
    <w:rsid w:val="4C647B85"/>
    <w:rsid w:val="4C723730"/>
    <w:rsid w:val="4C820C46"/>
    <w:rsid w:val="4C87625C"/>
    <w:rsid w:val="4C8A7685"/>
    <w:rsid w:val="4C934C01"/>
    <w:rsid w:val="4CB63362"/>
    <w:rsid w:val="4CCD1449"/>
    <w:rsid w:val="4CEC0F33"/>
    <w:rsid w:val="4CF56E73"/>
    <w:rsid w:val="4D0A3507"/>
    <w:rsid w:val="4D1542DA"/>
    <w:rsid w:val="4D1A1400"/>
    <w:rsid w:val="4D1D50F6"/>
    <w:rsid w:val="4D2D785A"/>
    <w:rsid w:val="4D330A1C"/>
    <w:rsid w:val="4D37306F"/>
    <w:rsid w:val="4D3C7046"/>
    <w:rsid w:val="4D433130"/>
    <w:rsid w:val="4D4F3090"/>
    <w:rsid w:val="4D512840"/>
    <w:rsid w:val="4D7519A8"/>
    <w:rsid w:val="4D785296"/>
    <w:rsid w:val="4D8A3D3A"/>
    <w:rsid w:val="4D8B1D7C"/>
    <w:rsid w:val="4D9627C3"/>
    <w:rsid w:val="4DAE0055"/>
    <w:rsid w:val="4DB50BA7"/>
    <w:rsid w:val="4DFF763B"/>
    <w:rsid w:val="4E241889"/>
    <w:rsid w:val="4E2521D3"/>
    <w:rsid w:val="4E2B2C17"/>
    <w:rsid w:val="4E314A42"/>
    <w:rsid w:val="4E3221F7"/>
    <w:rsid w:val="4E3653FD"/>
    <w:rsid w:val="4E4011FA"/>
    <w:rsid w:val="4E412659"/>
    <w:rsid w:val="4E473566"/>
    <w:rsid w:val="4E5135E1"/>
    <w:rsid w:val="4E577FF8"/>
    <w:rsid w:val="4E5972CA"/>
    <w:rsid w:val="4E5A55A3"/>
    <w:rsid w:val="4E6067F8"/>
    <w:rsid w:val="4E6146C1"/>
    <w:rsid w:val="4E746B5D"/>
    <w:rsid w:val="4E8B47DA"/>
    <w:rsid w:val="4EA0308E"/>
    <w:rsid w:val="4EA5389D"/>
    <w:rsid w:val="4EB733D6"/>
    <w:rsid w:val="4EBA0BB9"/>
    <w:rsid w:val="4EC1438F"/>
    <w:rsid w:val="4EC90D1A"/>
    <w:rsid w:val="4ECD1134"/>
    <w:rsid w:val="4EEB5A34"/>
    <w:rsid w:val="4F197C06"/>
    <w:rsid w:val="4F315F1B"/>
    <w:rsid w:val="4F321DBF"/>
    <w:rsid w:val="4F3617B5"/>
    <w:rsid w:val="4F3A0C3A"/>
    <w:rsid w:val="4F4D1362"/>
    <w:rsid w:val="4F5C560B"/>
    <w:rsid w:val="4F9E1E25"/>
    <w:rsid w:val="4FA25CE5"/>
    <w:rsid w:val="4FBB7FCB"/>
    <w:rsid w:val="4FC6709B"/>
    <w:rsid w:val="500656EA"/>
    <w:rsid w:val="5019443A"/>
    <w:rsid w:val="5036106A"/>
    <w:rsid w:val="5040163C"/>
    <w:rsid w:val="505D24D2"/>
    <w:rsid w:val="505D37EE"/>
    <w:rsid w:val="50707007"/>
    <w:rsid w:val="50744D60"/>
    <w:rsid w:val="50794D06"/>
    <w:rsid w:val="507F2242"/>
    <w:rsid w:val="50803083"/>
    <w:rsid w:val="5082591C"/>
    <w:rsid w:val="508C1E49"/>
    <w:rsid w:val="50921001"/>
    <w:rsid w:val="509934C0"/>
    <w:rsid w:val="509F054C"/>
    <w:rsid w:val="50A53BDC"/>
    <w:rsid w:val="50A9358A"/>
    <w:rsid w:val="50AD68A1"/>
    <w:rsid w:val="50AE0000"/>
    <w:rsid w:val="50BD5F00"/>
    <w:rsid w:val="50D04016"/>
    <w:rsid w:val="50E023DF"/>
    <w:rsid w:val="50E71F96"/>
    <w:rsid w:val="50EB7D9F"/>
    <w:rsid w:val="50F31FF0"/>
    <w:rsid w:val="510762F3"/>
    <w:rsid w:val="510C3ECB"/>
    <w:rsid w:val="511D6A6F"/>
    <w:rsid w:val="51200A2D"/>
    <w:rsid w:val="51431745"/>
    <w:rsid w:val="514F001A"/>
    <w:rsid w:val="51600E2A"/>
    <w:rsid w:val="51662C85"/>
    <w:rsid w:val="51722F47"/>
    <w:rsid w:val="5185038C"/>
    <w:rsid w:val="51A33A92"/>
    <w:rsid w:val="51D60BB3"/>
    <w:rsid w:val="51DD4713"/>
    <w:rsid w:val="51E5304A"/>
    <w:rsid w:val="51F538B7"/>
    <w:rsid w:val="51F63F1B"/>
    <w:rsid w:val="51F83758"/>
    <w:rsid w:val="51FA5F47"/>
    <w:rsid w:val="51FC1EF7"/>
    <w:rsid w:val="52354064"/>
    <w:rsid w:val="523C2CD5"/>
    <w:rsid w:val="524A468B"/>
    <w:rsid w:val="524C3FFD"/>
    <w:rsid w:val="524D4EE6"/>
    <w:rsid w:val="526158D9"/>
    <w:rsid w:val="52912868"/>
    <w:rsid w:val="52974D1F"/>
    <w:rsid w:val="52A36D3A"/>
    <w:rsid w:val="52C01BD2"/>
    <w:rsid w:val="52D95337"/>
    <w:rsid w:val="52EC715A"/>
    <w:rsid w:val="52F630B7"/>
    <w:rsid w:val="52F717A2"/>
    <w:rsid w:val="530048AA"/>
    <w:rsid w:val="530F4D20"/>
    <w:rsid w:val="531C6B04"/>
    <w:rsid w:val="532164E8"/>
    <w:rsid w:val="533026AA"/>
    <w:rsid w:val="53365130"/>
    <w:rsid w:val="533F33D8"/>
    <w:rsid w:val="534722A1"/>
    <w:rsid w:val="53636B01"/>
    <w:rsid w:val="537C50CE"/>
    <w:rsid w:val="538046D4"/>
    <w:rsid w:val="539B4D06"/>
    <w:rsid w:val="53B02B44"/>
    <w:rsid w:val="53BF452D"/>
    <w:rsid w:val="53D53D51"/>
    <w:rsid w:val="53FE34F2"/>
    <w:rsid w:val="541C6BA0"/>
    <w:rsid w:val="542433AD"/>
    <w:rsid w:val="542C1497"/>
    <w:rsid w:val="542D76E9"/>
    <w:rsid w:val="542F6B97"/>
    <w:rsid w:val="543B69AD"/>
    <w:rsid w:val="543C5706"/>
    <w:rsid w:val="54823369"/>
    <w:rsid w:val="548B151F"/>
    <w:rsid w:val="548D42B6"/>
    <w:rsid w:val="548D43CD"/>
    <w:rsid w:val="549C2F2F"/>
    <w:rsid w:val="549D2EF3"/>
    <w:rsid w:val="54A05D0E"/>
    <w:rsid w:val="54B8031D"/>
    <w:rsid w:val="54DB1C81"/>
    <w:rsid w:val="54FF67DE"/>
    <w:rsid w:val="550A2AE2"/>
    <w:rsid w:val="550A663F"/>
    <w:rsid w:val="55136B7E"/>
    <w:rsid w:val="551476B8"/>
    <w:rsid w:val="551D5901"/>
    <w:rsid w:val="55232A74"/>
    <w:rsid w:val="552A5783"/>
    <w:rsid w:val="55526B28"/>
    <w:rsid w:val="5563538C"/>
    <w:rsid w:val="55696D9F"/>
    <w:rsid w:val="55787787"/>
    <w:rsid w:val="55886FD7"/>
    <w:rsid w:val="55B85833"/>
    <w:rsid w:val="55BF392A"/>
    <w:rsid w:val="55D903ED"/>
    <w:rsid w:val="55E90F00"/>
    <w:rsid w:val="55F123F9"/>
    <w:rsid w:val="561A088D"/>
    <w:rsid w:val="562770B6"/>
    <w:rsid w:val="56313C5B"/>
    <w:rsid w:val="56667CD8"/>
    <w:rsid w:val="56701194"/>
    <w:rsid w:val="56723096"/>
    <w:rsid w:val="567A7928"/>
    <w:rsid w:val="568D1ECF"/>
    <w:rsid w:val="569B27EA"/>
    <w:rsid w:val="56A81C1A"/>
    <w:rsid w:val="56C01C4A"/>
    <w:rsid w:val="56CC3696"/>
    <w:rsid w:val="56D51E02"/>
    <w:rsid w:val="56D71B8E"/>
    <w:rsid w:val="56EB388B"/>
    <w:rsid w:val="56F969C7"/>
    <w:rsid w:val="57016B51"/>
    <w:rsid w:val="573C0B3A"/>
    <w:rsid w:val="574511ED"/>
    <w:rsid w:val="5745241A"/>
    <w:rsid w:val="578330B8"/>
    <w:rsid w:val="57931F59"/>
    <w:rsid w:val="5795577C"/>
    <w:rsid w:val="57C34AC9"/>
    <w:rsid w:val="57D17F4B"/>
    <w:rsid w:val="57DD4F82"/>
    <w:rsid w:val="57F934C0"/>
    <w:rsid w:val="57FE0822"/>
    <w:rsid w:val="58092A15"/>
    <w:rsid w:val="580F0C00"/>
    <w:rsid w:val="58264EEA"/>
    <w:rsid w:val="58272CC8"/>
    <w:rsid w:val="583F6838"/>
    <w:rsid w:val="584274DB"/>
    <w:rsid w:val="58677863"/>
    <w:rsid w:val="586E0339"/>
    <w:rsid w:val="58951C97"/>
    <w:rsid w:val="58B0410D"/>
    <w:rsid w:val="58B71C77"/>
    <w:rsid w:val="58BA519E"/>
    <w:rsid w:val="58C3106F"/>
    <w:rsid w:val="58C62C27"/>
    <w:rsid w:val="58C963C2"/>
    <w:rsid w:val="58CA0010"/>
    <w:rsid w:val="58CC2A45"/>
    <w:rsid w:val="58D554C1"/>
    <w:rsid w:val="58FC5AEF"/>
    <w:rsid w:val="591904A4"/>
    <w:rsid w:val="591E45BB"/>
    <w:rsid w:val="592B4413"/>
    <w:rsid w:val="596379A9"/>
    <w:rsid w:val="596C601D"/>
    <w:rsid w:val="597162CA"/>
    <w:rsid w:val="597D0736"/>
    <w:rsid w:val="597E2795"/>
    <w:rsid w:val="59883613"/>
    <w:rsid w:val="598F63B6"/>
    <w:rsid w:val="59A86FB0"/>
    <w:rsid w:val="59AA7659"/>
    <w:rsid w:val="59B9393C"/>
    <w:rsid w:val="59D17D75"/>
    <w:rsid w:val="59D471D7"/>
    <w:rsid w:val="59D50BF5"/>
    <w:rsid w:val="59E07779"/>
    <w:rsid w:val="59F93F3C"/>
    <w:rsid w:val="59FE2AD8"/>
    <w:rsid w:val="5A0031AA"/>
    <w:rsid w:val="5A0762C7"/>
    <w:rsid w:val="5A156717"/>
    <w:rsid w:val="5A202636"/>
    <w:rsid w:val="5A2626CB"/>
    <w:rsid w:val="5A3155B4"/>
    <w:rsid w:val="5A320ADD"/>
    <w:rsid w:val="5A366F84"/>
    <w:rsid w:val="5A3E7EE1"/>
    <w:rsid w:val="5A3F0176"/>
    <w:rsid w:val="5A403ED8"/>
    <w:rsid w:val="5A405EA0"/>
    <w:rsid w:val="5A480419"/>
    <w:rsid w:val="5A4A5632"/>
    <w:rsid w:val="5A625B6B"/>
    <w:rsid w:val="5A676A99"/>
    <w:rsid w:val="5AA1147E"/>
    <w:rsid w:val="5AA17767"/>
    <w:rsid w:val="5AA61FA3"/>
    <w:rsid w:val="5AA63351"/>
    <w:rsid w:val="5AAF68DB"/>
    <w:rsid w:val="5AC16DDD"/>
    <w:rsid w:val="5ADF36CE"/>
    <w:rsid w:val="5AE8322E"/>
    <w:rsid w:val="5AEB3CE0"/>
    <w:rsid w:val="5AFE642A"/>
    <w:rsid w:val="5B0D7295"/>
    <w:rsid w:val="5B1A64ED"/>
    <w:rsid w:val="5B1E125F"/>
    <w:rsid w:val="5B1F1D55"/>
    <w:rsid w:val="5B1F3B03"/>
    <w:rsid w:val="5B206399"/>
    <w:rsid w:val="5B241713"/>
    <w:rsid w:val="5B254A59"/>
    <w:rsid w:val="5B2F6ED0"/>
    <w:rsid w:val="5B3F3EA4"/>
    <w:rsid w:val="5B4800FC"/>
    <w:rsid w:val="5B4E5B3B"/>
    <w:rsid w:val="5B795E1E"/>
    <w:rsid w:val="5B84161B"/>
    <w:rsid w:val="5B8E09FD"/>
    <w:rsid w:val="5B981DF4"/>
    <w:rsid w:val="5BA26E73"/>
    <w:rsid w:val="5BA30291"/>
    <w:rsid w:val="5BBD57F6"/>
    <w:rsid w:val="5BC8336C"/>
    <w:rsid w:val="5BCE54F7"/>
    <w:rsid w:val="5BD133DF"/>
    <w:rsid w:val="5BD366A4"/>
    <w:rsid w:val="5BDB37AC"/>
    <w:rsid w:val="5BE6263E"/>
    <w:rsid w:val="5BF14209"/>
    <w:rsid w:val="5C205D85"/>
    <w:rsid w:val="5C254F93"/>
    <w:rsid w:val="5C3E78DA"/>
    <w:rsid w:val="5C4B3703"/>
    <w:rsid w:val="5C5F68AD"/>
    <w:rsid w:val="5C602626"/>
    <w:rsid w:val="5C6300BD"/>
    <w:rsid w:val="5C640E34"/>
    <w:rsid w:val="5C6D3417"/>
    <w:rsid w:val="5C702869"/>
    <w:rsid w:val="5C7834CB"/>
    <w:rsid w:val="5C78796F"/>
    <w:rsid w:val="5C8E0F41"/>
    <w:rsid w:val="5C9E0E22"/>
    <w:rsid w:val="5CBC1B3E"/>
    <w:rsid w:val="5CC775B7"/>
    <w:rsid w:val="5D121942"/>
    <w:rsid w:val="5D376D05"/>
    <w:rsid w:val="5D445B70"/>
    <w:rsid w:val="5D475E5E"/>
    <w:rsid w:val="5D5504BF"/>
    <w:rsid w:val="5D6B04F1"/>
    <w:rsid w:val="5D743E72"/>
    <w:rsid w:val="5D837551"/>
    <w:rsid w:val="5D961804"/>
    <w:rsid w:val="5D9E5600"/>
    <w:rsid w:val="5D9E6F62"/>
    <w:rsid w:val="5DB712A0"/>
    <w:rsid w:val="5DBA7B13"/>
    <w:rsid w:val="5DC2786D"/>
    <w:rsid w:val="5DDE58EA"/>
    <w:rsid w:val="5DEC1883"/>
    <w:rsid w:val="5E1A05BA"/>
    <w:rsid w:val="5E1F592C"/>
    <w:rsid w:val="5E2C47F0"/>
    <w:rsid w:val="5E3F23EE"/>
    <w:rsid w:val="5E487415"/>
    <w:rsid w:val="5E4F2952"/>
    <w:rsid w:val="5E577BCA"/>
    <w:rsid w:val="5E5844DE"/>
    <w:rsid w:val="5E6B7A3B"/>
    <w:rsid w:val="5E8B3A18"/>
    <w:rsid w:val="5E8D5852"/>
    <w:rsid w:val="5E8F255B"/>
    <w:rsid w:val="5E904A46"/>
    <w:rsid w:val="5E9C5CCD"/>
    <w:rsid w:val="5EA61489"/>
    <w:rsid w:val="5EB437AF"/>
    <w:rsid w:val="5EBF1885"/>
    <w:rsid w:val="5EC74102"/>
    <w:rsid w:val="5ECE1AC8"/>
    <w:rsid w:val="5EE10C91"/>
    <w:rsid w:val="5EEB645E"/>
    <w:rsid w:val="5EEF7F0B"/>
    <w:rsid w:val="5EFF0ED2"/>
    <w:rsid w:val="5F0E0117"/>
    <w:rsid w:val="5F3701E9"/>
    <w:rsid w:val="5F3A0F0C"/>
    <w:rsid w:val="5F3A4948"/>
    <w:rsid w:val="5F645F89"/>
    <w:rsid w:val="5F6F2F3F"/>
    <w:rsid w:val="5F7731F7"/>
    <w:rsid w:val="5F7B5CE9"/>
    <w:rsid w:val="5F8214AF"/>
    <w:rsid w:val="5F8D3732"/>
    <w:rsid w:val="5F947321"/>
    <w:rsid w:val="5FA0247D"/>
    <w:rsid w:val="5FCF78A6"/>
    <w:rsid w:val="5FD01907"/>
    <w:rsid w:val="5FD73AA6"/>
    <w:rsid w:val="5FD85EAF"/>
    <w:rsid w:val="5FE50E00"/>
    <w:rsid w:val="5FE84C9E"/>
    <w:rsid w:val="5FF04C3D"/>
    <w:rsid w:val="5FF70E60"/>
    <w:rsid w:val="600A1B90"/>
    <w:rsid w:val="604371C7"/>
    <w:rsid w:val="60483AFC"/>
    <w:rsid w:val="60502C85"/>
    <w:rsid w:val="60546CFC"/>
    <w:rsid w:val="60792D40"/>
    <w:rsid w:val="607D3F6D"/>
    <w:rsid w:val="608508AD"/>
    <w:rsid w:val="608A1500"/>
    <w:rsid w:val="608F1BD3"/>
    <w:rsid w:val="60A52A68"/>
    <w:rsid w:val="60B0356D"/>
    <w:rsid w:val="60B24F81"/>
    <w:rsid w:val="60B861AE"/>
    <w:rsid w:val="60E308E3"/>
    <w:rsid w:val="6122434D"/>
    <w:rsid w:val="614F38BC"/>
    <w:rsid w:val="616A3E01"/>
    <w:rsid w:val="617338F8"/>
    <w:rsid w:val="61752806"/>
    <w:rsid w:val="61790FB6"/>
    <w:rsid w:val="618004B4"/>
    <w:rsid w:val="619A1042"/>
    <w:rsid w:val="61B17E1F"/>
    <w:rsid w:val="61B52ACC"/>
    <w:rsid w:val="62186198"/>
    <w:rsid w:val="62461BBC"/>
    <w:rsid w:val="6248737B"/>
    <w:rsid w:val="62487C8B"/>
    <w:rsid w:val="626400BE"/>
    <w:rsid w:val="628B5453"/>
    <w:rsid w:val="62946B85"/>
    <w:rsid w:val="62983D63"/>
    <w:rsid w:val="62DF39AC"/>
    <w:rsid w:val="631378C7"/>
    <w:rsid w:val="631B3596"/>
    <w:rsid w:val="63203C84"/>
    <w:rsid w:val="63253C81"/>
    <w:rsid w:val="63317ED4"/>
    <w:rsid w:val="63582690"/>
    <w:rsid w:val="635F1752"/>
    <w:rsid w:val="63920832"/>
    <w:rsid w:val="63AF2E7A"/>
    <w:rsid w:val="63B34F3F"/>
    <w:rsid w:val="63B425DD"/>
    <w:rsid w:val="63B53257"/>
    <w:rsid w:val="63C65464"/>
    <w:rsid w:val="63CE5BCA"/>
    <w:rsid w:val="63D336DD"/>
    <w:rsid w:val="63D5404E"/>
    <w:rsid w:val="63E340A5"/>
    <w:rsid w:val="63FA2CE9"/>
    <w:rsid w:val="63FE569C"/>
    <w:rsid w:val="640146EE"/>
    <w:rsid w:val="64022E19"/>
    <w:rsid w:val="64127778"/>
    <w:rsid w:val="641E79ED"/>
    <w:rsid w:val="64485A88"/>
    <w:rsid w:val="644E2285"/>
    <w:rsid w:val="64571B99"/>
    <w:rsid w:val="645A1BD3"/>
    <w:rsid w:val="646B6E06"/>
    <w:rsid w:val="646E5F45"/>
    <w:rsid w:val="6496439A"/>
    <w:rsid w:val="64B0068F"/>
    <w:rsid w:val="64B0634B"/>
    <w:rsid w:val="64BD3EE2"/>
    <w:rsid w:val="64C5107E"/>
    <w:rsid w:val="64C60289"/>
    <w:rsid w:val="64CC4C37"/>
    <w:rsid w:val="64D5360F"/>
    <w:rsid w:val="64D7635D"/>
    <w:rsid w:val="64E0732B"/>
    <w:rsid w:val="64F658D5"/>
    <w:rsid w:val="650F616D"/>
    <w:rsid w:val="65167D25"/>
    <w:rsid w:val="65181CEF"/>
    <w:rsid w:val="652B36B2"/>
    <w:rsid w:val="653109E2"/>
    <w:rsid w:val="65426D6C"/>
    <w:rsid w:val="65491EA9"/>
    <w:rsid w:val="654F11A7"/>
    <w:rsid w:val="65660992"/>
    <w:rsid w:val="65691302"/>
    <w:rsid w:val="658E7B84"/>
    <w:rsid w:val="658F1D57"/>
    <w:rsid w:val="65932F5E"/>
    <w:rsid w:val="65AA14C9"/>
    <w:rsid w:val="65AD379D"/>
    <w:rsid w:val="65AD6BA3"/>
    <w:rsid w:val="65DD0D4C"/>
    <w:rsid w:val="65DE3EE0"/>
    <w:rsid w:val="65E16585"/>
    <w:rsid w:val="65E6167B"/>
    <w:rsid w:val="661B428A"/>
    <w:rsid w:val="661C4F50"/>
    <w:rsid w:val="6632293D"/>
    <w:rsid w:val="6646716E"/>
    <w:rsid w:val="66482D7B"/>
    <w:rsid w:val="66630A69"/>
    <w:rsid w:val="6674570B"/>
    <w:rsid w:val="667E3DD4"/>
    <w:rsid w:val="66B84695"/>
    <w:rsid w:val="66D255E1"/>
    <w:rsid w:val="66D375C8"/>
    <w:rsid w:val="66D947B6"/>
    <w:rsid w:val="66FF3F09"/>
    <w:rsid w:val="6706286B"/>
    <w:rsid w:val="67420658"/>
    <w:rsid w:val="675178A4"/>
    <w:rsid w:val="67657423"/>
    <w:rsid w:val="67944E3A"/>
    <w:rsid w:val="67A07D7A"/>
    <w:rsid w:val="67A50830"/>
    <w:rsid w:val="67AF4EBA"/>
    <w:rsid w:val="67B25F31"/>
    <w:rsid w:val="67B46E9D"/>
    <w:rsid w:val="67C04657"/>
    <w:rsid w:val="67E21E43"/>
    <w:rsid w:val="67E6656F"/>
    <w:rsid w:val="67E934CF"/>
    <w:rsid w:val="680D18B3"/>
    <w:rsid w:val="68242759"/>
    <w:rsid w:val="68400AB2"/>
    <w:rsid w:val="684F357F"/>
    <w:rsid w:val="685968A7"/>
    <w:rsid w:val="689306AB"/>
    <w:rsid w:val="689A44D2"/>
    <w:rsid w:val="68B47F81"/>
    <w:rsid w:val="68B54A77"/>
    <w:rsid w:val="68B91ECC"/>
    <w:rsid w:val="68CA5810"/>
    <w:rsid w:val="68CF43D5"/>
    <w:rsid w:val="68E00D76"/>
    <w:rsid w:val="68E47A64"/>
    <w:rsid w:val="68E77CC4"/>
    <w:rsid w:val="68E94352"/>
    <w:rsid w:val="68ED0E6D"/>
    <w:rsid w:val="68F058E5"/>
    <w:rsid w:val="68F640F6"/>
    <w:rsid w:val="68FF70C8"/>
    <w:rsid w:val="69093A68"/>
    <w:rsid w:val="690D6267"/>
    <w:rsid w:val="69195068"/>
    <w:rsid w:val="693E5A9D"/>
    <w:rsid w:val="69427570"/>
    <w:rsid w:val="69442485"/>
    <w:rsid w:val="6949691B"/>
    <w:rsid w:val="696778E1"/>
    <w:rsid w:val="69781887"/>
    <w:rsid w:val="698572FC"/>
    <w:rsid w:val="69945F1A"/>
    <w:rsid w:val="699B2EEF"/>
    <w:rsid w:val="69B750D7"/>
    <w:rsid w:val="69C356D6"/>
    <w:rsid w:val="69CA5F4A"/>
    <w:rsid w:val="69D152E0"/>
    <w:rsid w:val="69DE3666"/>
    <w:rsid w:val="69E403F2"/>
    <w:rsid w:val="69E47E6D"/>
    <w:rsid w:val="69E67C2F"/>
    <w:rsid w:val="69EB0CCC"/>
    <w:rsid w:val="69EE0557"/>
    <w:rsid w:val="69F0301E"/>
    <w:rsid w:val="69FF345D"/>
    <w:rsid w:val="6A0C5551"/>
    <w:rsid w:val="6A266D38"/>
    <w:rsid w:val="6A414A77"/>
    <w:rsid w:val="6A53034A"/>
    <w:rsid w:val="6A5F7EB4"/>
    <w:rsid w:val="6A64378C"/>
    <w:rsid w:val="6A706BD7"/>
    <w:rsid w:val="6A8A4093"/>
    <w:rsid w:val="6AA7188F"/>
    <w:rsid w:val="6AAA0A08"/>
    <w:rsid w:val="6AAB1684"/>
    <w:rsid w:val="6ABF0378"/>
    <w:rsid w:val="6ADD5D33"/>
    <w:rsid w:val="6AF57D91"/>
    <w:rsid w:val="6B1314D3"/>
    <w:rsid w:val="6B302551"/>
    <w:rsid w:val="6B330653"/>
    <w:rsid w:val="6B353BDC"/>
    <w:rsid w:val="6B4A7A34"/>
    <w:rsid w:val="6B5B0B88"/>
    <w:rsid w:val="6B6E08BB"/>
    <w:rsid w:val="6B826114"/>
    <w:rsid w:val="6B8428B4"/>
    <w:rsid w:val="6B8538CD"/>
    <w:rsid w:val="6B896A77"/>
    <w:rsid w:val="6B9A5EED"/>
    <w:rsid w:val="6B9A7B11"/>
    <w:rsid w:val="6B9D370A"/>
    <w:rsid w:val="6BA50F38"/>
    <w:rsid w:val="6BB33444"/>
    <w:rsid w:val="6BB53650"/>
    <w:rsid w:val="6BC820D3"/>
    <w:rsid w:val="6BD050D2"/>
    <w:rsid w:val="6BD148BD"/>
    <w:rsid w:val="6BD8113A"/>
    <w:rsid w:val="6BFC76EB"/>
    <w:rsid w:val="6C113FF7"/>
    <w:rsid w:val="6C1C0AC5"/>
    <w:rsid w:val="6C267CEF"/>
    <w:rsid w:val="6C271424"/>
    <w:rsid w:val="6C3E7505"/>
    <w:rsid w:val="6C4E15E0"/>
    <w:rsid w:val="6C580827"/>
    <w:rsid w:val="6C64581A"/>
    <w:rsid w:val="6C6B28BF"/>
    <w:rsid w:val="6C9E3F84"/>
    <w:rsid w:val="6CCB2A5C"/>
    <w:rsid w:val="6CCE109B"/>
    <w:rsid w:val="6CD34CF6"/>
    <w:rsid w:val="6CD500FD"/>
    <w:rsid w:val="6CE47F86"/>
    <w:rsid w:val="6CEF474A"/>
    <w:rsid w:val="6CFA7C5B"/>
    <w:rsid w:val="6D1700F5"/>
    <w:rsid w:val="6D271E1B"/>
    <w:rsid w:val="6D3A387C"/>
    <w:rsid w:val="6D3A60CF"/>
    <w:rsid w:val="6D652811"/>
    <w:rsid w:val="6D702A59"/>
    <w:rsid w:val="6D7D39D5"/>
    <w:rsid w:val="6DAE1443"/>
    <w:rsid w:val="6DCA36E6"/>
    <w:rsid w:val="6DE830E0"/>
    <w:rsid w:val="6DEF3963"/>
    <w:rsid w:val="6DF13CC9"/>
    <w:rsid w:val="6E037B51"/>
    <w:rsid w:val="6E0E5A3E"/>
    <w:rsid w:val="6E15666D"/>
    <w:rsid w:val="6E1776FF"/>
    <w:rsid w:val="6E1B7E27"/>
    <w:rsid w:val="6E251F4A"/>
    <w:rsid w:val="6E2D1D0A"/>
    <w:rsid w:val="6E2D5AB5"/>
    <w:rsid w:val="6E35541C"/>
    <w:rsid w:val="6E3D27C7"/>
    <w:rsid w:val="6E451788"/>
    <w:rsid w:val="6E541B46"/>
    <w:rsid w:val="6E581D88"/>
    <w:rsid w:val="6E5C52BC"/>
    <w:rsid w:val="6E6A010D"/>
    <w:rsid w:val="6E84369D"/>
    <w:rsid w:val="6E8951EE"/>
    <w:rsid w:val="6EC553D5"/>
    <w:rsid w:val="6ECC76A7"/>
    <w:rsid w:val="6EDB1F3B"/>
    <w:rsid w:val="6EF67D98"/>
    <w:rsid w:val="6F074349"/>
    <w:rsid w:val="6F0E2622"/>
    <w:rsid w:val="6F143CC6"/>
    <w:rsid w:val="6F5B667B"/>
    <w:rsid w:val="6F5F15C8"/>
    <w:rsid w:val="6FC844B0"/>
    <w:rsid w:val="6FC860C0"/>
    <w:rsid w:val="6FC91D09"/>
    <w:rsid w:val="6FCA1E38"/>
    <w:rsid w:val="6FE67825"/>
    <w:rsid w:val="6FEA3F10"/>
    <w:rsid w:val="6FED12D5"/>
    <w:rsid w:val="6FF37517"/>
    <w:rsid w:val="6FF70753"/>
    <w:rsid w:val="701B321F"/>
    <w:rsid w:val="70676A08"/>
    <w:rsid w:val="70704C4A"/>
    <w:rsid w:val="70810289"/>
    <w:rsid w:val="70952446"/>
    <w:rsid w:val="70A05198"/>
    <w:rsid w:val="70B013A8"/>
    <w:rsid w:val="70BF7C42"/>
    <w:rsid w:val="70C1323B"/>
    <w:rsid w:val="70CE3CD6"/>
    <w:rsid w:val="7104475D"/>
    <w:rsid w:val="71105F71"/>
    <w:rsid w:val="71184C5A"/>
    <w:rsid w:val="711A5B46"/>
    <w:rsid w:val="7121544A"/>
    <w:rsid w:val="71265794"/>
    <w:rsid w:val="713E7B4E"/>
    <w:rsid w:val="7176061E"/>
    <w:rsid w:val="718018F4"/>
    <w:rsid w:val="71904743"/>
    <w:rsid w:val="71A072F4"/>
    <w:rsid w:val="71A52B5D"/>
    <w:rsid w:val="71B23F18"/>
    <w:rsid w:val="71B63544"/>
    <w:rsid w:val="71C765D1"/>
    <w:rsid w:val="71CA218E"/>
    <w:rsid w:val="71D821BD"/>
    <w:rsid w:val="71DF7E8D"/>
    <w:rsid w:val="71F41913"/>
    <w:rsid w:val="71F9183F"/>
    <w:rsid w:val="721A283C"/>
    <w:rsid w:val="721B4BCD"/>
    <w:rsid w:val="721D492A"/>
    <w:rsid w:val="724A54B2"/>
    <w:rsid w:val="724C2FD8"/>
    <w:rsid w:val="72564FB8"/>
    <w:rsid w:val="72802404"/>
    <w:rsid w:val="72810DD2"/>
    <w:rsid w:val="72876723"/>
    <w:rsid w:val="728E02C1"/>
    <w:rsid w:val="72E177CA"/>
    <w:rsid w:val="72ED0E2A"/>
    <w:rsid w:val="72F40F30"/>
    <w:rsid w:val="731059AA"/>
    <w:rsid w:val="731A6169"/>
    <w:rsid w:val="73223DF1"/>
    <w:rsid w:val="7351635F"/>
    <w:rsid w:val="73552516"/>
    <w:rsid w:val="737B06A9"/>
    <w:rsid w:val="73855380"/>
    <w:rsid w:val="73915072"/>
    <w:rsid w:val="739369E5"/>
    <w:rsid w:val="73A66718"/>
    <w:rsid w:val="73BD4146"/>
    <w:rsid w:val="73C4456D"/>
    <w:rsid w:val="73CC58B9"/>
    <w:rsid w:val="73DB7DE8"/>
    <w:rsid w:val="73FC5D27"/>
    <w:rsid w:val="73FE6554"/>
    <w:rsid w:val="741F38E3"/>
    <w:rsid w:val="74232A0F"/>
    <w:rsid w:val="742E4CEE"/>
    <w:rsid w:val="74345714"/>
    <w:rsid w:val="7437184C"/>
    <w:rsid w:val="74405CBC"/>
    <w:rsid w:val="744301B0"/>
    <w:rsid w:val="74446FFE"/>
    <w:rsid w:val="74627CE5"/>
    <w:rsid w:val="74633D61"/>
    <w:rsid w:val="74671991"/>
    <w:rsid w:val="74806BEE"/>
    <w:rsid w:val="748325C0"/>
    <w:rsid w:val="74981804"/>
    <w:rsid w:val="74A62A32"/>
    <w:rsid w:val="74B60228"/>
    <w:rsid w:val="74DA01CE"/>
    <w:rsid w:val="74E11CE7"/>
    <w:rsid w:val="74F04E6F"/>
    <w:rsid w:val="74F47168"/>
    <w:rsid w:val="75022074"/>
    <w:rsid w:val="750469BE"/>
    <w:rsid w:val="75102B2C"/>
    <w:rsid w:val="75186C19"/>
    <w:rsid w:val="75285984"/>
    <w:rsid w:val="753412AC"/>
    <w:rsid w:val="75383CE8"/>
    <w:rsid w:val="75394176"/>
    <w:rsid w:val="75402F9E"/>
    <w:rsid w:val="754359F5"/>
    <w:rsid w:val="75536F4C"/>
    <w:rsid w:val="756D5B2D"/>
    <w:rsid w:val="757A24EA"/>
    <w:rsid w:val="758104D8"/>
    <w:rsid w:val="75AD0CA7"/>
    <w:rsid w:val="75BE3CB5"/>
    <w:rsid w:val="75D40448"/>
    <w:rsid w:val="75E53387"/>
    <w:rsid w:val="763865D1"/>
    <w:rsid w:val="76403AE5"/>
    <w:rsid w:val="764A2F00"/>
    <w:rsid w:val="765605D2"/>
    <w:rsid w:val="765C2289"/>
    <w:rsid w:val="76633BD3"/>
    <w:rsid w:val="76676F05"/>
    <w:rsid w:val="76976535"/>
    <w:rsid w:val="769B0408"/>
    <w:rsid w:val="76A04084"/>
    <w:rsid w:val="76A2766B"/>
    <w:rsid w:val="76AF362C"/>
    <w:rsid w:val="76B34539"/>
    <w:rsid w:val="76CE66B2"/>
    <w:rsid w:val="76D002AA"/>
    <w:rsid w:val="76D23B71"/>
    <w:rsid w:val="76D71EA9"/>
    <w:rsid w:val="76FD4338"/>
    <w:rsid w:val="77052BDB"/>
    <w:rsid w:val="7711659E"/>
    <w:rsid w:val="77153ADE"/>
    <w:rsid w:val="772671C1"/>
    <w:rsid w:val="77277B70"/>
    <w:rsid w:val="77417E22"/>
    <w:rsid w:val="776008AF"/>
    <w:rsid w:val="7768567B"/>
    <w:rsid w:val="778060B4"/>
    <w:rsid w:val="77826D95"/>
    <w:rsid w:val="77BE3E04"/>
    <w:rsid w:val="77F56134"/>
    <w:rsid w:val="78174088"/>
    <w:rsid w:val="78346968"/>
    <w:rsid w:val="78420E77"/>
    <w:rsid w:val="784625B4"/>
    <w:rsid w:val="7887216D"/>
    <w:rsid w:val="78A648FD"/>
    <w:rsid w:val="78C5645E"/>
    <w:rsid w:val="78C63702"/>
    <w:rsid w:val="78D665EA"/>
    <w:rsid w:val="78E05ACF"/>
    <w:rsid w:val="78E9231B"/>
    <w:rsid w:val="7902440A"/>
    <w:rsid w:val="791A21AC"/>
    <w:rsid w:val="791C365B"/>
    <w:rsid w:val="791F2A74"/>
    <w:rsid w:val="79311F01"/>
    <w:rsid w:val="793F68CB"/>
    <w:rsid w:val="79587F07"/>
    <w:rsid w:val="795B63DC"/>
    <w:rsid w:val="796429E7"/>
    <w:rsid w:val="79647BD1"/>
    <w:rsid w:val="796804BC"/>
    <w:rsid w:val="796836C6"/>
    <w:rsid w:val="79730105"/>
    <w:rsid w:val="797A12D2"/>
    <w:rsid w:val="79821501"/>
    <w:rsid w:val="7984461F"/>
    <w:rsid w:val="79935991"/>
    <w:rsid w:val="799B7B11"/>
    <w:rsid w:val="79A64908"/>
    <w:rsid w:val="79B0052A"/>
    <w:rsid w:val="79C409C9"/>
    <w:rsid w:val="79C91C0B"/>
    <w:rsid w:val="79D17055"/>
    <w:rsid w:val="79D21274"/>
    <w:rsid w:val="79E93CD4"/>
    <w:rsid w:val="79E968D4"/>
    <w:rsid w:val="79FE72AE"/>
    <w:rsid w:val="7A1269A3"/>
    <w:rsid w:val="7A2856E2"/>
    <w:rsid w:val="7A354C06"/>
    <w:rsid w:val="7A390C1A"/>
    <w:rsid w:val="7A42348A"/>
    <w:rsid w:val="7A53631D"/>
    <w:rsid w:val="7A5C6BE6"/>
    <w:rsid w:val="7A620C58"/>
    <w:rsid w:val="7A7D0852"/>
    <w:rsid w:val="7A9B02A0"/>
    <w:rsid w:val="7AF42162"/>
    <w:rsid w:val="7B4E1B6F"/>
    <w:rsid w:val="7B7B492E"/>
    <w:rsid w:val="7B8A1681"/>
    <w:rsid w:val="7B8E01BE"/>
    <w:rsid w:val="7BA061B5"/>
    <w:rsid w:val="7BAA33A3"/>
    <w:rsid w:val="7BAB6CDD"/>
    <w:rsid w:val="7BBC6656"/>
    <w:rsid w:val="7BE10551"/>
    <w:rsid w:val="7C2E19A1"/>
    <w:rsid w:val="7C3946D8"/>
    <w:rsid w:val="7C41114A"/>
    <w:rsid w:val="7C433EC4"/>
    <w:rsid w:val="7C4D5925"/>
    <w:rsid w:val="7C5A528B"/>
    <w:rsid w:val="7C635AEE"/>
    <w:rsid w:val="7C762E6C"/>
    <w:rsid w:val="7CA273D9"/>
    <w:rsid w:val="7CB023B6"/>
    <w:rsid w:val="7CCE5944"/>
    <w:rsid w:val="7CE6425C"/>
    <w:rsid w:val="7CFE75C5"/>
    <w:rsid w:val="7CFF04C8"/>
    <w:rsid w:val="7D0217C2"/>
    <w:rsid w:val="7D250FF6"/>
    <w:rsid w:val="7D255C0F"/>
    <w:rsid w:val="7D2E490B"/>
    <w:rsid w:val="7D467003"/>
    <w:rsid w:val="7D474613"/>
    <w:rsid w:val="7D5B67C5"/>
    <w:rsid w:val="7D656FF6"/>
    <w:rsid w:val="7D7202BD"/>
    <w:rsid w:val="7D7A575E"/>
    <w:rsid w:val="7DA737B9"/>
    <w:rsid w:val="7DBC38D5"/>
    <w:rsid w:val="7DC42018"/>
    <w:rsid w:val="7DDE2123"/>
    <w:rsid w:val="7DE20C95"/>
    <w:rsid w:val="7DE37724"/>
    <w:rsid w:val="7DEE0D61"/>
    <w:rsid w:val="7DF245F6"/>
    <w:rsid w:val="7E022D8D"/>
    <w:rsid w:val="7E2554ED"/>
    <w:rsid w:val="7E2F2E3C"/>
    <w:rsid w:val="7E3D41D1"/>
    <w:rsid w:val="7E515E23"/>
    <w:rsid w:val="7E54046F"/>
    <w:rsid w:val="7E5A3003"/>
    <w:rsid w:val="7E73447D"/>
    <w:rsid w:val="7E782EFE"/>
    <w:rsid w:val="7EA36F10"/>
    <w:rsid w:val="7EA82A84"/>
    <w:rsid w:val="7EAC398F"/>
    <w:rsid w:val="7EB3437D"/>
    <w:rsid w:val="7EC8295F"/>
    <w:rsid w:val="7F036B76"/>
    <w:rsid w:val="7F093C4D"/>
    <w:rsid w:val="7F181840"/>
    <w:rsid w:val="7F385010"/>
    <w:rsid w:val="7F3C7F1C"/>
    <w:rsid w:val="7F3D2686"/>
    <w:rsid w:val="7F4034D8"/>
    <w:rsid w:val="7F4939E8"/>
    <w:rsid w:val="7F4B5825"/>
    <w:rsid w:val="7F4E72B8"/>
    <w:rsid w:val="7F8679A6"/>
    <w:rsid w:val="7F8F6BFA"/>
    <w:rsid w:val="7F942DB0"/>
    <w:rsid w:val="7F9A794C"/>
    <w:rsid w:val="7FA52A96"/>
    <w:rsid w:val="7FB733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autoRedefine/>
    <w:qFormat/>
    <w:uiPriority w:val="0"/>
    <w:pPr>
      <w:keepNext/>
      <w:keepLines/>
      <w:spacing w:beforeLines="0" w:afterLines="0" w:line="600" w:lineRule="exact"/>
      <w:jc w:val="center"/>
      <w:outlineLvl w:val="0"/>
    </w:pPr>
    <w:rPr>
      <w:rFonts w:ascii="Times New Roman" w:hAnsi="Times New Roman" w:eastAsia="宋体"/>
      <w:b/>
      <w:bCs/>
      <w:kern w:val="44"/>
      <w:sz w:val="32"/>
      <w:szCs w:val="44"/>
    </w:rPr>
  </w:style>
  <w:style w:type="paragraph" w:styleId="3">
    <w:name w:val="heading 2"/>
    <w:basedOn w:val="1"/>
    <w:next w:val="1"/>
    <w:autoRedefine/>
    <w:qFormat/>
    <w:uiPriority w:val="0"/>
    <w:pPr>
      <w:keepNext/>
      <w:keepLines/>
      <w:adjustRightInd w:val="0"/>
      <w:spacing w:before="260" w:beforeLines="0" w:after="260" w:afterLines="0" w:line="415" w:lineRule="auto"/>
      <w:jc w:val="left"/>
      <w:outlineLvl w:val="1"/>
    </w:pPr>
    <w:rPr>
      <w:rFonts w:ascii="黑体" w:hAnsi="黑体" w:eastAsia="楷体"/>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autoRedefine/>
    <w:qFormat/>
    <w:uiPriority w:val="0"/>
    <w:pPr>
      <w:keepNext/>
      <w:widowControl/>
      <w:jc w:val="center"/>
      <w:outlineLvl w:val="3"/>
    </w:pPr>
    <w:rPr>
      <w:rFonts w:ascii="MS Sans Serif" w:hAnsi="仿宋_GB2312" w:eastAsia="MS Sans Serif"/>
      <w:snapToGrid w:val="0"/>
      <w:kern w:val="0"/>
      <w:sz w:val="24"/>
      <w:szCs w:val="20"/>
    </w:rPr>
  </w:style>
  <w:style w:type="paragraph" w:styleId="6">
    <w:name w:val="heading 5"/>
    <w:basedOn w:val="1"/>
    <w:next w:val="1"/>
    <w:autoRedefine/>
    <w:qFormat/>
    <w:uiPriority w:val="0"/>
    <w:pPr>
      <w:widowControl/>
      <w:spacing w:before="240" w:beforeLines="0" w:after="60" w:afterLines="0"/>
      <w:jc w:val="left"/>
      <w:outlineLvl w:val="4"/>
    </w:pPr>
    <w:rPr>
      <w:rFonts w:ascii="MS Sans Serif" w:eastAsia="MS Sans Serif"/>
      <w:kern w:val="0"/>
      <w:sz w:val="24"/>
      <w:szCs w:val="20"/>
    </w:rPr>
  </w:style>
  <w:style w:type="paragraph" w:styleId="7">
    <w:name w:val="heading 6"/>
    <w:basedOn w:val="1"/>
    <w:next w:val="1"/>
    <w:autoRedefine/>
    <w:qFormat/>
    <w:uiPriority w:val="0"/>
    <w:pPr>
      <w:keepNext/>
      <w:keepLines/>
      <w:spacing w:before="240" w:beforeLines="0" w:after="64" w:afterLines="0" w:line="320" w:lineRule="auto"/>
      <w:outlineLvl w:val="5"/>
    </w:pPr>
    <w:rPr>
      <w:rFonts w:ascii="黑体" w:hAnsi="黑体" w:eastAsia="楷体"/>
      <w:b/>
      <w:sz w:val="24"/>
      <w:szCs w:val="20"/>
    </w:rPr>
  </w:style>
  <w:style w:type="paragraph" w:styleId="8">
    <w:name w:val="heading 7"/>
    <w:basedOn w:val="1"/>
    <w:next w:val="9"/>
    <w:autoRedefine/>
    <w:qFormat/>
    <w:uiPriority w:val="0"/>
    <w:pPr>
      <w:keepNext/>
      <w:keepLines/>
      <w:spacing w:before="240" w:beforeLines="0" w:after="64" w:afterLines="0" w:line="320" w:lineRule="auto"/>
      <w:outlineLvl w:val="6"/>
    </w:pPr>
    <w:rPr>
      <w:b/>
      <w:sz w:val="24"/>
      <w:szCs w:val="20"/>
    </w:rPr>
  </w:style>
  <w:style w:type="paragraph" w:styleId="11">
    <w:name w:val="heading 8"/>
    <w:basedOn w:val="1"/>
    <w:next w:val="9"/>
    <w:autoRedefine/>
    <w:qFormat/>
    <w:uiPriority w:val="0"/>
    <w:pPr>
      <w:keepNext/>
      <w:keepLines/>
      <w:spacing w:before="240" w:beforeLines="0" w:after="64" w:afterLines="0" w:line="320" w:lineRule="auto"/>
      <w:outlineLvl w:val="7"/>
    </w:pPr>
    <w:rPr>
      <w:rFonts w:ascii="黑体" w:hAnsi="黑体" w:eastAsia="楷体"/>
      <w:sz w:val="24"/>
      <w:szCs w:val="20"/>
    </w:rPr>
  </w:style>
  <w:style w:type="paragraph" w:styleId="12">
    <w:name w:val="heading 9"/>
    <w:basedOn w:val="1"/>
    <w:next w:val="9"/>
    <w:autoRedefine/>
    <w:qFormat/>
    <w:uiPriority w:val="0"/>
    <w:pPr>
      <w:keepNext/>
      <w:keepLines/>
      <w:spacing w:before="240" w:beforeLines="0" w:after="64" w:afterLines="0" w:line="320" w:lineRule="auto"/>
      <w:outlineLvl w:val="8"/>
    </w:pPr>
    <w:rPr>
      <w:rFonts w:ascii="黑体" w:hAnsi="黑体" w:eastAsia="楷体"/>
      <w:szCs w:val="20"/>
    </w:rPr>
  </w:style>
  <w:style w:type="character" w:default="1" w:styleId="48">
    <w:name w:val="Default Paragraph Font"/>
    <w:autoRedefine/>
    <w:semiHidden/>
    <w:qFormat/>
    <w:uiPriority w:val="0"/>
  </w:style>
  <w:style w:type="table" w:default="1" w:styleId="46">
    <w:name w:val="Normal Table"/>
    <w:autoRedefine/>
    <w:semiHidden/>
    <w:qFormat/>
    <w:uiPriority w:val="0"/>
    <w:tblPr>
      <w:tblCellMar>
        <w:top w:w="0" w:type="dxa"/>
        <w:left w:w="108" w:type="dxa"/>
        <w:bottom w:w="0" w:type="dxa"/>
        <w:right w:w="108" w:type="dxa"/>
      </w:tblCellMar>
    </w:tblPr>
  </w:style>
  <w:style w:type="paragraph" w:styleId="9">
    <w:name w:val="Normal Indent"/>
    <w:basedOn w:val="1"/>
    <w:next w:val="10"/>
    <w:link w:val="57"/>
    <w:autoRedefine/>
    <w:qFormat/>
    <w:uiPriority w:val="0"/>
    <w:pPr>
      <w:widowControl/>
      <w:ind w:firstLine="420"/>
      <w:jc w:val="left"/>
    </w:pPr>
    <w:rPr>
      <w:rFonts w:ascii="Arial" w:hAnsi="Arial" w:cs="Arial"/>
      <w:kern w:val="0"/>
      <w:sz w:val="20"/>
      <w:szCs w:val="20"/>
    </w:rPr>
  </w:style>
  <w:style w:type="paragraph" w:styleId="10">
    <w:name w:val="Body Text Indent"/>
    <w:basedOn w:val="1"/>
    <w:next w:val="1"/>
    <w:link w:val="58"/>
    <w:autoRedefine/>
    <w:qFormat/>
    <w:uiPriority w:val="0"/>
    <w:pPr>
      <w:adjustRightInd w:val="0"/>
      <w:spacing w:line="360" w:lineRule="auto"/>
      <w:ind w:firstLine="490"/>
      <w:jc w:val="left"/>
    </w:pPr>
    <w:rPr>
      <w:rFonts w:ascii="Century Gothic" w:hAnsi="Century Gothic" w:eastAsia="Century Gothic"/>
      <w:sz w:val="24"/>
      <w:szCs w:val="20"/>
    </w:rPr>
  </w:style>
  <w:style w:type="paragraph" w:styleId="13">
    <w:name w:val="toc 7"/>
    <w:basedOn w:val="1"/>
    <w:next w:val="1"/>
    <w:autoRedefine/>
    <w:semiHidden/>
    <w:qFormat/>
    <w:uiPriority w:val="0"/>
    <w:pPr>
      <w:ind w:left="1260"/>
      <w:jc w:val="left"/>
    </w:pPr>
    <w:rPr>
      <w:sz w:val="18"/>
      <w:szCs w:val="18"/>
    </w:rPr>
  </w:style>
  <w:style w:type="paragraph" w:styleId="14">
    <w:name w:val="List Number"/>
    <w:basedOn w:val="1"/>
    <w:autoRedefine/>
    <w:qFormat/>
    <w:uiPriority w:val="0"/>
    <w:pPr>
      <w:widowControl/>
      <w:tabs>
        <w:tab w:val="left" w:pos="420"/>
        <w:tab w:val="left" w:pos="454"/>
      </w:tabs>
      <w:spacing w:after="156" w:afterLines="50"/>
      <w:ind w:left="454" w:hanging="284"/>
      <w:jc w:val="left"/>
    </w:pPr>
    <w:rPr>
      <w:kern w:val="0"/>
      <w:sz w:val="24"/>
      <w:szCs w:val="20"/>
    </w:rPr>
  </w:style>
  <w:style w:type="paragraph" w:styleId="15">
    <w:name w:val="caption"/>
    <w:basedOn w:val="1"/>
    <w:next w:val="1"/>
    <w:autoRedefine/>
    <w:qFormat/>
    <w:uiPriority w:val="0"/>
    <w:rPr>
      <w:rFonts w:ascii="黑体" w:hAnsi="黑体" w:eastAsia="楷体" w:cs="黑体"/>
      <w:sz w:val="20"/>
      <w:szCs w:val="20"/>
    </w:rPr>
  </w:style>
  <w:style w:type="paragraph" w:styleId="16">
    <w:name w:val="Document Map"/>
    <w:basedOn w:val="1"/>
    <w:autoRedefine/>
    <w:semiHidden/>
    <w:qFormat/>
    <w:uiPriority w:val="0"/>
    <w:pPr>
      <w:shd w:val="clear" w:color="auto" w:fill="000080"/>
    </w:pPr>
  </w:style>
  <w:style w:type="paragraph" w:styleId="17">
    <w:name w:val="toa heading"/>
    <w:basedOn w:val="1"/>
    <w:next w:val="1"/>
    <w:autoRedefine/>
    <w:qFormat/>
    <w:uiPriority w:val="0"/>
    <w:pPr>
      <w:spacing w:before="120"/>
    </w:pPr>
    <w:rPr>
      <w:rFonts w:ascii="Arial" w:hAnsi="Arial"/>
      <w:sz w:val="24"/>
    </w:rPr>
  </w:style>
  <w:style w:type="paragraph" w:styleId="18">
    <w:name w:val="annotation text"/>
    <w:basedOn w:val="1"/>
    <w:autoRedefine/>
    <w:qFormat/>
    <w:uiPriority w:val="0"/>
    <w:pPr>
      <w:jc w:val="left"/>
    </w:pPr>
  </w:style>
  <w:style w:type="paragraph" w:styleId="19">
    <w:name w:val="Body Text 3"/>
    <w:basedOn w:val="1"/>
    <w:autoRedefine/>
    <w:qFormat/>
    <w:uiPriority w:val="99"/>
    <w:pPr>
      <w:snapToGrid w:val="0"/>
      <w:spacing w:before="50" w:after="50"/>
    </w:pPr>
  </w:style>
  <w:style w:type="paragraph" w:styleId="20">
    <w:name w:val="Body Text"/>
    <w:basedOn w:val="1"/>
    <w:next w:val="1"/>
    <w:autoRedefine/>
    <w:qFormat/>
    <w:uiPriority w:val="0"/>
    <w:pPr>
      <w:spacing w:after="120" w:afterLines="0"/>
    </w:pPr>
  </w:style>
  <w:style w:type="paragraph" w:styleId="21">
    <w:name w:val="List Number 3"/>
    <w:basedOn w:val="1"/>
    <w:autoRedefine/>
    <w:qFormat/>
    <w:uiPriority w:val="0"/>
    <w:pPr>
      <w:widowControl/>
      <w:tabs>
        <w:tab w:val="left" w:pos="482"/>
        <w:tab w:val="left" w:pos="1157"/>
      </w:tabs>
      <w:spacing w:after="156" w:afterLines="50"/>
      <w:ind w:left="482" w:hanging="340"/>
      <w:jc w:val="left"/>
    </w:pPr>
    <w:rPr>
      <w:kern w:val="0"/>
      <w:sz w:val="24"/>
      <w:szCs w:val="20"/>
    </w:rPr>
  </w:style>
  <w:style w:type="paragraph" w:styleId="22">
    <w:name w:val="Block Text"/>
    <w:basedOn w:val="1"/>
    <w:autoRedefine/>
    <w:qFormat/>
    <w:uiPriority w:val="0"/>
    <w:pPr>
      <w:adjustRightInd w:val="0"/>
      <w:snapToGrid w:val="0"/>
      <w:spacing w:line="300" w:lineRule="auto"/>
      <w:ind w:left="958" w:rightChars="-120"/>
      <w:jc w:val="left"/>
    </w:pPr>
    <w:rPr>
      <w:rFonts w:hint="eastAsia" w:ascii="Century Gothic" w:hAnsi="Century Gothic"/>
      <w:sz w:val="28"/>
      <w:szCs w:val="20"/>
    </w:rPr>
  </w:style>
  <w:style w:type="paragraph" w:styleId="23">
    <w:name w:val="toc 5"/>
    <w:basedOn w:val="1"/>
    <w:next w:val="1"/>
    <w:autoRedefine/>
    <w:semiHidden/>
    <w:qFormat/>
    <w:uiPriority w:val="0"/>
    <w:pPr>
      <w:ind w:left="840"/>
      <w:jc w:val="left"/>
    </w:pPr>
    <w:rPr>
      <w:sz w:val="18"/>
      <w:szCs w:val="18"/>
    </w:rPr>
  </w:style>
  <w:style w:type="paragraph" w:styleId="24">
    <w:name w:val="toc 3"/>
    <w:basedOn w:val="1"/>
    <w:next w:val="1"/>
    <w:autoRedefine/>
    <w:semiHidden/>
    <w:qFormat/>
    <w:uiPriority w:val="0"/>
    <w:pPr>
      <w:ind w:left="420"/>
      <w:jc w:val="left"/>
    </w:pPr>
    <w:rPr>
      <w:i/>
      <w:iCs/>
      <w:sz w:val="20"/>
      <w:szCs w:val="20"/>
    </w:rPr>
  </w:style>
  <w:style w:type="paragraph" w:styleId="25">
    <w:name w:val="Plain Text"/>
    <w:basedOn w:val="1"/>
    <w:link w:val="59"/>
    <w:autoRedefine/>
    <w:qFormat/>
    <w:uiPriority w:val="0"/>
    <w:rPr>
      <w:rFonts w:ascii="Century Gothic" w:hAnsi="楷体_GB2312" w:eastAsia="Century Gothic" w:cs="楷体_GB2312"/>
      <w:szCs w:val="21"/>
    </w:rPr>
  </w:style>
  <w:style w:type="paragraph" w:styleId="26">
    <w:name w:val="toc 8"/>
    <w:basedOn w:val="1"/>
    <w:next w:val="1"/>
    <w:autoRedefine/>
    <w:semiHidden/>
    <w:qFormat/>
    <w:uiPriority w:val="0"/>
    <w:pPr>
      <w:ind w:left="1470"/>
      <w:jc w:val="left"/>
    </w:pPr>
    <w:rPr>
      <w:sz w:val="18"/>
      <w:szCs w:val="18"/>
    </w:rPr>
  </w:style>
  <w:style w:type="paragraph" w:styleId="27">
    <w:name w:val="Date"/>
    <w:basedOn w:val="1"/>
    <w:next w:val="1"/>
    <w:autoRedefine/>
    <w:qFormat/>
    <w:uiPriority w:val="0"/>
    <w:pPr>
      <w:ind w:left="100" w:leftChars="2500"/>
    </w:pPr>
  </w:style>
  <w:style w:type="paragraph" w:styleId="28">
    <w:name w:val="Body Text Indent 2"/>
    <w:basedOn w:val="1"/>
    <w:autoRedefine/>
    <w:qFormat/>
    <w:uiPriority w:val="0"/>
    <w:pPr>
      <w:adjustRightInd w:val="0"/>
      <w:spacing w:line="360" w:lineRule="auto"/>
      <w:ind w:firstLine="504" w:firstLineChars="210"/>
      <w:jc w:val="left"/>
    </w:pPr>
    <w:rPr>
      <w:rFonts w:hint="eastAsia" w:ascii="Century Gothic" w:hAnsi="Century Gothic"/>
      <w:sz w:val="24"/>
      <w:szCs w:val="20"/>
    </w:rPr>
  </w:style>
  <w:style w:type="paragraph" w:styleId="29">
    <w:name w:val="Balloon Text"/>
    <w:basedOn w:val="1"/>
    <w:autoRedefine/>
    <w:semiHidden/>
    <w:qFormat/>
    <w:uiPriority w:val="0"/>
    <w:rPr>
      <w:sz w:val="18"/>
      <w:szCs w:val="18"/>
    </w:rPr>
  </w:style>
  <w:style w:type="paragraph" w:styleId="30">
    <w:name w:val="footer"/>
    <w:basedOn w:val="1"/>
    <w:link w:val="60"/>
    <w:autoRedefine/>
    <w:qFormat/>
    <w:uiPriority w:val="99"/>
    <w:pPr>
      <w:tabs>
        <w:tab w:val="center" w:pos="4153"/>
        <w:tab w:val="right" w:pos="8306"/>
      </w:tabs>
      <w:adjustRightInd w:val="0"/>
      <w:jc w:val="left"/>
    </w:pPr>
    <w:rPr>
      <w:rFonts w:eastAsia="Century Gothic"/>
      <w:sz w:val="18"/>
      <w:szCs w:val="20"/>
    </w:rPr>
  </w:style>
  <w:style w:type="paragraph" w:styleId="31">
    <w:name w:val="header"/>
    <w:basedOn w:val="1"/>
    <w:link w:val="61"/>
    <w:autoRedefine/>
    <w:qFormat/>
    <w:uiPriority w:val="0"/>
    <w:pPr>
      <w:pBdr>
        <w:bottom w:val="single" w:color="auto" w:sz="6" w:space="1"/>
      </w:pBdr>
      <w:tabs>
        <w:tab w:val="center" w:pos="4153"/>
        <w:tab w:val="right" w:pos="8306"/>
      </w:tabs>
      <w:adjustRightInd w:val="0"/>
      <w:jc w:val="center"/>
    </w:pPr>
    <w:rPr>
      <w:sz w:val="18"/>
      <w:szCs w:val="20"/>
    </w:rPr>
  </w:style>
  <w:style w:type="paragraph" w:styleId="32">
    <w:name w:val="toc 1"/>
    <w:basedOn w:val="1"/>
    <w:next w:val="1"/>
    <w:autoRedefine/>
    <w:qFormat/>
    <w:uiPriority w:val="39"/>
    <w:pPr>
      <w:tabs>
        <w:tab w:val="right" w:leader="dot" w:pos="8720"/>
      </w:tabs>
      <w:spacing w:before="120" w:beforeLines="0" w:after="120" w:afterLines="0"/>
      <w:jc w:val="left"/>
    </w:pPr>
    <w:rPr>
      <w:rFonts w:ascii="Century Gothic" w:hAnsi="Century Gothic"/>
      <w:bCs/>
      <w:caps/>
      <w:sz w:val="20"/>
      <w:szCs w:val="20"/>
    </w:rPr>
  </w:style>
  <w:style w:type="paragraph" w:styleId="33">
    <w:name w:val="toc 4"/>
    <w:basedOn w:val="1"/>
    <w:next w:val="1"/>
    <w:autoRedefine/>
    <w:semiHidden/>
    <w:qFormat/>
    <w:uiPriority w:val="0"/>
    <w:pPr>
      <w:ind w:left="630"/>
      <w:jc w:val="left"/>
    </w:pPr>
    <w:rPr>
      <w:sz w:val="18"/>
      <w:szCs w:val="18"/>
    </w:rPr>
  </w:style>
  <w:style w:type="paragraph" w:styleId="34">
    <w:name w:val="toc 6"/>
    <w:basedOn w:val="1"/>
    <w:next w:val="1"/>
    <w:autoRedefine/>
    <w:semiHidden/>
    <w:qFormat/>
    <w:uiPriority w:val="0"/>
    <w:pPr>
      <w:ind w:left="1050"/>
      <w:jc w:val="left"/>
    </w:pPr>
    <w:rPr>
      <w:sz w:val="18"/>
      <w:szCs w:val="18"/>
    </w:rPr>
  </w:style>
  <w:style w:type="paragraph" w:styleId="35">
    <w:name w:val="List 5"/>
    <w:basedOn w:val="1"/>
    <w:autoRedefine/>
    <w:qFormat/>
    <w:uiPriority w:val="0"/>
    <w:pPr>
      <w:ind w:left="100" w:leftChars="800" w:hanging="200" w:hangingChars="200"/>
    </w:pPr>
    <w:rPr>
      <w:szCs w:val="20"/>
    </w:rPr>
  </w:style>
  <w:style w:type="paragraph" w:styleId="36">
    <w:name w:val="Body Text Indent 3"/>
    <w:basedOn w:val="1"/>
    <w:autoRedefine/>
    <w:qFormat/>
    <w:uiPriority w:val="0"/>
    <w:pPr>
      <w:spacing w:after="120" w:afterLines="0"/>
      <w:ind w:left="420" w:leftChars="200"/>
    </w:pPr>
    <w:rPr>
      <w:sz w:val="16"/>
      <w:szCs w:val="16"/>
    </w:rPr>
  </w:style>
  <w:style w:type="paragraph" w:styleId="37">
    <w:name w:val="toc 2"/>
    <w:basedOn w:val="1"/>
    <w:next w:val="1"/>
    <w:autoRedefine/>
    <w:qFormat/>
    <w:uiPriority w:val="39"/>
    <w:pPr>
      <w:tabs>
        <w:tab w:val="right" w:leader="dot" w:pos="8720"/>
      </w:tabs>
      <w:adjustRightInd w:val="0"/>
      <w:snapToGrid w:val="0"/>
      <w:jc w:val="left"/>
    </w:pPr>
    <w:rPr>
      <w:smallCaps/>
      <w:sz w:val="20"/>
      <w:szCs w:val="20"/>
    </w:rPr>
  </w:style>
  <w:style w:type="paragraph" w:styleId="38">
    <w:name w:val="toc 9"/>
    <w:basedOn w:val="1"/>
    <w:next w:val="1"/>
    <w:autoRedefine/>
    <w:semiHidden/>
    <w:qFormat/>
    <w:uiPriority w:val="0"/>
    <w:pPr>
      <w:ind w:left="1680"/>
      <w:jc w:val="left"/>
    </w:pPr>
    <w:rPr>
      <w:sz w:val="18"/>
      <w:szCs w:val="18"/>
    </w:rPr>
  </w:style>
  <w:style w:type="paragraph" w:styleId="39">
    <w:name w:val="Body Text 2"/>
    <w:basedOn w:val="1"/>
    <w:autoRedefine/>
    <w:qFormat/>
    <w:uiPriority w:val="0"/>
    <w:rPr>
      <w:sz w:val="24"/>
    </w:rPr>
  </w:style>
  <w:style w:type="paragraph" w:styleId="40">
    <w:name w:val="Normal (Web)"/>
    <w:basedOn w:val="1"/>
    <w:next w:val="1"/>
    <w:autoRedefine/>
    <w:qFormat/>
    <w:uiPriority w:val="0"/>
    <w:pPr>
      <w:widowControl/>
      <w:shd w:val="clear" w:color="auto" w:fill="FFFFFF"/>
      <w:spacing w:before="100" w:beforeLines="0" w:beforeAutospacing="1" w:after="100" w:afterLines="0" w:afterAutospacing="1"/>
      <w:jc w:val="left"/>
    </w:pPr>
    <w:rPr>
      <w:rFonts w:ascii="Century Gothic" w:hAnsi="Century Gothic"/>
      <w:kern w:val="0"/>
      <w:sz w:val="18"/>
      <w:szCs w:val="18"/>
    </w:rPr>
  </w:style>
  <w:style w:type="paragraph" w:styleId="41">
    <w:name w:val="Title"/>
    <w:basedOn w:val="1"/>
    <w:autoRedefine/>
    <w:qFormat/>
    <w:uiPriority w:val="0"/>
    <w:pPr>
      <w:tabs>
        <w:tab w:val="left" w:pos="1200"/>
      </w:tabs>
      <w:spacing w:after="624" w:afterLines="200"/>
      <w:ind w:left="1440" w:hanging="720"/>
      <w:jc w:val="center"/>
    </w:pPr>
    <w:rPr>
      <w:b/>
      <w:bCs/>
      <w:spacing w:val="60"/>
      <w:sz w:val="32"/>
    </w:rPr>
  </w:style>
  <w:style w:type="paragraph" w:styleId="42">
    <w:name w:val="annotation subject"/>
    <w:basedOn w:val="18"/>
    <w:next w:val="18"/>
    <w:autoRedefine/>
    <w:semiHidden/>
    <w:qFormat/>
    <w:uiPriority w:val="0"/>
    <w:rPr>
      <w:b/>
      <w:bCs/>
    </w:rPr>
  </w:style>
  <w:style w:type="paragraph" w:styleId="43">
    <w:name w:val="Body Text First Indent"/>
    <w:basedOn w:val="20"/>
    <w:next w:val="34"/>
    <w:autoRedefine/>
    <w:qFormat/>
    <w:uiPriority w:val="0"/>
    <w:pPr>
      <w:ind w:firstLine="420"/>
    </w:pPr>
  </w:style>
  <w:style w:type="paragraph" w:styleId="44">
    <w:name w:val="Body Text First Indent 2"/>
    <w:basedOn w:val="10"/>
    <w:next w:val="45"/>
    <w:autoRedefine/>
    <w:qFormat/>
    <w:uiPriority w:val="99"/>
    <w:pPr>
      <w:ind w:firstLine="420" w:firstLineChars="200"/>
    </w:pPr>
  </w:style>
  <w:style w:type="paragraph" w:customStyle="1" w:styleId="45">
    <w:name w:val="xl53"/>
    <w:basedOn w:val="1"/>
    <w:next w:val="1"/>
    <w:autoRedefine/>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7">
    <w:name w:val="Table Grid"/>
    <w:basedOn w:val="4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autoRedefine/>
    <w:qFormat/>
    <w:uiPriority w:val="0"/>
    <w:rPr>
      <w:b/>
    </w:rPr>
  </w:style>
  <w:style w:type="character" w:styleId="50">
    <w:name w:val="page number"/>
    <w:autoRedefine/>
    <w:qFormat/>
    <w:uiPriority w:val="0"/>
  </w:style>
  <w:style w:type="character" w:styleId="51">
    <w:name w:val="FollowedHyperlink"/>
    <w:autoRedefine/>
    <w:qFormat/>
    <w:uiPriority w:val="0"/>
    <w:rPr>
      <w:color w:val="800080"/>
      <w:u w:val="single"/>
    </w:rPr>
  </w:style>
  <w:style w:type="character" w:styleId="52">
    <w:name w:val="Emphasis"/>
    <w:basedOn w:val="48"/>
    <w:autoRedefine/>
    <w:qFormat/>
    <w:uiPriority w:val="0"/>
    <w:rPr>
      <w:i/>
      <w:iCs/>
    </w:rPr>
  </w:style>
  <w:style w:type="character" w:styleId="53">
    <w:name w:val="Hyperlink"/>
    <w:autoRedefine/>
    <w:qFormat/>
    <w:uiPriority w:val="0"/>
    <w:rPr>
      <w:color w:val="0000FF"/>
      <w:u w:val="single"/>
    </w:rPr>
  </w:style>
  <w:style w:type="character" w:styleId="54">
    <w:name w:val="annotation reference"/>
    <w:autoRedefine/>
    <w:semiHidden/>
    <w:qFormat/>
    <w:uiPriority w:val="0"/>
    <w:rPr>
      <w:sz w:val="21"/>
      <w:szCs w:val="21"/>
    </w:rPr>
  </w:style>
  <w:style w:type="paragraph" w:customStyle="1" w:styleId="55">
    <w:name w:val="Default"/>
    <w:autoRedefine/>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character" w:customStyle="1" w:styleId="56">
    <w:name w:val="标题 1 Char"/>
    <w:link w:val="2"/>
    <w:autoRedefine/>
    <w:qFormat/>
    <w:uiPriority w:val="0"/>
    <w:rPr>
      <w:rFonts w:ascii="Times New Roman" w:hAnsi="Times New Roman" w:eastAsia="宋体"/>
      <w:b/>
      <w:bCs/>
      <w:kern w:val="44"/>
      <w:sz w:val="32"/>
      <w:szCs w:val="44"/>
      <w:lang w:val="en-US" w:eastAsia="zh-CN" w:bidi="ar-SA"/>
    </w:rPr>
  </w:style>
  <w:style w:type="character" w:customStyle="1" w:styleId="57">
    <w:name w:val="正文缩进 Char"/>
    <w:link w:val="9"/>
    <w:autoRedefine/>
    <w:qFormat/>
    <w:uiPriority w:val="0"/>
    <w:rPr>
      <w:rFonts w:ascii="Arial" w:hAnsi="Arial" w:eastAsia="宋体" w:cs="Arial"/>
      <w:lang w:val="en-US" w:eastAsia="zh-CN" w:bidi="ar-SA"/>
    </w:rPr>
  </w:style>
  <w:style w:type="character" w:customStyle="1" w:styleId="58">
    <w:name w:val="正文文本缩进 Char"/>
    <w:link w:val="10"/>
    <w:autoRedefine/>
    <w:semiHidden/>
    <w:qFormat/>
    <w:uiPriority w:val="0"/>
    <w:rPr>
      <w:rFonts w:ascii="Century Gothic" w:hAnsi="Century Gothic" w:eastAsia="Century Gothic"/>
      <w:kern w:val="2"/>
      <w:sz w:val="24"/>
      <w:lang w:val="en-US" w:eastAsia="zh-CN" w:bidi="ar-SA"/>
    </w:rPr>
  </w:style>
  <w:style w:type="character" w:customStyle="1" w:styleId="59">
    <w:name w:val="纯文本 Char"/>
    <w:link w:val="25"/>
    <w:autoRedefine/>
    <w:qFormat/>
    <w:uiPriority w:val="0"/>
    <w:rPr>
      <w:rFonts w:ascii="Century Gothic" w:hAnsi="楷体_GB2312" w:eastAsia="Century Gothic" w:cs="楷体_GB2312"/>
      <w:kern w:val="2"/>
      <w:sz w:val="21"/>
      <w:szCs w:val="21"/>
      <w:lang w:val="en-US" w:eastAsia="zh-CN" w:bidi="ar-SA"/>
    </w:rPr>
  </w:style>
  <w:style w:type="character" w:customStyle="1" w:styleId="60">
    <w:name w:val="页脚 Char"/>
    <w:link w:val="30"/>
    <w:autoRedefine/>
    <w:qFormat/>
    <w:uiPriority w:val="99"/>
    <w:rPr>
      <w:rFonts w:eastAsia="Century Gothic"/>
      <w:kern w:val="2"/>
      <w:sz w:val="18"/>
      <w:lang w:val="en-US" w:eastAsia="zh-CN" w:bidi="ar-SA"/>
    </w:rPr>
  </w:style>
  <w:style w:type="character" w:customStyle="1" w:styleId="61">
    <w:name w:val="页眉 Char"/>
    <w:link w:val="31"/>
    <w:autoRedefine/>
    <w:qFormat/>
    <w:uiPriority w:val="0"/>
    <w:rPr>
      <w:kern w:val="2"/>
      <w:sz w:val="18"/>
    </w:rPr>
  </w:style>
  <w:style w:type="character" w:customStyle="1" w:styleId="62">
    <w:name w:val=" Char Char12"/>
    <w:autoRedefine/>
    <w:qFormat/>
    <w:uiPriority w:val="0"/>
    <w:rPr>
      <w:rFonts w:ascii="Century Gothic" w:hAnsi="楷体_GB2312" w:eastAsia="Century Gothic" w:cs="楷体_GB2312"/>
      <w:kern w:val="2"/>
      <w:sz w:val="21"/>
      <w:szCs w:val="21"/>
      <w:lang w:val="en-US" w:eastAsia="zh-CN" w:bidi="ar-SA"/>
    </w:rPr>
  </w:style>
  <w:style w:type="character" w:customStyle="1" w:styleId="63">
    <w:name w:val="tpc_content1"/>
    <w:autoRedefine/>
    <w:qFormat/>
    <w:uiPriority w:val="0"/>
    <w:rPr>
      <w:sz w:val="20"/>
      <w:szCs w:val="20"/>
    </w:rPr>
  </w:style>
  <w:style w:type="character" w:customStyle="1" w:styleId="64">
    <w:name w:val="bulletintext1"/>
    <w:autoRedefine/>
    <w:qFormat/>
    <w:uiPriority w:val="0"/>
    <w:rPr>
      <w:color w:val="000000"/>
      <w:sz w:val="18"/>
    </w:rPr>
  </w:style>
  <w:style w:type="character" w:customStyle="1" w:styleId="65">
    <w:name w:val="正文2 Char"/>
    <w:link w:val="66"/>
    <w:autoRedefine/>
    <w:qFormat/>
    <w:uiPriority w:val="0"/>
    <w:rPr>
      <w:rFonts w:eastAsia="宋体"/>
      <w:kern w:val="2"/>
      <w:sz w:val="24"/>
      <w:lang w:val="en-US" w:eastAsia="zh-CN" w:bidi="ar-SA"/>
    </w:rPr>
  </w:style>
  <w:style w:type="paragraph" w:customStyle="1" w:styleId="66">
    <w:name w:val="正文2"/>
    <w:basedOn w:val="1"/>
    <w:link w:val="65"/>
    <w:autoRedefine/>
    <w:qFormat/>
    <w:uiPriority w:val="0"/>
    <w:pPr>
      <w:spacing w:before="156" w:beforeLines="0" w:line="360" w:lineRule="auto"/>
      <w:ind w:firstLine="510" w:firstLineChars="200"/>
    </w:pPr>
    <w:rPr>
      <w:sz w:val="24"/>
      <w:szCs w:val="20"/>
    </w:rPr>
  </w:style>
  <w:style w:type="character" w:customStyle="1" w:styleId="67">
    <w:name w:val=" Char Char21"/>
    <w:autoRedefine/>
    <w:qFormat/>
    <w:uiPriority w:val="0"/>
    <w:rPr>
      <w:rFonts w:eastAsia="Century Gothic"/>
      <w:b/>
      <w:bCs/>
      <w:kern w:val="44"/>
      <w:sz w:val="32"/>
      <w:szCs w:val="44"/>
      <w:lang w:val="en-US" w:eastAsia="zh-CN" w:bidi="ar-SA"/>
    </w:rPr>
  </w:style>
  <w:style w:type="character" w:customStyle="1" w:styleId="68">
    <w:name w:val="font101"/>
    <w:autoRedefine/>
    <w:qFormat/>
    <w:uiPriority w:val="0"/>
    <w:rPr>
      <w:rFonts w:hint="eastAsia" w:ascii="宋体" w:hAnsi="宋体" w:eastAsia="宋体" w:cs="宋体"/>
      <w:color w:val="FF0000"/>
      <w:sz w:val="16"/>
      <w:szCs w:val="16"/>
      <w:u w:val="none"/>
    </w:rPr>
  </w:style>
  <w:style w:type="character" w:customStyle="1" w:styleId="69">
    <w:name w:val=" Char Char"/>
    <w:autoRedefine/>
    <w:qFormat/>
    <w:uiPriority w:val="0"/>
    <w:rPr>
      <w:rFonts w:ascii="Courier New" w:eastAsia="Courier New"/>
      <w:color w:val="FF0000"/>
      <w:kern w:val="2"/>
      <w:sz w:val="24"/>
      <w:szCs w:val="24"/>
      <w:u w:val="single"/>
      <w:lang w:val="en-US" w:eastAsia="zh-CN" w:bidi="ar-SA"/>
    </w:rPr>
  </w:style>
  <w:style w:type="character" w:customStyle="1" w:styleId="70">
    <w:name w:val="font31"/>
    <w:autoRedefine/>
    <w:qFormat/>
    <w:uiPriority w:val="0"/>
    <w:rPr>
      <w:rFonts w:hint="eastAsia" w:ascii="宋体" w:hAnsi="宋体" w:eastAsia="宋体" w:cs="宋体"/>
      <w:color w:val="000000"/>
      <w:sz w:val="16"/>
      <w:szCs w:val="16"/>
      <w:u w:val="none"/>
    </w:rPr>
  </w:style>
  <w:style w:type="character" w:customStyle="1" w:styleId="71">
    <w:name w:val="标准文本 Char"/>
    <w:link w:val="72"/>
    <w:autoRedefine/>
    <w:qFormat/>
    <w:uiPriority w:val="0"/>
    <w:rPr>
      <w:rFonts w:eastAsia="宋体" w:cs="宋体"/>
      <w:kern w:val="2"/>
      <w:sz w:val="24"/>
      <w:lang w:val="en-US" w:eastAsia="zh-CN" w:bidi="ar-SA"/>
    </w:rPr>
  </w:style>
  <w:style w:type="paragraph" w:customStyle="1" w:styleId="72">
    <w:name w:val="标准文本"/>
    <w:basedOn w:val="1"/>
    <w:link w:val="71"/>
    <w:autoRedefine/>
    <w:qFormat/>
    <w:uiPriority w:val="0"/>
    <w:pPr>
      <w:spacing w:line="360" w:lineRule="auto"/>
      <w:ind w:firstLine="480" w:firstLineChars="200"/>
    </w:pPr>
    <w:rPr>
      <w:rFonts w:cs="宋体"/>
      <w:sz w:val="24"/>
      <w:szCs w:val="20"/>
    </w:rPr>
  </w:style>
  <w:style w:type="character" w:customStyle="1" w:styleId="73">
    <w:name w:val="zbggmain style9"/>
    <w:autoRedefine/>
    <w:qFormat/>
    <w:uiPriority w:val="0"/>
    <w:rPr>
      <w:rFonts w:ascii="Courier New" w:eastAsia="Courier New"/>
      <w:b/>
      <w:kern w:val="2"/>
      <w:sz w:val="32"/>
      <w:szCs w:val="32"/>
      <w:lang w:val="en-US" w:eastAsia="zh-CN" w:bidi="ar-SA"/>
    </w:rPr>
  </w:style>
  <w:style w:type="character" w:customStyle="1" w:styleId="74">
    <w:name w:val="zbggtop11 style5"/>
    <w:autoRedefine/>
    <w:qFormat/>
    <w:uiPriority w:val="0"/>
  </w:style>
  <w:style w:type="character" w:customStyle="1" w:styleId="75">
    <w:name w:val="style1"/>
    <w:autoRedefine/>
    <w:qFormat/>
    <w:uiPriority w:val="0"/>
  </w:style>
  <w:style w:type="character" w:customStyle="1" w:styleId="76">
    <w:name w:val="普通文字 Char Char1"/>
    <w:autoRedefine/>
    <w:qFormat/>
    <w:uiPriority w:val="0"/>
    <w:rPr>
      <w:rFonts w:ascii="Century Gothic" w:hAnsi="楷体_GB2312" w:eastAsia="Century Gothic" w:cs="楷体_GB2312"/>
      <w:kern w:val="2"/>
      <w:sz w:val="21"/>
      <w:szCs w:val="21"/>
      <w:lang w:val="en-US" w:eastAsia="zh-CN" w:bidi="ar-SA"/>
    </w:rPr>
  </w:style>
  <w:style w:type="paragraph" w:customStyle="1" w:styleId="77">
    <w:name w:val="正文_13"/>
    <w:autoRedefine/>
    <w:qFormat/>
    <w:uiPriority w:val="0"/>
    <w:pPr>
      <w:widowControl w:val="0"/>
      <w:jc w:val="both"/>
    </w:pPr>
    <w:rPr>
      <w:rFonts w:ascii="Times New Roman" w:hAnsi="Times New Roman" w:eastAsia="宋体" w:cs="Calibri"/>
      <w:kern w:val="2"/>
      <w:sz w:val="21"/>
      <w:szCs w:val="24"/>
      <w:lang w:val="en-US" w:eastAsia="zh-CN" w:bidi="ar-SA"/>
    </w:rPr>
  </w:style>
  <w:style w:type="paragraph" w:customStyle="1" w:styleId="78">
    <w:name w:val="No Spacing"/>
    <w:autoRedefine/>
    <w:qFormat/>
    <w:uiPriority w:val="0"/>
    <w:rPr>
      <w:rFonts w:ascii="Times New Roman" w:hAnsi="Times New Roman" w:eastAsia="宋体" w:cs="Times New Roman"/>
      <w:sz w:val="22"/>
      <w:szCs w:val="22"/>
      <w:lang w:val="en-US" w:eastAsia="en-US" w:bidi="ar-SA"/>
    </w:rPr>
  </w:style>
  <w:style w:type="paragraph" w:customStyle="1" w:styleId="79">
    <w:name w:val=" Char Char Char Char"/>
    <w:basedOn w:val="1"/>
    <w:autoRedefine/>
    <w:qFormat/>
    <w:uiPriority w:val="0"/>
    <w:rPr>
      <w:rFonts w:cs="Times New Roman"/>
      <w:szCs w:val="20"/>
    </w:rPr>
  </w:style>
  <w:style w:type="paragraph" w:customStyle="1" w:styleId="80">
    <w:name w:val="xl22"/>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s="Times New Roman"/>
      <w:kern w:val="0"/>
      <w:sz w:val="24"/>
      <w:szCs w:val="20"/>
    </w:rPr>
  </w:style>
  <w:style w:type="paragraph" w:customStyle="1" w:styleId="81">
    <w:name w:val="标书标题4"/>
    <w:basedOn w:val="5"/>
    <w:autoRedefine/>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82">
    <w:name w:val=" Char1"/>
    <w:basedOn w:val="1"/>
    <w:autoRedefine/>
    <w:qFormat/>
    <w:uiPriority w:val="0"/>
    <w:pPr>
      <w:widowControl/>
      <w:spacing w:after="160" w:afterLines="0" w:line="240" w:lineRule="exact"/>
      <w:jc w:val="left"/>
    </w:pPr>
    <w:rPr>
      <w:szCs w:val="20"/>
    </w:rPr>
  </w:style>
  <w:style w:type="paragraph" w:customStyle="1" w:styleId="83">
    <w:name w:val="xl31"/>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84">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85">
    <w:name w:val="小节"/>
    <w:basedOn w:val="4"/>
    <w:autoRedefine/>
    <w:qFormat/>
    <w:uiPriority w:val="0"/>
    <w:pPr>
      <w:spacing w:before="200" w:beforeLines="0" w:after="200" w:afterLines="0" w:line="560" w:lineRule="exact"/>
      <w:jc w:val="left"/>
    </w:pPr>
    <w:rPr>
      <w:rFonts w:ascii="Century Gothic" w:hAnsi="Century Gothic"/>
      <w:bCs w:val="0"/>
      <w:color w:val="000000"/>
      <w:spacing w:val="10"/>
      <w:kern w:val="24"/>
      <w:sz w:val="28"/>
    </w:rPr>
  </w:style>
  <w:style w:type="paragraph" w:customStyle="1" w:styleId="86">
    <w:name w:val="节"/>
    <w:basedOn w:val="3"/>
    <w:autoRedefine/>
    <w:qFormat/>
    <w:uiPriority w:val="0"/>
    <w:pPr>
      <w:adjustRightInd/>
      <w:spacing w:before="160" w:beforeLines="0" w:after="160" w:afterLines="0" w:line="720" w:lineRule="exact"/>
      <w:jc w:val="center"/>
    </w:pPr>
    <w:rPr>
      <w:rFonts w:ascii="Arial" w:hAnsi="Arial"/>
      <w:b w:val="0"/>
      <w:color w:val="000000"/>
      <w:spacing w:val="14"/>
      <w:kern w:val="24"/>
      <w:sz w:val="28"/>
      <w:szCs w:val="20"/>
    </w:rPr>
  </w:style>
  <w:style w:type="paragraph" w:customStyle="1" w:styleId="87">
    <w:name w:val=" Char3 Char Char Char"/>
    <w:basedOn w:val="1"/>
    <w:autoRedefine/>
    <w:qFormat/>
    <w:uiPriority w:val="0"/>
    <w:pPr>
      <w:widowControl/>
      <w:spacing w:after="160" w:afterLines="0" w:line="240" w:lineRule="exact"/>
      <w:jc w:val="left"/>
    </w:pPr>
    <w:rPr>
      <w:szCs w:val="20"/>
    </w:rPr>
  </w:style>
  <w:style w:type="paragraph" w:customStyle="1" w:styleId="88">
    <w:name w:val="A_正文_注释"/>
    <w:basedOn w:val="1"/>
    <w:autoRedefine/>
    <w:qFormat/>
    <w:uiPriority w:val="0"/>
    <w:pPr>
      <w:tabs>
        <w:tab w:val="left" w:pos="1547"/>
      </w:tabs>
      <w:ind w:firstLine="600" w:firstLineChars="200"/>
    </w:pPr>
    <w:rPr>
      <w:rFonts w:eastAsia="仿宋"/>
      <w:color w:val="0070C0"/>
      <w:sz w:val="30"/>
    </w:rPr>
  </w:style>
  <w:style w:type="paragraph" w:customStyle="1" w:styleId="89">
    <w:name w:val="font1"/>
    <w:basedOn w:val="1"/>
    <w:autoRedefine/>
    <w:qFormat/>
    <w:uiPriority w:val="0"/>
    <w:pPr>
      <w:widowControl/>
      <w:spacing w:before="100" w:beforeLines="0" w:beforeAutospacing="1" w:after="100" w:afterLines="0" w:afterAutospacing="1"/>
      <w:jc w:val="left"/>
    </w:pPr>
    <w:rPr>
      <w:rFonts w:ascii="Century Gothic" w:hAnsi="Century Gothic"/>
      <w:kern w:val="0"/>
      <w:sz w:val="24"/>
      <w:szCs w:val="20"/>
    </w:rPr>
  </w:style>
  <w:style w:type="paragraph" w:customStyle="1" w:styleId="9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91">
    <w:name w:val="font5"/>
    <w:basedOn w:val="1"/>
    <w:autoRedefine/>
    <w:qFormat/>
    <w:uiPriority w:val="0"/>
    <w:pPr>
      <w:widowControl/>
      <w:spacing w:before="100" w:beforeLines="0" w:beforeAutospacing="1" w:after="100" w:afterLines="0" w:afterAutospacing="1"/>
      <w:jc w:val="left"/>
    </w:pPr>
    <w:rPr>
      <w:rFonts w:ascii="Century Gothic" w:hAnsi="Century Gothic" w:cs="Century Gothic"/>
      <w:kern w:val="0"/>
      <w:sz w:val="18"/>
      <w:szCs w:val="18"/>
    </w:rPr>
  </w:style>
  <w:style w:type="paragraph" w:customStyle="1" w:styleId="92">
    <w:name w:val=" Char Char Char Char Char Char Char Char"/>
    <w:basedOn w:val="1"/>
    <w:autoRedefine/>
    <w:qFormat/>
    <w:uiPriority w:val="0"/>
    <w:pPr>
      <w:tabs>
        <w:tab w:val="left" w:pos="360"/>
      </w:tabs>
    </w:pPr>
    <w:rPr>
      <w:rFonts w:ascii="Calibri" w:hAnsi="Calibri" w:cs="Times New Roman"/>
      <w:szCs w:val="20"/>
    </w:rPr>
  </w:style>
  <w:style w:type="paragraph" w:customStyle="1" w:styleId="93">
    <w:name w:val="xl35"/>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94">
    <w:name w:val="Proposals body"/>
    <w:basedOn w:val="1"/>
    <w:next w:val="1"/>
    <w:autoRedefine/>
    <w:qFormat/>
    <w:uiPriority w:val="0"/>
    <w:pPr>
      <w:widowControl/>
      <w:spacing w:line="360" w:lineRule="auto"/>
      <w:jc w:val="left"/>
    </w:pPr>
    <w:rPr>
      <w:rFonts w:ascii="宋体" w:hAnsi="Calibri"/>
      <w:snapToGrid w:val="0"/>
      <w:color w:val="000000"/>
      <w:kern w:val="0"/>
      <w:sz w:val="24"/>
      <w:szCs w:val="20"/>
    </w:rPr>
  </w:style>
  <w:style w:type="paragraph" w:customStyle="1" w:styleId="9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 Char"/>
    <w:basedOn w:val="1"/>
    <w:autoRedefine/>
    <w:qFormat/>
    <w:uiPriority w:val="0"/>
    <w:rPr>
      <w:rFonts w:ascii="Courier New" w:eastAsia="Courier New"/>
      <w:b/>
      <w:sz w:val="32"/>
      <w:szCs w:val="32"/>
    </w:rPr>
  </w:style>
  <w:style w:type="paragraph" w:customStyle="1" w:styleId="97">
    <w:name w:val="xl3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98">
    <w:name w:val="Plain Text1"/>
    <w:basedOn w:val="1"/>
    <w:autoRedefine/>
    <w:qFormat/>
    <w:uiPriority w:val="0"/>
    <w:pPr>
      <w:autoSpaceDE w:val="0"/>
      <w:autoSpaceDN w:val="0"/>
      <w:adjustRightInd w:val="0"/>
      <w:spacing w:line="360" w:lineRule="auto"/>
    </w:pPr>
    <w:rPr>
      <w:rFonts w:hint="eastAsia" w:ascii="宋体" w:hAnsi="宋体" w:eastAsia="仿宋" w:cs="Times New Roman"/>
      <w:sz w:val="24"/>
      <w:szCs w:val="20"/>
    </w:rPr>
  </w:style>
  <w:style w:type="paragraph" w:customStyle="1" w:styleId="99">
    <w:name w:val="SANGFOR_6_正文"/>
    <w:basedOn w:val="1"/>
    <w:autoRedefine/>
    <w:qFormat/>
    <w:uiPriority w:val="0"/>
    <w:pPr>
      <w:ind w:firstLine="420"/>
    </w:pPr>
    <w:rPr>
      <w:sz w:val="21"/>
      <w:szCs w:val="24"/>
      <w:lang w:val="zh-CN"/>
    </w:rPr>
  </w:style>
  <w:style w:type="paragraph" w:customStyle="1" w:styleId="100">
    <w:name w:val="p0"/>
    <w:basedOn w:val="1"/>
    <w:autoRedefine/>
    <w:unhideWhenUsed/>
    <w:qFormat/>
    <w:uiPriority w:val="0"/>
    <w:pPr>
      <w:widowControl/>
    </w:pPr>
    <w:rPr>
      <w:rFonts w:hint="eastAsia"/>
    </w:rPr>
  </w:style>
  <w:style w:type="paragraph" w:customStyle="1" w:styleId="101">
    <w:name w:val="样式5"/>
    <w:basedOn w:val="5"/>
    <w:autoRedefine/>
    <w:qFormat/>
    <w:uiPriority w:val="0"/>
    <w:pPr>
      <w:keepLines/>
      <w:widowControl w:val="0"/>
      <w:spacing w:before="280" w:beforeLines="0" w:after="290" w:afterLines="0" w:line="376" w:lineRule="auto"/>
    </w:pPr>
    <w:rPr>
      <w:rFonts w:ascii="Century Gothic" w:hAnsi="Century Gothic" w:eastAsia="Century Gothic"/>
      <w:b/>
      <w:bCs/>
      <w:snapToGrid/>
      <w:kern w:val="2"/>
      <w:sz w:val="32"/>
      <w:szCs w:val="32"/>
    </w:rPr>
  </w:style>
  <w:style w:type="paragraph" w:customStyle="1" w:styleId="102">
    <w:name w:val="标书标题3"/>
    <w:basedOn w:val="4"/>
    <w:autoRedefine/>
    <w:qFormat/>
    <w:uiPriority w:val="0"/>
    <w:pPr>
      <w:keepLines w:val="0"/>
      <w:widowControl/>
      <w:adjustRightInd w:val="0"/>
      <w:snapToGrid w:val="0"/>
      <w:spacing w:before="120" w:beforeLines="0" w:after="60" w:afterLines="0" w:line="300" w:lineRule="auto"/>
      <w:jc w:val="left"/>
    </w:pPr>
    <w:rPr>
      <w:rFonts w:ascii="_x000B__x000C_" w:hAnsi="_x000B__x000C_" w:eastAsia="Courier New"/>
      <w:b w:val="0"/>
      <w:bCs w:val="0"/>
      <w:color w:val="000000"/>
      <w:kern w:val="0"/>
      <w:sz w:val="28"/>
    </w:rPr>
  </w:style>
  <w:style w:type="paragraph" w:customStyle="1" w:styleId="103">
    <w:name w:val="Plain Text"/>
    <w:basedOn w:val="104"/>
    <w:autoRedefine/>
    <w:qFormat/>
    <w:uiPriority w:val="0"/>
    <w:pPr>
      <w:widowControl/>
      <w:jc w:val="left"/>
    </w:pPr>
    <w:rPr>
      <w:rFonts w:ascii="宋体" w:hAnsi="Courier New"/>
    </w:rPr>
  </w:style>
  <w:style w:type="paragraph" w:customStyle="1" w:styleId="104">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5">
    <w:name w:val="font6"/>
    <w:basedOn w:val="1"/>
    <w:autoRedefine/>
    <w:qFormat/>
    <w:uiPriority w:val="0"/>
    <w:pPr>
      <w:widowControl/>
      <w:spacing w:before="100" w:beforeLines="0" w:beforeAutospacing="1" w:after="100" w:afterLines="0" w:afterAutospacing="1"/>
      <w:jc w:val="left"/>
    </w:pPr>
    <w:rPr>
      <w:kern w:val="0"/>
      <w:sz w:val="18"/>
      <w:szCs w:val="18"/>
    </w:rPr>
  </w:style>
  <w:style w:type="paragraph" w:customStyle="1" w:styleId="106">
    <w:name w:val="xl33"/>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07">
    <w:name w:val="首行缩进"/>
    <w:basedOn w:val="1"/>
    <w:autoRedefine/>
    <w:qFormat/>
    <w:uiPriority w:val="0"/>
    <w:pPr>
      <w:spacing w:line="360" w:lineRule="auto"/>
      <w:ind w:firstLine="480" w:firstLineChars="200"/>
    </w:pPr>
    <w:rPr>
      <w:rFonts w:ascii="Calibri" w:hAnsi="Calibri" w:eastAsia="宋体"/>
      <w:sz w:val="24"/>
      <w:szCs w:val="22"/>
      <w:lang w:val="zh-CN"/>
    </w:rPr>
  </w:style>
  <w:style w:type="paragraph" w:customStyle="1" w:styleId="108">
    <w:name w:val="title11"/>
    <w:basedOn w:val="1"/>
    <w:autoRedefine/>
    <w:qFormat/>
    <w:uiPriority w:val="0"/>
    <w:pPr>
      <w:spacing w:before="150" w:beforeAutospacing="0" w:after="0" w:afterAutospacing="0"/>
      <w:ind w:left="0" w:right="0" w:firstLine="0"/>
      <w:jc w:val="left"/>
    </w:pPr>
    <w:rPr>
      <w:b/>
      <w:kern w:val="0"/>
      <w:lang w:val="en-US" w:eastAsia="zh-CN" w:bidi="ar"/>
    </w:rPr>
  </w:style>
  <w:style w:type="paragraph" w:customStyle="1" w:styleId="109">
    <w:name w:val="xl37"/>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0">
    <w:name w:val="Body Text 2"/>
    <w:basedOn w:val="1"/>
    <w:autoRedefine/>
    <w:qFormat/>
    <w:uiPriority w:val="0"/>
    <w:pPr>
      <w:adjustRightInd w:val="0"/>
      <w:spacing w:line="300" w:lineRule="auto"/>
      <w:jc w:val="center"/>
    </w:pPr>
    <w:rPr>
      <w:rFonts w:hint="eastAsia" w:ascii="Century Gothic" w:hAnsi="Century Gothic"/>
      <w:sz w:val="24"/>
      <w:szCs w:val="20"/>
    </w:rPr>
  </w:style>
  <w:style w:type="paragraph" w:customStyle="1" w:styleId="111">
    <w:name w:val="正文文字格式"/>
    <w:basedOn w:val="1"/>
    <w:autoRedefine/>
    <w:qFormat/>
    <w:uiPriority w:val="0"/>
    <w:pPr>
      <w:spacing w:line="460" w:lineRule="exact"/>
      <w:ind w:firstLine="505"/>
      <w:jc w:val="left"/>
    </w:pPr>
    <w:rPr>
      <w:rFonts w:ascii="Century Gothic"/>
      <w:kern w:val="24"/>
      <w:sz w:val="24"/>
      <w:szCs w:val="20"/>
    </w:rPr>
  </w:style>
  <w:style w:type="paragraph" w:customStyle="1" w:styleId="112">
    <w:name w:val=" Char Char Char Char Char"/>
    <w:basedOn w:val="1"/>
    <w:autoRedefine/>
    <w:qFormat/>
    <w:uiPriority w:val="0"/>
    <w:pPr>
      <w:widowControl/>
      <w:spacing w:after="160" w:afterLines="0" w:line="240" w:lineRule="exact"/>
      <w:jc w:val="left"/>
    </w:pPr>
    <w:rPr>
      <w:rFonts w:ascii="Verdana" w:hAnsi="Verdana" w:eastAsia="华文细黑" w:cs="Times New Roman"/>
    </w:rPr>
  </w:style>
  <w:style w:type="paragraph" w:customStyle="1" w:styleId="113">
    <w:name w:val=" Char Char11 Char Char Char Char Char Char Char Char Char Char Char"/>
    <w:basedOn w:val="1"/>
    <w:autoRedefine/>
    <w:qFormat/>
    <w:uiPriority w:val="0"/>
    <w:pPr>
      <w:spacing w:line="360" w:lineRule="auto"/>
    </w:pPr>
    <w:rPr>
      <w:rFonts w:eastAsia="黑体"/>
      <w:snapToGrid w:val="0"/>
      <w:kern w:val="0"/>
      <w:szCs w:val="21"/>
    </w:rPr>
  </w:style>
  <w:style w:type="paragraph" w:customStyle="1" w:styleId="114">
    <w:name w:val="xl36"/>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5">
    <w:name w:val="xl32"/>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6">
    <w:name w:val="List Paragraph"/>
    <w:basedOn w:val="1"/>
    <w:autoRedefine/>
    <w:qFormat/>
    <w:uiPriority w:val="0"/>
    <w:pPr>
      <w:spacing w:line="360" w:lineRule="auto"/>
      <w:ind w:firstLine="420" w:firstLineChars="200"/>
    </w:pPr>
    <w:rPr>
      <w:rFonts w:ascii="宋体" w:hAnsi="宋体"/>
      <w:sz w:val="24"/>
    </w:rPr>
  </w:style>
  <w:style w:type="paragraph" w:customStyle="1" w:styleId="117">
    <w:name w:val="xl34"/>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2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21">
    <w:name w:val="列出段落1"/>
    <w:basedOn w:val="1"/>
    <w:autoRedefine/>
    <w:qFormat/>
    <w:uiPriority w:val="0"/>
    <w:pPr>
      <w:widowControl w:val="0"/>
      <w:ind w:firstLine="420" w:firstLineChars="200"/>
    </w:pPr>
    <w:rPr>
      <w:kern w:val="2"/>
      <w:szCs w:val="22"/>
    </w:rPr>
  </w:style>
  <w:style w:type="paragraph" w:customStyle="1" w:styleId="122">
    <w:name w:val="正文首行缩进1(Crlf+Shift+M)"/>
    <w:autoRedefine/>
    <w:qFormat/>
    <w:uiPriority w:val="0"/>
    <w:pPr>
      <w:spacing w:before="120" w:after="120" w:line="360" w:lineRule="auto"/>
      <w:ind w:firstLine="420" w:firstLineChars="200"/>
    </w:pPr>
    <w:rPr>
      <w:rFonts w:ascii="Arial" w:hAnsi="Arial" w:eastAsia="宋体" w:cs="宋体"/>
      <w:kern w:val="2"/>
      <w:sz w:val="21"/>
      <w:lang w:val="en-US" w:eastAsia="zh-CN" w:bidi="ar-SA"/>
    </w:rPr>
  </w:style>
  <w:style w:type="paragraph" w:customStyle="1" w:styleId="123">
    <w:name w:val="Normal1"/>
    <w:autoRedefine/>
    <w:qFormat/>
    <w:uiPriority w:val="0"/>
    <w:rPr>
      <w:rFonts w:ascii="Times New Roman" w:hAnsi="Times New Roman" w:eastAsia="Times New Roman" w:cs="Times New Roman"/>
      <w:sz w:val="24"/>
      <w:szCs w:val="24"/>
      <w:lang w:val="en-US" w:eastAsia="zh-CN" w:bidi="ar-SA"/>
    </w:rPr>
  </w:style>
  <w:style w:type="paragraph" w:customStyle="1" w:styleId="124">
    <w:name w:val="彩色列表1"/>
    <w:basedOn w:val="1"/>
    <w:autoRedefine/>
    <w:qFormat/>
    <w:uiPriority w:val="0"/>
    <w:pPr>
      <w:ind w:firstLine="420" w:firstLineChars="200"/>
    </w:pPr>
    <w:rPr>
      <w:rFonts w:ascii="Times New Roman" w:hAnsi="Times New Roman" w:cs="Times New Roman"/>
    </w:rPr>
  </w:style>
  <w:style w:type="paragraph" w:customStyle="1" w:styleId="125">
    <w:name w:val="List Paragraph2"/>
    <w:basedOn w:val="1"/>
    <w:autoRedefine/>
    <w:qFormat/>
    <w:uiPriority w:val="99"/>
    <w:pPr>
      <w:ind w:firstLine="420" w:firstLineChars="200"/>
    </w:pPr>
  </w:style>
  <w:style w:type="paragraph" w:customStyle="1" w:styleId="126">
    <w:name w:val="Char"/>
    <w:basedOn w:val="1"/>
    <w:autoRedefine/>
    <w:qFormat/>
    <w:uiPriority w:val="0"/>
  </w:style>
  <w:style w:type="paragraph" w:customStyle="1" w:styleId="127">
    <w:name w:val="表头"/>
    <w:basedOn w:val="1"/>
    <w:autoRedefine/>
    <w:qFormat/>
    <w:uiPriority w:val="0"/>
    <w:pPr>
      <w:adjustRightInd w:val="0"/>
      <w:spacing w:before="60" w:after="60" w:line="420" w:lineRule="atLeast"/>
      <w:jc w:val="left"/>
      <w:textAlignment w:val="baseline"/>
    </w:pPr>
    <w:rPr>
      <w:rFonts w:ascii="黑体" w:hAnsi="Times New Roman" w:eastAsia="黑体" w:cs="Times New Roman"/>
      <w:b/>
      <w:kern w:val="0"/>
      <w:szCs w:val="20"/>
    </w:rPr>
  </w:style>
  <w:style w:type="paragraph" w:customStyle="1" w:styleId="12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29">
    <w:name w:val="标书标题2"/>
    <w:basedOn w:val="3"/>
    <w:autoRedefine/>
    <w:qFormat/>
    <w:uiPriority w:val="0"/>
    <w:pPr>
      <w:keepLines w:val="0"/>
      <w:widowControl/>
      <w:tabs>
        <w:tab w:val="left" w:pos="1320"/>
      </w:tabs>
      <w:snapToGrid w:val="0"/>
      <w:spacing w:before="156" w:beforeLines="50" w:after="60" w:afterLines="0" w:line="300" w:lineRule="auto"/>
      <w:ind w:left="1320" w:hanging="420"/>
      <w:jc w:val="both"/>
    </w:pPr>
    <w:rPr>
      <w:rFonts w:ascii="_x000B__x000C_" w:hAnsi="_x000B__x000C_" w:eastAsia="Courier New"/>
      <w:color w:val="000000"/>
      <w:kern w:val="0"/>
      <w:sz w:val="28"/>
      <w:szCs w:val="20"/>
    </w:rPr>
  </w:style>
  <w:style w:type="paragraph" w:customStyle="1" w:styleId="130">
    <w:name w:val="居中表格内容"/>
    <w:basedOn w:val="1"/>
    <w:next w:val="1"/>
    <w:autoRedefine/>
    <w:qFormat/>
    <w:uiPriority w:val="0"/>
    <w:pPr>
      <w:jc w:val="left"/>
    </w:pPr>
    <w:rPr>
      <w:szCs w:val="20"/>
    </w:rPr>
  </w:style>
  <w:style w:type="paragraph" w:customStyle="1" w:styleId="131">
    <w:name w:val="Blockquote"/>
    <w:basedOn w:val="1"/>
    <w:autoRedefine/>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32">
    <w:name w:val="xl29"/>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33">
    <w:name w:val="xl27"/>
    <w:basedOn w:val="1"/>
    <w:autoRedefine/>
    <w:qFormat/>
    <w:uiPriority w:val="0"/>
    <w:pPr>
      <w:widowControl/>
      <w:pBdr>
        <w:bottom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36"/>
      <w:szCs w:val="36"/>
    </w:rPr>
  </w:style>
  <w:style w:type="paragraph" w:customStyle="1" w:styleId="134">
    <w:name w:val="List Paragraph1"/>
    <w:basedOn w:val="1"/>
    <w:autoRedefine/>
    <w:qFormat/>
    <w:uiPriority w:val="0"/>
    <w:pPr>
      <w:ind w:firstLine="420" w:firstLineChars="200"/>
    </w:pPr>
    <w:rPr>
      <w:szCs w:val="24"/>
    </w:rPr>
  </w:style>
  <w:style w:type="paragraph" w:customStyle="1" w:styleId="135">
    <w:name w:val="xl38"/>
    <w:basedOn w:val="1"/>
    <w:autoRedefine/>
    <w:qFormat/>
    <w:uiPriority w:val="0"/>
    <w:pPr>
      <w:widowControl/>
      <w:spacing w:before="100" w:beforeLines="0" w:beforeAutospacing="1" w:after="100" w:afterLines="0" w:afterAutospacing="1"/>
      <w:jc w:val="left"/>
    </w:pPr>
    <w:rPr>
      <w:rFonts w:ascii="Century Gothic" w:hAnsi="Century Gothic" w:cs="Century Gothic"/>
      <w:kern w:val="0"/>
      <w:sz w:val="18"/>
      <w:szCs w:val="18"/>
    </w:rPr>
  </w:style>
  <w:style w:type="paragraph" w:customStyle="1" w:styleId="13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4"/>
    </w:rPr>
  </w:style>
  <w:style w:type="paragraph" w:customStyle="1" w:styleId="137">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138">
    <w:name w:val="font11"/>
    <w:autoRedefine/>
    <w:qFormat/>
    <w:uiPriority w:val="0"/>
    <w:rPr>
      <w:rFonts w:hint="eastAsia" w:ascii="宋体" w:hAnsi="宋体" w:eastAsia="宋体" w:cs="宋体"/>
      <w:color w:val="000000"/>
      <w:sz w:val="21"/>
      <w:szCs w:val="21"/>
      <w:u w:val="none"/>
    </w:rPr>
  </w:style>
  <w:style w:type="paragraph" w:customStyle="1" w:styleId="139">
    <w:name w:val="_正文"/>
    <w:basedOn w:val="1"/>
    <w:autoRedefine/>
    <w:qFormat/>
    <w:uiPriority w:val="0"/>
    <w:pPr>
      <w:widowControl w:val="0"/>
      <w:tabs>
        <w:tab w:val="left" w:pos="540"/>
      </w:tabs>
      <w:ind w:firstLine="200" w:firstLineChars="200"/>
    </w:pPr>
    <w:rPr>
      <w:rFonts w:ascii="Times New Roman" w:hAnsi="Times New Roman" w:cs="Arial"/>
    </w:rPr>
  </w:style>
  <w:style w:type="paragraph" w:customStyle="1" w:styleId="140">
    <w:name w:val="+正文"/>
    <w:basedOn w:val="1"/>
    <w:autoRedefine/>
    <w:qFormat/>
    <w:uiPriority w:val="0"/>
    <w:rPr>
      <w:szCs w:val="28"/>
    </w:rPr>
  </w:style>
  <w:style w:type="paragraph" w:customStyle="1" w:styleId="141">
    <w:name w:val="纯文本1"/>
    <w:basedOn w:val="1"/>
    <w:autoRedefine/>
    <w:qFormat/>
    <w:uiPriority w:val="0"/>
    <w:pPr>
      <w:spacing w:beforeLines="50" w:afterLines="50" w:line="400" w:lineRule="exact"/>
    </w:pPr>
    <w:rPr>
      <w:rFonts w:ascii="宋体" w:hAnsi="Courier New"/>
      <w:sz w:val="24"/>
    </w:rPr>
  </w:style>
  <w:style w:type="paragraph" w:customStyle="1" w:styleId="142">
    <w:name w:val="Table Paragraph"/>
    <w:basedOn w:val="1"/>
    <w:autoRedefine/>
    <w:qFormat/>
    <w:uiPriority w:val="1"/>
    <w:rPr>
      <w:rFonts w:ascii="宋体" w:hAnsi="宋体" w:eastAsia="宋体" w:cs="宋体"/>
      <w:lang w:val="zh-CN" w:eastAsia="zh-CN" w:bidi="zh-CN"/>
    </w:rPr>
  </w:style>
  <w:style w:type="paragraph" w:customStyle="1" w:styleId="14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44">
    <w:name w:val="Table Text"/>
    <w:basedOn w:val="1"/>
    <w:semiHidden/>
    <w:qFormat/>
    <w:uiPriority w:val="0"/>
    <w:rPr>
      <w:rFonts w:ascii="宋体" w:hAnsi="宋体" w:eastAsia="宋体" w:cs="宋体"/>
      <w:sz w:val="22"/>
      <w:szCs w:val="22"/>
      <w:lang w:val="en-US" w:eastAsia="en-US" w:bidi="ar-SA"/>
    </w:rPr>
  </w:style>
  <w:style w:type="paragraph" w:customStyle="1" w:styleId="14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70</Pages>
  <Words>22579</Words>
  <Characters>24049</Characters>
  <Lines>326</Lines>
  <Paragraphs>91</Paragraphs>
  <TotalTime>38</TotalTime>
  <ScaleCrop>false</ScaleCrop>
  <LinksUpToDate>false</LinksUpToDate>
  <CharactersWithSpaces>25745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2020-04-21T00:18:00Z</dcterms:created>
  <dc:creator>微软用户</dc:creator>
  <cp:lastModifiedBy>浦发拍卖</cp:lastModifiedBy>
  <cp:lastPrinted>2024-09-26T02:51:00Z</cp:lastPrinted>
  <dcterms:modified xsi:type="dcterms:W3CDTF">2024-11-25T03:21:52Z</dcterms:modified>
  <dc:title>杭州下沙服务外包人才培训基地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6C33B380253F4D05B9FA591A15F65922_13</vt:lpwstr>
  </property>
</Properties>
</file>