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07F58">
      <w:pPr>
        <w:jc w:val="center"/>
        <w:rPr>
          <w:rFonts w:hint="eastAsia" w:ascii="宋体" w:hAnsi="宋体" w:cs="宋体"/>
          <w:b/>
          <w:color w:val="auto"/>
          <w:sz w:val="44"/>
          <w:highlight w:val="none"/>
        </w:rPr>
      </w:pPr>
    </w:p>
    <w:p w14:paraId="4589D52F">
      <w:pPr>
        <w:rPr>
          <w:rFonts w:hint="eastAsia" w:ascii="宋体" w:hAnsi="宋体" w:cs="宋体"/>
          <w:b/>
          <w:color w:val="auto"/>
          <w:sz w:val="44"/>
          <w:szCs w:val="44"/>
          <w:highlight w:val="none"/>
        </w:rPr>
      </w:pPr>
    </w:p>
    <w:p w14:paraId="7C400530">
      <w:pPr>
        <w:pStyle w:val="2"/>
        <w:ind w:left="0" w:leftChars="0" w:firstLine="0" w:firstLineChars="0"/>
        <w:jc w:val="center"/>
        <w:rPr>
          <w:rFonts w:hint="eastAsia"/>
          <w:b/>
          <w:bCs/>
          <w:color w:val="auto"/>
          <w:sz w:val="44"/>
          <w:szCs w:val="44"/>
          <w:highlight w:val="none"/>
          <w:lang w:eastAsia="zh-CN"/>
        </w:rPr>
      </w:pPr>
      <w:r>
        <w:rPr>
          <w:rFonts w:hint="eastAsia"/>
          <w:b/>
          <w:bCs/>
          <w:color w:val="auto"/>
          <w:sz w:val="44"/>
          <w:szCs w:val="44"/>
          <w:highlight w:val="none"/>
          <w:lang w:eastAsia="zh-CN"/>
        </w:rPr>
        <w:t>浦江县诗画里幸福产业有限公司民国楼</w:t>
      </w:r>
    </w:p>
    <w:p w14:paraId="6D7C4CDC">
      <w:pPr>
        <w:pStyle w:val="2"/>
        <w:ind w:left="0" w:leftChars="0" w:firstLine="0" w:firstLineChars="0"/>
        <w:jc w:val="center"/>
        <w:rPr>
          <w:b/>
          <w:bCs/>
          <w:color w:val="auto"/>
          <w:sz w:val="44"/>
          <w:szCs w:val="44"/>
          <w:highlight w:val="none"/>
        </w:rPr>
      </w:pPr>
      <w:r>
        <w:rPr>
          <w:rFonts w:hint="eastAsia"/>
          <w:b/>
          <w:bCs/>
          <w:color w:val="auto"/>
          <w:sz w:val="44"/>
          <w:szCs w:val="44"/>
          <w:highlight w:val="none"/>
          <w:lang w:eastAsia="zh-CN"/>
        </w:rPr>
        <w:t>饮食保障服务项目</w:t>
      </w:r>
    </w:p>
    <w:p w14:paraId="2C5C5660">
      <w:pPr>
        <w:rPr>
          <w:color w:val="auto"/>
          <w:highlight w:val="none"/>
        </w:rPr>
      </w:pPr>
    </w:p>
    <w:p w14:paraId="21D7ABA3">
      <w:pPr>
        <w:jc w:val="center"/>
        <w:rPr>
          <w:rFonts w:hint="eastAsia" w:ascii="宋体" w:hAnsi="宋体" w:cs="宋体"/>
          <w:b/>
          <w:color w:val="auto"/>
          <w:sz w:val="32"/>
          <w:highlight w:val="none"/>
        </w:rPr>
      </w:pPr>
    </w:p>
    <w:p w14:paraId="526B30A7">
      <w:pPr>
        <w:jc w:val="center"/>
        <w:rPr>
          <w:rFonts w:hint="eastAsia" w:ascii="宋体" w:hAnsi="宋体" w:cs="宋体"/>
          <w:b/>
          <w:color w:val="auto"/>
          <w:sz w:val="32"/>
          <w:highlight w:val="none"/>
        </w:rPr>
      </w:pPr>
    </w:p>
    <w:p w14:paraId="065BB49E">
      <w:pPr>
        <w:pStyle w:val="2"/>
        <w:ind w:firstLine="400"/>
        <w:rPr>
          <w:rFonts w:hint="eastAsia" w:ascii="宋体" w:hAnsi="宋体" w:cs="宋体"/>
          <w:color w:val="auto"/>
          <w:highlight w:val="none"/>
        </w:rPr>
      </w:pPr>
    </w:p>
    <w:p w14:paraId="7E60D409">
      <w:pPr>
        <w:pStyle w:val="2"/>
        <w:ind w:firstLine="400"/>
        <w:rPr>
          <w:rFonts w:hint="eastAsia" w:ascii="宋体" w:hAnsi="宋体" w:cs="宋体"/>
          <w:color w:val="auto"/>
          <w:highlight w:val="none"/>
        </w:rPr>
      </w:pPr>
    </w:p>
    <w:p w14:paraId="7ACCF10C">
      <w:pPr>
        <w:jc w:val="center"/>
        <w:rPr>
          <w:rFonts w:hint="eastAsia" w:ascii="宋体" w:hAnsi="宋体" w:cs="宋体"/>
          <w:b/>
          <w:color w:val="auto"/>
          <w:sz w:val="32"/>
          <w:highlight w:val="none"/>
        </w:rPr>
      </w:pPr>
    </w:p>
    <w:p w14:paraId="61027115">
      <w:pPr>
        <w:jc w:val="center"/>
        <w:outlineLvl w:val="0"/>
        <w:rPr>
          <w:rFonts w:hint="eastAsia" w:ascii="宋体" w:hAnsi="宋体" w:cs="宋体"/>
          <w:b/>
          <w:color w:val="auto"/>
          <w:sz w:val="72"/>
          <w:szCs w:val="72"/>
          <w:highlight w:val="none"/>
        </w:rPr>
      </w:pPr>
      <w:bookmarkStart w:id="0" w:name="_Toc17031"/>
      <w:bookmarkStart w:id="1" w:name="_Toc11599"/>
      <w:r>
        <w:rPr>
          <w:rFonts w:hint="eastAsia" w:ascii="宋体" w:hAnsi="宋体" w:cs="宋体"/>
          <w:b/>
          <w:color w:val="auto"/>
          <w:sz w:val="72"/>
          <w:szCs w:val="72"/>
          <w:highlight w:val="none"/>
        </w:rPr>
        <w:t>竞争性磋商文件</w:t>
      </w:r>
      <w:bookmarkEnd w:id="0"/>
      <w:bookmarkEnd w:id="1"/>
    </w:p>
    <w:p w14:paraId="35AC413D">
      <w:pPr>
        <w:rPr>
          <w:rFonts w:hint="eastAsia" w:ascii="宋体" w:hAnsi="宋体" w:cs="宋体"/>
          <w:b/>
          <w:color w:val="auto"/>
          <w:highlight w:val="none"/>
        </w:rPr>
      </w:pPr>
    </w:p>
    <w:p w14:paraId="3BE9B60A">
      <w:pPr>
        <w:pStyle w:val="2"/>
        <w:ind w:firstLine="400"/>
        <w:rPr>
          <w:rFonts w:hint="eastAsia" w:ascii="宋体" w:hAnsi="宋体" w:cs="宋体"/>
          <w:color w:val="auto"/>
          <w:highlight w:val="none"/>
        </w:rPr>
      </w:pPr>
    </w:p>
    <w:p w14:paraId="3268500C">
      <w:pPr>
        <w:rPr>
          <w:rFonts w:hint="eastAsia" w:ascii="宋体" w:hAnsi="宋体" w:cs="宋体"/>
          <w:b/>
          <w:color w:val="auto"/>
          <w:highlight w:val="none"/>
        </w:rPr>
      </w:pPr>
    </w:p>
    <w:p w14:paraId="555FCFEF">
      <w:pPr>
        <w:jc w:val="center"/>
        <w:outlineLvl w:val="0"/>
        <w:rPr>
          <w:rFonts w:hint="eastAsia" w:ascii="宋体" w:hAnsi="宋体" w:eastAsia="宋体" w:cs="宋体"/>
          <w:b/>
          <w:color w:val="auto"/>
          <w:highlight w:val="none"/>
          <w:lang w:val="en-US" w:eastAsia="zh-CN"/>
        </w:rPr>
      </w:pPr>
      <w:bookmarkStart w:id="2" w:name="_Toc16679"/>
      <w:bookmarkStart w:id="3" w:name="_Toc31387"/>
      <w:r>
        <w:rPr>
          <w:rFonts w:hint="eastAsia" w:ascii="宋体" w:hAnsi="宋体" w:cs="宋体"/>
          <w:b/>
          <w:color w:val="auto"/>
          <w:sz w:val="32"/>
          <w:highlight w:val="none"/>
        </w:rPr>
        <w:t>项目编号：</w:t>
      </w:r>
      <w:bookmarkEnd w:id="2"/>
      <w:bookmarkEnd w:id="3"/>
      <w:r>
        <w:rPr>
          <w:rFonts w:hint="eastAsia" w:ascii="宋体" w:hAnsi="宋体" w:cs="宋体"/>
          <w:b/>
          <w:color w:val="auto"/>
          <w:sz w:val="32"/>
          <w:highlight w:val="none"/>
          <w:u w:val="single"/>
          <w:lang w:eastAsia="zh-CN"/>
        </w:rPr>
        <w:t>PJCQCS（XFCY)2024-1122</w:t>
      </w:r>
    </w:p>
    <w:p w14:paraId="157F0F5D">
      <w:pPr>
        <w:rPr>
          <w:rFonts w:hint="eastAsia" w:ascii="宋体" w:hAnsi="宋体" w:cs="宋体"/>
          <w:b/>
          <w:color w:val="auto"/>
          <w:highlight w:val="none"/>
        </w:rPr>
      </w:pPr>
    </w:p>
    <w:p w14:paraId="04DA1456">
      <w:pPr>
        <w:rPr>
          <w:rFonts w:hint="eastAsia" w:ascii="宋体" w:hAnsi="宋体" w:cs="宋体"/>
          <w:b/>
          <w:color w:val="auto"/>
          <w:highlight w:val="none"/>
        </w:rPr>
      </w:pPr>
    </w:p>
    <w:p w14:paraId="2D7DC88E">
      <w:pPr>
        <w:rPr>
          <w:rFonts w:hint="eastAsia" w:ascii="宋体" w:hAnsi="宋体" w:cs="宋体"/>
          <w:b/>
          <w:color w:val="auto"/>
          <w:highlight w:val="none"/>
        </w:rPr>
      </w:pPr>
    </w:p>
    <w:p w14:paraId="7FBCECF0">
      <w:pPr>
        <w:rPr>
          <w:rFonts w:hint="eastAsia" w:ascii="宋体" w:hAnsi="宋体" w:cs="宋体"/>
          <w:b/>
          <w:color w:val="auto"/>
          <w:highlight w:val="none"/>
        </w:rPr>
      </w:pPr>
    </w:p>
    <w:p w14:paraId="06C59D95">
      <w:pPr>
        <w:rPr>
          <w:rFonts w:hint="eastAsia" w:ascii="宋体" w:hAnsi="宋体" w:cs="宋体"/>
          <w:b/>
          <w:color w:val="auto"/>
          <w:highlight w:val="none"/>
        </w:rPr>
      </w:pPr>
    </w:p>
    <w:p w14:paraId="54667725">
      <w:pPr>
        <w:rPr>
          <w:rFonts w:hint="eastAsia" w:ascii="宋体" w:hAnsi="宋体" w:cs="宋体"/>
          <w:b/>
          <w:color w:val="auto"/>
          <w:highlight w:val="none"/>
        </w:rPr>
      </w:pPr>
    </w:p>
    <w:p w14:paraId="1345B1A2">
      <w:pPr>
        <w:spacing w:line="720" w:lineRule="auto"/>
        <w:ind w:firstLine="1275" w:firstLineChars="397"/>
        <w:outlineLvl w:val="0"/>
        <w:rPr>
          <w:rFonts w:hint="eastAsia" w:ascii="宋体" w:hAnsi="宋体" w:eastAsia="宋体" w:cs="宋体"/>
          <w:b/>
          <w:color w:val="auto"/>
          <w:sz w:val="32"/>
          <w:highlight w:val="none"/>
          <w:lang w:eastAsia="zh-CN"/>
        </w:rPr>
      </w:pPr>
      <w:bookmarkStart w:id="4" w:name="_Toc6540"/>
      <w:bookmarkStart w:id="5" w:name="_Toc18225"/>
      <w:r>
        <w:rPr>
          <w:rFonts w:hint="eastAsia" w:ascii="宋体" w:hAnsi="宋体" w:cs="宋体"/>
          <w:b/>
          <w:color w:val="auto"/>
          <w:sz w:val="32"/>
          <w:highlight w:val="none"/>
        </w:rPr>
        <w:t>采 购 人：</w:t>
      </w:r>
      <w:bookmarkEnd w:id="4"/>
      <w:r>
        <w:rPr>
          <w:rFonts w:hint="eastAsia" w:ascii="宋体" w:hAnsi="宋体" w:cs="宋体"/>
          <w:b/>
          <w:color w:val="auto"/>
          <w:sz w:val="32"/>
          <w:highlight w:val="none"/>
          <w:lang w:eastAsia="zh-CN"/>
        </w:rPr>
        <w:t>浦江县诗画里幸福产业有限公司</w:t>
      </w:r>
      <w:bookmarkEnd w:id="5"/>
    </w:p>
    <w:p w14:paraId="5263323D">
      <w:pPr>
        <w:spacing w:line="720" w:lineRule="auto"/>
        <w:ind w:firstLine="1275" w:firstLineChars="397"/>
        <w:rPr>
          <w:rFonts w:hint="eastAsia" w:ascii="宋体" w:hAnsi="宋体" w:cs="宋体"/>
          <w:b/>
          <w:color w:val="auto"/>
          <w:sz w:val="32"/>
          <w:highlight w:val="none"/>
        </w:rPr>
      </w:pPr>
      <w:r>
        <w:rPr>
          <w:rFonts w:hint="eastAsia" w:ascii="宋体" w:hAnsi="宋体" w:cs="宋体"/>
          <w:b/>
          <w:color w:val="auto"/>
          <w:sz w:val="32"/>
          <w:highlight w:val="none"/>
        </w:rPr>
        <w:t>代理机构：浦江县产权交易有限公司</w:t>
      </w:r>
    </w:p>
    <w:p w14:paraId="796ABEEF">
      <w:pPr>
        <w:spacing w:line="720" w:lineRule="auto"/>
        <w:ind w:firstLine="1275" w:firstLineChars="397"/>
        <w:rPr>
          <w:rFonts w:hint="eastAsia" w:ascii="宋体" w:hAnsi="宋体" w:cs="宋体"/>
          <w:b/>
          <w:color w:val="auto"/>
          <w:sz w:val="32"/>
          <w:highlight w:val="none"/>
        </w:rPr>
      </w:pPr>
      <w:r>
        <w:rPr>
          <w:rFonts w:hint="eastAsia" w:ascii="宋体" w:hAnsi="宋体" w:cs="宋体"/>
          <w:b/>
          <w:color w:val="auto"/>
          <w:sz w:val="32"/>
          <w:highlight w:val="none"/>
        </w:rPr>
        <w:t>日    期：二〇二四年</w:t>
      </w:r>
      <w:r>
        <w:rPr>
          <w:rFonts w:hint="eastAsia" w:ascii="宋体" w:hAnsi="宋体" w:cs="宋体"/>
          <w:b/>
          <w:color w:val="auto"/>
          <w:sz w:val="32"/>
          <w:highlight w:val="none"/>
          <w:lang w:eastAsia="zh-CN"/>
        </w:rPr>
        <w:t>十一</w:t>
      </w:r>
      <w:r>
        <w:rPr>
          <w:rFonts w:hint="eastAsia" w:ascii="宋体" w:hAnsi="宋体" w:cs="宋体"/>
          <w:b/>
          <w:color w:val="auto"/>
          <w:sz w:val="32"/>
          <w:highlight w:val="none"/>
        </w:rPr>
        <w:t>月</w:t>
      </w:r>
    </w:p>
    <w:p w14:paraId="7D0E07ED">
      <w:pPr>
        <w:spacing w:line="360" w:lineRule="auto"/>
        <w:jc w:val="center"/>
        <w:rPr>
          <w:rFonts w:hint="eastAsia" w:ascii="宋体" w:hAnsi="宋体" w:cs="宋体"/>
          <w:b/>
          <w:bCs/>
          <w:color w:val="auto"/>
          <w:sz w:val="48"/>
          <w:szCs w:val="48"/>
          <w:highlight w:val="none"/>
        </w:rPr>
        <w:sectPr>
          <w:footerReference r:id="rId5" w:type="first"/>
          <w:head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31020A9D">
      <w:pPr>
        <w:spacing w:line="400" w:lineRule="exact"/>
        <w:rPr>
          <w:rFonts w:hint="eastAsia" w:ascii="宋体" w:hAnsi="宋体" w:cs="宋体"/>
          <w:color w:val="auto"/>
          <w:kern w:val="0"/>
          <w:sz w:val="28"/>
          <w:szCs w:val="28"/>
          <w:highlight w:val="none"/>
        </w:rPr>
      </w:pPr>
    </w:p>
    <w:p w14:paraId="6EF74E98">
      <w:pPr>
        <w:rPr>
          <w:rFonts w:hint="eastAsia" w:ascii="宋体" w:hAnsi="宋体" w:cs="宋体"/>
          <w:color w:val="auto"/>
          <w:kern w:val="0"/>
          <w:sz w:val="28"/>
          <w:szCs w:val="28"/>
          <w:highlight w:val="none"/>
        </w:rPr>
      </w:pPr>
    </w:p>
    <w:sdt>
      <w:sdtPr>
        <w:rPr>
          <w:rFonts w:hint="eastAsia" w:ascii="宋体" w:hAnsi="宋体" w:cs="宋体"/>
          <w:b/>
          <w:bCs/>
          <w:color w:val="auto"/>
          <w:kern w:val="44"/>
          <w:sz w:val="36"/>
          <w:szCs w:val="36"/>
          <w:highlight w:val="none"/>
        </w:rPr>
        <w:id w:val="147464226"/>
        <w15:color w:val="DBDBDB"/>
        <w:docPartObj>
          <w:docPartGallery w:val="Table of Contents"/>
          <w:docPartUnique/>
        </w:docPartObj>
      </w:sdtPr>
      <w:sdtEndPr>
        <w:rPr>
          <w:rFonts w:hint="eastAsia" w:ascii="宋体" w:hAnsi="宋体" w:cs="宋体"/>
          <w:b/>
          <w:bCs/>
          <w:color w:val="auto"/>
          <w:kern w:val="44"/>
          <w:sz w:val="28"/>
          <w:szCs w:val="36"/>
          <w:highlight w:val="none"/>
        </w:rPr>
      </w:sdtEndPr>
      <w:sdtContent>
        <w:p w14:paraId="3565D315">
          <w:pPr>
            <w:spacing w:line="540" w:lineRule="exact"/>
            <w:jc w:val="center"/>
            <w:outlineLvl w:val="0"/>
            <w:rPr>
              <w:rFonts w:hint="eastAsia" w:ascii="宋体" w:hAnsi="宋体" w:cs="宋体"/>
              <w:b/>
              <w:bCs/>
              <w:color w:val="auto"/>
              <w:sz w:val="36"/>
              <w:szCs w:val="36"/>
              <w:highlight w:val="none"/>
            </w:rPr>
          </w:pPr>
          <w:bookmarkStart w:id="6" w:name="_Toc28656"/>
          <w:bookmarkStart w:id="7" w:name="_Toc415376130"/>
          <w:r>
            <w:rPr>
              <w:rFonts w:hint="eastAsia" w:ascii="宋体" w:hAnsi="宋体" w:cs="宋体"/>
              <w:b/>
              <w:bCs/>
              <w:color w:val="auto"/>
              <w:sz w:val="36"/>
              <w:szCs w:val="36"/>
              <w:highlight w:val="none"/>
            </w:rPr>
            <w:t>目  录</w:t>
          </w:r>
          <w:bookmarkEnd w:id="6"/>
        </w:p>
        <w:p w14:paraId="20F49FC3">
          <w:pPr>
            <w:pStyle w:val="39"/>
            <w:tabs>
              <w:tab w:val="right" w:leader="dot" w:pos="9333"/>
              <w:tab w:val="clear" w:pos="8296"/>
            </w:tabs>
            <w:rPr>
              <w:color w:val="auto"/>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TOC \o "1-1" \h \u </w:instrText>
          </w:r>
          <w:r>
            <w:rPr>
              <w:rFonts w:hint="eastAsia" w:ascii="宋体" w:hAnsi="宋体" w:cs="宋体"/>
              <w:color w:val="auto"/>
              <w:sz w:val="36"/>
              <w:szCs w:val="36"/>
              <w:highlight w:val="none"/>
            </w:rPr>
            <w:fldChar w:fldCharType="separate"/>
          </w:r>
        </w:p>
        <w:p w14:paraId="3B6495D6">
          <w:pPr>
            <w:pStyle w:val="39"/>
            <w:tabs>
              <w:tab w:val="right" w:leader="dot" w:pos="9333"/>
              <w:tab w:val="clear" w:pos="8296"/>
            </w:tabs>
            <w:rPr>
              <w:color w:val="auto"/>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_Toc1632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第一章 竞争性磋商公告</w:t>
          </w:r>
          <w:r>
            <w:rPr>
              <w:color w:val="auto"/>
              <w:sz w:val="30"/>
              <w:szCs w:val="30"/>
            </w:rPr>
            <w:tab/>
          </w:r>
          <w:r>
            <w:rPr>
              <w:color w:val="auto"/>
              <w:sz w:val="30"/>
              <w:szCs w:val="30"/>
            </w:rPr>
            <w:fldChar w:fldCharType="begin"/>
          </w:r>
          <w:r>
            <w:rPr>
              <w:color w:val="auto"/>
              <w:sz w:val="30"/>
              <w:szCs w:val="30"/>
            </w:rPr>
            <w:instrText xml:space="preserve"> PAGEREF _Toc1632 \h </w:instrText>
          </w:r>
          <w:r>
            <w:rPr>
              <w:color w:val="auto"/>
              <w:sz w:val="30"/>
              <w:szCs w:val="30"/>
            </w:rPr>
            <w:fldChar w:fldCharType="separate"/>
          </w:r>
          <w:r>
            <w:rPr>
              <w:color w:val="auto"/>
              <w:sz w:val="30"/>
              <w:szCs w:val="30"/>
            </w:rPr>
            <w:t>1</w:t>
          </w:r>
          <w:r>
            <w:rPr>
              <w:color w:val="auto"/>
              <w:sz w:val="30"/>
              <w:szCs w:val="30"/>
            </w:rPr>
            <w:fldChar w:fldCharType="end"/>
          </w:r>
          <w:r>
            <w:rPr>
              <w:rFonts w:hint="eastAsia" w:ascii="宋体" w:hAnsi="宋体" w:cs="宋体"/>
              <w:color w:val="auto"/>
              <w:sz w:val="30"/>
              <w:szCs w:val="30"/>
              <w:highlight w:val="none"/>
            </w:rPr>
            <w:fldChar w:fldCharType="end"/>
          </w:r>
        </w:p>
        <w:p w14:paraId="33C97317">
          <w:pPr>
            <w:pStyle w:val="39"/>
            <w:tabs>
              <w:tab w:val="right" w:leader="dot" w:pos="9333"/>
              <w:tab w:val="clear" w:pos="8296"/>
            </w:tabs>
            <w:rPr>
              <w:color w:val="auto"/>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_Toc12525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第二章 磋商供应商须知</w:t>
          </w:r>
          <w:r>
            <w:rPr>
              <w:color w:val="auto"/>
              <w:sz w:val="30"/>
              <w:szCs w:val="30"/>
            </w:rPr>
            <w:tab/>
          </w:r>
          <w:r>
            <w:rPr>
              <w:color w:val="auto"/>
              <w:sz w:val="30"/>
              <w:szCs w:val="30"/>
            </w:rPr>
            <w:fldChar w:fldCharType="begin"/>
          </w:r>
          <w:r>
            <w:rPr>
              <w:color w:val="auto"/>
              <w:sz w:val="30"/>
              <w:szCs w:val="30"/>
            </w:rPr>
            <w:instrText xml:space="preserve"> PAGEREF _Toc12525 \h </w:instrText>
          </w:r>
          <w:r>
            <w:rPr>
              <w:color w:val="auto"/>
              <w:sz w:val="30"/>
              <w:szCs w:val="30"/>
            </w:rPr>
            <w:fldChar w:fldCharType="separate"/>
          </w:r>
          <w:r>
            <w:rPr>
              <w:color w:val="auto"/>
              <w:sz w:val="30"/>
              <w:szCs w:val="30"/>
            </w:rPr>
            <w:t>3</w:t>
          </w:r>
          <w:r>
            <w:rPr>
              <w:color w:val="auto"/>
              <w:sz w:val="30"/>
              <w:szCs w:val="30"/>
            </w:rPr>
            <w:fldChar w:fldCharType="end"/>
          </w:r>
          <w:r>
            <w:rPr>
              <w:rFonts w:hint="eastAsia" w:ascii="宋体" w:hAnsi="宋体" w:cs="宋体"/>
              <w:color w:val="auto"/>
              <w:sz w:val="30"/>
              <w:szCs w:val="30"/>
              <w:highlight w:val="none"/>
            </w:rPr>
            <w:fldChar w:fldCharType="end"/>
          </w:r>
        </w:p>
        <w:p w14:paraId="2EEF86D2">
          <w:pPr>
            <w:pStyle w:val="39"/>
            <w:tabs>
              <w:tab w:val="right" w:leader="dot" w:pos="9333"/>
              <w:tab w:val="clear" w:pos="8296"/>
            </w:tabs>
            <w:rPr>
              <w:color w:val="auto"/>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_Toc30078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第三章  采购</w:t>
          </w:r>
          <w:r>
            <w:rPr>
              <w:rFonts w:hint="eastAsia" w:ascii="宋体" w:hAnsi="宋体" w:cs="宋体"/>
              <w:color w:val="auto"/>
              <w:sz w:val="30"/>
              <w:szCs w:val="30"/>
              <w:highlight w:val="none"/>
              <w:lang w:val="zh-CN"/>
            </w:rPr>
            <w:t>需求</w:t>
          </w:r>
          <w:r>
            <w:rPr>
              <w:color w:val="auto"/>
              <w:sz w:val="30"/>
              <w:szCs w:val="30"/>
            </w:rPr>
            <w:tab/>
          </w:r>
          <w:r>
            <w:rPr>
              <w:color w:val="auto"/>
              <w:sz w:val="30"/>
              <w:szCs w:val="30"/>
            </w:rPr>
            <w:fldChar w:fldCharType="begin"/>
          </w:r>
          <w:r>
            <w:rPr>
              <w:color w:val="auto"/>
              <w:sz w:val="30"/>
              <w:szCs w:val="30"/>
            </w:rPr>
            <w:instrText xml:space="preserve"> PAGEREF _Toc30078 \h </w:instrText>
          </w:r>
          <w:r>
            <w:rPr>
              <w:color w:val="auto"/>
              <w:sz w:val="30"/>
              <w:szCs w:val="30"/>
            </w:rPr>
            <w:fldChar w:fldCharType="separate"/>
          </w:r>
          <w:r>
            <w:rPr>
              <w:color w:val="auto"/>
              <w:sz w:val="30"/>
              <w:szCs w:val="30"/>
            </w:rPr>
            <w:t>20</w:t>
          </w:r>
          <w:r>
            <w:rPr>
              <w:color w:val="auto"/>
              <w:sz w:val="30"/>
              <w:szCs w:val="30"/>
            </w:rPr>
            <w:fldChar w:fldCharType="end"/>
          </w:r>
          <w:r>
            <w:rPr>
              <w:rFonts w:hint="eastAsia" w:ascii="宋体" w:hAnsi="宋体" w:cs="宋体"/>
              <w:color w:val="auto"/>
              <w:sz w:val="30"/>
              <w:szCs w:val="30"/>
              <w:highlight w:val="none"/>
            </w:rPr>
            <w:fldChar w:fldCharType="end"/>
          </w:r>
        </w:p>
        <w:p w14:paraId="3C55C731">
          <w:pPr>
            <w:pStyle w:val="39"/>
            <w:tabs>
              <w:tab w:val="right" w:leader="dot" w:pos="9333"/>
              <w:tab w:val="clear" w:pos="8296"/>
            </w:tabs>
            <w:rPr>
              <w:color w:val="auto"/>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_Toc19759 </w:instrText>
          </w:r>
          <w:r>
            <w:rPr>
              <w:rFonts w:hint="eastAsia" w:ascii="宋体" w:hAnsi="宋体" w:cs="宋体"/>
              <w:color w:val="auto"/>
              <w:sz w:val="30"/>
              <w:szCs w:val="30"/>
              <w:highlight w:val="none"/>
            </w:rPr>
            <w:fldChar w:fldCharType="separate"/>
          </w:r>
          <w:r>
            <w:rPr>
              <w:rFonts w:hint="eastAsia" w:ascii="宋体" w:hAnsi="宋体" w:cs="宋体"/>
              <w:bCs w:val="0"/>
              <w:color w:val="auto"/>
              <w:sz w:val="30"/>
              <w:szCs w:val="30"/>
              <w:highlight w:val="none"/>
            </w:rPr>
            <w:t>第四章  合同条款（格式）</w:t>
          </w:r>
          <w:r>
            <w:rPr>
              <w:color w:val="auto"/>
              <w:sz w:val="30"/>
              <w:szCs w:val="30"/>
            </w:rPr>
            <w:tab/>
          </w:r>
          <w:r>
            <w:rPr>
              <w:color w:val="auto"/>
              <w:sz w:val="30"/>
              <w:szCs w:val="30"/>
            </w:rPr>
            <w:fldChar w:fldCharType="begin"/>
          </w:r>
          <w:r>
            <w:rPr>
              <w:color w:val="auto"/>
              <w:sz w:val="30"/>
              <w:szCs w:val="30"/>
            </w:rPr>
            <w:instrText xml:space="preserve"> PAGEREF _Toc19759 \h </w:instrText>
          </w:r>
          <w:r>
            <w:rPr>
              <w:color w:val="auto"/>
              <w:sz w:val="30"/>
              <w:szCs w:val="30"/>
            </w:rPr>
            <w:fldChar w:fldCharType="separate"/>
          </w:r>
          <w:r>
            <w:rPr>
              <w:color w:val="auto"/>
              <w:sz w:val="30"/>
              <w:szCs w:val="30"/>
            </w:rPr>
            <w:t>25</w:t>
          </w:r>
          <w:r>
            <w:rPr>
              <w:color w:val="auto"/>
              <w:sz w:val="30"/>
              <w:szCs w:val="30"/>
            </w:rPr>
            <w:fldChar w:fldCharType="end"/>
          </w:r>
          <w:r>
            <w:rPr>
              <w:rFonts w:hint="eastAsia" w:ascii="宋体" w:hAnsi="宋体" w:cs="宋体"/>
              <w:color w:val="auto"/>
              <w:sz w:val="30"/>
              <w:szCs w:val="30"/>
              <w:highlight w:val="none"/>
            </w:rPr>
            <w:fldChar w:fldCharType="end"/>
          </w:r>
        </w:p>
        <w:p w14:paraId="27EC8CD0">
          <w:pPr>
            <w:pStyle w:val="39"/>
            <w:tabs>
              <w:tab w:val="right" w:leader="dot" w:pos="9333"/>
              <w:tab w:val="clear" w:pos="8296"/>
            </w:tabs>
            <w:rPr>
              <w:color w:val="auto"/>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_Toc13843 </w:instrText>
          </w:r>
          <w:r>
            <w:rPr>
              <w:rFonts w:hint="eastAsia" w:ascii="宋体" w:hAnsi="宋体" w:cs="宋体"/>
              <w:color w:val="auto"/>
              <w:sz w:val="30"/>
              <w:szCs w:val="30"/>
              <w:highlight w:val="none"/>
            </w:rPr>
            <w:fldChar w:fldCharType="separate"/>
          </w:r>
          <w:r>
            <w:rPr>
              <w:rFonts w:hint="eastAsia"/>
              <w:color w:val="auto"/>
              <w:sz w:val="30"/>
              <w:szCs w:val="30"/>
              <w:highlight w:val="none"/>
            </w:rPr>
            <w:t>第五章  磋商办法及评分标准</w:t>
          </w:r>
          <w:r>
            <w:rPr>
              <w:color w:val="auto"/>
              <w:sz w:val="30"/>
              <w:szCs w:val="30"/>
            </w:rPr>
            <w:tab/>
          </w:r>
          <w:r>
            <w:rPr>
              <w:color w:val="auto"/>
              <w:sz w:val="30"/>
              <w:szCs w:val="30"/>
            </w:rPr>
            <w:fldChar w:fldCharType="begin"/>
          </w:r>
          <w:r>
            <w:rPr>
              <w:color w:val="auto"/>
              <w:sz w:val="30"/>
              <w:szCs w:val="30"/>
            </w:rPr>
            <w:instrText xml:space="preserve"> PAGEREF _Toc13843 \h </w:instrText>
          </w:r>
          <w:r>
            <w:rPr>
              <w:color w:val="auto"/>
              <w:sz w:val="30"/>
              <w:szCs w:val="30"/>
            </w:rPr>
            <w:fldChar w:fldCharType="separate"/>
          </w:r>
          <w:r>
            <w:rPr>
              <w:color w:val="auto"/>
              <w:sz w:val="30"/>
              <w:szCs w:val="30"/>
            </w:rPr>
            <w:t>29</w:t>
          </w:r>
          <w:r>
            <w:rPr>
              <w:color w:val="auto"/>
              <w:sz w:val="30"/>
              <w:szCs w:val="30"/>
            </w:rPr>
            <w:fldChar w:fldCharType="end"/>
          </w:r>
          <w:r>
            <w:rPr>
              <w:rFonts w:hint="eastAsia" w:ascii="宋体" w:hAnsi="宋体" w:cs="宋体"/>
              <w:color w:val="auto"/>
              <w:sz w:val="30"/>
              <w:szCs w:val="30"/>
              <w:highlight w:val="none"/>
            </w:rPr>
            <w:fldChar w:fldCharType="end"/>
          </w:r>
        </w:p>
        <w:p w14:paraId="55B413B3">
          <w:pPr>
            <w:pStyle w:val="39"/>
            <w:tabs>
              <w:tab w:val="right" w:leader="dot" w:pos="9333"/>
              <w:tab w:val="clear" w:pos="8296"/>
            </w:tabs>
            <w:rPr>
              <w:color w:val="auto"/>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_Toc22410 </w:instrText>
          </w:r>
          <w:r>
            <w:rPr>
              <w:rFonts w:hint="eastAsia" w:ascii="宋体" w:hAnsi="宋体" w:cs="宋体"/>
              <w:color w:val="auto"/>
              <w:sz w:val="30"/>
              <w:szCs w:val="30"/>
              <w:highlight w:val="none"/>
            </w:rPr>
            <w:fldChar w:fldCharType="separate"/>
          </w:r>
          <w:r>
            <w:rPr>
              <w:rFonts w:hint="eastAsia"/>
              <w:color w:val="auto"/>
              <w:sz w:val="30"/>
              <w:szCs w:val="30"/>
              <w:highlight w:val="none"/>
            </w:rPr>
            <w:t>第六章   响应文件格式</w:t>
          </w:r>
          <w:r>
            <w:rPr>
              <w:color w:val="auto"/>
              <w:sz w:val="30"/>
              <w:szCs w:val="30"/>
            </w:rPr>
            <w:tab/>
          </w:r>
          <w:r>
            <w:rPr>
              <w:color w:val="auto"/>
              <w:sz w:val="30"/>
              <w:szCs w:val="30"/>
            </w:rPr>
            <w:fldChar w:fldCharType="begin"/>
          </w:r>
          <w:r>
            <w:rPr>
              <w:color w:val="auto"/>
              <w:sz w:val="30"/>
              <w:szCs w:val="30"/>
            </w:rPr>
            <w:instrText xml:space="preserve"> PAGEREF _Toc22410 \h </w:instrText>
          </w:r>
          <w:r>
            <w:rPr>
              <w:color w:val="auto"/>
              <w:sz w:val="30"/>
              <w:szCs w:val="30"/>
            </w:rPr>
            <w:fldChar w:fldCharType="separate"/>
          </w:r>
          <w:r>
            <w:rPr>
              <w:color w:val="auto"/>
              <w:sz w:val="30"/>
              <w:szCs w:val="30"/>
            </w:rPr>
            <w:t>33</w:t>
          </w:r>
          <w:r>
            <w:rPr>
              <w:color w:val="auto"/>
              <w:sz w:val="30"/>
              <w:szCs w:val="30"/>
            </w:rPr>
            <w:fldChar w:fldCharType="end"/>
          </w:r>
          <w:r>
            <w:rPr>
              <w:rFonts w:hint="eastAsia" w:ascii="宋体" w:hAnsi="宋体" w:cs="宋体"/>
              <w:color w:val="auto"/>
              <w:sz w:val="30"/>
              <w:szCs w:val="30"/>
              <w:highlight w:val="none"/>
            </w:rPr>
            <w:fldChar w:fldCharType="end"/>
          </w:r>
        </w:p>
        <w:p w14:paraId="010D7FC0">
          <w:pPr>
            <w:pStyle w:val="6"/>
            <w:numPr>
              <w:ilvl w:val="0"/>
              <w:numId w:val="1"/>
            </w:numPr>
            <w:tabs>
              <w:tab w:val="clear" w:pos="360"/>
            </w:tabs>
            <w:spacing w:before="120" w:beforeLines="50" w:after="120" w:afterLines="50" w:line="360" w:lineRule="auto"/>
            <w:ind w:left="0" w:firstLine="0"/>
            <w:jc w:val="center"/>
            <w:rPr>
              <w:rFonts w:hint="eastAsia" w:ascii="宋体" w:hAnsi="宋体" w:cs="宋体"/>
              <w:color w:val="auto"/>
              <w:sz w:val="36"/>
              <w:szCs w:val="36"/>
              <w:highlight w:val="none"/>
            </w:rPr>
            <w:sectPr>
              <w:headerReference r:id="rId6" w:type="default"/>
              <w:footerReference r:id="rId7" w:type="default"/>
              <w:pgSz w:w="11907" w:h="16840"/>
              <w:pgMar w:top="1247" w:right="1134" w:bottom="1247" w:left="1440" w:header="851" w:footer="851" w:gutter="0"/>
              <w:pgNumType w:fmt="numberInDash" w:start="1"/>
              <w:cols w:space="720" w:num="1"/>
              <w:docGrid w:linePitch="272" w:charSpace="0"/>
            </w:sectPr>
          </w:pPr>
          <w:r>
            <w:rPr>
              <w:rFonts w:hint="eastAsia" w:ascii="宋体" w:hAnsi="宋体" w:cs="宋体"/>
              <w:color w:val="auto"/>
              <w:szCs w:val="36"/>
              <w:highlight w:val="none"/>
            </w:rPr>
            <w:fldChar w:fldCharType="end"/>
          </w:r>
        </w:p>
      </w:sdtContent>
    </w:sdt>
    <w:p w14:paraId="639B3F1A">
      <w:pPr>
        <w:pStyle w:val="6"/>
        <w:numPr>
          <w:ilvl w:val="0"/>
          <w:numId w:val="1"/>
        </w:numPr>
        <w:tabs>
          <w:tab w:val="clear" w:pos="360"/>
        </w:tabs>
        <w:spacing w:before="120" w:beforeLines="50" w:after="120" w:afterLines="50" w:line="360" w:lineRule="auto"/>
        <w:ind w:left="0" w:firstLine="0"/>
        <w:jc w:val="center"/>
        <w:rPr>
          <w:rStyle w:val="80"/>
          <w:rFonts w:hint="eastAsia" w:hAnsi="宋体" w:cs="宋体"/>
          <w:color w:val="auto"/>
          <w:sz w:val="36"/>
          <w:szCs w:val="36"/>
          <w:highlight w:val="none"/>
        </w:rPr>
      </w:pPr>
      <w:bookmarkStart w:id="8" w:name="_Toc1632"/>
      <w:bookmarkStart w:id="9" w:name="_Toc11965"/>
      <w:r>
        <w:rPr>
          <w:rFonts w:hint="eastAsia" w:ascii="宋体" w:hAnsi="宋体" w:cs="宋体"/>
          <w:color w:val="auto"/>
          <w:sz w:val="36"/>
          <w:szCs w:val="36"/>
          <w:highlight w:val="none"/>
        </w:rPr>
        <w:t xml:space="preserve">第一章 </w:t>
      </w:r>
      <w:bookmarkEnd w:id="7"/>
      <w:r>
        <w:rPr>
          <w:rFonts w:hint="eastAsia" w:ascii="宋体" w:hAnsi="宋体" w:cs="宋体"/>
          <w:color w:val="auto"/>
          <w:sz w:val="36"/>
          <w:szCs w:val="36"/>
          <w:highlight w:val="none"/>
        </w:rPr>
        <w:t>竞争性磋商公告</w:t>
      </w:r>
      <w:bookmarkEnd w:id="8"/>
      <w:bookmarkEnd w:id="9"/>
    </w:p>
    <w:p w14:paraId="4897512B">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 xml:space="preserve"> 浦江县产权交易有限公司 </w:t>
      </w:r>
      <w:r>
        <w:rPr>
          <w:rFonts w:hint="eastAsia" w:asciiTheme="minorEastAsia" w:hAnsiTheme="minorEastAsia" w:eastAsiaTheme="minorEastAsia" w:cstheme="minorEastAsia"/>
          <w:color w:val="auto"/>
          <w:kern w:val="0"/>
          <w:sz w:val="24"/>
          <w:highlight w:val="none"/>
        </w:rPr>
        <w:t>受</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浦江县诗画里幸福产业有限公司</w:t>
      </w:r>
      <w:r>
        <w:rPr>
          <w:rFonts w:hint="eastAsia" w:asciiTheme="minorEastAsia" w:hAnsiTheme="minorEastAsia" w:eastAsiaTheme="minorEastAsia" w:cstheme="minorEastAsia"/>
          <w:color w:val="auto"/>
          <w:kern w:val="0"/>
          <w:sz w:val="24"/>
          <w:highlight w:val="none"/>
        </w:rPr>
        <w:t>的委托，对</w:t>
      </w:r>
      <w:r>
        <w:rPr>
          <w:rFonts w:hint="eastAsia" w:asciiTheme="minorEastAsia" w:hAnsiTheme="minorEastAsia" w:eastAsiaTheme="minorEastAsia" w:cstheme="minorEastAsia"/>
          <w:color w:val="auto"/>
          <w:kern w:val="0"/>
          <w:sz w:val="24"/>
          <w:highlight w:val="none"/>
          <w:lang w:eastAsia="zh-CN"/>
        </w:rPr>
        <w:t>浦江县诗画里幸福产业有限公司民国楼饮食保障服务项目</w:t>
      </w:r>
      <w:r>
        <w:rPr>
          <w:rFonts w:hint="eastAsia" w:asciiTheme="minorEastAsia" w:hAnsiTheme="minorEastAsia" w:eastAsiaTheme="minorEastAsia" w:cstheme="minorEastAsia"/>
          <w:color w:val="auto"/>
          <w:kern w:val="0"/>
          <w:sz w:val="24"/>
          <w:highlight w:val="none"/>
        </w:rPr>
        <w:t>采用竞争性磋商方式进行采购，欢迎符合资格条件的供应商前来报名参加磋商。</w:t>
      </w:r>
    </w:p>
    <w:p w14:paraId="3A4F19C8">
      <w:pPr>
        <w:keepNext w:val="0"/>
        <w:keepLines w:val="0"/>
        <w:pageBreakBefore w:val="0"/>
        <w:widowControl w:val="0"/>
        <w:kinsoku/>
        <w:wordWrap/>
        <w:overflowPunct/>
        <w:topLinePunct w:val="0"/>
        <w:autoSpaceDE/>
        <w:autoSpaceDN/>
        <w:bidi w:val="0"/>
        <w:adjustRightInd w:val="0"/>
        <w:snapToGrid w:val="0"/>
        <w:spacing w:line="450" w:lineRule="exact"/>
        <w:ind w:firstLine="482" w:firstLineChars="200"/>
        <w:jc w:val="left"/>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rPr>
        <w:t>一、项目编号</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PJCQCS（XFCY)2024-1122</w:t>
      </w:r>
    </w:p>
    <w:p w14:paraId="2736A2AC">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stheme="minorEastAsia"/>
          <w:b/>
          <w:bCs/>
          <w:color w:val="auto"/>
          <w:sz w:val="24"/>
          <w:highlight w:val="none"/>
        </w:rPr>
        <w:t>采购内容：</w:t>
      </w:r>
    </w:p>
    <w:tbl>
      <w:tblPr>
        <w:tblStyle w:val="53"/>
        <w:tblW w:w="48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457"/>
        <w:gridCol w:w="3467"/>
        <w:gridCol w:w="1343"/>
        <w:gridCol w:w="1285"/>
      </w:tblGrid>
      <w:tr w14:paraId="2E6D5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25D6B841">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1314" w:type="pct"/>
            <w:tcBorders>
              <w:top w:val="single" w:color="auto" w:sz="4" w:space="0"/>
              <w:left w:val="single" w:color="auto" w:sz="4" w:space="0"/>
              <w:bottom w:val="single" w:color="auto" w:sz="4" w:space="0"/>
              <w:right w:val="single" w:color="auto" w:sz="4" w:space="0"/>
            </w:tcBorders>
            <w:vAlign w:val="center"/>
          </w:tcPr>
          <w:p w14:paraId="6E30E97E">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w:t>
            </w:r>
          </w:p>
        </w:tc>
        <w:tc>
          <w:tcPr>
            <w:tcW w:w="1854" w:type="pct"/>
            <w:tcBorders>
              <w:top w:val="single" w:color="auto" w:sz="4" w:space="0"/>
              <w:left w:val="single" w:color="auto" w:sz="4" w:space="0"/>
              <w:bottom w:val="single" w:color="auto" w:sz="4" w:space="0"/>
              <w:right w:val="single" w:color="auto" w:sz="4" w:space="0"/>
            </w:tcBorders>
            <w:vAlign w:val="center"/>
          </w:tcPr>
          <w:p w14:paraId="34B4E29B">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采购内容</w:t>
            </w:r>
          </w:p>
        </w:tc>
        <w:tc>
          <w:tcPr>
            <w:tcW w:w="718" w:type="pct"/>
            <w:tcBorders>
              <w:top w:val="single" w:color="auto" w:sz="4" w:space="0"/>
              <w:left w:val="single" w:color="auto" w:sz="4" w:space="0"/>
              <w:bottom w:val="single" w:color="auto" w:sz="4" w:space="0"/>
              <w:right w:val="single" w:color="auto" w:sz="4" w:space="0"/>
            </w:tcBorders>
            <w:vAlign w:val="center"/>
          </w:tcPr>
          <w:p w14:paraId="7E9506D9">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w:t>
            </w:r>
          </w:p>
        </w:tc>
        <w:tc>
          <w:tcPr>
            <w:tcW w:w="687" w:type="pct"/>
            <w:tcBorders>
              <w:top w:val="single" w:color="auto" w:sz="4" w:space="0"/>
              <w:left w:val="single" w:color="auto" w:sz="4" w:space="0"/>
              <w:bottom w:val="single" w:color="auto" w:sz="4" w:space="0"/>
              <w:right w:val="single" w:color="auto" w:sz="4" w:space="0"/>
            </w:tcBorders>
            <w:vAlign w:val="center"/>
          </w:tcPr>
          <w:p w14:paraId="1CBF14DE">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预算</w:t>
            </w:r>
          </w:p>
        </w:tc>
      </w:tr>
      <w:tr w14:paraId="484B2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425" w:type="pct"/>
            <w:tcBorders>
              <w:top w:val="single" w:color="auto" w:sz="4" w:space="0"/>
              <w:left w:val="single" w:color="auto" w:sz="4" w:space="0"/>
              <w:bottom w:val="single" w:color="auto" w:sz="4" w:space="0"/>
              <w:right w:val="single" w:color="auto" w:sz="4" w:space="0"/>
            </w:tcBorders>
            <w:vAlign w:val="center"/>
          </w:tcPr>
          <w:p w14:paraId="10F70514">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 1</w:t>
            </w:r>
          </w:p>
        </w:tc>
        <w:tc>
          <w:tcPr>
            <w:tcW w:w="1314" w:type="pct"/>
            <w:tcBorders>
              <w:top w:val="single" w:color="auto" w:sz="4" w:space="0"/>
              <w:left w:val="single" w:color="auto" w:sz="4" w:space="0"/>
              <w:bottom w:val="single" w:color="auto" w:sz="4" w:space="0"/>
              <w:right w:val="single" w:color="auto" w:sz="4" w:space="0"/>
            </w:tcBorders>
            <w:vAlign w:val="center"/>
          </w:tcPr>
          <w:p w14:paraId="40E108B1">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浦江县诗画里幸福产业有限公司民国楼饮食保障服务项目</w:t>
            </w:r>
          </w:p>
        </w:tc>
        <w:tc>
          <w:tcPr>
            <w:tcW w:w="1854" w:type="pct"/>
            <w:tcBorders>
              <w:top w:val="single" w:color="auto" w:sz="4" w:space="0"/>
              <w:left w:val="single" w:color="auto" w:sz="4" w:space="0"/>
              <w:bottom w:val="single" w:color="auto" w:sz="4" w:space="0"/>
              <w:right w:val="single" w:color="auto" w:sz="4" w:space="0"/>
            </w:tcBorders>
            <w:vAlign w:val="center"/>
          </w:tcPr>
          <w:p w14:paraId="475C8647">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lang w:val="en-US" w:eastAsia="zh-CN"/>
              </w:rPr>
              <w:t>民国楼</w:t>
            </w:r>
            <w:r>
              <w:rPr>
                <w:rFonts w:hint="eastAsia" w:asciiTheme="minorEastAsia" w:hAnsiTheme="minorEastAsia" w:eastAsiaTheme="minorEastAsia" w:cstheme="minorEastAsia"/>
                <w:color w:val="auto"/>
                <w:sz w:val="24"/>
                <w:highlight w:val="none"/>
                <w:lang w:eastAsia="zh-CN"/>
              </w:rPr>
              <w:t>伙食保障，含</w:t>
            </w:r>
            <w:r>
              <w:rPr>
                <w:rFonts w:hint="eastAsia" w:asciiTheme="minorEastAsia" w:hAnsiTheme="minorEastAsia" w:eastAsiaTheme="minorEastAsia" w:cstheme="minorEastAsia"/>
                <w:color w:val="auto"/>
                <w:sz w:val="24"/>
                <w:highlight w:val="none"/>
                <w:lang w:val="en-US" w:eastAsia="zh-CN"/>
              </w:rPr>
              <w:t>三餐主副食</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厨房管理、</w:t>
            </w:r>
            <w:r>
              <w:rPr>
                <w:rFonts w:hint="eastAsia" w:asciiTheme="minorEastAsia" w:hAnsiTheme="minorEastAsia" w:eastAsiaTheme="minorEastAsia" w:cstheme="minorEastAsia"/>
                <w:color w:val="auto"/>
                <w:sz w:val="24"/>
                <w:highlight w:val="none"/>
                <w:lang w:eastAsia="zh-CN"/>
              </w:rPr>
              <w:t>食品安全、环境卫生等，</w:t>
            </w:r>
            <w:r>
              <w:rPr>
                <w:rFonts w:hint="eastAsia" w:asciiTheme="minorEastAsia" w:hAnsiTheme="minorEastAsia" w:eastAsiaTheme="minorEastAsia" w:cstheme="minorEastAsia"/>
                <w:color w:val="auto"/>
                <w:sz w:val="24"/>
                <w:highlight w:val="none"/>
              </w:rPr>
              <w:t>具体内容及要求详见第三章“采购需求”。</w:t>
            </w:r>
          </w:p>
        </w:tc>
        <w:tc>
          <w:tcPr>
            <w:tcW w:w="718" w:type="pct"/>
            <w:tcBorders>
              <w:top w:val="single" w:color="auto" w:sz="4" w:space="0"/>
              <w:left w:val="single" w:color="auto" w:sz="4" w:space="0"/>
              <w:bottom w:val="single" w:color="auto" w:sz="4" w:space="0"/>
              <w:right w:val="single" w:color="auto" w:sz="4" w:space="0"/>
            </w:tcBorders>
            <w:vAlign w:val="center"/>
          </w:tcPr>
          <w:p w14:paraId="70241414">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1项</w:t>
            </w:r>
          </w:p>
        </w:tc>
        <w:tc>
          <w:tcPr>
            <w:tcW w:w="687" w:type="pct"/>
            <w:tcBorders>
              <w:top w:val="single" w:color="auto" w:sz="4" w:space="0"/>
              <w:left w:val="single" w:color="auto" w:sz="4" w:space="0"/>
              <w:bottom w:val="single" w:color="auto" w:sz="4" w:space="0"/>
              <w:right w:val="single" w:color="auto" w:sz="4" w:space="0"/>
            </w:tcBorders>
            <w:vAlign w:val="center"/>
          </w:tcPr>
          <w:p w14:paraId="434D7EBF">
            <w:pPr>
              <w:keepNext w:val="0"/>
              <w:keepLines w:val="0"/>
              <w:pageBreakBefore w:val="0"/>
              <w:widowControl w:val="0"/>
              <w:kinsoku/>
              <w:wordWrap/>
              <w:overflowPunct/>
              <w:topLinePunct w:val="0"/>
              <w:autoSpaceDE/>
              <w:autoSpaceDN/>
              <w:bidi w:val="0"/>
              <w:snapToGrid w:val="0"/>
              <w:spacing w:line="45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150</w:t>
            </w:r>
            <w:r>
              <w:rPr>
                <w:rFonts w:hint="eastAsia" w:asciiTheme="minorEastAsia" w:hAnsiTheme="minorEastAsia" w:eastAsiaTheme="minorEastAsia" w:cstheme="minorEastAsia"/>
                <w:bCs/>
                <w:color w:val="auto"/>
                <w:sz w:val="24"/>
                <w:highlight w:val="none"/>
              </w:rPr>
              <w:t>万元</w:t>
            </w:r>
          </w:p>
        </w:tc>
      </w:tr>
    </w:tbl>
    <w:p w14:paraId="0004BBEC">
      <w:pPr>
        <w:keepNext w:val="0"/>
        <w:keepLines w:val="0"/>
        <w:pageBreakBefore w:val="0"/>
        <w:widowControl w:val="0"/>
        <w:kinsoku/>
        <w:wordWrap/>
        <w:overflowPunct/>
        <w:topLinePunct w:val="0"/>
        <w:autoSpaceDE/>
        <w:autoSpaceDN/>
        <w:bidi w:val="0"/>
        <w:spacing w:line="450" w:lineRule="exact"/>
        <w:ind w:firstLine="482"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三、供应商资格要求</w:t>
      </w:r>
      <w:r>
        <w:rPr>
          <w:rFonts w:hint="eastAsia" w:asciiTheme="minorEastAsia" w:hAnsiTheme="minorEastAsia" w:eastAsiaTheme="minorEastAsia" w:cstheme="minorEastAsia"/>
          <w:color w:val="auto"/>
          <w:sz w:val="24"/>
          <w:highlight w:val="none"/>
        </w:rPr>
        <w:t>:</w:t>
      </w:r>
    </w:p>
    <w:p w14:paraId="5CBC2550">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1.符合《中华人民共和国政府采购法》第二十二条规定的供应商资格条件；</w:t>
      </w:r>
    </w:p>
    <w:p w14:paraId="2C23C797">
      <w:pPr>
        <w:keepNext w:val="0"/>
        <w:keepLines w:val="0"/>
        <w:pageBreakBefore w:val="0"/>
        <w:widowControl w:val="0"/>
        <w:kinsoku/>
        <w:wordWrap/>
        <w:overflowPunct/>
        <w:topLinePunct w:val="0"/>
        <w:autoSpaceDE/>
        <w:autoSpaceDN/>
        <w:bidi w:val="0"/>
        <w:spacing w:line="45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2.具</w:t>
      </w:r>
      <w:r>
        <w:rPr>
          <w:rFonts w:hint="eastAsia" w:asciiTheme="minorEastAsia" w:hAnsiTheme="minorEastAsia" w:eastAsiaTheme="minorEastAsia" w:cstheme="minorEastAsia"/>
          <w:b/>
          <w:bCs/>
          <w:color w:val="auto"/>
          <w:sz w:val="24"/>
          <w:highlight w:val="none"/>
          <w:lang w:eastAsia="zh-CN"/>
        </w:rPr>
        <w:t>有食品经营许可证</w:t>
      </w:r>
      <w:r>
        <w:rPr>
          <w:rFonts w:hint="eastAsia" w:asciiTheme="minorEastAsia" w:hAnsiTheme="minorEastAsia" w:eastAsiaTheme="minorEastAsia" w:cstheme="minorEastAsia"/>
          <w:b/>
          <w:bCs/>
          <w:color w:val="auto"/>
          <w:sz w:val="24"/>
          <w:highlight w:val="none"/>
        </w:rPr>
        <w:t>；</w:t>
      </w:r>
    </w:p>
    <w:p w14:paraId="25546B5C">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3.供应商未被列入失信执行人、重大税收违法案件当事人名单、政府采购严重违法失信行为记录名单；</w:t>
      </w:r>
    </w:p>
    <w:p w14:paraId="37771BF7">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kern w:val="0"/>
          <w:sz w:val="24"/>
          <w:highlight w:val="none"/>
        </w:rPr>
        <w:t>本项目不接受联合体投标</w:t>
      </w:r>
      <w:r>
        <w:rPr>
          <w:rFonts w:hint="eastAsia" w:asciiTheme="minorEastAsia" w:hAnsiTheme="minorEastAsia" w:eastAsiaTheme="minorEastAsia" w:cstheme="minorEastAsia"/>
          <w:color w:val="auto"/>
          <w:sz w:val="24"/>
          <w:highlight w:val="none"/>
        </w:rPr>
        <w:t>。</w:t>
      </w:r>
    </w:p>
    <w:p w14:paraId="786CC784">
      <w:pPr>
        <w:keepNext w:val="0"/>
        <w:keepLines w:val="0"/>
        <w:pageBreakBefore w:val="0"/>
        <w:widowControl w:val="0"/>
        <w:kinsoku/>
        <w:wordWrap/>
        <w:overflowPunct/>
        <w:topLinePunct w:val="0"/>
        <w:autoSpaceDE/>
        <w:autoSpaceDN/>
        <w:bidi w:val="0"/>
        <w:spacing w:line="45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四、投标报名、竞争性磋商文件的发售</w:t>
      </w:r>
    </w:p>
    <w:p w14:paraId="1A4DF45F">
      <w:pPr>
        <w:keepNext w:val="0"/>
        <w:keepLines w:val="0"/>
        <w:pageBreakBefore w:val="0"/>
        <w:widowControl w:val="0"/>
        <w:kinsoku/>
        <w:wordWrap/>
        <w:overflowPunct/>
        <w:topLinePunct w:val="0"/>
        <w:autoSpaceDE/>
        <w:autoSpaceDN/>
        <w:bidi w:val="0"/>
        <w:spacing w:line="45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1、</w:t>
      </w:r>
      <w:r>
        <w:rPr>
          <w:rFonts w:hint="eastAsia" w:asciiTheme="minorEastAsia" w:hAnsiTheme="minorEastAsia" w:eastAsiaTheme="minorEastAsia" w:cstheme="minorEastAsia"/>
          <w:b/>
          <w:color w:val="auto"/>
          <w:sz w:val="24"/>
          <w:highlight w:val="none"/>
        </w:rPr>
        <w:t>现场集中报名</w:t>
      </w:r>
    </w:p>
    <w:p w14:paraId="513A64BD">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kern w:val="0"/>
          <w:sz w:val="24"/>
          <w:highlight w:val="none"/>
        </w:rPr>
        <w:t>集中</w:t>
      </w:r>
      <w:r>
        <w:rPr>
          <w:rFonts w:hint="eastAsia" w:asciiTheme="minorEastAsia" w:hAnsiTheme="minorEastAsia" w:eastAsiaTheme="minorEastAsia" w:cstheme="minorEastAsia"/>
          <w:color w:val="auto"/>
          <w:sz w:val="24"/>
          <w:highlight w:val="none"/>
        </w:rPr>
        <w:t>报名时间：</w:t>
      </w:r>
      <w:r>
        <w:rPr>
          <w:rFonts w:hint="eastAsia" w:asciiTheme="minorEastAsia" w:hAnsiTheme="minorEastAsia" w:eastAsiaTheme="minorEastAsia" w:cstheme="minorEastAsia"/>
          <w:color w:val="auto"/>
          <w:sz w:val="24"/>
          <w:highlight w:val="none"/>
          <w:u w:val="single"/>
        </w:rPr>
        <w:t>2024</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22</w:t>
      </w:r>
      <w:r>
        <w:rPr>
          <w:rFonts w:hint="eastAsia" w:asciiTheme="minorEastAsia" w:hAnsiTheme="minorEastAsia" w:eastAsiaTheme="minorEastAsia" w:cstheme="minorEastAsia"/>
          <w:color w:val="auto"/>
          <w:sz w:val="24"/>
          <w:highlight w:val="none"/>
        </w:rPr>
        <w:t>日至</w:t>
      </w:r>
      <w:r>
        <w:rPr>
          <w:rFonts w:hint="eastAsia" w:asciiTheme="minorEastAsia" w:hAnsiTheme="minorEastAsia" w:eastAsiaTheme="minorEastAsia" w:cstheme="minorEastAsia"/>
          <w:color w:val="auto"/>
          <w:sz w:val="24"/>
          <w:highlight w:val="none"/>
          <w:u w:val="single"/>
        </w:rPr>
        <w:t>2024</w:t>
      </w:r>
      <w:r>
        <w:rPr>
          <w:rFonts w:hint="eastAsia" w:asciiTheme="minorEastAsia" w:hAnsiTheme="minorEastAsia" w:eastAsiaTheme="minorEastAsia" w:cstheme="minorEastAsia"/>
          <w:color w:val="auto"/>
          <w:sz w:val="24"/>
          <w:highlight w:val="none"/>
          <w:u w:val="none"/>
          <w:lang w:eastAsia="zh-CN"/>
        </w:rPr>
        <w:t>年</w:t>
      </w:r>
      <w:r>
        <w:rPr>
          <w:rFonts w:hint="eastAsia" w:asciiTheme="minorEastAsia" w:hAnsiTheme="minorEastAsia" w:eastAsiaTheme="minorEastAsia" w:cstheme="minorEastAsia"/>
          <w:color w:val="auto"/>
          <w:sz w:val="24"/>
          <w:highlight w:val="none"/>
          <w:u w:val="single"/>
          <w:lang w:val="en-US" w:eastAsia="zh-CN"/>
        </w:rPr>
        <w:t>12</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04</w:t>
      </w:r>
      <w:r>
        <w:rPr>
          <w:rFonts w:hint="eastAsia" w:asciiTheme="minorEastAsia" w:hAnsiTheme="minorEastAsia" w:eastAsiaTheme="minorEastAsia" w:cstheme="minorEastAsia"/>
          <w:color w:val="auto"/>
          <w:sz w:val="24"/>
          <w:highlight w:val="none"/>
        </w:rPr>
        <w:t>日(双休日及法定节假日除外)，上午：</w:t>
      </w:r>
      <w:r>
        <w:rPr>
          <w:rFonts w:hint="eastAsia" w:asciiTheme="minorEastAsia" w:hAnsiTheme="minorEastAsia" w:eastAsiaTheme="minorEastAsia" w:cstheme="minorEastAsia"/>
          <w:color w:val="auto"/>
          <w:sz w:val="24"/>
          <w:highlight w:val="none"/>
          <w:u w:val="single"/>
        </w:rPr>
        <w:t xml:space="preserve"> 9:00-11:00 </w:t>
      </w:r>
      <w:r>
        <w:rPr>
          <w:rFonts w:hint="eastAsia" w:asciiTheme="minorEastAsia" w:hAnsiTheme="minorEastAsia" w:eastAsiaTheme="minorEastAsia" w:cstheme="minorEastAsia"/>
          <w:color w:val="auto"/>
          <w:sz w:val="24"/>
          <w:highlight w:val="none"/>
        </w:rPr>
        <w:t>（北京时间，下同），</w:t>
      </w:r>
      <w:bookmarkStart w:id="10" w:name="B22_招标文件的发布下午时间"/>
      <w:r>
        <w:rPr>
          <w:rFonts w:hint="eastAsia" w:asciiTheme="minorEastAsia" w:hAnsiTheme="minorEastAsia" w:eastAsiaTheme="minorEastAsia" w:cstheme="minorEastAsia"/>
          <w:color w:val="auto"/>
          <w:sz w:val="24"/>
          <w:highlight w:val="none"/>
        </w:rPr>
        <w:t>下午：</w:t>
      </w:r>
      <w:r>
        <w:rPr>
          <w:rFonts w:hint="eastAsia" w:asciiTheme="minorEastAsia" w:hAnsiTheme="minorEastAsia" w:eastAsiaTheme="minorEastAsia" w:cstheme="minorEastAsia"/>
          <w:color w:val="auto"/>
          <w:sz w:val="24"/>
          <w:highlight w:val="none"/>
          <w:u w:val="single"/>
        </w:rPr>
        <w:t>14:00-17:</w:t>
      </w:r>
      <w:bookmarkEnd w:id="10"/>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w:t>
      </w:r>
    </w:p>
    <w:p w14:paraId="0286955A">
      <w:pPr>
        <w:keepNext w:val="0"/>
        <w:keepLines w:val="0"/>
        <w:pageBreakBefore w:val="0"/>
        <w:widowControl w:val="0"/>
        <w:kinsoku/>
        <w:wordWrap/>
        <w:overflowPunct/>
        <w:topLinePunct w:val="0"/>
        <w:autoSpaceDE/>
        <w:autoSpaceDN/>
        <w:bidi w:val="0"/>
        <w:spacing w:line="45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注：集中报名截止时间后至投标截止时间前允许潜在供应商前来认购竞争性磋商文件。</w:t>
      </w:r>
    </w:p>
    <w:p w14:paraId="2B6FEBC6">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2.2报名地址：浦江县中山北路169号</w:t>
      </w:r>
      <w:r>
        <w:rPr>
          <w:rFonts w:hint="eastAsia" w:asciiTheme="minorEastAsia" w:hAnsiTheme="minorEastAsia" w:eastAsiaTheme="minorEastAsia" w:cstheme="minorEastAsia"/>
          <w:color w:val="auto"/>
          <w:kern w:val="0"/>
          <w:sz w:val="24"/>
          <w:highlight w:val="none"/>
        </w:rPr>
        <w:t>中山大厦10楼1003室（浦江县产权交易有限公司）</w:t>
      </w:r>
      <w:r>
        <w:rPr>
          <w:rFonts w:hint="eastAsia" w:asciiTheme="minorEastAsia" w:hAnsiTheme="minorEastAsia" w:eastAsiaTheme="minorEastAsia" w:cstheme="minorEastAsia"/>
          <w:color w:val="auto"/>
          <w:sz w:val="24"/>
          <w:highlight w:val="none"/>
        </w:rPr>
        <w:t>。</w:t>
      </w:r>
    </w:p>
    <w:p w14:paraId="2D2738E5">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2.3报名时需提交的资料</w:t>
      </w:r>
    </w:p>
    <w:p w14:paraId="60953220">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①企业营业执照副本复印件；</w:t>
      </w:r>
    </w:p>
    <w:p w14:paraId="61EA78A0">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②报名人有效身份证件原件及复印件；</w:t>
      </w:r>
    </w:p>
    <w:p w14:paraId="4A8BADE5">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③</w:t>
      </w:r>
      <w:r>
        <w:rPr>
          <w:rFonts w:hint="eastAsia" w:asciiTheme="minorEastAsia" w:hAnsiTheme="minorEastAsia" w:eastAsiaTheme="minorEastAsia" w:cstheme="minorEastAsia"/>
          <w:color w:val="auto"/>
          <w:sz w:val="24"/>
          <w:highlight w:val="none"/>
        </w:rPr>
        <w:t>法定代表人授权委托书原件；</w:t>
      </w:r>
    </w:p>
    <w:p w14:paraId="20ED8390">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食品经营许可证复印件；</w:t>
      </w:r>
    </w:p>
    <w:p w14:paraId="2E5FF225">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val="en-US" w:eastAsia="zh-CN"/>
        </w:rPr>
        <w:t>⑤</w:t>
      </w:r>
      <w:r>
        <w:rPr>
          <w:rFonts w:hint="eastAsia" w:asciiTheme="minorEastAsia" w:hAnsiTheme="minorEastAsia" w:eastAsiaTheme="minorEastAsia" w:cstheme="minorEastAsia"/>
          <w:color w:val="auto"/>
          <w:sz w:val="24"/>
          <w:highlight w:val="none"/>
        </w:rPr>
        <w:t>报名表。</w:t>
      </w:r>
    </w:p>
    <w:p w14:paraId="34347BCB">
      <w:pPr>
        <w:keepNext w:val="0"/>
        <w:keepLines w:val="0"/>
        <w:pageBreakBefore w:val="0"/>
        <w:widowControl w:val="0"/>
        <w:kinsoku/>
        <w:wordWrap/>
        <w:overflowPunct/>
        <w:topLinePunct w:val="0"/>
        <w:autoSpaceDE/>
        <w:autoSpaceDN/>
        <w:bidi w:val="0"/>
        <w:snapToGrid w:val="0"/>
        <w:spacing w:line="450" w:lineRule="exact"/>
        <w:ind w:firstLine="542" w:firstLineChars="225"/>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注：以上复印件均需加盖投标单位公章。</w:t>
      </w:r>
    </w:p>
    <w:p w14:paraId="7497483D">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3、邮寄、邮件等方式报名</w:t>
      </w:r>
    </w:p>
    <w:p w14:paraId="0909B628">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3.1报名时间、报名方式：潜在供应商在投标截止时间前下载并填写采购公告下的投标报名表附件，连</w:t>
      </w:r>
      <w:r>
        <w:rPr>
          <w:rFonts w:hint="eastAsia" w:asciiTheme="minorEastAsia" w:hAnsiTheme="minorEastAsia" w:eastAsiaTheme="minorEastAsia" w:cstheme="minorEastAsia"/>
          <w:color w:val="auto"/>
          <w:kern w:val="0"/>
          <w:sz w:val="24"/>
          <w:highlight w:val="none"/>
        </w:rPr>
        <w:t>同</w:t>
      </w:r>
      <w:r>
        <w:rPr>
          <w:rFonts w:hint="eastAsia" w:asciiTheme="minorEastAsia" w:hAnsiTheme="minorEastAsia" w:eastAsiaTheme="minorEastAsia" w:cstheme="minorEastAsia"/>
          <w:color w:val="auto"/>
          <w:sz w:val="24"/>
          <w:highlight w:val="none"/>
        </w:rPr>
        <w:t>2.3报名所需资料（报名人有效身份证件原件除外）一同采用邮寄或邮件方式进行报名。</w:t>
      </w:r>
    </w:p>
    <w:p w14:paraId="613CD4B5">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①、邮寄地址：浦江县中山北路169号中山大厦10楼（浦江县产权交易有限公司），黄</w:t>
      </w:r>
      <w:r>
        <w:rPr>
          <w:rFonts w:hint="eastAsia" w:asciiTheme="minorEastAsia" w:hAnsiTheme="minorEastAsia" w:eastAsiaTheme="minorEastAsia" w:cstheme="minorEastAsia"/>
          <w:color w:val="auto"/>
          <w:sz w:val="24"/>
          <w:highlight w:val="none"/>
          <w:lang w:eastAsia="zh-CN"/>
        </w:rPr>
        <w:t>琳</w:t>
      </w:r>
      <w:r>
        <w:rPr>
          <w:rFonts w:hint="eastAsia" w:asciiTheme="minorEastAsia" w:hAnsiTheme="minorEastAsia" w:eastAsiaTheme="minorEastAsia" w:cstheme="minorEastAsia"/>
          <w:color w:val="auto"/>
          <w:sz w:val="24"/>
          <w:highlight w:val="none"/>
        </w:rPr>
        <w:t>收，电话号码：</w:t>
      </w:r>
      <w:r>
        <w:rPr>
          <w:rFonts w:hint="eastAsia" w:asciiTheme="minorEastAsia" w:hAnsiTheme="minorEastAsia" w:eastAsiaTheme="minorEastAsia" w:cstheme="minorEastAsia"/>
          <w:color w:val="auto"/>
          <w:sz w:val="24"/>
          <w:highlight w:val="none"/>
          <w:lang w:val="en-US" w:eastAsia="zh-CN"/>
        </w:rPr>
        <w:t>18757840625</w:t>
      </w:r>
      <w:r>
        <w:rPr>
          <w:rFonts w:hint="eastAsia" w:asciiTheme="minorEastAsia" w:hAnsiTheme="minorEastAsia" w:eastAsiaTheme="minorEastAsia" w:cstheme="minorEastAsia"/>
          <w:color w:val="auto"/>
          <w:sz w:val="24"/>
          <w:highlight w:val="none"/>
        </w:rPr>
        <w:t>，邮编322200。</w:t>
      </w:r>
    </w:p>
    <w:p w14:paraId="5B8E2B48">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②、邮箱地址：524416712@qq.com。</w:t>
      </w:r>
    </w:p>
    <w:p w14:paraId="19EC05B4">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Theme="minorEastAsia" w:hAnsiTheme="minorEastAsia" w:eastAsiaTheme="minorEastAsia" w:cstheme="minorEastAsia"/>
          <w:color w:val="auto"/>
          <w:sz w:val="24"/>
          <w:highlight w:val="none"/>
        </w:rPr>
      </w:pPr>
      <w:bookmarkStart w:id="11" w:name="_Toc415376131"/>
      <w:r>
        <w:rPr>
          <w:rFonts w:hint="eastAsia" w:asciiTheme="minorEastAsia" w:hAnsiTheme="minorEastAsia" w:eastAsiaTheme="minorEastAsia" w:cstheme="minorEastAsia"/>
          <w:b/>
          <w:bCs/>
          <w:color w:val="auto"/>
          <w:sz w:val="24"/>
          <w:highlight w:val="none"/>
        </w:rPr>
        <w:t>五、投标截止时间和地点</w:t>
      </w:r>
    </w:p>
    <w:p w14:paraId="4BC9E8E4">
      <w:pPr>
        <w:keepNext w:val="0"/>
        <w:keepLines w:val="0"/>
        <w:pageBreakBefore w:val="0"/>
        <w:widowControl w:val="0"/>
        <w:kinsoku/>
        <w:wordWrap/>
        <w:overflowPunct/>
        <w:topLinePunct w:val="0"/>
        <w:autoSpaceDE/>
        <w:autoSpaceDN/>
        <w:bidi w:val="0"/>
        <w:snapToGrid w:val="0"/>
        <w:spacing w:line="450" w:lineRule="exact"/>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2024年</w:t>
      </w:r>
      <w:r>
        <w:rPr>
          <w:rFonts w:hint="eastAsia" w:asciiTheme="minorEastAsia" w:hAnsiTheme="minorEastAsia" w:eastAsiaTheme="minorEastAsia" w:cstheme="minorEastAsia"/>
          <w:color w:val="auto"/>
          <w:sz w:val="24"/>
          <w:highlight w:val="none"/>
          <w:u w:val="single"/>
          <w:lang w:val="en-US" w:eastAsia="zh-CN"/>
        </w:rPr>
        <w:t>12</w:t>
      </w:r>
      <w:r>
        <w:rPr>
          <w:rFonts w:hint="eastAsia" w:asciiTheme="minorEastAsia" w:hAnsiTheme="minorEastAsia" w:eastAsiaTheme="minorEastAsia" w:cstheme="minorEastAsia"/>
          <w:color w:val="auto"/>
          <w:sz w:val="24"/>
          <w:highlight w:val="none"/>
          <w:u w:val="single"/>
          <w:lang w:eastAsia="zh-CN"/>
        </w:rPr>
        <w:t>月</w:t>
      </w:r>
      <w:r>
        <w:rPr>
          <w:rFonts w:hint="eastAsia" w:asciiTheme="minorEastAsia" w:hAnsiTheme="minorEastAsia" w:eastAsiaTheme="minorEastAsia" w:cstheme="minorEastAsia"/>
          <w:color w:val="auto"/>
          <w:sz w:val="24"/>
          <w:highlight w:val="none"/>
          <w:u w:val="single"/>
          <w:lang w:val="en-US" w:eastAsia="zh-CN"/>
        </w:rPr>
        <w:t>04</w:t>
      </w:r>
      <w:r>
        <w:rPr>
          <w:rFonts w:hint="eastAsia" w:asciiTheme="minorEastAsia" w:hAnsiTheme="minorEastAsia" w:eastAsiaTheme="minorEastAsia" w:cstheme="minorEastAsia"/>
          <w:color w:val="auto"/>
          <w:sz w:val="24"/>
          <w:highlight w:val="none"/>
          <w:u w:val="single"/>
          <w:lang w:eastAsia="zh-CN"/>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lang w:eastAsia="zh-CN"/>
        </w:rPr>
        <w:t>:30</w:t>
      </w:r>
      <w:r>
        <w:rPr>
          <w:rFonts w:hint="eastAsia" w:asciiTheme="minorEastAsia" w:hAnsiTheme="minorEastAsia" w:eastAsiaTheme="minorEastAsia" w:cstheme="minorEastAsia"/>
          <w:color w:val="auto"/>
          <w:sz w:val="24"/>
          <w:highlight w:val="none"/>
          <w:u w:val="single"/>
        </w:rPr>
        <w:t>时</w:t>
      </w:r>
      <w:r>
        <w:rPr>
          <w:rFonts w:hint="eastAsia" w:asciiTheme="minorEastAsia" w:hAnsiTheme="minorEastAsia" w:eastAsiaTheme="minorEastAsia" w:cstheme="minorEastAsia"/>
          <w:color w:val="auto"/>
          <w:sz w:val="24"/>
          <w:highlight w:val="none"/>
        </w:rPr>
        <w:t>（时间）前将响应文件密封送交到</w:t>
      </w:r>
      <w:r>
        <w:rPr>
          <w:rFonts w:hint="eastAsia" w:asciiTheme="minorEastAsia" w:hAnsiTheme="minorEastAsia" w:eastAsiaTheme="minorEastAsia" w:cstheme="minorEastAsia"/>
          <w:color w:val="auto"/>
          <w:sz w:val="24"/>
          <w:highlight w:val="none"/>
          <w:u w:val="single"/>
        </w:rPr>
        <w:t>浦江县人民东路83号</w:t>
      </w:r>
      <w:r>
        <w:rPr>
          <w:rFonts w:hint="eastAsia" w:asciiTheme="minorEastAsia" w:hAnsiTheme="minorEastAsia" w:eastAsiaTheme="minorEastAsia" w:cstheme="minorEastAsia"/>
          <w:color w:val="auto"/>
          <w:sz w:val="24"/>
          <w:highlight w:val="none"/>
          <w:u w:val="single"/>
          <w:lang w:eastAsia="zh-CN"/>
        </w:rPr>
        <w:t>一</w:t>
      </w:r>
      <w:r>
        <w:rPr>
          <w:rFonts w:hint="eastAsia" w:asciiTheme="minorEastAsia" w:hAnsiTheme="minorEastAsia" w:eastAsiaTheme="minorEastAsia" w:cstheme="minorEastAsia"/>
          <w:color w:val="auto"/>
          <w:sz w:val="24"/>
          <w:highlight w:val="none"/>
          <w:u w:val="single"/>
        </w:rPr>
        <w:t>楼开标室（</w:t>
      </w:r>
      <w:r>
        <w:rPr>
          <w:rFonts w:hint="eastAsia" w:asciiTheme="minorEastAsia" w:hAnsiTheme="minorEastAsia" w:eastAsiaTheme="minorEastAsia" w:cstheme="minorEastAsia"/>
          <w:color w:val="auto"/>
          <w:sz w:val="24"/>
          <w:highlight w:val="none"/>
          <w:u w:val="single"/>
          <w:lang w:eastAsia="zh-CN"/>
        </w:rPr>
        <w:t>一</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（地点），逾期送达、未按指定地点送达或未密封将予以拒收（或作无效响应文件处理）。</w:t>
      </w:r>
    </w:p>
    <w:p w14:paraId="7F258A3E">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六、开标时间及地点</w:t>
      </w:r>
    </w:p>
    <w:p w14:paraId="3A97EC0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本次招标将于</w:t>
      </w:r>
      <w:r>
        <w:rPr>
          <w:rFonts w:hint="eastAsia" w:asciiTheme="minorEastAsia" w:hAnsiTheme="minorEastAsia" w:eastAsiaTheme="minorEastAsia" w:cstheme="minorEastAsia"/>
          <w:color w:val="auto"/>
          <w:sz w:val="24"/>
          <w:highlight w:val="none"/>
          <w:u w:val="single"/>
          <w:lang w:eastAsia="zh-CN"/>
        </w:rPr>
        <w:t>2024年</w:t>
      </w:r>
      <w:r>
        <w:rPr>
          <w:rFonts w:hint="eastAsia" w:asciiTheme="minorEastAsia" w:hAnsiTheme="minorEastAsia" w:eastAsiaTheme="minorEastAsia" w:cstheme="minorEastAsia"/>
          <w:color w:val="auto"/>
          <w:sz w:val="24"/>
          <w:highlight w:val="none"/>
          <w:u w:val="single"/>
          <w:lang w:val="en-US" w:eastAsia="zh-CN"/>
        </w:rPr>
        <w:t>12</w:t>
      </w:r>
      <w:r>
        <w:rPr>
          <w:rFonts w:hint="eastAsia" w:asciiTheme="minorEastAsia" w:hAnsiTheme="minorEastAsia" w:eastAsiaTheme="minorEastAsia" w:cstheme="minorEastAsia"/>
          <w:color w:val="auto"/>
          <w:sz w:val="24"/>
          <w:highlight w:val="none"/>
          <w:u w:val="single"/>
          <w:lang w:eastAsia="zh-CN"/>
        </w:rPr>
        <w:t>月</w:t>
      </w:r>
      <w:r>
        <w:rPr>
          <w:rFonts w:hint="eastAsia" w:asciiTheme="minorEastAsia" w:hAnsiTheme="minorEastAsia" w:eastAsiaTheme="minorEastAsia" w:cstheme="minorEastAsia"/>
          <w:color w:val="auto"/>
          <w:sz w:val="24"/>
          <w:highlight w:val="none"/>
          <w:u w:val="single"/>
          <w:lang w:val="en-US" w:eastAsia="zh-CN"/>
        </w:rPr>
        <w:t>04</w:t>
      </w:r>
      <w:r>
        <w:rPr>
          <w:rFonts w:hint="eastAsia" w:asciiTheme="minorEastAsia" w:hAnsiTheme="minorEastAsia" w:eastAsiaTheme="minorEastAsia" w:cstheme="minorEastAsia"/>
          <w:color w:val="auto"/>
          <w:sz w:val="24"/>
          <w:highlight w:val="none"/>
          <w:u w:val="single"/>
          <w:lang w:eastAsia="zh-CN"/>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lang w:eastAsia="zh-CN"/>
        </w:rPr>
        <w:t>:30</w:t>
      </w:r>
      <w:r>
        <w:rPr>
          <w:rFonts w:hint="eastAsia" w:asciiTheme="minorEastAsia" w:hAnsiTheme="minorEastAsia" w:eastAsiaTheme="minorEastAsia" w:cstheme="minorEastAsia"/>
          <w:color w:val="auto"/>
          <w:sz w:val="24"/>
          <w:highlight w:val="none"/>
          <w:u w:val="single"/>
        </w:rPr>
        <w:t>时</w:t>
      </w:r>
      <w:r>
        <w:rPr>
          <w:rFonts w:hint="eastAsia" w:asciiTheme="minorEastAsia" w:hAnsiTheme="minorEastAsia" w:eastAsiaTheme="minorEastAsia" w:cstheme="minorEastAsia"/>
          <w:color w:val="auto"/>
          <w:sz w:val="24"/>
          <w:highlight w:val="none"/>
        </w:rPr>
        <w:t>（时间）在</w:t>
      </w:r>
      <w:r>
        <w:rPr>
          <w:rFonts w:hint="eastAsia" w:asciiTheme="minorEastAsia" w:hAnsiTheme="minorEastAsia" w:eastAsiaTheme="minorEastAsia" w:cstheme="minorEastAsia"/>
          <w:color w:val="auto"/>
          <w:sz w:val="24"/>
          <w:highlight w:val="none"/>
          <w:u w:val="single"/>
        </w:rPr>
        <w:t>浦江县人民东路83号</w:t>
      </w:r>
      <w:r>
        <w:rPr>
          <w:rFonts w:hint="eastAsia" w:asciiTheme="minorEastAsia" w:hAnsiTheme="minorEastAsia" w:eastAsiaTheme="minorEastAsia" w:cstheme="minorEastAsia"/>
          <w:color w:val="auto"/>
          <w:sz w:val="24"/>
          <w:highlight w:val="none"/>
          <w:u w:val="single"/>
          <w:lang w:eastAsia="zh-CN"/>
        </w:rPr>
        <w:t>一</w:t>
      </w:r>
      <w:r>
        <w:rPr>
          <w:rFonts w:hint="eastAsia" w:asciiTheme="minorEastAsia" w:hAnsiTheme="minorEastAsia" w:eastAsiaTheme="minorEastAsia" w:cstheme="minorEastAsia"/>
          <w:color w:val="auto"/>
          <w:sz w:val="24"/>
          <w:highlight w:val="none"/>
          <w:u w:val="single"/>
        </w:rPr>
        <w:t>楼开标室（</w:t>
      </w:r>
      <w:r>
        <w:rPr>
          <w:rFonts w:hint="eastAsia" w:asciiTheme="minorEastAsia" w:hAnsiTheme="minorEastAsia" w:eastAsiaTheme="minorEastAsia" w:cstheme="minorEastAsia"/>
          <w:color w:val="auto"/>
          <w:sz w:val="24"/>
          <w:highlight w:val="none"/>
          <w:u w:val="single"/>
          <w:lang w:eastAsia="zh-CN"/>
        </w:rPr>
        <w:t>一</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（地点）开标，供应商可以派授权代表出席开标会议。</w:t>
      </w:r>
    </w:p>
    <w:p w14:paraId="7FC87817">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七、</w:t>
      </w:r>
      <w:r>
        <w:rPr>
          <w:rFonts w:hint="eastAsia" w:asciiTheme="minorEastAsia" w:hAnsiTheme="minorEastAsia" w:eastAsiaTheme="minorEastAsia" w:cstheme="minorEastAsia"/>
          <w:b/>
          <w:color w:val="auto"/>
          <w:kern w:val="0"/>
          <w:sz w:val="24"/>
          <w:highlight w:val="none"/>
        </w:rPr>
        <w:t>联系方式</w:t>
      </w:r>
    </w:p>
    <w:p w14:paraId="69372C73">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采购单位：</w:t>
      </w:r>
      <w:r>
        <w:rPr>
          <w:rFonts w:hint="eastAsia" w:asciiTheme="minorEastAsia" w:hAnsiTheme="minorEastAsia" w:eastAsiaTheme="minorEastAsia" w:cstheme="minorEastAsia"/>
          <w:color w:val="auto"/>
          <w:sz w:val="24"/>
          <w:highlight w:val="none"/>
          <w:lang w:eastAsia="zh-CN"/>
        </w:rPr>
        <w:t>浦江县诗画里幸福产业有限公司</w:t>
      </w:r>
    </w:p>
    <w:p w14:paraId="0DBC98DF">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w:t>
      </w:r>
      <w:r>
        <w:rPr>
          <w:rFonts w:hint="eastAsia" w:ascii="宋体" w:hAnsi="宋体" w:cs="宋体"/>
          <w:color w:val="auto"/>
          <w:kern w:val="0"/>
          <w:sz w:val="24"/>
          <w:highlight w:val="none"/>
          <w:lang w:eastAsia="zh-CN"/>
        </w:rPr>
        <w:t>浦江县仙华街道石宕毛店村</w:t>
      </w:r>
    </w:p>
    <w:p w14:paraId="62C22A15">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宋体" w:hAnsi="宋体" w:eastAsia="宋体" w:cs="宋体"/>
          <w:color w:val="auto"/>
          <w:spacing w:val="0"/>
          <w:position w:val="0"/>
          <w:sz w:val="24"/>
          <w:highlight w:val="none"/>
          <w:shd w:val="clear" w:color="auto" w:fill="auto"/>
          <w:lang w:val="en-US" w:eastAsia="zh-CN"/>
        </w:rPr>
        <w:t>方</w:t>
      </w:r>
      <w:r>
        <w:rPr>
          <w:rFonts w:hint="eastAsia" w:asciiTheme="minorEastAsia" w:hAnsiTheme="minorEastAsia" w:eastAsiaTheme="minorEastAsia" w:cstheme="minorEastAsia"/>
          <w:color w:val="auto"/>
          <w:sz w:val="24"/>
          <w:highlight w:val="none"/>
          <w:lang w:val="en-US" w:eastAsia="zh-CN"/>
        </w:rPr>
        <w:t>先生</w:t>
      </w:r>
      <w:r>
        <w:rPr>
          <w:rFonts w:hint="eastAsia" w:asciiTheme="minorEastAsia" w:hAnsiTheme="minorEastAsia" w:eastAsiaTheme="minorEastAsia" w:cstheme="minorEastAsia"/>
          <w:color w:val="auto"/>
          <w:sz w:val="24"/>
          <w:highlight w:val="none"/>
        </w:rPr>
        <w:t xml:space="preserve"> </w:t>
      </w:r>
    </w:p>
    <w:p w14:paraId="3316043C">
      <w:pPr>
        <w:keepNext w:val="0"/>
        <w:keepLines w:val="0"/>
        <w:pageBreakBefore w:val="0"/>
        <w:widowControl w:val="0"/>
        <w:kinsoku/>
        <w:wordWrap/>
        <w:overflowPunct/>
        <w:topLinePunct w:val="0"/>
        <w:autoSpaceDE/>
        <w:autoSpaceDN/>
        <w:bidi w:val="0"/>
        <w:snapToGrid w:val="0"/>
        <w:spacing w:line="450" w:lineRule="exact"/>
        <w:ind w:firstLine="540" w:firstLineChars="225"/>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联系电话：</w:t>
      </w:r>
      <w:r>
        <w:rPr>
          <w:rFonts w:hint="eastAsia" w:ascii="宋体" w:hAnsi="宋体" w:eastAsia="宋体" w:cs="宋体"/>
          <w:color w:val="auto"/>
          <w:spacing w:val="0"/>
          <w:position w:val="0"/>
          <w:sz w:val="24"/>
          <w:highlight w:val="none"/>
          <w:shd w:val="clear" w:color="auto" w:fill="auto"/>
          <w:lang w:val="en-US" w:eastAsia="zh-CN"/>
        </w:rPr>
        <w:t>1</w:t>
      </w:r>
      <w:r>
        <w:rPr>
          <w:rFonts w:hint="default" w:ascii="宋体" w:hAnsi="宋体" w:eastAsia="宋体" w:cs="宋体"/>
          <w:color w:val="auto"/>
          <w:spacing w:val="0"/>
          <w:position w:val="0"/>
          <w:sz w:val="24"/>
          <w:highlight w:val="none"/>
          <w:shd w:val="clear" w:color="auto" w:fill="auto"/>
          <w:lang w:eastAsia="zh-CN"/>
        </w:rPr>
        <w:t>5157911032</w:t>
      </w:r>
    </w:p>
    <w:p w14:paraId="3AF30D4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Theme="minorEastAsia" w:hAnsiTheme="minorEastAsia" w:eastAsiaTheme="minorEastAsia" w:cstheme="minorEastAsia"/>
          <w:color w:val="auto"/>
          <w:kern w:val="0"/>
          <w:sz w:val="24"/>
          <w:highlight w:val="none"/>
        </w:rPr>
      </w:pPr>
    </w:p>
    <w:p w14:paraId="65F788B9">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采购代理机构名称：浦江县产权交易有限公司</w:t>
      </w:r>
    </w:p>
    <w:p w14:paraId="0EB70600">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地点：浦江县中山北路169号中山大厦10楼</w:t>
      </w:r>
    </w:p>
    <w:p w14:paraId="6C2A7439">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联系人：</w:t>
      </w:r>
      <w:bookmarkStart w:id="12" w:name="B41_联系人"/>
      <w:bookmarkEnd w:id="12"/>
      <w:r>
        <w:rPr>
          <w:rFonts w:hint="eastAsia" w:asciiTheme="minorEastAsia" w:hAnsiTheme="minorEastAsia" w:eastAsiaTheme="minorEastAsia" w:cstheme="minorEastAsia"/>
          <w:color w:val="auto"/>
          <w:kern w:val="0"/>
          <w:sz w:val="24"/>
          <w:highlight w:val="none"/>
        </w:rPr>
        <w:t>黄女士</w:t>
      </w:r>
    </w:p>
    <w:p w14:paraId="5DB8BCF4">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联系电话：</w:t>
      </w:r>
      <w:r>
        <w:rPr>
          <w:rFonts w:hint="eastAsia" w:asciiTheme="minorEastAsia" w:hAnsiTheme="minorEastAsia" w:eastAsiaTheme="minorEastAsia" w:cstheme="minorEastAsia"/>
          <w:color w:val="auto"/>
          <w:kern w:val="0"/>
          <w:sz w:val="24"/>
          <w:highlight w:val="none"/>
          <w:lang w:val="en-US" w:eastAsia="zh-CN"/>
        </w:rPr>
        <w:t>0579-84182015</w:t>
      </w:r>
    </w:p>
    <w:p w14:paraId="5BF7F614">
      <w:pPr>
        <w:pStyle w:val="2"/>
        <w:keepNext w:val="0"/>
        <w:keepLines w:val="0"/>
        <w:pageBreakBefore w:val="0"/>
        <w:widowControl w:val="0"/>
        <w:kinsoku/>
        <w:wordWrap/>
        <w:overflowPunct/>
        <w:topLinePunct w:val="0"/>
        <w:autoSpaceDE/>
        <w:autoSpaceDN/>
        <w:bidi w:val="0"/>
        <w:spacing w:after="0" w:line="450" w:lineRule="exact"/>
        <w:ind w:left="0" w:leftChars="0" w:firstLine="480"/>
        <w:textAlignment w:val="auto"/>
        <w:rPr>
          <w:rFonts w:hint="eastAsia" w:asciiTheme="minorEastAsia" w:hAnsiTheme="minorEastAsia" w:eastAsiaTheme="minorEastAsia" w:cstheme="minorEastAsia"/>
          <w:color w:val="auto"/>
          <w:sz w:val="24"/>
          <w:highlight w:val="none"/>
        </w:rPr>
      </w:pPr>
    </w:p>
    <w:p w14:paraId="4F8E0E5A">
      <w:pPr>
        <w:keepNext w:val="0"/>
        <w:keepLines w:val="0"/>
        <w:pageBreakBefore w:val="0"/>
        <w:widowControl w:val="0"/>
        <w:kinsoku/>
        <w:wordWrap/>
        <w:overflowPunct/>
        <w:topLinePunct w:val="0"/>
        <w:autoSpaceDE/>
        <w:autoSpaceDN/>
        <w:bidi w:val="0"/>
        <w:snapToGrid w:val="0"/>
        <w:spacing w:line="450" w:lineRule="exact"/>
        <w:ind w:firstLine="42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监督管理部门名称：浦江县人民政府国有资产监督管理办公室</w:t>
      </w:r>
    </w:p>
    <w:p w14:paraId="0EDF6A21">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地点：浦江县东山路76号</w:t>
      </w:r>
    </w:p>
    <w:p w14:paraId="078C146B">
      <w:pPr>
        <w:keepNext w:val="0"/>
        <w:keepLines w:val="0"/>
        <w:pageBreakBefore w:val="0"/>
        <w:widowControl w:val="0"/>
        <w:kinsoku/>
        <w:wordWrap/>
        <w:overflowPunct/>
        <w:topLinePunct w:val="0"/>
        <w:autoSpaceDE/>
        <w:autoSpaceDN/>
        <w:bidi w:val="0"/>
        <w:spacing w:line="45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联系电话：0579-84107702</w:t>
      </w:r>
    </w:p>
    <w:p w14:paraId="02AC0BA4">
      <w:pPr>
        <w:keepNext w:val="0"/>
        <w:keepLines w:val="0"/>
        <w:pageBreakBefore w:val="0"/>
        <w:widowControl w:val="0"/>
        <w:kinsoku/>
        <w:wordWrap/>
        <w:overflowPunct/>
        <w:topLinePunct w:val="0"/>
        <w:autoSpaceDE/>
        <w:autoSpaceDN/>
        <w:bidi w:val="0"/>
        <w:snapToGrid w:val="0"/>
        <w:spacing w:line="450" w:lineRule="exact"/>
        <w:ind w:left="2640" w:hanging="2640" w:hangingChars="1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6D49FD12">
      <w:pPr>
        <w:keepNext w:val="0"/>
        <w:keepLines w:val="0"/>
        <w:pageBreakBefore w:val="0"/>
        <w:widowControl w:val="0"/>
        <w:kinsoku/>
        <w:wordWrap/>
        <w:overflowPunct/>
        <w:topLinePunct w:val="0"/>
        <w:autoSpaceDE/>
        <w:autoSpaceDN/>
        <w:bidi w:val="0"/>
        <w:snapToGrid w:val="0"/>
        <w:spacing w:line="450" w:lineRule="exact"/>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bookmarkStart w:id="13" w:name="_Toc29252"/>
      <w:bookmarkStart w:id="14" w:name="_Toc10335"/>
      <w:bookmarkStart w:id="15" w:name="_Toc10640"/>
      <w:bookmarkStart w:id="16" w:name="_Toc7933"/>
      <w:bookmarkStart w:id="17" w:name="_Toc22640"/>
      <w:bookmarkStart w:id="18" w:name="_Toc4603"/>
      <w:bookmarkStart w:id="19" w:name="_Toc14152"/>
      <w:bookmarkStart w:id="20" w:name="_Toc7291"/>
      <w:r>
        <w:rPr>
          <w:rFonts w:hint="eastAsia" w:asciiTheme="minorEastAsia" w:hAnsiTheme="minorEastAsia" w:eastAsiaTheme="minorEastAsia" w:cstheme="minorEastAsia"/>
          <w:color w:val="auto"/>
          <w:sz w:val="24"/>
          <w:highlight w:val="none"/>
        </w:rPr>
        <w:t>2024年</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日</w:t>
      </w:r>
      <w:bookmarkEnd w:id="13"/>
      <w:bookmarkEnd w:id="14"/>
      <w:bookmarkEnd w:id="15"/>
      <w:bookmarkEnd w:id="16"/>
      <w:bookmarkEnd w:id="17"/>
      <w:bookmarkEnd w:id="18"/>
      <w:bookmarkEnd w:id="19"/>
      <w:bookmarkEnd w:id="20"/>
    </w:p>
    <w:p w14:paraId="755617CC">
      <w:pPr>
        <w:pStyle w:val="6"/>
        <w:numPr>
          <w:ilvl w:val="0"/>
          <w:numId w:val="1"/>
        </w:numPr>
        <w:tabs>
          <w:tab w:val="clear" w:pos="360"/>
        </w:tabs>
        <w:spacing w:before="0" w:after="0" w:line="460" w:lineRule="exact"/>
        <w:ind w:left="0" w:firstLine="0"/>
        <w:jc w:val="center"/>
        <w:rPr>
          <w:rFonts w:hint="eastAsia" w:asciiTheme="minorEastAsia" w:hAnsiTheme="minorEastAsia" w:eastAsiaTheme="minorEastAsia" w:cstheme="minorEastAsia"/>
          <w:color w:val="auto"/>
          <w:sz w:val="24"/>
          <w:szCs w:val="24"/>
          <w:highlight w:val="none"/>
        </w:rPr>
        <w:sectPr>
          <w:footerReference r:id="rId8" w:type="default"/>
          <w:pgSz w:w="11907" w:h="16840"/>
          <w:pgMar w:top="1247" w:right="1134" w:bottom="1247" w:left="1440" w:header="851" w:footer="851" w:gutter="0"/>
          <w:pgNumType w:start="1"/>
          <w:cols w:space="720" w:num="1"/>
          <w:docGrid w:linePitch="272" w:charSpace="0"/>
        </w:sectPr>
      </w:pPr>
    </w:p>
    <w:p w14:paraId="6C8271FF">
      <w:pPr>
        <w:pStyle w:val="6"/>
        <w:numPr>
          <w:ilvl w:val="0"/>
          <w:numId w:val="1"/>
        </w:numPr>
        <w:tabs>
          <w:tab w:val="clear" w:pos="360"/>
        </w:tabs>
        <w:spacing w:before="120" w:beforeLines="50" w:after="120" w:afterLines="50" w:line="360" w:lineRule="auto"/>
        <w:ind w:left="0" w:firstLine="0"/>
        <w:jc w:val="center"/>
        <w:rPr>
          <w:rFonts w:hint="eastAsia" w:ascii="宋体" w:hAnsi="宋体" w:cs="宋体"/>
          <w:color w:val="auto"/>
          <w:sz w:val="36"/>
          <w:szCs w:val="36"/>
          <w:highlight w:val="none"/>
        </w:rPr>
      </w:pPr>
      <w:bookmarkStart w:id="21" w:name="_Toc30504"/>
      <w:bookmarkStart w:id="22" w:name="_Toc12525"/>
      <w:r>
        <w:rPr>
          <w:rFonts w:hint="eastAsia" w:ascii="宋体" w:hAnsi="宋体" w:cs="宋体"/>
          <w:color w:val="auto"/>
          <w:sz w:val="36"/>
          <w:szCs w:val="36"/>
          <w:highlight w:val="none"/>
        </w:rPr>
        <w:t>第二章 磋商供应商须知</w:t>
      </w:r>
      <w:bookmarkEnd w:id="11"/>
      <w:bookmarkEnd w:id="21"/>
      <w:bookmarkEnd w:id="22"/>
    </w:p>
    <w:p w14:paraId="094BE7A9">
      <w:pPr>
        <w:pStyle w:val="6"/>
        <w:numPr>
          <w:ilvl w:val="0"/>
          <w:numId w:val="1"/>
        </w:numPr>
        <w:tabs>
          <w:tab w:val="clear" w:pos="360"/>
        </w:tabs>
        <w:spacing w:before="120" w:beforeLines="50" w:after="120" w:afterLines="50" w:line="360" w:lineRule="auto"/>
        <w:ind w:left="0" w:firstLine="0"/>
        <w:jc w:val="center"/>
        <w:rPr>
          <w:rStyle w:val="156"/>
          <w:rFonts w:hint="eastAsia" w:ascii="宋体" w:hAnsi="宋体" w:cs="宋体"/>
          <w:color w:val="auto"/>
          <w:sz w:val="36"/>
          <w:szCs w:val="36"/>
          <w:highlight w:val="none"/>
        </w:rPr>
      </w:pPr>
      <w:bookmarkStart w:id="23" w:name="_Toc8832"/>
      <w:bookmarkStart w:id="24" w:name="_Toc21535"/>
      <w:bookmarkStart w:id="25" w:name="_Toc26112"/>
      <w:bookmarkStart w:id="26" w:name="_Toc17986"/>
      <w:bookmarkStart w:id="27" w:name="_Toc17335"/>
      <w:bookmarkStart w:id="28" w:name="_Toc2835"/>
      <w:bookmarkStart w:id="29" w:name="_Toc7065"/>
      <w:bookmarkStart w:id="30" w:name="_Toc27975"/>
      <w:r>
        <w:rPr>
          <w:rStyle w:val="156"/>
          <w:rFonts w:hint="eastAsia" w:ascii="宋体" w:hAnsi="宋体" w:cs="宋体"/>
          <w:color w:val="auto"/>
          <w:sz w:val="36"/>
          <w:szCs w:val="36"/>
          <w:highlight w:val="none"/>
        </w:rPr>
        <w:t>供应商须知前附表</w:t>
      </w:r>
      <w:bookmarkEnd w:id="23"/>
      <w:bookmarkEnd w:id="24"/>
      <w:bookmarkEnd w:id="25"/>
      <w:bookmarkEnd w:id="26"/>
      <w:bookmarkEnd w:id="27"/>
      <w:bookmarkEnd w:id="28"/>
      <w:bookmarkEnd w:id="29"/>
      <w:bookmarkEnd w:id="30"/>
    </w:p>
    <w:tbl>
      <w:tblPr>
        <w:tblStyle w:val="5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8"/>
        <w:gridCol w:w="2075"/>
        <w:gridCol w:w="6718"/>
      </w:tblGrid>
      <w:tr w14:paraId="46787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430" w:type="pct"/>
            <w:vAlign w:val="center"/>
          </w:tcPr>
          <w:p w14:paraId="1A535175">
            <w:pPr>
              <w:spacing w:line="38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078" w:type="pct"/>
            <w:vAlign w:val="center"/>
          </w:tcPr>
          <w:p w14:paraId="71976ABC">
            <w:pPr>
              <w:spacing w:line="38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w:t>
            </w:r>
          </w:p>
        </w:tc>
        <w:tc>
          <w:tcPr>
            <w:tcW w:w="3490" w:type="pct"/>
            <w:vAlign w:val="center"/>
          </w:tcPr>
          <w:p w14:paraId="62C2FE9C">
            <w:pPr>
              <w:spacing w:line="38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内  容</w:t>
            </w:r>
          </w:p>
        </w:tc>
      </w:tr>
      <w:tr w14:paraId="2441F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8" w:hRule="atLeast"/>
          <w:jc w:val="center"/>
        </w:trPr>
        <w:tc>
          <w:tcPr>
            <w:tcW w:w="430" w:type="pct"/>
            <w:vAlign w:val="center"/>
          </w:tcPr>
          <w:p w14:paraId="372EC1D0">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078" w:type="pct"/>
            <w:vAlign w:val="center"/>
          </w:tcPr>
          <w:p w14:paraId="43276309">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tc>
        <w:tc>
          <w:tcPr>
            <w:tcW w:w="3490" w:type="pct"/>
            <w:vAlign w:val="center"/>
          </w:tcPr>
          <w:p w14:paraId="044436E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r>
              <w:rPr>
                <w:rFonts w:hint="eastAsia" w:asciiTheme="minorEastAsia" w:hAnsiTheme="minorEastAsia" w:eastAsiaTheme="minorEastAsia" w:cstheme="minorEastAsia"/>
                <w:color w:val="auto"/>
                <w:kern w:val="0"/>
                <w:sz w:val="24"/>
                <w:highlight w:val="none"/>
                <w:lang w:eastAsia="zh-CN"/>
              </w:rPr>
              <w:t>浦江县诗画里幸福产业有限公司民国楼饮食保障服务项目</w:t>
            </w:r>
            <w:r>
              <w:rPr>
                <w:rFonts w:hint="eastAsia" w:asciiTheme="minorEastAsia" w:hAnsiTheme="minorEastAsia" w:eastAsiaTheme="minorEastAsia" w:cstheme="minorEastAsia"/>
                <w:color w:val="auto"/>
                <w:kern w:val="0"/>
                <w:sz w:val="24"/>
                <w:highlight w:val="none"/>
              </w:rPr>
              <w:t xml:space="preserve"> </w:t>
            </w:r>
          </w:p>
          <w:p w14:paraId="7DFC374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采购人：</w:t>
            </w:r>
            <w:r>
              <w:rPr>
                <w:rFonts w:hint="eastAsia" w:asciiTheme="minorEastAsia" w:hAnsiTheme="minorEastAsia" w:eastAsiaTheme="minorEastAsia" w:cstheme="minorEastAsia"/>
                <w:color w:val="auto"/>
                <w:kern w:val="0"/>
                <w:sz w:val="24"/>
                <w:highlight w:val="none"/>
                <w:lang w:eastAsia="zh-CN"/>
              </w:rPr>
              <w:t>浦江县诗画里幸福产业有限公司</w:t>
            </w:r>
          </w:p>
          <w:p w14:paraId="568E70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地点：浦江县仙华街道石宕毛店村</w:t>
            </w:r>
          </w:p>
          <w:p w14:paraId="3671EE2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 xml:space="preserve">联系人：方先生 </w:t>
            </w:r>
          </w:p>
          <w:p w14:paraId="3A7FED8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联系电话：15157911032</w:t>
            </w:r>
          </w:p>
        </w:tc>
      </w:tr>
      <w:tr w14:paraId="7A1BF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9" w:hRule="atLeast"/>
          <w:jc w:val="center"/>
        </w:trPr>
        <w:tc>
          <w:tcPr>
            <w:tcW w:w="430" w:type="pct"/>
            <w:vAlign w:val="center"/>
          </w:tcPr>
          <w:p w14:paraId="55B13697">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078" w:type="pct"/>
            <w:vAlign w:val="center"/>
          </w:tcPr>
          <w:p w14:paraId="08D71282">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采购内容</w:t>
            </w:r>
          </w:p>
        </w:tc>
        <w:tc>
          <w:tcPr>
            <w:tcW w:w="3490" w:type="pct"/>
            <w:vAlign w:val="center"/>
          </w:tcPr>
          <w:p w14:paraId="2E16D1E2">
            <w:pPr>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民国楼</w:t>
            </w:r>
            <w:r>
              <w:rPr>
                <w:rFonts w:hint="eastAsia" w:asciiTheme="minorEastAsia" w:hAnsiTheme="minorEastAsia" w:eastAsiaTheme="minorEastAsia" w:cstheme="minorEastAsia"/>
                <w:color w:val="auto"/>
                <w:sz w:val="24"/>
                <w:highlight w:val="none"/>
                <w:lang w:eastAsia="zh-CN"/>
              </w:rPr>
              <w:t>伙食保障，含</w:t>
            </w:r>
            <w:r>
              <w:rPr>
                <w:rFonts w:hint="eastAsia" w:asciiTheme="minorEastAsia" w:hAnsiTheme="minorEastAsia" w:eastAsiaTheme="minorEastAsia" w:cstheme="minorEastAsia"/>
                <w:color w:val="auto"/>
                <w:sz w:val="24"/>
                <w:highlight w:val="none"/>
                <w:lang w:val="en-US" w:eastAsia="zh-CN"/>
              </w:rPr>
              <w:t>三餐主副食</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厨房管理、</w:t>
            </w:r>
            <w:r>
              <w:rPr>
                <w:rFonts w:hint="eastAsia" w:asciiTheme="minorEastAsia" w:hAnsiTheme="minorEastAsia" w:eastAsiaTheme="minorEastAsia" w:cstheme="minorEastAsia"/>
                <w:color w:val="auto"/>
                <w:sz w:val="24"/>
                <w:highlight w:val="none"/>
                <w:lang w:eastAsia="zh-CN"/>
              </w:rPr>
              <w:t>食品安全、环境卫生等，</w:t>
            </w:r>
            <w:r>
              <w:rPr>
                <w:rFonts w:hint="eastAsia" w:asciiTheme="minorEastAsia" w:hAnsiTheme="minorEastAsia" w:eastAsiaTheme="minorEastAsia" w:cstheme="minorEastAsia"/>
                <w:color w:val="auto"/>
                <w:sz w:val="24"/>
                <w:highlight w:val="none"/>
              </w:rPr>
              <w:t>具体内容及要求详见第三章“采购需求”。</w:t>
            </w:r>
          </w:p>
        </w:tc>
      </w:tr>
      <w:tr w14:paraId="0176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430" w:type="pct"/>
            <w:vAlign w:val="center"/>
          </w:tcPr>
          <w:p w14:paraId="72CA50D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078" w:type="pct"/>
            <w:vAlign w:val="center"/>
          </w:tcPr>
          <w:p w14:paraId="6A431F81">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工程建设地点</w:t>
            </w:r>
          </w:p>
        </w:tc>
        <w:tc>
          <w:tcPr>
            <w:tcW w:w="3490" w:type="pct"/>
            <w:vAlign w:val="center"/>
          </w:tcPr>
          <w:p w14:paraId="0A21FDE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r>
      <w:tr w14:paraId="679C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430" w:type="pct"/>
            <w:vAlign w:val="center"/>
          </w:tcPr>
          <w:p w14:paraId="56E4E3D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078" w:type="pct"/>
            <w:vAlign w:val="center"/>
          </w:tcPr>
          <w:p w14:paraId="1C911382">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采购预算</w:t>
            </w:r>
          </w:p>
        </w:tc>
        <w:tc>
          <w:tcPr>
            <w:tcW w:w="3490" w:type="pct"/>
            <w:vAlign w:val="center"/>
          </w:tcPr>
          <w:p w14:paraId="212EA36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采购预算约</w:t>
            </w:r>
            <w:r>
              <w:rPr>
                <w:rFonts w:hint="eastAsia" w:asciiTheme="minorEastAsia" w:hAnsiTheme="minorEastAsia" w:eastAsiaTheme="minorEastAsia" w:cstheme="minorEastAsia"/>
                <w:color w:val="auto"/>
                <w:kern w:val="0"/>
                <w:sz w:val="24"/>
                <w:highlight w:val="none"/>
                <w:u w:val="single"/>
                <w:lang w:eastAsia="zh-CN"/>
              </w:rPr>
              <w:t>150万</w:t>
            </w:r>
            <w:r>
              <w:rPr>
                <w:rFonts w:hint="eastAsia" w:asciiTheme="minorEastAsia" w:hAnsiTheme="minorEastAsia" w:eastAsiaTheme="minorEastAsia" w:cstheme="minorEastAsia"/>
                <w:color w:val="auto"/>
                <w:kern w:val="0"/>
                <w:sz w:val="24"/>
                <w:highlight w:val="none"/>
                <w:u w:val="single"/>
              </w:rPr>
              <w:t>元</w:t>
            </w:r>
            <w:r>
              <w:rPr>
                <w:rFonts w:hint="eastAsia" w:asciiTheme="minorEastAsia" w:hAnsiTheme="minorEastAsia" w:eastAsiaTheme="minorEastAsia" w:cstheme="minorEastAsia"/>
                <w:color w:val="auto"/>
                <w:kern w:val="0"/>
                <w:sz w:val="24"/>
                <w:highlight w:val="none"/>
              </w:rPr>
              <w:t>人民币。</w:t>
            </w:r>
          </w:p>
        </w:tc>
      </w:tr>
      <w:tr w14:paraId="62277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430" w:type="pct"/>
            <w:vAlign w:val="center"/>
          </w:tcPr>
          <w:p w14:paraId="2E049836">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078" w:type="pct"/>
            <w:vAlign w:val="center"/>
          </w:tcPr>
          <w:p w14:paraId="4CA0B2D3">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w:t>
            </w:r>
          </w:p>
        </w:tc>
        <w:tc>
          <w:tcPr>
            <w:tcW w:w="3490" w:type="pct"/>
            <w:vAlign w:val="center"/>
          </w:tcPr>
          <w:p w14:paraId="4D39EB69">
            <w:pPr>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w:t>
            </w:r>
          </w:p>
        </w:tc>
      </w:tr>
      <w:tr w14:paraId="2FBC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30" w:type="pct"/>
            <w:vAlign w:val="center"/>
          </w:tcPr>
          <w:p w14:paraId="02E2DF3B">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078" w:type="pct"/>
            <w:vAlign w:val="center"/>
          </w:tcPr>
          <w:p w14:paraId="467945A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w:t>
            </w:r>
          </w:p>
        </w:tc>
        <w:tc>
          <w:tcPr>
            <w:tcW w:w="3490" w:type="pct"/>
            <w:vAlign w:val="center"/>
          </w:tcPr>
          <w:p w14:paraId="5D177698">
            <w:pPr>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详见竞争性磋商公告中“三、供应商资格要求”。</w:t>
            </w:r>
          </w:p>
        </w:tc>
      </w:tr>
      <w:tr w14:paraId="0828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30" w:type="pct"/>
            <w:vAlign w:val="center"/>
          </w:tcPr>
          <w:p w14:paraId="103A6686">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078" w:type="pct"/>
            <w:vAlign w:val="center"/>
          </w:tcPr>
          <w:p w14:paraId="4E8DBFC1">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踏勘现场</w:t>
            </w:r>
          </w:p>
        </w:tc>
        <w:tc>
          <w:tcPr>
            <w:tcW w:w="3490" w:type="pct"/>
            <w:vAlign w:val="center"/>
          </w:tcPr>
          <w:p w14:paraId="6529D771">
            <w:pPr>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不组织，供应商自行踏勘，费用自理，责任自负。</w:t>
            </w:r>
          </w:p>
        </w:tc>
      </w:tr>
      <w:tr w14:paraId="66E46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430" w:type="pct"/>
            <w:vAlign w:val="center"/>
          </w:tcPr>
          <w:p w14:paraId="0F1130F7">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078" w:type="pct"/>
            <w:vAlign w:val="center"/>
          </w:tcPr>
          <w:p w14:paraId="7767C7A9">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磋商保证金</w:t>
            </w:r>
          </w:p>
        </w:tc>
        <w:tc>
          <w:tcPr>
            <w:tcW w:w="3490" w:type="pct"/>
            <w:vAlign w:val="center"/>
          </w:tcPr>
          <w:p w14:paraId="72FE89EB">
            <w:pPr>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r>
      <w:tr w14:paraId="7C84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 w:hRule="atLeast"/>
          <w:jc w:val="center"/>
        </w:trPr>
        <w:tc>
          <w:tcPr>
            <w:tcW w:w="430" w:type="pct"/>
            <w:vAlign w:val="center"/>
          </w:tcPr>
          <w:p w14:paraId="4564AA4E">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078" w:type="pct"/>
            <w:vAlign w:val="center"/>
          </w:tcPr>
          <w:p w14:paraId="07090F5E">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履约保证金的收取及退还</w:t>
            </w:r>
          </w:p>
        </w:tc>
        <w:tc>
          <w:tcPr>
            <w:tcW w:w="3490" w:type="pct"/>
            <w:vAlign w:val="center"/>
          </w:tcPr>
          <w:p w14:paraId="7957E30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履约保证金：中标价的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。（不计息）</w:t>
            </w:r>
          </w:p>
          <w:p w14:paraId="045A305C">
            <w:pPr>
              <w:keepNext w:val="0"/>
              <w:keepLines w:val="0"/>
              <w:pageBreakBefore w:val="0"/>
              <w:widowControl w:val="0"/>
              <w:kinsoku/>
              <w:wordWrap/>
              <w:overflowPunct/>
              <w:topLinePunct w:val="0"/>
              <w:autoSpaceDE/>
              <w:autoSpaceDN/>
              <w:bidi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履约保证金的形式：现金、支票、汇票、本票或者金融机构、保险公司、</w:t>
            </w:r>
            <w:r>
              <w:rPr>
                <w:rFonts w:hint="eastAsia" w:ascii="宋体" w:hAnsi="宋体" w:cs="宋体"/>
                <w:color w:val="auto"/>
                <w:sz w:val="24"/>
                <w:highlight w:val="none"/>
                <w:lang w:eastAsia="zh-CN"/>
              </w:rPr>
              <w:t>担保机构出具的保函（见函即付）</w:t>
            </w:r>
            <w:r>
              <w:rPr>
                <w:rFonts w:hint="eastAsia" w:ascii="宋体" w:hAnsi="宋体" w:cs="宋体"/>
                <w:color w:val="auto"/>
                <w:sz w:val="24"/>
                <w:highlight w:val="none"/>
              </w:rPr>
              <w:t>/保险。</w:t>
            </w:r>
          </w:p>
          <w:p w14:paraId="110884D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履约担保形式为现金（账户另行通知），履约保证金待合同期满视考核情况到采购人处办理履约保证金的退还手续（不计息）；</w:t>
            </w:r>
          </w:p>
          <w:p w14:paraId="125013E1">
            <w:pPr>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履约担保形式为支票、汇票、本票或者金融机构、保险公司、</w:t>
            </w:r>
            <w:r>
              <w:rPr>
                <w:rFonts w:hint="eastAsia" w:ascii="宋体" w:hAnsi="宋体" w:cs="宋体"/>
                <w:color w:val="auto"/>
                <w:sz w:val="24"/>
                <w:highlight w:val="none"/>
                <w:lang w:eastAsia="zh-CN"/>
              </w:rPr>
              <w:t>担保机构出具的保函（见函即付）</w:t>
            </w:r>
            <w:r>
              <w:rPr>
                <w:rFonts w:hint="eastAsia" w:ascii="宋体" w:hAnsi="宋体" w:cs="宋体"/>
                <w:color w:val="auto"/>
                <w:sz w:val="24"/>
                <w:highlight w:val="none"/>
              </w:rPr>
              <w:t>/保险等非现金形式的，应在合同履行期限内保持有效。若出现支票、汇票、本票或者金融机构、保险公司、</w:t>
            </w:r>
            <w:r>
              <w:rPr>
                <w:rFonts w:hint="eastAsia" w:ascii="宋体" w:hAnsi="宋体" w:cs="宋体"/>
                <w:color w:val="auto"/>
                <w:sz w:val="24"/>
                <w:highlight w:val="none"/>
                <w:lang w:eastAsia="zh-CN"/>
              </w:rPr>
              <w:t>担保机构出具的保函（见函即付）</w:t>
            </w:r>
            <w:r>
              <w:rPr>
                <w:rFonts w:hint="eastAsia" w:ascii="宋体" w:hAnsi="宋体" w:cs="宋体"/>
                <w:color w:val="auto"/>
                <w:sz w:val="24"/>
                <w:highlight w:val="none"/>
              </w:rPr>
              <w:t>/保险失效等情形导致中标人的违约金额无法从支票、汇票、本票或保函/保险出具单位理赔的，采购人有权从合同款中予以直接扣除。</w:t>
            </w:r>
          </w:p>
        </w:tc>
      </w:tr>
      <w:tr w14:paraId="2F8F6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430" w:type="pct"/>
            <w:vAlign w:val="center"/>
          </w:tcPr>
          <w:p w14:paraId="15BB2DA2">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078" w:type="pct"/>
            <w:vAlign w:val="center"/>
          </w:tcPr>
          <w:p w14:paraId="4C0A41A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服务期限</w:t>
            </w:r>
          </w:p>
        </w:tc>
        <w:tc>
          <w:tcPr>
            <w:tcW w:w="3490" w:type="pct"/>
            <w:vAlign w:val="center"/>
          </w:tcPr>
          <w:p w14:paraId="13B785C1">
            <w:pPr>
              <w:spacing w:line="38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自合同签订之日起三年。</w:t>
            </w:r>
          </w:p>
        </w:tc>
      </w:tr>
      <w:tr w14:paraId="19CE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05" w:hRule="atLeast"/>
          <w:jc w:val="center"/>
        </w:trPr>
        <w:tc>
          <w:tcPr>
            <w:tcW w:w="430" w:type="pct"/>
            <w:vAlign w:val="center"/>
          </w:tcPr>
          <w:p w14:paraId="3663185D">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078" w:type="pct"/>
            <w:vAlign w:val="center"/>
          </w:tcPr>
          <w:p w14:paraId="73125620">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付款方式</w:t>
            </w:r>
          </w:p>
        </w:tc>
        <w:tc>
          <w:tcPr>
            <w:tcW w:w="3490" w:type="pct"/>
            <w:vAlign w:val="center"/>
          </w:tcPr>
          <w:p w14:paraId="279FB2D8">
            <w:pPr>
              <w:spacing w:line="380" w:lineRule="exact"/>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lang w:eastAsia="zh-CN"/>
              </w:rPr>
              <w:t>合同款支付与考核结果挂钩，中标价的80%作为基本合同款，按月平均分摊基本合同款每月支付一次；中标价的20%作为绩效合同款，与月度考核结果挂钩，因故扣减的费用在该付款周期中一并核减</w:t>
            </w:r>
            <w:r>
              <w:rPr>
                <w:rFonts w:hint="eastAsia" w:ascii="宋体" w:hAnsi="宋体" w:eastAsia="宋体" w:cs="宋体"/>
                <w:color w:val="auto"/>
                <w:sz w:val="24"/>
                <w:highlight w:val="none"/>
                <w:lang w:val="en-US" w:eastAsia="zh-CN"/>
              </w:rPr>
              <w:t>。投标人每期服务费用需开具本单位出具的正式发票。</w:t>
            </w:r>
          </w:p>
        </w:tc>
      </w:tr>
      <w:tr w14:paraId="1CBB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30" w:type="pct"/>
            <w:vAlign w:val="center"/>
          </w:tcPr>
          <w:p w14:paraId="634676DD">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078" w:type="pct"/>
            <w:vAlign w:val="center"/>
          </w:tcPr>
          <w:p w14:paraId="70D4A674">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供应商提出问题的截止时间</w:t>
            </w:r>
          </w:p>
        </w:tc>
        <w:tc>
          <w:tcPr>
            <w:tcW w:w="3490" w:type="pct"/>
            <w:vAlign w:val="center"/>
          </w:tcPr>
          <w:p w14:paraId="0683C9EA">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递交响应文件截止时间5日前</w:t>
            </w:r>
          </w:p>
        </w:tc>
      </w:tr>
      <w:tr w14:paraId="00F6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7" w:hRule="exact"/>
          <w:jc w:val="center"/>
        </w:trPr>
        <w:tc>
          <w:tcPr>
            <w:tcW w:w="430" w:type="pct"/>
            <w:vAlign w:val="center"/>
          </w:tcPr>
          <w:p w14:paraId="219640E8">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078" w:type="pct"/>
            <w:vAlign w:val="center"/>
          </w:tcPr>
          <w:p w14:paraId="49B9148B">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采购人书面澄清的时间</w:t>
            </w:r>
          </w:p>
        </w:tc>
        <w:tc>
          <w:tcPr>
            <w:tcW w:w="3490" w:type="pct"/>
            <w:vAlign w:val="center"/>
          </w:tcPr>
          <w:p w14:paraId="638C4EEB">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首次提交响应文件截止时间前，采购人或其代理机构可以对竞争性磋商文件进行澄清或者修改，澄清或者修改的内容作为竞争性磋商文件的组成部分。澄清或者修改的内容可能影响响应文件编制的，采购人书面澄清的时间为递交响应文件截止时间5日前。</w:t>
            </w:r>
          </w:p>
        </w:tc>
      </w:tr>
      <w:tr w14:paraId="31F7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exact"/>
          <w:jc w:val="center"/>
        </w:trPr>
        <w:tc>
          <w:tcPr>
            <w:tcW w:w="430" w:type="pct"/>
            <w:vAlign w:val="center"/>
          </w:tcPr>
          <w:p w14:paraId="5310356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078" w:type="pct"/>
            <w:vAlign w:val="center"/>
          </w:tcPr>
          <w:p w14:paraId="177FF144">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递交磋商响应文件截止时间</w:t>
            </w:r>
          </w:p>
        </w:tc>
        <w:tc>
          <w:tcPr>
            <w:tcW w:w="3490" w:type="pct"/>
            <w:vAlign w:val="center"/>
          </w:tcPr>
          <w:p w14:paraId="29D93283">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55E4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exact"/>
          <w:jc w:val="center"/>
        </w:trPr>
        <w:tc>
          <w:tcPr>
            <w:tcW w:w="430" w:type="pct"/>
            <w:vAlign w:val="center"/>
          </w:tcPr>
          <w:p w14:paraId="1BBF807C">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078" w:type="pct"/>
            <w:vAlign w:val="center"/>
          </w:tcPr>
          <w:p w14:paraId="72DD3B9E">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接受磋商响应文件的时间与地点</w:t>
            </w:r>
          </w:p>
        </w:tc>
        <w:tc>
          <w:tcPr>
            <w:tcW w:w="3490" w:type="pct"/>
            <w:vAlign w:val="center"/>
          </w:tcPr>
          <w:p w14:paraId="3D196530">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0A4A2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430" w:type="pct"/>
            <w:tcBorders>
              <w:bottom w:val="single" w:color="auto" w:sz="6" w:space="0"/>
            </w:tcBorders>
            <w:vAlign w:val="center"/>
          </w:tcPr>
          <w:p w14:paraId="621CDBB2">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078" w:type="pct"/>
            <w:tcBorders>
              <w:bottom w:val="single" w:color="auto" w:sz="6" w:space="0"/>
            </w:tcBorders>
            <w:vAlign w:val="center"/>
          </w:tcPr>
          <w:p w14:paraId="151B52F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磋商时间和地点</w:t>
            </w:r>
          </w:p>
        </w:tc>
        <w:tc>
          <w:tcPr>
            <w:tcW w:w="3490" w:type="pct"/>
            <w:tcBorders>
              <w:bottom w:val="single" w:color="auto" w:sz="6" w:space="0"/>
            </w:tcBorders>
            <w:vAlign w:val="center"/>
          </w:tcPr>
          <w:p w14:paraId="19D16538">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0E97F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430" w:type="pct"/>
            <w:tcBorders>
              <w:bottom w:val="single" w:color="auto" w:sz="4" w:space="0"/>
            </w:tcBorders>
            <w:vAlign w:val="center"/>
          </w:tcPr>
          <w:p w14:paraId="4CAF48BE">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078" w:type="pct"/>
            <w:tcBorders>
              <w:bottom w:val="single" w:color="auto" w:sz="4" w:space="0"/>
            </w:tcBorders>
            <w:vAlign w:val="center"/>
          </w:tcPr>
          <w:p w14:paraId="0E536B1C">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竞争性磋商有效期</w:t>
            </w:r>
          </w:p>
        </w:tc>
        <w:tc>
          <w:tcPr>
            <w:tcW w:w="3490" w:type="pct"/>
            <w:tcBorders>
              <w:bottom w:val="single" w:color="auto" w:sz="4" w:space="0"/>
            </w:tcBorders>
            <w:vAlign w:val="center"/>
          </w:tcPr>
          <w:p w14:paraId="185BABA9">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90日历天（从递交响应文件截止之日算起）</w:t>
            </w:r>
          </w:p>
        </w:tc>
      </w:tr>
      <w:tr w14:paraId="11FFB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430" w:type="pct"/>
            <w:tcBorders>
              <w:top w:val="single" w:color="auto" w:sz="4" w:space="0"/>
            </w:tcBorders>
            <w:vAlign w:val="center"/>
          </w:tcPr>
          <w:p w14:paraId="7779772F">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078" w:type="pct"/>
            <w:tcBorders>
              <w:top w:val="single" w:color="auto" w:sz="4" w:space="0"/>
            </w:tcBorders>
            <w:vAlign w:val="center"/>
          </w:tcPr>
          <w:p w14:paraId="6049CCC2">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响应文件编制要求、数量及封装要求</w:t>
            </w:r>
          </w:p>
        </w:tc>
        <w:tc>
          <w:tcPr>
            <w:tcW w:w="3490" w:type="pct"/>
            <w:tcBorders>
              <w:top w:val="single" w:color="auto" w:sz="4" w:space="0"/>
            </w:tcBorders>
            <w:vAlign w:val="center"/>
          </w:tcPr>
          <w:p w14:paraId="4D633093">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磋商响应文件编制要求、数量及封装要求：</w:t>
            </w:r>
          </w:p>
          <w:p w14:paraId="71C1DAE7">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磋商响应文件应有章节目录；</w:t>
            </w:r>
          </w:p>
          <w:p w14:paraId="25759077">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磋商响应文件应采用胶装；</w:t>
            </w:r>
          </w:p>
          <w:p w14:paraId="776F9517">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1套正本，4套副本，正本和副本需封装在密封袋内递交。</w:t>
            </w:r>
          </w:p>
        </w:tc>
      </w:tr>
      <w:tr w14:paraId="08DCD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430" w:type="pct"/>
            <w:vAlign w:val="center"/>
          </w:tcPr>
          <w:p w14:paraId="32C2559C">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1078" w:type="pct"/>
            <w:vAlign w:val="center"/>
          </w:tcPr>
          <w:p w14:paraId="474EF04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磋商小组的组建</w:t>
            </w:r>
          </w:p>
        </w:tc>
        <w:tc>
          <w:tcPr>
            <w:tcW w:w="3490" w:type="pct"/>
            <w:vAlign w:val="center"/>
          </w:tcPr>
          <w:p w14:paraId="5BF74863">
            <w:pPr>
              <w:spacing w:line="38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snapToGrid w:val="0"/>
                <w:color w:val="auto"/>
                <w:kern w:val="0"/>
                <w:sz w:val="24"/>
                <w:highlight w:val="none"/>
              </w:rPr>
              <w:t>磋商小组由采购人代表和评审专家共3人以上单数组成，其中评审专家人数不得少于磋商小组成员总数的2/3。</w:t>
            </w:r>
          </w:p>
        </w:tc>
      </w:tr>
      <w:tr w14:paraId="3F68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30" w:type="pct"/>
            <w:vAlign w:val="center"/>
          </w:tcPr>
          <w:p w14:paraId="3980D21F">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1078" w:type="pct"/>
            <w:vAlign w:val="center"/>
          </w:tcPr>
          <w:p w14:paraId="2967569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评审办法</w:t>
            </w:r>
          </w:p>
        </w:tc>
        <w:tc>
          <w:tcPr>
            <w:tcW w:w="3490" w:type="pct"/>
            <w:vAlign w:val="center"/>
          </w:tcPr>
          <w:p w14:paraId="03E62F07">
            <w:pPr>
              <w:spacing w:line="380" w:lineRule="exac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综合评分法</w:t>
            </w:r>
          </w:p>
        </w:tc>
      </w:tr>
      <w:tr w14:paraId="3C1B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430" w:type="pct"/>
            <w:vAlign w:val="center"/>
          </w:tcPr>
          <w:p w14:paraId="56A3E990">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1078" w:type="pct"/>
            <w:vAlign w:val="center"/>
          </w:tcPr>
          <w:p w14:paraId="5386056D">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注意事项</w:t>
            </w:r>
          </w:p>
        </w:tc>
        <w:tc>
          <w:tcPr>
            <w:tcW w:w="3490" w:type="pct"/>
            <w:vAlign w:val="center"/>
          </w:tcPr>
          <w:p w14:paraId="188EEA5F">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（1）供应商的法定代表人或其授权代表参加磋商[请本人带有效身份证明原件，是授权代表参加时，还应带法定代表人授权委托书原件]。</w:t>
            </w:r>
          </w:p>
          <w:p w14:paraId="210553F6">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如果发现本竞争性磋商文件中存在含糊不清、相互矛盾、多种含义以及歧视性不公正条款或违法违规等内容时，请在响应文件递交截止时间前3个工作日内书面（含传真等数据电文）向采购人及采购代理机构提出，逾期不得再对竞争性磋商文件提出质疑。</w:t>
            </w:r>
          </w:p>
          <w:p w14:paraId="1D4B4F5C">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（3）如果竞争性磋商文件中有文字表述与本供应商须知前附表内容不一致时,以本供应商须知前附表为准。</w:t>
            </w:r>
          </w:p>
          <w:p w14:paraId="6FC03068">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（4）无论是否提供竞争性磋商文件的电子文档，有关本竞争性磋商文件的全部内容均以采购代理机构发售的竞争性磋商文件文本为准。</w:t>
            </w:r>
          </w:p>
        </w:tc>
      </w:tr>
      <w:tr w14:paraId="49CE9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430" w:type="pct"/>
            <w:vAlign w:val="center"/>
          </w:tcPr>
          <w:p w14:paraId="6962DED0">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1078" w:type="pct"/>
            <w:vAlign w:val="center"/>
          </w:tcPr>
          <w:p w14:paraId="6A26A65B">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公示（公告）媒介</w:t>
            </w:r>
          </w:p>
        </w:tc>
        <w:tc>
          <w:tcPr>
            <w:tcW w:w="3490" w:type="pct"/>
            <w:vAlign w:val="center"/>
          </w:tcPr>
          <w:p w14:paraId="65A33438">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http://www.zjzfcg.gov.cn</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w:t>
            </w:r>
          </w:p>
        </w:tc>
      </w:tr>
      <w:tr w14:paraId="0E8E2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430" w:type="pct"/>
            <w:vAlign w:val="center"/>
          </w:tcPr>
          <w:p w14:paraId="3FB84C6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1078" w:type="pct"/>
            <w:vAlign w:val="center"/>
          </w:tcPr>
          <w:p w14:paraId="6BDC5F59">
            <w:pPr>
              <w:adjustRightInd w:val="0"/>
              <w:snapToGrid w:val="0"/>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其他说明</w:t>
            </w:r>
          </w:p>
        </w:tc>
        <w:tc>
          <w:tcPr>
            <w:tcW w:w="3490" w:type="pct"/>
            <w:vAlign w:val="center"/>
          </w:tcPr>
          <w:p w14:paraId="185CBEE7">
            <w:pPr>
              <w:adjustRightInd w:val="0"/>
              <w:snapToGrid w:val="0"/>
              <w:spacing w:line="38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支持中小企业</w:t>
            </w:r>
            <w:r>
              <w:rPr>
                <w:rFonts w:hint="eastAsia" w:asciiTheme="minorEastAsia" w:hAnsiTheme="minorEastAsia" w:eastAsiaTheme="minorEastAsia" w:cstheme="minorEastAsia"/>
                <w:color w:val="auto"/>
                <w:sz w:val="24"/>
                <w:highlight w:val="none"/>
              </w:rPr>
              <w:t>：</w:t>
            </w:r>
          </w:p>
          <w:p w14:paraId="25916B46">
            <w:pPr>
              <w:adjustRightInd w:val="0"/>
              <w:snapToGrid w:val="0"/>
              <w:spacing w:line="38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（1）按照《关于印发中小企业划型标准规定的通知》（工信部联企业〔2011〕300号）相关规定，根据具体品目确定相应标准。符合上述条件的中小微型企业应按照格式要求提供《中小企业声明函》。</w:t>
            </w:r>
          </w:p>
          <w:p w14:paraId="5C4BC408">
            <w:pPr>
              <w:adjustRightInd w:val="0"/>
              <w:snapToGrid w:val="0"/>
              <w:spacing w:line="38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（2）根据财政部发布的《</w:t>
            </w:r>
            <w:r>
              <w:rPr>
                <w:rFonts w:hint="eastAsia" w:asciiTheme="minorEastAsia" w:hAnsiTheme="minorEastAsia" w:eastAsiaTheme="minorEastAsia" w:cstheme="minorEastAsia"/>
                <w:b/>
                <w:color w:val="auto"/>
                <w:sz w:val="24"/>
                <w:highlight w:val="none"/>
              </w:rPr>
              <w:t>政府采购促进中小企业发展管理办法</w:t>
            </w:r>
            <w:r>
              <w:rPr>
                <w:rFonts w:hint="eastAsia" w:asciiTheme="minorEastAsia" w:hAnsiTheme="minorEastAsia" w:eastAsiaTheme="minorEastAsia" w:cstheme="minorEastAsia"/>
                <w:color w:val="auto"/>
                <w:sz w:val="24"/>
                <w:highlight w:val="none"/>
              </w:rPr>
              <w:t>》（财库〔2020〕46号）规定，对于非专门面向此类企业的项目，对小微企业报价给</w:t>
            </w:r>
            <w:r>
              <w:rPr>
                <w:rFonts w:hint="eastAsia" w:asciiTheme="minorEastAsia" w:hAnsiTheme="minorEastAsia" w:eastAsiaTheme="minorEastAsia" w:cstheme="minorEastAsia"/>
                <w:b/>
                <w:color w:val="auto"/>
                <w:sz w:val="24"/>
                <w:highlight w:val="none"/>
              </w:rPr>
              <w:t>予6%-10%</w:t>
            </w:r>
            <w:r>
              <w:rPr>
                <w:rFonts w:hint="eastAsia" w:asciiTheme="minorEastAsia" w:hAnsiTheme="minorEastAsia" w:eastAsiaTheme="minorEastAsia" w:cstheme="minorEastAsia"/>
                <w:color w:val="auto"/>
                <w:sz w:val="24"/>
                <w:highlight w:val="none"/>
              </w:rPr>
              <w:t>（工程项目3%-5%）的扣除，用扣除后的价格参加评审。</w:t>
            </w:r>
            <w:r>
              <w:rPr>
                <w:rFonts w:hint="eastAsia" w:asciiTheme="minorEastAsia" w:hAnsiTheme="minorEastAsia" w:eastAsiaTheme="minorEastAsia" w:cstheme="minorEastAsia"/>
                <w:b/>
                <w:color w:val="auto"/>
                <w:sz w:val="24"/>
                <w:highlight w:val="none"/>
              </w:rPr>
              <w:t>本项目的扣除比例为6%。</w:t>
            </w:r>
          </w:p>
          <w:p w14:paraId="44E9BB24">
            <w:pPr>
              <w:autoSpaceDE w:val="0"/>
              <w:autoSpaceDN w:val="0"/>
              <w:snapToGrid w:val="0"/>
              <w:spacing w:line="380" w:lineRule="exact"/>
              <w:textAlignment w:val="bottom"/>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对于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14:paraId="4E44D6B9">
            <w:pPr>
              <w:autoSpaceDE w:val="0"/>
              <w:autoSpaceDN w:val="0"/>
              <w:snapToGrid w:val="0"/>
              <w:spacing w:line="380" w:lineRule="exact"/>
              <w:textAlignment w:val="bottom"/>
              <w:rPr>
                <w:rFonts w:hint="eastAsia" w:asciiTheme="minorEastAsia" w:hAnsiTheme="minorEastAsia" w:eastAsiaTheme="minorEastAsia" w:cstheme="minorEastAsia"/>
                <w:b/>
                <w:color w:val="auto"/>
                <w:sz w:val="24"/>
                <w:highlight w:val="none"/>
              </w:rPr>
            </w:pPr>
          </w:p>
          <w:p w14:paraId="231E2567">
            <w:pPr>
              <w:autoSpaceDE w:val="0"/>
              <w:autoSpaceDN w:val="0"/>
              <w:snapToGrid w:val="0"/>
              <w:spacing w:line="380" w:lineRule="exact"/>
              <w:textAlignment w:val="bottom"/>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支持残疾人福利性单位：</w:t>
            </w:r>
          </w:p>
          <w:p w14:paraId="4BFE2441">
            <w:pPr>
              <w:autoSpaceDE w:val="0"/>
              <w:autoSpaceDN w:val="0"/>
              <w:snapToGrid w:val="0"/>
              <w:spacing w:line="380" w:lineRule="exact"/>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4DC12C02">
            <w:pPr>
              <w:pStyle w:val="2"/>
              <w:spacing w:after="0" w:line="380" w:lineRule="exact"/>
              <w:ind w:left="0" w:leftChars="0" w:firstLine="480"/>
              <w:rPr>
                <w:rFonts w:hint="eastAsia" w:asciiTheme="minorEastAsia" w:hAnsiTheme="minorEastAsia" w:eastAsiaTheme="minorEastAsia" w:cstheme="minorEastAsia"/>
                <w:color w:val="auto"/>
                <w:sz w:val="24"/>
                <w:highlight w:val="none"/>
              </w:rPr>
            </w:pPr>
          </w:p>
          <w:p w14:paraId="38C5A16B">
            <w:pPr>
              <w:autoSpaceDE w:val="0"/>
              <w:autoSpaceDN w:val="0"/>
              <w:snapToGrid w:val="0"/>
              <w:spacing w:line="380" w:lineRule="exact"/>
              <w:textAlignment w:val="bottom"/>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支持监狱企业：</w:t>
            </w:r>
          </w:p>
          <w:p w14:paraId="4D96347E">
            <w:pPr>
              <w:autoSpaceDE w:val="0"/>
              <w:autoSpaceDN w:val="0"/>
              <w:snapToGrid w:val="0"/>
              <w:spacing w:line="380" w:lineRule="exact"/>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14:paraId="6D58E2BC">
            <w:pPr>
              <w:adjustRightInd w:val="0"/>
              <w:snapToGrid w:val="0"/>
              <w:spacing w:line="38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227E7D22">
            <w:pPr>
              <w:keepNext w:val="0"/>
              <w:keepLines w:val="0"/>
              <w:pageBreakBefore w:val="0"/>
              <w:widowControl/>
              <w:suppressLineNumbers w:val="0"/>
              <w:kinsoku/>
              <w:wordWrap/>
              <w:overflowPunct/>
              <w:topLinePunct w:val="0"/>
              <w:autoSpaceDE/>
              <w:autoSpaceDN/>
              <w:bidi w:val="0"/>
              <w:spacing w:line="30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1.此项目为非专门面向中小企业采购项目，根据</w:t>
            </w:r>
            <w:r>
              <w:rPr>
                <w:rFonts w:hint="eastAsia" w:asciiTheme="minorEastAsia" w:hAnsiTheme="minorEastAsia" w:eastAsiaTheme="minorEastAsia" w:cstheme="minorEastAsia"/>
                <w:color w:val="auto"/>
                <w:sz w:val="24"/>
                <w:highlight w:val="none"/>
              </w:rPr>
              <w:t>《关于印发中小企业划型标准规定的通知》（工信部联企业〔2011〕300号）划分</w:t>
            </w:r>
            <w:r>
              <w:rPr>
                <w:rFonts w:hint="eastAsia" w:asciiTheme="minorEastAsia" w:hAnsiTheme="minorEastAsia" w:eastAsiaTheme="minorEastAsia" w:cstheme="minorEastAsia"/>
                <w:b/>
                <w:color w:val="auto"/>
                <w:sz w:val="24"/>
                <w:highlight w:val="none"/>
              </w:rPr>
              <w:t>属于</w:t>
            </w:r>
            <w:r>
              <w:rPr>
                <w:rFonts w:hint="eastAsia" w:asciiTheme="minorEastAsia" w:hAnsiTheme="minorEastAsia" w:eastAsiaTheme="minorEastAsia" w:cstheme="minorEastAsia"/>
                <w:b/>
                <w:color w:val="auto"/>
                <w:sz w:val="24"/>
                <w:highlight w:val="none"/>
                <w:u w:val="single"/>
                <w:lang w:val="en-US" w:eastAsia="zh-CN"/>
              </w:rPr>
              <w:t xml:space="preserve"> </w:t>
            </w:r>
            <w:r>
              <w:rPr>
                <w:rFonts w:hint="eastAsia" w:ascii="宋体" w:hAnsi="宋体" w:cs="宋体"/>
                <w:b/>
                <w:color w:val="auto"/>
                <w:sz w:val="24"/>
                <w:highlight w:val="none"/>
                <w:u w:val="single"/>
                <w:lang w:eastAsia="zh-CN"/>
              </w:rPr>
              <w:t>餐饮</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行业</w:t>
            </w:r>
            <w:r>
              <w:rPr>
                <w:rFonts w:hint="eastAsia" w:ascii="宋体" w:hAnsi="宋体" w:cs="宋体"/>
                <w:b/>
                <w:color w:val="auto"/>
                <w:sz w:val="24"/>
                <w:highlight w:val="none"/>
                <w:u w:val="single"/>
                <w:lang w:eastAsia="zh-CN"/>
              </w:rPr>
              <w:t>（</w:t>
            </w:r>
            <w:r>
              <w:rPr>
                <w:rFonts w:hint="eastAsia" w:ascii="宋体" w:hAnsi="宋体" w:eastAsia="宋体" w:cs="宋体"/>
                <w:b/>
                <w:color w:val="auto"/>
                <w:sz w:val="24"/>
                <w:highlight w:val="none"/>
                <w:u w:val="single"/>
                <w:lang w:val="en-US"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color w:val="auto"/>
                <w:sz w:val="24"/>
                <w:highlight w:val="none"/>
                <w:u w:val="single"/>
                <w:lang w:eastAsia="zh-CN"/>
              </w:rPr>
              <w:t>）</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中小企业参加本次政府采购活动，应当出具</w:t>
            </w:r>
            <w:r>
              <w:rPr>
                <w:rFonts w:hint="eastAsia" w:asciiTheme="minorEastAsia" w:hAnsiTheme="minorEastAsia" w:eastAsiaTheme="minorEastAsia" w:cstheme="minorEastAsia"/>
                <w:b/>
                <w:color w:val="auto"/>
                <w:sz w:val="24"/>
                <w:highlight w:val="none"/>
              </w:rPr>
              <w:t>《关于印发&lt;政府采购促进中小企业发展管理办法&gt;的通知》(财库〔2020〕46号)规定的《中小企业声明函》</w:t>
            </w:r>
            <w:r>
              <w:rPr>
                <w:rFonts w:hint="eastAsia" w:asciiTheme="minorEastAsia" w:hAnsiTheme="minorEastAsia" w:eastAsiaTheme="minorEastAsia" w:cstheme="minorEastAsia"/>
                <w:color w:val="auto"/>
                <w:sz w:val="24"/>
                <w:highlight w:val="none"/>
              </w:rPr>
              <w:t>，否则不得享受相关中小企业扶持政策。</w:t>
            </w:r>
          </w:p>
          <w:p w14:paraId="1205FCA0">
            <w:pPr>
              <w:snapToGrid w:val="0"/>
              <w:spacing w:line="38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监狱企业、残疾人福利性单位视同小型、微型企业，享受同样的价格扣除。</w:t>
            </w:r>
          </w:p>
          <w:p w14:paraId="0E1163C2">
            <w:pPr>
              <w:spacing w:line="3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sz w:val="24"/>
                <w:highlight w:val="none"/>
              </w:rPr>
              <w:t>监狱企业、残疾人福利性单位属于小型、微型企业的，不重复享受政策。</w:t>
            </w:r>
          </w:p>
        </w:tc>
      </w:tr>
      <w:tr w14:paraId="23B0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4" w:hRule="atLeast"/>
          <w:jc w:val="center"/>
        </w:trPr>
        <w:tc>
          <w:tcPr>
            <w:tcW w:w="430" w:type="pct"/>
            <w:vAlign w:val="center"/>
          </w:tcPr>
          <w:p w14:paraId="340EA7BE">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1078" w:type="pct"/>
            <w:vAlign w:val="center"/>
          </w:tcPr>
          <w:p w14:paraId="3A586BFE">
            <w:pPr>
              <w:adjustRightInd w:val="0"/>
              <w:snapToGrid w:val="0"/>
              <w:spacing w:line="380" w:lineRule="exact"/>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招标代理费</w:t>
            </w:r>
          </w:p>
        </w:tc>
        <w:tc>
          <w:tcPr>
            <w:tcW w:w="3490" w:type="pct"/>
            <w:vAlign w:val="center"/>
          </w:tcPr>
          <w:p w14:paraId="52750788">
            <w:pPr>
              <w:pStyle w:val="26"/>
              <w:spacing w:after="0" w:line="380" w:lineRule="exact"/>
              <w:ind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本项目招标代理服务费</w:t>
            </w:r>
            <w:r>
              <w:rPr>
                <w:rFonts w:hint="eastAsia" w:asciiTheme="minorEastAsia" w:hAnsiTheme="minorEastAsia" w:eastAsiaTheme="minorEastAsia" w:cstheme="minorEastAsia"/>
                <w:b/>
                <w:color w:val="auto"/>
                <w:sz w:val="24"/>
                <w:highlight w:val="none"/>
                <w:lang w:eastAsia="zh-CN"/>
              </w:rPr>
              <w:t>参照</w:t>
            </w:r>
            <w:r>
              <w:rPr>
                <w:rFonts w:hint="eastAsia" w:asciiTheme="minorEastAsia" w:hAnsiTheme="minorEastAsia" w:eastAsiaTheme="minorEastAsia" w:cstheme="minorEastAsia"/>
                <w:b/>
                <w:color w:val="auto"/>
                <w:sz w:val="24"/>
                <w:highlight w:val="none"/>
              </w:rPr>
              <w:t>国家财政部、国家计委、国家物价局（2002）1980号文件规定的标准收费80%计取（标准收费附后，类型为服务招标），费用由成交供应商承担。磋商供应商报价时须综合考虑，由成交供应商在收到成交通知书的同时支付给采购代理机构。</w:t>
            </w:r>
          </w:p>
          <w:p w14:paraId="5066BE59">
            <w:pPr>
              <w:pStyle w:val="26"/>
              <w:spacing w:after="0" w:line="380" w:lineRule="exact"/>
              <w:ind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成交供应商以银行电汇、转账等形式交至：</w:t>
            </w:r>
          </w:p>
          <w:p w14:paraId="119C9C69">
            <w:pPr>
              <w:pStyle w:val="26"/>
              <w:spacing w:after="0" w:line="38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开户银行：中国工商银行股份有限公司浦江广场支行</w:t>
            </w:r>
          </w:p>
          <w:p w14:paraId="76CAC820">
            <w:pPr>
              <w:pStyle w:val="26"/>
              <w:spacing w:after="0" w:line="38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开户名称：浦江县产权交易有限公司</w:t>
            </w:r>
          </w:p>
          <w:p w14:paraId="1F930D88">
            <w:pPr>
              <w:pStyle w:val="26"/>
              <w:spacing w:after="0" w:line="38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帐    号：1208070509000033875</w:t>
            </w:r>
          </w:p>
          <w:p w14:paraId="7FC38688">
            <w:pPr>
              <w:pStyle w:val="26"/>
              <w:spacing w:after="0" w:line="38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注：招标代理费不足2000元的，按2000元计取。</w:t>
            </w:r>
          </w:p>
        </w:tc>
      </w:tr>
      <w:tr w14:paraId="7928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430" w:type="pct"/>
            <w:vAlign w:val="center"/>
          </w:tcPr>
          <w:p w14:paraId="198418FA">
            <w:pPr>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1078" w:type="pct"/>
            <w:vAlign w:val="center"/>
          </w:tcPr>
          <w:p w14:paraId="26AEB019">
            <w:pPr>
              <w:snapToGrid w:val="0"/>
              <w:spacing w:line="3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解释</w:t>
            </w:r>
          </w:p>
        </w:tc>
        <w:tc>
          <w:tcPr>
            <w:tcW w:w="3490" w:type="pct"/>
            <w:vAlign w:val="center"/>
          </w:tcPr>
          <w:p w14:paraId="7A084555">
            <w:pPr>
              <w:snapToGrid w:val="0"/>
              <w:spacing w:line="38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本招标文件的解释权属于招标采购单位。</w:t>
            </w:r>
          </w:p>
        </w:tc>
      </w:tr>
    </w:tbl>
    <w:p w14:paraId="2B32B3C7">
      <w:pPr>
        <w:pStyle w:val="7"/>
        <w:numPr>
          <w:ilvl w:val="1"/>
          <w:numId w:val="1"/>
        </w:numPr>
        <w:tabs>
          <w:tab w:val="left" w:pos="360"/>
        </w:tabs>
        <w:spacing w:before="120" w:beforeLines="50" w:after="120" w:afterLines="50" w:line="360" w:lineRule="auto"/>
        <w:ind w:left="0" w:firstLine="0"/>
        <w:jc w:val="both"/>
        <w:rPr>
          <w:rFonts w:hint="eastAsia" w:ascii="宋体" w:hAnsi="宋体" w:eastAsia="宋体" w:cs="宋体"/>
          <w:b/>
          <w:color w:val="auto"/>
          <w:szCs w:val="28"/>
          <w:highlight w:val="none"/>
        </w:rPr>
      </w:pPr>
      <w:r>
        <w:rPr>
          <w:rFonts w:hint="eastAsia" w:ascii="宋体" w:hAnsi="宋体" w:eastAsia="宋体" w:cs="宋体"/>
          <w:color w:val="auto"/>
          <w:highlight w:val="none"/>
        </w:rPr>
        <w:br w:type="page"/>
      </w:r>
      <w:bookmarkStart w:id="31" w:name="_Toc422065402"/>
      <w:r>
        <w:rPr>
          <w:rFonts w:hint="eastAsia" w:ascii="宋体" w:hAnsi="宋体" w:eastAsia="宋体" w:cs="宋体"/>
          <w:color w:val="auto"/>
          <w:highlight w:val="none"/>
        </w:rPr>
        <w:t xml:space="preserve">                  </w:t>
      </w:r>
      <w:r>
        <w:rPr>
          <w:rFonts w:hint="eastAsia" w:ascii="宋体" w:hAnsi="宋体" w:eastAsia="宋体" w:cs="宋体"/>
          <w:b/>
          <w:color w:val="auto"/>
          <w:szCs w:val="28"/>
          <w:highlight w:val="none"/>
        </w:rPr>
        <w:t xml:space="preserve">      一  总则</w:t>
      </w:r>
      <w:bookmarkEnd w:id="31"/>
    </w:p>
    <w:p w14:paraId="1822DE20">
      <w:pPr>
        <w:spacing w:line="400" w:lineRule="exact"/>
        <w:ind w:firstLine="42"/>
        <w:rPr>
          <w:rFonts w:hint="eastAsia" w:ascii="宋体" w:hAnsi="宋体" w:cs="宋体"/>
          <w:color w:val="auto"/>
          <w:szCs w:val="21"/>
          <w:highlight w:val="none"/>
        </w:rPr>
      </w:pPr>
      <w:bookmarkStart w:id="32" w:name="_Toc8788127"/>
      <w:bookmarkStart w:id="33" w:name="_Toc8787510"/>
      <w:r>
        <w:rPr>
          <w:rFonts w:hint="eastAsia" w:ascii="宋体" w:hAnsi="宋体" w:cs="宋体"/>
          <w:b/>
          <w:color w:val="auto"/>
          <w:szCs w:val="21"/>
          <w:highlight w:val="none"/>
        </w:rPr>
        <w:t>1、适用范围</w:t>
      </w:r>
    </w:p>
    <w:p w14:paraId="35AE8FC8">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1.1本磋商文件适用于本次采购活动中所叙述的</w:t>
      </w:r>
      <w:r>
        <w:rPr>
          <w:rFonts w:hint="eastAsia" w:ascii="宋体" w:hAnsi="宋体" w:cs="宋体"/>
          <w:color w:val="auto"/>
          <w:szCs w:val="21"/>
          <w:highlight w:val="none"/>
          <w:lang w:eastAsia="zh-CN"/>
        </w:rPr>
        <w:t>浦江县诗画里幸福产业有限公司民国楼饮食保障服务项目</w:t>
      </w:r>
      <w:r>
        <w:rPr>
          <w:rFonts w:hint="eastAsia" w:ascii="宋体" w:hAnsi="宋体" w:cs="宋体"/>
          <w:color w:val="auto"/>
          <w:szCs w:val="21"/>
          <w:highlight w:val="none"/>
        </w:rPr>
        <w:t>。</w:t>
      </w:r>
    </w:p>
    <w:p w14:paraId="0E7D4C28">
      <w:pPr>
        <w:spacing w:line="400" w:lineRule="exact"/>
        <w:ind w:firstLine="42"/>
        <w:rPr>
          <w:rFonts w:hint="eastAsia" w:ascii="宋体" w:hAnsi="宋体" w:cs="宋体"/>
          <w:b/>
          <w:bCs/>
          <w:color w:val="auto"/>
          <w:szCs w:val="21"/>
          <w:highlight w:val="none"/>
        </w:rPr>
      </w:pPr>
      <w:r>
        <w:rPr>
          <w:rFonts w:hint="eastAsia" w:ascii="宋体" w:hAnsi="宋体" w:cs="宋体"/>
          <w:b/>
          <w:bCs/>
          <w:color w:val="auto"/>
          <w:szCs w:val="21"/>
          <w:highlight w:val="none"/>
        </w:rPr>
        <w:t>2、定义解释</w:t>
      </w:r>
    </w:p>
    <w:p w14:paraId="7B1B6DF9">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2.1“采购代理机构”是指浦江县产权交易有限公司。</w:t>
      </w:r>
    </w:p>
    <w:p w14:paraId="44921B29">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2.2“采购人”是指</w:t>
      </w:r>
      <w:r>
        <w:rPr>
          <w:rFonts w:hint="eastAsia" w:ascii="宋体" w:hAnsi="宋体" w:cs="宋体"/>
          <w:color w:val="auto"/>
          <w:szCs w:val="21"/>
          <w:highlight w:val="none"/>
          <w:lang w:eastAsia="zh-CN"/>
        </w:rPr>
        <w:t>浦江县诗画里幸福产业有限公司</w:t>
      </w:r>
      <w:r>
        <w:rPr>
          <w:rFonts w:hint="eastAsia" w:ascii="宋体" w:hAnsi="宋体" w:cs="宋体"/>
          <w:color w:val="auto"/>
          <w:szCs w:val="21"/>
          <w:highlight w:val="none"/>
        </w:rPr>
        <w:t>。</w:t>
      </w:r>
    </w:p>
    <w:p w14:paraId="0F68D381">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2.3“采购项目”是指本磋商文件所要求的</w:t>
      </w:r>
      <w:r>
        <w:rPr>
          <w:rFonts w:hint="eastAsia" w:ascii="宋体" w:hAnsi="宋体" w:cs="宋体"/>
          <w:color w:val="auto"/>
          <w:szCs w:val="21"/>
          <w:highlight w:val="none"/>
          <w:lang w:eastAsia="zh-CN"/>
        </w:rPr>
        <w:t>浦江县诗画里幸福产业有限公司民国楼饮食保障服务项目</w:t>
      </w:r>
      <w:r>
        <w:rPr>
          <w:rFonts w:hint="eastAsia" w:ascii="宋体" w:hAnsi="宋体" w:cs="宋体"/>
          <w:color w:val="auto"/>
          <w:szCs w:val="21"/>
          <w:highlight w:val="none"/>
        </w:rPr>
        <w:t>。</w:t>
      </w:r>
    </w:p>
    <w:p w14:paraId="5E88F382">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2.4“磋商供应商”是指获得磋商文件并向采购代理机构提交响应文件的磋商供应商。</w:t>
      </w:r>
    </w:p>
    <w:p w14:paraId="2B271879">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2.5“潜在磋商供应商”是指符合磋商文件规定的磋商供应商。</w:t>
      </w:r>
    </w:p>
    <w:p w14:paraId="749F625A">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2.6 “成交供应商”是指经磋商小组审查通过，并经公示无异议的磋商供应商。</w:t>
      </w:r>
    </w:p>
    <w:p w14:paraId="6C0932F8">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2.7“磋商供应商代表”是指磋商供应商法定代表人或磋商供应商法定代表人授权委托的人。</w:t>
      </w:r>
    </w:p>
    <w:p w14:paraId="52104DB7">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2.8“产品（货物）”是指按采购文件要求配置的一切设备、机械、仪器仪表、备品备件、工具、手册及其它有关技术资料和文字材料；</w:t>
      </w:r>
    </w:p>
    <w:p w14:paraId="051C767A">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2.9“服务”是指采购文件或合同规定投标人须承担的服务以及其他类似的义务；</w:t>
      </w:r>
    </w:p>
    <w:p w14:paraId="543BF43E">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2.10“书面形式”包括纸质文件、电子邮件、信函、传真等。</w:t>
      </w:r>
    </w:p>
    <w:p w14:paraId="7D9A2662">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2.11实质性响应：是指响应文件相关内容符合招标（采购）文件规定的实质性内容、条款和规定。</w:t>
      </w:r>
    </w:p>
    <w:p w14:paraId="419697CB">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2.12采购文件中所有标示“▲”的均为采购人提出的实质性条款，如未实质性响应的，将按无效投标处理。</w:t>
      </w:r>
    </w:p>
    <w:p w14:paraId="764EE7ED">
      <w:pPr>
        <w:spacing w:line="400" w:lineRule="exact"/>
        <w:ind w:firstLine="42"/>
        <w:rPr>
          <w:rFonts w:hint="eastAsia" w:ascii="宋体" w:hAnsi="宋体" w:cs="宋体"/>
          <w:b/>
          <w:color w:val="auto"/>
          <w:szCs w:val="21"/>
          <w:highlight w:val="none"/>
        </w:rPr>
      </w:pPr>
      <w:r>
        <w:rPr>
          <w:rFonts w:hint="eastAsia" w:ascii="宋体" w:hAnsi="宋体" w:cs="宋体"/>
          <w:b/>
          <w:color w:val="auto"/>
          <w:szCs w:val="21"/>
          <w:highlight w:val="none"/>
        </w:rPr>
        <w:t>3、项目说明</w:t>
      </w:r>
    </w:p>
    <w:p w14:paraId="6D5D2C6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45E96A04">
      <w:pPr>
        <w:spacing w:line="400" w:lineRule="exact"/>
        <w:ind w:firstLine="42"/>
        <w:rPr>
          <w:rFonts w:hint="eastAsia" w:ascii="宋体" w:hAnsi="宋体" w:cs="宋体"/>
          <w:color w:val="auto"/>
          <w:szCs w:val="21"/>
          <w:highlight w:val="none"/>
        </w:rPr>
      </w:pPr>
      <w:r>
        <w:rPr>
          <w:rFonts w:hint="eastAsia" w:ascii="宋体" w:hAnsi="宋体" w:cs="宋体"/>
          <w:b/>
          <w:color w:val="auto"/>
          <w:szCs w:val="21"/>
          <w:highlight w:val="none"/>
        </w:rPr>
        <w:t>4、合格磋商供应商的条件</w:t>
      </w:r>
    </w:p>
    <w:p w14:paraId="0E2C3866">
      <w:pPr>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4.1凡符合本磋商文件第</w:t>
      </w:r>
      <w:r>
        <w:rPr>
          <w:rFonts w:hint="eastAsia" w:ascii="宋体" w:hAnsi="宋体" w:cs="宋体"/>
          <w:bCs/>
          <w:color w:val="auto"/>
          <w:szCs w:val="21"/>
          <w:highlight w:val="none"/>
        </w:rPr>
        <w:t>一章竞争性磋商公告磋商供应商资格要求的均为合格的磋商供应商。</w:t>
      </w:r>
    </w:p>
    <w:p w14:paraId="34F5D71C">
      <w:pPr>
        <w:spacing w:line="400" w:lineRule="exact"/>
        <w:ind w:firstLine="42"/>
        <w:rPr>
          <w:rFonts w:hint="eastAsia" w:ascii="宋体" w:hAnsi="宋体" w:cs="宋体"/>
          <w:b/>
          <w:color w:val="auto"/>
          <w:szCs w:val="21"/>
          <w:highlight w:val="none"/>
        </w:rPr>
      </w:pPr>
      <w:r>
        <w:rPr>
          <w:rFonts w:hint="eastAsia" w:ascii="宋体" w:hAnsi="宋体" w:cs="宋体"/>
          <w:b/>
          <w:color w:val="auto"/>
          <w:szCs w:val="21"/>
          <w:highlight w:val="none"/>
        </w:rPr>
        <w:t>5、竞争性磋商的费用</w:t>
      </w:r>
    </w:p>
    <w:p w14:paraId="5B3C0BF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5.1磋商供应商应承担参加本次投标有关的全部费用，无论结果如何，采购人和采购代理机构在任何情况下均无义务和责任承担这些费用。</w:t>
      </w:r>
    </w:p>
    <w:p w14:paraId="69E80B0D">
      <w:pPr>
        <w:spacing w:line="400" w:lineRule="exact"/>
        <w:ind w:firstLine="422" w:firstLineChars="200"/>
        <w:jc w:val="left"/>
        <w:rPr>
          <w:rFonts w:hint="eastAsia" w:ascii="宋体" w:hAnsi="宋体" w:cs="宋体"/>
          <w:b/>
          <w:bCs/>
          <w:color w:val="auto"/>
          <w:szCs w:val="21"/>
          <w:highlight w:val="none"/>
        </w:rPr>
      </w:pPr>
      <w:bookmarkStart w:id="34" w:name="_Toc245722280"/>
      <w:bookmarkStart w:id="35" w:name="_Toc249758863"/>
      <w:bookmarkStart w:id="36" w:name="_Toc239145353"/>
      <w:bookmarkStart w:id="37" w:name="_Toc410031815"/>
      <w:bookmarkStart w:id="38" w:name="_Toc249758711"/>
      <w:bookmarkStart w:id="39" w:name="_Toc221356950"/>
      <w:bookmarkStart w:id="40" w:name="_Toc221356885"/>
      <w:bookmarkStart w:id="41" w:name="_Toc262049417"/>
      <w:bookmarkStart w:id="42" w:name="_Toc223715997"/>
      <w:bookmarkStart w:id="43" w:name="_Toc222114878"/>
      <w:bookmarkStart w:id="44" w:name="_Toc246261264"/>
      <w:bookmarkStart w:id="45" w:name="_Toc262105502"/>
      <w:bookmarkStart w:id="46" w:name="_Toc221374625"/>
      <w:bookmarkStart w:id="47" w:name="_Toc241404201"/>
      <w:bookmarkStart w:id="48" w:name="_Toc245191313"/>
      <w:bookmarkStart w:id="49" w:name="_Toc221423618"/>
      <w:r>
        <w:rPr>
          <w:rFonts w:hint="eastAsia" w:ascii="宋体" w:hAnsi="宋体" w:cs="宋体"/>
          <w:b/>
          <w:bCs/>
          <w:color w:val="auto"/>
          <w:szCs w:val="21"/>
          <w:highlight w:val="none"/>
        </w:rPr>
        <w:t>6、特别说明</w:t>
      </w:r>
    </w:p>
    <w:p w14:paraId="5DF2E16C">
      <w:pPr>
        <w:pStyle w:val="207"/>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6.1供应商投标所使用的资格、信誉、荣誉、业绩与企业认证必须为本企业所拥有。供应商投标所使用的采购项目实施人员可以为其控股公司的工作人员。</w:t>
      </w:r>
    </w:p>
    <w:p w14:paraId="26BA111E">
      <w:pPr>
        <w:pStyle w:val="207"/>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供应商在投标活动中提供任何虚假材料或从事其他违法活动的,其投标无效，并报监管部门查处；成交后发现的,成交供应商须依照《中华人民共和国消费者权益保护法》第49条之规定双倍赔偿采购单位。且民事赔偿并不免除违法供应商的行政与刑事责任。</w:t>
      </w:r>
    </w:p>
    <w:p w14:paraId="60E0B1FF">
      <w:pPr>
        <w:pStyle w:val="207"/>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6.3供应商应仔细阅读竞争性磋商响应文件的所有内容，按照竞争性磋商响应文件的要求提交响应文件。响应文件应对竞争性磋商响应文件的要求作出实质性响应，并对所提供的全部资料的真实性承担法律责任。</w:t>
      </w:r>
    </w:p>
    <w:p w14:paraId="594763F4">
      <w:pPr>
        <w:pStyle w:val="7"/>
        <w:spacing w:before="120" w:beforeLines="50" w:after="120" w:afterLines="50"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二、磋商文件</w:t>
      </w:r>
    </w:p>
    <w:p w14:paraId="1D2CB86B">
      <w:pPr>
        <w:pStyle w:val="8"/>
        <w:spacing w:before="0" w:after="0" w:line="40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1、磋商文件的组成</w:t>
      </w:r>
    </w:p>
    <w:p w14:paraId="04F84DB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1.1磋商文件共分为6部分，其内容如下：</w:t>
      </w:r>
    </w:p>
    <w:p w14:paraId="233EE4B0">
      <w:pPr>
        <w:spacing w:line="400" w:lineRule="exact"/>
        <w:ind w:firstLine="42"/>
        <w:rPr>
          <w:rFonts w:hint="eastAsia" w:ascii="宋体" w:hAnsi="宋体" w:cs="宋体"/>
          <w:color w:val="auto"/>
          <w:szCs w:val="21"/>
          <w:highlight w:val="none"/>
        </w:rPr>
      </w:pPr>
      <w:r>
        <w:rPr>
          <w:rFonts w:hint="eastAsia" w:ascii="宋体" w:hAnsi="宋体" w:cs="宋体"/>
          <w:color w:val="auto"/>
          <w:szCs w:val="21"/>
          <w:highlight w:val="none"/>
        </w:rPr>
        <w:t xml:space="preserve">    第一章  竞争性磋商公告</w:t>
      </w:r>
    </w:p>
    <w:p w14:paraId="6414CE19">
      <w:pPr>
        <w:spacing w:line="400" w:lineRule="exact"/>
        <w:ind w:firstLine="42"/>
        <w:rPr>
          <w:rFonts w:hint="eastAsia" w:ascii="宋体" w:hAnsi="宋体" w:cs="宋体"/>
          <w:color w:val="auto"/>
          <w:szCs w:val="21"/>
          <w:highlight w:val="none"/>
        </w:rPr>
      </w:pPr>
      <w:r>
        <w:rPr>
          <w:rFonts w:hint="eastAsia" w:ascii="宋体" w:hAnsi="宋体" w:cs="宋体"/>
          <w:color w:val="auto"/>
          <w:szCs w:val="21"/>
          <w:highlight w:val="none"/>
        </w:rPr>
        <w:t xml:space="preserve">    第二章  磋商供应商须知</w:t>
      </w:r>
    </w:p>
    <w:p w14:paraId="02586A20">
      <w:pPr>
        <w:spacing w:line="400" w:lineRule="exact"/>
        <w:ind w:firstLine="42"/>
        <w:rPr>
          <w:rFonts w:hint="eastAsia" w:ascii="宋体" w:hAnsi="宋体" w:cs="宋体"/>
          <w:color w:val="auto"/>
          <w:szCs w:val="21"/>
          <w:highlight w:val="none"/>
        </w:rPr>
      </w:pPr>
      <w:r>
        <w:rPr>
          <w:rFonts w:hint="eastAsia" w:ascii="宋体" w:hAnsi="宋体" w:cs="宋体"/>
          <w:color w:val="auto"/>
          <w:szCs w:val="21"/>
          <w:highlight w:val="none"/>
        </w:rPr>
        <w:t xml:space="preserve">    第三章  采购需求</w:t>
      </w:r>
    </w:p>
    <w:p w14:paraId="310A1BE7">
      <w:pPr>
        <w:spacing w:line="400" w:lineRule="exact"/>
        <w:ind w:firstLine="42"/>
        <w:rPr>
          <w:rFonts w:hint="eastAsia" w:ascii="宋体" w:hAnsi="宋体" w:cs="宋体"/>
          <w:color w:val="auto"/>
          <w:szCs w:val="21"/>
          <w:highlight w:val="none"/>
        </w:rPr>
      </w:pPr>
      <w:r>
        <w:rPr>
          <w:rFonts w:hint="eastAsia" w:ascii="宋体" w:hAnsi="宋体" w:cs="宋体"/>
          <w:color w:val="auto"/>
          <w:szCs w:val="21"/>
          <w:highlight w:val="none"/>
        </w:rPr>
        <w:t xml:space="preserve">    第四章  合同条款</w:t>
      </w:r>
    </w:p>
    <w:p w14:paraId="29819948">
      <w:pPr>
        <w:spacing w:line="400" w:lineRule="exact"/>
        <w:ind w:firstLine="42"/>
        <w:rPr>
          <w:rFonts w:hint="eastAsia" w:ascii="宋体" w:hAnsi="宋体" w:cs="宋体"/>
          <w:color w:val="auto"/>
          <w:szCs w:val="21"/>
          <w:highlight w:val="none"/>
        </w:rPr>
      </w:pPr>
      <w:r>
        <w:rPr>
          <w:rFonts w:hint="eastAsia" w:ascii="宋体" w:hAnsi="宋体" w:cs="宋体"/>
          <w:color w:val="auto"/>
          <w:szCs w:val="21"/>
          <w:highlight w:val="none"/>
        </w:rPr>
        <w:t xml:space="preserve">    第五章  磋商办法及评分标准</w:t>
      </w:r>
    </w:p>
    <w:p w14:paraId="42A502A4">
      <w:pPr>
        <w:spacing w:line="40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第六章  响应文件格式</w:t>
      </w:r>
    </w:p>
    <w:p w14:paraId="23491FB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1.2除上条1.1内容外，采购人、采购代理机构在规定时间前，以书面形式发出的对磋商文件的澄清或修改内容，均为磋商文件的组成部分。</w:t>
      </w:r>
    </w:p>
    <w:p w14:paraId="2E1F51C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2094C59B">
      <w:pPr>
        <w:spacing w:line="400" w:lineRule="exact"/>
        <w:ind w:firstLine="42"/>
        <w:rPr>
          <w:rFonts w:hint="eastAsia" w:ascii="宋体" w:hAnsi="宋体" w:cs="宋体"/>
          <w:b/>
          <w:color w:val="auto"/>
          <w:szCs w:val="21"/>
          <w:highlight w:val="none"/>
        </w:rPr>
      </w:pPr>
      <w:r>
        <w:rPr>
          <w:rFonts w:hint="eastAsia" w:ascii="宋体" w:hAnsi="宋体" w:cs="宋体"/>
          <w:b/>
          <w:color w:val="auto"/>
          <w:szCs w:val="21"/>
          <w:highlight w:val="none"/>
        </w:rPr>
        <w:t>2、磋商文件的澄清与修改</w:t>
      </w:r>
    </w:p>
    <w:p w14:paraId="11E2ADA4">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2.1</w:t>
      </w:r>
      <w:r>
        <w:rPr>
          <w:rFonts w:hint="eastAsia" w:hAnsi="宋体" w:cs="宋体"/>
          <w:bCs/>
          <w:color w:val="auto"/>
          <w:sz w:val="21"/>
          <w:szCs w:val="21"/>
          <w:highlight w:val="none"/>
        </w:rPr>
        <w:t>磋商供应商应认真阅读本磋商文件，发现其中有误或有不合理要求的，磋商供应商必须在前附表规定的时间内以书面形式要求招标采购人澄清</w:t>
      </w:r>
      <w:r>
        <w:rPr>
          <w:rFonts w:hint="eastAsia" w:hAnsi="宋体" w:cs="宋体"/>
          <w:color w:val="auto"/>
          <w:sz w:val="21"/>
          <w:szCs w:val="21"/>
          <w:highlight w:val="none"/>
        </w:rPr>
        <w:t>。采购代理机构对已发出的磋商文件进行必要澄清、答复、修改或补充的，应当在提交首次响应文件截止时间至少5日前，在指定的采购信息发布媒体上发布更正公告，并以书面形式通知所有获取磋商文件的供应商。</w:t>
      </w:r>
    </w:p>
    <w:p w14:paraId="1F7DD438">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004816D0">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2.3磋商文件澄清、答复、修改、补充的内容为磋商文件的组成部分。当磋商文件与磋商文件的答复、澄清、修改、补充通知就同一内容的表述不一致时，以最后发出的书面文件为准。</w:t>
      </w:r>
    </w:p>
    <w:p w14:paraId="44E1EB8F">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2.4磋商文件的澄清、答复、修改或补充都应该通过本代理机构以法定形式发布，采购人非通过本机构，不得擅自澄清、答复、修改或补充磋商文件。</w:t>
      </w:r>
    </w:p>
    <w:p w14:paraId="3B101C66">
      <w:pPr>
        <w:pStyle w:val="7"/>
        <w:spacing w:before="120" w:beforeLines="50" w:after="120" w:afterLines="50"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三、响应文件</w:t>
      </w:r>
    </w:p>
    <w:p w14:paraId="741AE953">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1、响应文件的语言及度量衡单位</w:t>
      </w:r>
    </w:p>
    <w:p w14:paraId="006BA9E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1.1除采购货物有关专用名称外，响应文件和与投标有关的所有文件说明均应使用中文。</w:t>
      </w:r>
    </w:p>
    <w:p w14:paraId="064A66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1.2除采购项目规范另有规定外，响应文件使用的度量衡单位，均采用中华人民共和国法定计量单位。</w:t>
      </w:r>
    </w:p>
    <w:p w14:paraId="7266E429">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2、响应文件的组成</w:t>
      </w:r>
    </w:p>
    <w:p w14:paraId="2074F702">
      <w:pPr>
        <w:spacing w:line="400" w:lineRule="exact"/>
        <w:ind w:firstLine="42"/>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2.1响应文件由资格审查资料、技术资信文件、报价文件三部分组成。</w:t>
      </w:r>
    </w:p>
    <w:p w14:paraId="3DA4A64D">
      <w:pPr>
        <w:spacing w:line="400" w:lineRule="exact"/>
        <w:ind w:firstLine="4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2.1.1资格审查资料</w:t>
      </w:r>
    </w:p>
    <w:p w14:paraId="776A2F03">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（1）具有独立承担民事责任能力的说明材料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投标人须在投标文件中出具符合以下情况的说明材料复印件（五选一）：</w:t>
      </w:r>
    </w:p>
    <w:p w14:paraId="3C59411E">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①如投标人是企业（包括合伙企业），提供在工商部门注册的有效“企业法人营业执照”或“营业</w:t>
      </w:r>
    </w:p>
    <w:p w14:paraId="42517E22">
      <w:pPr>
        <w:tabs>
          <w:tab w:val="left" w:pos="720"/>
          <w:tab w:val="left" w:pos="5355"/>
        </w:tabs>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执照”；</w:t>
      </w:r>
    </w:p>
    <w:p w14:paraId="26A5CD46">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②如投标人是事业单位，提供有效的“事业单位法人证书”；</w:t>
      </w:r>
    </w:p>
    <w:p w14:paraId="610CF538">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③如投标人是非企业专业服务机构的，提供执业许可证等说明文件；</w:t>
      </w:r>
    </w:p>
    <w:p w14:paraId="6F9AAACB">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④如投标人是个体工商户，提供有效的“个体工商户营业执照”；</w:t>
      </w:r>
    </w:p>
    <w:p w14:paraId="2B9C24AF">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⑤如投标人是自然人，提供有效的自然人身份说明（居民身份证正反面或公安机关出具的临时居民</w:t>
      </w:r>
    </w:p>
    <w:p w14:paraId="60D54CB3">
      <w:pPr>
        <w:tabs>
          <w:tab w:val="left" w:pos="720"/>
          <w:tab w:val="left" w:pos="5355"/>
        </w:tabs>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身份证正反面或港澳台胞证或护照）。</w:t>
      </w:r>
    </w:p>
    <w:p w14:paraId="63E23234">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金融、保险、通讯等特定行业的全国性企业所设立的区域性分支机构，以及个体工商户、个人独资</w:t>
      </w:r>
    </w:p>
    <w:p w14:paraId="1B239B61">
      <w:pPr>
        <w:tabs>
          <w:tab w:val="left" w:pos="720"/>
          <w:tab w:val="left" w:pos="5355"/>
        </w:tabs>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采购活动，由单位负责人签署相关文件材料。</w:t>
      </w:r>
    </w:p>
    <w:p w14:paraId="6C4842A9">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（2）法定代表人身份证明【格式见附件】（法定代表人参加开标时提供）或法定代表人授权委托书【格式见附件】（委托人参加开标时提供）；</w:t>
      </w:r>
    </w:p>
    <w:p w14:paraId="6FA90D91">
      <w:pPr>
        <w:tabs>
          <w:tab w:val="left" w:pos="720"/>
          <w:tab w:val="left" w:pos="5355"/>
        </w:tabs>
        <w:spacing w:line="400" w:lineRule="exact"/>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）资格承诺函</w:t>
      </w:r>
      <w:r>
        <w:rPr>
          <w:rFonts w:hint="eastAsia" w:asciiTheme="minorEastAsia" w:hAnsiTheme="minorEastAsia" w:eastAsiaTheme="minorEastAsia" w:cstheme="minorEastAsia"/>
          <w:b w:val="0"/>
          <w:bCs w:val="0"/>
          <w:color w:val="auto"/>
          <w:szCs w:val="21"/>
          <w:highlight w:val="none"/>
        </w:rPr>
        <w:t>；</w:t>
      </w:r>
    </w:p>
    <w:p w14:paraId="689D5745">
      <w:pPr>
        <w:tabs>
          <w:tab w:val="left" w:pos="720"/>
          <w:tab w:val="left" w:pos="5355"/>
        </w:tabs>
        <w:spacing w:line="400" w:lineRule="exact"/>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4）食品经营许可证</w:t>
      </w:r>
      <w:r>
        <w:rPr>
          <w:rFonts w:hint="eastAsia" w:asciiTheme="minorEastAsia" w:hAnsiTheme="minorEastAsia" w:eastAsiaTheme="minorEastAsia" w:cstheme="minorEastAsia"/>
          <w:color w:val="auto"/>
          <w:szCs w:val="21"/>
          <w:highlight w:val="none"/>
          <w:lang w:eastAsia="zh-CN"/>
        </w:rPr>
        <w:t>复印件；</w:t>
      </w:r>
    </w:p>
    <w:p w14:paraId="07B32A4E">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）供应商认为有必要提供的其他文件和说明。</w:t>
      </w:r>
    </w:p>
    <w:p w14:paraId="5533BE75">
      <w:pPr>
        <w:tabs>
          <w:tab w:val="left" w:pos="720"/>
          <w:tab w:val="left" w:pos="5355"/>
        </w:tabs>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注：响应文件中应包含资格审查资料组成的所有内容。供应商提供的资格审查资料不完整的，则资格审查不予通过。</w:t>
      </w:r>
    </w:p>
    <w:p w14:paraId="7721D567">
      <w:pPr>
        <w:spacing w:line="400" w:lineRule="exact"/>
        <w:ind w:firstLine="4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2.2.2技术资信文件（请附“供应商自评表”【格式自拟】，以便评审）：</w:t>
      </w:r>
    </w:p>
    <w:p w14:paraId="5860E9BE">
      <w:pPr>
        <w:spacing w:line="400" w:lineRule="exact"/>
        <w:ind w:firstLine="211"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（1）资信部分</w:t>
      </w:r>
    </w:p>
    <w:p w14:paraId="52B7EC7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1）投标声明书【格式见附件】；</w:t>
      </w:r>
    </w:p>
    <w:p w14:paraId="5140C703">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2）磋商供应商基本情况表【格式见附件】；</w:t>
      </w:r>
    </w:p>
    <w:p w14:paraId="0A42879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3）类似项目业绩一览表【格式见附件】；</w:t>
      </w:r>
    </w:p>
    <w:p w14:paraId="2A2E527E">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4）供应商认为有必要提供的其他文件和说明（格式自拟）。</w:t>
      </w:r>
    </w:p>
    <w:p w14:paraId="172A0BDB">
      <w:pPr>
        <w:spacing w:line="400" w:lineRule="exact"/>
        <w:ind w:firstLine="211" w:firstLineChars="1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（2）技术部分</w:t>
      </w:r>
    </w:p>
    <w:p w14:paraId="1C1BF89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1）偏离表【格式见附件】；</w:t>
      </w:r>
    </w:p>
    <w:p w14:paraId="6B40D2F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）相关业绩合同</w:t>
      </w:r>
      <w:r>
        <w:rPr>
          <w:rFonts w:hint="eastAsia" w:asciiTheme="minorEastAsia" w:hAnsiTheme="minorEastAsia" w:eastAsiaTheme="minorEastAsia" w:cstheme="minorEastAsia"/>
          <w:color w:val="auto"/>
          <w:szCs w:val="21"/>
          <w:highlight w:val="none"/>
          <w:lang w:eastAsia="zh-CN"/>
        </w:rPr>
        <w:t>等扫描件</w:t>
      </w:r>
      <w:r>
        <w:rPr>
          <w:rFonts w:hint="eastAsia" w:asciiTheme="minorEastAsia" w:hAnsiTheme="minorEastAsia" w:eastAsiaTheme="minorEastAsia" w:cstheme="minorEastAsia"/>
          <w:color w:val="auto"/>
          <w:szCs w:val="21"/>
          <w:highlight w:val="none"/>
        </w:rPr>
        <w:t>；</w:t>
      </w:r>
    </w:p>
    <w:p w14:paraId="629EFF91">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）获奖情况；</w:t>
      </w:r>
    </w:p>
    <w:p w14:paraId="087B0CE2">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项目负责人情况表（格式附后，表后附劳动合同及相关证书扫描件等）；</w:t>
      </w:r>
    </w:p>
    <w:p w14:paraId="1027559D">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eastAsia="zh-CN"/>
        </w:rPr>
        <w:t>拟配备的项目组成员组成表（格式见附件</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eastAsia="zh-CN"/>
        </w:rPr>
        <w:t>；</w:t>
      </w:r>
    </w:p>
    <w:p w14:paraId="41529707">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eastAsia="zh-CN"/>
        </w:rPr>
        <w:t>）服务</w:t>
      </w:r>
      <w:r>
        <w:rPr>
          <w:rFonts w:hint="eastAsia" w:asciiTheme="minorEastAsia" w:hAnsiTheme="minorEastAsia" w:eastAsiaTheme="minorEastAsia" w:cstheme="minorEastAsia"/>
          <w:color w:val="auto"/>
          <w:szCs w:val="21"/>
          <w:highlight w:val="none"/>
        </w:rPr>
        <w:t>方案</w:t>
      </w:r>
      <w:r>
        <w:rPr>
          <w:rFonts w:hint="eastAsia" w:asciiTheme="minorEastAsia" w:hAnsiTheme="minorEastAsia" w:eastAsiaTheme="minorEastAsia" w:cstheme="minorEastAsia"/>
          <w:color w:val="auto"/>
          <w:szCs w:val="21"/>
          <w:highlight w:val="none"/>
          <w:lang w:eastAsia="zh-CN"/>
        </w:rPr>
        <w:t>；</w:t>
      </w:r>
    </w:p>
    <w:p w14:paraId="70AA66C9">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）服务质量保障措施；</w:t>
      </w:r>
    </w:p>
    <w:p w14:paraId="48779BD4">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）食品安全卫生保障方案；</w:t>
      </w:r>
    </w:p>
    <w:p w14:paraId="206538C6">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）岗位操作规程；</w:t>
      </w:r>
    </w:p>
    <w:p w14:paraId="7A05B32D">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）管理方案；</w:t>
      </w:r>
    </w:p>
    <w:p w14:paraId="12B32CBE">
      <w:pPr>
        <w:spacing w:line="400" w:lineRule="exact"/>
        <w:ind w:firstLine="42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lang w:eastAsia="zh-CN"/>
        </w:rPr>
        <w:t>）应急预案；</w:t>
      </w:r>
    </w:p>
    <w:p w14:paraId="57114352">
      <w:pPr>
        <w:spacing w:line="400" w:lineRule="exact"/>
        <w:ind w:firstLine="42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合理化建议</w:t>
      </w:r>
    </w:p>
    <w:p w14:paraId="738C0A6B">
      <w:pPr>
        <w:spacing w:line="400" w:lineRule="exact"/>
        <w:ind w:firstLine="42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en-US" w:eastAsia="zh-CN"/>
        </w:rPr>
        <w:t>13</w:t>
      </w:r>
      <w:r>
        <w:rPr>
          <w:rFonts w:hint="eastAsia" w:asciiTheme="minorEastAsia" w:hAnsiTheme="minorEastAsia" w:eastAsiaTheme="minorEastAsia" w:cstheme="minorEastAsia"/>
          <w:color w:val="auto"/>
          <w:szCs w:val="21"/>
          <w:highlight w:val="none"/>
        </w:rPr>
        <w:t>）供应商认为有必要提供的其他文件和说明（格式自拟）。</w:t>
      </w:r>
    </w:p>
    <w:p w14:paraId="5D89A589">
      <w:pPr>
        <w:tabs>
          <w:tab w:val="left" w:pos="720"/>
          <w:tab w:val="left" w:pos="5355"/>
        </w:tabs>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2.2.3报价文件：</w:t>
      </w:r>
    </w:p>
    <w:p w14:paraId="4242FB0B">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▲（1）开标一览表【格式见附件】；</w:t>
      </w:r>
    </w:p>
    <w:p w14:paraId="1B405B3C">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▲（2）磋商报价明细表【格式见附件】；</w:t>
      </w:r>
    </w:p>
    <w:p w14:paraId="40C5FF3E">
      <w:pPr>
        <w:tabs>
          <w:tab w:val="left" w:pos="720"/>
          <w:tab w:val="left" w:pos="5355"/>
        </w:tabs>
        <w:spacing w:line="400" w:lineRule="exact"/>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▲（3）享受小微企业（含监狱企业、残疾人福利性企业）价格扶持政策的证明材料</w:t>
      </w:r>
      <w:r>
        <w:rPr>
          <w:rFonts w:hint="eastAsia" w:asciiTheme="minorEastAsia" w:hAnsiTheme="minorEastAsia" w:eastAsiaTheme="minorEastAsia" w:cstheme="minorEastAsia"/>
          <w:b/>
          <w:bCs/>
          <w:color w:val="auto"/>
          <w:szCs w:val="21"/>
          <w:highlight w:val="none"/>
        </w:rPr>
        <w:t>（详见“政府采购扶持政策说明”，非小微企业、监狱企业、残疾人福利性企业的，无需提供）</w:t>
      </w:r>
    </w:p>
    <w:p w14:paraId="272AC553">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▲（4）最终报价表【格式见附件】；</w:t>
      </w:r>
      <w:r>
        <w:rPr>
          <w:rFonts w:hint="eastAsia" w:asciiTheme="minorEastAsia" w:hAnsiTheme="minorEastAsia" w:eastAsiaTheme="minorEastAsia" w:cstheme="minorEastAsia"/>
          <w:b/>
          <w:bCs/>
          <w:color w:val="auto"/>
          <w:szCs w:val="21"/>
          <w:highlight w:val="none"/>
        </w:rPr>
        <w:t>（此表无需在制作竞争性磋商响应文件时填写及装订在报价文件中，但供应商须提前打印并签字加盖公章，作为磋商过程后最终报价时现场填写。此表填写后需单独装入信封在规定时间递交工作人员）</w:t>
      </w:r>
    </w:p>
    <w:p w14:paraId="7B058E5A">
      <w:pPr>
        <w:tabs>
          <w:tab w:val="left" w:pos="720"/>
          <w:tab w:val="left" w:pos="5355"/>
        </w:tabs>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5）磋商供应商针对报价需要说明的其他文件和资料（格式自拟）。</w:t>
      </w:r>
    </w:p>
    <w:p w14:paraId="1FF4B000">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3、响应文件的编制格式及说明</w:t>
      </w:r>
    </w:p>
    <w:p w14:paraId="72E2421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3.1响应文件应包括规定的内容，磋商供应商提交的响应文件应当使用磋商文件所提供的响应文件全部格式（格式可以按同样格式扩展）；未提供响应文件标准格式的，由磋商供应商自行编写。</w:t>
      </w:r>
    </w:p>
    <w:p w14:paraId="493B3E2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磋商供应商应在认真阅读磋商文件所有内容的基础上，按照磋商文件的要求编制完整的响应文件，响应文件应按照磋商文件中规定的统一格式填写，严格按照规定的顺序装订成册并编制目录，混乱的编排或未按磋商文件所提供的统一格式编写与漏写而导致响应文件被误读或查找不到有效文件是磋商供应商的风险。</w:t>
      </w:r>
    </w:p>
    <w:p w14:paraId="22F8311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磋商供应商必须保证响应文件所提供的全部资料真实可靠，并接受对其中任何资料进一步审查的要求。</w:t>
      </w:r>
    </w:p>
    <w:p w14:paraId="064CBB67">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4、磋商报价</w:t>
      </w:r>
    </w:p>
    <w:p w14:paraId="2CD69851">
      <w:pPr>
        <w:tabs>
          <w:tab w:val="left" w:pos="540"/>
        </w:tabs>
        <w:spacing w:line="400" w:lineRule="exact"/>
        <w:ind w:firstLine="42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▲4.1 </w:t>
      </w:r>
      <w:r>
        <w:rPr>
          <w:rFonts w:hint="eastAsia" w:asciiTheme="minorEastAsia" w:hAnsiTheme="minorEastAsia" w:eastAsiaTheme="minorEastAsia" w:cstheme="minorEastAsia"/>
          <w:b/>
          <w:bCs/>
          <w:color w:val="auto"/>
          <w:kern w:val="0"/>
          <w:szCs w:val="21"/>
          <w:highlight w:val="none"/>
          <w:u w:val="single"/>
        </w:rPr>
        <w:t>本次报价非一次性报价，在磋商后根据磋商情况（包括细化采购方案和要求，增补部分采购内容等），供应商须进行最终报价。</w:t>
      </w:r>
      <w:r>
        <w:rPr>
          <w:rFonts w:hint="eastAsia" w:asciiTheme="minorEastAsia" w:hAnsiTheme="minorEastAsia" w:eastAsiaTheme="minorEastAsia" w:cstheme="minorEastAsia"/>
          <w:color w:val="auto"/>
          <w:szCs w:val="21"/>
          <w:highlight w:val="none"/>
        </w:rPr>
        <w:t>本项目磋商报价应包含第三章采购需求的所有内容。应包括但不限于应包括但不限于人员工资、奖金、节假日加班费、社会保险（养老、医保、失业、工伤、生育）、公积金、交通费、住宿费、办公</w:t>
      </w:r>
      <w:r>
        <w:rPr>
          <w:rFonts w:hint="eastAsia" w:asciiTheme="minorEastAsia" w:hAnsiTheme="minorEastAsia" w:eastAsiaTheme="minorEastAsia" w:cstheme="minorEastAsia"/>
          <w:color w:val="auto"/>
          <w:szCs w:val="21"/>
          <w:highlight w:val="none"/>
          <w:lang w:eastAsia="zh-CN"/>
        </w:rPr>
        <w:t>通信费</w:t>
      </w:r>
      <w:r>
        <w:rPr>
          <w:rFonts w:hint="eastAsia" w:asciiTheme="minorEastAsia" w:hAnsiTheme="minorEastAsia" w:eastAsiaTheme="minorEastAsia" w:cstheme="minorEastAsia"/>
          <w:color w:val="auto"/>
          <w:szCs w:val="21"/>
          <w:highlight w:val="none"/>
        </w:rPr>
        <w:t>、食堂卫生保洁费、服装费、体检费</w:t>
      </w:r>
      <w:r>
        <w:rPr>
          <w:rFonts w:hint="eastAsia" w:asciiTheme="minorEastAsia" w:hAnsiTheme="minorEastAsia" w:eastAsiaTheme="minorEastAsia" w:cstheme="minorEastAsia"/>
          <w:color w:val="auto"/>
          <w:szCs w:val="21"/>
          <w:highlight w:val="none"/>
          <w:lang w:eastAsia="zh-CN"/>
        </w:rPr>
        <w:t>、管理费用、利润、税费、合同实施过程中不可预见的费用等，如有漏项也视为优惠已包括在投标总价中，</w:t>
      </w:r>
      <w:r>
        <w:rPr>
          <w:rFonts w:hint="eastAsia" w:asciiTheme="minorEastAsia" w:hAnsiTheme="minorEastAsia" w:eastAsiaTheme="minorEastAsia" w:cstheme="minorEastAsia"/>
          <w:color w:val="auto"/>
          <w:szCs w:val="21"/>
          <w:highlight w:val="none"/>
        </w:rPr>
        <w:t>合同价款结算时中标人须开具正式的</w:t>
      </w:r>
      <w:r>
        <w:rPr>
          <w:rFonts w:hint="eastAsia" w:asciiTheme="minorEastAsia" w:hAnsiTheme="minorEastAsia" w:eastAsiaTheme="minorEastAsia" w:cstheme="minorEastAsia"/>
          <w:color w:val="auto"/>
          <w:szCs w:val="21"/>
          <w:highlight w:val="none"/>
          <w:lang w:eastAsia="zh-CN"/>
        </w:rPr>
        <w:t>增值税发票。</w:t>
      </w:r>
    </w:p>
    <w:p w14:paraId="5CF420EA">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w:t>
      </w:r>
      <w:r>
        <w:rPr>
          <w:rFonts w:hint="eastAsia" w:asciiTheme="minorEastAsia" w:hAnsiTheme="minorEastAsia" w:eastAsiaTheme="minorEastAsia" w:cstheme="minorEastAsia"/>
          <w:bCs/>
          <w:color w:val="auto"/>
          <w:szCs w:val="21"/>
          <w:highlight w:val="none"/>
        </w:rPr>
        <w:t>磋商相关</w:t>
      </w:r>
      <w:r>
        <w:rPr>
          <w:rFonts w:hint="eastAsia" w:asciiTheme="minorEastAsia" w:hAnsiTheme="minorEastAsia" w:eastAsiaTheme="minorEastAsia" w:cstheme="minorEastAsia"/>
          <w:color w:val="auto"/>
          <w:szCs w:val="21"/>
          <w:highlight w:val="none"/>
        </w:rPr>
        <w:t>报价明细表填写时应详细注明该表列举的费用及分项清单。</w:t>
      </w:r>
    </w:p>
    <w:p w14:paraId="337AEB38">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4.3磋商供应商必须按第六章响应文件格式中的开标一览表（统一格式）的内容填写价格、及其他事项，并由法定代表人或授权代表签署。</w:t>
      </w:r>
    </w:p>
    <w:p w14:paraId="0D824BC9">
      <w:pPr>
        <w:tabs>
          <w:tab w:val="left" w:pos="540"/>
        </w:tabs>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 xml:space="preserve">    4.4所有投标均以人民币报价。</w:t>
      </w:r>
    </w:p>
    <w:p w14:paraId="63A7B17A">
      <w:pPr>
        <w:tabs>
          <w:tab w:val="left" w:pos="540"/>
        </w:tabs>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4.5采购人不接受任何选择报价，投标单位只允许有一个有效报价。</w:t>
      </w:r>
    </w:p>
    <w:p w14:paraId="4B8B7ED0">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5、响应文件的份数和签署</w:t>
      </w:r>
    </w:p>
    <w:p w14:paraId="23101146">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5.1磋商供应商应按本磋商文件规定份数提交响应文件。</w:t>
      </w:r>
    </w:p>
    <w:p w14:paraId="47807560">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5.2资格审查资料、技术资信文件、报价文件各正本一份，副本四份，响应文件的封面右上角应注明“正本”、“副本”字样【格式见“响应文件封面格式”】。</w:t>
      </w:r>
    </w:p>
    <w:p w14:paraId="209F266B">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5.3磋商供应商应根据磋商文件要求，在响应文件适当的位置填写磋商供应商全称并加盖印章，同时签署磋商供应商代表的全名。</w:t>
      </w:r>
    </w:p>
    <w:p w14:paraId="658E434F">
      <w:pPr>
        <w:tabs>
          <w:tab w:val="left" w:pos="540"/>
        </w:tabs>
        <w:spacing w:line="400" w:lineRule="exact"/>
        <w:ind w:firstLine="42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5.4响应文件正本必须打印，在封面盖公章、磋商供应商代表签字并注明“正本”字样，副本可以提交正本的复印件；</w:t>
      </w:r>
      <w:r>
        <w:rPr>
          <w:rFonts w:hint="eastAsia" w:asciiTheme="minorEastAsia" w:hAnsiTheme="minorEastAsia" w:eastAsiaTheme="minorEastAsia" w:cstheme="minorEastAsia"/>
          <w:b/>
          <w:bCs/>
          <w:color w:val="auto"/>
          <w:szCs w:val="21"/>
          <w:highlight w:val="none"/>
        </w:rPr>
        <w:t>如果正本与副本不一致，以正本为准。</w:t>
      </w:r>
    </w:p>
    <w:p w14:paraId="14EF14C8">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5.5响应文件不得涂改和增删，如有修改错漏处，必须由同一磋商供应商代表签字或加盖公章。</w:t>
      </w:r>
    </w:p>
    <w:p w14:paraId="2656AF60">
      <w:pPr>
        <w:tabs>
          <w:tab w:val="left" w:pos="540"/>
        </w:tabs>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5.6响应文件因字迹潦草或表达不清所引起的后果由磋商供应商负责。</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Start w:id="50" w:name="_Toc262105503"/>
      <w:bookmarkStart w:id="51" w:name="_Toc221374626"/>
      <w:bookmarkStart w:id="52" w:name="_Toc262049418"/>
      <w:bookmarkStart w:id="53" w:name="_Toc246261265"/>
      <w:bookmarkStart w:id="54" w:name="_Toc245722281"/>
      <w:bookmarkStart w:id="55" w:name="_Toc221356887"/>
      <w:bookmarkStart w:id="56" w:name="_Toc249758712"/>
      <w:bookmarkStart w:id="57" w:name="_Toc223715998"/>
      <w:bookmarkStart w:id="58" w:name="_Toc241404202"/>
      <w:bookmarkStart w:id="59" w:name="_Toc245191314"/>
      <w:bookmarkStart w:id="60" w:name="_Toc239145354"/>
      <w:bookmarkStart w:id="61" w:name="_Toc221423619"/>
      <w:bookmarkStart w:id="62" w:name="_Toc222114879"/>
      <w:bookmarkStart w:id="63" w:name="_Toc410031816"/>
      <w:bookmarkStart w:id="64" w:name="_Toc249758864"/>
      <w:bookmarkStart w:id="65" w:name="_Toc221356951"/>
    </w:p>
    <w:p w14:paraId="412F4C16">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6、投标有效期</w:t>
      </w:r>
    </w:p>
    <w:p w14:paraId="7F5FF1C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6.1投标有效期见本磋商文件中前附表所规定的期限，在此期限内，凡符合磋商文件要求的响应文件均保持有效。</w:t>
      </w:r>
    </w:p>
    <w:p w14:paraId="4FDC30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6.2在特殊情况下，招标采购人在原定投标有效期内，可以根据需要以书面形式向磋商供应商提出</w:t>
      </w:r>
    </w:p>
    <w:p w14:paraId="6A7E56F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延长投标有效期的要求，对此要求磋商供应商须以书面形式予以答复。磋商供应商可以拒绝招标采购人这种要求。同意延长投标有效期的磋商供应商既不能要求也不允许修改其响应文件。</w:t>
      </w:r>
    </w:p>
    <w:p w14:paraId="663DE0B0">
      <w:pPr>
        <w:pStyle w:val="7"/>
        <w:spacing w:before="120" w:beforeLines="50" w:after="120" w:afterLines="50"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四、投标</w:t>
      </w:r>
    </w:p>
    <w:p w14:paraId="501EA0EC">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1、响应文件的密封及标记</w:t>
      </w:r>
    </w:p>
    <w:p w14:paraId="715A36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1.1响应文件应严格按照磋商文件规定的顺序纵向装订成册，装订必须牢固可靠且不能轻易脱落。</w:t>
      </w:r>
    </w:p>
    <w:p w14:paraId="36289AC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1.2资格审查资料、</w:t>
      </w:r>
      <w:r>
        <w:rPr>
          <w:rFonts w:hint="eastAsia" w:ascii="宋体" w:hAnsi="宋体" w:cs="宋体"/>
          <w:bCs/>
          <w:color w:val="auto"/>
          <w:szCs w:val="21"/>
          <w:highlight w:val="none"/>
        </w:rPr>
        <w:t>技术资信文件、报价文件</w:t>
      </w:r>
      <w:r>
        <w:rPr>
          <w:rFonts w:hint="eastAsia" w:ascii="宋体" w:hAnsi="宋体" w:cs="宋体"/>
          <w:b/>
          <w:color w:val="auto"/>
          <w:szCs w:val="21"/>
          <w:highlight w:val="none"/>
        </w:rPr>
        <w:t>分别密封封装[参照（响应文件的外包装封面格式）]</w:t>
      </w:r>
      <w:r>
        <w:rPr>
          <w:rFonts w:hint="eastAsia" w:ascii="宋体" w:hAnsi="宋体" w:cs="宋体"/>
          <w:color w:val="auto"/>
          <w:szCs w:val="21"/>
          <w:highlight w:val="none"/>
        </w:rPr>
        <w:t>，密封处应有磋商供应商公章。</w:t>
      </w:r>
    </w:p>
    <w:p w14:paraId="7C4209F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1.3如果磋商供应商未按上述要求密封及加写标记，招标采购人对响应文件的误投和提前启封不负责。对由此造成提前开封的响应文件，招标采购人有权予以拒绝，并退回磋商供应商。</w:t>
      </w:r>
    </w:p>
    <w:p w14:paraId="590BD4A5">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2、响应文件的提交</w:t>
      </w:r>
    </w:p>
    <w:p w14:paraId="7629F8A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2.1磋商供应商应按本磋商文件竞争性磋商公告规定的地点，于规定的提交时间，提交响应文件。</w:t>
      </w:r>
    </w:p>
    <w:p w14:paraId="443A9F30">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3、响应文件提交的截止时间</w:t>
      </w:r>
    </w:p>
    <w:p w14:paraId="2B7D3C2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3.1响应文件提交的截止时间见磋商文件投标须知前附表规定。</w:t>
      </w:r>
    </w:p>
    <w:p w14:paraId="13F681A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41F1F5CC">
      <w:pPr>
        <w:spacing w:line="400" w:lineRule="exact"/>
        <w:ind w:firstLine="42"/>
        <w:rPr>
          <w:rFonts w:hint="eastAsia" w:ascii="宋体" w:hAnsi="宋体" w:cs="宋体"/>
          <w:color w:val="auto"/>
          <w:szCs w:val="21"/>
          <w:highlight w:val="none"/>
        </w:rPr>
      </w:pPr>
      <w:r>
        <w:rPr>
          <w:rFonts w:hint="eastAsia" w:ascii="宋体" w:hAnsi="宋体" w:cs="宋体"/>
          <w:color w:val="auto"/>
          <w:szCs w:val="21"/>
          <w:highlight w:val="none"/>
        </w:rPr>
        <w:t>3.3磋商供应商在投标截止时间以后送达的响应文件将被拒绝接受。</w:t>
      </w:r>
    </w:p>
    <w:p w14:paraId="61B2B336">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4、响应文件的补充、修改与撤回</w:t>
      </w:r>
    </w:p>
    <w:p w14:paraId="5EE89B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4.1磋商供应商在提交响应文件以后，在规定的投标截止时间之前，可以书面形式补充修改或撤回已提交的响应文件，并以书面形式通知招标采购人。补充、修改的内容为响应文件的组成部分。</w:t>
      </w:r>
    </w:p>
    <w:p w14:paraId="11F244D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4.2磋商供应商对响应文件的修改、补充，应按磋商文件有关规定密封、标记和提交，并在响应文件密封袋上清楚标明：“补充”、“修改”或“撤回”字样。</w:t>
      </w:r>
    </w:p>
    <w:p w14:paraId="78C504B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4.3在投标截止时间之后，磋商供应商不得补充、修改响应文件。</w:t>
      </w:r>
    </w:p>
    <w:p w14:paraId="1948ED7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4.4根据磋商文件规定，在投标截止时间之后至磋商供应商在投标声明书中规定的投标有效期满之</w:t>
      </w:r>
    </w:p>
    <w:p w14:paraId="458AE468">
      <w:pPr>
        <w:pStyle w:val="3"/>
        <w:spacing w:after="0" w:line="400" w:lineRule="exact"/>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t>前的这段时间内，磋商供应商不得撤回其响应文件，否则应当按照本项目采购预算价2%的标准承担因此给采购单位造成的损失的赔偿责任及相应的法律责任。</w:t>
      </w:r>
    </w:p>
    <w:p w14:paraId="178539B7">
      <w:pPr>
        <w:pStyle w:val="7"/>
        <w:spacing w:before="120" w:beforeLines="50" w:after="120" w:afterLines="50"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五、开标</w:t>
      </w:r>
    </w:p>
    <w:p w14:paraId="4EFAEA0F">
      <w:pPr>
        <w:spacing w:line="460" w:lineRule="exact"/>
        <w:rPr>
          <w:rFonts w:hint="eastAsia" w:ascii="宋体" w:hAnsi="宋体" w:cs="宋体"/>
          <w:b/>
          <w:color w:val="auto"/>
          <w:szCs w:val="21"/>
          <w:highlight w:val="none"/>
        </w:rPr>
      </w:pPr>
      <w:r>
        <w:rPr>
          <w:rFonts w:hint="eastAsia" w:ascii="宋体" w:hAnsi="宋体" w:cs="宋体"/>
          <w:b/>
          <w:color w:val="auto"/>
          <w:szCs w:val="21"/>
          <w:highlight w:val="none"/>
        </w:rPr>
        <w:t>1、开标</w:t>
      </w:r>
    </w:p>
    <w:p w14:paraId="31CE490D">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1.1招标采购人按本磋商文件磋商供应商须知前附表规定的时间和地点公开开标，所有磋商供应商代表参加；磋商供应商代表不参加开标会的，标后不得对采购相关人员、开标过程及结果提出异议。</w:t>
      </w:r>
    </w:p>
    <w:p w14:paraId="4DF5EB81">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1.2撤回的响应文件不予开封，并退回给磋商供应商；开标时出现的无效响应文件，不予送交评审。</w:t>
      </w:r>
    </w:p>
    <w:p w14:paraId="6405B94E">
      <w:pPr>
        <w:spacing w:line="460" w:lineRule="exact"/>
        <w:rPr>
          <w:rFonts w:hint="eastAsia" w:ascii="宋体" w:hAnsi="宋体" w:cs="宋体"/>
          <w:b/>
          <w:color w:val="auto"/>
          <w:szCs w:val="21"/>
          <w:highlight w:val="none"/>
        </w:rPr>
      </w:pPr>
      <w:r>
        <w:rPr>
          <w:rFonts w:hint="eastAsia" w:ascii="宋体" w:hAnsi="宋体" w:cs="宋体"/>
          <w:b/>
          <w:color w:val="auto"/>
          <w:szCs w:val="21"/>
          <w:highlight w:val="none"/>
        </w:rPr>
        <w:t>2、开标程序</w:t>
      </w:r>
    </w:p>
    <w:p w14:paraId="4B48469F">
      <w:pPr>
        <w:spacing w:line="460" w:lineRule="exact"/>
        <w:ind w:left="42" w:lef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2.1主持人宣布投标截止时间，投标截止时间以北京时间为准；</w:t>
      </w:r>
    </w:p>
    <w:p w14:paraId="085C6719">
      <w:pPr>
        <w:spacing w:line="460" w:lineRule="exact"/>
        <w:ind w:left="420" w:firstLine="42"/>
        <w:rPr>
          <w:rFonts w:hint="eastAsia" w:ascii="宋体" w:hAnsi="宋体" w:cs="宋体"/>
          <w:color w:val="auto"/>
          <w:szCs w:val="21"/>
          <w:highlight w:val="none"/>
        </w:rPr>
      </w:pPr>
      <w:r>
        <w:rPr>
          <w:rFonts w:hint="eastAsia" w:ascii="宋体" w:hAnsi="宋体" w:cs="宋体"/>
          <w:color w:val="auto"/>
          <w:szCs w:val="21"/>
          <w:highlight w:val="none"/>
        </w:rPr>
        <w:t>2.2采购代理机构确认磋商供应商代表到场等情况；</w:t>
      </w:r>
    </w:p>
    <w:p w14:paraId="6799337C">
      <w:pPr>
        <w:spacing w:line="460" w:lineRule="exact"/>
        <w:ind w:left="420" w:firstLine="42"/>
        <w:rPr>
          <w:rFonts w:hint="eastAsia" w:ascii="宋体" w:hAnsi="宋体" w:cs="宋体"/>
          <w:color w:val="auto"/>
          <w:szCs w:val="21"/>
          <w:highlight w:val="none"/>
        </w:rPr>
      </w:pPr>
      <w:r>
        <w:rPr>
          <w:rFonts w:hint="eastAsia" w:ascii="宋体" w:hAnsi="宋体" w:cs="宋体"/>
          <w:color w:val="auto"/>
          <w:szCs w:val="21"/>
          <w:highlight w:val="none"/>
        </w:rPr>
        <w:t>2.3由供应商代表（一人）检查各供应商的响应文件密封、签署情况；</w:t>
      </w:r>
    </w:p>
    <w:p w14:paraId="34B311C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由采购代理机构当众启封审查合格的磋商供应商的资格审查资料，检查响应文件的份数等是否符合磋商文件要求，符合要求的响应文件送磋商小组评审，不符合要求的响应文件经供应商书面确认属实后当场退还；</w:t>
      </w:r>
    </w:p>
    <w:p w14:paraId="087729EC">
      <w:pPr>
        <w:spacing w:line="460" w:lineRule="exact"/>
        <w:ind w:left="420" w:firstLine="42"/>
        <w:rPr>
          <w:rFonts w:hint="eastAsia" w:ascii="宋体" w:hAnsi="宋体" w:cs="宋体"/>
          <w:color w:val="auto"/>
          <w:szCs w:val="21"/>
          <w:highlight w:val="none"/>
        </w:rPr>
      </w:pPr>
      <w:r>
        <w:rPr>
          <w:rFonts w:hint="eastAsia" w:ascii="宋体" w:hAnsi="宋体" w:cs="宋体"/>
          <w:color w:val="auto"/>
          <w:szCs w:val="21"/>
          <w:highlight w:val="none"/>
        </w:rPr>
        <w:t>2.5磋商小组根据响应文件的规定对各供应商进行资格审查并得出结论；</w:t>
      </w:r>
    </w:p>
    <w:p w14:paraId="337F68C0">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2.6采购代理机构宣布各供应商资格审查结果。不符合要求的不进入下一环节，磋商文件不予退回；符合要求的进入下一环节；</w:t>
      </w:r>
    </w:p>
    <w:p w14:paraId="6F68D444">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由采购代理机构当众启封资格审查合格的磋商供应商的技术资信文件、报价文件，检查响应文件的份数等是否符合磋商文件要求，符合要求的响应文件送磋商小组评审，不符合要求的响应文件经供应商书面确认属实后当场退还；</w:t>
      </w:r>
    </w:p>
    <w:p w14:paraId="3DB52EEE">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2.8磋商小组对响应文件中的响应文件进行详细评审，主要审查技术资信文件、报价文件是否实质性响应采购需求和价格的组成、有无遗漏采购内容等；</w:t>
      </w:r>
    </w:p>
    <w:p w14:paraId="7E70B3CF">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2.9磋商小组翻阅各供应商的技术资信文件、报价文件后，与单一响应供应商分别就服务内容、价格等进行磋商。</w:t>
      </w:r>
    </w:p>
    <w:p w14:paraId="2EAB06BA">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2.10磋商完毕的供应商在集中地点（或邮件方式）统一填写最终报价，最终报价是供应商响应文件的有效组成部分。</w:t>
      </w:r>
    </w:p>
    <w:p w14:paraId="2D13B64F">
      <w:pPr>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（注：供应商需提前准备空白并签署盖章的最终报价表，以便最终报价填写，最终报价格式见附件）</w:t>
      </w:r>
    </w:p>
    <w:p w14:paraId="43A869F3">
      <w:pPr>
        <w:spacing w:line="46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2.11所有参加磋商的供应商填写最终报价后，所有供应商派代表到现场开标。由采购代理机构公布各响应供应商的最终报价，提交磋商小组评审确定成交候选供应商并出具评审报告；</w:t>
      </w:r>
    </w:p>
    <w:p w14:paraId="63188DFD">
      <w:pPr>
        <w:spacing w:line="46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2.12主持人公布最终评审结果；</w:t>
      </w:r>
    </w:p>
    <w:p w14:paraId="4A439321">
      <w:pPr>
        <w:spacing w:line="460" w:lineRule="exact"/>
        <w:ind w:firstLine="459" w:firstLineChars="219"/>
        <w:rPr>
          <w:rFonts w:hint="eastAsia" w:ascii="宋体" w:hAnsi="宋体" w:cs="宋体"/>
          <w:color w:val="auto"/>
          <w:szCs w:val="21"/>
          <w:highlight w:val="none"/>
        </w:rPr>
      </w:pPr>
      <w:r>
        <w:rPr>
          <w:rFonts w:hint="eastAsia" w:ascii="宋体" w:hAnsi="宋体" w:cs="宋体"/>
          <w:color w:val="auto"/>
          <w:szCs w:val="21"/>
          <w:highlight w:val="none"/>
        </w:rPr>
        <w:t>2.13 开标结束。</w:t>
      </w:r>
    </w:p>
    <w:p w14:paraId="7ABAAAA1">
      <w:pPr>
        <w:pStyle w:val="7"/>
        <w:spacing w:before="120" w:beforeLines="50" w:after="120" w:afterLines="50"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六、评标</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B717453">
      <w:pPr>
        <w:pStyle w:val="31"/>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1、组建磋商小组</w:t>
      </w:r>
    </w:p>
    <w:p w14:paraId="6AA763FB">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磋商小组由采购人代表和评审专家共3人以上单数组成，其中评审专家人数不得少于磋商小组成员总数的2/3。</w:t>
      </w:r>
    </w:p>
    <w:p w14:paraId="50157EF8">
      <w:pPr>
        <w:pStyle w:val="31"/>
        <w:snapToGrid w:val="0"/>
        <w:spacing w:line="400" w:lineRule="exact"/>
        <w:rPr>
          <w:rFonts w:hint="eastAsia" w:hAnsi="宋体" w:cs="宋体"/>
          <w:b/>
          <w:bCs/>
          <w:color w:val="auto"/>
          <w:sz w:val="21"/>
          <w:szCs w:val="21"/>
          <w:highlight w:val="none"/>
        </w:rPr>
      </w:pPr>
      <w:r>
        <w:rPr>
          <w:rFonts w:hint="eastAsia" w:hAnsi="宋体" w:cs="宋体"/>
          <w:b/>
          <w:bCs/>
          <w:color w:val="auto"/>
          <w:sz w:val="21"/>
          <w:szCs w:val="21"/>
          <w:highlight w:val="none"/>
        </w:rPr>
        <w:t>2、评标的方式</w:t>
      </w:r>
    </w:p>
    <w:p w14:paraId="0C7AFAC4">
      <w:pPr>
        <w:pStyle w:val="31"/>
        <w:snapToGrid w:val="0"/>
        <w:spacing w:line="400" w:lineRule="exact"/>
        <w:ind w:left="210" w:leftChars="100" w:firstLine="210" w:firstLineChars="100"/>
        <w:rPr>
          <w:rFonts w:hint="eastAsia" w:hAnsi="宋体" w:cs="宋体"/>
          <w:color w:val="auto"/>
          <w:sz w:val="21"/>
          <w:szCs w:val="21"/>
          <w:highlight w:val="none"/>
        </w:rPr>
      </w:pPr>
      <w:r>
        <w:rPr>
          <w:rFonts w:hint="eastAsia" w:hAnsi="宋体" w:cs="宋体"/>
          <w:color w:val="auto"/>
          <w:sz w:val="21"/>
          <w:szCs w:val="21"/>
          <w:highlight w:val="none"/>
        </w:rPr>
        <w:t>本项目采用不公开方式评标，评标的依据为磋商文件和响应文件。</w:t>
      </w:r>
    </w:p>
    <w:p w14:paraId="75B3573E">
      <w:pPr>
        <w:pStyle w:val="31"/>
        <w:snapToGrid w:val="0"/>
        <w:spacing w:line="400" w:lineRule="exact"/>
        <w:rPr>
          <w:rFonts w:hint="eastAsia" w:hAnsi="宋体" w:cs="宋体"/>
          <w:b/>
          <w:color w:val="auto"/>
          <w:sz w:val="21"/>
          <w:szCs w:val="21"/>
          <w:highlight w:val="none"/>
        </w:rPr>
      </w:pPr>
      <w:r>
        <w:rPr>
          <w:rFonts w:hint="eastAsia" w:hAnsi="宋体" w:cs="宋体"/>
          <w:b/>
          <w:bCs/>
          <w:color w:val="auto"/>
          <w:sz w:val="21"/>
          <w:szCs w:val="21"/>
          <w:highlight w:val="none"/>
        </w:rPr>
        <w:t>3、评标程序</w:t>
      </w:r>
    </w:p>
    <w:p w14:paraId="618A78A1">
      <w:pPr>
        <w:snapToGrid w:val="0"/>
        <w:spacing w:line="40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3.1形式审查</w:t>
      </w:r>
    </w:p>
    <w:p w14:paraId="75743D54">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14:paraId="71323A3C">
      <w:pPr>
        <w:snapToGrid w:val="0"/>
        <w:spacing w:line="40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3.2实质审查与比较</w:t>
      </w:r>
    </w:p>
    <w:p w14:paraId="5F61BDF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（1）磋商小组审查响应文件的实质性内容是否符合磋商文件的实质性要求。</w:t>
      </w:r>
    </w:p>
    <w:p w14:paraId="1B51C4A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w:t>
      </w:r>
    </w:p>
    <w:p w14:paraId="43705E32">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磋商供应商代表未到场或者拒绝澄清或者澄清的内容改变了响应文件的实质性内容的，磋商小组有权对该响应文件作出不利于磋商供应商的评判。</w:t>
      </w:r>
    </w:p>
    <w:p w14:paraId="3F547EF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14:paraId="0B4CEC2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14:paraId="01F3F00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14:paraId="1F9C7814">
      <w:pPr>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4、澄清问题的形式</w:t>
      </w:r>
    </w:p>
    <w:p w14:paraId="78A23DD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31E90D4">
      <w:pPr>
        <w:pStyle w:val="31"/>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5、错误修正</w:t>
      </w:r>
    </w:p>
    <w:p w14:paraId="360F5F86">
      <w:pPr>
        <w:pStyle w:val="31"/>
        <w:snapToGrid w:val="0"/>
        <w:spacing w:line="400" w:lineRule="exact"/>
        <w:ind w:left="210" w:hanging="210" w:hangingChars="100"/>
        <w:rPr>
          <w:rFonts w:hint="eastAsia" w:hAnsi="宋体" w:cs="宋体"/>
          <w:color w:val="auto"/>
          <w:kern w:val="2"/>
          <w:sz w:val="21"/>
          <w:szCs w:val="21"/>
          <w:highlight w:val="none"/>
        </w:rPr>
      </w:pPr>
      <w:r>
        <w:rPr>
          <w:rFonts w:hint="eastAsia" w:hAnsi="宋体" w:cs="宋体"/>
          <w:color w:val="auto"/>
          <w:kern w:val="2"/>
          <w:sz w:val="21"/>
          <w:szCs w:val="21"/>
          <w:highlight w:val="none"/>
        </w:rPr>
        <w:t>响应文件如果出现计算或表达上的错误，修正错误的原则如下：</w:t>
      </w:r>
    </w:p>
    <w:p w14:paraId="789786B4">
      <w:pPr>
        <w:pStyle w:val="31"/>
        <w:snapToGrid w:val="0"/>
        <w:spacing w:line="40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（一）响应文件中开标一览表内容与响应文件中相应内容不一致的，以开标一览表为准；</w:t>
      </w:r>
    </w:p>
    <w:p w14:paraId="55FECC69">
      <w:pPr>
        <w:pStyle w:val="31"/>
        <w:snapToGrid w:val="0"/>
        <w:spacing w:line="40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（二）大写金额和小写金额不一致的，以大写金额为准；</w:t>
      </w:r>
    </w:p>
    <w:p w14:paraId="238C525B">
      <w:pPr>
        <w:pStyle w:val="31"/>
        <w:snapToGrid w:val="0"/>
        <w:spacing w:line="40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（三）单价金额小数点或者百分比有明显错位的，以开标一览表的总价为准，并修改单价；</w:t>
      </w:r>
    </w:p>
    <w:p w14:paraId="5B5548FC">
      <w:pPr>
        <w:pStyle w:val="31"/>
        <w:snapToGrid w:val="0"/>
        <w:spacing w:line="400" w:lineRule="exact"/>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（四）总价金额与按单价汇总金额不一致的，以单价金额计算结果为准。</w:t>
      </w:r>
    </w:p>
    <w:p w14:paraId="65D9096F">
      <w:pPr>
        <w:pStyle w:val="31"/>
        <w:snapToGrid w:val="0"/>
        <w:spacing w:line="4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同时出现两种以上不一致的，按照前款规定的顺序修正。按上述修正错误的原则及方法调整或修正响应文件的磋商报价，磋商供应商同意并签字确认后，调整后的磋商报价对磋商供应商具有约束作用。如果磋商供应商不接受修正后的报价，则其投标将作为无效投标处理。</w:t>
      </w:r>
    </w:p>
    <w:p w14:paraId="683124F8">
      <w:pPr>
        <w:pStyle w:val="31"/>
        <w:tabs>
          <w:tab w:val="left" w:pos="630"/>
        </w:tabs>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6、评标原则和评标办法</w:t>
      </w:r>
    </w:p>
    <w:p w14:paraId="13FEC4BF">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4C8656E1">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6.2评标办法。本项目评标办法是综合评分法，具体评标内容及评分标准等详见《第五章：磋商办法及评分标准》。</w:t>
      </w:r>
    </w:p>
    <w:p w14:paraId="78606BCD">
      <w:pPr>
        <w:pStyle w:val="31"/>
        <w:tabs>
          <w:tab w:val="left" w:pos="630"/>
        </w:tabs>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7、无效标条款</w:t>
      </w:r>
    </w:p>
    <w:p w14:paraId="23410CC8">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7.1开标时，如出现以下情况之一的，则响应文件不予启封或唱标，即使已启封或唱标的，其响应文件仍然无效：</w:t>
      </w:r>
    </w:p>
    <w:p w14:paraId="39D5F8C2">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（一）响应文件未按磋商文件要求签署、盖章的；</w:t>
      </w:r>
    </w:p>
    <w:p w14:paraId="3BBD28DF">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（二）不具备磋商文件中规定的资格要求的；</w:t>
      </w:r>
    </w:p>
    <w:p w14:paraId="47D82378">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（三）报价超过磋商文件中规定的预算金额或者最高限价的；</w:t>
      </w:r>
    </w:p>
    <w:p w14:paraId="5D0F3DC8">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（四）响应文件含有采购人不能接受的附加条件的;</w:t>
      </w:r>
    </w:p>
    <w:p w14:paraId="2910DBED">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响应文件明显不符合竞争性磋商文件要求的或者与竞争性磋商文件标注“▲”的条款发生实质性负偏离的；</w:t>
      </w:r>
    </w:p>
    <w:p w14:paraId="51A0ECF4">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（七）</w:t>
      </w:r>
      <w:r>
        <w:rPr>
          <w:rFonts w:hint="eastAsia" w:ascii="宋体" w:hAnsi="宋体" w:cs="宋体"/>
          <w:bCs/>
          <w:color w:val="auto"/>
          <w:szCs w:val="21"/>
          <w:highlight w:val="none"/>
        </w:rPr>
        <w:t>法律、法规和磋商文件规定的其他无效情形。</w:t>
      </w:r>
    </w:p>
    <w:p w14:paraId="0651E8B4">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7.2有下列情形之一的，视为磋商供应商串通投标，其投标无效：</w:t>
      </w:r>
    </w:p>
    <w:p w14:paraId="45A8A737">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（一）不同磋商供应商的响应文件由同一单位或者个人编制；</w:t>
      </w:r>
    </w:p>
    <w:p w14:paraId="7C6FEE33">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（二）不同磋商供应商委托同一单位或者个人办理投标事宜；</w:t>
      </w:r>
    </w:p>
    <w:p w14:paraId="6759D1C2">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14:paraId="5B39530A">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（四）不同磋商供应商的响应文件异常一致或者磋商报价呈规律性差异；</w:t>
      </w:r>
    </w:p>
    <w:p w14:paraId="37E8AF1C">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（五）不同磋商供应商的响应文件相互混装；</w:t>
      </w:r>
    </w:p>
    <w:p w14:paraId="483C6F8A">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服务质量或者不能诚信履约的，应当要求其在评标现场合理的时间内提供书面说明，必要时提交相关证明材料；磋商供应商不能证明其报价合理性的，磋商小组应当将其作为无效投标处理。</w:t>
      </w:r>
    </w:p>
    <w:p w14:paraId="11303CBC">
      <w:pPr>
        <w:pStyle w:val="31"/>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8、终止竞争性磋商采购活动的情形</w:t>
      </w:r>
    </w:p>
    <w:p w14:paraId="66289021">
      <w:pPr>
        <w:pStyle w:val="31"/>
        <w:snapToGrid w:val="0"/>
        <w:spacing w:line="4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8.1出现下列情形之一的，采购人或采购代理机构应当终止竞争性磋商采购活动，发布项目终止公告并说明原因，重新开展采购活动：</w:t>
      </w:r>
    </w:p>
    <w:p w14:paraId="3E5E2754">
      <w:pPr>
        <w:pStyle w:val="31"/>
        <w:numPr>
          <w:ilvl w:val="0"/>
          <w:numId w:val="2"/>
        </w:numPr>
        <w:snapToGrid w:val="0"/>
        <w:spacing w:line="4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因情况变化，不再符合规定的竞争性磋商采购方式适用情形的；</w:t>
      </w:r>
    </w:p>
    <w:p w14:paraId="3A39AEA4">
      <w:pPr>
        <w:pStyle w:val="31"/>
        <w:numPr>
          <w:ilvl w:val="0"/>
          <w:numId w:val="2"/>
        </w:numPr>
        <w:snapToGrid w:val="0"/>
        <w:spacing w:line="4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出现影响采购公正的违法、违规行为的；</w:t>
      </w:r>
    </w:p>
    <w:p w14:paraId="39077AC8">
      <w:pPr>
        <w:pStyle w:val="31"/>
        <w:numPr>
          <w:ilvl w:val="0"/>
          <w:numId w:val="2"/>
        </w:numPr>
        <w:snapToGrid w:val="0"/>
        <w:spacing w:line="400" w:lineRule="exact"/>
        <w:ind w:firstLine="420"/>
        <w:rPr>
          <w:rFonts w:hint="eastAsia" w:hAnsi="宋体" w:cs="宋体"/>
          <w:bCs/>
          <w:color w:val="auto"/>
          <w:sz w:val="21"/>
          <w:szCs w:val="21"/>
          <w:highlight w:val="none"/>
        </w:rPr>
      </w:pPr>
      <w:r>
        <w:rPr>
          <w:rFonts w:hint="eastAsia" w:hAnsi="宋体" w:cs="宋体"/>
          <w:bCs/>
          <w:color w:val="auto"/>
          <w:sz w:val="21"/>
          <w:szCs w:val="21"/>
          <w:highlight w:val="none"/>
        </w:rPr>
        <w:t>除因市场竞争不充分的科研项目以及需要扶持的科技成果转化项目提交最后报价的供应商为2家的情形外，在采购过程中符合要求的供应商或者报价未超过采购预算的供应商不足3家的。</w:t>
      </w:r>
    </w:p>
    <w:p w14:paraId="6F982F6D">
      <w:pPr>
        <w:pStyle w:val="31"/>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9、评标过程的监控</w:t>
      </w:r>
    </w:p>
    <w:p w14:paraId="25D1E006">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本项目评标过程实行全程录音、录像监控，磋商供应商在评标过程中所进行的试图影响评标结果的不公正活动，可能导致其投标被拒绝。</w:t>
      </w:r>
    </w:p>
    <w:p w14:paraId="1E6CB44F">
      <w:pPr>
        <w:pStyle w:val="7"/>
        <w:spacing w:before="0" w:after="0" w:line="40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七、定标</w:t>
      </w:r>
    </w:p>
    <w:p w14:paraId="025DC75A">
      <w:pPr>
        <w:pStyle w:val="31"/>
        <w:snapToGrid w:val="0"/>
        <w:spacing w:line="400" w:lineRule="exact"/>
        <w:rPr>
          <w:rFonts w:hint="eastAsia" w:hAnsi="宋体" w:cs="宋体"/>
          <w:b/>
          <w:bCs/>
          <w:color w:val="auto"/>
          <w:sz w:val="21"/>
          <w:szCs w:val="21"/>
          <w:highlight w:val="none"/>
        </w:rPr>
      </w:pPr>
      <w:r>
        <w:rPr>
          <w:rFonts w:hint="eastAsia" w:hAnsi="宋体" w:cs="宋体"/>
          <w:b/>
          <w:bCs/>
          <w:color w:val="auto"/>
          <w:sz w:val="21"/>
          <w:szCs w:val="21"/>
          <w:highlight w:val="none"/>
        </w:rPr>
        <w:t>1、确定成交供应商。</w:t>
      </w:r>
    </w:p>
    <w:p w14:paraId="7414B346">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1.1采购代理机构在评标结束后2个工作日内将评标报告交采购人确认。</w:t>
      </w:r>
    </w:p>
    <w:p w14:paraId="0C475C4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1.2磋商供应商对评标结果无异议的，采购人应在收到评标报告后5个工作日内对评标结果进行确认。如有磋商供应商对评标结果提出质疑的，采购人可在质疑处理完毕后确定成交供应商。</w:t>
      </w:r>
    </w:p>
    <w:p w14:paraId="5262202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1.3采购人依法确定成交供应商后2个工作日内，在</w:t>
      </w:r>
      <w:r>
        <w:rPr>
          <w:rFonts w:hint="eastAsia" w:ascii="宋体" w:hAnsi="宋体" w:cs="宋体"/>
          <w:color w:val="auto"/>
          <w:spacing w:val="-4"/>
          <w:szCs w:val="21"/>
          <w:highlight w:val="none"/>
        </w:rPr>
        <w:t>浙江政府采购网上发布</w:t>
      </w:r>
      <w:r>
        <w:rPr>
          <w:rFonts w:hint="eastAsia" w:ascii="宋体" w:hAnsi="宋体" w:cs="宋体"/>
          <w:color w:val="auto"/>
          <w:szCs w:val="21"/>
          <w:highlight w:val="none"/>
        </w:rPr>
        <w:t>中标结果，同时采购人或采购代理机构应当向成交供应商以书面形式发出《成交通知书》。</w:t>
      </w:r>
    </w:p>
    <w:p w14:paraId="7270C721">
      <w:pPr>
        <w:pStyle w:val="7"/>
        <w:spacing w:before="0" w:after="0" w:line="400" w:lineRule="exact"/>
        <w:jc w:val="center"/>
        <w:rPr>
          <w:rFonts w:hint="eastAsia" w:ascii="宋体" w:hAnsi="宋体" w:eastAsia="宋体" w:cs="宋体"/>
          <w:b/>
          <w:color w:val="auto"/>
          <w:szCs w:val="28"/>
          <w:highlight w:val="none"/>
        </w:rPr>
      </w:pPr>
      <w:bookmarkStart w:id="66" w:name="_Toc18706"/>
      <w:r>
        <w:rPr>
          <w:rFonts w:hint="eastAsia" w:ascii="宋体" w:hAnsi="宋体" w:eastAsia="宋体" w:cs="宋体"/>
          <w:b/>
          <w:color w:val="auto"/>
          <w:szCs w:val="28"/>
          <w:highlight w:val="none"/>
        </w:rPr>
        <w:t>八、合同授予</w:t>
      </w:r>
      <w:bookmarkEnd w:id="66"/>
    </w:p>
    <w:p w14:paraId="0F724304">
      <w:pPr>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1、签订合同</w:t>
      </w:r>
    </w:p>
    <w:p w14:paraId="757475AB">
      <w:pPr>
        <w:snapToGrid w:val="0"/>
        <w:spacing w:line="400" w:lineRule="exact"/>
        <w:ind w:firstLine="420" w:firstLineChars="200"/>
        <w:rPr>
          <w:rFonts w:hint="eastAsia" w:ascii="宋体" w:hAnsi="宋体" w:cs="宋体"/>
          <w:color w:val="auto"/>
          <w:szCs w:val="21"/>
          <w:highlight w:val="none"/>
        </w:rPr>
      </w:pPr>
      <w:bookmarkStart w:id="67" w:name="OLE_LINK1"/>
      <w:r>
        <w:rPr>
          <w:rFonts w:hint="eastAsia" w:ascii="宋体" w:hAnsi="宋体" w:cs="宋体"/>
          <w:color w:val="auto"/>
          <w:szCs w:val="21"/>
          <w:highlight w:val="none"/>
        </w:rPr>
        <w:t>1.1成交供应商与采购单位须在成交通知书发出之日起三十日内签订合同。《成交通知书》一经发出即发生法律效力。采购单位无义务向未成交供应商解释落选原因，不退回响应文件。《成交通知书》作为签订合同的重要依据，对采购单位和成交供应商具有法律效力。采购单位改变中标结果或者成交供应商放弃中标项目的都应承担法律责任。</w:t>
      </w:r>
    </w:p>
    <w:bookmarkEnd w:id="67"/>
    <w:p w14:paraId="3ECB544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成交供应商拖延、拒签合同的,应当依法承担因此给采购单位造成的损失的赔偿责任及相应的法律责任。</w:t>
      </w:r>
    </w:p>
    <w:p w14:paraId="4AB3C054">
      <w:pPr>
        <w:pStyle w:val="31"/>
        <w:snapToGrid w:val="0"/>
        <w:spacing w:line="400" w:lineRule="exact"/>
        <w:rPr>
          <w:rFonts w:hint="eastAsia" w:hAnsi="宋体" w:cs="宋体"/>
          <w:b/>
          <w:color w:val="auto"/>
          <w:sz w:val="21"/>
          <w:szCs w:val="21"/>
          <w:highlight w:val="none"/>
        </w:rPr>
      </w:pPr>
      <w:r>
        <w:rPr>
          <w:rFonts w:hint="eastAsia" w:hAnsi="宋体" w:cs="宋体"/>
          <w:b/>
          <w:color w:val="auto"/>
          <w:sz w:val="21"/>
          <w:szCs w:val="21"/>
          <w:highlight w:val="none"/>
        </w:rPr>
        <w:t>2、履约保证金</w:t>
      </w:r>
    </w:p>
    <w:p w14:paraId="2709644C">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2.1签订合同前，成交供应商应按采购代理机构根据磋商文件规定的履约保证金的金额，向采购人交纳履约保证金。</w:t>
      </w:r>
    </w:p>
    <w:p w14:paraId="1A7FEC25">
      <w:pPr>
        <w:pStyle w:val="31"/>
        <w:snapToGrid w:val="0"/>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2.2签订合同后，如成交供应商不按双方合同约定履约，则没收其全部履约保证金，履约保证金不足以赔偿损失的，按实际损失赔偿。</w:t>
      </w:r>
    </w:p>
    <w:p w14:paraId="2084280F">
      <w:pPr>
        <w:pStyle w:val="7"/>
        <w:spacing w:before="0" w:after="0" w:line="400" w:lineRule="exact"/>
        <w:jc w:val="center"/>
        <w:rPr>
          <w:rFonts w:hint="eastAsia" w:ascii="宋体" w:hAnsi="宋体" w:eastAsia="宋体" w:cs="宋体"/>
          <w:b/>
          <w:color w:val="auto"/>
          <w:szCs w:val="28"/>
          <w:highlight w:val="none"/>
        </w:rPr>
      </w:pPr>
      <w:bookmarkStart w:id="68" w:name="_Toc16204"/>
      <w:r>
        <w:rPr>
          <w:rFonts w:hint="eastAsia" w:ascii="宋体" w:hAnsi="宋体" w:eastAsia="宋体" w:cs="宋体"/>
          <w:b/>
          <w:color w:val="auto"/>
          <w:szCs w:val="28"/>
          <w:highlight w:val="none"/>
        </w:rPr>
        <w:t>九、政府采购扶持政策说明</w:t>
      </w:r>
      <w:bookmarkEnd w:id="68"/>
    </w:p>
    <w:p w14:paraId="4BF1E641">
      <w:pPr>
        <w:numPr>
          <w:ilvl w:val="0"/>
          <w:numId w:val="3"/>
        </w:num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享受小微企业价格折扣应具备的条件</w:t>
      </w:r>
    </w:p>
    <w:p w14:paraId="35F61E1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（1）符合中小企业划分标准；</w:t>
      </w:r>
    </w:p>
    <w:p w14:paraId="459508C6">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14:paraId="62525051">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2、享受小微企业价格折扣应提供以下证明材料（缺一不可）：</w:t>
      </w:r>
    </w:p>
    <w:p w14:paraId="24C7B895">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（1）《中小企业声明函》【格式见附件一】；</w:t>
      </w:r>
    </w:p>
    <w:p w14:paraId="1D85CD37">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3、享受残疾人福利性单位格折扣应提供以下证明材料（缺一不可）：</w:t>
      </w:r>
    </w:p>
    <w:p w14:paraId="338D1529">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（1）残疾人福利性单位声明函【格式见附件二】；</w:t>
      </w:r>
    </w:p>
    <w:p w14:paraId="4D20F5A2">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3、享受监狱企业价格折扣应提供以下证明材料（缺一不可）：</w:t>
      </w:r>
    </w:p>
    <w:p w14:paraId="0B358859">
      <w:pPr>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r>
        <w:rPr>
          <w:rFonts w:hint="eastAsia" w:ascii="宋体" w:hAnsi="宋体" w:cs="宋体"/>
          <w:color w:val="auto"/>
          <w:szCs w:val="21"/>
          <w:highlight w:val="none"/>
        </w:rPr>
        <w:t>。</w:t>
      </w:r>
    </w:p>
    <w:p w14:paraId="24BCFFB2">
      <w:pPr>
        <w:spacing w:line="440" w:lineRule="atLeast"/>
        <w:ind w:firstLine="211" w:firstLineChars="100"/>
        <w:rPr>
          <w:rFonts w:hint="eastAsia" w:ascii="宋体" w:hAnsi="宋体" w:cs="宋体"/>
          <w:b/>
          <w:bCs/>
          <w:color w:val="auto"/>
          <w:szCs w:val="21"/>
          <w:highlight w:val="none"/>
        </w:rPr>
      </w:pPr>
    </w:p>
    <w:p w14:paraId="2D48D9D6">
      <w:pPr>
        <w:spacing w:line="440" w:lineRule="atLeast"/>
        <w:ind w:firstLine="211" w:firstLineChars="100"/>
        <w:rPr>
          <w:rFonts w:hint="eastAsia" w:ascii="宋体" w:hAnsi="宋体" w:cs="宋体"/>
          <w:b/>
          <w:bCs/>
          <w:color w:val="auto"/>
          <w:szCs w:val="21"/>
          <w:highlight w:val="none"/>
        </w:rPr>
      </w:pPr>
    </w:p>
    <w:p w14:paraId="392D436E">
      <w:pPr>
        <w:spacing w:line="440" w:lineRule="atLeast"/>
        <w:ind w:firstLine="211" w:firstLineChars="100"/>
        <w:rPr>
          <w:rFonts w:hint="eastAsia" w:ascii="宋体" w:hAnsi="宋体" w:cs="宋体"/>
          <w:b/>
          <w:bCs/>
          <w:color w:val="auto"/>
          <w:szCs w:val="21"/>
          <w:highlight w:val="none"/>
        </w:rPr>
      </w:pPr>
    </w:p>
    <w:p w14:paraId="53C74A97">
      <w:pPr>
        <w:spacing w:line="440" w:lineRule="atLeast"/>
        <w:ind w:firstLine="211" w:firstLineChars="100"/>
        <w:rPr>
          <w:rFonts w:hint="eastAsia" w:ascii="宋体" w:hAnsi="宋体" w:cs="宋体"/>
          <w:b/>
          <w:bCs/>
          <w:color w:val="auto"/>
          <w:szCs w:val="21"/>
          <w:highlight w:val="none"/>
        </w:rPr>
      </w:pPr>
    </w:p>
    <w:p w14:paraId="14A6BB2D">
      <w:pPr>
        <w:spacing w:line="440" w:lineRule="atLeast"/>
        <w:ind w:firstLine="211" w:firstLineChars="100"/>
        <w:rPr>
          <w:rFonts w:hint="eastAsia" w:ascii="宋体" w:hAnsi="宋体" w:cs="宋体"/>
          <w:b/>
          <w:bCs/>
          <w:color w:val="auto"/>
          <w:szCs w:val="21"/>
          <w:highlight w:val="none"/>
        </w:rPr>
      </w:pPr>
    </w:p>
    <w:p w14:paraId="05066C77">
      <w:pPr>
        <w:spacing w:line="440" w:lineRule="atLeast"/>
        <w:ind w:firstLine="211" w:firstLineChars="100"/>
        <w:rPr>
          <w:rFonts w:hint="eastAsia" w:ascii="宋体" w:hAnsi="宋体" w:cs="宋体"/>
          <w:b/>
          <w:bCs/>
          <w:color w:val="auto"/>
          <w:szCs w:val="21"/>
          <w:highlight w:val="none"/>
        </w:rPr>
      </w:pPr>
    </w:p>
    <w:p w14:paraId="30899E93">
      <w:pPr>
        <w:spacing w:line="440" w:lineRule="atLeast"/>
        <w:ind w:firstLine="211" w:firstLineChars="100"/>
        <w:rPr>
          <w:rFonts w:hint="eastAsia" w:ascii="宋体" w:hAnsi="宋体" w:cs="宋体"/>
          <w:b/>
          <w:bCs/>
          <w:color w:val="auto"/>
          <w:szCs w:val="21"/>
          <w:highlight w:val="none"/>
        </w:rPr>
      </w:pPr>
    </w:p>
    <w:p w14:paraId="6F578468">
      <w:pPr>
        <w:spacing w:line="440" w:lineRule="atLeast"/>
        <w:ind w:firstLine="211" w:firstLineChars="100"/>
        <w:rPr>
          <w:rFonts w:hint="eastAsia" w:ascii="宋体" w:hAnsi="宋体" w:cs="宋体"/>
          <w:b/>
          <w:bCs/>
          <w:color w:val="auto"/>
          <w:szCs w:val="21"/>
          <w:highlight w:val="none"/>
        </w:rPr>
      </w:pPr>
    </w:p>
    <w:p w14:paraId="5123488E">
      <w:pPr>
        <w:spacing w:line="440" w:lineRule="atLeast"/>
        <w:ind w:firstLine="211" w:firstLineChars="100"/>
        <w:rPr>
          <w:rFonts w:hint="eastAsia" w:ascii="宋体" w:hAnsi="宋体" w:cs="宋体"/>
          <w:b/>
          <w:bCs/>
          <w:color w:val="auto"/>
          <w:szCs w:val="21"/>
          <w:highlight w:val="none"/>
        </w:rPr>
      </w:pPr>
    </w:p>
    <w:p w14:paraId="19C98653">
      <w:pPr>
        <w:spacing w:line="440" w:lineRule="atLeast"/>
        <w:ind w:firstLine="211" w:firstLineChars="100"/>
        <w:rPr>
          <w:rFonts w:hint="eastAsia" w:ascii="宋体" w:hAnsi="宋体" w:cs="宋体"/>
          <w:b/>
          <w:bCs/>
          <w:color w:val="auto"/>
          <w:szCs w:val="21"/>
          <w:highlight w:val="none"/>
        </w:rPr>
      </w:pPr>
    </w:p>
    <w:p w14:paraId="7A96B41A">
      <w:pPr>
        <w:spacing w:line="440" w:lineRule="atLeast"/>
        <w:ind w:firstLine="211" w:firstLineChars="100"/>
        <w:rPr>
          <w:rFonts w:hint="eastAsia" w:ascii="宋体" w:hAnsi="宋体" w:cs="宋体"/>
          <w:b/>
          <w:bCs/>
          <w:color w:val="auto"/>
          <w:szCs w:val="21"/>
          <w:highlight w:val="none"/>
        </w:rPr>
      </w:pPr>
    </w:p>
    <w:p w14:paraId="0523749B">
      <w:pPr>
        <w:spacing w:line="440" w:lineRule="atLeast"/>
        <w:ind w:firstLine="211" w:firstLineChars="100"/>
        <w:rPr>
          <w:rFonts w:hint="eastAsia" w:ascii="宋体" w:hAnsi="宋体" w:cs="宋体"/>
          <w:b/>
          <w:bCs/>
          <w:color w:val="auto"/>
          <w:szCs w:val="21"/>
          <w:highlight w:val="none"/>
        </w:rPr>
      </w:pPr>
    </w:p>
    <w:p w14:paraId="248A2175">
      <w:pPr>
        <w:spacing w:line="440" w:lineRule="atLeast"/>
        <w:ind w:firstLine="211" w:firstLineChars="100"/>
        <w:rPr>
          <w:rFonts w:hint="eastAsia" w:ascii="宋体" w:hAnsi="宋体" w:cs="宋体"/>
          <w:b/>
          <w:bCs/>
          <w:color w:val="auto"/>
          <w:szCs w:val="21"/>
          <w:highlight w:val="none"/>
        </w:rPr>
      </w:pPr>
    </w:p>
    <w:p w14:paraId="725BDD91">
      <w:pPr>
        <w:spacing w:line="440" w:lineRule="atLeast"/>
        <w:ind w:firstLine="211" w:firstLineChars="100"/>
        <w:rPr>
          <w:rFonts w:hint="eastAsia" w:ascii="宋体" w:hAnsi="宋体" w:cs="宋体"/>
          <w:b/>
          <w:bCs/>
          <w:color w:val="auto"/>
          <w:szCs w:val="21"/>
          <w:highlight w:val="none"/>
        </w:rPr>
      </w:pPr>
    </w:p>
    <w:p w14:paraId="395E104F">
      <w:pPr>
        <w:spacing w:line="440" w:lineRule="atLeast"/>
        <w:ind w:firstLine="211" w:firstLineChars="100"/>
        <w:rPr>
          <w:rFonts w:hint="eastAsia" w:ascii="宋体" w:hAnsi="宋体" w:cs="宋体"/>
          <w:b/>
          <w:bCs/>
          <w:color w:val="auto"/>
          <w:szCs w:val="21"/>
          <w:highlight w:val="none"/>
        </w:rPr>
      </w:pPr>
    </w:p>
    <w:p w14:paraId="311D3823">
      <w:pPr>
        <w:spacing w:line="440" w:lineRule="atLeast"/>
        <w:ind w:firstLine="211" w:firstLineChars="100"/>
        <w:rPr>
          <w:rFonts w:hint="eastAsia" w:ascii="宋体" w:hAnsi="宋体" w:cs="宋体"/>
          <w:b/>
          <w:bCs/>
          <w:color w:val="auto"/>
          <w:szCs w:val="21"/>
          <w:highlight w:val="none"/>
        </w:rPr>
      </w:pPr>
    </w:p>
    <w:p w14:paraId="215712A0">
      <w:pPr>
        <w:spacing w:line="440" w:lineRule="atLeast"/>
        <w:ind w:firstLine="211" w:firstLineChars="100"/>
        <w:rPr>
          <w:rFonts w:hint="eastAsia" w:ascii="宋体" w:hAnsi="宋体" w:cs="宋体"/>
          <w:b/>
          <w:bCs/>
          <w:color w:val="auto"/>
          <w:szCs w:val="21"/>
          <w:highlight w:val="none"/>
        </w:rPr>
      </w:pPr>
    </w:p>
    <w:p w14:paraId="07807FCB">
      <w:pPr>
        <w:spacing w:line="440" w:lineRule="atLeast"/>
        <w:ind w:firstLine="211" w:firstLineChars="100"/>
        <w:rPr>
          <w:rFonts w:hint="eastAsia" w:ascii="宋体" w:hAnsi="宋体" w:cs="宋体"/>
          <w:b/>
          <w:bCs/>
          <w:color w:val="auto"/>
          <w:szCs w:val="21"/>
          <w:highlight w:val="none"/>
        </w:rPr>
      </w:pPr>
    </w:p>
    <w:p w14:paraId="783DF7D7">
      <w:pPr>
        <w:spacing w:line="440" w:lineRule="atLeast"/>
        <w:ind w:firstLine="211" w:firstLineChars="100"/>
        <w:rPr>
          <w:rFonts w:hint="eastAsia" w:ascii="宋体" w:hAnsi="宋体" w:cs="宋体"/>
          <w:b/>
          <w:bCs/>
          <w:color w:val="auto"/>
          <w:szCs w:val="21"/>
          <w:highlight w:val="none"/>
        </w:rPr>
      </w:pPr>
    </w:p>
    <w:p w14:paraId="3F565DF6">
      <w:pPr>
        <w:spacing w:line="440" w:lineRule="atLeast"/>
        <w:ind w:firstLine="211" w:firstLineChars="100"/>
        <w:rPr>
          <w:rFonts w:hint="eastAsia" w:ascii="宋体" w:hAnsi="宋体" w:cs="宋体"/>
          <w:b/>
          <w:bCs/>
          <w:color w:val="auto"/>
          <w:szCs w:val="21"/>
          <w:highlight w:val="none"/>
        </w:rPr>
      </w:pPr>
    </w:p>
    <w:p w14:paraId="0B0E82B3">
      <w:pPr>
        <w:spacing w:line="440" w:lineRule="atLeast"/>
        <w:ind w:firstLine="211" w:firstLineChars="100"/>
        <w:rPr>
          <w:rFonts w:hint="eastAsia" w:ascii="宋体" w:hAnsi="宋体" w:cs="宋体"/>
          <w:b/>
          <w:bCs/>
          <w:color w:val="auto"/>
          <w:szCs w:val="21"/>
          <w:highlight w:val="none"/>
        </w:rPr>
      </w:pPr>
    </w:p>
    <w:p w14:paraId="086F0F62">
      <w:pPr>
        <w:spacing w:line="440" w:lineRule="atLeast"/>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附件一：</w:t>
      </w:r>
    </w:p>
    <w:p w14:paraId="105234CF">
      <w:pPr>
        <w:tabs>
          <w:tab w:val="left" w:pos="420"/>
        </w:tabs>
        <w:ind w:firstLine="803" w:firstLineChars="200"/>
        <w:jc w:val="center"/>
        <w:rPr>
          <w:rFonts w:hint="eastAsia" w:ascii="宋体" w:hAnsi="宋体" w:cs="Arial"/>
          <w:b/>
          <w:bCs/>
          <w:color w:val="auto"/>
          <w:kern w:val="0"/>
          <w:sz w:val="40"/>
          <w:highlight w:val="none"/>
        </w:rPr>
      </w:pPr>
      <w:r>
        <w:rPr>
          <w:rFonts w:hint="eastAsia" w:ascii="宋体" w:hAnsi="宋体" w:cs="Arial"/>
          <w:b/>
          <w:bCs/>
          <w:color w:val="auto"/>
          <w:kern w:val="0"/>
          <w:sz w:val="40"/>
          <w:highlight w:val="none"/>
        </w:rPr>
        <w:t>中小企业声明函（工程、服务）</w:t>
      </w:r>
    </w:p>
    <w:p w14:paraId="052B7345">
      <w:pPr>
        <w:rPr>
          <w:color w:val="auto"/>
          <w:highlight w:val="none"/>
        </w:rPr>
      </w:pPr>
    </w:p>
    <w:p w14:paraId="6E428BBF">
      <w:pPr>
        <w:tabs>
          <w:tab w:val="left" w:pos="420"/>
        </w:tabs>
        <w:spacing w:line="360" w:lineRule="auto"/>
        <w:ind w:firstLine="480" w:firstLineChars="200"/>
        <w:jc w:val="left"/>
        <w:rPr>
          <w:rFonts w:hint="eastAsia" w:ascii="宋体" w:hAnsi="宋体" w:cs="Arial"/>
          <w:bCs/>
          <w:color w:val="auto"/>
          <w:kern w:val="0"/>
          <w:sz w:val="24"/>
          <w:highlight w:val="none"/>
        </w:rPr>
      </w:pPr>
      <w:r>
        <w:rPr>
          <w:rFonts w:hint="eastAsia" w:ascii="宋体" w:hAnsi="宋体" w:cs="Arial"/>
          <w:bCs/>
          <w:color w:val="auto"/>
          <w:kern w:val="0"/>
          <w:sz w:val="24"/>
          <w:highlight w:val="none"/>
        </w:rPr>
        <w:t>本公司（联合体）郑重声明，根据《政府采购促进中小企业发展管理办法》（财库﹝2020﹞46 号）的规定，本公司（联合体）参加</w:t>
      </w:r>
      <w:r>
        <w:rPr>
          <w:rFonts w:hint="eastAsia" w:ascii="宋体" w:hAnsi="宋体" w:cs="Arial"/>
          <w:bCs/>
          <w:color w:val="auto"/>
          <w:kern w:val="0"/>
          <w:sz w:val="24"/>
          <w:highlight w:val="none"/>
          <w:u w:val="single"/>
        </w:rPr>
        <w:t>（单位名称）</w:t>
      </w:r>
      <w:r>
        <w:rPr>
          <w:rFonts w:hint="eastAsia" w:ascii="宋体" w:hAnsi="宋体" w:cs="Arial"/>
          <w:bCs/>
          <w:color w:val="auto"/>
          <w:kern w:val="0"/>
          <w:sz w:val="24"/>
          <w:highlight w:val="none"/>
        </w:rPr>
        <w:t>的</w:t>
      </w:r>
      <w:r>
        <w:rPr>
          <w:rFonts w:hint="eastAsia" w:ascii="宋体" w:hAnsi="宋体" w:cs="Arial"/>
          <w:bCs/>
          <w:color w:val="auto"/>
          <w:kern w:val="0"/>
          <w:sz w:val="24"/>
          <w:highlight w:val="none"/>
          <w:u w:val="single"/>
        </w:rPr>
        <w:t>（项目名称）</w:t>
      </w:r>
      <w:r>
        <w:rPr>
          <w:rFonts w:hint="eastAsia" w:ascii="宋体" w:hAnsi="宋体" w:cs="Arial"/>
          <w:bCs/>
          <w:color w:val="auto"/>
          <w:kern w:val="0"/>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4E14E313">
      <w:pPr>
        <w:tabs>
          <w:tab w:val="left" w:pos="420"/>
        </w:tabs>
        <w:spacing w:line="360" w:lineRule="auto"/>
        <w:ind w:firstLine="480" w:firstLineChars="200"/>
        <w:jc w:val="left"/>
        <w:rPr>
          <w:rFonts w:hint="eastAsia" w:ascii="宋体" w:hAnsi="宋体" w:cs="Arial"/>
          <w:bCs/>
          <w:color w:val="auto"/>
          <w:kern w:val="0"/>
          <w:sz w:val="24"/>
          <w:highlight w:val="none"/>
        </w:rPr>
      </w:pPr>
      <w:r>
        <w:rPr>
          <w:rFonts w:hint="eastAsia" w:ascii="宋体" w:hAnsi="宋体" w:cs="Arial"/>
          <w:bCs/>
          <w:color w:val="auto"/>
          <w:kern w:val="0"/>
          <w:sz w:val="24"/>
          <w:highlight w:val="none"/>
        </w:rPr>
        <w:t>1.</w:t>
      </w:r>
      <w:r>
        <w:rPr>
          <w:rFonts w:hint="eastAsia" w:ascii="宋体" w:hAnsi="宋体" w:cs="Arial"/>
          <w:bCs/>
          <w:color w:val="auto"/>
          <w:kern w:val="0"/>
          <w:sz w:val="24"/>
          <w:highlight w:val="none"/>
          <w:u w:val="single"/>
        </w:rPr>
        <w:t xml:space="preserve">（标的名称）  </w:t>
      </w:r>
      <w:r>
        <w:rPr>
          <w:rFonts w:hint="eastAsia" w:ascii="宋体" w:hAnsi="宋体" w:cs="Arial"/>
          <w:bCs/>
          <w:color w:val="auto"/>
          <w:kern w:val="0"/>
          <w:sz w:val="24"/>
          <w:highlight w:val="none"/>
        </w:rPr>
        <w:t xml:space="preserve"> ，属于</w:t>
      </w:r>
      <w:r>
        <w:rPr>
          <w:rFonts w:hint="eastAsia" w:ascii="宋体" w:hAnsi="宋体" w:cs="Arial"/>
          <w:bCs/>
          <w:color w:val="auto"/>
          <w:kern w:val="0"/>
          <w:sz w:val="24"/>
          <w:highlight w:val="none"/>
          <w:u w:val="single"/>
        </w:rPr>
        <w:t>（采购文件中明确的所属行业）</w:t>
      </w:r>
      <w:r>
        <w:rPr>
          <w:rFonts w:hint="eastAsia" w:ascii="宋体" w:hAnsi="宋体" w:cs="Arial"/>
          <w:bCs/>
          <w:color w:val="auto"/>
          <w:kern w:val="0"/>
          <w:sz w:val="24"/>
          <w:highlight w:val="none"/>
        </w:rPr>
        <w:t>行业 ；承建（承接）企业为</w:t>
      </w:r>
      <w:r>
        <w:rPr>
          <w:rFonts w:hint="eastAsia" w:ascii="宋体" w:hAnsi="宋体" w:cs="Arial"/>
          <w:bCs/>
          <w:color w:val="auto"/>
          <w:kern w:val="0"/>
          <w:sz w:val="24"/>
          <w:highlight w:val="none"/>
          <w:u w:val="single"/>
        </w:rPr>
        <w:t xml:space="preserve">（企业名称）  </w:t>
      </w:r>
      <w:r>
        <w:rPr>
          <w:rFonts w:hint="eastAsia" w:ascii="宋体" w:hAnsi="宋体" w:cs="Arial"/>
          <w:bCs/>
          <w:color w:val="auto"/>
          <w:kern w:val="0"/>
          <w:sz w:val="24"/>
          <w:highlight w:val="none"/>
        </w:rPr>
        <w:t>，从业人员_____人，营业收入为_____万元，资产总额为_____万元，属于</w:t>
      </w:r>
      <w:r>
        <w:rPr>
          <w:rFonts w:hint="eastAsia" w:ascii="宋体" w:hAnsi="宋体" w:cs="Arial"/>
          <w:bCs/>
          <w:color w:val="auto"/>
          <w:kern w:val="0"/>
          <w:sz w:val="24"/>
          <w:highlight w:val="none"/>
          <w:u w:val="single"/>
        </w:rPr>
        <w:t xml:space="preserve">（中型企业、小型企业、微型企业）   </w:t>
      </w:r>
      <w:r>
        <w:rPr>
          <w:rFonts w:hint="eastAsia" w:ascii="宋体" w:hAnsi="宋体" w:cs="Arial"/>
          <w:bCs/>
          <w:color w:val="auto"/>
          <w:kern w:val="0"/>
          <w:sz w:val="24"/>
          <w:highlight w:val="none"/>
        </w:rPr>
        <w:t xml:space="preserve"> ；</w:t>
      </w:r>
    </w:p>
    <w:p w14:paraId="3B1105F2">
      <w:pPr>
        <w:tabs>
          <w:tab w:val="left" w:pos="420"/>
        </w:tabs>
        <w:spacing w:line="360" w:lineRule="auto"/>
        <w:ind w:firstLine="480" w:firstLineChars="200"/>
        <w:jc w:val="left"/>
        <w:rPr>
          <w:rFonts w:hint="eastAsia" w:ascii="宋体" w:hAnsi="宋体" w:cs="Arial"/>
          <w:bCs/>
          <w:color w:val="auto"/>
          <w:kern w:val="0"/>
          <w:sz w:val="24"/>
          <w:highlight w:val="none"/>
        </w:rPr>
      </w:pPr>
      <w:r>
        <w:rPr>
          <w:rFonts w:hint="eastAsia" w:ascii="宋体" w:hAnsi="宋体" w:cs="Arial"/>
          <w:bCs/>
          <w:color w:val="auto"/>
          <w:kern w:val="0"/>
          <w:sz w:val="24"/>
          <w:highlight w:val="none"/>
        </w:rPr>
        <w:t>2.</w:t>
      </w:r>
      <w:r>
        <w:rPr>
          <w:rFonts w:hint="eastAsia" w:ascii="宋体" w:hAnsi="宋体" w:cs="Arial"/>
          <w:bCs/>
          <w:color w:val="auto"/>
          <w:kern w:val="0"/>
          <w:sz w:val="24"/>
          <w:highlight w:val="none"/>
          <w:u w:val="single"/>
        </w:rPr>
        <w:t xml:space="preserve">（标的名称） </w:t>
      </w:r>
      <w:r>
        <w:rPr>
          <w:rFonts w:hint="eastAsia" w:ascii="宋体" w:hAnsi="宋体" w:cs="Arial"/>
          <w:bCs/>
          <w:color w:val="auto"/>
          <w:kern w:val="0"/>
          <w:sz w:val="24"/>
          <w:highlight w:val="none"/>
        </w:rPr>
        <w:t xml:space="preserve"> ，属于</w:t>
      </w:r>
      <w:r>
        <w:rPr>
          <w:rFonts w:hint="eastAsia" w:ascii="宋体" w:hAnsi="宋体" w:cs="Arial"/>
          <w:bCs/>
          <w:color w:val="auto"/>
          <w:kern w:val="0"/>
          <w:sz w:val="24"/>
          <w:highlight w:val="none"/>
          <w:u w:val="single"/>
        </w:rPr>
        <w:t>（采购文件中明确的所属行业）</w:t>
      </w:r>
      <w:r>
        <w:rPr>
          <w:rFonts w:hint="eastAsia" w:ascii="宋体" w:hAnsi="宋体" w:cs="Arial"/>
          <w:bCs/>
          <w:color w:val="auto"/>
          <w:kern w:val="0"/>
          <w:sz w:val="24"/>
          <w:highlight w:val="none"/>
        </w:rPr>
        <w:t>行业 ；承建（承接）企业为</w:t>
      </w:r>
      <w:r>
        <w:rPr>
          <w:rFonts w:hint="eastAsia" w:ascii="宋体" w:hAnsi="宋体" w:cs="Arial"/>
          <w:bCs/>
          <w:color w:val="auto"/>
          <w:kern w:val="0"/>
          <w:sz w:val="24"/>
          <w:highlight w:val="none"/>
          <w:u w:val="single"/>
        </w:rPr>
        <w:t xml:space="preserve">（企业名称） </w:t>
      </w:r>
      <w:r>
        <w:rPr>
          <w:rFonts w:hint="eastAsia" w:ascii="宋体" w:hAnsi="宋体" w:cs="Arial"/>
          <w:bCs/>
          <w:color w:val="auto"/>
          <w:kern w:val="0"/>
          <w:sz w:val="24"/>
          <w:highlight w:val="none"/>
        </w:rPr>
        <w:t xml:space="preserve"> ，从业人员_____人，营业收入为_____万元，资产总额为_____万元，属于</w:t>
      </w:r>
      <w:r>
        <w:rPr>
          <w:rFonts w:hint="eastAsia" w:ascii="宋体" w:hAnsi="宋体" w:cs="Arial"/>
          <w:bCs/>
          <w:color w:val="auto"/>
          <w:kern w:val="0"/>
          <w:sz w:val="24"/>
          <w:highlight w:val="none"/>
          <w:u w:val="single"/>
        </w:rPr>
        <w:t xml:space="preserve">（中型企业、小型企业、微型企业）   </w:t>
      </w:r>
      <w:r>
        <w:rPr>
          <w:rFonts w:hint="eastAsia" w:ascii="宋体" w:hAnsi="宋体" w:cs="Arial"/>
          <w:bCs/>
          <w:color w:val="auto"/>
          <w:kern w:val="0"/>
          <w:sz w:val="24"/>
          <w:highlight w:val="none"/>
        </w:rPr>
        <w:t xml:space="preserve"> ；</w:t>
      </w:r>
    </w:p>
    <w:p w14:paraId="3D65453A">
      <w:pPr>
        <w:tabs>
          <w:tab w:val="left" w:pos="420"/>
        </w:tabs>
        <w:spacing w:line="360" w:lineRule="auto"/>
        <w:ind w:firstLine="480" w:firstLineChars="200"/>
        <w:jc w:val="left"/>
        <w:rPr>
          <w:rFonts w:hint="eastAsia" w:ascii="宋体" w:hAnsi="宋体" w:cs="Arial"/>
          <w:bCs/>
          <w:color w:val="auto"/>
          <w:kern w:val="0"/>
          <w:sz w:val="24"/>
          <w:highlight w:val="none"/>
        </w:rPr>
      </w:pPr>
      <w:r>
        <w:rPr>
          <w:rFonts w:hint="eastAsia" w:ascii="宋体" w:hAnsi="宋体" w:cs="Arial"/>
          <w:bCs/>
          <w:color w:val="auto"/>
          <w:kern w:val="0"/>
          <w:sz w:val="24"/>
          <w:highlight w:val="none"/>
        </w:rPr>
        <w:t>……</w:t>
      </w:r>
    </w:p>
    <w:p w14:paraId="186818B6">
      <w:pPr>
        <w:tabs>
          <w:tab w:val="left" w:pos="420"/>
        </w:tabs>
        <w:spacing w:line="480" w:lineRule="auto"/>
        <w:ind w:firstLine="480" w:firstLineChars="200"/>
        <w:jc w:val="left"/>
        <w:rPr>
          <w:rFonts w:hint="eastAsia" w:ascii="宋体" w:hAnsi="宋体" w:cs="Arial"/>
          <w:bCs/>
          <w:color w:val="auto"/>
          <w:kern w:val="0"/>
          <w:sz w:val="24"/>
          <w:highlight w:val="none"/>
        </w:rPr>
      </w:pPr>
      <w:r>
        <w:rPr>
          <w:rFonts w:hint="eastAsia" w:ascii="宋体" w:hAnsi="宋体" w:cs="Arial"/>
          <w:bCs/>
          <w:color w:val="auto"/>
          <w:kern w:val="0"/>
          <w:sz w:val="24"/>
          <w:highlight w:val="none"/>
        </w:rPr>
        <w:t>以上企业，不属于大企业的分支机构，不存在控股股东为大企业的情形，也不存在与大企业的负责人为同一人的情形。</w:t>
      </w:r>
    </w:p>
    <w:p w14:paraId="33D1ABF6">
      <w:pPr>
        <w:tabs>
          <w:tab w:val="left" w:pos="420"/>
        </w:tabs>
        <w:spacing w:line="360" w:lineRule="auto"/>
        <w:ind w:firstLine="480" w:firstLineChars="200"/>
        <w:jc w:val="left"/>
        <w:rPr>
          <w:rFonts w:hint="eastAsia"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14:paraId="5DCAF490">
      <w:pPr>
        <w:spacing w:line="440" w:lineRule="atLeast"/>
        <w:rPr>
          <w:rFonts w:hint="eastAsia" w:ascii="宋体" w:hAnsi="宋体" w:cs="宋体"/>
          <w:color w:val="auto"/>
          <w:szCs w:val="21"/>
          <w:highlight w:val="none"/>
        </w:rPr>
      </w:pPr>
    </w:p>
    <w:p w14:paraId="0DDFB426">
      <w:pPr>
        <w:pStyle w:val="207"/>
        <w:rPr>
          <w:rFonts w:hint="eastAsia" w:ascii="宋体" w:hAnsi="宋体" w:cs="宋体"/>
          <w:color w:val="auto"/>
          <w:szCs w:val="21"/>
          <w:highlight w:val="none"/>
        </w:rPr>
      </w:pPr>
    </w:p>
    <w:p w14:paraId="5591FFFE">
      <w:pPr>
        <w:spacing w:line="440" w:lineRule="atLeast"/>
        <w:ind w:firstLine="6746" w:firstLineChars="3200"/>
        <w:rPr>
          <w:rFonts w:hint="eastAsia" w:ascii="宋体" w:hAnsi="宋体" w:cs="宋体"/>
          <w:b/>
          <w:bCs/>
          <w:color w:val="auto"/>
          <w:szCs w:val="21"/>
          <w:highlight w:val="none"/>
        </w:rPr>
      </w:pPr>
      <w:r>
        <w:rPr>
          <w:rFonts w:hint="eastAsia" w:ascii="宋体" w:hAnsi="宋体" w:cs="宋体"/>
          <w:b/>
          <w:bCs/>
          <w:color w:val="auto"/>
          <w:szCs w:val="21"/>
          <w:highlight w:val="none"/>
        </w:rPr>
        <w:t>供应商（盖章）：  </w:t>
      </w:r>
    </w:p>
    <w:p w14:paraId="4093F30B">
      <w:pPr>
        <w:spacing w:line="440" w:lineRule="atLeast"/>
        <w:ind w:firstLine="4638" w:firstLineChars="2200"/>
        <w:rPr>
          <w:rFonts w:hint="eastAsia" w:ascii="宋体" w:hAnsi="宋体" w:cs="宋体"/>
          <w:b/>
          <w:bCs/>
          <w:color w:val="auto"/>
          <w:szCs w:val="21"/>
          <w:highlight w:val="none"/>
        </w:rPr>
      </w:pPr>
      <w:r>
        <w:rPr>
          <w:rFonts w:hint="eastAsia" w:ascii="宋体" w:hAnsi="宋体" w:cs="宋体"/>
          <w:b/>
          <w:bCs/>
          <w:color w:val="auto"/>
          <w:szCs w:val="21"/>
          <w:highlight w:val="none"/>
        </w:rPr>
        <w:t>法定代表人或授权代表（签字或盖章）：</w:t>
      </w:r>
    </w:p>
    <w:p w14:paraId="20C01537">
      <w:pPr>
        <w:spacing w:line="440" w:lineRule="atLeast"/>
        <w:ind w:firstLine="7590" w:firstLineChars="3600"/>
        <w:rPr>
          <w:rFonts w:hint="eastAsia" w:ascii="宋体" w:hAnsi="宋体" w:cs="宋体"/>
          <w:b/>
          <w:bCs/>
          <w:color w:val="auto"/>
          <w:szCs w:val="21"/>
          <w:highlight w:val="none"/>
        </w:rPr>
      </w:pPr>
      <w:r>
        <w:rPr>
          <w:rFonts w:hint="eastAsia" w:ascii="宋体" w:hAnsi="宋体" w:cs="宋体"/>
          <w:b/>
          <w:bCs/>
          <w:color w:val="auto"/>
          <w:szCs w:val="21"/>
          <w:highlight w:val="none"/>
        </w:rPr>
        <w:t>日  期： </w:t>
      </w:r>
    </w:p>
    <w:p w14:paraId="2DA7379A">
      <w:pPr>
        <w:spacing w:line="440" w:lineRule="atLeast"/>
        <w:ind w:firstLine="7168" w:firstLineChars="3400"/>
        <w:rPr>
          <w:rFonts w:hint="eastAsia" w:ascii="宋体" w:hAnsi="宋体" w:cs="宋体"/>
          <w:b/>
          <w:bCs/>
          <w:color w:val="auto"/>
          <w:szCs w:val="21"/>
          <w:highlight w:val="none"/>
        </w:rPr>
      </w:pPr>
      <w:r>
        <w:rPr>
          <w:rFonts w:hint="eastAsia" w:ascii="宋体" w:hAnsi="宋体" w:cs="宋体"/>
          <w:b/>
          <w:bCs/>
          <w:color w:val="auto"/>
          <w:szCs w:val="21"/>
          <w:highlight w:val="none"/>
        </w:rPr>
        <w:t>  </w:t>
      </w:r>
    </w:p>
    <w:p w14:paraId="62F8A5C1">
      <w:pPr>
        <w:tabs>
          <w:tab w:val="left" w:pos="420"/>
        </w:tabs>
        <w:spacing w:before="100" w:beforeAutospacing="1" w:after="100" w:afterAutospacing="1"/>
        <w:rPr>
          <w:rFonts w:hint="eastAsia" w:ascii="宋体" w:hAnsi="宋体" w:cs="Arial"/>
          <w:b/>
          <w:bCs/>
          <w:color w:val="auto"/>
          <w:kern w:val="0"/>
          <w:sz w:val="22"/>
          <w:szCs w:val="22"/>
          <w:highlight w:val="none"/>
        </w:rPr>
      </w:pPr>
      <w:r>
        <w:rPr>
          <w:rFonts w:hint="eastAsia" w:ascii="宋体" w:hAnsi="宋体" w:cs="Arial"/>
          <w:b/>
          <w:bCs/>
          <w:color w:val="auto"/>
          <w:kern w:val="0"/>
          <w:sz w:val="22"/>
          <w:szCs w:val="22"/>
          <w:highlight w:val="none"/>
        </w:rPr>
        <w:t>注：</w:t>
      </w:r>
    </w:p>
    <w:p w14:paraId="2C5127E9">
      <w:pPr>
        <w:tabs>
          <w:tab w:val="left" w:pos="420"/>
        </w:tabs>
        <w:adjustRightInd w:val="0"/>
        <w:snapToGrid w:val="0"/>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1、从业人员、营业收入、资产总额填报上一年度数据，无上一年度数据的新成立企业可不填报。</w:t>
      </w:r>
    </w:p>
    <w:p w14:paraId="17EE6C17">
      <w:pPr>
        <w:tabs>
          <w:tab w:val="left" w:pos="420"/>
        </w:tabs>
        <w:adjustRightInd w:val="0"/>
        <w:snapToGrid w:val="0"/>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2、如中标人声明为小微企业，本声明函将随中标结果同时公告，接受社会监督。</w:t>
      </w:r>
    </w:p>
    <w:p w14:paraId="7B67248C">
      <w:pPr>
        <w:pStyle w:val="31"/>
        <w:snapToGrid w:val="0"/>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 xml:space="preserve">3、项目对应的中小企业划分标准所属行业： </w:t>
      </w:r>
      <w:r>
        <w:rPr>
          <w:rFonts w:hint="eastAsia" w:hAnsi="宋体" w:cs="宋体"/>
          <w:b/>
          <w:bCs/>
          <w:color w:val="auto"/>
          <w:sz w:val="21"/>
          <w:szCs w:val="21"/>
          <w:highlight w:val="none"/>
          <w:lang w:eastAsia="zh-CN"/>
        </w:rPr>
        <w:t>餐饮</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行业</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rPr>
        <w:t>。</w:t>
      </w:r>
    </w:p>
    <w:p w14:paraId="708F86B0">
      <w:pPr>
        <w:spacing w:line="440" w:lineRule="atLeast"/>
        <w:ind w:firstLine="211" w:firstLineChars="100"/>
        <w:rPr>
          <w:rFonts w:hint="eastAsia" w:ascii="宋体" w:hAnsi="宋体" w:cs="宋体"/>
          <w:b/>
          <w:bCs/>
          <w:color w:val="auto"/>
          <w:szCs w:val="21"/>
          <w:highlight w:val="none"/>
        </w:rPr>
      </w:pPr>
      <w:bookmarkStart w:id="69" w:name="_Toc10011"/>
      <w:r>
        <w:rPr>
          <w:rFonts w:hint="eastAsia" w:ascii="宋体" w:hAnsi="宋体" w:cs="宋体"/>
          <w:b/>
          <w:bCs/>
          <w:color w:val="auto"/>
          <w:szCs w:val="21"/>
          <w:highlight w:val="none"/>
        </w:rPr>
        <w:t>附件二：</w:t>
      </w:r>
      <w:bookmarkEnd w:id="69"/>
      <w:r>
        <w:rPr>
          <w:rFonts w:hint="eastAsia" w:ascii="宋体" w:hAnsi="宋体" w:cs="宋体"/>
          <w:b/>
          <w:bCs/>
          <w:color w:val="auto"/>
          <w:szCs w:val="21"/>
          <w:highlight w:val="none"/>
        </w:rPr>
        <w:t xml:space="preserve"> </w:t>
      </w:r>
    </w:p>
    <w:p w14:paraId="3C303C33">
      <w:pPr>
        <w:pStyle w:val="31"/>
        <w:tabs>
          <w:tab w:val="left" w:pos="900"/>
        </w:tabs>
        <w:snapToGrid w:val="0"/>
        <w:ind w:left="840" w:firstLine="2249" w:firstLineChars="700"/>
        <w:outlineLvl w:val="0"/>
        <w:rPr>
          <w:rFonts w:hint="eastAsia" w:hAnsi="宋体"/>
          <w:b/>
          <w:color w:val="auto"/>
          <w:sz w:val="32"/>
          <w:szCs w:val="32"/>
          <w:highlight w:val="none"/>
        </w:rPr>
      </w:pPr>
      <w:bookmarkStart w:id="70" w:name="_Toc3769"/>
      <w:bookmarkStart w:id="71" w:name="_Toc12122"/>
      <w:r>
        <w:rPr>
          <w:rFonts w:hAnsi="宋体"/>
          <w:b/>
          <w:color w:val="auto"/>
          <w:sz w:val="32"/>
          <w:szCs w:val="32"/>
          <w:highlight w:val="none"/>
        </w:rPr>
        <w:t>残疾人福利性单位声明函</w:t>
      </w:r>
      <w:bookmarkEnd w:id="70"/>
      <w:bookmarkEnd w:id="71"/>
    </w:p>
    <w:p w14:paraId="58A3AFE5">
      <w:pPr>
        <w:pStyle w:val="31"/>
        <w:tabs>
          <w:tab w:val="left" w:pos="900"/>
        </w:tabs>
        <w:snapToGrid w:val="0"/>
        <w:rPr>
          <w:rFonts w:hint="eastAsia" w:hAnsi="宋体"/>
          <w:color w:val="auto"/>
          <w:highlight w:val="none"/>
        </w:rPr>
      </w:pPr>
    </w:p>
    <w:p w14:paraId="0B2C3244">
      <w:pPr>
        <w:pStyle w:val="2"/>
        <w:spacing w:line="460" w:lineRule="exact"/>
        <w:ind w:firstLine="480"/>
        <w:jc w:val="left"/>
        <w:rPr>
          <w:rFonts w:hint="eastAsia" w:hAnsi="宋体"/>
          <w:bCs/>
          <w:color w:val="auto"/>
          <w:sz w:val="24"/>
          <w:highlight w:val="none"/>
        </w:rPr>
      </w:pPr>
      <w:r>
        <w:rPr>
          <w:rFonts w:hint="eastAsia" w:hAnsi="宋体"/>
          <w:bCs/>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14:paraId="470BC42D">
      <w:pPr>
        <w:pStyle w:val="2"/>
        <w:spacing w:line="460" w:lineRule="exact"/>
        <w:ind w:firstLine="480"/>
        <w:jc w:val="left"/>
        <w:rPr>
          <w:rFonts w:hint="eastAsia" w:hAnsi="宋体"/>
          <w:bCs/>
          <w:color w:val="auto"/>
          <w:sz w:val="24"/>
          <w:highlight w:val="none"/>
        </w:rPr>
      </w:pPr>
      <w:r>
        <w:rPr>
          <w:rFonts w:hint="eastAsia" w:hAnsi="宋体"/>
          <w:bCs/>
          <w:color w:val="auto"/>
          <w:sz w:val="24"/>
          <w:highlight w:val="none"/>
        </w:rPr>
        <w:t>本单位对上述声明的真实性负责。如有虚假，将依法承担相应责任。</w:t>
      </w:r>
    </w:p>
    <w:p w14:paraId="6E4C44AF">
      <w:pPr>
        <w:spacing w:line="588" w:lineRule="exact"/>
        <w:ind w:firstLine="440" w:firstLineChars="200"/>
        <w:rPr>
          <w:rFonts w:hint="eastAsia" w:ascii="宋体" w:hAnsi="宋体" w:cs="宋体"/>
          <w:color w:val="auto"/>
          <w:sz w:val="22"/>
          <w:highlight w:val="none"/>
        </w:rPr>
      </w:pPr>
    </w:p>
    <w:p w14:paraId="6917D7F0">
      <w:pPr>
        <w:spacing w:line="588" w:lineRule="exact"/>
        <w:ind w:firstLine="624" w:firstLineChars="200"/>
        <w:rPr>
          <w:rFonts w:hint="eastAsia" w:ascii="宋体" w:hAnsi="宋体" w:cs="宋体"/>
          <w:color w:val="auto"/>
          <w:spacing w:val="6"/>
          <w:sz w:val="30"/>
          <w:szCs w:val="30"/>
          <w:highlight w:val="none"/>
        </w:rPr>
      </w:pPr>
    </w:p>
    <w:p w14:paraId="5B0D6FFA">
      <w:pPr>
        <w:spacing w:line="588" w:lineRule="exact"/>
        <w:ind w:firstLine="624" w:firstLineChars="200"/>
        <w:rPr>
          <w:rFonts w:hint="eastAsia" w:ascii="宋体" w:hAnsi="宋体" w:cs="宋体"/>
          <w:color w:val="auto"/>
          <w:spacing w:val="6"/>
          <w:sz w:val="30"/>
          <w:szCs w:val="30"/>
          <w:highlight w:val="none"/>
        </w:rPr>
      </w:pPr>
    </w:p>
    <w:p w14:paraId="65EF98EC">
      <w:pPr>
        <w:spacing w:line="440" w:lineRule="atLeast"/>
        <w:ind w:firstLine="4638" w:firstLineChars="2200"/>
        <w:rPr>
          <w:rFonts w:hint="eastAsia" w:ascii="宋体" w:hAnsi="宋体" w:cs="宋体"/>
          <w:b/>
          <w:bCs/>
          <w:color w:val="auto"/>
          <w:szCs w:val="21"/>
          <w:highlight w:val="none"/>
        </w:rPr>
      </w:pPr>
      <w:r>
        <w:rPr>
          <w:rFonts w:hint="eastAsia" w:ascii="宋体" w:hAnsi="宋体" w:cs="宋体"/>
          <w:b/>
          <w:bCs/>
          <w:color w:val="auto"/>
          <w:szCs w:val="21"/>
          <w:highlight w:val="none"/>
        </w:rPr>
        <w:t>供应商（盖章）：  </w:t>
      </w:r>
    </w:p>
    <w:p w14:paraId="2AA2029C">
      <w:pPr>
        <w:spacing w:line="440" w:lineRule="atLeast"/>
        <w:ind w:left="4657" w:leftChars="1205" w:hanging="2127" w:hangingChars="1009"/>
        <w:rPr>
          <w:rFonts w:hint="eastAsia" w:ascii="宋体" w:hAnsi="宋体" w:cs="宋体"/>
          <w:b/>
          <w:bCs/>
          <w:color w:val="auto"/>
          <w:highlight w:val="none"/>
        </w:rPr>
      </w:pPr>
      <w:r>
        <w:rPr>
          <w:rFonts w:hint="eastAsia" w:ascii="宋体" w:hAnsi="宋体" w:cs="宋体"/>
          <w:b/>
          <w:bCs/>
          <w:color w:val="auto"/>
          <w:szCs w:val="21"/>
          <w:highlight w:val="none"/>
        </w:rPr>
        <w:t>法定代表人或授权代表（签字或盖章）：</w:t>
      </w:r>
    </w:p>
    <w:p w14:paraId="47DBDC22">
      <w:pPr>
        <w:tabs>
          <w:tab w:val="left" w:pos="4860"/>
        </w:tabs>
        <w:spacing w:line="588" w:lineRule="exact"/>
        <w:ind w:right="1560" w:firstLine="5481" w:firstLineChars="2600"/>
        <w:rPr>
          <w:rFonts w:hint="eastAsia" w:ascii="宋体" w:hAnsi="宋体" w:cs="宋体"/>
          <w:b/>
          <w:bCs/>
          <w:color w:val="auto"/>
          <w:szCs w:val="21"/>
          <w:highlight w:val="none"/>
        </w:rPr>
      </w:pPr>
      <w:r>
        <w:rPr>
          <w:rFonts w:hint="eastAsia" w:ascii="宋体" w:hAnsi="宋体" w:cs="宋体"/>
          <w:b/>
          <w:bCs/>
          <w:color w:val="auto"/>
          <w:szCs w:val="21"/>
          <w:highlight w:val="none"/>
        </w:rPr>
        <w:t>日  期： </w:t>
      </w:r>
    </w:p>
    <w:p w14:paraId="0A00342C">
      <w:pPr>
        <w:tabs>
          <w:tab w:val="left" w:pos="4860"/>
        </w:tabs>
        <w:spacing w:line="588" w:lineRule="exact"/>
        <w:ind w:right="1560"/>
        <w:rPr>
          <w:rFonts w:hint="eastAsia" w:ascii="宋体" w:hAnsi="宋体" w:cs="宋体"/>
          <w:color w:val="auto"/>
          <w:spacing w:val="6"/>
          <w:sz w:val="30"/>
          <w:szCs w:val="30"/>
          <w:highlight w:val="none"/>
        </w:rPr>
      </w:pPr>
      <w:r>
        <w:rPr>
          <w:rFonts w:hint="eastAsia" w:ascii="宋体" w:hAnsi="宋体" w:cs="宋体"/>
          <w:color w:val="auto"/>
          <w:szCs w:val="21"/>
          <w:highlight w:val="none"/>
        </w:rPr>
        <w:t> </w:t>
      </w:r>
    </w:p>
    <w:p w14:paraId="19061A5E">
      <w:pPr>
        <w:pStyle w:val="2"/>
        <w:spacing w:line="46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注：</w:t>
      </w:r>
    </w:p>
    <w:p w14:paraId="644AF976">
      <w:pPr>
        <w:pStyle w:val="2"/>
        <w:spacing w:line="46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1、投标人为残疾人福利性单位时须满足财库[2017]141号文件第一条的规定同时提供“残疾人福利性单位声明函”。</w:t>
      </w:r>
    </w:p>
    <w:p w14:paraId="6641D245">
      <w:pPr>
        <w:pStyle w:val="2"/>
        <w:spacing w:line="46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2、残疾人福利性单位视同小型、微型企业，享受价格扣除。</w:t>
      </w:r>
    </w:p>
    <w:p w14:paraId="6F84CE3C">
      <w:pPr>
        <w:pStyle w:val="2"/>
        <w:spacing w:line="46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3、残疾人福利性单位属于小型、微型企业的，不重复享受政策。</w:t>
      </w:r>
    </w:p>
    <w:p w14:paraId="0DA345DC">
      <w:pPr>
        <w:pStyle w:val="31"/>
        <w:snapToGrid w:val="0"/>
        <w:spacing w:line="360" w:lineRule="auto"/>
        <w:rPr>
          <w:rFonts w:hint="eastAsia" w:hAnsi="宋体" w:cs="宋体"/>
          <w:color w:val="auto"/>
          <w:highlight w:val="none"/>
        </w:rPr>
      </w:pPr>
    </w:p>
    <w:p w14:paraId="5C501C57">
      <w:pPr>
        <w:pStyle w:val="51"/>
        <w:spacing w:line="360" w:lineRule="auto"/>
        <w:jc w:val="left"/>
        <w:outlineLvl w:val="0"/>
        <w:rPr>
          <w:rFonts w:hint="eastAsia" w:ascii="宋体" w:hAnsi="宋体" w:cs="宋体"/>
          <w:color w:val="auto"/>
          <w:sz w:val="22"/>
          <w:highlight w:val="none"/>
        </w:rPr>
      </w:pPr>
      <w:r>
        <w:rPr>
          <w:rFonts w:hint="eastAsia" w:ascii="宋体" w:hAnsi="宋体" w:cs="宋体"/>
          <w:color w:val="auto"/>
          <w:sz w:val="30"/>
          <w:szCs w:val="32"/>
          <w:highlight w:val="none"/>
          <w:lang w:val="zh-CN"/>
        </w:rPr>
        <w:br w:type="page"/>
      </w:r>
      <w:bookmarkStart w:id="72" w:name="_Toc32693"/>
      <w:bookmarkStart w:id="73" w:name="_Toc19812"/>
      <w:bookmarkStart w:id="74" w:name="_Toc18420"/>
      <w:bookmarkStart w:id="75" w:name="_Toc32488"/>
      <w:bookmarkStart w:id="76" w:name="_Toc22284"/>
      <w:bookmarkStart w:id="77" w:name="_Toc28720"/>
      <w:bookmarkStart w:id="78" w:name="_Toc22167"/>
      <w:bookmarkStart w:id="79" w:name="_Toc17537"/>
      <w:bookmarkStart w:id="80" w:name="_Toc13286"/>
      <w:r>
        <w:rPr>
          <w:rFonts w:hint="eastAsia" w:ascii="宋体" w:hAnsi="宋体" w:cs="宋体"/>
          <w:bCs/>
          <w:color w:val="auto"/>
          <w:kern w:val="2"/>
          <w:sz w:val="21"/>
          <w:szCs w:val="21"/>
          <w:highlight w:val="none"/>
          <w:lang w:val="en-US"/>
        </w:rPr>
        <w:t>附件三：</w:t>
      </w:r>
      <w:bookmarkEnd w:id="72"/>
      <w:bookmarkEnd w:id="73"/>
      <w:bookmarkEnd w:id="74"/>
      <w:bookmarkEnd w:id="75"/>
      <w:bookmarkEnd w:id="76"/>
      <w:bookmarkEnd w:id="77"/>
      <w:bookmarkEnd w:id="78"/>
      <w:bookmarkEnd w:id="79"/>
      <w:bookmarkEnd w:id="80"/>
    </w:p>
    <w:p w14:paraId="4519CF86">
      <w:pPr>
        <w:tabs>
          <w:tab w:val="left" w:pos="3870"/>
          <w:tab w:val="left" w:pos="4085"/>
        </w:tabs>
        <w:snapToGrid w:val="0"/>
        <w:spacing w:line="400" w:lineRule="exact"/>
        <w:jc w:val="center"/>
        <w:rPr>
          <w:rFonts w:hint="eastAsia" w:ascii="宋体" w:hAnsi="宋体" w:cs="宋体"/>
          <w:color w:val="auto"/>
          <w:sz w:val="32"/>
          <w:szCs w:val="32"/>
          <w:highlight w:val="none"/>
        </w:rPr>
      </w:pPr>
    </w:p>
    <w:p w14:paraId="43B47ED4">
      <w:pPr>
        <w:tabs>
          <w:tab w:val="left" w:pos="3870"/>
          <w:tab w:val="left" w:pos="4085"/>
        </w:tabs>
        <w:snapToGrid w:val="0"/>
        <w:spacing w:line="400" w:lineRule="exact"/>
        <w:jc w:val="center"/>
        <w:rPr>
          <w:rFonts w:hint="eastAsia" w:ascii="宋体" w:hAnsi="宋体" w:cs="宋体"/>
          <w:color w:val="auto"/>
          <w:sz w:val="32"/>
          <w:szCs w:val="32"/>
          <w:highlight w:val="none"/>
        </w:rPr>
      </w:pPr>
    </w:p>
    <w:p w14:paraId="0A835556">
      <w:pPr>
        <w:tabs>
          <w:tab w:val="left" w:pos="3870"/>
          <w:tab w:val="left" w:pos="4085"/>
        </w:tabs>
        <w:snapToGrid w:val="0"/>
        <w:spacing w:line="400" w:lineRule="exact"/>
        <w:jc w:val="center"/>
        <w:rPr>
          <w:rFonts w:hint="eastAsia" w:ascii="宋体" w:hAnsi="宋体" w:cs="宋体"/>
          <w:color w:val="auto"/>
          <w:sz w:val="32"/>
          <w:szCs w:val="32"/>
          <w:highlight w:val="none"/>
        </w:rPr>
      </w:pPr>
    </w:p>
    <w:p w14:paraId="5B9474F2">
      <w:pPr>
        <w:tabs>
          <w:tab w:val="left" w:pos="3870"/>
          <w:tab w:val="left" w:pos="4085"/>
        </w:tabs>
        <w:snapToGrid w:val="0"/>
        <w:spacing w:line="400" w:lineRule="exact"/>
        <w:jc w:val="center"/>
        <w:rPr>
          <w:rFonts w:hint="eastAsia" w:ascii="宋体" w:hAnsi="宋体" w:cs="宋体"/>
          <w:color w:val="auto"/>
          <w:sz w:val="32"/>
          <w:szCs w:val="32"/>
          <w:highlight w:val="none"/>
        </w:rPr>
      </w:pPr>
    </w:p>
    <w:p w14:paraId="56D76BBA">
      <w:pPr>
        <w:tabs>
          <w:tab w:val="left" w:pos="3870"/>
          <w:tab w:val="left" w:pos="4085"/>
        </w:tabs>
        <w:snapToGrid w:val="0"/>
        <w:spacing w:line="400" w:lineRule="exact"/>
        <w:jc w:val="center"/>
        <w:rPr>
          <w:rFonts w:hint="eastAsia" w:ascii="宋体" w:hAnsi="宋体" w:cs="宋体"/>
          <w:color w:val="auto"/>
          <w:sz w:val="32"/>
          <w:szCs w:val="32"/>
          <w:highlight w:val="none"/>
        </w:rPr>
      </w:pPr>
    </w:p>
    <w:p w14:paraId="6D14263B">
      <w:pPr>
        <w:tabs>
          <w:tab w:val="left" w:pos="3870"/>
          <w:tab w:val="left" w:pos="4085"/>
        </w:tabs>
        <w:snapToGrid w:val="0"/>
        <w:spacing w:line="40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省级以上监狱管理局、戒毒管理局（含新疆生产建设兵团）出具的属于监狱企业的证明文件（格式自拟）</w:t>
      </w:r>
    </w:p>
    <w:p w14:paraId="6C6A8001">
      <w:pPr>
        <w:pStyle w:val="2"/>
        <w:ind w:firstLine="640"/>
        <w:rPr>
          <w:rFonts w:hint="eastAsia" w:hAnsi="宋体"/>
          <w:color w:val="auto"/>
          <w:sz w:val="32"/>
          <w:szCs w:val="32"/>
          <w:highlight w:val="none"/>
        </w:rPr>
      </w:pPr>
    </w:p>
    <w:p w14:paraId="2740A3EC">
      <w:pPr>
        <w:pStyle w:val="2"/>
        <w:spacing w:line="460" w:lineRule="exact"/>
        <w:ind w:firstLine="482"/>
        <w:rPr>
          <w:rFonts w:hint="eastAsia" w:hAnsi="宋体"/>
          <w:b/>
          <w:color w:val="auto"/>
          <w:sz w:val="24"/>
          <w:highlight w:val="none"/>
        </w:rPr>
      </w:pPr>
    </w:p>
    <w:p w14:paraId="5A7DAD7A">
      <w:pPr>
        <w:pStyle w:val="2"/>
        <w:spacing w:line="460" w:lineRule="exact"/>
        <w:ind w:firstLine="482"/>
        <w:rPr>
          <w:rFonts w:hint="eastAsia" w:hAnsi="宋体"/>
          <w:b/>
          <w:color w:val="auto"/>
          <w:sz w:val="24"/>
          <w:highlight w:val="none"/>
        </w:rPr>
      </w:pPr>
    </w:p>
    <w:p w14:paraId="090C33B1">
      <w:pPr>
        <w:pStyle w:val="2"/>
        <w:spacing w:line="460" w:lineRule="exact"/>
        <w:ind w:firstLine="482"/>
        <w:rPr>
          <w:rFonts w:hint="eastAsia" w:hAnsi="宋体"/>
          <w:b/>
          <w:color w:val="auto"/>
          <w:sz w:val="24"/>
          <w:highlight w:val="none"/>
        </w:rPr>
      </w:pPr>
    </w:p>
    <w:p w14:paraId="67A71CBA">
      <w:pPr>
        <w:pStyle w:val="2"/>
        <w:spacing w:line="460" w:lineRule="exact"/>
        <w:ind w:firstLine="482"/>
        <w:rPr>
          <w:rFonts w:hint="eastAsia" w:hAnsi="宋体"/>
          <w:b/>
          <w:color w:val="auto"/>
          <w:sz w:val="24"/>
          <w:highlight w:val="none"/>
        </w:rPr>
      </w:pPr>
    </w:p>
    <w:p w14:paraId="306A01C6">
      <w:pPr>
        <w:pStyle w:val="2"/>
        <w:spacing w:line="460" w:lineRule="exact"/>
        <w:ind w:firstLine="241" w:firstLineChars="100"/>
        <w:rPr>
          <w:rFonts w:hint="eastAsia" w:hAnsi="宋体"/>
          <w:b/>
          <w:color w:val="auto"/>
          <w:sz w:val="24"/>
          <w:highlight w:val="none"/>
        </w:rPr>
      </w:pPr>
      <w:r>
        <w:rPr>
          <w:rFonts w:hint="eastAsia" w:hAnsi="宋体"/>
          <w:b/>
          <w:color w:val="auto"/>
          <w:sz w:val="24"/>
          <w:highlight w:val="none"/>
        </w:rPr>
        <w:t>注：投标人为属于监狱企业时需提供。</w:t>
      </w:r>
    </w:p>
    <w:p w14:paraId="60739D35">
      <w:pPr>
        <w:pStyle w:val="2"/>
        <w:ind w:firstLine="640"/>
        <w:rPr>
          <w:rFonts w:hint="eastAsia" w:hAnsi="宋体"/>
          <w:color w:val="auto"/>
          <w:sz w:val="32"/>
          <w:szCs w:val="32"/>
          <w:highlight w:val="none"/>
        </w:rPr>
        <w:sectPr>
          <w:pgSz w:w="11906" w:h="16838"/>
          <w:pgMar w:top="1474" w:right="1134" w:bottom="1134" w:left="1361" w:header="850" w:footer="850" w:gutter="0"/>
          <w:cols w:space="720" w:num="1"/>
          <w:docGrid w:linePitch="312" w:charSpace="0"/>
        </w:sectPr>
      </w:pPr>
    </w:p>
    <w:p w14:paraId="1D8657EE">
      <w:pPr>
        <w:jc w:val="center"/>
        <w:outlineLvl w:val="0"/>
        <w:rPr>
          <w:rFonts w:hint="eastAsia" w:ascii="宋体" w:hAnsi="宋体" w:cs="宋体"/>
          <w:b/>
          <w:snapToGrid w:val="0"/>
          <w:color w:val="auto"/>
          <w:kern w:val="0"/>
          <w:szCs w:val="21"/>
          <w:highlight w:val="none"/>
        </w:rPr>
      </w:pPr>
      <w:bookmarkStart w:id="81" w:name="_Toc23693"/>
      <w:bookmarkStart w:id="82" w:name="_Toc30078"/>
      <w:bookmarkStart w:id="83" w:name="_Toc4549_WPSOffice_Level1"/>
      <w:r>
        <w:rPr>
          <w:rStyle w:val="66"/>
          <w:rFonts w:hint="eastAsia" w:ascii="宋体" w:hAnsi="宋体" w:cs="宋体"/>
          <w:color w:val="auto"/>
          <w:sz w:val="36"/>
          <w:szCs w:val="36"/>
          <w:highlight w:val="none"/>
        </w:rPr>
        <w:t>第三章  采购</w:t>
      </w:r>
      <w:r>
        <w:rPr>
          <w:rStyle w:val="66"/>
          <w:rFonts w:hint="eastAsia" w:ascii="宋体" w:hAnsi="宋体" w:cs="宋体"/>
          <w:color w:val="auto"/>
          <w:sz w:val="36"/>
          <w:szCs w:val="36"/>
          <w:highlight w:val="none"/>
          <w:lang w:val="zh-CN"/>
        </w:rPr>
        <w:t>需求</w:t>
      </w:r>
      <w:bookmarkEnd w:id="81"/>
      <w:bookmarkEnd w:id="82"/>
      <w:bookmarkEnd w:id="83"/>
    </w:p>
    <w:p w14:paraId="313077BA">
      <w:pPr>
        <w:spacing w:line="460" w:lineRule="exact"/>
        <w:jc w:val="center"/>
        <w:rPr>
          <w:rFonts w:hint="eastAsia" w:ascii="黑体" w:hAnsi="宋体" w:eastAsia="黑体" w:cs="宋体"/>
          <w:color w:val="auto"/>
          <w:kern w:val="0"/>
          <w:sz w:val="24"/>
          <w:highlight w:val="none"/>
        </w:rPr>
      </w:pPr>
      <w:bookmarkStart w:id="84" w:name="_Toc19944"/>
      <w:r>
        <w:rPr>
          <w:rFonts w:hint="eastAsia" w:ascii="黑体" w:hAnsi="宋体" w:eastAsia="黑体" w:cs="宋体"/>
          <w:color w:val="auto"/>
          <w:kern w:val="0"/>
          <w:sz w:val="24"/>
          <w:highlight w:val="none"/>
        </w:rPr>
        <w:t>（▲条款为实质性响应条款，必须满足，否则作无效标处理；标注“★”号的指标为主要功能配置要求）</w:t>
      </w:r>
    </w:p>
    <w:p w14:paraId="29EB8C75">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一、服务内容</w:t>
      </w:r>
    </w:p>
    <w:p w14:paraId="6C37521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提供食堂炊事、保洁等服务，负责早、中、晚餐</w:t>
      </w:r>
      <w:r>
        <w:rPr>
          <w:rFonts w:hint="eastAsia" w:ascii="宋体" w:hAnsi="宋体" w:eastAsia="宋体" w:cs="宋体"/>
          <w:color w:val="auto"/>
          <w:sz w:val="24"/>
          <w:szCs w:val="24"/>
          <w:lang w:val="en-US" w:eastAsia="zh-CN"/>
        </w:rPr>
        <w:t>及辅食</w:t>
      </w:r>
      <w:r>
        <w:rPr>
          <w:rFonts w:hint="eastAsia" w:ascii="宋体" w:hAnsi="宋体" w:eastAsia="宋体" w:cs="宋体"/>
          <w:color w:val="auto"/>
          <w:sz w:val="24"/>
          <w:szCs w:val="24"/>
        </w:rPr>
        <w:t>制作（全年不停伙），食堂卫生安全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厨房设备管理</w:t>
      </w:r>
      <w:r>
        <w:rPr>
          <w:rFonts w:hint="eastAsia" w:ascii="宋体" w:hAnsi="宋体" w:eastAsia="宋体" w:cs="宋体"/>
          <w:color w:val="auto"/>
          <w:sz w:val="24"/>
          <w:szCs w:val="24"/>
        </w:rPr>
        <w:t xml:space="preserve">以及食品安全制度落实。 </w:t>
      </w:r>
    </w:p>
    <w:p w14:paraId="03BE4A6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投标人要严格执行采购人所</w:t>
      </w:r>
      <w:r>
        <w:rPr>
          <w:rFonts w:hint="eastAsia" w:ascii="宋体" w:hAnsi="宋体" w:eastAsia="宋体" w:cs="宋体"/>
          <w:color w:val="auto"/>
          <w:sz w:val="24"/>
          <w:szCs w:val="24"/>
          <w:lang w:eastAsia="zh-CN"/>
        </w:rPr>
        <w:t>制定</w:t>
      </w:r>
      <w:r>
        <w:rPr>
          <w:rFonts w:hint="eastAsia" w:ascii="宋体" w:hAnsi="宋体" w:eastAsia="宋体" w:cs="宋体"/>
          <w:color w:val="auto"/>
          <w:sz w:val="24"/>
          <w:szCs w:val="24"/>
        </w:rPr>
        <w:t>的规章制度，自觉服从采购人日常监督管理，并制订配套的内部管理制度，内容涵盖食品安全、</w:t>
      </w:r>
      <w:r>
        <w:rPr>
          <w:rFonts w:hint="eastAsia" w:ascii="宋体" w:hAnsi="宋体" w:eastAsia="宋体" w:cs="宋体"/>
          <w:color w:val="auto"/>
          <w:sz w:val="24"/>
          <w:szCs w:val="24"/>
          <w:lang w:val="en-US" w:eastAsia="zh-CN"/>
        </w:rPr>
        <w:t>消防安全、</w:t>
      </w:r>
      <w:r>
        <w:rPr>
          <w:rFonts w:hint="eastAsia" w:ascii="宋体" w:hAnsi="宋体" w:eastAsia="宋体" w:cs="宋体"/>
          <w:color w:val="auto"/>
          <w:sz w:val="24"/>
          <w:szCs w:val="24"/>
        </w:rPr>
        <w:t>环境卫生、人员管理、成本管理请销假制度等。</w:t>
      </w:r>
    </w:p>
    <w:p w14:paraId="739B2A2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投标人根据采购人的要求，于每周五11时前制订下周食谱，报采购人审定后实施。食谱的制订应当按照应时、应地、应人的原则，倡导少油、少糖、少盐的健康理念，做到周周有创新，</w:t>
      </w:r>
      <w:r>
        <w:rPr>
          <w:rFonts w:hint="eastAsia" w:ascii="宋体" w:hAnsi="宋体" w:eastAsia="宋体" w:cs="宋体"/>
          <w:color w:val="auto"/>
          <w:sz w:val="24"/>
          <w:szCs w:val="24"/>
          <w:lang w:val="en-US" w:eastAsia="zh-CN"/>
        </w:rPr>
        <w:t>例如</w:t>
      </w:r>
      <w:r>
        <w:rPr>
          <w:rFonts w:hint="eastAsia" w:ascii="宋体" w:hAnsi="宋体" w:eastAsia="宋体" w:cs="宋体"/>
          <w:color w:val="auto"/>
          <w:sz w:val="24"/>
          <w:szCs w:val="24"/>
        </w:rPr>
        <w:t>：</w:t>
      </w:r>
    </w:p>
    <w:p w14:paraId="56C56EB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早餐：肉包（菜包）、馒头、煎饼、饺子、面条、馄饨等面点，面包、蛋糕等糕点，每天不重样，保持2种以上；白粥、小米粥、各类花色粥等交替保障，每周不少于1次现磨豆浆（配套油条）；每天保持热菜2个、粗粮1-2样、小菜3个以上、水煮蛋。</w:t>
      </w:r>
    </w:p>
    <w:p w14:paraId="471864E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）中餐、晚餐：主食米饭，菜品按四菜一汤（2荤2素）保障。主打菜一周不重复，每餐菜肴荤素搭配均衡、色香味俱全、营养安排合理。</w:t>
      </w:r>
    </w:p>
    <w:p w14:paraId="4AF9B69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）如遇上级工作组，根据情况安排桌餐或自助餐；遇会议、集训等保障，人数额外超过10人，按5菜1汤（3荤2素）保障。</w:t>
      </w:r>
    </w:p>
    <w:p w14:paraId="76F7EEDF">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具体菜食安排以运营后实际情况为准。</w:t>
      </w:r>
    </w:p>
    <w:p w14:paraId="5B254F20">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开餐时间：</w:t>
      </w:r>
      <w:r>
        <w:rPr>
          <w:rFonts w:hint="eastAsia" w:ascii="宋体" w:hAnsi="宋体" w:eastAsia="宋体" w:cs="宋体"/>
          <w:color w:val="auto"/>
          <w:sz w:val="24"/>
          <w:szCs w:val="24"/>
          <w:lang w:val="en-US" w:eastAsia="zh-CN"/>
        </w:rPr>
        <w:t>同县府食堂工作时间。</w:t>
      </w:r>
    </w:p>
    <w:p w14:paraId="68D466B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特殊情况下提供加班服务（如：因工作冲突，延时下班推迟开餐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政务接待</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w:t>
      </w:r>
    </w:p>
    <w:p w14:paraId="65946956">
      <w:pPr>
        <w:pStyle w:val="2"/>
        <w:rPr>
          <w:rFonts w:hint="default"/>
          <w:color w:val="auto"/>
          <w:lang w:val="en-US" w:eastAsia="zh-CN"/>
        </w:rPr>
      </w:pPr>
      <w:r>
        <w:rPr>
          <w:rFonts w:hint="eastAsia" w:ascii="宋体" w:hAnsi="宋体" w:eastAsia="宋体" w:cs="宋体"/>
          <w:color w:val="auto"/>
          <w:sz w:val="24"/>
          <w:szCs w:val="24"/>
          <w:lang w:val="en-US" w:eastAsia="zh-CN"/>
        </w:rPr>
        <w:t>4.投标人需保障每日每餐不少于60人次的餐饮服务，工作点位除民国楼外，涵盖浦江县诗画里幸福产业有限公司旗下其余服务点位。</w:t>
      </w:r>
    </w:p>
    <w:p w14:paraId="45524FB1">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二、管理要求</w:t>
      </w:r>
    </w:p>
    <w:p w14:paraId="397265AF">
      <w:pPr>
        <w:keepNext w:val="0"/>
        <w:keepLines w:val="0"/>
        <w:pageBreakBefore w:val="0"/>
        <w:kinsoku/>
        <w:wordWrap/>
        <w:overflowPunct/>
        <w:topLinePunct w:val="0"/>
        <w:bidi w:val="0"/>
        <w:snapToGrid/>
        <w:spacing w:line="360" w:lineRule="auto"/>
        <w:ind w:firstLine="360" w:firstLineChars="1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（一）食堂卫生管理制度</w:t>
      </w:r>
    </w:p>
    <w:p w14:paraId="2D736CE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厨房烹调加工食物用过的废水必须及时排除；</w:t>
      </w:r>
    </w:p>
    <w:p w14:paraId="6ECAE10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地面天花板、墙壁、门窗保持整洁；</w:t>
      </w:r>
    </w:p>
    <w:p w14:paraId="6A5A526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定期清洗抽油烟设备；</w:t>
      </w:r>
    </w:p>
    <w:p w14:paraId="731DC52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工作厨台，橱柜下面、内侧及厨房死角，应特别注意清扫，防止残留食物腐蚀；</w:t>
      </w:r>
    </w:p>
    <w:p w14:paraId="3C3BFE3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食物应在工作台上操作加工，并将生熟食物分开处理，刀、菜墩、抹布等必须保持清洁卫生；</w:t>
      </w:r>
    </w:p>
    <w:p w14:paraId="7FFD47B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6、食物应保持新鲜、清洁、卫生，并于清洗后分类用塑料袋包紧，或装在盖容器内分别储放冷藏区、冷冻区，要确定做到勿将食物在生活常温中暴露太久；</w:t>
      </w:r>
    </w:p>
    <w:p w14:paraId="026AF8C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7、凡易腐的食物，应储藏在0度以下，生熟分开储放，防止食物串味；</w:t>
      </w:r>
    </w:p>
    <w:p w14:paraId="21D473D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8、调味品应以适当容器装盛，使用后随机加盖，所有器皿及菜点均不得与地面或污垢接触；</w:t>
      </w:r>
    </w:p>
    <w:p w14:paraId="4224F8D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9、员工工作时，工作服装应穿着整齐，不得留长发、长指甲；</w:t>
      </w:r>
    </w:p>
    <w:p w14:paraId="40A786C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10、在厨房工作时，不得在工作区域抽烟，咳嗽、吐口水、打喷嚏</w:t>
      </w:r>
      <w:r>
        <w:rPr>
          <w:rFonts w:hint="eastAsia" w:ascii="宋体" w:hAnsi="宋体" w:eastAsia="宋体" w:cs="宋体"/>
          <w:color w:val="auto"/>
          <w:kern w:val="0"/>
          <w:sz w:val="24"/>
          <w:szCs w:val="24"/>
          <w:lang w:eastAsia="zh-CN"/>
        </w:rPr>
        <w:t>时</w:t>
      </w:r>
      <w:r>
        <w:rPr>
          <w:rFonts w:hint="eastAsia" w:ascii="宋体" w:hAnsi="宋体" w:eastAsia="宋体" w:cs="宋体"/>
          <w:color w:val="auto"/>
          <w:kern w:val="0"/>
          <w:sz w:val="24"/>
          <w:szCs w:val="24"/>
        </w:rPr>
        <w:t>要避开食物；</w:t>
      </w:r>
    </w:p>
    <w:p w14:paraId="2A6DF51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11、厨房人员工作前、方便后应彻底洗手，保持双手的清洁；</w:t>
      </w:r>
    </w:p>
    <w:p w14:paraId="62759B8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12、厨房清洁扫除工作应每日数次（不得少于2次），清洁完毕后用具应集中处置，杀虫剂应与洗涤剂分开放置，并指定专人看管；</w:t>
      </w:r>
    </w:p>
    <w:p w14:paraId="2AB62E8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13、不得在厨房内躺卧或住宿，不得随便悬挂衣物及放置鞋履，不得乱放杂物等；</w:t>
      </w:r>
    </w:p>
    <w:p w14:paraId="6D89CA1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14、遇有疾病或传染病时，应在家中或医院治疗，停止一切厨房工作。</w:t>
      </w:r>
    </w:p>
    <w:p w14:paraId="59FDF84B">
      <w:pPr>
        <w:keepNext w:val="0"/>
        <w:keepLines w:val="0"/>
        <w:pageBreakBefore w:val="0"/>
        <w:kinsoku/>
        <w:wordWrap/>
        <w:overflowPunct/>
        <w:topLinePunct w:val="0"/>
        <w:bidi w:val="0"/>
        <w:snapToGrid/>
        <w:spacing w:line="360" w:lineRule="auto"/>
        <w:ind w:firstLine="360" w:firstLineChars="1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（二）食品原料管理及验收制度</w:t>
      </w:r>
    </w:p>
    <w:p w14:paraId="7DDF261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1、根据食堂生产程序标准，实行烹饪原料先进先出原则，合理使用原料，避免先后程序不分，先入库房原料搁置不用；</w:t>
      </w:r>
    </w:p>
    <w:p w14:paraId="5F4D5A6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2、原料需专人保管，严格按量使用，做到按量使用，物尽其用；</w:t>
      </w:r>
    </w:p>
    <w:p w14:paraId="2D57ADC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3、未经许可，不得私自制作不相关菜品，杜绝任何原料浪费行为；</w:t>
      </w:r>
    </w:p>
    <w:p w14:paraId="10E9A96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4、不得使用霉变、有异味等一切变质的烹饪原料，对原料做到先入先出，随时检查；</w:t>
      </w:r>
    </w:p>
    <w:p w14:paraId="0B43903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5、严格落实食品留样制度；</w:t>
      </w:r>
    </w:p>
    <w:p w14:paraId="3508B0D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6、不许乱拿、乱吃、乱做厨房的一切食品，处理变质原料需批准；</w:t>
      </w:r>
    </w:p>
    <w:p w14:paraId="09C1DAF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7、验收菜品及副食品时</w:t>
      </w:r>
      <w:r>
        <w:rPr>
          <w:rFonts w:hint="eastAsia" w:ascii="宋体" w:hAnsi="宋体" w:eastAsia="宋体" w:cs="宋体"/>
          <w:color w:val="auto"/>
          <w:kern w:val="0"/>
          <w:sz w:val="24"/>
          <w:szCs w:val="24"/>
          <w:lang w:val="en-US" w:eastAsia="zh-CN"/>
        </w:rPr>
        <w:t>应严格把关，</w:t>
      </w:r>
      <w:r>
        <w:rPr>
          <w:rFonts w:hint="eastAsia" w:ascii="宋体" w:hAnsi="宋体" w:eastAsia="宋体" w:cs="宋体"/>
          <w:color w:val="auto"/>
          <w:kern w:val="0"/>
          <w:sz w:val="24"/>
          <w:szCs w:val="24"/>
        </w:rPr>
        <w:t>秉公验收；</w:t>
      </w:r>
    </w:p>
    <w:p w14:paraId="56E66C4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8、验收人员必须严格按照验收程序完成原料验收工作，必须了解收到的原料是否与采购单上需求的一致，质量是否符合验收要求，如不符合，拒绝验收；</w:t>
      </w:r>
    </w:p>
    <w:p w14:paraId="3CEFC34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9、验收完毕留好单据，备存或交给食堂主要负责人；</w:t>
      </w:r>
    </w:p>
    <w:p w14:paraId="54E05BA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10、以上制度适用于食堂所有工作人员，违反上述规定者按相关要求处罚。</w:t>
      </w:r>
    </w:p>
    <w:p w14:paraId="204C961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（三）食堂防火安全制度</w:t>
      </w:r>
    </w:p>
    <w:p w14:paraId="39B7C28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厨房引起火灾的主要因素：大量堆积易燃油脂，煤气炉未及时关闭，燃气漏气，电器设备未及时切断，电源或超负荷用电等</w:t>
      </w:r>
      <w:r>
        <w:rPr>
          <w:rFonts w:hint="eastAsia" w:ascii="宋体" w:hAnsi="宋体" w:eastAsia="宋体" w:cs="宋体"/>
          <w:color w:val="auto"/>
          <w:kern w:val="0"/>
          <w:sz w:val="24"/>
          <w:szCs w:val="24"/>
          <w:lang w:eastAsia="zh-CN"/>
        </w:rPr>
        <w:t>。</w:t>
      </w:r>
    </w:p>
    <w:p w14:paraId="04E0941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1、发现电器设备接头不牢或发生故障时，应及时报修，修复后才能使用；</w:t>
      </w:r>
    </w:p>
    <w:p w14:paraId="3D7B586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2、不能超负荷使用电器设备；</w:t>
      </w:r>
    </w:p>
    <w:p w14:paraId="354CA7C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3、各种电器设备在不用时或用完后切断电源；</w:t>
      </w:r>
    </w:p>
    <w:p w14:paraId="7CB0FC0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4、易燃物贮藏应远离热源；</w:t>
      </w:r>
    </w:p>
    <w:p w14:paraId="539974B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5、每天洗净残留油脂；</w:t>
      </w:r>
    </w:p>
    <w:p w14:paraId="3248F20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6、防范煤气中毒；</w:t>
      </w:r>
    </w:p>
    <w:p w14:paraId="368475F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7、炉灶周围不准放置易燃易爆物品；</w:t>
      </w:r>
    </w:p>
    <w:p w14:paraId="301E14F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8、每天清洗炉灶、炉罩，每月至少清洗2次抽油烟机滤网；</w:t>
      </w:r>
    </w:p>
    <w:p w14:paraId="06A2B29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9、下班后关闭能源开关；</w:t>
      </w:r>
    </w:p>
    <w:p w14:paraId="7938340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10、上岗前应学会处理意外事故的最初掌控方法和报警方法。</w:t>
      </w:r>
    </w:p>
    <w:p w14:paraId="61884A5A">
      <w:pPr>
        <w:pStyle w:val="25"/>
        <w:ind w:firstLine="480" w:firstLineChars="200"/>
        <w:rPr>
          <w:rFonts w:hint="default" w:eastAsia="宋体"/>
          <w:color w:val="auto"/>
          <w:lang w:val="en-US" w:eastAsia="zh-CN"/>
        </w:rPr>
      </w:pPr>
      <w:r>
        <w:rPr>
          <w:rFonts w:hint="eastAsia" w:ascii="宋体" w:hAnsi="宋体" w:cs="宋体"/>
          <w:color w:val="auto"/>
          <w:kern w:val="0"/>
          <w:sz w:val="24"/>
          <w:szCs w:val="24"/>
          <w:lang w:val="en-US" w:eastAsia="zh-CN"/>
        </w:rPr>
        <w:t>11、设立厨房消防安全台账，由厨师长或指定专人负责。</w:t>
      </w:r>
    </w:p>
    <w:p w14:paraId="4D72AD8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（四）食堂设备及用具管理制度</w:t>
      </w:r>
    </w:p>
    <w:p w14:paraId="38EFB41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1、食堂所有设备、设施、用具实行文明操作，按规范标准操作与管理；</w:t>
      </w:r>
    </w:p>
    <w:p w14:paraId="29FAE1E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2、对食堂内所有设备制定的保养维护措施，人人遵守；</w:t>
      </w:r>
    </w:p>
    <w:p w14:paraId="4EAD547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3、食堂内的一切个人使用器具应妥善保管使用及维护；</w:t>
      </w:r>
    </w:p>
    <w:p w14:paraId="2D1821A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4、食堂内用具如需报废，需报负责人；</w:t>
      </w:r>
    </w:p>
    <w:p w14:paraId="1B29B67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5、食堂内的一切用具、餐具、零部件都应轻拿轻放，避免人为损坏，所有公共物品，包括剩余菜品均不准私自带出食堂。</w:t>
      </w:r>
    </w:p>
    <w:p w14:paraId="6AF28C84">
      <w:pPr>
        <w:pStyle w:val="25"/>
        <w:rPr>
          <w:rFonts w:hint="default" w:eastAsia="宋体"/>
          <w:color w:val="auto"/>
          <w:lang w:val="en-US" w:eastAsia="zh-CN"/>
        </w:rPr>
      </w:pPr>
      <w:r>
        <w:rPr>
          <w:rFonts w:hint="eastAsia" w:ascii="宋体" w:hAnsi="宋体" w:cs="宋体"/>
          <w:color w:val="auto"/>
          <w:kern w:val="0"/>
          <w:sz w:val="24"/>
          <w:szCs w:val="24"/>
          <w:lang w:val="en-US" w:eastAsia="zh-CN"/>
        </w:rPr>
        <w:t xml:space="preserve">    6、食堂所有设备、用具登记造册，清点无误、不得私自带出或外借。</w:t>
      </w:r>
    </w:p>
    <w:p w14:paraId="0392869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三、服务人员需求</w:t>
      </w:r>
    </w:p>
    <w:p w14:paraId="3CA72677">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（1）所有工作人员身心健康、五官端正，遵守社会公德，无违法违纪记录，年龄符合国家规定；工作期间，服务人员着餐饮服务企业统一配发的工作服、佩戴胸牌，全时佩戴医用一次性口罩。</w:t>
      </w:r>
    </w:p>
    <w:p w14:paraId="6D5C50B8">
      <w:pPr>
        <w:pStyle w:val="2"/>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lang w:val="en-US" w:eastAsia="zh-CN" w:bidi="ar-SA"/>
        </w:rPr>
      </w:pPr>
      <w:r>
        <w:rPr>
          <w:rFonts w:hint="eastAsia" w:ascii="黑体" w:hAnsi="宋体" w:eastAsia="黑体" w:cs="宋体"/>
          <w:b/>
          <w:bCs/>
          <w:color w:val="auto"/>
          <w:kern w:val="0"/>
          <w:sz w:val="24"/>
          <w:highlight w:val="none"/>
        </w:rPr>
        <w:t>▲</w:t>
      </w:r>
      <w:r>
        <w:rPr>
          <w:rFonts w:hint="eastAsia" w:ascii="宋体" w:hAnsi="宋体" w:eastAsia="宋体" w:cs="宋体"/>
          <w:b/>
          <w:bCs/>
          <w:color w:val="auto"/>
          <w:kern w:val="2"/>
          <w:sz w:val="24"/>
          <w:szCs w:val="24"/>
          <w:lang w:val="en-US" w:eastAsia="zh-CN" w:bidi="ar-SA"/>
        </w:rPr>
        <w:t>（2）人员要求：</w:t>
      </w:r>
      <w:r>
        <w:rPr>
          <w:rFonts w:hint="eastAsia" w:ascii="宋体" w:hAnsi="宋体" w:eastAsia="宋体" w:cs="宋体"/>
          <w:b/>
          <w:bCs/>
          <w:color w:val="auto"/>
          <w:sz w:val="24"/>
          <w:szCs w:val="24"/>
        </w:rPr>
        <w:t>厨师</w:t>
      </w:r>
      <w:r>
        <w:rPr>
          <w:rFonts w:hint="eastAsia" w:ascii="宋体" w:hAnsi="宋体" w:eastAsia="宋体" w:cs="宋体"/>
          <w:b/>
          <w:bCs/>
          <w:color w:val="auto"/>
          <w:sz w:val="24"/>
          <w:szCs w:val="24"/>
          <w:lang w:eastAsia="zh-CN"/>
        </w:rPr>
        <w:t>不少于</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人，</w:t>
      </w:r>
      <w:r>
        <w:rPr>
          <w:rFonts w:hint="eastAsia" w:ascii="宋体" w:hAnsi="宋体" w:eastAsia="宋体" w:cs="宋体"/>
          <w:b/>
          <w:bCs/>
          <w:color w:val="auto"/>
          <w:kern w:val="0"/>
          <w:sz w:val="24"/>
          <w:szCs w:val="24"/>
          <w:lang w:val="en-US" w:eastAsia="zh-CN" w:bidi="ar-SA"/>
        </w:rPr>
        <w:t>面点师不少于2人，洗杂服务人员2人，工作勤恳，认真负责。</w:t>
      </w:r>
    </w:p>
    <w:p w14:paraId="1D186C24">
      <w:pPr>
        <w:pStyle w:val="2"/>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注：以上所有人员年龄应在55周岁以内，合同签订前提供健康证明，无犯罪记录证明文件。</w:t>
      </w:r>
    </w:p>
    <w:p w14:paraId="3538732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三、商务需求</w:t>
      </w:r>
    </w:p>
    <w:p w14:paraId="6E9A4D20">
      <w:pPr>
        <w:pStyle w:val="369"/>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1、服务期：</w:t>
      </w:r>
      <w:r>
        <w:rPr>
          <w:rFonts w:hint="eastAsia" w:ascii="宋体" w:hAnsi="宋体" w:cs="宋体"/>
          <w:b/>
          <w:bCs/>
          <w:color w:val="auto"/>
          <w:kern w:val="0"/>
          <w:sz w:val="24"/>
          <w:highlight w:val="none"/>
          <w:lang w:eastAsia="zh-CN"/>
        </w:rPr>
        <w:t>自合同签订之日起三年。</w:t>
      </w:r>
    </w:p>
    <w:p w14:paraId="521B7835">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rPr>
        <w:t>2、付款方式：</w:t>
      </w:r>
      <w:r>
        <w:rPr>
          <w:rFonts w:hint="eastAsia" w:ascii="宋体" w:hAnsi="宋体" w:eastAsia="宋体" w:cs="宋体"/>
          <w:b/>
          <w:bCs w:val="0"/>
          <w:color w:val="auto"/>
          <w:sz w:val="24"/>
          <w:highlight w:val="none"/>
          <w:lang w:eastAsia="zh-CN"/>
        </w:rPr>
        <w:t>合同款支付与考核结果挂钩，中标价的80%作为基本合同款，按月平均分摊基本合同款每月支付一次；中标价的20%作为绩效合同款，与月度考核结果挂钩，因故扣减的费用在该付款周期中一并核减</w:t>
      </w:r>
      <w:r>
        <w:rPr>
          <w:rFonts w:hint="eastAsia" w:ascii="宋体" w:hAnsi="宋体" w:eastAsia="宋体" w:cs="宋体"/>
          <w:color w:val="auto"/>
          <w:kern w:val="0"/>
          <w:sz w:val="24"/>
          <w:szCs w:val="24"/>
          <w:lang w:val="en-US" w:eastAsia="zh-CN" w:bidi="ar-SA"/>
        </w:rPr>
        <w:t>。投标人每期服务费用需开具本单位出具的正式发票。</w:t>
      </w:r>
    </w:p>
    <w:p w14:paraId="4183B159">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3、考核合同期满无任何违约后无息退还。每月组织满意度测评，满意率低于90%扣除相应履约保证金：</w:t>
      </w:r>
      <w:r>
        <w:rPr>
          <w:rFonts w:hint="eastAsia" w:ascii="宋体" w:hAnsi="宋体" w:eastAsia="宋体" w:cs="宋体"/>
          <w:color w:val="auto"/>
          <w:kern w:val="0"/>
          <w:sz w:val="24"/>
          <w:szCs w:val="24"/>
          <w:lang w:val="en-US" w:eastAsia="zh-CN" w:bidi="ar-SA"/>
        </w:rPr>
        <w:sym w:font="Wingdings" w:char="F081"/>
      </w:r>
      <w:r>
        <w:rPr>
          <w:rFonts w:hint="eastAsia" w:ascii="宋体" w:hAnsi="宋体" w:eastAsia="宋体" w:cs="宋体"/>
          <w:color w:val="auto"/>
          <w:kern w:val="0"/>
          <w:sz w:val="24"/>
          <w:szCs w:val="24"/>
          <w:lang w:val="en-US" w:eastAsia="zh-CN" w:bidi="ar-SA"/>
        </w:rPr>
        <w:t>满意率在80%-89%，扣除20%；</w:t>
      </w:r>
      <w:r>
        <w:rPr>
          <w:rFonts w:hint="eastAsia" w:ascii="宋体" w:hAnsi="宋体" w:eastAsia="宋体" w:cs="宋体"/>
          <w:color w:val="auto"/>
          <w:kern w:val="0"/>
          <w:sz w:val="24"/>
          <w:szCs w:val="24"/>
          <w:lang w:val="en-US" w:eastAsia="zh-CN" w:bidi="ar-SA"/>
        </w:rPr>
        <w:sym w:font="Wingdings" w:char="F082"/>
      </w:r>
      <w:r>
        <w:rPr>
          <w:rFonts w:hint="eastAsia" w:ascii="宋体" w:hAnsi="宋体" w:eastAsia="宋体" w:cs="宋体"/>
          <w:color w:val="auto"/>
          <w:kern w:val="0"/>
          <w:sz w:val="24"/>
          <w:szCs w:val="24"/>
          <w:lang w:val="en-US" w:eastAsia="zh-CN" w:bidi="ar-SA"/>
        </w:rPr>
        <w:t>满意率在70%-79%，扣除40%；</w:t>
      </w:r>
      <w:r>
        <w:rPr>
          <w:rFonts w:hint="eastAsia" w:ascii="宋体" w:hAnsi="宋体" w:eastAsia="宋体" w:cs="宋体"/>
          <w:color w:val="auto"/>
          <w:kern w:val="0"/>
          <w:sz w:val="24"/>
          <w:szCs w:val="24"/>
          <w:lang w:val="en-US" w:eastAsia="zh-CN" w:bidi="ar-SA"/>
        </w:rPr>
        <w:sym w:font="Wingdings" w:char="F083"/>
      </w:r>
      <w:r>
        <w:rPr>
          <w:rFonts w:hint="eastAsia" w:ascii="宋体" w:hAnsi="宋体" w:eastAsia="宋体" w:cs="宋体"/>
          <w:color w:val="auto"/>
          <w:kern w:val="0"/>
          <w:sz w:val="24"/>
          <w:szCs w:val="24"/>
          <w:lang w:val="en-US" w:eastAsia="zh-CN" w:bidi="ar-SA"/>
        </w:rPr>
        <w:t>满意率在60%-69%，扣除60%；④连续两次测评满意率低于70%，采购方有权单方面终止合同。</w:t>
      </w:r>
    </w:p>
    <w:p w14:paraId="217D75AB">
      <w:pPr>
        <w:bidi w:val="0"/>
        <w:ind w:firstLine="420" w:firstLineChars="200"/>
        <w:rPr>
          <w:rFonts w:hint="eastAsia"/>
          <w:color w:val="auto"/>
          <w:highlight w:val="none"/>
          <w:lang w:eastAsia="zh-CN"/>
        </w:rPr>
      </w:pPr>
    </w:p>
    <w:p w14:paraId="48D2DEA5">
      <w:pPr>
        <w:bidi w:val="0"/>
        <w:rPr>
          <w:rFonts w:hint="eastAsia" w:ascii="宋体" w:hAnsi="宋体" w:eastAsia="宋体" w:cs="宋体"/>
          <w:color w:val="auto"/>
          <w:sz w:val="24"/>
          <w:szCs w:val="24"/>
          <w:highlight w:val="none"/>
          <w:lang w:eastAsia="zh-CN"/>
        </w:rPr>
      </w:pPr>
      <w:r>
        <w:rPr>
          <w:rFonts w:hint="eastAsia"/>
          <w:color w:val="auto"/>
          <w:highlight w:val="none"/>
          <w:lang w:eastAsia="zh-CN"/>
        </w:rPr>
        <w:br w:type="page"/>
      </w:r>
      <w:r>
        <w:rPr>
          <w:rFonts w:hint="eastAsia" w:ascii="宋体" w:hAnsi="宋体" w:eastAsia="宋体" w:cs="宋体"/>
          <w:b/>
          <w:bCs/>
          <w:color w:val="auto"/>
          <w:sz w:val="24"/>
          <w:szCs w:val="24"/>
          <w:highlight w:val="none"/>
          <w:lang w:eastAsia="zh-CN"/>
        </w:rPr>
        <w:t>附件：</w:t>
      </w:r>
    </w:p>
    <w:tbl>
      <w:tblPr>
        <w:tblStyle w:val="53"/>
        <w:tblpPr w:leftFromText="180" w:rightFromText="180" w:vertAnchor="page" w:horzAnchor="page" w:tblpX="1410" w:tblpY="25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32"/>
        <w:gridCol w:w="1305"/>
        <w:gridCol w:w="4772"/>
      </w:tblGrid>
      <w:tr w14:paraId="58E7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55AE66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632" w:type="dxa"/>
            <w:noWrap w:val="0"/>
            <w:vAlign w:val="center"/>
          </w:tcPr>
          <w:p w14:paraId="77A7EE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值</w:t>
            </w:r>
          </w:p>
        </w:tc>
        <w:tc>
          <w:tcPr>
            <w:tcW w:w="1305" w:type="dxa"/>
            <w:noWrap w:val="0"/>
            <w:vAlign w:val="center"/>
          </w:tcPr>
          <w:p w14:paraId="744E91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  分</w:t>
            </w:r>
          </w:p>
        </w:tc>
        <w:tc>
          <w:tcPr>
            <w:tcW w:w="4772" w:type="dxa"/>
            <w:noWrap w:val="0"/>
            <w:vAlign w:val="center"/>
          </w:tcPr>
          <w:p w14:paraId="018966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437A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045ABA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饭菜质量</w:t>
            </w:r>
          </w:p>
        </w:tc>
        <w:tc>
          <w:tcPr>
            <w:tcW w:w="1632" w:type="dxa"/>
            <w:noWrap w:val="0"/>
            <w:vAlign w:val="center"/>
          </w:tcPr>
          <w:p w14:paraId="636629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05" w:type="dxa"/>
            <w:noWrap w:val="0"/>
            <w:vAlign w:val="center"/>
          </w:tcPr>
          <w:p w14:paraId="7AFE60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restart"/>
            <w:noWrap w:val="0"/>
            <w:vAlign w:val="center"/>
          </w:tcPr>
          <w:p w14:paraId="42DB681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注：满意度测评每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开展一次（测评次数</w:t>
            </w:r>
            <w:r>
              <w:rPr>
                <w:rFonts w:hint="eastAsia" w:ascii="宋体" w:hAnsi="宋体" w:eastAsia="宋体" w:cs="宋体"/>
                <w:color w:val="auto"/>
                <w:sz w:val="24"/>
                <w:szCs w:val="24"/>
                <w:highlight w:val="none"/>
                <w:lang w:eastAsia="zh-CN"/>
              </w:rPr>
              <w:t>浦江</w:t>
            </w:r>
            <w:r>
              <w:rPr>
                <w:rFonts w:hint="eastAsia" w:ascii="宋体" w:hAnsi="宋体" w:eastAsia="宋体" w:cs="宋体"/>
                <w:color w:val="auto"/>
                <w:sz w:val="24"/>
                <w:szCs w:val="24"/>
                <w:highlight w:val="none"/>
                <w:lang w:val="en-US" w:eastAsia="zh-CN"/>
              </w:rPr>
              <w:t>县诗画里幸福产业有限公司</w:t>
            </w:r>
            <w:r>
              <w:rPr>
                <w:rFonts w:hint="eastAsia" w:ascii="宋体" w:hAnsi="宋体" w:eastAsia="宋体" w:cs="宋体"/>
                <w:color w:val="auto"/>
                <w:sz w:val="24"/>
                <w:szCs w:val="24"/>
                <w:highlight w:val="none"/>
              </w:rPr>
              <w:t>有权调整），测评对象：</w:t>
            </w:r>
            <w:r>
              <w:rPr>
                <w:rFonts w:hint="eastAsia" w:ascii="宋体" w:hAnsi="宋体" w:eastAsia="宋体" w:cs="宋体"/>
                <w:color w:val="auto"/>
                <w:sz w:val="24"/>
                <w:szCs w:val="24"/>
                <w:highlight w:val="none"/>
                <w:lang w:val="en-US" w:eastAsia="zh-CN"/>
              </w:rPr>
              <w:t>就餐人员、食堂管理人员</w:t>
            </w:r>
            <w:r>
              <w:rPr>
                <w:rFonts w:hint="eastAsia" w:ascii="宋体" w:hAnsi="宋体" w:eastAsia="宋体" w:cs="宋体"/>
                <w:color w:val="auto"/>
                <w:sz w:val="24"/>
                <w:szCs w:val="24"/>
                <w:highlight w:val="none"/>
              </w:rPr>
              <w:t>。连续</w:t>
            </w:r>
            <w:r>
              <w:rPr>
                <w:rFonts w:hint="default" w:ascii="宋体" w:hAnsi="宋体" w:eastAsia="宋体" w:cs="宋体"/>
                <w:color w:val="auto"/>
                <w:sz w:val="24"/>
                <w:szCs w:val="24"/>
                <w:highlight w:val="none"/>
              </w:rPr>
              <w:t>两</w:t>
            </w:r>
            <w:r>
              <w:rPr>
                <w:rFonts w:hint="eastAsia" w:ascii="宋体" w:hAnsi="宋体" w:eastAsia="宋体" w:cs="宋体"/>
                <w:color w:val="auto"/>
                <w:sz w:val="24"/>
                <w:szCs w:val="24"/>
                <w:highlight w:val="none"/>
              </w:rPr>
              <w:t>次满意度测评结果</w:t>
            </w:r>
            <w:r>
              <w:rPr>
                <w:rFonts w:hint="eastAsia" w:ascii="宋体" w:hAnsi="宋体" w:eastAsia="宋体" w:cs="宋体"/>
                <w:color w:val="auto"/>
                <w:sz w:val="24"/>
                <w:szCs w:val="24"/>
                <w:highlight w:val="none"/>
                <w:lang w:eastAsia="zh-CN"/>
              </w:rPr>
              <w:t>平均分</w:t>
            </w:r>
            <w:r>
              <w:rPr>
                <w:rFonts w:hint="eastAsia" w:ascii="宋体" w:hAnsi="宋体" w:eastAsia="宋体" w:cs="宋体"/>
                <w:color w:val="auto"/>
                <w:sz w:val="24"/>
                <w:szCs w:val="24"/>
                <w:highlight w:val="none"/>
              </w:rPr>
              <w:t>小于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浦江县</w:t>
            </w:r>
            <w:r>
              <w:rPr>
                <w:rFonts w:hint="eastAsia" w:ascii="宋体" w:hAnsi="宋体" w:eastAsia="宋体" w:cs="宋体"/>
                <w:color w:val="auto"/>
                <w:sz w:val="24"/>
                <w:szCs w:val="24"/>
                <w:highlight w:val="none"/>
                <w:lang w:val="en-US" w:eastAsia="zh-CN"/>
              </w:rPr>
              <w:t>诗画里幸福产业有限公司</w:t>
            </w:r>
            <w:r>
              <w:rPr>
                <w:rFonts w:hint="eastAsia" w:ascii="宋体" w:hAnsi="宋体" w:eastAsia="宋体" w:cs="宋体"/>
                <w:color w:val="auto"/>
                <w:sz w:val="24"/>
                <w:szCs w:val="24"/>
                <w:highlight w:val="none"/>
              </w:rPr>
              <w:t>有权立即终止合同。</w:t>
            </w:r>
          </w:p>
        </w:tc>
      </w:tr>
      <w:tr w14:paraId="6928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151758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饭菜数量</w:t>
            </w:r>
          </w:p>
        </w:tc>
        <w:tc>
          <w:tcPr>
            <w:tcW w:w="1632" w:type="dxa"/>
            <w:noWrap w:val="0"/>
            <w:vAlign w:val="center"/>
          </w:tcPr>
          <w:p w14:paraId="7C5DD7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05" w:type="dxa"/>
            <w:noWrap w:val="0"/>
            <w:vAlign w:val="center"/>
          </w:tcPr>
          <w:p w14:paraId="4A1FE2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57F2C10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45CC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2CC6A0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食品卫生</w:t>
            </w:r>
          </w:p>
        </w:tc>
        <w:tc>
          <w:tcPr>
            <w:tcW w:w="1632" w:type="dxa"/>
            <w:noWrap w:val="0"/>
            <w:vAlign w:val="center"/>
          </w:tcPr>
          <w:p w14:paraId="15197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1305" w:type="dxa"/>
            <w:noWrap w:val="0"/>
            <w:vAlign w:val="center"/>
          </w:tcPr>
          <w:p w14:paraId="67B00A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4F5FB1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4F50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765EDA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餐具卫生</w:t>
            </w:r>
          </w:p>
        </w:tc>
        <w:tc>
          <w:tcPr>
            <w:tcW w:w="1632" w:type="dxa"/>
            <w:noWrap w:val="0"/>
            <w:vAlign w:val="center"/>
          </w:tcPr>
          <w:p w14:paraId="6C72B1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1305" w:type="dxa"/>
            <w:noWrap w:val="0"/>
            <w:vAlign w:val="center"/>
          </w:tcPr>
          <w:p w14:paraId="383D88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207AF3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67A2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2EE921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服务态度</w:t>
            </w:r>
          </w:p>
        </w:tc>
        <w:tc>
          <w:tcPr>
            <w:tcW w:w="1632" w:type="dxa"/>
            <w:noWrap w:val="0"/>
            <w:vAlign w:val="center"/>
          </w:tcPr>
          <w:p w14:paraId="348FD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1305" w:type="dxa"/>
            <w:noWrap w:val="0"/>
            <w:vAlign w:val="center"/>
          </w:tcPr>
          <w:p w14:paraId="777EEA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0F23FC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3914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0655BC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w:t>
            </w:r>
          </w:p>
        </w:tc>
        <w:tc>
          <w:tcPr>
            <w:tcW w:w="1632" w:type="dxa"/>
            <w:noWrap w:val="0"/>
            <w:vAlign w:val="center"/>
          </w:tcPr>
          <w:p w14:paraId="52AC1B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305" w:type="dxa"/>
            <w:noWrap w:val="0"/>
            <w:vAlign w:val="center"/>
          </w:tcPr>
          <w:p w14:paraId="712125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110750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30CF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740" w:type="dxa"/>
            <w:noWrap w:val="0"/>
            <w:vAlign w:val="center"/>
          </w:tcPr>
          <w:p w14:paraId="155E5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632" w:type="dxa"/>
            <w:noWrap w:val="0"/>
            <w:vAlign w:val="center"/>
          </w:tcPr>
          <w:p w14:paraId="2274A4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305" w:type="dxa"/>
            <w:noWrap w:val="0"/>
            <w:vAlign w:val="center"/>
          </w:tcPr>
          <w:p w14:paraId="6B6E37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1EDE238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bl>
    <w:p w14:paraId="4FF6546D">
      <w:pPr>
        <w:rPr>
          <w:color w:val="auto"/>
          <w:highlight w:val="none"/>
        </w:rPr>
      </w:pPr>
    </w:p>
    <w:p w14:paraId="1BC33E46">
      <w:pPr>
        <w:rPr>
          <w:rFonts w:hint="eastAsia"/>
          <w:color w:val="auto"/>
          <w:highlight w:val="none"/>
        </w:rPr>
      </w:pPr>
    </w:p>
    <w:p w14:paraId="32B6B482">
      <w:pPr>
        <w:rPr>
          <w:rFonts w:hint="eastAsia"/>
          <w:color w:val="auto"/>
          <w:highlight w:val="none"/>
        </w:rPr>
      </w:pPr>
    </w:p>
    <w:p w14:paraId="25C0C389">
      <w:pPr>
        <w:rPr>
          <w:rFonts w:hint="eastAsia"/>
          <w:color w:val="auto"/>
          <w:highlight w:val="none"/>
        </w:rPr>
      </w:pPr>
    </w:p>
    <w:p w14:paraId="28FCDC29">
      <w:pPr>
        <w:rPr>
          <w:rFonts w:hint="eastAsia"/>
          <w:color w:val="auto"/>
          <w:highlight w:val="none"/>
        </w:rPr>
      </w:pPr>
    </w:p>
    <w:p w14:paraId="6BB265FD">
      <w:pPr>
        <w:rPr>
          <w:rFonts w:hint="eastAsia"/>
          <w:color w:val="auto"/>
          <w:highlight w:val="none"/>
        </w:rPr>
      </w:pPr>
    </w:p>
    <w:p w14:paraId="70B7947F">
      <w:pPr>
        <w:rPr>
          <w:rFonts w:hint="eastAsia"/>
          <w:color w:val="auto"/>
          <w:highlight w:val="none"/>
        </w:rPr>
      </w:pPr>
    </w:p>
    <w:p w14:paraId="183C0669">
      <w:pPr>
        <w:rPr>
          <w:rFonts w:hint="eastAsia"/>
          <w:color w:val="auto"/>
          <w:highlight w:val="none"/>
        </w:rPr>
      </w:pPr>
    </w:p>
    <w:p w14:paraId="45F19CEC">
      <w:pPr>
        <w:rPr>
          <w:rFonts w:hint="eastAsia"/>
          <w:color w:val="auto"/>
          <w:highlight w:val="none"/>
        </w:rPr>
      </w:pPr>
    </w:p>
    <w:p w14:paraId="5DEB02AD">
      <w:pPr>
        <w:rPr>
          <w:rFonts w:hint="eastAsia"/>
          <w:color w:val="auto"/>
          <w:highlight w:val="none"/>
        </w:rPr>
      </w:pPr>
    </w:p>
    <w:p w14:paraId="53FB77D9">
      <w:pPr>
        <w:rPr>
          <w:rFonts w:hint="eastAsia"/>
          <w:color w:val="auto"/>
          <w:highlight w:val="none"/>
        </w:rPr>
      </w:pPr>
    </w:p>
    <w:p w14:paraId="161DEE94">
      <w:pPr>
        <w:rPr>
          <w:rFonts w:hint="eastAsia"/>
          <w:color w:val="auto"/>
          <w:highlight w:val="none"/>
        </w:rPr>
      </w:pPr>
    </w:p>
    <w:p w14:paraId="663334F2">
      <w:pPr>
        <w:rPr>
          <w:rFonts w:hint="eastAsia"/>
          <w:color w:val="auto"/>
          <w:highlight w:val="none"/>
        </w:rPr>
      </w:pPr>
    </w:p>
    <w:p w14:paraId="4B849022">
      <w:pPr>
        <w:rPr>
          <w:rFonts w:hint="eastAsia"/>
          <w:color w:val="auto"/>
          <w:highlight w:val="none"/>
        </w:rPr>
      </w:pPr>
    </w:p>
    <w:p w14:paraId="5AC204BD">
      <w:pPr>
        <w:rPr>
          <w:rFonts w:hint="eastAsia"/>
          <w:color w:val="auto"/>
          <w:highlight w:val="none"/>
        </w:rPr>
      </w:pPr>
    </w:p>
    <w:p w14:paraId="6CABCD76">
      <w:pPr>
        <w:rPr>
          <w:rFonts w:hint="eastAsia"/>
          <w:color w:val="auto"/>
          <w:highlight w:val="none"/>
        </w:rPr>
      </w:pPr>
    </w:p>
    <w:p w14:paraId="75964E5C">
      <w:pPr>
        <w:rPr>
          <w:rFonts w:hint="eastAsia"/>
          <w:color w:val="auto"/>
          <w:highlight w:val="none"/>
        </w:rPr>
      </w:pPr>
    </w:p>
    <w:p w14:paraId="12ADA217">
      <w:pPr>
        <w:rPr>
          <w:rStyle w:val="156"/>
          <w:rFonts w:hint="eastAsia" w:ascii="宋体" w:hAnsi="宋体" w:cs="宋体"/>
          <w:color w:val="auto"/>
          <w:sz w:val="36"/>
          <w:szCs w:val="36"/>
          <w:highlight w:val="none"/>
        </w:rPr>
      </w:pPr>
    </w:p>
    <w:p w14:paraId="5A596C34">
      <w:pPr>
        <w:rPr>
          <w:rStyle w:val="156"/>
          <w:rFonts w:hint="eastAsia" w:ascii="宋体" w:hAnsi="宋体" w:cs="宋体"/>
          <w:color w:val="auto"/>
          <w:sz w:val="36"/>
          <w:szCs w:val="36"/>
          <w:highlight w:val="none"/>
        </w:rPr>
      </w:pPr>
    </w:p>
    <w:p w14:paraId="35329C05">
      <w:pPr>
        <w:rPr>
          <w:rStyle w:val="156"/>
          <w:rFonts w:hint="eastAsia" w:ascii="宋体" w:hAnsi="宋体" w:cs="宋体"/>
          <w:bCs w:val="0"/>
          <w:color w:val="auto"/>
          <w:sz w:val="36"/>
          <w:szCs w:val="36"/>
          <w:highlight w:val="none"/>
        </w:rPr>
      </w:pPr>
      <w:r>
        <w:rPr>
          <w:rStyle w:val="156"/>
          <w:rFonts w:hint="eastAsia" w:ascii="宋体" w:hAnsi="宋体" w:cs="宋体"/>
          <w:bCs w:val="0"/>
          <w:color w:val="auto"/>
          <w:sz w:val="36"/>
          <w:szCs w:val="36"/>
          <w:highlight w:val="none"/>
        </w:rPr>
        <w:br w:type="page"/>
      </w:r>
    </w:p>
    <w:p w14:paraId="7D279C3E">
      <w:pPr>
        <w:pStyle w:val="6"/>
        <w:jc w:val="center"/>
        <w:rPr>
          <w:rStyle w:val="156"/>
          <w:rFonts w:hint="eastAsia" w:ascii="宋体" w:hAnsi="宋体" w:cs="宋体"/>
          <w:bCs w:val="0"/>
          <w:color w:val="auto"/>
          <w:sz w:val="36"/>
          <w:szCs w:val="36"/>
          <w:highlight w:val="none"/>
        </w:rPr>
      </w:pPr>
      <w:bookmarkStart w:id="85" w:name="_Toc19759"/>
      <w:r>
        <w:rPr>
          <w:rStyle w:val="156"/>
          <w:rFonts w:hint="eastAsia" w:ascii="宋体" w:hAnsi="宋体" w:cs="宋体"/>
          <w:bCs w:val="0"/>
          <w:color w:val="auto"/>
          <w:sz w:val="36"/>
          <w:szCs w:val="36"/>
          <w:highlight w:val="none"/>
        </w:rPr>
        <w:t>第四章  合同条款（格式）</w:t>
      </w:r>
      <w:bookmarkEnd w:id="84"/>
      <w:bookmarkEnd w:id="85"/>
    </w:p>
    <w:bookmarkEnd w:id="32"/>
    <w:bookmarkEnd w:id="33"/>
    <w:p w14:paraId="3A4E1650">
      <w:pPr>
        <w:pStyle w:val="2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4"/>
          <w:highlight w:val="none"/>
        </w:rPr>
      </w:pPr>
      <w:bookmarkStart w:id="86" w:name="_Toc30060"/>
      <w:bookmarkStart w:id="87" w:name="_Toc415376139"/>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229CD007">
      <w:pPr>
        <w:pStyle w:val="2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项目采购编号：______________</w:t>
      </w:r>
      <w:bookmarkEnd w:id="86"/>
    </w:p>
    <w:p w14:paraId="3C7FC508">
      <w:pPr>
        <w:pStyle w:val="2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4"/>
          <w:highlight w:val="none"/>
        </w:rPr>
      </w:pPr>
      <w:bookmarkStart w:id="88" w:name="_Toc29172"/>
      <w:r>
        <w:rPr>
          <w:rFonts w:hint="eastAsia" w:asciiTheme="minorEastAsia" w:hAnsiTheme="minorEastAsia" w:eastAsiaTheme="minorEastAsia" w:cstheme="minorEastAsia"/>
          <w:color w:val="auto"/>
          <w:sz w:val="24"/>
          <w:highlight w:val="none"/>
        </w:rPr>
        <w:t>甲方：</w:t>
      </w:r>
      <w:bookmarkEnd w:id="88"/>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4DDFB61E">
      <w:pPr>
        <w:pStyle w:val="2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color w:val="auto"/>
          <w:sz w:val="24"/>
          <w:highlight w:val="none"/>
          <w:u w:val="single"/>
        </w:rPr>
      </w:pPr>
      <w:bookmarkStart w:id="89" w:name="_Toc12149"/>
      <w:r>
        <w:rPr>
          <w:rFonts w:hint="eastAsia" w:asciiTheme="minorEastAsia" w:hAnsiTheme="minorEastAsia" w:eastAsiaTheme="minorEastAsia" w:cstheme="minorEastAsia"/>
          <w:color w:val="auto"/>
          <w:sz w:val="24"/>
          <w:highlight w:val="none"/>
        </w:rPr>
        <w:t>乙方：</w:t>
      </w:r>
      <w:bookmarkEnd w:id="89"/>
      <w:r>
        <w:rPr>
          <w:rFonts w:hint="eastAsia" w:asciiTheme="minorEastAsia" w:hAnsiTheme="minorEastAsia" w:eastAsiaTheme="minorEastAsia" w:cstheme="minorEastAsia"/>
          <w:color w:val="auto"/>
          <w:sz w:val="24"/>
          <w:highlight w:val="none"/>
          <w:u w:val="single"/>
        </w:rPr>
        <w:t xml:space="preserve">                      </w:t>
      </w:r>
    </w:p>
    <w:p w14:paraId="284B6877">
      <w:pPr>
        <w:pStyle w:val="25"/>
        <w:spacing w:after="0" w:line="400" w:lineRule="exact"/>
        <w:ind w:firstLine="480" w:firstLineChars="200"/>
        <w:rPr>
          <w:rFonts w:hint="eastAsia" w:asciiTheme="minorEastAsia" w:hAnsiTheme="minorEastAsia" w:eastAsiaTheme="minorEastAsia" w:cstheme="minorEastAsia"/>
          <w:color w:val="auto"/>
          <w:sz w:val="24"/>
          <w:highlight w:val="none"/>
        </w:rPr>
      </w:pPr>
      <w:bookmarkStart w:id="90" w:name="_Toc5140"/>
    </w:p>
    <w:bookmarkEnd w:id="90"/>
    <w:p w14:paraId="3DFFAE72">
      <w:pPr>
        <w:pStyle w:val="6"/>
        <w:keepNext/>
        <w:keepLines/>
        <w:pageBreakBefore w:val="0"/>
        <w:widowControl w:val="0"/>
        <w:kinsoku/>
        <w:wordWrap/>
        <w:overflowPunct/>
        <w:topLinePunct w:val="0"/>
        <w:autoSpaceDE/>
        <w:autoSpaceDN/>
        <w:bidi w:val="0"/>
        <w:adjustRightInd/>
        <w:snapToGrid/>
        <w:spacing w:before="0" w:after="0" w:line="400" w:lineRule="exact"/>
        <w:ind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 </w:t>
      </w:r>
      <w:bookmarkStart w:id="91" w:name="_Toc10258"/>
      <w:bookmarkStart w:id="92" w:name="_Toc14330"/>
      <w:bookmarkStart w:id="93" w:name="_Toc4639"/>
      <w:r>
        <w:rPr>
          <w:rFonts w:hint="eastAsia" w:ascii="宋体" w:hAnsi="宋体" w:eastAsia="宋体" w:cs="宋体"/>
          <w:b w:val="0"/>
          <w:bCs w:val="0"/>
          <w:color w:val="auto"/>
          <w:sz w:val="24"/>
          <w:szCs w:val="24"/>
          <w:highlight w:val="none"/>
        </w:rPr>
        <w:t>甲、乙双方根据</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（单位名称）</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项目公开招标的结果（招标编号：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），签署本合同。</w:t>
      </w:r>
      <w:bookmarkEnd w:id="91"/>
      <w:bookmarkEnd w:id="92"/>
      <w:bookmarkEnd w:id="93"/>
    </w:p>
    <w:p w14:paraId="758669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p>
    <w:p w14:paraId="5549A0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内容</w:t>
      </w:r>
    </w:p>
    <w:p w14:paraId="21EB2B17">
      <w:pPr>
        <w:pStyle w:val="31"/>
        <w:keepNext w:val="0"/>
        <w:keepLines w:val="0"/>
        <w:pageBreakBefore w:val="0"/>
        <w:numPr>
          <w:ilvl w:val="0"/>
          <w:numId w:val="0"/>
        </w:numPr>
        <w:tabs>
          <w:tab w:val="left" w:pos="1200"/>
        </w:tabs>
        <w:kinsoku/>
        <w:wordWrap/>
        <w:overflowPunct/>
        <w:topLinePunct w:val="0"/>
        <w:autoSpaceDE/>
        <w:autoSpaceDN/>
        <w:bidi w:val="0"/>
        <w:snapToGrid w:val="0"/>
        <w:spacing w:before="120" w:after="120" w:line="400" w:lineRule="exact"/>
        <w:ind w:firstLine="470" w:firstLineChars="196"/>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lang w:eastAsia="zh-CN"/>
        </w:rPr>
        <w:t>乙方提供食堂炊事、保洁等服务，负责早、中、晚餐</w:t>
      </w:r>
      <w:r>
        <w:rPr>
          <w:rFonts w:hint="eastAsia" w:ascii="宋体" w:hAnsi="宋体" w:eastAsia="宋体" w:cs="宋体"/>
          <w:b w:val="0"/>
          <w:bCs/>
          <w:color w:val="auto"/>
          <w:sz w:val="24"/>
          <w:szCs w:val="24"/>
          <w:highlight w:val="none"/>
          <w:lang w:val="en-US" w:eastAsia="zh-CN"/>
        </w:rPr>
        <w:t>及辅食</w:t>
      </w:r>
      <w:r>
        <w:rPr>
          <w:rFonts w:hint="eastAsia" w:ascii="宋体" w:hAnsi="宋体" w:eastAsia="宋体" w:cs="宋体"/>
          <w:b w:val="0"/>
          <w:bCs/>
          <w:color w:val="auto"/>
          <w:sz w:val="24"/>
          <w:szCs w:val="24"/>
          <w:highlight w:val="none"/>
          <w:lang w:eastAsia="zh-CN"/>
        </w:rPr>
        <w:t>制作（全年不停伙），食堂卫生安全、</w:t>
      </w:r>
      <w:r>
        <w:rPr>
          <w:rFonts w:hint="eastAsia" w:ascii="宋体" w:hAnsi="宋体" w:eastAsia="宋体" w:cs="宋体"/>
          <w:b w:val="0"/>
          <w:bCs/>
          <w:color w:val="auto"/>
          <w:sz w:val="24"/>
          <w:szCs w:val="24"/>
          <w:highlight w:val="none"/>
          <w:lang w:val="en-US" w:eastAsia="zh-CN"/>
        </w:rPr>
        <w:t>厨房设备管理</w:t>
      </w:r>
      <w:r>
        <w:rPr>
          <w:rFonts w:hint="eastAsia" w:ascii="宋体" w:hAnsi="宋体" w:eastAsia="宋体" w:cs="宋体"/>
          <w:b w:val="0"/>
          <w:bCs/>
          <w:color w:val="auto"/>
          <w:sz w:val="24"/>
          <w:szCs w:val="24"/>
          <w:highlight w:val="none"/>
          <w:lang w:eastAsia="zh-CN"/>
        </w:rPr>
        <w:t xml:space="preserve">以及食品安全制度落实。 </w:t>
      </w:r>
    </w:p>
    <w:p w14:paraId="736B871D">
      <w:pPr>
        <w:pStyle w:val="31"/>
        <w:keepNext w:val="0"/>
        <w:keepLines w:val="0"/>
        <w:pageBreakBefore w:val="0"/>
        <w:numPr>
          <w:ilvl w:val="0"/>
          <w:numId w:val="0"/>
        </w:numPr>
        <w:tabs>
          <w:tab w:val="left" w:pos="1200"/>
        </w:tabs>
        <w:kinsoku/>
        <w:wordWrap/>
        <w:overflowPunct/>
        <w:topLinePunct w:val="0"/>
        <w:autoSpaceDE/>
        <w:autoSpaceDN/>
        <w:bidi w:val="0"/>
        <w:snapToGrid w:val="0"/>
        <w:spacing w:before="120" w:after="120" w:line="40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lang w:eastAsia="zh-CN"/>
        </w:rPr>
        <w:t>乙方要严格执行采购人所制定的规章制度，自觉服从甲方日常监督管理，并制订配套的内部管理制度，内容涵盖食品安全、</w:t>
      </w:r>
      <w:r>
        <w:rPr>
          <w:rFonts w:hint="eastAsia" w:ascii="宋体" w:hAnsi="宋体" w:eastAsia="宋体" w:cs="宋体"/>
          <w:b w:val="0"/>
          <w:bCs/>
          <w:color w:val="auto"/>
          <w:sz w:val="24"/>
          <w:szCs w:val="24"/>
          <w:highlight w:val="none"/>
          <w:lang w:val="en-US" w:eastAsia="zh-CN"/>
        </w:rPr>
        <w:t>消防安全、</w:t>
      </w:r>
      <w:r>
        <w:rPr>
          <w:rFonts w:hint="eastAsia" w:ascii="宋体" w:hAnsi="宋体" w:eastAsia="宋体" w:cs="宋体"/>
          <w:b w:val="0"/>
          <w:bCs/>
          <w:color w:val="auto"/>
          <w:sz w:val="24"/>
          <w:szCs w:val="24"/>
          <w:highlight w:val="none"/>
          <w:lang w:eastAsia="zh-CN"/>
        </w:rPr>
        <w:t>环境卫生、人员管理、成本管理请销假制度等。</w:t>
      </w:r>
    </w:p>
    <w:p w14:paraId="10D50084">
      <w:pPr>
        <w:pStyle w:val="31"/>
        <w:keepNext w:val="0"/>
        <w:keepLines w:val="0"/>
        <w:pageBreakBefore w:val="0"/>
        <w:numPr>
          <w:ilvl w:val="0"/>
          <w:numId w:val="0"/>
        </w:numPr>
        <w:tabs>
          <w:tab w:val="left" w:pos="1200"/>
        </w:tabs>
        <w:kinsoku/>
        <w:wordWrap/>
        <w:overflowPunct/>
        <w:topLinePunct w:val="0"/>
        <w:autoSpaceDE/>
        <w:autoSpaceDN/>
        <w:bidi w:val="0"/>
        <w:snapToGrid w:val="0"/>
        <w:spacing w:before="120" w:after="120" w:line="400" w:lineRule="exact"/>
        <w:ind w:firstLine="470" w:firstLineChars="196"/>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lang w:eastAsia="zh-CN"/>
        </w:rPr>
        <w:t>乙方根据甲方的要求，于每周五11时前制订下周食谱，报甲方审定后实施。食谱的制订应当按照应时、应地、应人的原则，倡导少油、少糖、少盐的健康理念，做到周周有创新。</w:t>
      </w:r>
    </w:p>
    <w:p w14:paraId="5B1819EC">
      <w:pPr>
        <w:pStyle w:val="31"/>
        <w:keepNext w:val="0"/>
        <w:keepLines w:val="0"/>
        <w:pageBreakBefore w:val="0"/>
        <w:numPr>
          <w:ilvl w:val="0"/>
          <w:numId w:val="0"/>
        </w:numPr>
        <w:tabs>
          <w:tab w:val="left" w:pos="1200"/>
        </w:tabs>
        <w:kinsoku/>
        <w:wordWrap/>
        <w:overflowPunct/>
        <w:topLinePunct w:val="0"/>
        <w:autoSpaceDE/>
        <w:autoSpaceDN/>
        <w:bidi w:val="0"/>
        <w:snapToGrid w:val="0"/>
        <w:spacing w:before="120" w:after="120" w:line="400" w:lineRule="exact"/>
        <w:ind w:firstLine="470" w:firstLineChars="196"/>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1.4乙方需保障每日每餐不少于60人次的餐饮服务，工作点位除民国楼外，涵盖浦江县诗画里幸福产业有限公司旗下其余服务点位。</w:t>
      </w:r>
    </w:p>
    <w:p w14:paraId="356E2C60">
      <w:pPr>
        <w:pStyle w:val="31"/>
        <w:keepNext w:val="0"/>
        <w:keepLines w:val="0"/>
        <w:pageBreakBefore w:val="0"/>
        <w:numPr>
          <w:ilvl w:val="0"/>
          <w:numId w:val="0"/>
        </w:numPr>
        <w:tabs>
          <w:tab w:val="left" w:pos="1200"/>
        </w:tabs>
        <w:kinsoku/>
        <w:wordWrap/>
        <w:overflowPunct/>
        <w:topLinePunct w:val="0"/>
        <w:autoSpaceDE/>
        <w:autoSpaceDN/>
        <w:bidi w:val="0"/>
        <w:snapToGrid w:val="0"/>
        <w:spacing w:before="120" w:after="120" w:line="400" w:lineRule="exact"/>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其余详见采购文件第二章采购需求和乙方投标响应内容。</w:t>
      </w:r>
    </w:p>
    <w:p w14:paraId="76470D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2.合同金额</w:t>
      </w:r>
    </w:p>
    <w:p w14:paraId="3BD77BEF">
      <w:pPr>
        <w:pStyle w:val="31"/>
        <w:keepNext w:val="0"/>
        <w:keepLines w:val="0"/>
        <w:pageBreakBefore w:val="0"/>
        <w:numPr>
          <w:ilvl w:val="0"/>
          <w:numId w:val="0"/>
        </w:numPr>
        <w:tabs>
          <w:tab w:val="left" w:pos="1200"/>
        </w:tabs>
        <w:kinsoku/>
        <w:wordWrap/>
        <w:overflowPunct/>
        <w:topLinePunct w:val="0"/>
        <w:autoSpaceDE/>
        <w:autoSpaceDN/>
        <w:bidi w:val="0"/>
        <w:snapToGrid w:val="0"/>
        <w:spacing w:before="120" w:after="120" w:line="400" w:lineRule="exact"/>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 本合同金额为（大写）人民币</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single"/>
          <w:lang w:val="en-US" w:eastAsia="zh-CN"/>
        </w:rPr>
        <w:t>　   　　　</w:t>
      </w:r>
      <w:r>
        <w:rPr>
          <w:rFonts w:hint="eastAsia" w:ascii="宋体" w:hAnsi="宋体" w:eastAsia="宋体" w:cs="宋体"/>
          <w:b w:val="0"/>
          <w:bCs/>
          <w:color w:val="auto"/>
          <w:sz w:val="24"/>
          <w:szCs w:val="24"/>
          <w:highlight w:val="none"/>
          <w:lang w:val="en-US" w:eastAsia="zh-CN"/>
        </w:rPr>
        <w:t>元）。应包括但不限于人员工资、奖金、节假日加班费、社会保险（养老、医保、失业、工伤、生育）、公积金、交通费、住宿费、办公通信费、食堂卫生保洁费、服装费、体检费、管理费用、利润、税费、合同实施过程中不可预见的费用等，如有漏项也视为优惠已包括在投标总价中，合同价款结算时中标人须开具正式的增值税发票。</w:t>
      </w:r>
    </w:p>
    <w:p w14:paraId="41A2C8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3.合同履行期限和地点</w:t>
      </w:r>
    </w:p>
    <w:p w14:paraId="7FA314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合同履行期限：</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   年   月   日-    年    月   日）。</w:t>
      </w:r>
    </w:p>
    <w:p w14:paraId="3212D9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合同履行地点：</w:t>
      </w:r>
      <w:r>
        <w:rPr>
          <w:rFonts w:hint="eastAsia" w:ascii="宋体" w:hAnsi="宋体" w:eastAsia="宋体" w:cs="宋体"/>
          <w:color w:val="auto"/>
          <w:sz w:val="24"/>
          <w:szCs w:val="24"/>
          <w:highlight w:val="none"/>
          <w:lang w:val="en-US" w:eastAsia="zh-CN"/>
        </w:rPr>
        <w:t>工作点位除民国楼外，涵盖甲方旗下其余服务点位</w:t>
      </w:r>
      <w:r>
        <w:rPr>
          <w:rFonts w:hint="eastAsia" w:ascii="宋体" w:hAnsi="宋体" w:eastAsia="宋体" w:cs="宋体"/>
          <w:color w:val="auto"/>
          <w:sz w:val="24"/>
          <w:szCs w:val="24"/>
          <w:highlight w:val="none"/>
        </w:rPr>
        <w:t>。</w:t>
      </w:r>
    </w:p>
    <w:p w14:paraId="1A4963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乙方必须按投标文件承诺的服务响应条款向甲方提供服务。</w:t>
      </w:r>
    </w:p>
    <w:p w14:paraId="5964E1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4.产权</w:t>
      </w:r>
    </w:p>
    <w:p w14:paraId="769564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乙方应保证所提供的服务或其任何一部分均不会侵犯任何第三方的专利权、商标权或著作权。</w:t>
      </w:r>
    </w:p>
    <w:p w14:paraId="3ACDEB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乙方保证所交付服务的所有权完全属于乙方且无任何抵押、查封等产权瑕疵。如乙方所交付服务有产权瑕疵的，视为乙方违约，按照本合同8.3约定处理。但在已经全部支付完合同款后才发现有产权瑕疵的，乙方除了支付违约金还应负担甲方由此产生的一切损失。</w:t>
      </w:r>
    </w:p>
    <w:p w14:paraId="775909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5.技术资料</w:t>
      </w:r>
    </w:p>
    <w:p w14:paraId="684CCE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甲方应向乙方提供提交服务成果所必需的有关数据、资料等。</w:t>
      </w:r>
    </w:p>
    <w:p w14:paraId="71F9DE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没有甲方事先书面同意，乙方不得将由甲方提供的有关合同或任何合同条文、规格、计划、图纸、样品或资料提供</w:t>
      </w:r>
      <w:r>
        <w:rPr>
          <w:rFonts w:hint="eastAsia" w:ascii="宋体" w:hAnsi="宋体" w:eastAsia="宋体" w:cs="宋体"/>
          <w:color w:val="auto"/>
          <w:sz w:val="24"/>
          <w:szCs w:val="24"/>
          <w:highlight w:val="none"/>
          <w:lang w:eastAsia="zh-CN"/>
        </w:rPr>
        <w:t>给予</w:t>
      </w:r>
      <w:r>
        <w:rPr>
          <w:rFonts w:hint="eastAsia" w:ascii="宋体" w:hAnsi="宋体" w:eastAsia="宋体" w:cs="宋体"/>
          <w:color w:val="auto"/>
          <w:sz w:val="24"/>
          <w:szCs w:val="24"/>
          <w:highlight w:val="none"/>
        </w:rPr>
        <w:t>履行本合同无关的任何其他人。即使向履行本合同有关的人员提供，也应注意保密并限于履行合同的必需范围。</w:t>
      </w:r>
    </w:p>
    <w:p w14:paraId="59081F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6.合同款支付及结算方式</w:t>
      </w:r>
    </w:p>
    <w:p w14:paraId="22A6A2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付款方式：</w:t>
      </w:r>
      <w:r>
        <w:rPr>
          <w:rFonts w:hint="eastAsia" w:ascii="宋体" w:hAnsi="宋体" w:eastAsia="宋体" w:cs="宋体"/>
          <w:color w:val="auto"/>
          <w:sz w:val="24"/>
          <w:szCs w:val="24"/>
          <w:highlight w:val="none"/>
          <w:lang w:eastAsia="zh-CN"/>
        </w:rPr>
        <w:t>合同款支付与考核结果挂钩，中标价的80%作为基本合同款，按月平均分摊基本合同款每月支付一次；合同价的20%作为绩效合同款，与月度考核结果挂钩，因故扣减的费用在该付款周期中一并核减</w:t>
      </w:r>
      <w:r>
        <w:rPr>
          <w:rFonts w:hint="eastAsia" w:ascii="宋体" w:hAnsi="宋体" w:eastAsia="宋体" w:cs="宋体"/>
          <w:color w:val="auto"/>
          <w:sz w:val="24"/>
          <w:szCs w:val="24"/>
          <w:highlight w:val="none"/>
          <w:lang w:val="en-US" w:eastAsia="zh-CN"/>
        </w:rPr>
        <w:t>。乙方每期服务费用需开具本单位出具的正式发票。</w:t>
      </w:r>
    </w:p>
    <w:p w14:paraId="5DE3B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7.履约保证金</w:t>
      </w:r>
    </w:p>
    <w:p w14:paraId="3EC30D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7.1履约保证金：中标价的5%。（不计息）</w:t>
      </w:r>
    </w:p>
    <w:p w14:paraId="45677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履约保证金的形式：现金、支票、汇票、本票或者金融机构、保险公司、担保机构出具的保函（见函即付）/保险。</w:t>
      </w:r>
    </w:p>
    <w:p w14:paraId="738442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履约担保形式为现金（账户另行通知），履约保证金待合同期满视考核情况到甲方处办理履约保证金的退还手续（不计息）；</w:t>
      </w:r>
    </w:p>
    <w:p w14:paraId="437922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形式为支票、汇票、本票或者金融机构、保险公司、担保机构出具的保函（见函即付）/保险等非现金形式的，应在合同履行期限内保持有效。若出现支票、汇票、本票或者金融机构、保险公司、担保机构出具的保函（见函即付）/保险失效等情形导致乙方的违约金额无法从支票、汇票、本票或保函/保险出具单位理赔的，甲方有权从合同款中予以直接扣除。</w:t>
      </w:r>
    </w:p>
    <w:p w14:paraId="1256B9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签订合同后，如乙方不按双方合同约定履约，则没收其全部履约保证金，履约保</w:t>
      </w:r>
    </w:p>
    <w:p w14:paraId="1F7537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证金不足以赔偿损失的，按实际损失赔偿。</w:t>
      </w:r>
    </w:p>
    <w:p w14:paraId="3F85C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8.违约责任</w:t>
      </w:r>
    </w:p>
    <w:p w14:paraId="56C50F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甲方无正当理由拒收服务的，甲方向乙方偿付拒收服务费总值的百分之五违约金。</w:t>
      </w:r>
    </w:p>
    <w:p w14:paraId="7FE39B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甲方无故逾期办理合同款支付手续的，甲方应按逾期付款总额每日千分之一向乙方支付违约金。</w:t>
      </w:r>
    </w:p>
    <w:p w14:paraId="7D743E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乙方逾期交付服务的，乙方应按逾期提供服务总额每日千分之一向甲方支付违约金，由甲方从待付服务费中扣除。逾期超过约定日期十个工作日不能提供服务的，甲方可解除本合同。乙方因逾期提供服务或因其他违约行为导致甲方解除合同的，除没收履约保证金外，乙方应向甲方支付合同总值百分之五的违约金，如造成甲方损失超过违约金的，超出部分由乙方继续承担赔偿责任。</w:t>
      </w:r>
    </w:p>
    <w:p w14:paraId="0A8FC9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9.不可抗力事件处理</w:t>
      </w:r>
    </w:p>
    <w:p w14:paraId="2185D2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在合同有效期内，任何一方因不可抗力事件导致不能履行合同，则合同履行期可延长，其延长期与不可抗力影响期相同。</w:t>
      </w:r>
    </w:p>
    <w:p w14:paraId="2B1845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不可抗力事件发生后，应立即通知对方，并寄送有关权威机构出具的证明。</w:t>
      </w:r>
    </w:p>
    <w:p w14:paraId="6B7726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不可抗力事件延续120天以上，双方应通过友好协商，确定是否继续履行合同。</w:t>
      </w:r>
    </w:p>
    <w:p w14:paraId="5DE902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10.争议仲裁</w:t>
      </w:r>
    </w:p>
    <w:p w14:paraId="4F7654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本合同履行过程中发生争议，双方应当协商解决，如协商调解不成的，可向甲方所在地法院起诉。</w:t>
      </w:r>
    </w:p>
    <w:p w14:paraId="30C360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11.合同生效</w:t>
      </w:r>
      <w:r>
        <w:rPr>
          <w:rFonts w:hint="eastAsia" w:ascii="宋体" w:hAnsi="宋体" w:eastAsia="宋体" w:cs="宋体"/>
          <w:b/>
          <w:bCs/>
          <w:color w:val="auto"/>
          <w:sz w:val="24"/>
          <w:szCs w:val="24"/>
          <w:highlight w:val="none"/>
          <w:lang w:eastAsia="zh-CN"/>
        </w:rPr>
        <w:t>及其他</w:t>
      </w:r>
    </w:p>
    <w:p w14:paraId="4FEAFF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11.1合同经双方和合同鉴证方法定代表人或授权代表签字并加盖单位公章后生效。</w:t>
      </w:r>
    </w:p>
    <w:p w14:paraId="085D6E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11.2本合同未尽事宜，遵照《中华人民共和国民法典》有关条文执行。</w:t>
      </w:r>
    </w:p>
    <w:p w14:paraId="285F21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11.3本合同一式陆份，具有同等法律效力，双方各执贰份，监督管理部门备案壹份，委托代理方浦江县产权交易有限公司存档壹份，自双方签署和盖章之日起生效。</w:t>
      </w:r>
    </w:p>
    <w:p w14:paraId="476927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B45F2E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p>
    <w:p w14:paraId="57BC0F5A">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94" w:name="_Toc8578"/>
      <w:bookmarkStart w:id="95" w:name="_Toc27387"/>
      <w:bookmarkStart w:id="96" w:name="_Toc15093"/>
      <w:r>
        <w:rPr>
          <w:rFonts w:hint="eastAsia" w:ascii="宋体" w:hAnsi="宋体" w:eastAsia="宋体" w:cs="宋体"/>
          <w:b w:val="0"/>
          <w:bCs w:val="0"/>
          <w:color w:val="auto"/>
          <w:sz w:val="24"/>
          <w:szCs w:val="24"/>
          <w:highlight w:val="none"/>
        </w:rPr>
        <w:t>甲方：                              乙方：</w:t>
      </w:r>
      <w:bookmarkEnd w:id="94"/>
      <w:bookmarkEnd w:id="95"/>
      <w:bookmarkEnd w:id="96"/>
      <w:r>
        <w:rPr>
          <w:rFonts w:hint="eastAsia" w:ascii="宋体" w:hAnsi="宋体" w:eastAsia="宋体" w:cs="宋体"/>
          <w:b w:val="0"/>
          <w:bCs w:val="0"/>
          <w:color w:val="auto"/>
          <w:sz w:val="24"/>
          <w:szCs w:val="24"/>
          <w:highlight w:val="none"/>
        </w:rPr>
        <w:t xml:space="preserve"> </w:t>
      </w:r>
    </w:p>
    <w:p w14:paraId="2477C32C">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97" w:name="_Toc2311"/>
      <w:bookmarkStart w:id="98" w:name="_Toc12294"/>
      <w:bookmarkStart w:id="99" w:name="_Toc1649"/>
      <w:r>
        <w:rPr>
          <w:rFonts w:hint="eastAsia" w:ascii="宋体" w:hAnsi="宋体" w:eastAsia="宋体" w:cs="宋体"/>
          <w:b w:val="0"/>
          <w:bCs w:val="0"/>
          <w:color w:val="auto"/>
          <w:sz w:val="24"/>
          <w:szCs w:val="24"/>
          <w:highlight w:val="none"/>
        </w:rPr>
        <w:t>地址：                              地址：</w:t>
      </w:r>
      <w:bookmarkEnd w:id="97"/>
      <w:bookmarkEnd w:id="98"/>
      <w:bookmarkEnd w:id="99"/>
      <w:r>
        <w:rPr>
          <w:rFonts w:hint="eastAsia" w:ascii="宋体" w:hAnsi="宋体" w:eastAsia="宋体" w:cs="宋体"/>
          <w:b w:val="0"/>
          <w:bCs w:val="0"/>
          <w:color w:val="auto"/>
          <w:sz w:val="24"/>
          <w:szCs w:val="24"/>
          <w:highlight w:val="none"/>
        </w:rPr>
        <w:t xml:space="preserve"> </w:t>
      </w:r>
    </w:p>
    <w:p w14:paraId="5437F877">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00" w:name="_Toc1556"/>
      <w:bookmarkStart w:id="101" w:name="_Toc4795"/>
      <w:bookmarkStart w:id="102" w:name="_Toc2870"/>
      <w:r>
        <w:rPr>
          <w:rFonts w:hint="eastAsia" w:ascii="宋体" w:hAnsi="宋体" w:eastAsia="宋体" w:cs="宋体"/>
          <w:b w:val="0"/>
          <w:bCs w:val="0"/>
          <w:color w:val="auto"/>
          <w:sz w:val="24"/>
          <w:szCs w:val="24"/>
          <w:highlight w:val="none"/>
        </w:rPr>
        <w:t>法定（授权）代表人：                法定（授权）代表人：</w:t>
      </w:r>
      <w:bookmarkEnd w:id="100"/>
      <w:bookmarkEnd w:id="101"/>
      <w:bookmarkEnd w:id="102"/>
    </w:p>
    <w:p w14:paraId="5948E60E">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03" w:name="_Toc16776"/>
      <w:bookmarkStart w:id="104" w:name="_Toc5703"/>
      <w:bookmarkStart w:id="105" w:name="_Toc23464"/>
      <w:r>
        <w:rPr>
          <w:rFonts w:hint="eastAsia" w:ascii="宋体" w:hAnsi="宋体" w:eastAsia="宋体" w:cs="宋体"/>
          <w:b w:val="0"/>
          <w:bCs w:val="0"/>
          <w:color w:val="auto"/>
          <w:sz w:val="24"/>
          <w:szCs w:val="24"/>
          <w:highlight w:val="none"/>
        </w:rPr>
        <w:t>电话：                              电话：</w:t>
      </w:r>
      <w:bookmarkEnd w:id="103"/>
      <w:bookmarkEnd w:id="104"/>
      <w:bookmarkEnd w:id="105"/>
      <w:r>
        <w:rPr>
          <w:rFonts w:hint="eastAsia" w:ascii="宋体" w:hAnsi="宋体" w:eastAsia="宋体" w:cs="宋体"/>
          <w:b w:val="0"/>
          <w:bCs w:val="0"/>
          <w:color w:val="auto"/>
          <w:sz w:val="24"/>
          <w:szCs w:val="24"/>
          <w:highlight w:val="none"/>
        </w:rPr>
        <w:t xml:space="preserve">  </w:t>
      </w:r>
    </w:p>
    <w:p w14:paraId="097D9DD8">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06" w:name="_Toc10508"/>
      <w:bookmarkStart w:id="107" w:name="_Toc11027"/>
      <w:bookmarkStart w:id="108" w:name="_Toc20672"/>
      <w:r>
        <w:rPr>
          <w:rFonts w:hint="eastAsia" w:ascii="宋体" w:hAnsi="宋体" w:eastAsia="宋体" w:cs="宋体"/>
          <w:b w:val="0"/>
          <w:bCs w:val="0"/>
          <w:color w:val="auto"/>
          <w:sz w:val="24"/>
          <w:szCs w:val="24"/>
          <w:highlight w:val="none"/>
        </w:rPr>
        <w:t>开户银行：                          开户银行：</w:t>
      </w:r>
      <w:bookmarkEnd w:id="106"/>
      <w:bookmarkEnd w:id="107"/>
      <w:bookmarkEnd w:id="108"/>
      <w:r>
        <w:rPr>
          <w:rFonts w:hint="eastAsia" w:ascii="宋体" w:hAnsi="宋体" w:eastAsia="宋体" w:cs="宋体"/>
          <w:b w:val="0"/>
          <w:bCs w:val="0"/>
          <w:color w:val="auto"/>
          <w:sz w:val="24"/>
          <w:szCs w:val="24"/>
          <w:highlight w:val="none"/>
        </w:rPr>
        <w:t xml:space="preserve"> </w:t>
      </w:r>
    </w:p>
    <w:p w14:paraId="5F101D9F">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09" w:name="_Toc16274"/>
      <w:bookmarkStart w:id="110" w:name="_Toc30551"/>
      <w:bookmarkStart w:id="111" w:name="_Toc30241"/>
      <w:r>
        <w:rPr>
          <w:rFonts w:hint="eastAsia" w:ascii="宋体" w:hAnsi="宋体" w:eastAsia="宋体" w:cs="宋体"/>
          <w:b w:val="0"/>
          <w:bCs w:val="0"/>
          <w:color w:val="auto"/>
          <w:sz w:val="24"/>
          <w:szCs w:val="24"/>
          <w:highlight w:val="none"/>
        </w:rPr>
        <w:t>账号：                              账号：</w:t>
      </w:r>
      <w:bookmarkEnd w:id="109"/>
      <w:bookmarkEnd w:id="110"/>
      <w:bookmarkEnd w:id="111"/>
      <w:r>
        <w:rPr>
          <w:rFonts w:hint="eastAsia" w:ascii="宋体" w:hAnsi="宋体" w:eastAsia="宋体" w:cs="宋体"/>
          <w:b w:val="0"/>
          <w:bCs w:val="0"/>
          <w:color w:val="auto"/>
          <w:sz w:val="24"/>
          <w:szCs w:val="24"/>
          <w:highlight w:val="none"/>
        </w:rPr>
        <w:t xml:space="preserve"> </w:t>
      </w:r>
    </w:p>
    <w:p w14:paraId="72796E2B">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12" w:name="_Toc18068"/>
      <w:bookmarkStart w:id="113" w:name="_Toc13795"/>
      <w:bookmarkStart w:id="114" w:name="_Toc4148"/>
      <w:r>
        <w:rPr>
          <w:rFonts w:hint="eastAsia" w:ascii="宋体" w:hAnsi="宋体" w:eastAsia="宋体" w:cs="宋体"/>
          <w:b w:val="0"/>
          <w:bCs w:val="0"/>
          <w:color w:val="auto"/>
          <w:sz w:val="24"/>
          <w:szCs w:val="24"/>
          <w:highlight w:val="none"/>
        </w:rPr>
        <w:t>签字日期：    年   月    日         签字日期：      年     月     日</w:t>
      </w:r>
      <w:bookmarkEnd w:id="112"/>
      <w:bookmarkEnd w:id="113"/>
      <w:bookmarkEnd w:id="114"/>
    </w:p>
    <w:p w14:paraId="52288B0D">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p>
    <w:p w14:paraId="24175446">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15" w:name="_Toc496"/>
      <w:bookmarkStart w:id="116" w:name="_Toc173"/>
      <w:bookmarkStart w:id="117" w:name="_Toc6855"/>
      <w:r>
        <w:rPr>
          <w:rFonts w:hint="eastAsia" w:ascii="宋体" w:hAnsi="宋体" w:eastAsia="宋体" w:cs="宋体"/>
          <w:b w:val="0"/>
          <w:bCs w:val="0"/>
          <w:color w:val="auto"/>
          <w:sz w:val="24"/>
          <w:szCs w:val="24"/>
          <w:highlight w:val="none"/>
        </w:rPr>
        <w:t>合同鉴证方:</w:t>
      </w:r>
      <w:bookmarkEnd w:id="115"/>
      <w:bookmarkEnd w:id="116"/>
      <w:bookmarkEnd w:id="117"/>
    </w:p>
    <w:p w14:paraId="735FB42F">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18" w:name="_Toc6240"/>
      <w:bookmarkStart w:id="119" w:name="_Toc29047"/>
      <w:bookmarkStart w:id="120" w:name="_Toc19037"/>
      <w:r>
        <w:rPr>
          <w:rFonts w:hint="eastAsia" w:ascii="宋体" w:hAnsi="宋体" w:eastAsia="宋体" w:cs="宋体"/>
          <w:b w:val="0"/>
          <w:bCs w:val="0"/>
          <w:color w:val="auto"/>
          <w:sz w:val="24"/>
          <w:szCs w:val="24"/>
          <w:highlight w:val="none"/>
        </w:rPr>
        <w:t>法定代表人或主要负责人:</w:t>
      </w:r>
      <w:bookmarkEnd w:id="118"/>
      <w:bookmarkEnd w:id="119"/>
      <w:bookmarkEnd w:id="120"/>
    </w:p>
    <w:p w14:paraId="2E859907">
      <w:pPr>
        <w:pStyle w:val="6"/>
        <w:keepNext/>
        <w:keepLines/>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宋体" w:hAnsi="宋体" w:eastAsia="宋体" w:cs="宋体"/>
          <w:b w:val="0"/>
          <w:bCs w:val="0"/>
          <w:color w:val="auto"/>
          <w:sz w:val="24"/>
          <w:szCs w:val="24"/>
          <w:highlight w:val="none"/>
        </w:rPr>
      </w:pPr>
      <w:bookmarkStart w:id="121" w:name="_Toc1790"/>
      <w:bookmarkStart w:id="122" w:name="_Toc17862"/>
      <w:bookmarkStart w:id="123" w:name="_Toc154"/>
      <w:r>
        <w:rPr>
          <w:rFonts w:hint="eastAsia" w:ascii="宋体" w:hAnsi="宋体" w:eastAsia="宋体" w:cs="宋体"/>
          <w:b w:val="0"/>
          <w:bCs w:val="0"/>
          <w:color w:val="auto"/>
          <w:sz w:val="24"/>
          <w:szCs w:val="24"/>
          <w:highlight w:val="none"/>
        </w:rPr>
        <w:t>鉴证日期:            年  月  日</w:t>
      </w:r>
      <w:bookmarkEnd w:id="121"/>
      <w:bookmarkEnd w:id="122"/>
      <w:bookmarkEnd w:id="123"/>
    </w:p>
    <w:p w14:paraId="08CFA8E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p>
    <w:p w14:paraId="3C14008B">
      <w:pPr>
        <w:pStyle w:val="25"/>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rFonts w:hint="eastAsia" w:asciiTheme="minorEastAsia" w:hAnsiTheme="minorEastAsia" w:eastAsiaTheme="minorEastAsia" w:cstheme="minorEastAsia"/>
          <w:color w:val="auto"/>
          <w:sz w:val="24"/>
          <w:highlight w:val="none"/>
        </w:rPr>
      </w:pPr>
    </w:p>
    <w:p w14:paraId="5FA5CC0C">
      <w:pPr>
        <w:bidi w:val="0"/>
        <w:rPr>
          <w:rFonts w:hint="eastAsia" w:ascii="宋体" w:hAnsi="宋体" w:eastAsia="宋体" w:cs="宋体"/>
          <w:b/>
          <w:bCs/>
          <w:color w:val="auto"/>
          <w:sz w:val="24"/>
          <w:szCs w:val="24"/>
          <w:highlight w:val="none"/>
          <w:lang w:eastAsia="zh-CN"/>
        </w:rPr>
      </w:pPr>
      <w:bookmarkStart w:id="124" w:name="_Toc14546"/>
      <w:r>
        <w:rPr>
          <w:rFonts w:hint="eastAsia" w:ascii="宋体" w:hAnsi="宋体" w:eastAsia="宋体" w:cs="宋体"/>
          <w:b/>
          <w:bCs/>
          <w:color w:val="auto"/>
          <w:sz w:val="24"/>
          <w:szCs w:val="24"/>
          <w:highlight w:val="none"/>
          <w:lang w:eastAsia="zh-CN"/>
        </w:rPr>
        <w:t>附件：</w:t>
      </w:r>
    </w:p>
    <w:p w14:paraId="74E5E791">
      <w:pPr>
        <w:bidi w:val="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浦江县诗画里幸福产业有限公司民国楼饮食保障服务月度考核表</w:t>
      </w:r>
    </w:p>
    <w:p w14:paraId="7D862CEA">
      <w:pPr>
        <w:bidi w:val="0"/>
        <w:rPr>
          <w:rFonts w:hint="eastAsia" w:ascii="宋体" w:hAnsi="宋体" w:eastAsia="宋体" w:cs="宋体"/>
          <w:color w:val="auto"/>
          <w:sz w:val="24"/>
          <w:szCs w:val="24"/>
          <w:highlight w:val="none"/>
          <w:lang w:eastAsia="zh-CN"/>
        </w:rPr>
      </w:pPr>
    </w:p>
    <w:tbl>
      <w:tblPr>
        <w:tblStyle w:val="53"/>
        <w:tblpPr w:leftFromText="180" w:rightFromText="180" w:vertAnchor="page" w:horzAnchor="page" w:tblpX="1410" w:tblpY="25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32"/>
        <w:gridCol w:w="1305"/>
        <w:gridCol w:w="4772"/>
      </w:tblGrid>
      <w:tr w14:paraId="7634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01C633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632" w:type="dxa"/>
            <w:noWrap w:val="0"/>
            <w:vAlign w:val="center"/>
          </w:tcPr>
          <w:p w14:paraId="2017E4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值</w:t>
            </w:r>
          </w:p>
        </w:tc>
        <w:tc>
          <w:tcPr>
            <w:tcW w:w="1305" w:type="dxa"/>
            <w:noWrap w:val="0"/>
            <w:vAlign w:val="center"/>
          </w:tcPr>
          <w:p w14:paraId="531B1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  分</w:t>
            </w:r>
          </w:p>
        </w:tc>
        <w:tc>
          <w:tcPr>
            <w:tcW w:w="4772" w:type="dxa"/>
            <w:noWrap w:val="0"/>
            <w:vAlign w:val="center"/>
          </w:tcPr>
          <w:p w14:paraId="14C329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51AE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2471C5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饭菜质量</w:t>
            </w:r>
          </w:p>
        </w:tc>
        <w:tc>
          <w:tcPr>
            <w:tcW w:w="1632" w:type="dxa"/>
            <w:noWrap w:val="0"/>
            <w:vAlign w:val="center"/>
          </w:tcPr>
          <w:p w14:paraId="323A51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05" w:type="dxa"/>
            <w:noWrap w:val="0"/>
            <w:vAlign w:val="center"/>
          </w:tcPr>
          <w:p w14:paraId="2F45067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restart"/>
            <w:noWrap w:val="0"/>
            <w:vAlign w:val="center"/>
          </w:tcPr>
          <w:p w14:paraId="058CA6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注：满意度测评每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开展一次（测评次数</w:t>
            </w:r>
            <w:r>
              <w:rPr>
                <w:rFonts w:hint="eastAsia" w:ascii="宋体" w:hAnsi="宋体" w:eastAsia="宋体" w:cs="宋体"/>
                <w:color w:val="auto"/>
                <w:sz w:val="24"/>
                <w:szCs w:val="24"/>
                <w:highlight w:val="none"/>
                <w:lang w:eastAsia="zh-CN"/>
              </w:rPr>
              <w:t>浦江</w:t>
            </w:r>
            <w:r>
              <w:rPr>
                <w:rFonts w:hint="eastAsia" w:ascii="宋体" w:hAnsi="宋体" w:eastAsia="宋体" w:cs="宋体"/>
                <w:color w:val="auto"/>
                <w:sz w:val="24"/>
                <w:szCs w:val="24"/>
                <w:highlight w:val="none"/>
                <w:lang w:val="en-US" w:eastAsia="zh-CN"/>
              </w:rPr>
              <w:t>县诗画里幸福产业有限公司</w:t>
            </w:r>
            <w:r>
              <w:rPr>
                <w:rFonts w:hint="eastAsia" w:ascii="宋体" w:hAnsi="宋体" w:eastAsia="宋体" w:cs="宋体"/>
                <w:color w:val="auto"/>
                <w:sz w:val="24"/>
                <w:szCs w:val="24"/>
                <w:highlight w:val="none"/>
              </w:rPr>
              <w:t>有权调整），测评对象：</w:t>
            </w:r>
            <w:r>
              <w:rPr>
                <w:rFonts w:hint="eastAsia" w:ascii="宋体" w:hAnsi="宋体" w:eastAsia="宋体" w:cs="宋体"/>
                <w:color w:val="auto"/>
                <w:sz w:val="24"/>
                <w:szCs w:val="24"/>
                <w:highlight w:val="none"/>
                <w:lang w:val="en-US" w:eastAsia="zh-CN"/>
              </w:rPr>
              <w:t>就餐人员、食堂管理人员</w:t>
            </w:r>
            <w:r>
              <w:rPr>
                <w:rFonts w:hint="eastAsia" w:ascii="宋体" w:hAnsi="宋体" w:eastAsia="宋体" w:cs="宋体"/>
                <w:color w:val="auto"/>
                <w:sz w:val="24"/>
                <w:szCs w:val="24"/>
                <w:highlight w:val="none"/>
              </w:rPr>
              <w:t>。连续</w:t>
            </w:r>
            <w:r>
              <w:rPr>
                <w:rFonts w:hint="default" w:ascii="宋体" w:hAnsi="宋体" w:eastAsia="宋体" w:cs="宋体"/>
                <w:color w:val="auto"/>
                <w:sz w:val="24"/>
                <w:szCs w:val="24"/>
                <w:highlight w:val="none"/>
              </w:rPr>
              <w:t>两</w:t>
            </w:r>
            <w:r>
              <w:rPr>
                <w:rFonts w:hint="eastAsia" w:ascii="宋体" w:hAnsi="宋体" w:eastAsia="宋体" w:cs="宋体"/>
                <w:color w:val="auto"/>
                <w:sz w:val="24"/>
                <w:szCs w:val="24"/>
                <w:highlight w:val="none"/>
              </w:rPr>
              <w:t>次满意度测评结果</w:t>
            </w:r>
            <w:r>
              <w:rPr>
                <w:rFonts w:hint="eastAsia" w:ascii="宋体" w:hAnsi="宋体" w:eastAsia="宋体" w:cs="宋体"/>
                <w:color w:val="auto"/>
                <w:sz w:val="24"/>
                <w:szCs w:val="24"/>
                <w:highlight w:val="none"/>
                <w:lang w:eastAsia="zh-CN"/>
              </w:rPr>
              <w:t>平均分</w:t>
            </w:r>
            <w:r>
              <w:rPr>
                <w:rFonts w:hint="eastAsia" w:ascii="宋体" w:hAnsi="宋体" w:eastAsia="宋体" w:cs="宋体"/>
                <w:color w:val="auto"/>
                <w:sz w:val="24"/>
                <w:szCs w:val="24"/>
                <w:highlight w:val="none"/>
              </w:rPr>
              <w:t>小于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浦江县</w:t>
            </w:r>
            <w:r>
              <w:rPr>
                <w:rFonts w:hint="eastAsia" w:ascii="宋体" w:hAnsi="宋体" w:eastAsia="宋体" w:cs="宋体"/>
                <w:color w:val="auto"/>
                <w:sz w:val="24"/>
                <w:szCs w:val="24"/>
                <w:highlight w:val="none"/>
                <w:lang w:val="en-US" w:eastAsia="zh-CN"/>
              </w:rPr>
              <w:t>诗画里幸福产业有限公司</w:t>
            </w:r>
            <w:r>
              <w:rPr>
                <w:rFonts w:hint="eastAsia" w:ascii="宋体" w:hAnsi="宋体" w:eastAsia="宋体" w:cs="宋体"/>
                <w:color w:val="auto"/>
                <w:sz w:val="24"/>
                <w:szCs w:val="24"/>
                <w:highlight w:val="none"/>
              </w:rPr>
              <w:t>有权立即终止合同。</w:t>
            </w:r>
          </w:p>
        </w:tc>
      </w:tr>
      <w:tr w14:paraId="225E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559F8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饭菜数量</w:t>
            </w:r>
          </w:p>
        </w:tc>
        <w:tc>
          <w:tcPr>
            <w:tcW w:w="1632" w:type="dxa"/>
            <w:noWrap w:val="0"/>
            <w:vAlign w:val="center"/>
          </w:tcPr>
          <w:p w14:paraId="051F8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05" w:type="dxa"/>
            <w:noWrap w:val="0"/>
            <w:vAlign w:val="center"/>
          </w:tcPr>
          <w:p w14:paraId="094CA8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7E4A15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3A5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7C0E63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食品卫生</w:t>
            </w:r>
          </w:p>
        </w:tc>
        <w:tc>
          <w:tcPr>
            <w:tcW w:w="1632" w:type="dxa"/>
            <w:noWrap w:val="0"/>
            <w:vAlign w:val="center"/>
          </w:tcPr>
          <w:p w14:paraId="165D66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1305" w:type="dxa"/>
            <w:noWrap w:val="0"/>
            <w:vAlign w:val="center"/>
          </w:tcPr>
          <w:p w14:paraId="30F2E4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763C4F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07FC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5FD960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餐具卫生</w:t>
            </w:r>
          </w:p>
        </w:tc>
        <w:tc>
          <w:tcPr>
            <w:tcW w:w="1632" w:type="dxa"/>
            <w:noWrap w:val="0"/>
            <w:vAlign w:val="center"/>
          </w:tcPr>
          <w:p w14:paraId="6B034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c>
          <w:tcPr>
            <w:tcW w:w="1305" w:type="dxa"/>
            <w:noWrap w:val="0"/>
            <w:vAlign w:val="center"/>
          </w:tcPr>
          <w:p w14:paraId="5BE9324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0FE1958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1672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5777B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服务态度</w:t>
            </w:r>
          </w:p>
        </w:tc>
        <w:tc>
          <w:tcPr>
            <w:tcW w:w="1632" w:type="dxa"/>
            <w:noWrap w:val="0"/>
            <w:vAlign w:val="center"/>
          </w:tcPr>
          <w:p w14:paraId="651A82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1305" w:type="dxa"/>
            <w:noWrap w:val="0"/>
            <w:vAlign w:val="center"/>
          </w:tcPr>
          <w:p w14:paraId="339FBF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023FFB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3442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14:paraId="17751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w:t>
            </w:r>
          </w:p>
        </w:tc>
        <w:tc>
          <w:tcPr>
            <w:tcW w:w="1632" w:type="dxa"/>
            <w:noWrap w:val="0"/>
            <w:vAlign w:val="center"/>
          </w:tcPr>
          <w:p w14:paraId="70754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305" w:type="dxa"/>
            <w:noWrap w:val="0"/>
            <w:vAlign w:val="center"/>
          </w:tcPr>
          <w:p w14:paraId="5F73EF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55D5A3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r w14:paraId="2026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740" w:type="dxa"/>
            <w:noWrap w:val="0"/>
            <w:vAlign w:val="center"/>
          </w:tcPr>
          <w:p w14:paraId="4E0C95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632" w:type="dxa"/>
            <w:noWrap w:val="0"/>
            <w:vAlign w:val="center"/>
          </w:tcPr>
          <w:p w14:paraId="04F53A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305" w:type="dxa"/>
            <w:noWrap w:val="0"/>
            <w:vAlign w:val="center"/>
          </w:tcPr>
          <w:p w14:paraId="38A484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4772" w:type="dxa"/>
            <w:vMerge w:val="continue"/>
            <w:noWrap w:val="0"/>
            <w:vAlign w:val="center"/>
          </w:tcPr>
          <w:p w14:paraId="4AADAF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szCs w:val="24"/>
                <w:highlight w:val="none"/>
              </w:rPr>
            </w:pPr>
          </w:p>
        </w:tc>
      </w:tr>
    </w:tbl>
    <w:p w14:paraId="7CF5DB5B">
      <w:pPr>
        <w:pStyle w:val="6"/>
        <w:numPr>
          <w:ilvl w:val="0"/>
          <w:numId w:val="1"/>
        </w:numPr>
        <w:jc w:val="center"/>
        <w:rPr>
          <w:color w:val="auto"/>
          <w:sz w:val="36"/>
          <w:szCs w:val="36"/>
          <w:highlight w:val="none"/>
        </w:rPr>
      </w:pPr>
      <w:r>
        <w:rPr>
          <w:rFonts w:hint="eastAsia"/>
          <w:color w:val="auto"/>
          <w:highlight w:val="none"/>
        </w:rPr>
        <w:br w:type="page"/>
      </w:r>
      <w:bookmarkStart w:id="125" w:name="_Toc13843"/>
      <w:r>
        <w:rPr>
          <w:rFonts w:hint="eastAsia"/>
          <w:color w:val="auto"/>
          <w:sz w:val="36"/>
          <w:szCs w:val="36"/>
          <w:highlight w:val="none"/>
        </w:rPr>
        <w:t xml:space="preserve">第五章  </w:t>
      </w:r>
      <w:bookmarkEnd w:id="87"/>
      <w:bookmarkStart w:id="126" w:name="_Toc8787511"/>
      <w:bookmarkStart w:id="127" w:name="_Toc8788128"/>
      <w:r>
        <w:rPr>
          <w:rFonts w:hint="eastAsia"/>
          <w:color w:val="auto"/>
          <w:sz w:val="36"/>
          <w:szCs w:val="36"/>
          <w:highlight w:val="none"/>
        </w:rPr>
        <w:t>磋商办法及评分标准</w:t>
      </w:r>
      <w:bookmarkEnd w:id="124"/>
      <w:bookmarkEnd w:id="125"/>
    </w:p>
    <w:bookmarkEnd w:id="126"/>
    <w:bookmarkEnd w:id="127"/>
    <w:p w14:paraId="7C5C6FDE">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为公正、公平、科学地选择成交供应商，根据法律法规等相关规定，并结合本项目的实际，制定本办法。</w:t>
      </w:r>
    </w:p>
    <w:p w14:paraId="008852E6">
      <w:pPr>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本办法适用本项目的磋商。</w:t>
      </w:r>
    </w:p>
    <w:p w14:paraId="6BA2B891">
      <w:pPr>
        <w:pStyle w:val="25"/>
        <w:spacing w:after="0" w:line="3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一、磋商内容及标准</w:t>
      </w:r>
    </w:p>
    <w:p w14:paraId="69873477">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1、磋商：按竞争性磋商文件中规定的评审方法和标准，对资格性检查和符合性检查合格的响应文件进行商务和技术评审，进行综合比较与评价，确定与各供应商磋商的具体内容。</w:t>
      </w:r>
    </w:p>
    <w:p w14:paraId="509DD108">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围绕磋商要点，磋商小组全体成员集中与单一供应商分别进行磋商。逐家磋商一次为一个轮次，磋商轮次由磋商小组视情况决定。各供应商磋商顺序按抽签顺序进行磋商。</w:t>
      </w:r>
    </w:p>
    <w:p w14:paraId="59FA39C7">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过程中，磋商小组可以根据磋商情况实质性变动采购需求中的技术、服务要求以及合同草案条款，但不得变动竞争性磋商文件中的其他内容。实质性变动的内容须经采购人代表确认。并以书面形式通知所有参加磋商的供应商，该变动是竞争性磋商文件的有效组成部分。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磋商响应。</w:t>
      </w:r>
    </w:p>
    <w:p w14:paraId="112DD478">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比较与评价：磋商结束后，磋商小组将要求实质性响应竞争性磋商文件的供应商在规定时间内提交最终报价,在规定时间内没有提交最后报价的磋商供应商，视同退出磋商。未通过实质性响应的供应商将不再进行最后报价。经磋商确定最终采购需求和提交最终报价的供应商后，由磋商小组采用综合评分法对提交最后报价的供应商的响应文件和最后报价进行综合评分。</w:t>
      </w:r>
    </w:p>
    <w:p w14:paraId="6F8FA822">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3、最终报价：磋商小组要求实质性响应的供应商在规定的时间内提交最后报价。最终报价是供应商响应文件的有效组成部分。</w:t>
      </w:r>
    </w:p>
    <w:p w14:paraId="5091767D">
      <w:pPr>
        <w:pStyle w:val="25"/>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bCs/>
          <w:color w:val="auto"/>
          <w:sz w:val="24"/>
          <w:highlight w:val="none"/>
        </w:rPr>
        <w:t>本次磋商采用综合评分法，总分为100分，其中：技术资信分</w:t>
      </w:r>
      <w:r>
        <w:rPr>
          <w:rFonts w:hint="eastAsia" w:ascii="宋体" w:hAnsi="宋体" w:cs="宋体"/>
          <w:b/>
          <w:bCs/>
          <w:color w:val="auto"/>
          <w:sz w:val="24"/>
          <w:highlight w:val="none"/>
          <w:lang w:val="en-US" w:eastAsia="zh-CN"/>
        </w:rPr>
        <w:t>50</w:t>
      </w:r>
      <w:r>
        <w:rPr>
          <w:rFonts w:hint="eastAsia" w:ascii="宋体" w:hAnsi="宋体" w:cs="宋体"/>
          <w:b/>
          <w:bCs/>
          <w:color w:val="auto"/>
          <w:sz w:val="24"/>
          <w:highlight w:val="none"/>
        </w:rPr>
        <w:t>分，报价分</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0分二部分</w:t>
      </w:r>
      <w:r>
        <w:rPr>
          <w:rFonts w:hint="eastAsia" w:ascii="宋体" w:hAnsi="宋体" w:cs="宋体"/>
          <w:color w:val="auto"/>
          <w:sz w:val="24"/>
          <w:highlight w:val="none"/>
        </w:rPr>
        <w:t>。合格响应供应商的磋商得分为各项目汇总得分，综合得分最高的供应商为成交供应商。如最高综合得分相同，磋商报价低者为成交供应商；如综合得分和磋商报价均相同，则采购单位现场抽签确定成交供应商。计算结果按四舍五入取小数点后2位。</w:t>
      </w:r>
    </w:p>
    <w:p w14:paraId="73C9D2FC">
      <w:pPr>
        <w:pStyle w:val="25"/>
        <w:spacing w:after="0" w:line="3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响应供应商磋商综合得分=技术商务分+价格分</w:t>
      </w:r>
    </w:p>
    <w:p w14:paraId="72F5A644">
      <w:pPr>
        <w:pStyle w:val="25"/>
        <w:spacing w:after="0" w:line="3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技术商务分:（磋商小组所有成员评分合计数）/（磋商小组组成人员数）。</w:t>
      </w:r>
    </w:p>
    <w:p w14:paraId="72A0E470">
      <w:pPr>
        <w:pStyle w:val="25"/>
        <w:spacing w:after="0" w:line="3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价格分:</w:t>
      </w:r>
      <w:r>
        <w:rPr>
          <w:rFonts w:hint="eastAsia" w:ascii="宋体" w:hAnsi="宋体" w:cs="宋体"/>
          <w:color w:val="auto"/>
          <w:sz w:val="24"/>
          <w:highlight w:val="none"/>
        </w:rPr>
        <w:t>价格分采用低价优先法计算，即满足磋商文件（磋商文件）要求且进行了政策性价格扣除后，以最终评审价格的最低价者为磋商基准价，其他响应供应商的价格分按照下列公式计算：</w:t>
      </w:r>
    </w:p>
    <w:p w14:paraId="3DB7DA7B">
      <w:pPr>
        <w:pStyle w:val="25"/>
        <w:spacing w:after="0" w:line="34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rPr>
        <w:t>磋商报价得分=</w:t>
      </w:r>
      <w:r>
        <w:rPr>
          <w:rFonts w:hint="eastAsia" w:ascii="宋体" w:hAnsi="宋体" w:cs="宋体"/>
          <w:color w:val="auto"/>
          <w:sz w:val="24"/>
          <w:highlight w:val="none"/>
        </w:rPr>
        <w:t>(磋商基准价／最后磋商报价)×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b/>
          <w:bCs/>
          <w:color w:val="auto"/>
          <w:sz w:val="24"/>
          <w:highlight w:val="none"/>
        </w:rPr>
        <w:t>，结果四舍五入后保留两位小数</w:t>
      </w:r>
      <w:r>
        <w:rPr>
          <w:rFonts w:hint="eastAsia" w:ascii="宋体" w:hAnsi="宋体" w:cs="宋体"/>
          <w:b/>
          <w:bCs/>
          <w:color w:val="auto"/>
          <w:sz w:val="24"/>
          <w:highlight w:val="none"/>
          <w:lang w:val="zh-CN"/>
        </w:rPr>
        <w:t>。</w:t>
      </w:r>
    </w:p>
    <w:p w14:paraId="2B2009D0">
      <w:pPr>
        <w:pStyle w:val="25"/>
        <w:numPr>
          <w:ilvl w:val="0"/>
          <w:numId w:val="4"/>
        </w:numPr>
        <w:spacing w:after="0"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响应供应商的竞争性磋商报价超过采购人设定的最高限价的，其价格响应文件作无效处理。 </w:t>
      </w:r>
    </w:p>
    <w:p w14:paraId="355D94FB">
      <w:pPr>
        <w:pStyle w:val="25"/>
        <w:spacing w:line="460" w:lineRule="exact"/>
        <w:rPr>
          <w:rFonts w:hint="eastAsia" w:ascii="宋体" w:hAnsi="宋体" w:cs="宋体"/>
          <w:color w:val="auto"/>
          <w:sz w:val="24"/>
          <w:highlight w:val="none"/>
          <w:lang w:val="zh-CN"/>
        </w:rPr>
      </w:pPr>
    </w:p>
    <w:p w14:paraId="64BC87DC">
      <w:pPr>
        <w:pStyle w:val="25"/>
        <w:spacing w:after="0"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二、技术商务分评分标准</w:t>
      </w:r>
    </w:p>
    <w:p w14:paraId="385FEFBC">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浦江县诗画里幸福产业有限公司民国楼饮食保障服务项目</w:t>
      </w:r>
      <w:r>
        <w:rPr>
          <w:rFonts w:hint="eastAsia" w:ascii="宋体" w:hAnsi="宋体" w:cs="宋体"/>
          <w:color w:val="auto"/>
          <w:sz w:val="24"/>
          <w:highlight w:val="none"/>
        </w:rPr>
        <w:t>评分细则</w:t>
      </w:r>
    </w:p>
    <w:p w14:paraId="5E775E96">
      <w:pPr>
        <w:tabs>
          <w:tab w:val="left" w:pos="540"/>
        </w:tabs>
        <w:snapToGrid w:val="0"/>
        <w:spacing w:line="400" w:lineRule="exact"/>
        <w:ind w:firstLine="510"/>
        <w:rPr>
          <w:rFonts w:hint="eastAsia" w:ascii="宋体" w:hAnsi="宋体" w:cs="宋体"/>
          <w:color w:val="auto"/>
          <w:sz w:val="24"/>
          <w:highlight w:val="none"/>
        </w:rPr>
      </w:pPr>
      <w:r>
        <w:rPr>
          <w:rFonts w:hint="eastAsia" w:ascii="宋体" w:hAnsi="宋体" w:cs="宋体"/>
          <w:color w:val="auto"/>
          <w:sz w:val="24"/>
          <w:highlight w:val="none"/>
        </w:rPr>
        <w:t>本项目采用综合评分法，具体评分细则如下：</w:t>
      </w:r>
    </w:p>
    <w:p w14:paraId="775FABBF">
      <w:pPr>
        <w:tabs>
          <w:tab w:val="left" w:pos="540"/>
        </w:tabs>
        <w:snapToGrid w:val="0"/>
        <w:spacing w:line="400" w:lineRule="exact"/>
        <w:ind w:firstLine="510"/>
        <w:rPr>
          <w:rFonts w:hint="eastAsia" w:ascii="宋体" w:hAnsi="宋体" w:cs="宋体"/>
          <w:color w:val="auto"/>
          <w:sz w:val="24"/>
          <w:highlight w:val="none"/>
        </w:rPr>
      </w:pPr>
    </w:p>
    <w:tbl>
      <w:tblPr>
        <w:tblStyle w:val="53"/>
        <w:tblW w:w="4993"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1616"/>
        <w:gridCol w:w="6184"/>
        <w:gridCol w:w="1058"/>
      </w:tblGrid>
      <w:tr w14:paraId="6AED5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93" w:type="pct"/>
            <w:vAlign w:val="center"/>
          </w:tcPr>
          <w:p w14:paraId="59A8A8F0">
            <w:pPr>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840" w:type="pct"/>
            <w:vAlign w:val="center"/>
          </w:tcPr>
          <w:p w14:paraId="74D7A5F4">
            <w:pPr>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评审内容</w:t>
            </w:r>
          </w:p>
        </w:tc>
        <w:tc>
          <w:tcPr>
            <w:tcW w:w="3215" w:type="pct"/>
            <w:vAlign w:val="center"/>
          </w:tcPr>
          <w:p w14:paraId="3E4AB2D3">
            <w:pPr>
              <w:autoSpaceDE w:val="0"/>
              <w:autoSpaceDN w:val="0"/>
              <w:adjustRightInd w:val="0"/>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评分细则</w:t>
            </w:r>
          </w:p>
        </w:tc>
        <w:tc>
          <w:tcPr>
            <w:tcW w:w="550" w:type="pct"/>
            <w:vAlign w:val="center"/>
          </w:tcPr>
          <w:p w14:paraId="55997345">
            <w:pPr>
              <w:autoSpaceDE w:val="0"/>
              <w:autoSpaceDN w:val="0"/>
              <w:adjustRightInd w:val="0"/>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440B1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393" w:type="pct"/>
            <w:vAlign w:val="center"/>
          </w:tcPr>
          <w:p w14:paraId="7CAC6D53">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40" w:type="pct"/>
            <w:vAlign w:val="center"/>
          </w:tcPr>
          <w:p w14:paraId="193EBDC7">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业绩</w:t>
            </w:r>
          </w:p>
          <w:p w14:paraId="7148EEA9">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3215" w:type="pct"/>
            <w:vAlign w:val="center"/>
          </w:tcPr>
          <w:p w14:paraId="5B25F036">
            <w:pPr>
              <w:pStyle w:val="393"/>
              <w:keepNext w:val="0"/>
              <w:keepLines w:val="0"/>
              <w:pageBreakBefore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eastAsia="zh-CN"/>
              </w:rPr>
              <w:t>20</w:t>
            </w:r>
            <w:r>
              <w:rPr>
                <w:rFonts w:hint="eastAsia" w:ascii="宋体" w:hAnsi="宋体" w:eastAsia="宋体" w:cs="宋体"/>
                <w:b w:val="0"/>
                <w:bCs w:val="0"/>
                <w:color w:val="auto"/>
                <w:kern w:val="2"/>
                <w:sz w:val="24"/>
                <w:szCs w:val="24"/>
                <w:highlight w:val="none"/>
                <w:lang w:val="en-US" w:eastAsia="zh-CN"/>
              </w:rPr>
              <w:t>21</w:t>
            </w:r>
            <w:r>
              <w:rPr>
                <w:rFonts w:hint="eastAsia" w:ascii="宋体" w:hAnsi="宋体" w:eastAsia="宋体" w:cs="宋体"/>
                <w:b w:val="0"/>
                <w:bCs w:val="0"/>
                <w:color w:val="auto"/>
                <w:kern w:val="2"/>
                <w:sz w:val="24"/>
                <w:szCs w:val="24"/>
                <w:highlight w:val="none"/>
                <w:lang w:eastAsia="zh-CN"/>
              </w:rPr>
              <w:t>年1月1日以</w:t>
            </w:r>
            <w:r>
              <w:rPr>
                <w:rFonts w:hint="eastAsia" w:ascii="宋体" w:hAnsi="宋体" w:eastAsia="宋体" w:cs="宋体"/>
                <w:b w:val="0"/>
                <w:bCs w:val="0"/>
                <w:color w:val="auto"/>
                <w:kern w:val="2"/>
                <w:sz w:val="24"/>
                <w:szCs w:val="24"/>
                <w:highlight w:val="none"/>
                <w:lang w:val="en-US" w:eastAsia="zh-CN"/>
              </w:rPr>
              <w:t>来</w:t>
            </w:r>
            <w:r>
              <w:rPr>
                <w:rFonts w:hint="eastAsia" w:ascii="宋体" w:hAnsi="宋体" w:eastAsia="宋体" w:cs="宋体"/>
                <w:b w:val="0"/>
                <w:bCs w:val="0"/>
                <w:color w:val="auto"/>
                <w:sz w:val="24"/>
                <w:szCs w:val="24"/>
                <w:highlight w:val="none"/>
              </w:rPr>
              <w:t>（以合同签订日期为准）</w:t>
            </w:r>
            <w:r>
              <w:rPr>
                <w:rFonts w:hint="eastAsia" w:ascii="宋体" w:hAnsi="宋体" w:eastAsia="宋体" w:cs="宋体"/>
                <w:b w:val="0"/>
                <w:bCs w:val="0"/>
                <w:color w:val="auto"/>
                <w:sz w:val="24"/>
                <w:szCs w:val="24"/>
                <w:highlight w:val="none"/>
                <w:lang w:eastAsia="zh-CN"/>
              </w:rPr>
              <w:t>，投标人承接过</w:t>
            </w:r>
            <w:r>
              <w:rPr>
                <w:rFonts w:hint="eastAsia" w:ascii="宋体" w:hAnsi="宋体" w:eastAsia="宋体" w:cs="宋体"/>
                <w:b w:val="0"/>
                <w:bCs w:val="0"/>
                <w:color w:val="auto"/>
                <w:sz w:val="24"/>
                <w:szCs w:val="24"/>
                <w:highlight w:val="none"/>
                <w:lang w:val="en-US" w:eastAsia="zh-CN"/>
              </w:rPr>
              <w:t>同类项目业绩的，每提供1个得1分，本项最高得3分。</w:t>
            </w:r>
          </w:p>
          <w:p w14:paraId="4FFEA191">
            <w:pPr>
              <w:spacing w:line="400" w:lineRule="exac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z w:val="24"/>
                <w:szCs w:val="24"/>
                <w:highlight w:val="none"/>
                <w:lang w:val="en-US" w:eastAsia="zh-CN"/>
              </w:rPr>
              <w:t>注：投标文件中需提供合同扫描件，</w:t>
            </w:r>
            <w:r>
              <w:rPr>
                <w:rFonts w:hint="eastAsia" w:ascii="宋体" w:hAnsi="宋体" w:eastAsia="宋体" w:cs="宋体"/>
                <w:b/>
                <w:bCs/>
                <w:color w:val="auto"/>
                <w:kern w:val="0"/>
                <w:sz w:val="24"/>
                <w:szCs w:val="24"/>
                <w:highlight w:val="none"/>
              </w:rPr>
              <w:t>未提供的得分不予计取。</w:t>
            </w:r>
          </w:p>
        </w:tc>
        <w:tc>
          <w:tcPr>
            <w:tcW w:w="550" w:type="pct"/>
            <w:vAlign w:val="center"/>
          </w:tcPr>
          <w:p w14:paraId="77CF259A">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rPr>
              <w:t>0-3分</w:t>
            </w:r>
          </w:p>
        </w:tc>
      </w:tr>
      <w:tr w14:paraId="1FB901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8" w:hRule="atLeast"/>
        </w:trPr>
        <w:tc>
          <w:tcPr>
            <w:tcW w:w="393" w:type="pct"/>
            <w:vAlign w:val="center"/>
          </w:tcPr>
          <w:p w14:paraId="1438CA1C">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40" w:type="pct"/>
            <w:vAlign w:val="center"/>
          </w:tcPr>
          <w:p w14:paraId="28900AE3">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获奖情况</w:t>
            </w:r>
          </w:p>
          <w:p w14:paraId="11DE1D7E">
            <w:pPr>
              <w:spacing w:line="40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w:t>
            </w:r>
          </w:p>
        </w:tc>
        <w:tc>
          <w:tcPr>
            <w:tcW w:w="3215" w:type="pct"/>
            <w:vAlign w:val="center"/>
          </w:tcPr>
          <w:p w14:paraId="60FD981E">
            <w:pPr>
              <w:pStyle w:val="393"/>
              <w:keepNext w:val="0"/>
              <w:keepLines w:val="0"/>
              <w:pageBreakBefore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投标人获得过由政府部门颁发的县级荣誉的每项得1分；获得市级及以上荣誉每项得2分。本项最高不超过4分。</w:t>
            </w:r>
          </w:p>
          <w:p w14:paraId="78DCCDFB">
            <w:pPr>
              <w:spacing w:line="400" w:lineRule="exac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kern w:val="0"/>
                <w:sz w:val="24"/>
                <w:szCs w:val="24"/>
                <w:highlight w:val="none"/>
                <w:lang w:val="en-US" w:eastAsia="zh-CN"/>
              </w:rPr>
              <w:t>注：投标文件中需提供相关荣誉证书资料扫描件，</w:t>
            </w:r>
            <w:r>
              <w:rPr>
                <w:rFonts w:hint="eastAsia" w:ascii="宋体" w:hAnsi="宋体" w:eastAsia="宋体" w:cs="宋体"/>
                <w:b/>
                <w:bCs/>
                <w:color w:val="auto"/>
                <w:kern w:val="0"/>
                <w:sz w:val="24"/>
                <w:szCs w:val="24"/>
                <w:highlight w:val="none"/>
              </w:rPr>
              <w:t>未提供的得分不予计取。</w:t>
            </w:r>
          </w:p>
        </w:tc>
        <w:tc>
          <w:tcPr>
            <w:tcW w:w="550" w:type="pct"/>
            <w:vAlign w:val="center"/>
          </w:tcPr>
          <w:p w14:paraId="740E919E">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rPr>
              <w:t>0-4分</w:t>
            </w:r>
          </w:p>
        </w:tc>
      </w:tr>
      <w:tr w14:paraId="0C2FEF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restart"/>
            <w:vAlign w:val="center"/>
          </w:tcPr>
          <w:p w14:paraId="17ACB06E">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40" w:type="pct"/>
            <w:vMerge w:val="restart"/>
            <w:vAlign w:val="center"/>
          </w:tcPr>
          <w:p w14:paraId="6BBA196F">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w:t>
            </w:r>
            <w:r>
              <w:rPr>
                <w:rFonts w:hint="eastAsia" w:ascii="宋体" w:hAnsi="宋体" w:eastAsia="宋体" w:cs="宋体"/>
                <w:b w:val="0"/>
                <w:bCs w:val="0"/>
                <w:color w:val="auto"/>
                <w:sz w:val="24"/>
                <w:szCs w:val="24"/>
                <w:highlight w:val="none"/>
                <w:lang w:val="en-US" w:eastAsia="zh-CN"/>
              </w:rPr>
              <w:t>团队</w:t>
            </w:r>
          </w:p>
          <w:p w14:paraId="368DE4FA">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配置</w:t>
            </w:r>
          </w:p>
          <w:p w14:paraId="3DDF3030">
            <w:pPr>
              <w:keepNext w:val="0"/>
              <w:keepLines w:val="0"/>
              <w:pageBreakBefore w:val="0"/>
              <w:kinsoku/>
              <w:wordWrap/>
              <w:overflowPunct/>
              <w:topLinePunct w:val="0"/>
              <w:bidi w:val="0"/>
              <w:spacing w:line="28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p w14:paraId="523CB263">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restart"/>
            <w:vAlign w:val="center"/>
          </w:tcPr>
          <w:p w14:paraId="70447AA1">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 xml:space="preserve">拟派厨师具有人力资源和社会保障厅（局）职业技能鉴定（指导）中心颁发的职业技能等级证书高级技师（烹饪）证书的，每个得2分；具有人力资源和社会保障厅（局）职业技能鉴定（指导）中心颁发的职业技能等级证书中级技师（烹饪）证书的，每个得1分。本项最高得4分。 </w:t>
            </w:r>
          </w:p>
          <w:p w14:paraId="102CE923">
            <w:pPr>
              <w:keepNext w:val="0"/>
              <w:keepLines w:val="0"/>
              <w:widowControl/>
              <w:suppressLineNumbers w:val="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lang w:val="en-US" w:eastAsia="zh-CN" w:bidi="ar"/>
              </w:rPr>
              <w:t>注：</w:t>
            </w:r>
            <w:r>
              <w:rPr>
                <w:rFonts w:hint="eastAsia" w:ascii="宋体" w:hAnsi="宋体" w:eastAsia="宋体" w:cs="宋体"/>
                <w:b w:val="0"/>
                <w:bCs w:val="0"/>
                <w:color w:val="auto"/>
                <w:sz w:val="24"/>
                <w:szCs w:val="24"/>
                <w:highlight w:val="none"/>
                <w:lang w:val="en-US" w:eastAsia="zh-CN"/>
              </w:rPr>
              <w:t>以上人员必须为投标人的正式员工，提供劳动合同及相关证书等扫描件，不提供不得分。</w:t>
            </w:r>
          </w:p>
        </w:tc>
        <w:tc>
          <w:tcPr>
            <w:tcW w:w="550" w:type="pct"/>
            <w:vMerge w:val="restart"/>
            <w:vAlign w:val="center"/>
          </w:tcPr>
          <w:p w14:paraId="5FC0890F">
            <w:pPr>
              <w:pStyle w:val="2"/>
              <w:keepNext w:val="0"/>
              <w:keepLines w:val="0"/>
              <w:pageBreakBefore w:val="0"/>
              <w:kinsoku/>
              <w:wordWrap/>
              <w:overflowPunct/>
              <w:topLinePunct w:val="0"/>
              <w:autoSpaceDE/>
              <w:autoSpaceDN/>
              <w:bidi w:val="0"/>
              <w:snapToGrid/>
              <w:spacing w:line="280" w:lineRule="exact"/>
              <w:ind w:left="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0-4分</w:t>
            </w:r>
          </w:p>
        </w:tc>
      </w:tr>
      <w:tr w14:paraId="76484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2079B9BC">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475AC114">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19CBEAD4">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67E3CDCF">
            <w:pPr>
              <w:spacing w:line="400" w:lineRule="exact"/>
              <w:jc w:val="center"/>
              <w:rPr>
                <w:rFonts w:hint="eastAsia" w:asciiTheme="minorEastAsia" w:hAnsiTheme="minorEastAsia" w:eastAsiaTheme="minorEastAsia" w:cstheme="minorEastAsia"/>
                <w:color w:val="auto"/>
                <w:sz w:val="21"/>
                <w:szCs w:val="21"/>
                <w:highlight w:val="none"/>
              </w:rPr>
            </w:pPr>
          </w:p>
        </w:tc>
      </w:tr>
      <w:tr w14:paraId="1D3E8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7F08D809">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7D39342E">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4FCFA6DC">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3F064253">
            <w:pPr>
              <w:spacing w:line="400" w:lineRule="exact"/>
              <w:jc w:val="center"/>
              <w:rPr>
                <w:rFonts w:hint="eastAsia" w:asciiTheme="minorEastAsia" w:hAnsiTheme="minorEastAsia" w:eastAsiaTheme="minorEastAsia" w:cstheme="minorEastAsia"/>
                <w:color w:val="auto"/>
                <w:sz w:val="21"/>
                <w:szCs w:val="21"/>
                <w:highlight w:val="none"/>
              </w:rPr>
            </w:pPr>
          </w:p>
        </w:tc>
      </w:tr>
      <w:tr w14:paraId="44554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37D74132">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19160F88">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19029210">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44097A05">
            <w:pPr>
              <w:spacing w:line="400" w:lineRule="exact"/>
              <w:jc w:val="center"/>
              <w:rPr>
                <w:rFonts w:hint="eastAsia" w:asciiTheme="minorEastAsia" w:hAnsiTheme="minorEastAsia" w:eastAsiaTheme="minorEastAsia" w:cstheme="minorEastAsia"/>
                <w:color w:val="auto"/>
                <w:sz w:val="21"/>
                <w:szCs w:val="21"/>
                <w:highlight w:val="none"/>
              </w:rPr>
            </w:pPr>
          </w:p>
        </w:tc>
      </w:tr>
      <w:tr w14:paraId="18A6A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30C1409B">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58217A2E">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62621B89">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668F4236">
            <w:pPr>
              <w:spacing w:line="400" w:lineRule="exact"/>
              <w:jc w:val="center"/>
              <w:rPr>
                <w:rFonts w:hint="eastAsia" w:asciiTheme="minorEastAsia" w:hAnsiTheme="minorEastAsia" w:eastAsiaTheme="minorEastAsia" w:cstheme="minorEastAsia"/>
                <w:color w:val="auto"/>
                <w:sz w:val="21"/>
                <w:szCs w:val="21"/>
                <w:highlight w:val="none"/>
              </w:rPr>
            </w:pPr>
          </w:p>
        </w:tc>
      </w:tr>
      <w:tr w14:paraId="6DA552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36D83E61">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0201CA32">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restart"/>
            <w:shd w:val="clear" w:color="auto" w:fill="auto"/>
            <w:vAlign w:val="center"/>
          </w:tcPr>
          <w:p w14:paraId="2561E8D5">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拟派面点师具有中式面点师资格证书的，每个得2分，最高得4分。</w:t>
            </w:r>
          </w:p>
          <w:p w14:paraId="0300EFCC">
            <w:pPr>
              <w:pStyle w:val="393"/>
              <w:keepNext w:val="0"/>
              <w:keepLines w:val="0"/>
              <w:pageBreakBefore w:val="0"/>
              <w:numPr>
                <w:ilvl w:val="0"/>
                <w:numId w:val="0"/>
              </w:numPr>
              <w:kinsoku/>
              <w:wordWrap/>
              <w:overflowPunct/>
              <w:topLinePunct w:val="0"/>
              <w:autoSpaceDE/>
              <w:autoSpaceDN/>
              <w:bidi w:val="0"/>
              <w:adjustRightInd w:val="0"/>
              <w:snapToGrid w:val="0"/>
              <w:spacing w:line="280" w:lineRule="exact"/>
              <w:ind w:left="0" w:leftChars="0" w:firstLine="0" w:firstLine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val="0"/>
                <w:bCs w:val="0"/>
                <w:color w:val="auto"/>
                <w:kern w:val="0"/>
                <w:sz w:val="24"/>
                <w:szCs w:val="24"/>
                <w:lang w:val="en-US" w:eastAsia="zh-CN" w:bidi="ar"/>
              </w:rPr>
              <w:t>注：</w:t>
            </w:r>
            <w:r>
              <w:rPr>
                <w:rFonts w:hint="eastAsia" w:ascii="宋体" w:hAnsi="宋体" w:eastAsia="宋体" w:cs="宋体"/>
                <w:b w:val="0"/>
                <w:bCs w:val="0"/>
                <w:color w:val="auto"/>
                <w:sz w:val="24"/>
                <w:szCs w:val="24"/>
                <w:highlight w:val="none"/>
                <w:lang w:val="en-US" w:eastAsia="zh-CN"/>
              </w:rPr>
              <w:t>以上人员必须为投标人的正式员工，提供劳动合同及相关证书等扫描件，不提供不得分。</w:t>
            </w:r>
          </w:p>
        </w:tc>
        <w:tc>
          <w:tcPr>
            <w:tcW w:w="550" w:type="pct"/>
            <w:vMerge w:val="restart"/>
            <w:shd w:val="clear" w:color="auto" w:fill="auto"/>
            <w:vAlign w:val="center"/>
          </w:tcPr>
          <w:p w14:paraId="5CAF3D6E">
            <w:pPr>
              <w:pStyle w:val="2"/>
              <w:keepNext w:val="0"/>
              <w:keepLines w:val="0"/>
              <w:pageBreakBefore w:val="0"/>
              <w:kinsoku/>
              <w:wordWrap/>
              <w:overflowPunct/>
              <w:topLinePunct w:val="0"/>
              <w:autoSpaceDE/>
              <w:autoSpaceDN/>
              <w:bidi w:val="0"/>
              <w:snapToGrid/>
              <w:spacing w:line="280" w:lineRule="exact"/>
              <w:ind w:left="0" w:lef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0-4分</w:t>
            </w:r>
          </w:p>
        </w:tc>
      </w:tr>
      <w:tr w14:paraId="73040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032CCFE6">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401977E5">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7BA54003">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19065B2F">
            <w:pPr>
              <w:spacing w:line="400" w:lineRule="exact"/>
              <w:jc w:val="center"/>
              <w:rPr>
                <w:rFonts w:hint="eastAsia" w:asciiTheme="minorEastAsia" w:hAnsiTheme="minorEastAsia" w:eastAsiaTheme="minorEastAsia" w:cstheme="minorEastAsia"/>
                <w:color w:val="auto"/>
                <w:sz w:val="21"/>
                <w:szCs w:val="21"/>
                <w:highlight w:val="none"/>
              </w:rPr>
            </w:pPr>
          </w:p>
        </w:tc>
      </w:tr>
      <w:tr w14:paraId="58560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05A16DCC">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682B2566">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39F8A646">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4AE36F46">
            <w:pPr>
              <w:spacing w:line="400" w:lineRule="exact"/>
              <w:jc w:val="center"/>
              <w:rPr>
                <w:rFonts w:hint="eastAsia" w:asciiTheme="minorEastAsia" w:hAnsiTheme="minorEastAsia" w:eastAsiaTheme="minorEastAsia" w:cstheme="minorEastAsia"/>
                <w:color w:val="auto"/>
                <w:sz w:val="21"/>
                <w:szCs w:val="21"/>
                <w:highlight w:val="none"/>
              </w:rPr>
            </w:pPr>
          </w:p>
        </w:tc>
      </w:tr>
      <w:tr w14:paraId="35D262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4B721D80">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4B214C4F">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741A795F">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6E754FBD">
            <w:pPr>
              <w:spacing w:line="400" w:lineRule="exact"/>
              <w:jc w:val="center"/>
              <w:rPr>
                <w:rFonts w:hint="eastAsia" w:asciiTheme="minorEastAsia" w:hAnsiTheme="minorEastAsia" w:eastAsiaTheme="minorEastAsia" w:cstheme="minorEastAsia"/>
                <w:color w:val="auto"/>
                <w:sz w:val="21"/>
                <w:szCs w:val="21"/>
                <w:highlight w:val="none"/>
              </w:rPr>
            </w:pPr>
          </w:p>
        </w:tc>
      </w:tr>
      <w:tr w14:paraId="5194E5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93" w:type="pct"/>
            <w:vMerge w:val="continue"/>
            <w:vAlign w:val="center"/>
          </w:tcPr>
          <w:p w14:paraId="2CB44ADB">
            <w:pPr>
              <w:spacing w:line="400" w:lineRule="exact"/>
              <w:jc w:val="center"/>
              <w:rPr>
                <w:rFonts w:hint="eastAsia" w:asciiTheme="minorEastAsia" w:hAnsiTheme="minorEastAsia" w:eastAsiaTheme="minorEastAsia" w:cstheme="minorEastAsia"/>
                <w:color w:val="auto"/>
                <w:sz w:val="21"/>
                <w:szCs w:val="21"/>
                <w:highlight w:val="none"/>
              </w:rPr>
            </w:pPr>
          </w:p>
        </w:tc>
        <w:tc>
          <w:tcPr>
            <w:tcW w:w="840" w:type="pct"/>
            <w:vMerge w:val="continue"/>
            <w:vAlign w:val="center"/>
          </w:tcPr>
          <w:p w14:paraId="6D91CC0B">
            <w:pPr>
              <w:spacing w:line="400" w:lineRule="exact"/>
              <w:jc w:val="center"/>
              <w:rPr>
                <w:rFonts w:hint="eastAsia" w:asciiTheme="minorEastAsia" w:hAnsiTheme="minorEastAsia" w:eastAsiaTheme="minorEastAsia" w:cstheme="minorEastAsia"/>
                <w:color w:val="auto"/>
                <w:sz w:val="21"/>
                <w:szCs w:val="21"/>
                <w:highlight w:val="none"/>
              </w:rPr>
            </w:pPr>
          </w:p>
        </w:tc>
        <w:tc>
          <w:tcPr>
            <w:tcW w:w="3215" w:type="pct"/>
            <w:vMerge w:val="continue"/>
            <w:vAlign w:val="center"/>
          </w:tcPr>
          <w:p w14:paraId="352D5142">
            <w:pPr>
              <w:spacing w:line="400" w:lineRule="exact"/>
              <w:rPr>
                <w:rFonts w:hint="eastAsia" w:asciiTheme="minorEastAsia" w:hAnsiTheme="minorEastAsia" w:eastAsiaTheme="minorEastAsia" w:cstheme="minorEastAsia"/>
                <w:color w:val="auto"/>
                <w:sz w:val="21"/>
                <w:szCs w:val="21"/>
                <w:highlight w:val="none"/>
              </w:rPr>
            </w:pPr>
          </w:p>
        </w:tc>
        <w:tc>
          <w:tcPr>
            <w:tcW w:w="550" w:type="pct"/>
            <w:vMerge w:val="continue"/>
            <w:vAlign w:val="center"/>
          </w:tcPr>
          <w:p w14:paraId="1A916B7F">
            <w:pPr>
              <w:spacing w:line="400" w:lineRule="exact"/>
              <w:jc w:val="center"/>
              <w:rPr>
                <w:rFonts w:hint="eastAsia" w:asciiTheme="minorEastAsia" w:hAnsiTheme="minorEastAsia" w:eastAsiaTheme="minorEastAsia" w:cstheme="minorEastAsia"/>
                <w:color w:val="auto"/>
                <w:sz w:val="21"/>
                <w:szCs w:val="21"/>
                <w:highlight w:val="none"/>
              </w:rPr>
            </w:pPr>
          </w:p>
        </w:tc>
      </w:tr>
      <w:tr w14:paraId="4685C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393" w:type="pct"/>
            <w:vAlign w:val="center"/>
          </w:tcPr>
          <w:p w14:paraId="5C7774D4">
            <w:pPr>
              <w:spacing w:line="40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840" w:type="pct"/>
            <w:vAlign w:val="center"/>
          </w:tcPr>
          <w:p w14:paraId="51DB8521">
            <w:pPr>
              <w:pStyle w:val="2"/>
              <w:keepNext w:val="0"/>
              <w:keepLines w:val="0"/>
              <w:pageBreakBefore w:val="0"/>
              <w:kinsoku/>
              <w:wordWrap/>
              <w:overflowPunct/>
              <w:topLinePunct w:val="0"/>
              <w:autoSpaceDE/>
              <w:autoSpaceDN/>
              <w:bidi w:val="0"/>
              <w:snapToGrid/>
              <w:spacing w:line="28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服务方案</w:t>
            </w:r>
          </w:p>
          <w:p w14:paraId="6A05A6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sz w:val="24"/>
                <w:szCs w:val="24"/>
                <w:highlight w:val="none"/>
                <w:lang w:val="en-US" w:eastAsia="zh-CN"/>
              </w:rPr>
              <w:t>（6分）</w:t>
            </w:r>
          </w:p>
        </w:tc>
        <w:tc>
          <w:tcPr>
            <w:tcW w:w="3215" w:type="pct"/>
            <w:vAlign w:val="center"/>
          </w:tcPr>
          <w:p w14:paraId="11F9060E">
            <w:pPr>
              <w:pStyle w:val="393"/>
              <w:keepNext w:val="0"/>
              <w:keepLines w:val="0"/>
              <w:pageBreakBefore w:val="0"/>
              <w:numPr>
                <w:ilvl w:val="0"/>
                <w:numId w:val="0"/>
              </w:numPr>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评委</w:t>
            </w:r>
            <w:r>
              <w:rPr>
                <w:rFonts w:hint="eastAsia" w:ascii="宋体" w:hAnsi="宋体" w:eastAsia="宋体" w:cs="宋体"/>
                <w:b w:val="0"/>
                <w:bCs w:val="0"/>
                <w:color w:val="auto"/>
                <w:kern w:val="0"/>
                <w:sz w:val="24"/>
                <w:szCs w:val="24"/>
              </w:rPr>
              <w:t>根据</w:t>
            </w:r>
            <w:r>
              <w:rPr>
                <w:rFonts w:hint="eastAsia" w:ascii="宋体" w:hAnsi="宋体" w:eastAsia="宋体" w:cs="宋体"/>
                <w:b w:val="0"/>
                <w:bCs w:val="0"/>
                <w:color w:val="auto"/>
                <w:kern w:val="0"/>
                <w:sz w:val="24"/>
                <w:szCs w:val="24"/>
                <w:lang w:eastAsia="zh-CN"/>
              </w:rPr>
              <w:t>投标人</w:t>
            </w:r>
            <w:r>
              <w:rPr>
                <w:rFonts w:hint="eastAsia" w:ascii="宋体" w:hAnsi="宋体" w:eastAsia="宋体" w:cs="宋体"/>
                <w:b w:val="0"/>
                <w:bCs w:val="0"/>
                <w:color w:val="auto"/>
                <w:sz w:val="24"/>
                <w:szCs w:val="24"/>
              </w:rPr>
              <w:t>提出的服务</w:t>
            </w:r>
            <w:r>
              <w:rPr>
                <w:rFonts w:hint="eastAsia" w:ascii="宋体" w:hAnsi="宋体" w:eastAsia="宋体" w:cs="宋体"/>
                <w:b w:val="0"/>
                <w:bCs w:val="0"/>
                <w:color w:val="auto"/>
                <w:kern w:val="0"/>
                <w:sz w:val="24"/>
                <w:szCs w:val="24"/>
              </w:rPr>
              <w:t>方案进行评</w:t>
            </w:r>
            <w:r>
              <w:rPr>
                <w:rFonts w:hint="eastAsia" w:ascii="宋体" w:hAnsi="宋体" w:eastAsia="宋体" w:cs="宋体"/>
                <w:b w:val="0"/>
                <w:bCs w:val="0"/>
                <w:color w:val="auto"/>
                <w:sz w:val="24"/>
                <w:szCs w:val="24"/>
              </w:rPr>
              <w:t>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w:t>
            </w:r>
            <w:r>
              <w:rPr>
                <w:rFonts w:hint="eastAsia"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分</w:t>
            </w:r>
            <w:r>
              <w:rPr>
                <w:rFonts w:hint="eastAsia" w:ascii="宋体" w:hAnsi="宋体" w:eastAsia="宋体" w:cs="宋体"/>
                <w:b w:val="0"/>
                <w:bCs w:val="0"/>
                <w:color w:val="auto"/>
                <w:sz w:val="24"/>
                <w:szCs w:val="24"/>
                <w:lang w:eastAsia="zh-CN"/>
              </w:rPr>
              <w:t>）。</w:t>
            </w:r>
          </w:p>
          <w:p w14:paraId="7E3E80EA">
            <w:pPr>
              <w:pStyle w:val="393"/>
              <w:keepNext w:val="0"/>
              <w:keepLines w:val="0"/>
              <w:pageBreakBefore w:val="0"/>
              <w:numPr>
                <w:ilvl w:val="0"/>
                <w:numId w:val="0"/>
              </w:numPr>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服务方案</w:t>
            </w:r>
            <w:r>
              <w:rPr>
                <w:rFonts w:hint="eastAsia" w:ascii="宋体" w:hAnsi="宋体" w:eastAsia="宋体" w:cs="宋体"/>
                <w:b w:val="0"/>
                <w:bCs w:val="0"/>
                <w:color w:val="auto"/>
                <w:kern w:val="0"/>
                <w:sz w:val="24"/>
                <w:szCs w:val="24"/>
                <w:lang w:val="zh-CN"/>
              </w:rPr>
              <w:t>具有</w:t>
            </w:r>
            <w:r>
              <w:rPr>
                <w:rFonts w:hint="eastAsia" w:ascii="宋体" w:hAnsi="宋体" w:eastAsia="宋体" w:cs="宋体"/>
                <w:b w:val="0"/>
                <w:bCs w:val="0"/>
                <w:color w:val="auto"/>
                <w:kern w:val="0"/>
                <w:sz w:val="24"/>
                <w:szCs w:val="24"/>
              </w:rPr>
              <w:t>针对性，根据项目采购需求提出详细、具体、明确的服务方案的，得</w:t>
            </w:r>
            <w:r>
              <w:rPr>
                <w:rFonts w:hint="eastAsia"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w:t>
            </w:r>
            <w:r>
              <w:rPr>
                <w:rFonts w:hint="eastAsia"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分；</w:t>
            </w:r>
          </w:p>
          <w:p w14:paraId="7977F60D">
            <w:pPr>
              <w:pStyle w:val="393"/>
              <w:keepNext w:val="0"/>
              <w:keepLines w:val="0"/>
              <w:pageBreakBefore w:val="0"/>
              <w:numPr>
                <w:ilvl w:val="0"/>
                <w:numId w:val="0"/>
              </w:numPr>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服务方案较为简单，但基本能符合项目采购需求，有提出服务流程、服务方式方法的，得</w:t>
            </w:r>
            <w:r>
              <w:rPr>
                <w:rFonts w:hint="eastAsia"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w:t>
            </w:r>
            <w:r>
              <w:rPr>
                <w:rFonts w:hint="eastAsia"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分；</w:t>
            </w:r>
          </w:p>
          <w:p w14:paraId="2A349A04">
            <w:pPr>
              <w:pStyle w:val="393"/>
              <w:keepNext w:val="0"/>
              <w:keepLines w:val="0"/>
              <w:pageBreakBefore w:val="0"/>
              <w:numPr>
                <w:ilvl w:val="0"/>
                <w:numId w:val="0"/>
              </w:numPr>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服务方案</w:t>
            </w:r>
            <w:r>
              <w:rPr>
                <w:rFonts w:hint="eastAsia" w:ascii="宋体" w:hAnsi="宋体" w:eastAsia="宋体" w:cs="宋体"/>
                <w:b w:val="0"/>
                <w:bCs w:val="0"/>
                <w:color w:val="auto"/>
                <w:kern w:val="0"/>
                <w:sz w:val="24"/>
                <w:szCs w:val="24"/>
                <w:lang w:eastAsia="zh-CN"/>
              </w:rPr>
              <w:t>一般</w:t>
            </w:r>
            <w:r>
              <w:rPr>
                <w:rFonts w:hint="eastAsia" w:ascii="宋体" w:hAnsi="宋体" w:eastAsia="宋体" w:cs="宋体"/>
                <w:b w:val="0"/>
                <w:bCs w:val="0"/>
                <w:color w:val="auto"/>
                <w:kern w:val="0"/>
                <w:sz w:val="24"/>
                <w:szCs w:val="24"/>
              </w:rPr>
              <w:t>或不符合项目采购需求的，</w:t>
            </w:r>
            <w:r>
              <w:rPr>
                <w:rFonts w:hint="eastAsia" w:ascii="宋体" w:hAnsi="宋体" w:eastAsia="宋体" w:cs="宋体"/>
                <w:b w:val="0"/>
                <w:bCs w:val="0"/>
                <w:color w:val="auto"/>
                <w:kern w:val="0"/>
                <w:sz w:val="24"/>
                <w:szCs w:val="24"/>
                <w:lang w:eastAsia="zh-CN"/>
              </w:rPr>
              <w:t>得</w:t>
            </w:r>
            <w:r>
              <w:rPr>
                <w:rFonts w:hint="eastAsia" w:ascii="宋体" w:hAnsi="宋体" w:eastAsia="宋体" w:cs="宋体"/>
                <w:b w:val="0"/>
                <w:bCs w:val="0"/>
                <w:color w:val="auto"/>
                <w:kern w:val="0"/>
                <w:sz w:val="24"/>
                <w:szCs w:val="24"/>
                <w:lang w:val="en-US" w:eastAsia="zh-CN"/>
              </w:rPr>
              <w:t>0-</w:t>
            </w:r>
            <w:r>
              <w:rPr>
                <w:rFonts w:hint="eastAsia"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val="en-US" w:eastAsia="zh-CN"/>
              </w:rPr>
              <w:t>分。</w:t>
            </w:r>
          </w:p>
          <w:p w14:paraId="6BC3F295">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lang w:val="en-US" w:eastAsia="zh-CN"/>
              </w:rPr>
              <w:t>未提供方案的</w:t>
            </w:r>
            <w:r>
              <w:rPr>
                <w:rFonts w:hint="eastAsia" w:ascii="宋体" w:hAnsi="宋体" w:eastAsia="宋体" w:cs="宋体"/>
                <w:b w:val="0"/>
                <w:bCs w:val="0"/>
                <w:color w:val="auto"/>
                <w:kern w:val="0"/>
                <w:sz w:val="24"/>
                <w:szCs w:val="24"/>
              </w:rPr>
              <w:t>不得分。</w:t>
            </w:r>
          </w:p>
        </w:tc>
        <w:tc>
          <w:tcPr>
            <w:tcW w:w="550" w:type="pct"/>
            <w:vAlign w:val="center"/>
          </w:tcPr>
          <w:p w14:paraId="10E17E43">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0-6分</w:t>
            </w:r>
          </w:p>
        </w:tc>
      </w:tr>
      <w:tr w14:paraId="41852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393" w:type="pct"/>
            <w:vAlign w:val="center"/>
          </w:tcPr>
          <w:p w14:paraId="7A20701D">
            <w:pPr>
              <w:spacing w:line="40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840" w:type="pct"/>
            <w:vAlign w:val="center"/>
          </w:tcPr>
          <w:p w14:paraId="5B63A8FD">
            <w:pPr>
              <w:widowControl/>
              <w:adjustRightInd w:val="0"/>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服务质量保障措施</w:t>
            </w:r>
          </w:p>
          <w:p w14:paraId="721428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分）</w:t>
            </w:r>
          </w:p>
        </w:tc>
        <w:tc>
          <w:tcPr>
            <w:tcW w:w="3215" w:type="pct"/>
          </w:tcPr>
          <w:p w14:paraId="28B72767">
            <w:pPr>
              <w:numPr>
                <w:ilvl w:val="0"/>
                <w:numId w:val="0"/>
              </w:numPr>
              <w:bidi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eastAsia="zh-CN"/>
              </w:rPr>
              <w:t>评委</w:t>
            </w:r>
            <w:r>
              <w:rPr>
                <w:rFonts w:hint="eastAsia" w:ascii="宋体" w:hAnsi="宋体" w:eastAsia="宋体" w:cs="宋体"/>
                <w:b w:val="0"/>
                <w:bCs w:val="0"/>
                <w:color w:val="auto"/>
                <w:kern w:val="0"/>
                <w:sz w:val="24"/>
                <w:szCs w:val="24"/>
              </w:rPr>
              <w:t>根据</w:t>
            </w:r>
            <w:r>
              <w:rPr>
                <w:rFonts w:hint="eastAsia" w:ascii="宋体" w:hAnsi="宋体" w:eastAsia="宋体" w:cs="宋体"/>
                <w:b w:val="0"/>
                <w:bCs w:val="0"/>
                <w:color w:val="auto"/>
                <w:kern w:val="0"/>
                <w:sz w:val="24"/>
                <w:szCs w:val="24"/>
                <w:lang w:eastAsia="zh-CN"/>
              </w:rPr>
              <w:t>投标人</w:t>
            </w:r>
            <w:r>
              <w:rPr>
                <w:rFonts w:hint="eastAsia" w:ascii="宋体" w:hAnsi="宋体" w:eastAsia="宋体" w:cs="宋体"/>
                <w:b w:val="0"/>
                <w:bCs w:val="0"/>
                <w:color w:val="auto"/>
                <w:sz w:val="24"/>
                <w:szCs w:val="24"/>
              </w:rPr>
              <w:t>提出的服务质量保障措施</w:t>
            </w:r>
            <w:r>
              <w:rPr>
                <w:rFonts w:hint="eastAsia" w:ascii="宋体" w:hAnsi="宋体" w:eastAsia="宋体" w:cs="宋体"/>
                <w:b w:val="0"/>
                <w:bCs w:val="0"/>
                <w:color w:val="auto"/>
                <w:kern w:val="0"/>
                <w:sz w:val="24"/>
                <w:szCs w:val="24"/>
              </w:rPr>
              <w:t>进行评</w:t>
            </w:r>
            <w:r>
              <w:rPr>
                <w:rFonts w:hint="eastAsia" w:ascii="宋体" w:hAnsi="宋体" w:eastAsia="宋体" w:cs="宋体"/>
                <w:b w:val="0"/>
                <w:bCs w:val="0"/>
                <w:color w:val="auto"/>
                <w:sz w:val="24"/>
                <w:szCs w:val="24"/>
              </w:rPr>
              <w:t>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0-5分</w:t>
            </w:r>
            <w:r>
              <w:rPr>
                <w:rFonts w:hint="eastAsia" w:ascii="宋体" w:hAnsi="宋体" w:eastAsia="宋体" w:cs="宋体"/>
                <w:b w:val="0"/>
                <w:bCs w:val="0"/>
                <w:color w:val="auto"/>
                <w:sz w:val="24"/>
                <w:szCs w:val="24"/>
                <w:lang w:eastAsia="zh-CN"/>
              </w:rPr>
              <w:t>）。</w:t>
            </w:r>
          </w:p>
          <w:p w14:paraId="74B1F9B2">
            <w:pPr>
              <w:numPr>
                <w:ilvl w:val="0"/>
                <w:numId w:val="5"/>
              </w:numPr>
              <w:bidi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制定相应的</w:t>
            </w:r>
            <w:r>
              <w:rPr>
                <w:rFonts w:hint="eastAsia" w:ascii="宋体" w:hAnsi="宋体" w:eastAsia="宋体" w:cs="宋体"/>
                <w:b w:val="0"/>
                <w:bCs w:val="0"/>
                <w:color w:val="auto"/>
                <w:sz w:val="24"/>
                <w:szCs w:val="24"/>
              </w:rPr>
              <w:t>服务质量保障措施，</w:t>
            </w:r>
            <w:r>
              <w:rPr>
                <w:rFonts w:hint="eastAsia" w:ascii="宋体" w:hAnsi="宋体" w:eastAsia="宋体" w:cs="宋体"/>
                <w:b w:val="0"/>
                <w:bCs w:val="0"/>
                <w:iCs/>
                <w:color w:val="auto"/>
                <w:sz w:val="24"/>
                <w:szCs w:val="24"/>
              </w:rPr>
              <w:t>对</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kern w:val="0"/>
                <w:sz w:val="24"/>
                <w:szCs w:val="24"/>
              </w:rPr>
              <w:t>过程中</w:t>
            </w:r>
            <w:r>
              <w:rPr>
                <w:rFonts w:hint="eastAsia" w:ascii="宋体" w:hAnsi="宋体" w:eastAsia="宋体" w:cs="宋体"/>
                <w:b w:val="0"/>
                <w:bCs w:val="0"/>
                <w:color w:val="auto"/>
                <w:kern w:val="0"/>
                <w:sz w:val="24"/>
                <w:szCs w:val="24"/>
                <w:lang w:eastAsia="zh-CN"/>
              </w:rPr>
              <w:t>的关键</w:t>
            </w:r>
            <w:r>
              <w:rPr>
                <w:rFonts w:hint="eastAsia" w:ascii="宋体" w:hAnsi="宋体" w:eastAsia="宋体" w:cs="宋体"/>
                <w:b w:val="0"/>
                <w:bCs w:val="0"/>
                <w:color w:val="auto"/>
                <w:kern w:val="0"/>
                <w:sz w:val="24"/>
                <w:szCs w:val="24"/>
              </w:rPr>
              <w:t>节点有具体</w:t>
            </w:r>
            <w:r>
              <w:rPr>
                <w:rFonts w:hint="eastAsia" w:ascii="宋体" w:hAnsi="宋体" w:eastAsia="宋体" w:cs="宋体"/>
                <w:b w:val="0"/>
                <w:bCs w:val="0"/>
                <w:color w:val="auto"/>
                <w:sz w:val="24"/>
                <w:szCs w:val="24"/>
              </w:rPr>
              <w:t>质量</w:t>
            </w:r>
            <w:r>
              <w:rPr>
                <w:rFonts w:hint="eastAsia" w:ascii="宋体" w:hAnsi="宋体" w:eastAsia="宋体" w:cs="宋体"/>
                <w:b w:val="0"/>
                <w:bCs w:val="0"/>
                <w:color w:val="auto"/>
                <w:kern w:val="0"/>
                <w:sz w:val="24"/>
                <w:szCs w:val="24"/>
              </w:rPr>
              <w:t>控制</w:t>
            </w:r>
            <w:r>
              <w:rPr>
                <w:rFonts w:hint="eastAsia" w:ascii="宋体" w:hAnsi="宋体" w:eastAsia="宋体" w:cs="宋体"/>
                <w:b w:val="0"/>
                <w:bCs w:val="0"/>
                <w:color w:val="auto"/>
                <w:sz w:val="24"/>
                <w:szCs w:val="24"/>
              </w:rPr>
              <w:t>措施，</w:t>
            </w:r>
            <w:r>
              <w:rPr>
                <w:rFonts w:hint="eastAsia" w:ascii="宋体" w:hAnsi="宋体" w:eastAsia="宋体" w:cs="宋体"/>
                <w:b w:val="0"/>
                <w:bCs w:val="0"/>
                <w:color w:val="auto"/>
                <w:kern w:val="0"/>
                <w:sz w:val="24"/>
                <w:szCs w:val="24"/>
              </w:rPr>
              <w:t>有相应的</w:t>
            </w:r>
            <w:r>
              <w:rPr>
                <w:rFonts w:hint="eastAsia" w:ascii="宋体" w:hAnsi="宋体" w:eastAsia="宋体" w:cs="宋体"/>
                <w:b w:val="0"/>
                <w:bCs w:val="0"/>
                <w:color w:val="auto"/>
                <w:sz w:val="24"/>
                <w:szCs w:val="24"/>
              </w:rPr>
              <w:t>人力、物力投入安排，能够确保服务质量</w:t>
            </w:r>
            <w:r>
              <w:rPr>
                <w:rFonts w:hint="eastAsia" w:ascii="宋体" w:hAnsi="宋体" w:eastAsia="宋体" w:cs="宋体"/>
                <w:b w:val="0"/>
                <w:bCs w:val="0"/>
                <w:color w:val="auto"/>
                <w:kern w:val="0"/>
                <w:sz w:val="24"/>
                <w:szCs w:val="24"/>
              </w:rPr>
              <w:t>的，得</w:t>
            </w:r>
            <w:r>
              <w:rPr>
                <w:rFonts w:hint="eastAsia" w:ascii="宋体" w:hAnsi="宋体" w:eastAsia="宋体" w:cs="宋体"/>
                <w:b w:val="0"/>
                <w:bCs w:val="0"/>
                <w:color w:val="auto"/>
                <w:kern w:val="0"/>
                <w:sz w:val="24"/>
                <w:szCs w:val="24"/>
                <w:lang w:val="en-US" w:eastAsia="zh-CN"/>
              </w:rPr>
              <w:t>3-5</w:t>
            </w:r>
            <w:r>
              <w:rPr>
                <w:rFonts w:hint="eastAsia" w:ascii="宋体" w:hAnsi="宋体" w:eastAsia="宋体" w:cs="宋体"/>
                <w:b w:val="0"/>
                <w:bCs w:val="0"/>
                <w:color w:val="auto"/>
                <w:kern w:val="0"/>
                <w:sz w:val="24"/>
                <w:szCs w:val="24"/>
              </w:rPr>
              <w:t>分；</w:t>
            </w:r>
          </w:p>
          <w:p w14:paraId="1C971FC2">
            <w:pPr>
              <w:numPr>
                <w:ilvl w:val="0"/>
                <w:numId w:val="5"/>
              </w:numPr>
              <w:bidi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rPr>
              <w:t>服务质量保障措施</w:t>
            </w:r>
            <w:r>
              <w:rPr>
                <w:rFonts w:hint="eastAsia" w:ascii="宋体" w:hAnsi="宋体" w:eastAsia="宋体" w:cs="宋体"/>
                <w:b w:val="0"/>
                <w:bCs w:val="0"/>
                <w:color w:val="auto"/>
                <w:kern w:val="0"/>
                <w:sz w:val="24"/>
                <w:szCs w:val="24"/>
              </w:rPr>
              <w:t>较为简单，</w:t>
            </w:r>
            <w:r>
              <w:rPr>
                <w:rFonts w:hint="eastAsia" w:ascii="宋体" w:hAnsi="宋体" w:eastAsia="宋体" w:cs="宋体"/>
                <w:b w:val="0"/>
                <w:bCs w:val="0"/>
                <w:iCs/>
                <w:color w:val="auto"/>
                <w:sz w:val="24"/>
                <w:szCs w:val="24"/>
              </w:rPr>
              <w:t>对</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kern w:val="0"/>
                <w:sz w:val="24"/>
                <w:szCs w:val="24"/>
              </w:rPr>
              <w:t>过程中</w:t>
            </w:r>
            <w:r>
              <w:rPr>
                <w:rFonts w:hint="eastAsia" w:ascii="宋体" w:hAnsi="宋体" w:eastAsia="宋体" w:cs="宋体"/>
                <w:b w:val="0"/>
                <w:bCs w:val="0"/>
                <w:color w:val="auto"/>
                <w:kern w:val="0"/>
                <w:sz w:val="24"/>
                <w:szCs w:val="24"/>
                <w:lang w:eastAsia="zh-CN"/>
              </w:rPr>
              <w:t>的关键</w:t>
            </w:r>
            <w:r>
              <w:rPr>
                <w:rFonts w:hint="eastAsia" w:ascii="宋体" w:hAnsi="宋体" w:eastAsia="宋体" w:cs="宋体"/>
                <w:b w:val="0"/>
                <w:bCs w:val="0"/>
                <w:color w:val="auto"/>
                <w:kern w:val="0"/>
                <w:sz w:val="24"/>
                <w:szCs w:val="24"/>
              </w:rPr>
              <w:t>节点有</w:t>
            </w:r>
            <w:r>
              <w:rPr>
                <w:rFonts w:hint="eastAsia" w:ascii="宋体" w:hAnsi="宋体" w:eastAsia="宋体" w:cs="宋体"/>
                <w:b w:val="0"/>
                <w:bCs w:val="0"/>
                <w:color w:val="auto"/>
                <w:sz w:val="24"/>
                <w:szCs w:val="24"/>
              </w:rPr>
              <w:t>提出基本</w:t>
            </w:r>
            <w:r>
              <w:rPr>
                <w:rFonts w:hint="eastAsia" w:ascii="宋体" w:hAnsi="宋体" w:eastAsia="宋体" w:cs="宋体"/>
                <w:b w:val="0"/>
                <w:bCs w:val="0"/>
                <w:color w:val="auto"/>
                <w:kern w:val="0"/>
                <w:sz w:val="24"/>
                <w:szCs w:val="24"/>
              </w:rPr>
              <w:t>的</w:t>
            </w:r>
            <w:r>
              <w:rPr>
                <w:rFonts w:hint="eastAsia" w:ascii="宋体" w:hAnsi="宋体" w:eastAsia="宋体" w:cs="宋体"/>
                <w:b w:val="0"/>
                <w:bCs w:val="0"/>
                <w:color w:val="auto"/>
                <w:sz w:val="24"/>
                <w:szCs w:val="24"/>
              </w:rPr>
              <w:t>质量</w:t>
            </w:r>
            <w:r>
              <w:rPr>
                <w:rFonts w:hint="eastAsia" w:ascii="宋体" w:hAnsi="宋体" w:eastAsia="宋体" w:cs="宋体"/>
                <w:b w:val="0"/>
                <w:bCs w:val="0"/>
                <w:color w:val="auto"/>
                <w:kern w:val="0"/>
                <w:sz w:val="24"/>
                <w:szCs w:val="24"/>
              </w:rPr>
              <w:t>控制</w:t>
            </w:r>
            <w:r>
              <w:rPr>
                <w:rFonts w:hint="eastAsia" w:ascii="宋体" w:hAnsi="宋体" w:eastAsia="宋体" w:cs="宋体"/>
                <w:b w:val="0"/>
                <w:bCs w:val="0"/>
                <w:color w:val="auto"/>
                <w:sz w:val="24"/>
                <w:szCs w:val="24"/>
              </w:rPr>
              <w:t>措施</w:t>
            </w:r>
            <w:r>
              <w:rPr>
                <w:rFonts w:hint="eastAsia" w:ascii="宋体" w:hAnsi="宋体" w:eastAsia="宋体" w:cs="宋体"/>
                <w:b w:val="0"/>
                <w:bCs w:val="0"/>
                <w:color w:val="auto"/>
                <w:kern w:val="0"/>
                <w:sz w:val="24"/>
                <w:szCs w:val="24"/>
              </w:rPr>
              <w:t>的，得</w:t>
            </w: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分；</w:t>
            </w:r>
          </w:p>
          <w:p w14:paraId="4B3F6C20">
            <w:pPr>
              <w:pStyle w:val="393"/>
              <w:keepNext w:val="0"/>
              <w:keepLines w:val="0"/>
              <w:pageBreakBefore w:val="0"/>
              <w:numPr>
                <w:ilvl w:val="0"/>
                <w:numId w:val="0"/>
              </w:numPr>
              <w:kinsoku/>
              <w:wordWrap/>
              <w:overflowPunct/>
              <w:topLinePunct w:val="0"/>
              <w:autoSpaceDE/>
              <w:autoSpaceDN/>
              <w:bidi w:val="0"/>
              <w:adjustRightInd w:val="0"/>
              <w:snapToGrid w:val="0"/>
              <w:spacing w:line="280" w:lineRule="exac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服务质量保障措施</w:t>
            </w:r>
            <w:r>
              <w:rPr>
                <w:rFonts w:hint="eastAsia" w:ascii="宋体" w:hAnsi="宋体" w:eastAsia="宋体" w:cs="宋体"/>
                <w:b w:val="0"/>
                <w:bCs w:val="0"/>
                <w:color w:val="auto"/>
                <w:kern w:val="0"/>
                <w:sz w:val="24"/>
                <w:szCs w:val="24"/>
                <w:lang w:eastAsia="zh-CN"/>
              </w:rPr>
              <w:t>一般</w:t>
            </w:r>
            <w:r>
              <w:rPr>
                <w:rFonts w:hint="eastAsia" w:ascii="宋体" w:hAnsi="宋体" w:eastAsia="宋体" w:cs="宋体"/>
                <w:b w:val="0"/>
                <w:bCs w:val="0"/>
                <w:color w:val="auto"/>
                <w:kern w:val="0"/>
                <w:sz w:val="24"/>
                <w:szCs w:val="24"/>
              </w:rPr>
              <w:t>的，</w:t>
            </w:r>
            <w:r>
              <w:rPr>
                <w:rFonts w:hint="eastAsia" w:ascii="宋体" w:hAnsi="宋体" w:eastAsia="宋体" w:cs="宋体"/>
                <w:b w:val="0"/>
                <w:bCs w:val="0"/>
                <w:color w:val="auto"/>
                <w:kern w:val="0"/>
                <w:sz w:val="24"/>
                <w:szCs w:val="24"/>
                <w:lang w:eastAsia="zh-CN"/>
              </w:rPr>
              <w:t>得</w:t>
            </w:r>
            <w:r>
              <w:rPr>
                <w:rFonts w:hint="eastAsia" w:ascii="宋体" w:hAnsi="宋体" w:eastAsia="宋体" w:cs="宋体"/>
                <w:b w:val="0"/>
                <w:bCs w:val="0"/>
                <w:color w:val="auto"/>
                <w:kern w:val="0"/>
                <w:sz w:val="24"/>
                <w:szCs w:val="24"/>
                <w:lang w:val="en-US" w:eastAsia="zh-CN"/>
              </w:rPr>
              <w:t>0-</w:t>
            </w:r>
            <w:r>
              <w:rPr>
                <w:rFonts w:hint="eastAsia"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rPr>
              <w:t>分。</w:t>
            </w:r>
          </w:p>
          <w:p w14:paraId="098078D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lang w:val="en-US" w:eastAsia="zh-CN"/>
              </w:rPr>
              <w:t>未提供方案的</w:t>
            </w:r>
            <w:r>
              <w:rPr>
                <w:rFonts w:hint="eastAsia" w:ascii="宋体" w:hAnsi="宋体" w:eastAsia="宋体" w:cs="宋体"/>
                <w:b w:val="0"/>
                <w:bCs w:val="0"/>
                <w:color w:val="auto"/>
                <w:kern w:val="0"/>
                <w:sz w:val="24"/>
                <w:szCs w:val="24"/>
              </w:rPr>
              <w:t>不得分。</w:t>
            </w:r>
          </w:p>
        </w:tc>
        <w:tc>
          <w:tcPr>
            <w:tcW w:w="550" w:type="pct"/>
            <w:vAlign w:val="center"/>
          </w:tcPr>
          <w:p w14:paraId="2EF3E9B7">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0-5分</w:t>
            </w:r>
          </w:p>
        </w:tc>
      </w:tr>
      <w:tr w14:paraId="62D34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393" w:type="pct"/>
            <w:vAlign w:val="center"/>
          </w:tcPr>
          <w:p w14:paraId="6A6982A9">
            <w:pPr>
              <w:pStyle w:val="2"/>
              <w:spacing w:after="0" w:line="400" w:lineRule="exact"/>
              <w:ind w:left="0" w:leftChars="0"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840" w:type="pct"/>
            <w:vAlign w:val="center"/>
          </w:tcPr>
          <w:p w14:paraId="5AF1809D">
            <w:pPr>
              <w:widowControl/>
              <w:adjustRightInd w:val="0"/>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食品安全卫生保障方案</w:t>
            </w:r>
          </w:p>
          <w:p w14:paraId="40AE563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分）</w:t>
            </w:r>
          </w:p>
        </w:tc>
        <w:tc>
          <w:tcPr>
            <w:tcW w:w="3215" w:type="pct"/>
            <w:vAlign w:val="center"/>
          </w:tcPr>
          <w:p w14:paraId="48260277">
            <w:pPr>
              <w:widowControl/>
              <w:adjustRightInd w:val="0"/>
              <w:snapToGrid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rPr>
              <w:t>评委</w:t>
            </w:r>
            <w:r>
              <w:rPr>
                <w:rFonts w:hint="eastAsia" w:ascii="宋体" w:hAnsi="宋体" w:eastAsia="宋体" w:cs="宋体"/>
                <w:b w:val="0"/>
                <w:bCs w:val="0"/>
                <w:color w:val="auto"/>
                <w:kern w:val="0"/>
                <w:sz w:val="24"/>
                <w:szCs w:val="24"/>
              </w:rPr>
              <w:t>根据</w:t>
            </w:r>
            <w:r>
              <w:rPr>
                <w:rFonts w:hint="eastAsia" w:ascii="宋体" w:hAnsi="宋体" w:eastAsia="宋体" w:cs="宋体"/>
                <w:b w:val="0"/>
                <w:bCs w:val="0"/>
                <w:color w:val="auto"/>
                <w:kern w:val="0"/>
                <w:sz w:val="24"/>
                <w:szCs w:val="24"/>
                <w:lang w:eastAsia="zh-CN"/>
              </w:rPr>
              <w:t>投标人</w:t>
            </w:r>
            <w:r>
              <w:rPr>
                <w:rFonts w:hint="eastAsia" w:ascii="宋体" w:hAnsi="宋体" w:eastAsia="宋体" w:cs="宋体"/>
                <w:b w:val="0"/>
                <w:bCs w:val="0"/>
                <w:color w:val="auto"/>
                <w:sz w:val="24"/>
                <w:szCs w:val="24"/>
              </w:rPr>
              <w:t>提出的食品安全卫生保障方案</w:t>
            </w:r>
            <w:r>
              <w:rPr>
                <w:rFonts w:hint="eastAsia" w:ascii="宋体" w:hAnsi="宋体" w:eastAsia="宋体" w:cs="宋体"/>
                <w:b w:val="0"/>
                <w:bCs w:val="0"/>
                <w:color w:val="auto"/>
                <w:kern w:val="0"/>
                <w:sz w:val="24"/>
                <w:szCs w:val="24"/>
              </w:rPr>
              <w:t>进行评</w:t>
            </w:r>
            <w:r>
              <w:rPr>
                <w:rFonts w:hint="eastAsia" w:ascii="宋体" w:hAnsi="宋体" w:eastAsia="宋体" w:cs="宋体"/>
                <w:b w:val="0"/>
                <w:bCs w:val="0"/>
                <w:color w:val="auto"/>
                <w:sz w:val="24"/>
                <w:szCs w:val="24"/>
              </w:rPr>
              <w:t>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0-5分</w:t>
            </w:r>
            <w:r>
              <w:rPr>
                <w:rFonts w:hint="eastAsia" w:ascii="宋体" w:hAnsi="宋体" w:eastAsia="宋体" w:cs="宋体"/>
                <w:b w:val="0"/>
                <w:bCs w:val="0"/>
                <w:color w:val="auto"/>
                <w:sz w:val="24"/>
                <w:szCs w:val="24"/>
                <w:lang w:eastAsia="zh-CN"/>
              </w:rPr>
              <w:t>）。</w:t>
            </w:r>
          </w:p>
          <w:p w14:paraId="4ACBAB34">
            <w:pPr>
              <w:widowControl/>
              <w:numPr>
                <w:ilvl w:val="0"/>
                <w:numId w:val="6"/>
              </w:numPr>
              <w:adjustRightInd w:val="0"/>
              <w:snapToGrid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制定</w:t>
            </w:r>
            <w:r>
              <w:rPr>
                <w:rFonts w:hint="eastAsia" w:ascii="宋体" w:hAnsi="宋体" w:eastAsia="宋体" w:cs="宋体"/>
                <w:b w:val="0"/>
                <w:bCs w:val="0"/>
                <w:color w:val="auto"/>
                <w:sz w:val="24"/>
                <w:szCs w:val="24"/>
              </w:rPr>
              <w:t>完整</w:t>
            </w:r>
            <w:r>
              <w:rPr>
                <w:rFonts w:hint="eastAsia" w:ascii="宋体" w:hAnsi="宋体" w:eastAsia="宋体" w:cs="宋体"/>
                <w:b w:val="0"/>
                <w:bCs w:val="0"/>
                <w:color w:val="auto"/>
                <w:kern w:val="0"/>
                <w:sz w:val="24"/>
                <w:szCs w:val="24"/>
              </w:rPr>
              <w:t>的</w:t>
            </w:r>
            <w:r>
              <w:rPr>
                <w:rFonts w:hint="eastAsia" w:ascii="宋体" w:hAnsi="宋体" w:eastAsia="宋体" w:cs="宋体"/>
                <w:b w:val="0"/>
                <w:bCs w:val="0"/>
                <w:color w:val="auto"/>
                <w:sz w:val="24"/>
                <w:szCs w:val="24"/>
              </w:rPr>
              <w:t>食品安全卫生保障方案，能够确保食品安全卫生</w:t>
            </w:r>
            <w:r>
              <w:rPr>
                <w:rFonts w:hint="eastAsia" w:ascii="宋体" w:hAnsi="宋体" w:eastAsia="宋体" w:cs="宋体"/>
                <w:b w:val="0"/>
                <w:bCs w:val="0"/>
                <w:color w:val="auto"/>
                <w:kern w:val="0"/>
                <w:sz w:val="24"/>
                <w:szCs w:val="24"/>
              </w:rPr>
              <w:t>的，得</w:t>
            </w:r>
            <w:r>
              <w:rPr>
                <w:rFonts w:hint="eastAsia" w:ascii="宋体" w:hAnsi="宋体" w:eastAsia="宋体" w:cs="宋体"/>
                <w:b w:val="0"/>
                <w:bCs w:val="0"/>
                <w:color w:val="auto"/>
                <w:kern w:val="0"/>
                <w:sz w:val="24"/>
                <w:szCs w:val="24"/>
                <w:lang w:val="en-US" w:eastAsia="zh-CN"/>
              </w:rPr>
              <w:t>3-5</w:t>
            </w:r>
            <w:r>
              <w:rPr>
                <w:rFonts w:hint="eastAsia" w:ascii="宋体" w:hAnsi="宋体" w:eastAsia="宋体" w:cs="宋体"/>
                <w:b w:val="0"/>
                <w:bCs w:val="0"/>
                <w:color w:val="auto"/>
                <w:kern w:val="0"/>
                <w:sz w:val="24"/>
                <w:szCs w:val="24"/>
              </w:rPr>
              <w:t>分；</w:t>
            </w:r>
          </w:p>
          <w:p w14:paraId="138D7CBC">
            <w:pPr>
              <w:widowControl/>
              <w:numPr>
                <w:ilvl w:val="0"/>
                <w:numId w:val="6"/>
              </w:numPr>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rPr>
              <w:t>食品安全卫生保障方案</w:t>
            </w:r>
            <w:r>
              <w:rPr>
                <w:rFonts w:hint="eastAsia" w:ascii="宋体" w:hAnsi="宋体" w:eastAsia="宋体" w:cs="宋体"/>
                <w:b w:val="0"/>
                <w:bCs w:val="0"/>
                <w:color w:val="auto"/>
                <w:kern w:val="0"/>
                <w:sz w:val="24"/>
                <w:szCs w:val="24"/>
              </w:rPr>
              <w:t>较为简单的，得</w:t>
            </w: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分；</w:t>
            </w:r>
          </w:p>
          <w:p w14:paraId="1DE4D732">
            <w:pPr>
              <w:widowControl/>
              <w:numPr>
                <w:ilvl w:val="0"/>
                <w:numId w:val="6"/>
              </w:numPr>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rPr>
              <w:t>食品安全卫生保障方案</w:t>
            </w:r>
            <w:r>
              <w:rPr>
                <w:rFonts w:hint="eastAsia" w:ascii="宋体" w:hAnsi="宋体" w:eastAsia="宋体" w:cs="宋体"/>
                <w:b w:val="0"/>
                <w:bCs w:val="0"/>
                <w:color w:val="auto"/>
                <w:kern w:val="0"/>
                <w:sz w:val="24"/>
                <w:szCs w:val="24"/>
                <w:lang w:eastAsia="zh-CN"/>
              </w:rPr>
              <w:t>一般</w:t>
            </w:r>
            <w:r>
              <w:rPr>
                <w:rFonts w:hint="eastAsia" w:ascii="宋体" w:hAnsi="宋体" w:eastAsia="宋体" w:cs="宋体"/>
                <w:b w:val="0"/>
                <w:bCs w:val="0"/>
                <w:color w:val="auto"/>
                <w:kern w:val="0"/>
                <w:sz w:val="24"/>
                <w:szCs w:val="24"/>
              </w:rPr>
              <w:t>的，</w:t>
            </w:r>
            <w:r>
              <w:rPr>
                <w:rFonts w:hint="eastAsia" w:ascii="宋体" w:hAnsi="宋体" w:eastAsia="宋体" w:cs="宋体"/>
                <w:b w:val="0"/>
                <w:bCs w:val="0"/>
                <w:color w:val="auto"/>
                <w:kern w:val="0"/>
                <w:sz w:val="24"/>
                <w:szCs w:val="24"/>
                <w:lang w:eastAsia="zh-CN"/>
              </w:rPr>
              <w:t>得</w:t>
            </w:r>
            <w:r>
              <w:rPr>
                <w:rFonts w:hint="eastAsia" w:ascii="宋体" w:hAnsi="宋体" w:eastAsia="宋体" w:cs="宋体"/>
                <w:b w:val="0"/>
                <w:bCs w:val="0"/>
                <w:color w:val="auto"/>
                <w:kern w:val="0"/>
                <w:sz w:val="24"/>
                <w:szCs w:val="24"/>
                <w:lang w:val="en-US" w:eastAsia="zh-CN"/>
              </w:rPr>
              <w:t>0-1分</w:t>
            </w:r>
            <w:r>
              <w:rPr>
                <w:rFonts w:hint="eastAsia" w:ascii="宋体" w:hAnsi="宋体" w:eastAsia="宋体" w:cs="宋体"/>
                <w:b w:val="0"/>
                <w:bCs w:val="0"/>
                <w:color w:val="auto"/>
                <w:kern w:val="0"/>
                <w:sz w:val="24"/>
                <w:szCs w:val="24"/>
              </w:rPr>
              <w:t>。</w:t>
            </w:r>
          </w:p>
          <w:p w14:paraId="1939A9C2">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lang w:val="en-US" w:eastAsia="zh-CN"/>
              </w:rPr>
              <w:t>未提供方案的</w:t>
            </w:r>
            <w:r>
              <w:rPr>
                <w:rFonts w:hint="eastAsia" w:ascii="宋体" w:hAnsi="宋体" w:eastAsia="宋体" w:cs="宋体"/>
                <w:b w:val="0"/>
                <w:bCs w:val="0"/>
                <w:color w:val="auto"/>
                <w:kern w:val="0"/>
                <w:sz w:val="24"/>
                <w:szCs w:val="24"/>
              </w:rPr>
              <w:t>不得分。</w:t>
            </w:r>
          </w:p>
        </w:tc>
        <w:tc>
          <w:tcPr>
            <w:tcW w:w="550" w:type="pct"/>
            <w:vAlign w:val="center"/>
          </w:tcPr>
          <w:p w14:paraId="6E087E32">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0-5分</w:t>
            </w:r>
          </w:p>
        </w:tc>
      </w:tr>
      <w:tr w14:paraId="0EBA5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393" w:type="pct"/>
            <w:vAlign w:val="center"/>
          </w:tcPr>
          <w:p w14:paraId="2F677A7B">
            <w:pPr>
              <w:pStyle w:val="2"/>
              <w:spacing w:after="0" w:line="400" w:lineRule="exact"/>
              <w:ind w:left="0" w:leftChars="0"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840" w:type="pct"/>
            <w:vAlign w:val="center"/>
          </w:tcPr>
          <w:p w14:paraId="1A894A38">
            <w:pPr>
              <w:widowControl/>
              <w:adjustRightInd w:val="0"/>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岗位操作</w:t>
            </w:r>
          </w:p>
          <w:p w14:paraId="23EADCE9">
            <w:pPr>
              <w:widowControl/>
              <w:adjustRightInd w:val="0"/>
              <w:snapToGrid w:val="0"/>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规程</w:t>
            </w:r>
          </w:p>
          <w:p w14:paraId="535C5AA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分）</w:t>
            </w:r>
          </w:p>
        </w:tc>
        <w:tc>
          <w:tcPr>
            <w:tcW w:w="3215" w:type="pct"/>
            <w:vAlign w:val="center"/>
          </w:tcPr>
          <w:p w14:paraId="188FDF4B">
            <w:pPr>
              <w:widowControl/>
              <w:adjustRightInd w:val="0"/>
              <w:snapToGrid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eastAsia="zh-CN"/>
              </w:rPr>
              <w:t>评委</w:t>
            </w:r>
            <w:r>
              <w:rPr>
                <w:rFonts w:hint="eastAsia" w:ascii="宋体" w:hAnsi="宋体" w:eastAsia="宋体" w:cs="宋体"/>
                <w:b w:val="0"/>
                <w:bCs w:val="0"/>
                <w:color w:val="auto"/>
                <w:kern w:val="0"/>
                <w:sz w:val="24"/>
                <w:szCs w:val="24"/>
              </w:rPr>
              <w:t>根据</w:t>
            </w:r>
            <w:r>
              <w:rPr>
                <w:rFonts w:hint="eastAsia" w:ascii="宋体" w:hAnsi="宋体" w:eastAsia="宋体" w:cs="宋体"/>
                <w:b w:val="0"/>
                <w:bCs w:val="0"/>
                <w:color w:val="auto"/>
                <w:kern w:val="0"/>
                <w:sz w:val="24"/>
                <w:szCs w:val="24"/>
                <w:lang w:eastAsia="zh-CN"/>
              </w:rPr>
              <w:t>投标人</w:t>
            </w:r>
            <w:r>
              <w:rPr>
                <w:rFonts w:hint="eastAsia" w:ascii="宋体" w:hAnsi="宋体" w:eastAsia="宋体" w:cs="宋体"/>
                <w:b w:val="0"/>
                <w:bCs w:val="0"/>
                <w:color w:val="auto"/>
                <w:sz w:val="24"/>
                <w:szCs w:val="24"/>
              </w:rPr>
              <w:t>提出的岗位操作规程</w:t>
            </w:r>
            <w:r>
              <w:rPr>
                <w:rFonts w:hint="eastAsia" w:ascii="宋体" w:hAnsi="宋体" w:eastAsia="宋体" w:cs="宋体"/>
                <w:b w:val="0"/>
                <w:bCs w:val="0"/>
                <w:color w:val="auto"/>
                <w:kern w:val="0"/>
                <w:sz w:val="24"/>
                <w:szCs w:val="24"/>
              </w:rPr>
              <w:t>进行评</w:t>
            </w:r>
            <w:r>
              <w:rPr>
                <w:rFonts w:hint="eastAsia" w:ascii="宋体" w:hAnsi="宋体" w:eastAsia="宋体" w:cs="宋体"/>
                <w:b w:val="0"/>
                <w:bCs w:val="0"/>
                <w:color w:val="auto"/>
                <w:sz w:val="24"/>
                <w:szCs w:val="24"/>
              </w:rPr>
              <w:t>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0-5分</w:t>
            </w:r>
            <w:r>
              <w:rPr>
                <w:rFonts w:hint="eastAsia" w:ascii="宋体" w:hAnsi="宋体" w:eastAsia="宋体" w:cs="宋体"/>
                <w:b w:val="0"/>
                <w:bCs w:val="0"/>
                <w:color w:val="auto"/>
                <w:sz w:val="24"/>
                <w:szCs w:val="24"/>
                <w:lang w:eastAsia="zh-CN"/>
              </w:rPr>
              <w:t>）。</w:t>
            </w:r>
          </w:p>
          <w:p w14:paraId="5DCAA0F4">
            <w:pPr>
              <w:widowControl/>
              <w:numPr>
                <w:ilvl w:val="0"/>
                <w:numId w:val="7"/>
              </w:numPr>
              <w:adjustRightInd w:val="0"/>
              <w:snapToGrid w:val="0"/>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岗位操作规程详细、具体、明确</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lang w:val="zh-CN"/>
              </w:rPr>
              <w:t>具有</w:t>
            </w:r>
            <w:r>
              <w:rPr>
                <w:rFonts w:hint="eastAsia" w:ascii="宋体" w:hAnsi="宋体" w:eastAsia="宋体" w:cs="宋体"/>
                <w:b w:val="0"/>
                <w:bCs w:val="0"/>
                <w:iCs/>
                <w:color w:val="auto"/>
                <w:sz w:val="24"/>
                <w:szCs w:val="24"/>
              </w:rPr>
              <w:t>针对</w:t>
            </w:r>
            <w:r>
              <w:rPr>
                <w:rFonts w:hint="eastAsia" w:ascii="宋体" w:hAnsi="宋体" w:eastAsia="宋体" w:cs="宋体"/>
                <w:b w:val="0"/>
                <w:bCs w:val="0"/>
                <w:color w:val="auto"/>
                <w:kern w:val="0"/>
                <w:sz w:val="24"/>
                <w:szCs w:val="24"/>
              </w:rPr>
              <w:t>性的，得</w:t>
            </w:r>
            <w:r>
              <w:rPr>
                <w:rFonts w:hint="eastAsia" w:ascii="宋体" w:hAnsi="宋体" w:eastAsia="宋体" w:cs="宋体"/>
                <w:b w:val="0"/>
                <w:bCs w:val="0"/>
                <w:color w:val="auto"/>
                <w:kern w:val="0"/>
                <w:sz w:val="24"/>
                <w:szCs w:val="24"/>
                <w:lang w:val="en-US" w:eastAsia="zh-CN"/>
              </w:rPr>
              <w:t>3-5</w:t>
            </w:r>
            <w:r>
              <w:rPr>
                <w:rFonts w:hint="eastAsia" w:ascii="宋体" w:hAnsi="宋体" w:eastAsia="宋体" w:cs="宋体"/>
                <w:b w:val="0"/>
                <w:bCs w:val="0"/>
                <w:color w:val="auto"/>
                <w:kern w:val="0"/>
                <w:sz w:val="24"/>
                <w:szCs w:val="24"/>
              </w:rPr>
              <w:t>分；</w:t>
            </w:r>
          </w:p>
          <w:p w14:paraId="0BE62B28">
            <w:pPr>
              <w:widowControl/>
              <w:numPr>
                <w:ilvl w:val="0"/>
                <w:numId w:val="7"/>
              </w:numPr>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rPr>
              <w:t>岗位操作规程</w:t>
            </w:r>
            <w:r>
              <w:rPr>
                <w:rFonts w:hint="eastAsia" w:ascii="宋体" w:hAnsi="宋体" w:eastAsia="宋体" w:cs="宋体"/>
                <w:b w:val="0"/>
                <w:bCs w:val="0"/>
                <w:color w:val="auto"/>
                <w:kern w:val="0"/>
                <w:sz w:val="24"/>
                <w:szCs w:val="24"/>
              </w:rPr>
              <w:t>较为简单的，得</w:t>
            </w: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分；</w:t>
            </w:r>
          </w:p>
          <w:p w14:paraId="6DECF720">
            <w:pPr>
              <w:widowControl/>
              <w:numPr>
                <w:ilvl w:val="0"/>
                <w:numId w:val="7"/>
              </w:numPr>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rPr>
              <w:t>岗位操作规程</w:t>
            </w:r>
            <w:r>
              <w:rPr>
                <w:rFonts w:hint="eastAsia" w:ascii="宋体" w:hAnsi="宋体" w:eastAsia="宋体" w:cs="宋体"/>
                <w:b w:val="0"/>
                <w:bCs w:val="0"/>
                <w:color w:val="auto"/>
                <w:sz w:val="24"/>
                <w:szCs w:val="24"/>
                <w:lang w:eastAsia="zh-CN"/>
              </w:rPr>
              <w:t>一般</w:t>
            </w:r>
            <w:r>
              <w:rPr>
                <w:rFonts w:hint="eastAsia" w:ascii="宋体" w:hAnsi="宋体" w:eastAsia="宋体" w:cs="宋体"/>
                <w:b w:val="0"/>
                <w:bCs w:val="0"/>
                <w:color w:val="auto"/>
                <w:kern w:val="0"/>
                <w:sz w:val="24"/>
                <w:szCs w:val="24"/>
              </w:rPr>
              <w:t>的，得</w:t>
            </w:r>
            <w:r>
              <w:rPr>
                <w:rFonts w:hint="eastAsia" w:ascii="宋体" w:hAnsi="宋体" w:eastAsia="宋体" w:cs="宋体"/>
                <w:b w:val="0"/>
                <w:bCs w:val="0"/>
                <w:color w:val="auto"/>
                <w:kern w:val="0"/>
                <w:sz w:val="24"/>
                <w:szCs w:val="24"/>
                <w:lang w:val="en-US" w:eastAsia="zh-CN"/>
              </w:rPr>
              <w:t>0-1</w:t>
            </w:r>
            <w:r>
              <w:rPr>
                <w:rFonts w:hint="eastAsia" w:ascii="宋体" w:hAnsi="宋体" w:eastAsia="宋体" w:cs="宋体"/>
                <w:b w:val="0"/>
                <w:bCs w:val="0"/>
                <w:color w:val="auto"/>
                <w:kern w:val="0"/>
                <w:sz w:val="24"/>
                <w:szCs w:val="24"/>
              </w:rPr>
              <w:t>分。</w:t>
            </w:r>
          </w:p>
          <w:p w14:paraId="64BD573C">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lang w:val="en-US" w:eastAsia="zh-CN"/>
              </w:rPr>
              <w:t>未提供方案的</w:t>
            </w:r>
            <w:r>
              <w:rPr>
                <w:rFonts w:hint="eastAsia" w:ascii="宋体" w:hAnsi="宋体" w:eastAsia="宋体" w:cs="宋体"/>
                <w:b w:val="0"/>
                <w:bCs w:val="0"/>
                <w:color w:val="auto"/>
                <w:kern w:val="0"/>
                <w:sz w:val="24"/>
                <w:szCs w:val="24"/>
              </w:rPr>
              <w:t>不得分。</w:t>
            </w:r>
          </w:p>
        </w:tc>
        <w:tc>
          <w:tcPr>
            <w:tcW w:w="550" w:type="pct"/>
            <w:vAlign w:val="center"/>
          </w:tcPr>
          <w:p w14:paraId="6988BE6C">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0-5分</w:t>
            </w:r>
          </w:p>
        </w:tc>
      </w:tr>
      <w:tr w14:paraId="7842E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393" w:type="pct"/>
            <w:vAlign w:val="center"/>
          </w:tcPr>
          <w:p w14:paraId="04573087">
            <w:pPr>
              <w:pStyle w:val="2"/>
              <w:spacing w:after="0" w:line="400" w:lineRule="exact"/>
              <w:ind w:left="0" w:leftChars="0"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840" w:type="pct"/>
            <w:vAlign w:val="center"/>
          </w:tcPr>
          <w:p w14:paraId="25E4295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管理方案</w:t>
            </w:r>
          </w:p>
          <w:p w14:paraId="5BADC1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分）</w:t>
            </w:r>
          </w:p>
        </w:tc>
        <w:tc>
          <w:tcPr>
            <w:tcW w:w="3215" w:type="pct"/>
            <w:vAlign w:val="center"/>
          </w:tcPr>
          <w:p w14:paraId="5E07E7F2">
            <w:pPr>
              <w:widowControl/>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委根据投标人提供的管理方案[质量监督制度（包括清点验收、加工、储存、配售等）、安全文明作业保障措施、消防和卫生管理（包括食品卫生、食品加工卫生、餐具厨房餐厅卫生、安全生产）]的可行性、完整性进行综合比较评分（</w:t>
            </w:r>
            <w:r>
              <w:rPr>
                <w:rFonts w:hint="eastAsia" w:ascii="宋体" w:hAnsi="宋体" w:eastAsia="宋体" w:cs="宋体"/>
                <w:b w:val="0"/>
                <w:bCs w:val="0"/>
                <w:color w:val="auto"/>
                <w:sz w:val="24"/>
                <w:szCs w:val="24"/>
                <w:highlight w:val="none"/>
                <w:lang w:val="en-US" w:eastAsia="zh-CN"/>
              </w:rPr>
              <w:t>0-5分</w:t>
            </w:r>
            <w:r>
              <w:rPr>
                <w:rFonts w:hint="eastAsia" w:ascii="宋体" w:hAnsi="宋体" w:eastAsia="宋体" w:cs="宋体"/>
                <w:b w:val="0"/>
                <w:bCs w:val="0"/>
                <w:color w:val="auto"/>
                <w:sz w:val="24"/>
                <w:szCs w:val="24"/>
                <w:highlight w:val="none"/>
                <w:lang w:eastAsia="zh-CN"/>
              </w:rPr>
              <w:t>）。</w:t>
            </w:r>
          </w:p>
          <w:p w14:paraId="01C69335">
            <w:pPr>
              <w:widowControl/>
              <w:adjustRightInd w:val="0"/>
              <w:snapToGrid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）管理方案详细科学合理、可操作性强的，得</w:t>
            </w:r>
            <w:r>
              <w:rPr>
                <w:rFonts w:hint="eastAsia" w:ascii="宋体" w:hAnsi="宋体" w:eastAsia="宋体" w:cs="宋体"/>
                <w:b w:val="0"/>
                <w:bCs w:val="0"/>
                <w:color w:val="auto"/>
                <w:sz w:val="24"/>
                <w:szCs w:val="24"/>
                <w:highlight w:val="none"/>
                <w:lang w:val="en-US" w:eastAsia="zh-CN"/>
              </w:rPr>
              <w:t>3-5分；</w:t>
            </w:r>
          </w:p>
          <w:p w14:paraId="26E28E8A">
            <w:pPr>
              <w:widowControl/>
              <w:adjustRightInd w:val="0"/>
              <w:snapToGrid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）管理方案详细基本合理、可操作性一般的，得</w:t>
            </w:r>
            <w:r>
              <w:rPr>
                <w:rFonts w:hint="eastAsia" w:ascii="宋体" w:hAnsi="宋体" w:eastAsia="宋体" w:cs="宋体"/>
                <w:b w:val="0"/>
                <w:bCs w:val="0"/>
                <w:color w:val="auto"/>
                <w:sz w:val="24"/>
                <w:szCs w:val="24"/>
                <w:highlight w:val="none"/>
                <w:lang w:val="en-US" w:eastAsia="zh-CN"/>
              </w:rPr>
              <w:t>1-3分；</w:t>
            </w:r>
          </w:p>
          <w:p w14:paraId="4E8D78E5">
            <w:pPr>
              <w:widowControl/>
              <w:adjustRightInd w:val="0"/>
              <w:snapToGrid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（3）管理方案差的，得0-1分。</w:t>
            </w:r>
          </w:p>
          <w:p w14:paraId="01E7CF87">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sz w:val="24"/>
                <w:szCs w:val="24"/>
                <w:highlight w:val="none"/>
                <w:lang w:val="en-US" w:eastAsia="zh-CN"/>
              </w:rPr>
              <w:t>未提供方案的</w:t>
            </w:r>
            <w:r>
              <w:rPr>
                <w:rFonts w:hint="eastAsia" w:ascii="宋体" w:hAnsi="宋体" w:eastAsia="宋体" w:cs="宋体"/>
                <w:b w:val="0"/>
                <w:bCs w:val="0"/>
                <w:color w:val="auto"/>
                <w:sz w:val="24"/>
                <w:szCs w:val="24"/>
                <w:highlight w:val="none"/>
                <w:lang w:eastAsia="zh-CN"/>
              </w:rPr>
              <w:t>不得分。</w:t>
            </w:r>
          </w:p>
        </w:tc>
        <w:tc>
          <w:tcPr>
            <w:tcW w:w="550" w:type="pct"/>
            <w:vAlign w:val="center"/>
          </w:tcPr>
          <w:p w14:paraId="431354FF">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0-5分</w:t>
            </w:r>
          </w:p>
        </w:tc>
      </w:tr>
      <w:tr w14:paraId="20B24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393" w:type="pct"/>
            <w:vAlign w:val="center"/>
          </w:tcPr>
          <w:p w14:paraId="73B92D5B">
            <w:pPr>
              <w:pStyle w:val="2"/>
              <w:spacing w:after="0" w:line="400" w:lineRule="exact"/>
              <w:ind w:left="0" w:leftChars="0"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840" w:type="pct"/>
            <w:vAlign w:val="center"/>
          </w:tcPr>
          <w:p w14:paraId="6A706387">
            <w:pPr>
              <w:adjustRightInd w:val="0"/>
              <w:snapToGrid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应急预案</w:t>
            </w:r>
          </w:p>
          <w:p w14:paraId="64ABEDB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分）</w:t>
            </w:r>
          </w:p>
        </w:tc>
        <w:tc>
          <w:tcPr>
            <w:tcW w:w="3215" w:type="pct"/>
            <w:vAlign w:val="center"/>
          </w:tcPr>
          <w:p w14:paraId="3A653808">
            <w:pPr>
              <w:adjustRightInd w:val="0"/>
              <w:snapToGrid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eastAsia="zh-CN"/>
              </w:rPr>
              <w:t>评委</w:t>
            </w:r>
            <w:r>
              <w:rPr>
                <w:rFonts w:hint="eastAsia" w:ascii="宋体" w:hAnsi="宋体" w:eastAsia="宋体" w:cs="宋体"/>
                <w:b w:val="0"/>
                <w:bCs w:val="0"/>
                <w:color w:val="auto"/>
                <w:kern w:val="0"/>
                <w:sz w:val="24"/>
                <w:szCs w:val="24"/>
              </w:rPr>
              <w:t>根据</w:t>
            </w:r>
            <w:r>
              <w:rPr>
                <w:rFonts w:hint="eastAsia" w:ascii="宋体" w:hAnsi="宋体" w:eastAsia="宋体" w:cs="宋体"/>
                <w:b w:val="0"/>
                <w:bCs w:val="0"/>
                <w:color w:val="auto"/>
                <w:kern w:val="0"/>
                <w:sz w:val="24"/>
                <w:szCs w:val="24"/>
                <w:lang w:eastAsia="zh-CN"/>
              </w:rPr>
              <w:t>投标人</w:t>
            </w:r>
            <w:r>
              <w:rPr>
                <w:rFonts w:hint="eastAsia" w:ascii="宋体" w:hAnsi="宋体" w:eastAsia="宋体" w:cs="宋体"/>
                <w:b w:val="0"/>
                <w:bCs w:val="0"/>
                <w:color w:val="auto"/>
                <w:sz w:val="24"/>
                <w:szCs w:val="24"/>
              </w:rPr>
              <w:t>提出的应急预案</w:t>
            </w:r>
            <w:r>
              <w:rPr>
                <w:rFonts w:hint="eastAsia" w:ascii="宋体" w:hAnsi="宋体" w:eastAsia="宋体" w:cs="宋体"/>
                <w:b w:val="0"/>
                <w:bCs w:val="0"/>
                <w:color w:val="auto"/>
                <w:kern w:val="0"/>
                <w:sz w:val="24"/>
                <w:szCs w:val="24"/>
              </w:rPr>
              <w:t>进行评</w:t>
            </w:r>
            <w:r>
              <w:rPr>
                <w:rFonts w:hint="eastAsia" w:ascii="宋体" w:hAnsi="宋体" w:eastAsia="宋体" w:cs="宋体"/>
                <w:b w:val="0"/>
                <w:bCs w:val="0"/>
                <w:color w:val="auto"/>
                <w:sz w:val="24"/>
                <w:szCs w:val="24"/>
              </w:rPr>
              <w:t>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0-6分</w:t>
            </w:r>
            <w:r>
              <w:rPr>
                <w:rFonts w:hint="eastAsia" w:ascii="宋体" w:hAnsi="宋体" w:eastAsia="宋体" w:cs="宋体"/>
                <w:b w:val="0"/>
                <w:bCs w:val="0"/>
                <w:color w:val="auto"/>
                <w:sz w:val="24"/>
                <w:szCs w:val="24"/>
                <w:lang w:eastAsia="zh-CN"/>
              </w:rPr>
              <w:t>）。</w:t>
            </w:r>
          </w:p>
          <w:p w14:paraId="60344CB6">
            <w:pPr>
              <w:numPr>
                <w:ilvl w:val="0"/>
                <w:numId w:val="8"/>
              </w:numPr>
              <w:adjustRightInd w:val="0"/>
              <w:snapToGrid w:val="0"/>
              <w:rPr>
                <w:rFonts w:hint="eastAsia" w:ascii="宋体" w:hAnsi="宋体" w:eastAsia="宋体" w:cs="宋体"/>
                <w:b w:val="0"/>
                <w:bCs w:val="0"/>
                <w:color w:val="auto"/>
                <w:kern w:val="0"/>
                <w:sz w:val="24"/>
                <w:szCs w:val="24"/>
              </w:rPr>
            </w:pPr>
            <w:r>
              <w:rPr>
                <w:rFonts w:hint="eastAsia" w:ascii="宋体" w:hAnsi="宋体" w:eastAsia="宋体" w:cs="宋体"/>
                <w:b w:val="0"/>
                <w:bCs w:val="0"/>
                <w:iCs/>
                <w:color w:val="auto"/>
                <w:sz w:val="24"/>
                <w:szCs w:val="24"/>
              </w:rPr>
              <w:t>对</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kern w:val="0"/>
                <w:sz w:val="24"/>
                <w:szCs w:val="24"/>
              </w:rPr>
              <w:t>过程中可能出现的</w:t>
            </w:r>
            <w:r>
              <w:rPr>
                <w:rFonts w:hint="eastAsia" w:ascii="宋体" w:hAnsi="宋体" w:eastAsia="宋体" w:cs="宋体"/>
                <w:b w:val="0"/>
                <w:bCs w:val="0"/>
                <w:color w:val="auto"/>
                <w:sz w:val="24"/>
                <w:szCs w:val="24"/>
              </w:rPr>
              <w:t>特殊、紧急情况</w:t>
            </w:r>
            <w:r>
              <w:rPr>
                <w:rFonts w:hint="eastAsia" w:ascii="宋体" w:hAnsi="宋体" w:eastAsia="宋体" w:cs="宋体"/>
                <w:b w:val="0"/>
                <w:bCs w:val="0"/>
                <w:color w:val="auto"/>
                <w:kern w:val="0"/>
                <w:sz w:val="24"/>
                <w:szCs w:val="24"/>
              </w:rPr>
              <w:t>有事先预估评判，并制定相应的</w:t>
            </w:r>
            <w:r>
              <w:rPr>
                <w:rFonts w:hint="eastAsia" w:ascii="宋体" w:hAnsi="宋体" w:eastAsia="宋体" w:cs="宋体"/>
                <w:b w:val="0"/>
                <w:bCs w:val="0"/>
                <w:color w:val="auto"/>
                <w:sz w:val="24"/>
                <w:szCs w:val="24"/>
              </w:rPr>
              <w:t>服务措施</w:t>
            </w:r>
            <w:r>
              <w:rPr>
                <w:rFonts w:hint="eastAsia" w:ascii="宋体" w:hAnsi="宋体" w:eastAsia="宋体" w:cs="宋体"/>
                <w:b w:val="0"/>
                <w:bCs w:val="0"/>
                <w:color w:val="auto"/>
                <w:kern w:val="0"/>
                <w:sz w:val="24"/>
                <w:szCs w:val="24"/>
              </w:rPr>
              <w:t>，有相应的</w:t>
            </w:r>
            <w:r>
              <w:rPr>
                <w:rFonts w:hint="eastAsia" w:ascii="宋体" w:hAnsi="宋体" w:eastAsia="宋体" w:cs="宋体"/>
                <w:b w:val="0"/>
                <w:bCs w:val="0"/>
                <w:color w:val="auto"/>
                <w:sz w:val="24"/>
                <w:szCs w:val="24"/>
              </w:rPr>
              <w:t>人力、物力投入安排，能够及时有效处理</w:t>
            </w:r>
            <w:r>
              <w:rPr>
                <w:rFonts w:hint="eastAsia" w:ascii="宋体" w:hAnsi="宋体" w:eastAsia="宋体" w:cs="宋体"/>
                <w:b w:val="0"/>
                <w:bCs w:val="0"/>
                <w:color w:val="auto"/>
                <w:kern w:val="0"/>
                <w:sz w:val="24"/>
                <w:szCs w:val="24"/>
              </w:rPr>
              <w:t>的，得</w:t>
            </w:r>
            <w:r>
              <w:rPr>
                <w:rFonts w:hint="eastAsia" w:ascii="宋体" w:hAnsi="宋体" w:eastAsia="宋体" w:cs="宋体"/>
                <w:b w:val="0"/>
                <w:bCs w:val="0"/>
                <w:color w:val="auto"/>
                <w:kern w:val="0"/>
                <w:sz w:val="24"/>
                <w:szCs w:val="24"/>
                <w:lang w:val="en-US" w:eastAsia="zh-CN"/>
              </w:rPr>
              <w:t>4-6</w:t>
            </w:r>
            <w:r>
              <w:rPr>
                <w:rFonts w:hint="eastAsia" w:ascii="宋体" w:hAnsi="宋体" w:eastAsia="宋体" w:cs="宋体"/>
                <w:b w:val="0"/>
                <w:bCs w:val="0"/>
                <w:color w:val="auto"/>
                <w:kern w:val="0"/>
                <w:sz w:val="24"/>
                <w:szCs w:val="24"/>
              </w:rPr>
              <w:t>分；</w:t>
            </w:r>
          </w:p>
          <w:p w14:paraId="6FA0AC4E">
            <w:pPr>
              <w:numPr>
                <w:ilvl w:val="0"/>
                <w:numId w:val="8"/>
              </w:numPr>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rPr>
              <w:t>有</w:t>
            </w:r>
            <w:r>
              <w:rPr>
                <w:rFonts w:hint="eastAsia" w:ascii="宋体" w:hAnsi="宋体" w:eastAsia="宋体" w:cs="宋体"/>
                <w:b w:val="0"/>
                <w:bCs w:val="0"/>
                <w:color w:val="auto"/>
                <w:sz w:val="24"/>
                <w:szCs w:val="24"/>
              </w:rPr>
              <w:t>提出服务</w:t>
            </w:r>
            <w:r>
              <w:rPr>
                <w:rFonts w:hint="eastAsia" w:ascii="宋体" w:hAnsi="宋体" w:eastAsia="宋体" w:cs="宋体"/>
                <w:b w:val="0"/>
                <w:bCs w:val="0"/>
                <w:color w:val="auto"/>
                <w:kern w:val="0"/>
                <w:sz w:val="24"/>
                <w:szCs w:val="24"/>
              </w:rPr>
              <w:t>过程中可能出现的</w:t>
            </w:r>
            <w:r>
              <w:rPr>
                <w:rFonts w:hint="eastAsia" w:ascii="宋体" w:hAnsi="宋体" w:eastAsia="宋体" w:cs="宋体"/>
                <w:b w:val="0"/>
                <w:bCs w:val="0"/>
                <w:color w:val="auto"/>
                <w:sz w:val="24"/>
                <w:szCs w:val="24"/>
              </w:rPr>
              <w:t>特殊、紧急情况</w:t>
            </w:r>
            <w:r>
              <w:rPr>
                <w:rFonts w:hint="eastAsia" w:ascii="宋体" w:hAnsi="宋体" w:eastAsia="宋体" w:cs="宋体"/>
                <w:b w:val="0"/>
                <w:bCs w:val="0"/>
                <w:color w:val="auto"/>
                <w:kern w:val="0"/>
                <w:sz w:val="24"/>
                <w:szCs w:val="24"/>
              </w:rPr>
              <w:t>制定的</w:t>
            </w:r>
            <w:r>
              <w:rPr>
                <w:rFonts w:hint="eastAsia" w:ascii="宋体" w:hAnsi="宋体" w:eastAsia="宋体" w:cs="宋体"/>
                <w:b w:val="0"/>
                <w:bCs w:val="0"/>
                <w:color w:val="auto"/>
                <w:sz w:val="24"/>
                <w:szCs w:val="24"/>
              </w:rPr>
              <w:t>服务措施</w:t>
            </w:r>
            <w:r>
              <w:rPr>
                <w:rFonts w:hint="eastAsia" w:ascii="宋体" w:hAnsi="宋体" w:eastAsia="宋体" w:cs="宋体"/>
                <w:b w:val="0"/>
                <w:bCs w:val="0"/>
                <w:color w:val="auto"/>
                <w:kern w:val="0"/>
                <w:sz w:val="24"/>
                <w:szCs w:val="24"/>
              </w:rPr>
              <w:t>较为简单的，得</w:t>
            </w:r>
            <w:r>
              <w:rPr>
                <w:rFonts w:hint="eastAsia" w:ascii="宋体" w:hAnsi="宋体" w:eastAsia="宋体" w:cs="宋体"/>
                <w:b w:val="0"/>
                <w:bCs w:val="0"/>
                <w:color w:val="auto"/>
                <w:kern w:val="0"/>
                <w:sz w:val="24"/>
                <w:szCs w:val="24"/>
                <w:lang w:val="en-US" w:eastAsia="zh-CN"/>
              </w:rPr>
              <w:t>2-4</w:t>
            </w:r>
            <w:r>
              <w:rPr>
                <w:rFonts w:hint="eastAsia" w:ascii="宋体" w:hAnsi="宋体" w:eastAsia="宋体" w:cs="宋体"/>
                <w:b w:val="0"/>
                <w:bCs w:val="0"/>
                <w:color w:val="auto"/>
                <w:kern w:val="0"/>
                <w:sz w:val="24"/>
                <w:szCs w:val="24"/>
              </w:rPr>
              <w:t>分；</w:t>
            </w:r>
          </w:p>
          <w:p w14:paraId="74C7D060">
            <w:pPr>
              <w:numPr>
                <w:ilvl w:val="0"/>
                <w:numId w:val="8"/>
              </w:numPr>
              <w:adjustRightInd w:val="0"/>
              <w:snapToGri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rPr>
              <w:t>应急预案</w:t>
            </w:r>
            <w:r>
              <w:rPr>
                <w:rFonts w:hint="eastAsia" w:ascii="宋体" w:hAnsi="宋体" w:eastAsia="宋体" w:cs="宋体"/>
                <w:b w:val="0"/>
                <w:bCs w:val="0"/>
                <w:color w:val="auto"/>
                <w:kern w:val="0"/>
                <w:sz w:val="24"/>
                <w:szCs w:val="24"/>
                <w:lang w:eastAsia="zh-CN"/>
              </w:rPr>
              <w:t>一般</w:t>
            </w:r>
            <w:r>
              <w:rPr>
                <w:rFonts w:hint="eastAsia" w:ascii="宋体" w:hAnsi="宋体" w:eastAsia="宋体" w:cs="宋体"/>
                <w:b w:val="0"/>
                <w:bCs w:val="0"/>
                <w:color w:val="auto"/>
                <w:kern w:val="0"/>
                <w:sz w:val="24"/>
                <w:szCs w:val="24"/>
              </w:rPr>
              <w:t>的，得</w:t>
            </w:r>
            <w:r>
              <w:rPr>
                <w:rFonts w:hint="eastAsia" w:ascii="宋体" w:hAnsi="宋体" w:eastAsia="宋体" w:cs="宋体"/>
                <w:b w:val="0"/>
                <w:bCs w:val="0"/>
                <w:color w:val="auto"/>
                <w:kern w:val="0"/>
                <w:sz w:val="24"/>
                <w:szCs w:val="24"/>
                <w:lang w:val="en-US" w:eastAsia="zh-CN"/>
              </w:rPr>
              <w:t>0-2</w:t>
            </w:r>
            <w:r>
              <w:rPr>
                <w:rFonts w:hint="eastAsia" w:ascii="宋体" w:hAnsi="宋体" w:eastAsia="宋体" w:cs="宋体"/>
                <w:b w:val="0"/>
                <w:bCs w:val="0"/>
                <w:color w:val="auto"/>
                <w:kern w:val="0"/>
                <w:sz w:val="24"/>
                <w:szCs w:val="24"/>
              </w:rPr>
              <w:t>分。</w:t>
            </w:r>
          </w:p>
          <w:p w14:paraId="3989D4FE">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lang w:val="en-US" w:eastAsia="zh-CN"/>
              </w:rPr>
              <w:t>未提供方案的</w:t>
            </w:r>
            <w:r>
              <w:rPr>
                <w:rFonts w:hint="eastAsia" w:ascii="宋体" w:hAnsi="宋体" w:eastAsia="宋体" w:cs="宋体"/>
                <w:b w:val="0"/>
                <w:bCs w:val="0"/>
                <w:color w:val="auto"/>
                <w:kern w:val="0"/>
                <w:sz w:val="24"/>
                <w:szCs w:val="24"/>
              </w:rPr>
              <w:t>不得分。</w:t>
            </w:r>
          </w:p>
        </w:tc>
        <w:tc>
          <w:tcPr>
            <w:tcW w:w="550" w:type="pct"/>
            <w:vAlign w:val="center"/>
          </w:tcPr>
          <w:p w14:paraId="7F8BDB37">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2"/>
                <w:sz w:val="24"/>
                <w:szCs w:val="24"/>
                <w:highlight w:val="none"/>
                <w:lang w:val="en-US" w:eastAsia="zh-CN" w:bidi="ar-SA"/>
              </w:rPr>
              <w:t>0-6分</w:t>
            </w:r>
          </w:p>
        </w:tc>
      </w:tr>
      <w:tr w14:paraId="76450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393" w:type="pct"/>
            <w:vAlign w:val="center"/>
          </w:tcPr>
          <w:p w14:paraId="027F51CA">
            <w:pPr>
              <w:pStyle w:val="2"/>
              <w:spacing w:after="0" w:line="400" w:lineRule="exact"/>
              <w:ind w:left="0" w:leftChars="0"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840" w:type="pct"/>
            <w:vAlign w:val="center"/>
          </w:tcPr>
          <w:p w14:paraId="13B836DF">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合理化</w:t>
            </w:r>
          </w:p>
          <w:p w14:paraId="5639F7A5">
            <w:pPr>
              <w:keepNext w:val="0"/>
              <w:keepLines w:val="0"/>
              <w:pageBreakBefore w:val="0"/>
              <w:widowControl/>
              <w:kinsoku/>
              <w:wordWrap/>
              <w:overflowPunct/>
              <w:topLinePunct w:val="0"/>
              <w:autoSpaceDE/>
              <w:autoSpaceDN/>
              <w:bidi w:val="0"/>
              <w:spacing w:line="3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建议</w:t>
            </w:r>
          </w:p>
          <w:p w14:paraId="7BABD4B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highlight w:val="none"/>
                <w:lang w:val="en-US" w:eastAsia="zh-CN"/>
              </w:rPr>
              <w:t>（2分）</w:t>
            </w:r>
          </w:p>
        </w:tc>
        <w:tc>
          <w:tcPr>
            <w:tcW w:w="3215" w:type="pct"/>
            <w:vAlign w:val="center"/>
          </w:tcPr>
          <w:p w14:paraId="1788E1F8">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sz w:val="24"/>
                <w:szCs w:val="24"/>
                <w:highlight w:val="none"/>
                <w:lang w:eastAsia="zh-CN"/>
              </w:rPr>
              <w:t>根据</w:t>
            </w:r>
            <w:r>
              <w:rPr>
                <w:rFonts w:hint="eastAsia" w:ascii="宋体" w:hAnsi="宋体" w:eastAsia="宋体" w:cs="宋体"/>
                <w:b w:val="0"/>
                <w:bCs w:val="0"/>
                <w:color w:val="auto"/>
                <w:sz w:val="24"/>
                <w:szCs w:val="24"/>
                <w:highlight w:val="none"/>
              </w:rPr>
              <w:t>对本项目或招标人有实质意义的合理化建议</w:t>
            </w:r>
            <w:r>
              <w:rPr>
                <w:rFonts w:hint="eastAsia" w:ascii="宋体" w:hAnsi="宋体" w:eastAsia="宋体" w:cs="宋体"/>
                <w:b w:val="0"/>
                <w:bCs w:val="0"/>
                <w:color w:val="auto"/>
                <w:sz w:val="24"/>
                <w:szCs w:val="24"/>
                <w:highlight w:val="none"/>
                <w:lang w:eastAsia="zh-CN"/>
              </w:rPr>
              <w:t>进行打分</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c>
          <w:tcPr>
            <w:tcW w:w="550" w:type="pct"/>
            <w:vAlign w:val="center"/>
          </w:tcPr>
          <w:p w14:paraId="1151A88E">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auto"/>
                <w:kern w:val="0"/>
                <w:sz w:val="24"/>
                <w:szCs w:val="24"/>
                <w:highlight w:val="none"/>
                <w:lang w:val="en-US" w:eastAsia="zh-CN"/>
              </w:rPr>
              <w:t>0-2分</w:t>
            </w:r>
          </w:p>
        </w:tc>
      </w:tr>
      <w:tr w14:paraId="1A19C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393" w:type="pct"/>
            <w:vAlign w:val="center"/>
          </w:tcPr>
          <w:p w14:paraId="58085D6F">
            <w:pPr>
              <w:pStyle w:val="2"/>
              <w:spacing w:after="0" w:line="400" w:lineRule="exact"/>
              <w:ind w:left="0" w:leftChars="0" w:firstLine="0" w:firstLine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840" w:type="pct"/>
            <w:vAlign w:val="center"/>
          </w:tcPr>
          <w:p w14:paraId="3497EEDC">
            <w:pPr>
              <w:keepNext w:val="0"/>
              <w:keepLines w:val="0"/>
              <w:pageBreakBefore w:val="0"/>
              <w:widowControl w:val="0"/>
              <w:tabs>
                <w:tab w:val="left" w:pos="993"/>
                <w:tab w:val="left" w:pos="1300"/>
                <w:tab w:val="left" w:pos="2000"/>
                <w:tab w:val="left" w:pos="204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政策分</w:t>
            </w:r>
          </w:p>
          <w:p w14:paraId="5D3C84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1分）</w:t>
            </w:r>
          </w:p>
        </w:tc>
        <w:tc>
          <w:tcPr>
            <w:tcW w:w="3215" w:type="pct"/>
            <w:vAlign w:val="center"/>
          </w:tcPr>
          <w:p w14:paraId="7F0BBC0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投标人符合 “节约能源、保护环境、扶持不发达地区和少数民族地区等”政策扶持对象的，提供相关材料和政策依据，每符合一项得0.5分，最高可得1分。未提供相关证明材料的不得分。</w:t>
            </w:r>
          </w:p>
        </w:tc>
        <w:tc>
          <w:tcPr>
            <w:tcW w:w="550" w:type="pct"/>
            <w:vAlign w:val="center"/>
          </w:tcPr>
          <w:p w14:paraId="6C9E4C9D">
            <w:pPr>
              <w:spacing w:line="400" w:lineRule="exact"/>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0-</w:t>
            </w: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分</w:t>
            </w:r>
          </w:p>
        </w:tc>
      </w:tr>
      <w:tr w14:paraId="046A5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93" w:type="pct"/>
            <w:vAlign w:val="center"/>
          </w:tcPr>
          <w:p w14:paraId="75C6C4AE">
            <w:pPr>
              <w:widowControl/>
              <w:spacing w:line="40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840" w:type="pct"/>
            <w:vAlign w:val="center"/>
          </w:tcPr>
          <w:p w14:paraId="3D9D7A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p w14:paraId="4BB458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w:t>
            </w:r>
          </w:p>
        </w:tc>
        <w:tc>
          <w:tcPr>
            <w:tcW w:w="3215" w:type="pct"/>
            <w:vAlign w:val="center"/>
          </w:tcPr>
          <w:p w14:paraId="4E2DF0D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1.投标人的投标报价等于评标基准价的得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w:t>
            </w:r>
          </w:p>
          <w:p w14:paraId="111A7E5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2.其他投标报价得分=评标基准价÷投标报价×</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0分（小数点后保留二位）。</w:t>
            </w:r>
          </w:p>
          <w:p w14:paraId="7C6727A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3.评标基准价=有效投标报价中的最低价</w:t>
            </w:r>
          </w:p>
        </w:tc>
        <w:tc>
          <w:tcPr>
            <w:tcW w:w="550" w:type="pct"/>
            <w:vAlign w:val="center"/>
          </w:tcPr>
          <w:p w14:paraId="5DC9AC13">
            <w:pPr>
              <w:widowControl/>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w:t>
            </w:r>
          </w:p>
        </w:tc>
      </w:tr>
    </w:tbl>
    <w:p w14:paraId="55E52F1A">
      <w:pPr>
        <w:pStyle w:val="11"/>
        <w:spacing w:before="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三．技术商务分的计算</w:t>
      </w:r>
    </w:p>
    <w:p w14:paraId="48D3C0F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技术商务分按照评标委员会成员的独立评分结果汇总数后的算术平均分计算，计算公式：技术商务分=（磋商小组所有成员评分合计数）/（磋商小组组成人员数）。</w:t>
      </w:r>
    </w:p>
    <w:p w14:paraId="3B4ED753">
      <w:pPr>
        <w:pStyle w:val="11"/>
        <w:spacing w:before="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四．成交原则</w:t>
      </w:r>
    </w:p>
    <w:p w14:paraId="0FCD3B11">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1.严格按照采购文件规定“综合评分法，得分最高者成交”的原则确定成交供应商，法律法规和国家政策另有规定的从其规定。</w:t>
      </w:r>
    </w:p>
    <w:p w14:paraId="291CFE46">
      <w:pPr>
        <w:spacing w:line="40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2.经成交结果公示期满无异议，成交候选供应商即成为成交供应商。</w:t>
      </w:r>
      <w:r>
        <w:rPr>
          <w:rFonts w:hint="eastAsia" w:ascii="宋体" w:hAnsi="宋体" w:cs="宋体"/>
          <w:color w:val="auto"/>
          <w:highlight w:val="none"/>
        </w:rPr>
        <w:t xml:space="preserve"> </w:t>
      </w:r>
    </w:p>
    <w:p w14:paraId="09B8353E">
      <w:pPr>
        <w:pStyle w:val="393"/>
        <w:tabs>
          <w:tab w:val="left" w:pos="1150"/>
        </w:tabs>
        <w:spacing w:line="400" w:lineRule="exact"/>
        <w:ind w:left="0" w:firstLine="0"/>
        <w:jc w:val="left"/>
        <w:rPr>
          <w:rFonts w:hint="eastAsia"/>
          <w:b/>
          <w:color w:val="auto"/>
          <w:sz w:val="24"/>
          <w:highlight w:val="none"/>
        </w:rPr>
      </w:pPr>
      <w:r>
        <w:rPr>
          <w:rFonts w:hint="eastAsia"/>
          <w:b/>
          <w:color w:val="auto"/>
          <w:sz w:val="24"/>
          <w:highlight w:val="none"/>
        </w:rPr>
        <w:t>五．保密及其它注意事项</w:t>
      </w:r>
    </w:p>
    <w:p w14:paraId="7215412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1.评分是磋商采购过程中的重要环节，评分工作在磋商小组内独立进行。磋商小组将遵照评分原 则，公正、公平、客观地对待所有响应供应商。</w:t>
      </w:r>
    </w:p>
    <w:p w14:paraId="73E6AEBE">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2.在磋商谈判期间，响应供应商不得向磋商小组人员询问评分情况，不得进行旨在影响评分结果的活动。</w:t>
      </w:r>
    </w:p>
    <w:p w14:paraId="408B161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3.为保证确定成交结果的公正性，在竞争性磋商谈判过程中，磋商小组人员不得与响应供应商私下交换意见。在采购工作结束后与本次竞争性磋商工作有接触的任何人，不得将评分情况外泄。</w:t>
      </w:r>
    </w:p>
    <w:p w14:paraId="081C8283">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4.采购单位、代理机构及磋商小组不向落选方解释落选原因，不退还竞争性磋商响应文件。</w:t>
      </w:r>
      <w:bookmarkStart w:id="128" w:name="_Toc2418_WPSOffice_Level1"/>
      <w:bookmarkStart w:id="129" w:name="_Toc43264512"/>
    </w:p>
    <w:p w14:paraId="58D91956">
      <w:pPr>
        <w:pStyle w:val="96"/>
        <w:rPr>
          <w:color w:val="auto"/>
          <w:highlight w:val="none"/>
        </w:rPr>
      </w:pPr>
    </w:p>
    <w:p w14:paraId="78C72C6F">
      <w:pPr>
        <w:rPr>
          <w:rFonts w:hint="eastAsia"/>
          <w:color w:val="auto"/>
          <w:sz w:val="44"/>
          <w:highlight w:val="none"/>
        </w:rPr>
      </w:pPr>
      <w:bookmarkStart w:id="130" w:name="_Toc24475"/>
      <w:r>
        <w:rPr>
          <w:rFonts w:hint="eastAsia"/>
          <w:color w:val="auto"/>
          <w:sz w:val="44"/>
          <w:highlight w:val="none"/>
        </w:rPr>
        <w:br w:type="page"/>
      </w:r>
    </w:p>
    <w:p w14:paraId="54F9B304">
      <w:pPr>
        <w:pStyle w:val="6"/>
        <w:jc w:val="center"/>
        <w:rPr>
          <w:color w:val="auto"/>
          <w:sz w:val="44"/>
          <w:highlight w:val="none"/>
        </w:rPr>
      </w:pPr>
      <w:bookmarkStart w:id="131" w:name="_Toc22410"/>
      <w:r>
        <w:rPr>
          <w:rFonts w:hint="eastAsia"/>
          <w:color w:val="auto"/>
          <w:sz w:val="44"/>
          <w:highlight w:val="none"/>
        </w:rPr>
        <w:t>第六章   响应文件格式</w:t>
      </w:r>
      <w:bookmarkEnd w:id="128"/>
      <w:bookmarkEnd w:id="130"/>
      <w:bookmarkEnd w:id="131"/>
    </w:p>
    <w:p w14:paraId="48A40AAD">
      <w:pPr>
        <w:spacing w:line="460" w:lineRule="exact"/>
        <w:rPr>
          <w:rFonts w:hint="eastAsia" w:ascii="宋体" w:hAnsi="宋体" w:cs="宋体"/>
          <w:b/>
          <w:color w:val="auto"/>
          <w:sz w:val="24"/>
          <w:highlight w:val="none"/>
        </w:rPr>
      </w:pPr>
      <w:bookmarkStart w:id="132" w:name="_Toc24313"/>
      <w:bookmarkStart w:id="133" w:name="_Toc22316"/>
      <w:r>
        <w:rPr>
          <w:rFonts w:hint="eastAsia" w:ascii="宋体" w:hAnsi="宋体" w:cs="宋体"/>
          <w:b/>
          <w:color w:val="auto"/>
          <w:sz w:val="24"/>
          <w:highlight w:val="none"/>
        </w:rPr>
        <w:t>响应文件的外包装封面格式：</w:t>
      </w:r>
      <w:bookmarkEnd w:id="132"/>
      <w:bookmarkEnd w:id="133"/>
    </w:p>
    <w:p w14:paraId="1F3E38A1">
      <w:pPr>
        <w:spacing w:line="460" w:lineRule="exact"/>
        <w:rPr>
          <w:rFonts w:hint="eastAsia" w:ascii="宋体" w:hAnsi="宋体" w:cs="宋体"/>
          <w:b/>
          <w:color w:val="auto"/>
          <w:sz w:val="24"/>
          <w:highlight w:val="none"/>
        </w:rPr>
      </w:pPr>
    </w:p>
    <w:p w14:paraId="0FACE9FC">
      <w:pPr>
        <w:spacing w:before="185"/>
        <w:ind w:right="210"/>
        <w:jc w:val="center"/>
        <w:rPr>
          <w:rFonts w:hint="eastAsia" w:ascii="宋体" w:hAnsi="宋体" w:cs="宋体"/>
          <w:b/>
          <w:color w:val="auto"/>
          <w:sz w:val="52"/>
          <w:highlight w:val="none"/>
        </w:rPr>
      </w:pPr>
      <w:bookmarkStart w:id="134" w:name="_Toc24866_WPSOffice_Level1"/>
      <w:r>
        <w:rPr>
          <w:rFonts w:hint="eastAsia" w:ascii="宋体" w:hAnsi="宋体" w:cs="宋体"/>
          <w:b/>
          <w:color w:val="auto"/>
          <w:sz w:val="52"/>
          <w:highlight w:val="none"/>
        </w:rPr>
        <w:t>竞争性磋商响应文件</w:t>
      </w:r>
      <w:bookmarkEnd w:id="134"/>
    </w:p>
    <w:p w14:paraId="3CA2B744">
      <w:pPr>
        <w:pStyle w:val="25"/>
        <w:spacing w:before="11"/>
        <w:rPr>
          <w:rFonts w:hint="eastAsia" w:ascii="宋体" w:hAnsi="宋体" w:cs="宋体"/>
          <w:b/>
          <w:color w:val="auto"/>
          <w:sz w:val="69"/>
          <w:highlight w:val="none"/>
        </w:rPr>
      </w:pPr>
    </w:p>
    <w:p w14:paraId="261C67DE">
      <w:pPr>
        <w:ind w:right="208"/>
        <w:jc w:val="center"/>
        <w:rPr>
          <w:rFonts w:hint="eastAsia" w:ascii="宋体" w:hAnsi="宋体" w:cs="宋体"/>
          <w:b/>
          <w:color w:val="auto"/>
          <w:sz w:val="32"/>
          <w:highlight w:val="none"/>
        </w:rPr>
      </w:pPr>
      <w:r>
        <w:rPr>
          <w:rFonts w:hint="eastAsia" w:ascii="宋体" w:hAnsi="宋体" w:cs="宋体"/>
          <w:b/>
          <w:color w:val="auto"/>
          <w:sz w:val="32"/>
          <w:highlight w:val="none"/>
        </w:rPr>
        <w:t>资格审查资料/技术资信文件/报价文件</w:t>
      </w:r>
    </w:p>
    <w:p w14:paraId="20568FC8">
      <w:pPr>
        <w:pStyle w:val="207"/>
        <w:rPr>
          <w:rFonts w:hint="eastAsia" w:ascii="宋体" w:hAnsi="宋体" w:cs="宋体"/>
          <w:b/>
          <w:color w:val="auto"/>
          <w:sz w:val="32"/>
          <w:highlight w:val="none"/>
        </w:rPr>
      </w:pPr>
    </w:p>
    <w:p w14:paraId="7C8E0AF9">
      <w:pPr>
        <w:pStyle w:val="207"/>
        <w:rPr>
          <w:rFonts w:hint="eastAsia" w:ascii="宋体" w:hAnsi="宋体" w:cs="宋体"/>
          <w:b/>
          <w:color w:val="auto"/>
          <w:sz w:val="32"/>
          <w:highlight w:val="none"/>
        </w:rPr>
      </w:pPr>
    </w:p>
    <w:p w14:paraId="608598D4">
      <w:pPr>
        <w:adjustRightInd w:val="0"/>
        <w:snapToGrid w:val="0"/>
        <w:spacing w:line="720" w:lineRule="auto"/>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14:paraId="6CA17A86">
      <w:pPr>
        <w:adjustRightInd w:val="0"/>
        <w:snapToGrid w:val="0"/>
        <w:spacing w:line="720" w:lineRule="auto"/>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xml:space="preserve"> </w:t>
      </w:r>
    </w:p>
    <w:p w14:paraId="1507FDD8">
      <w:pPr>
        <w:adjustRightInd w:val="0"/>
        <w:snapToGrid w:val="0"/>
        <w:spacing w:line="720" w:lineRule="auto"/>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供应商（全称）：</w:t>
      </w:r>
      <w:r>
        <w:rPr>
          <w:rFonts w:hint="eastAsia" w:ascii="宋体" w:hAnsi="宋体" w:cs="宋体"/>
          <w:color w:val="auto"/>
          <w:sz w:val="28"/>
          <w:szCs w:val="28"/>
          <w:highlight w:val="none"/>
          <w:u w:val="single"/>
        </w:rPr>
        <w:t>            （盖章）</w:t>
      </w:r>
    </w:p>
    <w:p w14:paraId="18FD6EBD">
      <w:pPr>
        <w:pStyle w:val="207"/>
        <w:snapToGrid w:val="0"/>
        <w:spacing w:line="720" w:lineRule="auto"/>
        <w:ind w:firstLine="1120" w:firstLineChars="400"/>
        <w:rPr>
          <w:rFonts w:hint="eastAsia" w:ascii="宋体" w:hAnsi="宋体" w:cs="宋体"/>
          <w:color w:val="auto"/>
          <w:kern w:val="2"/>
          <w:sz w:val="28"/>
          <w:szCs w:val="28"/>
          <w:highlight w:val="none"/>
        </w:rPr>
      </w:pPr>
      <w:r>
        <w:rPr>
          <w:rFonts w:hint="eastAsia" w:ascii="宋体" w:hAnsi="宋体" w:cs="宋体"/>
          <w:color w:val="auto"/>
          <w:kern w:val="2"/>
          <w:sz w:val="28"/>
          <w:szCs w:val="28"/>
          <w:highlight w:val="none"/>
        </w:rPr>
        <w:t>法定代表人或其授权人(签字或盖章)：</w:t>
      </w:r>
      <w:r>
        <w:rPr>
          <w:rFonts w:hint="eastAsia" w:ascii="宋体" w:hAnsi="宋体" w:cs="宋体"/>
          <w:color w:val="auto"/>
          <w:sz w:val="28"/>
          <w:szCs w:val="28"/>
          <w:highlight w:val="none"/>
          <w:u w:val="single"/>
        </w:rPr>
        <w:t>      </w:t>
      </w:r>
    </w:p>
    <w:p w14:paraId="11F1C17C">
      <w:pPr>
        <w:adjustRightInd w:val="0"/>
        <w:snapToGrid w:val="0"/>
        <w:spacing w:line="720" w:lineRule="auto"/>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w:t>
      </w:r>
    </w:p>
    <w:p w14:paraId="78C38DBB">
      <w:pPr>
        <w:pStyle w:val="207"/>
        <w:rPr>
          <w:rFonts w:hint="eastAsia" w:ascii="宋体" w:hAnsi="宋体" w:cs="宋体"/>
          <w:color w:val="auto"/>
          <w:sz w:val="28"/>
          <w:szCs w:val="28"/>
          <w:highlight w:val="none"/>
          <w:u w:val="single"/>
        </w:rPr>
      </w:pPr>
    </w:p>
    <w:p w14:paraId="5237D843">
      <w:pPr>
        <w:pStyle w:val="4"/>
        <w:spacing w:line="360" w:lineRule="auto"/>
        <w:ind w:firstLine="0"/>
        <w:jc w:val="center"/>
        <w:rPr>
          <w:rFonts w:hint="eastAsia" w:ascii="宋体" w:hAnsi="宋体" w:cs="宋体"/>
          <w:color w:val="auto"/>
          <w:sz w:val="24"/>
          <w:highlight w:val="none"/>
        </w:rPr>
      </w:pPr>
      <w:r>
        <w:rPr>
          <w:rFonts w:hint="eastAsia" w:ascii="宋体" w:hAnsi="宋体" w:cs="宋体"/>
          <w:color w:val="auto"/>
          <w:sz w:val="28"/>
          <w:szCs w:val="28"/>
          <w:highlight w:val="none"/>
        </w:rPr>
        <w:t>在</w:t>
      </w:r>
      <w:r>
        <w:rPr>
          <w:rFonts w:hint="eastAsia" w:ascii="宋体" w:hAnsi="宋体" w:cs="宋体"/>
          <w:b/>
          <w:bCs/>
          <w:color w:val="auto"/>
          <w:sz w:val="28"/>
          <w:szCs w:val="28"/>
          <w:highlight w:val="none"/>
          <w:u w:val="single"/>
        </w:rPr>
        <w:t xml:space="preserve">  年  月  日  时  分</w:t>
      </w:r>
      <w:r>
        <w:rPr>
          <w:rFonts w:hint="eastAsia" w:ascii="宋体" w:hAnsi="宋体" w:cs="宋体"/>
          <w:color w:val="auto"/>
          <w:sz w:val="28"/>
          <w:szCs w:val="28"/>
          <w:highlight w:val="none"/>
        </w:rPr>
        <w:t>前不得启封</w:t>
      </w:r>
    </w:p>
    <w:p w14:paraId="506BDFA2">
      <w:pPr>
        <w:spacing w:line="460" w:lineRule="exact"/>
        <w:rPr>
          <w:rFonts w:hint="eastAsia" w:ascii="宋体" w:hAnsi="宋体" w:cs="宋体"/>
          <w:b/>
          <w:color w:val="auto"/>
          <w:sz w:val="24"/>
          <w:highlight w:val="none"/>
        </w:rPr>
      </w:pPr>
      <w:r>
        <w:rPr>
          <w:rFonts w:hint="eastAsia" w:ascii="宋体" w:hAnsi="宋体" w:cs="宋体"/>
          <w:b/>
          <w:bCs/>
          <w:color w:val="auto"/>
          <w:sz w:val="22"/>
          <w:highlight w:val="none"/>
        </w:rPr>
        <w:br w:type="page"/>
      </w:r>
      <w:bookmarkStart w:id="135" w:name="_Toc20872"/>
      <w:bookmarkStart w:id="136" w:name="_Toc1460"/>
      <w:r>
        <w:rPr>
          <w:rFonts w:hint="eastAsia" w:ascii="宋体" w:hAnsi="宋体" w:cs="宋体"/>
          <w:b/>
          <w:color w:val="auto"/>
          <w:sz w:val="24"/>
          <w:highlight w:val="none"/>
        </w:rPr>
        <w:t>响应文件封面格式：</w:t>
      </w:r>
      <w:bookmarkEnd w:id="135"/>
      <w:bookmarkEnd w:id="136"/>
      <w:r>
        <w:rPr>
          <w:rFonts w:hint="eastAsia" w:ascii="宋体" w:hAnsi="宋体" w:cs="宋体"/>
          <w:b/>
          <w:color w:val="auto"/>
          <w:sz w:val="24"/>
          <w:highlight w:val="none"/>
        </w:rPr>
        <w:t xml:space="preserve">          </w:t>
      </w:r>
    </w:p>
    <w:p w14:paraId="31B17293">
      <w:pPr>
        <w:pStyle w:val="207"/>
        <w:jc w:val="right"/>
        <w:rPr>
          <w:rFonts w:hint="eastAsia" w:ascii="宋体" w:hAnsi="宋体" w:cs="宋体"/>
          <w:color w:val="auto"/>
          <w:sz w:val="32"/>
          <w:szCs w:val="32"/>
          <w:highlight w:val="none"/>
        </w:rPr>
      </w:pPr>
      <w:bookmarkStart w:id="137" w:name="_Toc1613"/>
      <w:bookmarkStart w:id="138" w:name="_Toc5678"/>
      <w:r>
        <w:rPr>
          <w:rFonts w:hint="eastAsia" w:ascii="宋体" w:hAnsi="宋体" w:cs="宋体"/>
          <w:b/>
          <w:color w:val="auto"/>
          <w:w w:val="95"/>
          <w:sz w:val="32"/>
          <w:szCs w:val="32"/>
          <w:highlight w:val="none"/>
        </w:rPr>
        <w:t>正本/副本</w:t>
      </w:r>
      <w:bookmarkEnd w:id="137"/>
      <w:bookmarkEnd w:id="138"/>
    </w:p>
    <w:p w14:paraId="128DDCDB">
      <w:pPr>
        <w:spacing w:before="185"/>
        <w:ind w:right="210"/>
        <w:jc w:val="center"/>
        <w:rPr>
          <w:rFonts w:hint="eastAsia" w:ascii="宋体" w:hAnsi="宋体" w:cs="宋体"/>
          <w:b/>
          <w:bCs/>
          <w:color w:val="auto"/>
          <w:sz w:val="22"/>
          <w:highlight w:val="none"/>
        </w:rPr>
      </w:pPr>
    </w:p>
    <w:p w14:paraId="30E08BE7">
      <w:pPr>
        <w:spacing w:before="185"/>
        <w:ind w:right="210"/>
        <w:jc w:val="center"/>
        <w:rPr>
          <w:rFonts w:hint="eastAsia" w:ascii="宋体" w:hAnsi="宋体" w:cs="宋体"/>
          <w:b/>
          <w:color w:val="auto"/>
          <w:sz w:val="52"/>
          <w:highlight w:val="none"/>
        </w:rPr>
      </w:pPr>
      <w:r>
        <w:rPr>
          <w:rFonts w:hint="eastAsia" w:ascii="宋体" w:hAnsi="宋体" w:cs="宋体"/>
          <w:b/>
          <w:color w:val="auto"/>
          <w:sz w:val="52"/>
          <w:highlight w:val="none"/>
        </w:rPr>
        <w:t>竞争性磋商响应文件</w:t>
      </w:r>
    </w:p>
    <w:p w14:paraId="63D0A05A">
      <w:pPr>
        <w:pStyle w:val="25"/>
        <w:spacing w:before="11"/>
        <w:rPr>
          <w:rFonts w:hint="eastAsia" w:ascii="宋体" w:hAnsi="宋体" w:cs="宋体"/>
          <w:b/>
          <w:color w:val="auto"/>
          <w:sz w:val="69"/>
          <w:highlight w:val="none"/>
        </w:rPr>
      </w:pPr>
    </w:p>
    <w:p w14:paraId="23EAF7B8">
      <w:pPr>
        <w:ind w:right="208"/>
        <w:jc w:val="center"/>
        <w:rPr>
          <w:rFonts w:hint="eastAsia" w:ascii="宋体" w:hAnsi="宋体" w:cs="宋体"/>
          <w:b/>
          <w:color w:val="auto"/>
          <w:sz w:val="32"/>
          <w:highlight w:val="none"/>
        </w:rPr>
      </w:pPr>
      <w:r>
        <w:rPr>
          <w:rFonts w:hint="eastAsia" w:ascii="宋体" w:hAnsi="宋体" w:cs="宋体"/>
          <w:b/>
          <w:color w:val="auto"/>
          <w:sz w:val="32"/>
          <w:highlight w:val="none"/>
        </w:rPr>
        <w:t>资格审查资料/技术资信文件/报价文件</w:t>
      </w:r>
    </w:p>
    <w:p w14:paraId="0C188688">
      <w:pPr>
        <w:pStyle w:val="207"/>
        <w:rPr>
          <w:rFonts w:hint="eastAsia" w:ascii="宋体" w:hAnsi="宋体" w:cs="宋体"/>
          <w:b/>
          <w:color w:val="auto"/>
          <w:sz w:val="32"/>
          <w:highlight w:val="none"/>
        </w:rPr>
      </w:pPr>
    </w:p>
    <w:p w14:paraId="5E828C8A">
      <w:pPr>
        <w:pStyle w:val="207"/>
        <w:rPr>
          <w:rFonts w:hint="eastAsia" w:ascii="宋体" w:hAnsi="宋体" w:cs="宋体"/>
          <w:b/>
          <w:color w:val="auto"/>
          <w:sz w:val="32"/>
          <w:highlight w:val="none"/>
        </w:rPr>
      </w:pPr>
    </w:p>
    <w:p w14:paraId="39A6AF82">
      <w:pPr>
        <w:adjustRightInd w:val="0"/>
        <w:snapToGrid w:val="0"/>
        <w:spacing w:line="720" w:lineRule="auto"/>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rPr>
        <w:t xml:space="preserve">                       </w:t>
      </w:r>
    </w:p>
    <w:p w14:paraId="5879A648">
      <w:pPr>
        <w:adjustRightInd w:val="0"/>
        <w:snapToGrid w:val="0"/>
        <w:spacing w:line="720" w:lineRule="auto"/>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xml:space="preserve"> </w:t>
      </w:r>
    </w:p>
    <w:p w14:paraId="239029E5">
      <w:pPr>
        <w:adjustRightInd w:val="0"/>
        <w:snapToGrid w:val="0"/>
        <w:spacing w:line="720" w:lineRule="auto"/>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供应商（全称）：</w:t>
      </w:r>
      <w:r>
        <w:rPr>
          <w:rFonts w:hint="eastAsia" w:ascii="宋体" w:hAnsi="宋体" w:cs="宋体"/>
          <w:color w:val="auto"/>
          <w:sz w:val="28"/>
          <w:szCs w:val="28"/>
          <w:highlight w:val="none"/>
          <w:u w:val="single"/>
        </w:rPr>
        <w:t>            （盖章）</w:t>
      </w:r>
    </w:p>
    <w:p w14:paraId="3FC555BB">
      <w:pPr>
        <w:pStyle w:val="207"/>
        <w:snapToGrid w:val="0"/>
        <w:spacing w:line="720" w:lineRule="auto"/>
        <w:ind w:firstLine="1120" w:firstLineChars="400"/>
        <w:rPr>
          <w:rFonts w:hint="eastAsia" w:ascii="宋体" w:hAnsi="宋体" w:cs="宋体"/>
          <w:color w:val="auto"/>
          <w:kern w:val="2"/>
          <w:sz w:val="28"/>
          <w:szCs w:val="28"/>
          <w:highlight w:val="none"/>
        </w:rPr>
      </w:pPr>
      <w:r>
        <w:rPr>
          <w:rFonts w:hint="eastAsia" w:ascii="宋体" w:hAnsi="宋体" w:cs="宋体"/>
          <w:color w:val="auto"/>
          <w:kern w:val="2"/>
          <w:sz w:val="28"/>
          <w:szCs w:val="28"/>
          <w:highlight w:val="none"/>
        </w:rPr>
        <w:t>法定代表人或其授权人(签字或盖章)：</w:t>
      </w:r>
      <w:r>
        <w:rPr>
          <w:rFonts w:hint="eastAsia" w:ascii="宋体" w:hAnsi="宋体" w:cs="宋体"/>
          <w:color w:val="auto"/>
          <w:sz w:val="28"/>
          <w:szCs w:val="28"/>
          <w:highlight w:val="none"/>
          <w:u w:val="single"/>
        </w:rPr>
        <w:t>      </w:t>
      </w:r>
    </w:p>
    <w:p w14:paraId="5A359025">
      <w:pPr>
        <w:adjustRightInd w:val="0"/>
        <w:snapToGrid w:val="0"/>
        <w:spacing w:line="720" w:lineRule="auto"/>
        <w:ind w:firstLine="1120" w:firstLineChars="4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w:t>
      </w:r>
    </w:p>
    <w:p w14:paraId="7C1B1FC3">
      <w:pPr>
        <w:pStyle w:val="49"/>
        <w:widowControl w:val="0"/>
        <w:spacing w:line="360" w:lineRule="auto"/>
        <w:ind w:right="-512" w:rightChars="-244"/>
        <w:jc w:val="center"/>
        <w:rPr>
          <w:rStyle w:val="56"/>
          <w:rFonts w:hint="eastAsia" w:cs="宋体"/>
          <w:bCs w:val="0"/>
          <w:color w:val="auto"/>
          <w:sz w:val="32"/>
          <w:highlight w:val="none"/>
        </w:rPr>
      </w:pPr>
    </w:p>
    <w:bookmarkEnd w:id="129"/>
    <w:p w14:paraId="0E4B60A1">
      <w:pPr>
        <w:spacing w:line="480" w:lineRule="auto"/>
        <w:rPr>
          <w:rFonts w:hint="eastAsia" w:ascii="宋体" w:hAnsi="宋体" w:cs="宋体"/>
          <w:color w:val="auto"/>
          <w:sz w:val="24"/>
          <w:highlight w:val="none"/>
        </w:rPr>
      </w:pPr>
    </w:p>
    <w:p w14:paraId="0B660649">
      <w:pPr>
        <w:snapToGrid w:val="0"/>
        <w:spacing w:before="50" w:after="156" w:afterLines="50"/>
        <w:jc w:val="left"/>
        <w:rPr>
          <w:rFonts w:hint="eastAsia" w:ascii="宋体" w:hAnsi="宋体" w:cs="宋体"/>
          <w:b/>
          <w:color w:val="auto"/>
          <w:sz w:val="24"/>
          <w:szCs w:val="20"/>
          <w:highlight w:val="none"/>
          <w:u w:val="single"/>
        </w:rPr>
      </w:pPr>
      <w:bookmarkStart w:id="139" w:name="_Toc396837330"/>
      <w:bookmarkStart w:id="140" w:name="_Toc396837709"/>
    </w:p>
    <w:p w14:paraId="02173382">
      <w:pPr>
        <w:spacing w:line="460" w:lineRule="exact"/>
        <w:rPr>
          <w:rFonts w:hint="eastAsia" w:ascii="宋体" w:hAnsi="宋体" w:cs="宋体"/>
          <w:b/>
          <w:bCs/>
          <w:color w:val="auto"/>
          <w:sz w:val="22"/>
          <w:highlight w:val="none"/>
        </w:rPr>
      </w:pPr>
      <w:r>
        <w:rPr>
          <w:rFonts w:hint="eastAsia" w:ascii="宋体" w:hAnsi="宋体" w:cs="宋体"/>
          <w:color w:val="auto"/>
          <w:sz w:val="24"/>
          <w:highlight w:val="none"/>
        </w:rPr>
        <w:br w:type="page"/>
      </w:r>
      <w:bookmarkEnd w:id="139"/>
      <w:bookmarkEnd w:id="140"/>
      <w:r>
        <w:rPr>
          <w:rFonts w:hint="eastAsia" w:ascii="宋体" w:hAnsi="宋体" w:cs="宋体"/>
          <w:b/>
          <w:bCs/>
          <w:color w:val="auto"/>
          <w:sz w:val="22"/>
          <w:highlight w:val="none"/>
        </w:rPr>
        <w:t>附件1</w:t>
      </w:r>
    </w:p>
    <w:p w14:paraId="682CD151">
      <w:pPr>
        <w:spacing w:line="460" w:lineRule="exact"/>
        <w:rPr>
          <w:rFonts w:hint="eastAsia" w:ascii="宋体" w:hAnsi="宋体" w:cs="宋体"/>
          <w:color w:val="auto"/>
          <w:sz w:val="22"/>
          <w:highlight w:val="none"/>
        </w:rPr>
      </w:pPr>
    </w:p>
    <w:p w14:paraId="0C4FC4B6">
      <w:pPr>
        <w:widowControl/>
        <w:spacing w:line="420" w:lineRule="atLeast"/>
        <w:rPr>
          <w:rFonts w:hint="eastAsia" w:ascii="宋体" w:hAnsi="宋体" w:cs="宋体"/>
          <w:b/>
          <w:bCs/>
          <w:color w:val="auto"/>
          <w:kern w:val="0"/>
          <w:sz w:val="24"/>
          <w:highlight w:val="none"/>
        </w:rPr>
      </w:pPr>
    </w:p>
    <w:p w14:paraId="4100350C">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法定代表人身份证明</w:t>
      </w:r>
    </w:p>
    <w:p w14:paraId="41177192">
      <w:pPr>
        <w:widowControl/>
        <w:spacing w:line="42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14:paraId="01FD9081">
      <w:pPr>
        <w:widowControl/>
        <w:spacing w:line="420" w:lineRule="atLeas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5BC3AB63">
      <w:pPr>
        <w:widowControl/>
        <w:spacing w:line="420" w:lineRule="atLeast"/>
        <w:ind w:firstLine="1080"/>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rPr>
        <w:t xml:space="preserve">                                               </w:t>
      </w:r>
    </w:p>
    <w:p w14:paraId="60C5F815">
      <w:pPr>
        <w:widowControl/>
        <w:spacing w:line="420" w:lineRule="atLeast"/>
        <w:ind w:firstLine="108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p>
    <w:p w14:paraId="1E015E8F">
      <w:pPr>
        <w:widowControl/>
        <w:spacing w:line="420" w:lineRule="atLeast"/>
        <w:ind w:firstLine="108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rPr>
        <w:t xml:space="preserve">                                               </w:t>
      </w:r>
    </w:p>
    <w:p w14:paraId="5C32E4E2">
      <w:pPr>
        <w:widowControl/>
        <w:spacing w:line="420" w:lineRule="atLeast"/>
        <w:ind w:firstLine="1080"/>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8A9B6E1">
      <w:pPr>
        <w:widowControl/>
        <w:spacing w:line="420" w:lineRule="atLeast"/>
        <w:ind w:firstLine="108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7B8854F2">
      <w:pPr>
        <w:widowControl/>
        <w:spacing w:line="420" w:lineRule="atLeast"/>
        <w:ind w:firstLine="108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rPr>
        <w:t xml:space="preserve">            </w:t>
      </w:r>
    </w:p>
    <w:p w14:paraId="229A3F71">
      <w:pPr>
        <w:widowControl/>
        <w:spacing w:line="420" w:lineRule="atLeast"/>
        <w:ind w:firstLine="108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rPr>
        <w:t xml:space="preserve">            </w:t>
      </w:r>
    </w:p>
    <w:p w14:paraId="31589CA8">
      <w:pPr>
        <w:widowControl/>
        <w:spacing w:line="420" w:lineRule="atLeast"/>
        <w:ind w:firstLine="1080"/>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（供应商名称）的法定代表人。</w:t>
      </w:r>
    </w:p>
    <w:p w14:paraId="6FEA6437">
      <w:pPr>
        <w:widowControl/>
        <w:spacing w:line="420" w:lineRule="atLeast"/>
        <w:ind w:firstLine="1080"/>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545E5EF4">
      <w:pPr>
        <w:widowControl/>
        <w:spacing w:line="42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0A73DF47">
      <w:pPr>
        <w:widowControl/>
        <w:spacing w:line="42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4BC31CA7">
      <w:pPr>
        <w:widowControl/>
        <w:spacing w:line="420" w:lineRule="atLeast"/>
        <w:ind w:right="-64" w:firstLine="36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供应商：</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（盖单位章）</w:t>
      </w:r>
    </w:p>
    <w:p w14:paraId="388B3E0B">
      <w:pPr>
        <w:widowControl/>
        <w:spacing w:line="420" w:lineRule="atLeast"/>
        <w:ind w:right="420"/>
        <w:rPr>
          <w:rFonts w:hint="eastAsia" w:ascii="宋体" w:hAnsi="宋体" w:cs="宋体"/>
          <w:b/>
          <w:bCs/>
          <w:color w:val="auto"/>
          <w:kern w:val="0"/>
          <w:szCs w:val="21"/>
          <w:highlight w:val="none"/>
          <w:u w:val="single"/>
        </w:rPr>
      </w:pPr>
    </w:p>
    <w:p w14:paraId="007C70D4">
      <w:pPr>
        <w:widowControl/>
        <w:spacing w:line="420" w:lineRule="atLeast"/>
        <w:ind w:right="-64" w:firstLine="432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 xml:space="preserve">日 </w:t>
      </w:r>
    </w:p>
    <w:p w14:paraId="4CF6DBE7">
      <w:pPr>
        <w:pStyle w:val="207"/>
        <w:rPr>
          <w:rFonts w:hint="eastAsia" w:ascii="宋体" w:hAnsi="宋体" w:cs="宋体"/>
          <w:b/>
          <w:bCs/>
          <w:color w:val="auto"/>
          <w:highlight w:val="none"/>
        </w:rPr>
      </w:pPr>
    </w:p>
    <w:p w14:paraId="34C83939">
      <w:pPr>
        <w:pStyle w:val="25"/>
        <w:ind w:left="1020"/>
        <w:rPr>
          <w:rFonts w:hint="eastAsia" w:ascii="宋体" w:hAnsi="宋体" w:cs="宋体"/>
          <w:color w:val="auto"/>
          <w:highlight w:val="none"/>
        </w:rPr>
      </w:pPr>
      <w:r>
        <w:rPr>
          <w:rFonts w:hint="eastAsia" w:ascii="宋体" w:hAnsi="宋体" w:cs="宋体"/>
          <w:color w:val="auto"/>
          <w:highlight w:val="none"/>
        </w:rPr>
        <w:t>--------------------------------------------------------------------</w:t>
      </w:r>
    </w:p>
    <w:p w14:paraId="635EA321">
      <w:pPr>
        <w:pStyle w:val="25"/>
        <w:rPr>
          <w:rFonts w:hint="eastAsia" w:ascii="宋体" w:hAnsi="宋体" w:cs="宋体"/>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7" name="文本框 2"/>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2A35B0D2">
                            <w:pPr>
                              <w:pStyle w:val="25"/>
                            </w:pPr>
                          </w:p>
                          <w:p w14:paraId="0D566C13">
                            <w:pPr>
                              <w:pStyle w:val="25"/>
                            </w:pPr>
                          </w:p>
                          <w:p w14:paraId="2CE24366">
                            <w:pPr>
                              <w:pStyle w:val="25"/>
                            </w:pPr>
                          </w:p>
                          <w:p w14:paraId="029307FA">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2"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WS2&#10;R9YAAAAKAQAADwAAAAAAAAABACAAAAAiAAAAZHJzL2Rvd25yZXYueG1sUEsBAhQAFAAAAAgAh07i&#10;QPsOkp4kAgAATgQAAA4AAAAAAAAAAQAgAAAAJQEAAGRycy9lMm9Eb2MueG1sUEsFBgAAAAAGAAYA&#10;WQEAALsFAAAAAA==&#10;">
                <v:fill on="f" focussize="0,0"/>
                <v:stroke weight="0.48pt" color="#000000" joinstyle="miter"/>
                <v:imagedata o:title=""/>
                <o:lock v:ext="edit" aspectratio="f"/>
                <v:textbox inset="0mm,0mm,0mm,0mm">
                  <w:txbxContent>
                    <w:p w14:paraId="2A35B0D2">
                      <w:pPr>
                        <w:pStyle w:val="25"/>
                      </w:pPr>
                    </w:p>
                    <w:p w14:paraId="0D566C13">
                      <w:pPr>
                        <w:pStyle w:val="25"/>
                      </w:pPr>
                    </w:p>
                    <w:p w14:paraId="2CE24366">
                      <w:pPr>
                        <w:pStyle w:val="25"/>
                      </w:pPr>
                    </w:p>
                    <w:p w14:paraId="029307FA">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s="宋体"/>
          <w:color w:val="auto"/>
          <w:szCs w:val="21"/>
          <w:highlight w:val="none"/>
        </w:rPr>
        <w:t xml:space="preserve"> </w:t>
      </w:r>
      <w:r>
        <w:rPr>
          <w:rFonts w:hint="eastAsia" w:ascii="宋体" w:hAnsi="宋体" w:cs="宋体"/>
          <w:color w:val="auto"/>
          <w:sz w:val="24"/>
          <w:highlight w:val="none"/>
        </w:rPr>
        <w:t xml:space="preserve">  </w:t>
      </w:r>
    </w:p>
    <w:p w14:paraId="691ED74F">
      <w:pPr>
        <w:widowControl/>
        <w:spacing w:line="420" w:lineRule="atLeast"/>
        <w:jc w:val="left"/>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r>
        <w:rPr>
          <w:rFonts w:hint="eastAsia" w:ascii="宋体" w:hAnsi="宋体" w:cs="宋体"/>
          <w:b/>
          <w:bCs/>
          <w:color w:val="auto"/>
          <w:sz w:val="22"/>
          <w:highlight w:val="none"/>
        </w:rPr>
        <w:t>附件1-1</w:t>
      </w:r>
    </w:p>
    <w:p w14:paraId="1CA72B76">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14:paraId="5DDE5FB5">
      <w:pPr>
        <w:widowControl/>
        <w:spacing w:line="420" w:lineRule="atLeast"/>
        <w:ind w:left="1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04B97CE1">
      <w:pPr>
        <w:widowControl/>
        <w:spacing w:line="360" w:lineRule="auto"/>
        <w:ind w:left="120"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（采购编号）公开招标的投标、签订合同以及合同的执行、完成和服务，及以本单位名义处理一切与之有关的事务。</w:t>
      </w:r>
    </w:p>
    <w:p w14:paraId="4CF319F7">
      <w:pPr>
        <w:widowControl/>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日签字生效，特此声明。</w:t>
      </w:r>
    </w:p>
    <w:p w14:paraId="657E9897">
      <w:pPr>
        <w:pStyle w:val="207"/>
        <w:rPr>
          <w:rFonts w:hint="eastAsia" w:ascii="宋体" w:hAnsi="宋体" w:cs="宋体"/>
          <w:color w:val="auto"/>
          <w:highlight w:val="none"/>
        </w:rPr>
      </w:pPr>
    </w:p>
    <w:p w14:paraId="3831FE84">
      <w:pPr>
        <w:widowControl/>
        <w:spacing w:line="360" w:lineRule="auto"/>
        <w:ind w:firstLine="600"/>
        <w:jc w:val="left"/>
        <w:rPr>
          <w:rFonts w:hint="eastAsia" w:ascii="宋体" w:hAnsi="宋体" w:cs="宋体"/>
          <w:color w:val="auto"/>
          <w:kern w:val="0"/>
          <w:szCs w:val="21"/>
          <w:highlight w:val="none"/>
        </w:rPr>
      </w:pPr>
    </w:p>
    <w:p w14:paraId="1E6B25E3">
      <w:pPr>
        <w:widowControl/>
        <w:spacing w:line="360" w:lineRule="auto"/>
        <w:ind w:firstLine="6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rPr>
        <w:t xml:space="preserve">                          </w:t>
      </w:r>
    </w:p>
    <w:p w14:paraId="2ECD6EBD">
      <w:pPr>
        <w:widowControl/>
        <w:spacing w:line="360" w:lineRule="auto"/>
        <w:ind w:firstLine="6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rPr>
        <w:t xml:space="preserve">                        </w:t>
      </w:r>
    </w:p>
    <w:p w14:paraId="2224DDF4">
      <w:pPr>
        <w:widowControl/>
        <w:spacing w:line="360" w:lineRule="auto"/>
        <w:ind w:firstLine="6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rPr>
        <w:t xml:space="preserve">                              </w:t>
      </w:r>
    </w:p>
    <w:p w14:paraId="32C54F38">
      <w:pPr>
        <w:widowControl/>
        <w:spacing w:line="360" w:lineRule="auto"/>
        <w:ind w:firstLine="48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日    期：</w:t>
      </w:r>
      <w:r>
        <w:rPr>
          <w:rFonts w:hint="eastAsia" w:ascii="宋体" w:hAnsi="宋体" w:cs="宋体"/>
          <w:b/>
          <w:bCs/>
          <w:color w:val="auto"/>
          <w:kern w:val="0"/>
          <w:szCs w:val="21"/>
          <w:highlight w:val="none"/>
          <w:u w:val="single"/>
        </w:rPr>
        <w:t xml:space="preserve">                                    </w:t>
      </w:r>
    </w:p>
    <w:p w14:paraId="67520D8F">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7A298DF4">
      <w:pPr>
        <w:widowControl/>
        <w:spacing w:line="360" w:lineRule="auto"/>
        <w:rPr>
          <w:rFonts w:hint="eastAsia" w:ascii="宋体" w:hAnsi="宋体" w:cs="宋体"/>
          <w:color w:val="auto"/>
          <w:kern w:val="0"/>
          <w:szCs w:val="21"/>
          <w:highlight w:val="none"/>
        </w:rPr>
      </w:pPr>
    </w:p>
    <w:p w14:paraId="5167C1CA">
      <w:pPr>
        <w:pStyle w:val="25"/>
        <w:ind w:left="1020"/>
        <w:rPr>
          <w:rFonts w:hint="eastAsia" w:ascii="宋体" w:hAnsi="宋体" w:cs="宋体"/>
          <w:color w:val="auto"/>
          <w:highlight w:val="none"/>
        </w:rPr>
      </w:pPr>
      <w:r>
        <w:rPr>
          <w:rFonts w:hint="eastAsia" w:ascii="宋体" w:hAnsi="宋体" w:cs="宋体"/>
          <w:color w:val="auto"/>
          <w:highlight w:val="none"/>
        </w:rPr>
        <w:t>--------------------------------------------------------------------</w:t>
      </w:r>
    </w:p>
    <w:p w14:paraId="6A38A5ED">
      <w:pPr>
        <w:pStyle w:val="25"/>
        <w:rPr>
          <w:rFonts w:hint="eastAsia" w:ascii="宋体" w:hAnsi="宋体" w:cs="宋体"/>
          <w:color w:val="auto"/>
          <w:sz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6" name="文本框 3"/>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34543DA1">
                            <w:pPr>
                              <w:pStyle w:val="25"/>
                            </w:pPr>
                          </w:p>
                          <w:p w14:paraId="548B3769">
                            <w:pPr>
                              <w:pStyle w:val="25"/>
                            </w:pPr>
                          </w:p>
                          <w:p w14:paraId="3DF01BD7">
                            <w:pPr>
                              <w:pStyle w:val="25"/>
                            </w:pPr>
                          </w:p>
                          <w:p w14:paraId="3C630D54">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3" o:spid="_x0000_s1026" o:spt="202" type="#_x0000_t202" style="position:absolute;left:0pt;margin-left:101.95pt;margin-top:6.95pt;height:160.8pt;width:334.2pt;mso-position-horizontal-relative:page;mso-wrap-distance-bottom:0pt;mso-wrap-distance-top:0pt;z-index:-251655168;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ZLZH&#10;1gAAAAoBAAAPAAAAAAAAAAEAIAAAACIAAABkcnMvZG93bnJldi54bWxQSwECFAAUAAAACACHTuJA&#10;2l5wMyMCAABOBAAADgAAAAAAAAABACAAAAAlAQAAZHJzL2Uyb0RvYy54bWxQSwUGAAAAAAYABgBZ&#10;AQAAugUAAAAA&#10;">
                <v:fill on="f" focussize="0,0"/>
                <v:stroke weight="0.48pt" color="#000000" joinstyle="miter"/>
                <v:imagedata o:title=""/>
                <o:lock v:ext="edit" aspectratio="f"/>
                <v:textbox inset="0mm,0mm,0mm,0mm">
                  <w:txbxContent>
                    <w:p w14:paraId="34543DA1">
                      <w:pPr>
                        <w:pStyle w:val="25"/>
                      </w:pPr>
                    </w:p>
                    <w:p w14:paraId="548B3769">
                      <w:pPr>
                        <w:pStyle w:val="25"/>
                      </w:pPr>
                    </w:p>
                    <w:p w14:paraId="3DF01BD7">
                      <w:pPr>
                        <w:pStyle w:val="25"/>
                      </w:pPr>
                    </w:p>
                    <w:p w14:paraId="3C630D54">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s="宋体"/>
          <w:color w:val="auto"/>
          <w:szCs w:val="21"/>
          <w:highlight w:val="none"/>
        </w:rPr>
        <w:t xml:space="preserve"> </w:t>
      </w:r>
      <w:r>
        <w:rPr>
          <w:rFonts w:hint="eastAsia" w:ascii="宋体" w:hAnsi="宋体" w:cs="宋体"/>
          <w:color w:val="auto"/>
          <w:sz w:val="24"/>
          <w:highlight w:val="none"/>
        </w:rPr>
        <w:t xml:space="preserve">  </w:t>
      </w:r>
    </w:p>
    <w:p w14:paraId="6F4CD48D">
      <w:pPr>
        <w:spacing w:line="460" w:lineRule="exact"/>
        <w:jc w:val="left"/>
        <w:rPr>
          <w:rFonts w:hint="eastAsia" w:ascii="宋体" w:hAnsi="宋体" w:cs="宋体"/>
          <w:b/>
          <w:bCs/>
          <w:color w:val="auto"/>
          <w:sz w:val="22"/>
          <w:highlight w:val="none"/>
        </w:rPr>
      </w:pPr>
    </w:p>
    <w:p w14:paraId="135C4317">
      <w:pPr>
        <w:snapToGrid w:val="0"/>
        <w:spacing w:before="50" w:after="50" w:line="360" w:lineRule="auto"/>
        <w:jc w:val="center"/>
        <w:rPr>
          <w:rFonts w:hint="eastAsia" w:ascii="宋体" w:hAnsi="宋体" w:cs="宋体"/>
          <w:b/>
          <w:color w:val="auto"/>
          <w:sz w:val="30"/>
          <w:highlight w:val="none"/>
        </w:rPr>
      </w:pPr>
      <w:r>
        <w:rPr>
          <w:rFonts w:hint="eastAsia" w:ascii="宋体" w:hAnsi="宋体" w:cs="宋体"/>
          <w:b/>
          <w:color w:val="auto"/>
          <w:sz w:val="30"/>
          <w:highlight w:val="none"/>
        </w:rPr>
        <w:br w:type="page"/>
      </w:r>
    </w:p>
    <w:p w14:paraId="3E29E1D6">
      <w:pPr>
        <w:spacing w:line="360" w:lineRule="auto"/>
        <w:ind w:firstLine="44"/>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2</w:t>
      </w:r>
    </w:p>
    <w:p w14:paraId="12535C8B">
      <w:pPr>
        <w:autoSpaceDE w:val="0"/>
        <w:autoSpaceDN w:val="0"/>
        <w:adjustRightInd w:val="0"/>
        <w:jc w:val="center"/>
        <w:rPr>
          <w:rFonts w:hint="eastAsia" w:ascii="宋体" w:hAnsi="宋体" w:cs="宋体"/>
          <w:b/>
          <w:bCs/>
          <w:color w:val="auto"/>
          <w:sz w:val="30"/>
          <w:highlight w:val="none"/>
        </w:rPr>
      </w:pPr>
      <w:r>
        <w:rPr>
          <w:rFonts w:hint="eastAsia" w:ascii="宋体" w:hAnsi="宋体" w:cs="宋体"/>
          <w:b/>
          <w:bCs/>
          <w:color w:val="auto"/>
          <w:sz w:val="30"/>
          <w:highlight w:val="none"/>
        </w:rPr>
        <w:t>资格承诺函</w:t>
      </w:r>
    </w:p>
    <w:p w14:paraId="47307BBA">
      <w:pPr>
        <w:tabs>
          <w:tab w:val="left" w:pos="0"/>
        </w:tabs>
        <w:snapToGrid w:val="0"/>
        <w:spacing w:line="360" w:lineRule="auto"/>
        <w:ind w:firstLine="240" w:firstLineChars="100"/>
        <w:rPr>
          <w:rFonts w:hint="eastAsia" w:ascii="宋体" w:hAnsi="宋体" w:cs="宋体"/>
          <w:color w:val="auto"/>
          <w:kern w:val="0"/>
          <w:sz w:val="24"/>
          <w:highlight w:val="none"/>
          <w:u w:val="single"/>
        </w:rPr>
      </w:pPr>
    </w:p>
    <w:p w14:paraId="1738AC18">
      <w:pPr>
        <w:tabs>
          <w:tab w:val="left" w:pos="0"/>
        </w:tabs>
        <w:snapToGrid w:val="0"/>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（采购人）、（采购代理机构）</w:t>
      </w:r>
      <w:r>
        <w:rPr>
          <w:rFonts w:hint="eastAsia" w:ascii="宋体" w:hAnsi="宋体" w:cs="宋体"/>
          <w:color w:val="auto"/>
          <w:kern w:val="0"/>
          <w:sz w:val="24"/>
          <w:highlight w:val="none"/>
        </w:rPr>
        <w:t>：</w:t>
      </w:r>
    </w:p>
    <w:p w14:paraId="35F28613">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b/>
          <w:color w:val="auto"/>
          <w:kern w:val="0"/>
          <w:highlight w:val="none"/>
          <w:u w:val="single"/>
        </w:rPr>
        <w:t xml:space="preserve">          </w:t>
      </w:r>
      <w:r>
        <w:rPr>
          <w:rFonts w:hint="eastAsia" w:ascii="宋体" w:hAnsi="宋体" w:cs="宋体"/>
          <w:b/>
          <w:color w:val="auto"/>
          <w:kern w:val="0"/>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b/>
          <w:color w:val="auto"/>
          <w:kern w:val="0"/>
          <w:sz w:val="24"/>
          <w:highlight w:val="none"/>
          <w:u w:val="single"/>
        </w:rPr>
        <w:t>（项目编号：    ）</w:t>
      </w:r>
      <w:r>
        <w:rPr>
          <w:rFonts w:hint="eastAsia" w:ascii="宋体" w:hAnsi="宋体" w:cs="宋体"/>
          <w:color w:val="auto"/>
          <w:kern w:val="0"/>
          <w:sz w:val="24"/>
          <w:highlight w:val="none"/>
        </w:rPr>
        <w:t>采购活动，郑重承诺：</w:t>
      </w:r>
    </w:p>
    <w:p w14:paraId="4383A098">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14:paraId="49F642CB">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14:paraId="60EC1D3F">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2.具有良好的商业信誉和健全的财务会计制度； </w:t>
      </w:r>
    </w:p>
    <w:p w14:paraId="41949309">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14:paraId="22E1686E">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14:paraId="01C9AA5D">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5.参加采购活动前三年内，在经营活动中没有重大违法记录；</w:t>
      </w:r>
    </w:p>
    <w:p w14:paraId="61CF7987">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14:paraId="569BC388">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（二）未被信用中国（www.creditchina.gov.cn)、中国政府采购网（www.ccgp.gov.cn）列入失信被执行人、重大税收违法失信主体、政府采购严重违法失信行为记录名单。</w:t>
      </w:r>
    </w:p>
    <w:p w14:paraId="77B82C3B">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14:paraId="362D8A75">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1.单位负责人为同一人或者存在直接控股、管理关系的不同供应商参加同一合同项下的采购活动的；</w:t>
      </w:r>
    </w:p>
    <w:p w14:paraId="03D98BD4">
      <w:pPr>
        <w:tabs>
          <w:tab w:val="left" w:pos="0"/>
        </w:tabs>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14:paraId="55E8BDAA">
      <w:pPr>
        <w:spacing w:line="360" w:lineRule="auto"/>
        <w:ind w:firstLine="422" w:firstLineChars="200"/>
        <w:rPr>
          <w:rFonts w:hint="eastAsia" w:ascii="宋体" w:hAnsi="宋体" w:cs="宋体"/>
          <w:b/>
          <w:color w:val="auto"/>
          <w:kern w:val="0"/>
          <w:highlight w:val="none"/>
        </w:rPr>
      </w:pPr>
      <w:r>
        <w:rPr>
          <w:rFonts w:hint="eastAsia" w:ascii="宋体" w:hAnsi="宋体" w:cs="宋体"/>
          <w:b/>
          <w:color w:val="auto"/>
          <w:kern w:val="0"/>
          <w:highlight w:val="none"/>
        </w:rPr>
        <w:t>以上承诺如有虚假或隐瞒，采购人可取消我方任何资格（投标/中标/签订合同），我方对此无任何异议，并愿意承担一切后果和责任。</w:t>
      </w:r>
    </w:p>
    <w:p w14:paraId="441E404C">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特此承诺！</w:t>
      </w:r>
    </w:p>
    <w:p w14:paraId="08291B11">
      <w:pPr>
        <w:keepNext w:val="0"/>
        <w:keepLines w:val="0"/>
        <w:pageBreakBefore w:val="0"/>
        <w:widowControl w:val="0"/>
        <w:kinsoku/>
        <w:wordWrap/>
        <w:overflowPunct/>
        <w:topLinePunct w:val="0"/>
        <w:autoSpaceDE/>
        <w:autoSpaceDN/>
        <w:bidi w:val="0"/>
        <w:adjustRightInd/>
        <w:snapToGrid/>
        <w:spacing w:line="480" w:lineRule="auto"/>
        <w:ind w:firstLine="4860"/>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rPr>
        <w:t>供应商（盖章）：</w:t>
      </w:r>
      <w:r>
        <w:rPr>
          <w:rFonts w:hint="eastAsia" w:ascii="宋体" w:hAnsi="宋体" w:cs="宋体"/>
          <w:b/>
          <w:bCs/>
          <w:color w:val="auto"/>
          <w:szCs w:val="21"/>
          <w:highlight w:val="none"/>
          <w:u w:val="single"/>
        </w:rPr>
        <w:t xml:space="preserve">                               </w:t>
      </w:r>
    </w:p>
    <w:p w14:paraId="3649CC83">
      <w:pPr>
        <w:keepNext w:val="0"/>
        <w:keepLines w:val="0"/>
        <w:pageBreakBefore w:val="0"/>
        <w:widowControl w:val="0"/>
        <w:kinsoku/>
        <w:wordWrap/>
        <w:overflowPunct/>
        <w:topLinePunct w:val="0"/>
        <w:autoSpaceDE/>
        <w:autoSpaceDN/>
        <w:bidi w:val="0"/>
        <w:adjustRightInd/>
        <w:snapToGrid/>
        <w:spacing w:line="480" w:lineRule="auto"/>
        <w:ind w:firstLine="486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法定代表人或授权代表（签字）：</w:t>
      </w:r>
      <w:r>
        <w:rPr>
          <w:rFonts w:hint="eastAsia" w:ascii="宋体" w:hAnsi="宋体" w:cs="宋体"/>
          <w:b/>
          <w:bCs/>
          <w:color w:val="auto"/>
          <w:szCs w:val="21"/>
          <w:highlight w:val="none"/>
          <w:u w:val="single"/>
        </w:rPr>
        <w:t xml:space="preserve">                 </w:t>
      </w:r>
    </w:p>
    <w:p w14:paraId="3053E377">
      <w:pPr>
        <w:keepNext w:val="0"/>
        <w:keepLines w:val="0"/>
        <w:pageBreakBefore w:val="0"/>
        <w:widowControl w:val="0"/>
        <w:kinsoku/>
        <w:wordWrap/>
        <w:overflowPunct/>
        <w:topLinePunct w:val="0"/>
        <w:autoSpaceDE/>
        <w:autoSpaceDN/>
        <w:bidi w:val="0"/>
        <w:adjustRightInd/>
        <w:snapToGrid/>
        <w:spacing w:line="480" w:lineRule="auto"/>
        <w:ind w:firstLine="4849" w:firstLineChars="2300"/>
        <w:textAlignment w:val="auto"/>
        <w:rPr>
          <w:rFonts w:hint="eastAsia" w:ascii="宋体" w:hAnsi="宋体" w:cs="宋体"/>
          <w:b/>
          <w:color w:val="auto"/>
          <w:kern w:val="0"/>
          <w:highlight w:val="none"/>
        </w:rPr>
      </w:pPr>
      <w:r>
        <w:rPr>
          <w:rFonts w:hint="eastAsia" w:ascii="宋体" w:hAnsi="宋体" w:cs="宋体"/>
          <w:b/>
          <w:bCs/>
          <w:color w:val="auto"/>
          <w:szCs w:val="21"/>
          <w:highlight w:val="none"/>
        </w:rPr>
        <w:t>日 期：  年  月  日</w:t>
      </w:r>
      <w:r>
        <w:rPr>
          <w:rFonts w:hint="eastAsia" w:ascii="宋体" w:hAnsi="宋体" w:cs="宋体"/>
          <w:b/>
          <w:bCs/>
          <w:color w:val="auto"/>
          <w:szCs w:val="21"/>
          <w:highlight w:val="none"/>
          <w:u w:val="single"/>
        </w:rPr>
        <w:t xml:space="preserve">                         </w:t>
      </w:r>
    </w:p>
    <w:p w14:paraId="48D8E13D">
      <w:pPr>
        <w:spacing w:line="360" w:lineRule="auto"/>
        <w:rPr>
          <w:rFonts w:hint="eastAsia" w:ascii="宋体" w:hAnsi="宋体" w:cs="宋体"/>
          <w:b/>
          <w:color w:val="auto"/>
          <w:kern w:val="0"/>
          <w:highlight w:val="none"/>
        </w:rPr>
      </w:pPr>
    </w:p>
    <w:p w14:paraId="01AB37BA">
      <w:pPr>
        <w:spacing w:line="360" w:lineRule="auto"/>
        <w:rPr>
          <w:rFonts w:hint="eastAsia" w:ascii="宋体" w:hAnsi="宋体" w:cs="宋体"/>
          <w:b/>
          <w:color w:val="auto"/>
          <w:kern w:val="0"/>
          <w:highlight w:val="none"/>
        </w:rPr>
      </w:pPr>
    </w:p>
    <w:p w14:paraId="1C0B213B">
      <w:pPr>
        <w:spacing w:line="360" w:lineRule="auto"/>
        <w:rPr>
          <w:rFonts w:hint="eastAsia" w:ascii="宋体" w:hAnsi="宋体" w:cs="宋体"/>
          <w:b/>
          <w:color w:val="auto"/>
          <w:kern w:val="0"/>
          <w:highlight w:val="none"/>
        </w:rPr>
      </w:pPr>
      <w:r>
        <w:rPr>
          <w:rFonts w:hint="eastAsia" w:ascii="宋体" w:hAnsi="宋体" w:cs="宋体"/>
          <w:b/>
          <w:color w:val="auto"/>
          <w:kern w:val="0"/>
          <w:highlight w:val="none"/>
        </w:rPr>
        <w:t>编制说明：</w:t>
      </w:r>
      <w:r>
        <w:rPr>
          <w:rFonts w:hint="eastAsia" w:ascii="宋体" w:hAnsi="宋体" w:cs="宋体"/>
          <w:b/>
          <w:color w:val="auto"/>
          <w:kern w:val="0"/>
          <w:highlight w:val="none"/>
          <w:u w:val="single"/>
        </w:rPr>
        <w:t>接受联合体投标的项目，投标供应商为联合体的，联合体各方均须提供本承诺函，否则投标无效。</w:t>
      </w:r>
    </w:p>
    <w:p w14:paraId="213937F1">
      <w:pPr>
        <w:spacing w:line="360" w:lineRule="auto"/>
        <w:ind w:firstLine="44"/>
        <w:rPr>
          <w:rFonts w:hint="eastAsia" w:ascii="宋体" w:hAnsi="宋体" w:cs="宋体"/>
          <w:b/>
          <w:bCs/>
          <w:color w:val="auto"/>
          <w:sz w:val="22"/>
          <w:highlight w:val="none"/>
        </w:rPr>
      </w:pPr>
    </w:p>
    <w:p w14:paraId="2EE6D5AD">
      <w:pPr>
        <w:widowControl/>
        <w:spacing w:line="420" w:lineRule="atLeast"/>
        <w:rPr>
          <w:rFonts w:hint="eastAsia" w:ascii="宋体" w:hAnsi="宋体" w:eastAsia="宋体" w:cs="宋体"/>
          <w:b/>
          <w:bCs/>
          <w:color w:val="auto"/>
          <w:sz w:val="22"/>
          <w:highlight w:val="none"/>
          <w:lang w:eastAsia="zh-CN"/>
        </w:rPr>
      </w:pPr>
      <w:r>
        <w:rPr>
          <w:rFonts w:hint="eastAsia" w:ascii="宋体" w:hAnsi="宋体" w:cs="宋体"/>
          <w:b/>
          <w:bCs/>
          <w:color w:val="auto"/>
          <w:kern w:val="0"/>
          <w:sz w:val="30"/>
          <w:szCs w:val="30"/>
          <w:highlight w:val="none"/>
        </w:rPr>
        <w:br w:type="page"/>
      </w: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3</w:t>
      </w:r>
    </w:p>
    <w:p w14:paraId="21A7CE31">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14:paraId="3D4F21F2">
      <w:pPr>
        <w:spacing w:line="360" w:lineRule="auto"/>
        <w:ind w:firstLine="420" w:firstLineChars="200"/>
        <w:rPr>
          <w:rFonts w:hint="eastAsia" w:ascii="宋体" w:hAnsi="宋体" w:cs="宋体"/>
          <w:color w:val="auto"/>
          <w:szCs w:val="21"/>
          <w:highlight w:val="none"/>
        </w:rPr>
      </w:pPr>
    </w:p>
    <w:p w14:paraId="1E9C88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浦江县诗画里幸福产业有限公司</w:t>
      </w:r>
      <w:r>
        <w:rPr>
          <w:rFonts w:hint="eastAsia" w:ascii="宋体" w:hAnsi="宋体" w:cs="宋体"/>
          <w:color w:val="auto"/>
          <w:szCs w:val="21"/>
          <w:highlight w:val="none"/>
        </w:rPr>
        <w:t>：</w:t>
      </w:r>
    </w:p>
    <w:p w14:paraId="3AF3480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项目（项目编号：</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）的竞争性磋商响应文件，我方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（供应商名称）作为供应商正式授权</w:t>
      </w:r>
      <w:r>
        <w:rPr>
          <w:rFonts w:hint="eastAsia" w:ascii="宋体" w:hAnsi="宋体" w:cs="宋体"/>
          <w:color w:val="auto"/>
          <w:szCs w:val="21"/>
          <w:highlight w:val="none"/>
          <w:u w:val="single"/>
        </w:rPr>
        <w:t>　           （</w:t>
      </w:r>
      <w:r>
        <w:rPr>
          <w:rFonts w:hint="eastAsia" w:ascii="宋体" w:hAnsi="宋体" w:cs="宋体"/>
          <w:color w:val="auto"/>
          <w:szCs w:val="21"/>
          <w:highlight w:val="none"/>
        </w:rPr>
        <w:t>授权代表全名，职务）代表我方处理有关本投标的一切事宜。</w:t>
      </w:r>
    </w:p>
    <w:p w14:paraId="0A604DEC">
      <w:pPr>
        <w:pStyle w:val="4"/>
        <w:spacing w:line="440" w:lineRule="exact"/>
        <w:ind w:firstLine="440"/>
        <w:rPr>
          <w:rFonts w:hint="eastAsia"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rPr>
        <w:t>供应商</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rPr>
        <w:t>响应文件，</w:t>
      </w:r>
      <w:r>
        <w:rPr>
          <w:rFonts w:hint="eastAsia" w:ascii="宋体" w:hAnsi="宋体" w:cs="宋体"/>
          <w:color w:val="auto"/>
          <w:highlight w:val="none"/>
        </w:rPr>
        <w:t>包</w:t>
      </w:r>
      <w:r>
        <w:rPr>
          <w:rFonts w:hint="eastAsia" w:ascii="宋体" w:hAnsi="宋体" w:cs="宋体"/>
          <w:color w:val="auto"/>
          <w:spacing w:val="-3"/>
          <w:highlight w:val="none"/>
        </w:rPr>
        <w:t>括</w:t>
      </w:r>
      <w:r>
        <w:rPr>
          <w:rFonts w:hint="eastAsia" w:ascii="宋体" w:hAnsi="宋体" w:cs="宋体"/>
          <w:color w:val="auto"/>
          <w:highlight w:val="none"/>
        </w:rPr>
        <w:t>响应文件</w:t>
      </w:r>
      <w:r>
        <w:rPr>
          <w:rFonts w:hint="eastAsia" w:ascii="宋体" w:hAnsi="宋体" w:cs="宋体"/>
          <w:color w:val="auto"/>
          <w:spacing w:val="-3"/>
          <w:highlight w:val="none"/>
          <w:u w:val="single"/>
        </w:rPr>
        <w:t>正</w:t>
      </w:r>
      <w:r>
        <w:rPr>
          <w:rFonts w:hint="eastAsia" w:ascii="宋体" w:hAnsi="宋体" w:cs="宋体"/>
          <w:color w:val="auto"/>
          <w:highlight w:val="none"/>
          <w:u w:val="single"/>
        </w:rPr>
        <w:t>本</w:t>
      </w:r>
      <w:r>
        <w:rPr>
          <w:rFonts w:hint="eastAsia" w:ascii="宋体" w:hAnsi="宋体" w:cs="宋体"/>
          <w:color w:val="auto"/>
          <w:highlight w:val="none"/>
          <w:u w:val="single"/>
        </w:rPr>
        <w:tab/>
      </w:r>
      <w:r>
        <w:rPr>
          <w:rFonts w:hint="eastAsia" w:ascii="宋体" w:hAnsi="宋体" w:cs="宋体"/>
          <w:color w:val="auto"/>
          <w:spacing w:val="-3"/>
          <w:highlight w:val="none"/>
          <w:u w:val="single"/>
        </w:rPr>
        <w:t>份</w:t>
      </w:r>
      <w:r>
        <w:rPr>
          <w:rFonts w:hint="eastAsia" w:ascii="宋体" w:hAnsi="宋体" w:cs="宋体"/>
          <w:color w:val="auto"/>
          <w:highlight w:val="none"/>
          <w:u w:val="single"/>
        </w:rPr>
        <w:t>，</w:t>
      </w:r>
      <w:r>
        <w:rPr>
          <w:rFonts w:hint="eastAsia" w:ascii="宋体" w:hAnsi="宋体" w:cs="宋体"/>
          <w:color w:val="auto"/>
          <w:spacing w:val="-3"/>
          <w:highlight w:val="none"/>
          <w:u w:val="single"/>
        </w:rPr>
        <w:t>副</w:t>
      </w:r>
      <w:r>
        <w:rPr>
          <w:rFonts w:hint="eastAsia" w:ascii="宋体" w:hAnsi="宋体" w:cs="宋体"/>
          <w:color w:val="auto"/>
          <w:highlight w:val="none"/>
          <w:u w:val="single"/>
        </w:rPr>
        <w:t>本</w:t>
      </w:r>
      <w:r>
        <w:rPr>
          <w:rFonts w:hint="eastAsia" w:ascii="宋体" w:hAnsi="宋体" w:cs="宋体"/>
          <w:color w:val="auto"/>
          <w:highlight w:val="none"/>
          <w:u w:val="single"/>
        </w:rPr>
        <w:tab/>
      </w:r>
      <w:r>
        <w:rPr>
          <w:rFonts w:hint="eastAsia" w:ascii="宋体" w:hAnsi="宋体" w:cs="宋体"/>
          <w:color w:val="auto"/>
          <w:highlight w:val="none"/>
          <w:u w:val="single"/>
        </w:rPr>
        <w:t xml:space="preserve">  份</w:t>
      </w:r>
      <w:r>
        <w:rPr>
          <w:rFonts w:hint="eastAsia" w:ascii="宋体" w:hAnsi="宋体" w:cs="宋体"/>
          <w:color w:val="auto"/>
          <w:highlight w:val="none"/>
        </w:rPr>
        <w:t>。</w:t>
      </w:r>
    </w:p>
    <w:p w14:paraId="6C0DB1D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我方己完全明白竞争性磋商响应文件的所有条款要求，并重申以下几点：</w:t>
      </w:r>
    </w:p>
    <w:p w14:paraId="31F862D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供应商已详细审查全部“竞争性磋商响应文件”，包括修改、澄清文件（如有的话）以及全部参考资料和有关附件，已经了解我方对于竞争性磋商响应文件、磋商过程、磋商结果有依法进行询问、质疑、投诉的权利及相关渠道和要求。</w:t>
      </w:r>
    </w:p>
    <w:p w14:paraId="0E2CC3E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（二）供应商在投标之前已经与贵方进行了充分的沟通，完全理解并接受竞争性磋商响应文件的各项规定和要求，对竞争性磋商响应文件的合理性、合法性不再有异议。</w:t>
      </w:r>
    </w:p>
    <w:p w14:paraId="4A95C58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（三）本投标有效期自开标日起90日。</w:t>
      </w:r>
    </w:p>
    <w:p w14:paraId="695290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（四）如中标，本响应文件至本项目合同履行完毕止均保持有效，本供应商将按“竞争性磋商响应文件”及政府采购法律、法规的规定履行合同责任和义务。</w:t>
      </w:r>
    </w:p>
    <w:p w14:paraId="3957FD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（五）供应商同意按照贵方要求提供与投标有关的一切数据或资料。</w:t>
      </w:r>
    </w:p>
    <w:p w14:paraId="0215F0C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（六）我方向贵方提交的所有响应文件、资料都是准确的和真实的。</w:t>
      </w:r>
    </w:p>
    <w:p w14:paraId="2593558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14:paraId="45E967C8">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14:paraId="0266F83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（九）本投标有关的一切正式往来信函请寄：</w:t>
      </w:r>
    </w:p>
    <w:p w14:paraId="5649AE1D">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 xml:space="preserve">   地址</w:t>
      </w:r>
      <w:r>
        <w:rPr>
          <w:rFonts w:hint="eastAsia" w:ascii="宋体" w:hAnsi="宋体" w:cs="宋体"/>
          <w:color w:val="auto"/>
          <w:szCs w:val="21"/>
          <w:highlight w:val="none"/>
          <w:u w:val="single"/>
        </w:rPr>
        <w:t xml:space="preserve">                           </w:t>
      </w:r>
    </w:p>
    <w:p w14:paraId="608CD9C7">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77CE7549">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7B1365B9">
      <w:pPr>
        <w:spacing w:line="440" w:lineRule="exact"/>
        <w:ind w:firstLine="735" w:firstLineChars="350"/>
        <w:rPr>
          <w:rFonts w:hint="eastAsia" w:ascii="宋体" w:hAnsi="宋体" w:cs="宋体"/>
          <w:color w:val="auto"/>
          <w:szCs w:val="21"/>
          <w:highlight w:val="none"/>
        </w:rPr>
      </w:pPr>
      <w:r>
        <w:rPr>
          <w:rFonts w:hint="eastAsia" w:ascii="宋体" w:hAnsi="宋体" w:cs="宋体"/>
          <w:color w:val="auto"/>
          <w:szCs w:val="21"/>
          <w:highlight w:val="none"/>
        </w:rPr>
        <w:t>电子邮件</w:t>
      </w:r>
      <w:r>
        <w:rPr>
          <w:rFonts w:hint="eastAsia" w:ascii="宋体" w:hAnsi="宋体" w:cs="宋体"/>
          <w:color w:val="auto"/>
          <w:szCs w:val="21"/>
          <w:highlight w:val="none"/>
          <w:u w:val="single"/>
        </w:rPr>
        <w:t xml:space="preserve">                           </w:t>
      </w:r>
    </w:p>
    <w:p w14:paraId="74936121">
      <w:pPr>
        <w:spacing w:line="360" w:lineRule="auto"/>
        <w:ind w:firstLine="435"/>
        <w:rPr>
          <w:rFonts w:hint="eastAsia" w:ascii="宋体" w:hAnsi="宋体" w:cs="宋体"/>
          <w:color w:val="auto"/>
          <w:szCs w:val="21"/>
          <w:highlight w:val="none"/>
        </w:rPr>
      </w:pPr>
    </w:p>
    <w:p w14:paraId="39863C67">
      <w:pPr>
        <w:spacing w:line="440" w:lineRule="exact"/>
        <w:ind w:firstLine="4860"/>
        <w:rPr>
          <w:rFonts w:hint="eastAsia" w:ascii="宋体" w:hAnsi="宋体" w:cs="宋体"/>
          <w:b/>
          <w:bCs/>
          <w:color w:val="auto"/>
          <w:szCs w:val="21"/>
          <w:highlight w:val="none"/>
          <w:u w:val="single"/>
        </w:rPr>
      </w:pPr>
      <w:r>
        <w:rPr>
          <w:rFonts w:hint="eastAsia" w:ascii="宋体" w:hAnsi="宋体" w:cs="宋体"/>
          <w:b/>
          <w:bCs/>
          <w:color w:val="auto"/>
          <w:szCs w:val="21"/>
          <w:highlight w:val="none"/>
        </w:rPr>
        <w:t>供应商（盖章）：</w:t>
      </w:r>
      <w:r>
        <w:rPr>
          <w:rFonts w:hint="eastAsia" w:ascii="宋体" w:hAnsi="宋体" w:cs="宋体"/>
          <w:b/>
          <w:bCs/>
          <w:color w:val="auto"/>
          <w:szCs w:val="21"/>
          <w:highlight w:val="none"/>
          <w:u w:val="single"/>
        </w:rPr>
        <w:t xml:space="preserve">                               </w:t>
      </w:r>
    </w:p>
    <w:p w14:paraId="76219A65">
      <w:pPr>
        <w:spacing w:line="440" w:lineRule="exact"/>
        <w:ind w:firstLine="4860"/>
        <w:rPr>
          <w:rFonts w:hint="eastAsia" w:ascii="宋体" w:hAnsi="宋体" w:cs="宋体"/>
          <w:b/>
          <w:bCs/>
          <w:color w:val="auto"/>
          <w:szCs w:val="21"/>
          <w:highlight w:val="none"/>
        </w:rPr>
      </w:pPr>
      <w:r>
        <w:rPr>
          <w:rFonts w:hint="eastAsia" w:ascii="宋体" w:hAnsi="宋体" w:cs="宋体"/>
          <w:b/>
          <w:bCs/>
          <w:color w:val="auto"/>
          <w:szCs w:val="21"/>
          <w:highlight w:val="none"/>
        </w:rPr>
        <w:t>法定代表人或授权代表（签字）：</w:t>
      </w:r>
      <w:r>
        <w:rPr>
          <w:rFonts w:hint="eastAsia" w:ascii="宋体" w:hAnsi="宋体" w:cs="宋体"/>
          <w:b/>
          <w:bCs/>
          <w:color w:val="auto"/>
          <w:szCs w:val="21"/>
          <w:highlight w:val="none"/>
          <w:u w:val="single"/>
        </w:rPr>
        <w:t xml:space="preserve">                 </w:t>
      </w:r>
    </w:p>
    <w:p w14:paraId="086F67AE">
      <w:pPr>
        <w:spacing w:line="440" w:lineRule="exact"/>
        <w:ind w:firstLine="4860"/>
        <w:rPr>
          <w:rFonts w:hint="eastAsia" w:ascii="宋体" w:hAnsi="宋体" w:cs="宋体"/>
          <w:b/>
          <w:bCs/>
          <w:color w:val="auto"/>
          <w:szCs w:val="21"/>
          <w:highlight w:val="none"/>
          <w:u w:val="single"/>
        </w:rPr>
      </w:pPr>
      <w:r>
        <w:rPr>
          <w:rFonts w:hint="eastAsia" w:ascii="宋体" w:hAnsi="宋体" w:cs="宋体"/>
          <w:b/>
          <w:bCs/>
          <w:color w:val="auto"/>
          <w:szCs w:val="21"/>
          <w:highlight w:val="none"/>
        </w:rPr>
        <w:t>日 期：  年  月  日</w:t>
      </w:r>
      <w:r>
        <w:rPr>
          <w:rFonts w:hint="eastAsia" w:ascii="宋体" w:hAnsi="宋体" w:cs="宋体"/>
          <w:b/>
          <w:bCs/>
          <w:color w:val="auto"/>
          <w:szCs w:val="21"/>
          <w:highlight w:val="none"/>
          <w:u w:val="single"/>
        </w:rPr>
        <w:t xml:space="preserve">                            </w:t>
      </w:r>
    </w:p>
    <w:p w14:paraId="5EF9379E">
      <w:pPr>
        <w:spacing w:line="360" w:lineRule="auto"/>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4</w:t>
      </w:r>
    </w:p>
    <w:p w14:paraId="696CF211">
      <w:pPr>
        <w:widowControl/>
        <w:spacing w:line="360" w:lineRule="auto"/>
        <w:jc w:val="center"/>
        <w:rPr>
          <w:rFonts w:hint="eastAsia" w:ascii="宋体" w:hAnsi="宋体" w:cs="宋体"/>
          <w:b/>
          <w:bCs/>
          <w:color w:val="auto"/>
          <w:kern w:val="0"/>
          <w:sz w:val="30"/>
          <w:szCs w:val="30"/>
          <w:highlight w:val="none"/>
        </w:rPr>
      </w:pPr>
      <w:bookmarkStart w:id="141" w:name="_Toc8847_WPSOffice_Level1"/>
      <w:bookmarkStart w:id="142" w:name="_Toc13405_WPSOffice_Level1"/>
      <w:r>
        <w:rPr>
          <w:rFonts w:hint="eastAsia" w:ascii="宋体" w:hAnsi="宋体" w:cs="宋体"/>
          <w:b/>
          <w:bCs/>
          <w:color w:val="auto"/>
          <w:kern w:val="0"/>
          <w:sz w:val="30"/>
          <w:szCs w:val="30"/>
          <w:highlight w:val="none"/>
        </w:rPr>
        <w:t>磋商供应商基本情况表</w:t>
      </w:r>
      <w:bookmarkEnd w:id="141"/>
      <w:bookmarkEnd w:id="142"/>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4EA83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4EF68FA7">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磋商供应商名称</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1998EA26">
            <w:pPr>
              <w:spacing w:line="360" w:lineRule="auto"/>
              <w:rPr>
                <w:rFonts w:hint="eastAsia" w:ascii="宋体" w:hAnsi="宋体" w:cs="宋体"/>
                <w:color w:val="auto"/>
                <w:szCs w:val="21"/>
                <w:highlight w:val="none"/>
              </w:rPr>
            </w:pPr>
          </w:p>
        </w:tc>
      </w:tr>
      <w:tr w14:paraId="58E6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660EA6CE">
            <w:pPr>
              <w:spacing w:line="360" w:lineRule="auto"/>
              <w:ind w:left="-38" w:leftChars="-51" w:right="-107" w:rightChars="-51" w:hanging="69" w:hangingChars="33"/>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2A5160F1">
            <w:pPr>
              <w:spacing w:line="360" w:lineRule="auto"/>
              <w:jc w:val="center"/>
              <w:rPr>
                <w:rFonts w:hint="eastAsia" w:ascii="宋体" w:hAnsi="宋体" w:cs="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F9F5112">
            <w:pPr>
              <w:spacing w:line="360" w:lineRule="auto"/>
              <w:ind w:left="-38" w:leftChars="-51" w:right="-107" w:rightChars="-51" w:hanging="69" w:hangingChars="33"/>
              <w:jc w:val="center"/>
              <w:rPr>
                <w:rFonts w:hint="eastAsia" w:ascii="宋体" w:hAnsi="宋体" w:cs="宋体"/>
                <w:bCs/>
                <w:color w:val="auto"/>
                <w:szCs w:val="21"/>
                <w:highlight w:val="none"/>
              </w:rPr>
            </w:pPr>
            <w:r>
              <w:rPr>
                <w:rFonts w:hint="eastAsia" w:ascii="宋体" w:hAnsi="宋体" w:cs="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668DD23A">
            <w:pPr>
              <w:spacing w:line="360" w:lineRule="auto"/>
              <w:jc w:val="center"/>
              <w:rPr>
                <w:rFonts w:hint="eastAsia" w:ascii="宋体" w:hAnsi="宋体" w:cs="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58A39FA6">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3EEFF589">
            <w:pPr>
              <w:spacing w:line="360" w:lineRule="auto"/>
              <w:rPr>
                <w:rFonts w:hint="eastAsia" w:ascii="宋体" w:hAnsi="宋体" w:cs="宋体"/>
                <w:bCs/>
                <w:color w:val="auto"/>
                <w:szCs w:val="21"/>
                <w:highlight w:val="none"/>
              </w:rPr>
            </w:pPr>
          </w:p>
        </w:tc>
      </w:tr>
      <w:tr w14:paraId="0EC6D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030CE223">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6A066396">
            <w:pPr>
              <w:spacing w:line="360" w:lineRule="auto"/>
              <w:jc w:val="center"/>
              <w:rPr>
                <w:rFonts w:hint="eastAsia" w:ascii="宋体" w:hAnsi="宋体" w:cs="宋体"/>
                <w:bCs/>
                <w:color w:val="auto"/>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6E3EB40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4E84DF09">
            <w:pPr>
              <w:spacing w:line="360" w:lineRule="auto"/>
              <w:ind w:right="-89"/>
              <w:jc w:val="center"/>
              <w:rPr>
                <w:rFonts w:hint="eastAsia" w:ascii="宋体" w:hAnsi="宋体" w:cs="宋体"/>
                <w:bCs/>
                <w:color w:val="auto"/>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EE07AD4">
            <w:pPr>
              <w:spacing w:line="360" w:lineRule="auto"/>
              <w:ind w:left="-38" w:leftChars="-51" w:hanging="69" w:hangingChars="33"/>
              <w:jc w:val="center"/>
              <w:rPr>
                <w:rFonts w:hint="eastAsia" w:ascii="宋体" w:hAnsi="宋体" w:cs="宋体"/>
                <w:bCs/>
                <w:color w:val="auto"/>
                <w:szCs w:val="21"/>
                <w:highlight w:val="none"/>
              </w:rPr>
            </w:pPr>
            <w:r>
              <w:rPr>
                <w:rFonts w:hint="eastAsia" w:ascii="宋体" w:hAnsi="宋体" w:cs="宋体"/>
                <w:bCs/>
                <w:color w:val="auto"/>
                <w:szCs w:val="21"/>
                <w:highlight w:val="none"/>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1A3CBC81">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万元</w:t>
            </w:r>
          </w:p>
        </w:tc>
      </w:tr>
      <w:tr w14:paraId="315DB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595470D6">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地   址</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03DA3748">
            <w:pPr>
              <w:spacing w:line="360" w:lineRule="auto"/>
              <w:jc w:val="center"/>
              <w:rPr>
                <w:rFonts w:hint="eastAsia" w:ascii="宋体" w:hAnsi="宋体" w:cs="宋体"/>
                <w:bCs/>
                <w:color w:val="auto"/>
                <w:szCs w:val="21"/>
                <w:highlight w:val="none"/>
              </w:rPr>
            </w:pPr>
          </w:p>
        </w:tc>
      </w:tr>
      <w:tr w14:paraId="675C0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left w:val="single" w:color="auto" w:sz="4" w:space="0"/>
              <w:right w:val="single" w:color="auto" w:sz="4" w:space="0"/>
            </w:tcBorders>
            <w:vAlign w:val="center"/>
          </w:tcPr>
          <w:p w14:paraId="28EA2C2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所获资质</w:t>
            </w:r>
          </w:p>
          <w:p w14:paraId="244E9C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71B7605E">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462C9E9">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F26D0CE">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27A4220">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有效期</w:t>
            </w:r>
          </w:p>
        </w:tc>
      </w:tr>
      <w:tr w14:paraId="3AF59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58DDD8AC">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6F6989CD">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6AAC7C4">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9CCE2F">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38057C0A">
            <w:pPr>
              <w:spacing w:line="360" w:lineRule="auto"/>
              <w:rPr>
                <w:rFonts w:hint="eastAsia" w:ascii="宋体" w:hAnsi="宋体" w:cs="宋体"/>
                <w:color w:val="auto"/>
                <w:szCs w:val="21"/>
                <w:highlight w:val="none"/>
                <w:u w:val="single"/>
              </w:rPr>
            </w:pPr>
          </w:p>
        </w:tc>
      </w:tr>
      <w:tr w14:paraId="3F579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7CB6F2B6">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6CEDAFF5">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CE965AD">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7D17AF3">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6C792B9">
            <w:pPr>
              <w:spacing w:line="360" w:lineRule="auto"/>
              <w:rPr>
                <w:rFonts w:hint="eastAsia" w:ascii="宋体" w:hAnsi="宋体" w:cs="宋体"/>
                <w:color w:val="auto"/>
                <w:szCs w:val="21"/>
                <w:highlight w:val="none"/>
                <w:u w:val="single"/>
              </w:rPr>
            </w:pPr>
          </w:p>
        </w:tc>
      </w:tr>
      <w:tr w14:paraId="14176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58437A3B">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B0FB0E4">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08E7699">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40BD4E">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E6D56BF">
            <w:pPr>
              <w:spacing w:line="360" w:lineRule="auto"/>
              <w:rPr>
                <w:rFonts w:hint="eastAsia" w:ascii="宋体" w:hAnsi="宋体" w:cs="宋体"/>
                <w:color w:val="auto"/>
                <w:szCs w:val="21"/>
                <w:highlight w:val="none"/>
                <w:u w:val="single"/>
              </w:rPr>
            </w:pPr>
          </w:p>
        </w:tc>
      </w:tr>
      <w:tr w14:paraId="337A3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2E19A0C9">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B7ABCE2">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8132F01">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CF218A5">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B03F85F">
            <w:pPr>
              <w:spacing w:line="360" w:lineRule="auto"/>
              <w:rPr>
                <w:rFonts w:hint="eastAsia" w:ascii="宋体" w:hAnsi="宋体" w:cs="宋体"/>
                <w:color w:val="auto"/>
                <w:szCs w:val="21"/>
                <w:highlight w:val="none"/>
                <w:u w:val="single"/>
              </w:rPr>
            </w:pPr>
          </w:p>
        </w:tc>
      </w:tr>
      <w:tr w14:paraId="63C04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left w:val="single" w:color="auto" w:sz="4" w:space="0"/>
              <w:right w:val="single" w:color="auto" w:sz="4" w:space="0"/>
            </w:tcBorders>
            <w:vAlign w:val="center"/>
          </w:tcPr>
          <w:p w14:paraId="58DAA948">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498A118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195FA0">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473BDC2">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305B8D4F">
            <w:pPr>
              <w:widowControl/>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有效期</w:t>
            </w:r>
          </w:p>
        </w:tc>
      </w:tr>
      <w:tr w14:paraId="50315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31C3A47D">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1DCE44C3">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62E6DB3">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C18665F">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11A8D0F">
            <w:pPr>
              <w:spacing w:line="360" w:lineRule="auto"/>
              <w:rPr>
                <w:rFonts w:hint="eastAsia" w:ascii="宋体" w:hAnsi="宋体" w:cs="宋体"/>
                <w:color w:val="auto"/>
                <w:szCs w:val="21"/>
                <w:highlight w:val="none"/>
                <w:u w:val="single"/>
              </w:rPr>
            </w:pPr>
          </w:p>
        </w:tc>
      </w:tr>
      <w:tr w14:paraId="2FD7D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right w:val="single" w:color="auto" w:sz="4" w:space="0"/>
            </w:tcBorders>
            <w:vAlign w:val="center"/>
          </w:tcPr>
          <w:p w14:paraId="34535390">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7040F188">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607ABFC">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C74932">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5D0E780">
            <w:pPr>
              <w:spacing w:line="360" w:lineRule="auto"/>
              <w:rPr>
                <w:rFonts w:hint="eastAsia" w:ascii="宋体" w:hAnsi="宋体" w:cs="宋体"/>
                <w:color w:val="auto"/>
                <w:szCs w:val="21"/>
                <w:highlight w:val="none"/>
                <w:u w:val="single"/>
              </w:rPr>
            </w:pPr>
          </w:p>
        </w:tc>
      </w:tr>
      <w:tr w14:paraId="08EB8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left w:val="single" w:color="auto" w:sz="4" w:space="0"/>
              <w:bottom w:val="single" w:color="auto" w:sz="4" w:space="0"/>
              <w:right w:val="single" w:color="auto" w:sz="4" w:space="0"/>
            </w:tcBorders>
            <w:vAlign w:val="center"/>
          </w:tcPr>
          <w:p w14:paraId="6E1DC0A2">
            <w:pPr>
              <w:spacing w:line="360" w:lineRule="auto"/>
              <w:jc w:val="center"/>
              <w:rPr>
                <w:rFonts w:hint="eastAsia" w:ascii="宋体" w:hAnsi="宋体" w:cs="宋体"/>
                <w:color w:val="auto"/>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88213F4">
            <w:pPr>
              <w:spacing w:line="360" w:lineRule="auto"/>
              <w:rPr>
                <w:rFonts w:hint="eastAsia" w:ascii="宋体" w:hAnsi="宋体" w:cs="宋体"/>
                <w:color w:val="auto"/>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9B9CBC2">
            <w:pPr>
              <w:spacing w:line="360" w:lineRule="auto"/>
              <w:rPr>
                <w:rFonts w:hint="eastAsia" w:ascii="宋体" w:hAnsi="宋体" w:cs="宋体"/>
                <w:color w:val="auto"/>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03CEC3A">
            <w:pPr>
              <w:spacing w:line="360" w:lineRule="auto"/>
              <w:rPr>
                <w:rFonts w:hint="eastAsia" w:ascii="宋体" w:hAnsi="宋体" w:cs="宋体"/>
                <w:color w:val="auto"/>
                <w:szCs w:val="21"/>
                <w:highlight w:val="none"/>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BF480C3">
            <w:pPr>
              <w:spacing w:line="360" w:lineRule="auto"/>
              <w:rPr>
                <w:rFonts w:hint="eastAsia" w:ascii="宋体" w:hAnsi="宋体" w:cs="宋体"/>
                <w:color w:val="auto"/>
                <w:szCs w:val="21"/>
                <w:highlight w:val="none"/>
                <w:u w:val="single"/>
              </w:rPr>
            </w:pPr>
          </w:p>
        </w:tc>
      </w:tr>
      <w:tr w14:paraId="65435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028BB8C4">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经营范围</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75F5E5A5">
            <w:pPr>
              <w:tabs>
                <w:tab w:val="left" w:pos="1800"/>
                <w:tab w:val="left" w:pos="1980"/>
              </w:tabs>
              <w:spacing w:line="360" w:lineRule="auto"/>
              <w:ind w:left="420" w:firstLine="42"/>
              <w:rPr>
                <w:rFonts w:hint="eastAsia" w:ascii="宋体" w:hAnsi="宋体" w:cs="宋体"/>
                <w:color w:val="auto"/>
                <w:szCs w:val="21"/>
                <w:highlight w:val="none"/>
              </w:rPr>
            </w:pPr>
          </w:p>
        </w:tc>
      </w:tr>
      <w:tr w14:paraId="08601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14:paraId="09F65CDA">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其他</w:t>
            </w:r>
          </w:p>
        </w:tc>
        <w:tc>
          <w:tcPr>
            <w:tcW w:w="7475" w:type="dxa"/>
            <w:gridSpan w:val="6"/>
            <w:tcBorders>
              <w:top w:val="single" w:color="auto" w:sz="4" w:space="0"/>
              <w:left w:val="single" w:color="auto" w:sz="4" w:space="0"/>
              <w:bottom w:val="single" w:color="auto" w:sz="4" w:space="0"/>
              <w:right w:val="single" w:color="auto" w:sz="4" w:space="0"/>
            </w:tcBorders>
            <w:vAlign w:val="center"/>
          </w:tcPr>
          <w:p w14:paraId="2CC8CB9D">
            <w:pPr>
              <w:spacing w:line="360" w:lineRule="auto"/>
              <w:rPr>
                <w:rFonts w:hint="eastAsia" w:ascii="宋体" w:hAnsi="宋体" w:cs="宋体"/>
                <w:bCs/>
                <w:color w:val="auto"/>
                <w:szCs w:val="21"/>
                <w:highlight w:val="none"/>
              </w:rPr>
            </w:pPr>
          </w:p>
        </w:tc>
      </w:tr>
    </w:tbl>
    <w:p w14:paraId="70E96C4A">
      <w:pPr>
        <w:spacing w:line="360" w:lineRule="auto"/>
        <w:ind w:firstLine="90"/>
        <w:rPr>
          <w:rFonts w:hint="eastAsia" w:ascii="宋体" w:hAnsi="宋体" w:cs="宋体"/>
          <w:color w:val="auto"/>
          <w:sz w:val="24"/>
          <w:highlight w:val="none"/>
        </w:rPr>
      </w:pPr>
      <w:r>
        <w:rPr>
          <w:rFonts w:hint="eastAsia" w:ascii="宋体" w:hAnsi="宋体" w:cs="宋体"/>
          <w:color w:val="auto"/>
          <w:sz w:val="24"/>
          <w:highlight w:val="none"/>
        </w:rPr>
        <w:t>注：1、联合体供应商各方均须提供本项材料。</w:t>
      </w:r>
    </w:p>
    <w:p w14:paraId="5CDBB703">
      <w:pPr>
        <w:spacing w:line="360" w:lineRule="auto"/>
        <w:ind w:firstLine="580" w:firstLineChars="242"/>
        <w:rPr>
          <w:rFonts w:hint="eastAsia" w:ascii="宋体" w:hAnsi="宋体" w:cs="宋体"/>
          <w:color w:val="auto"/>
          <w:sz w:val="24"/>
          <w:highlight w:val="none"/>
        </w:rPr>
      </w:pPr>
      <w:r>
        <w:rPr>
          <w:rFonts w:hint="eastAsia" w:ascii="宋体" w:hAnsi="宋体" w:cs="宋体"/>
          <w:color w:val="auto"/>
          <w:sz w:val="24"/>
          <w:highlight w:val="none"/>
        </w:rPr>
        <w:t>2、表格内容不够,可另附页。</w:t>
      </w:r>
    </w:p>
    <w:p w14:paraId="070D7A15">
      <w:pPr>
        <w:spacing w:line="360" w:lineRule="auto"/>
        <w:ind w:firstLine="435"/>
        <w:rPr>
          <w:rFonts w:hint="eastAsia" w:ascii="宋体" w:hAnsi="宋体" w:cs="宋体"/>
          <w:b/>
          <w:bCs/>
          <w:color w:val="auto"/>
          <w:sz w:val="24"/>
          <w:highlight w:val="none"/>
        </w:rPr>
      </w:pPr>
      <w:r>
        <w:rPr>
          <w:rFonts w:hint="eastAsia" w:ascii="宋体" w:hAnsi="宋体" w:cs="宋体"/>
          <w:b/>
          <w:bCs/>
          <w:color w:val="auto"/>
          <w:sz w:val="24"/>
          <w:highlight w:val="none"/>
        </w:rPr>
        <w:t>3、企业营业执照、所获证书的复印件附后。</w:t>
      </w:r>
    </w:p>
    <w:p w14:paraId="666961E7">
      <w:pPr>
        <w:spacing w:line="360" w:lineRule="auto"/>
        <w:ind w:firstLine="480"/>
        <w:rPr>
          <w:rFonts w:hint="eastAsia" w:ascii="宋体" w:hAnsi="宋体" w:cs="宋体"/>
          <w:b/>
          <w:color w:val="auto"/>
          <w:szCs w:val="21"/>
          <w:highlight w:val="none"/>
        </w:rPr>
      </w:pPr>
      <w:r>
        <w:rPr>
          <w:rFonts w:hint="eastAsia" w:ascii="宋体" w:hAnsi="宋体" w:cs="宋体"/>
          <w:b/>
          <w:color w:val="auto"/>
          <w:szCs w:val="21"/>
          <w:highlight w:val="none"/>
        </w:rPr>
        <w:t xml:space="preserve">磋商供应商（公章）：                   </w:t>
      </w:r>
    </w:p>
    <w:p w14:paraId="2A18AE2B">
      <w:pPr>
        <w:spacing w:line="360" w:lineRule="auto"/>
        <w:ind w:firstLine="480"/>
        <w:rPr>
          <w:rFonts w:hint="eastAsia" w:ascii="宋体" w:hAnsi="宋体" w:cs="宋体"/>
          <w:b/>
          <w:color w:val="auto"/>
          <w:szCs w:val="21"/>
          <w:highlight w:val="none"/>
        </w:rPr>
      </w:pPr>
      <w:r>
        <w:rPr>
          <w:rFonts w:hint="eastAsia" w:ascii="宋体" w:hAnsi="宋体" w:cs="宋体"/>
          <w:b/>
          <w:color w:val="auto"/>
          <w:szCs w:val="21"/>
          <w:highlight w:val="none"/>
        </w:rPr>
        <w:t xml:space="preserve">法定代表人或授权代表（签字或盖章）： </w:t>
      </w:r>
    </w:p>
    <w:p w14:paraId="326B5A21">
      <w:pPr>
        <w:spacing w:line="360" w:lineRule="auto"/>
        <w:ind w:firstLine="480"/>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rPr>
        <w:t>日    期：</w:t>
      </w:r>
      <w:r>
        <w:rPr>
          <w:rFonts w:hint="eastAsia" w:ascii="宋体" w:hAnsi="宋体" w:cs="宋体"/>
          <w:b/>
          <w:color w:val="auto"/>
          <w:kern w:val="0"/>
          <w:szCs w:val="21"/>
          <w:highlight w:val="none"/>
          <w:u w:val="single"/>
        </w:rPr>
        <w:t xml:space="preserve">                                    </w:t>
      </w:r>
    </w:p>
    <w:p w14:paraId="0EA9BD89">
      <w:pPr>
        <w:pStyle w:val="7"/>
        <w:jc w:val="both"/>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22"/>
          <w:szCs w:val="22"/>
          <w:highlight w:val="none"/>
        </w:rPr>
        <w:t>附件</w:t>
      </w:r>
      <w:r>
        <w:rPr>
          <w:rFonts w:hint="eastAsia" w:ascii="宋体" w:hAnsi="宋体" w:eastAsia="宋体" w:cs="宋体"/>
          <w:b/>
          <w:bCs w:val="0"/>
          <w:color w:val="auto"/>
          <w:sz w:val="22"/>
          <w:szCs w:val="22"/>
          <w:highlight w:val="none"/>
          <w:lang w:val="en-US" w:eastAsia="zh-CN"/>
        </w:rPr>
        <w:t>5</w:t>
      </w:r>
    </w:p>
    <w:p w14:paraId="47319840">
      <w:pPr>
        <w:pStyle w:val="7"/>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投标人曾承担过的类似项目业绩一览表</w:t>
      </w:r>
    </w:p>
    <w:tbl>
      <w:tblPr>
        <w:tblStyle w:val="5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14:paraId="52564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14:paraId="5392DCE5">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序号</w:t>
            </w:r>
          </w:p>
        </w:tc>
        <w:tc>
          <w:tcPr>
            <w:tcW w:w="2399" w:type="dxa"/>
            <w:tcBorders>
              <w:top w:val="single" w:color="auto" w:sz="4" w:space="0"/>
              <w:left w:val="single" w:color="auto" w:sz="4" w:space="0"/>
              <w:bottom w:val="single" w:color="auto" w:sz="4" w:space="0"/>
              <w:right w:val="single" w:color="auto" w:sz="4" w:space="0"/>
            </w:tcBorders>
            <w:vAlign w:val="center"/>
          </w:tcPr>
          <w:p w14:paraId="64D65AB9">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项目名称</w:t>
            </w:r>
          </w:p>
        </w:tc>
        <w:tc>
          <w:tcPr>
            <w:tcW w:w="2213" w:type="dxa"/>
            <w:tcBorders>
              <w:top w:val="single" w:color="auto" w:sz="4" w:space="0"/>
              <w:left w:val="single" w:color="auto" w:sz="4" w:space="0"/>
              <w:bottom w:val="single" w:color="auto" w:sz="4" w:space="0"/>
              <w:right w:val="single" w:color="auto" w:sz="4" w:space="0"/>
            </w:tcBorders>
            <w:vAlign w:val="center"/>
          </w:tcPr>
          <w:p w14:paraId="6BFFB7C9">
            <w:pPr>
              <w:autoSpaceDE w:val="0"/>
              <w:autoSpaceDN w:val="0"/>
              <w:adjustRightInd w:val="0"/>
              <w:snapToGrid w:val="0"/>
              <w:jc w:val="center"/>
              <w:textAlignment w:val="bottom"/>
              <w:rPr>
                <w:rFonts w:hint="eastAsia" w:ascii="宋体" w:hAnsi="宋体" w:cs="宋体"/>
                <w:color w:val="auto"/>
                <w:sz w:val="24"/>
                <w:highlight w:val="none"/>
              </w:rPr>
            </w:pPr>
            <w:r>
              <w:rPr>
                <w:rFonts w:hint="eastAsia" w:ascii="宋体" w:hAnsi="宋体" w:cs="宋体"/>
                <w:color w:val="auto"/>
                <w:spacing w:val="30"/>
                <w:sz w:val="24"/>
                <w:highlight w:val="none"/>
              </w:rPr>
              <w:t>业主单位</w:t>
            </w:r>
          </w:p>
        </w:tc>
        <w:tc>
          <w:tcPr>
            <w:tcW w:w="1800" w:type="dxa"/>
            <w:tcBorders>
              <w:top w:val="single" w:color="auto" w:sz="4" w:space="0"/>
              <w:left w:val="single" w:color="auto" w:sz="4" w:space="0"/>
              <w:bottom w:val="single" w:color="auto" w:sz="4" w:space="0"/>
              <w:right w:val="single" w:color="auto" w:sz="4" w:space="0"/>
            </w:tcBorders>
            <w:vAlign w:val="center"/>
          </w:tcPr>
          <w:p w14:paraId="75CBB61E">
            <w:pPr>
              <w:autoSpaceDE w:val="0"/>
              <w:autoSpaceDN w:val="0"/>
              <w:adjustRightInd w:val="0"/>
              <w:snapToGrid w:val="0"/>
              <w:jc w:val="center"/>
              <w:textAlignment w:val="bottom"/>
              <w:rPr>
                <w:rFonts w:hint="eastAsia" w:ascii="宋体" w:hAnsi="宋体" w:cs="宋体"/>
                <w:bCs/>
                <w:color w:val="auto"/>
                <w:sz w:val="24"/>
                <w:highlight w:val="none"/>
              </w:rPr>
            </w:pPr>
            <w:r>
              <w:rPr>
                <w:rFonts w:hint="eastAsia" w:ascii="宋体" w:hAnsi="宋体" w:cs="宋体"/>
                <w:bCs/>
                <w:color w:val="auto"/>
                <w:sz w:val="24"/>
                <w:highlight w:val="none"/>
              </w:rPr>
              <w:t>联系方式</w:t>
            </w:r>
          </w:p>
        </w:tc>
        <w:tc>
          <w:tcPr>
            <w:tcW w:w="1800" w:type="dxa"/>
            <w:tcBorders>
              <w:top w:val="single" w:color="auto" w:sz="4" w:space="0"/>
              <w:left w:val="single" w:color="auto" w:sz="4" w:space="0"/>
              <w:bottom w:val="single" w:color="auto" w:sz="4" w:space="0"/>
              <w:right w:val="single" w:color="auto" w:sz="4" w:space="0"/>
            </w:tcBorders>
            <w:vAlign w:val="center"/>
          </w:tcPr>
          <w:p w14:paraId="56AE1C89">
            <w:pPr>
              <w:adjustRightInd w:val="0"/>
              <w:snapToGrid w:val="0"/>
              <w:jc w:val="center"/>
              <w:rPr>
                <w:rFonts w:hint="eastAsia" w:ascii="宋体" w:hAnsi="宋体" w:cs="宋体"/>
                <w:bCs/>
                <w:color w:val="auto"/>
                <w:sz w:val="24"/>
                <w:highlight w:val="none"/>
              </w:rPr>
            </w:pPr>
            <w:r>
              <w:rPr>
                <w:rFonts w:hint="eastAsia" w:ascii="宋体" w:hAnsi="宋体" w:cs="宋体"/>
                <w:color w:val="auto"/>
                <w:spacing w:val="30"/>
                <w:sz w:val="24"/>
                <w:highlight w:val="none"/>
              </w:rPr>
              <w:t>备注</w:t>
            </w:r>
          </w:p>
        </w:tc>
      </w:tr>
      <w:tr w14:paraId="37772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3DD9C4FB">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334DB396">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4058F7B1">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05FC37D">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784CB35">
            <w:pPr>
              <w:snapToGrid w:val="0"/>
              <w:spacing w:before="120" w:beforeLines="50" w:after="50" w:line="460" w:lineRule="exact"/>
              <w:rPr>
                <w:rFonts w:hint="eastAsia" w:ascii="宋体" w:hAnsi="宋体" w:cs="宋体"/>
                <w:color w:val="auto"/>
                <w:sz w:val="24"/>
                <w:highlight w:val="none"/>
              </w:rPr>
            </w:pPr>
          </w:p>
        </w:tc>
      </w:tr>
      <w:tr w14:paraId="11110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7823158D">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30A08E8D">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34B32ACE">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EA3A38F">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F0C4B61">
            <w:pPr>
              <w:snapToGrid w:val="0"/>
              <w:spacing w:before="120" w:beforeLines="50" w:after="50" w:line="460" w:lineRule="exact"/>
              <w:rPr>
                <w:rFonts w:hint="eastAsia" w:ascii="宋体" w:hAnsi="宋体" w:cs="宋体"/>
                <w:color w:val="auto"/>
                <w:sz w:val="24"/>
                <w:highlight w:val="none"/>
              </w:rPr>
            </w:pPr>
          </w:p>
        </w:tc>
      </w:tr>
      <w:tr w14:paraId="31843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0158C0B6">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443C0558">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332D372A">
            <w:pPr>
              <w:pStyle w:val="33"/>
              <w:snapToGrid w:val="0"/>
              <w:spacing w:before="120" w:beforeLines="50" w:after="50" w:line="460" w:lineRule="exact"/>
              <w:ind w:left="5250"/>
              <w:rPr>
                <w:rFonts w:hint="eastAsia"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0789028">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2035FED">
            <w:pPr>
              <w:snapToGrid w:val="0"/>
              <w:spacing w:before="120" w:beforeLines="50" w:after="50" w:line="460" w:lineRule="exact"/>
              <w:rPr>
                <w:rFonts w:hint="eastAsia" w:ascii="宋体" w:hAnsi="宋体" w:cs="宋体"/>
                <w:color w:val="auto"/>
                <w:sz w:val="24"/>
                <w:highlight w:val="none"/>
              </w:rPr>
            </w:pPr>
          </w:p>
        </w:tc>
      </w:tr>
      <w:tr w14:paraId="3B6DF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1B8780E8">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3D6E5F05">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2B9CF632">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48C8532">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EB565A9">
            <w:pPr>
              <w:snapToGrid w:val="0"/>
              <w:spacing w:before="120" w:beforeLines="50" w:after="50" w:line="460" w:lineRule="exact"/>
              <w:rPr>
                <w:rFonts w:hint="eastAsia" w:ascii="宋体" w:hAnsi="宋体" w:cs="宋体"/>
                <w:color w:val="auto"/>
                <w:sz w:val="24"/>
                <w:highlight w:val="none"/>
              </w:rPr>
            </w:pPr>
          </w:p>
        </w:tc>
      </w:tr>
      <w:tr w14:paraId="3963C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569ACBA8">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1BB3DA91">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5992D42F">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5AE82AB">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C5A15FA">
            <w:pPr>
              <w:snapToGrid w:val="0"/>
              <w:spacing w:before="120" w:beforeLines="50" w:after="50" w:line="460" w:lineRule="exact"/>
              <w:rPr>
                <w:rFonts w:hint="eastAsia" w:ascii="宋体" w:hAnsi="宋体" w:cs="宋体"/>
                <w:color w:val="auto"/>
                <w:sz w:val="24"/>
                <w:highlight w:val="none"/>
              </w:rPr>
            </w:pPr>
          </w:p>
        </w:tc>
      </w:tr>
      <w:tr w14:paraId="4F2B6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1FE2F82C">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674FA5FA">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138DB137">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2316699">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EF50790">
            <w:pPr>
              <w:snapToGrid w:val="0"/>
              <w:spacing w:before="120" w:beforeLines="50" w:after="50" w:line="460" w:lineRule="exact"/>
              <w:rPr>
                <w:rFonts w:hint="eastAsia" w:ascii="宋体" w:hAnsi="宋体" w:cs="宋体"/>
                <w:color w:val="auto"/>
                <w:sz w:val="24"/>
                <w:highlight w:val="none"/>
              </w:rPr>
            </w:pPr>
          </w:p>
        </w:tc>
      </w:tr>
      <w:tr w14:paraId="47134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00C9972B">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39755A0C">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5CE1A509">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57C93E3">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DC30DB2">
            <w:pPr>
              <w:snapToGrid w:val="0"/>
              <w:spacing w:before="120" w:beforeLines="50" w:after="50" w:line="460" w:lineRule="exact"/>
              <w:rPr>
                <w:rFonts w:hint="eastAsia" w:ascii="宋体" w:hAnsi="宋体" w:cs="宋体"/>
                <w:color w:val="auto"/>
                <w:sz w:val="24"/>
                <w:highlight w:val="none"/>
              </w:rPr>
            </w:pPr>
          </w:p>
        </w:tc>
      </w:tr>
      <w:tr w14:paraId="12D38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185D418D">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659F9DCA">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1CA92060">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84C84DD">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A1BF50B">
            <w:pPr>
              <w:snapToGrid w:val="0"/>
              <w:spacing w:before="120" w:beforeLines="50" w:after="50" w:line="460" w:lineRule="exact"/>
              <w:rPr>
                <w:rFonts w:hint="eastAsia" w:ascii="宋体" w:hAnsi="宋体" w:cs="宋体"/>
                <w:color w:val="auto"/>
                <w:sz w:val="24"/>
                <w:highlight w:val="none"/>
              </w:rPr>
            </w:pPr>
          </w:p>
        </w:tc>
      </w:tr>
      <w:tr w14:paraId="3BD0B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14:paraId="1BA09A1A">
            <w:pPr>
              <w:snapToGrid w:val="0"/>
              <w:spacing w:before="120" w:beforeLines="50" w:after="50" w:line="460" w:lineRule="exact"/>
              <w:rPr>
                <w:rFonts w:hint="eastAsia"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14:paraId="497A399E">
            <w:pPr>
              <w:snapToGrid w:val="0"/>
              <w:spacing w:before="120" w:beforeLines="50" w:after="50" w:line="460" w:lineRule="exact"/>
              <w:rPr>
                <w:rFonts w:hint="eastAsia"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14:paraId="3942F1F3">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A941C7D">
            <w:pPr>
              <w:snapToGrid w:val="0"/>
              <w:spacing w:before="120" w:beforeLines="50" w:after="50" w:line="460" w:lineRule="exact"/>
              <w:rPr>
                <w:rFonts w:hint="eastAsia"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9380F3E">
            <w:pPr>
              <w:snapToGrid w:val="0"/>
              <w:spacing w:before="120" w:beforeLines="50" w:after="50" w:line="460" w:lineRule="exact"/>
              <w:rPr>
                <w:rFonts w:hint="eastAsia" w:ascii="宋体" w:hAnsi="宋体" w:cs="宋体"/>
                <w:color w:val="auto"/>
                <w:sz w:val="24"/>
                <w:highlight w:val="none"/>
              </w:rPr>
            </w:pPr>
          </w:p>
        </w:tc>
      </w:tr>
    </w:tbl>
    <w:p w14:paraId="40D08A9B">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注：表中所列业绩如与评分有关的，出具的相关资料需满足评审依据，否则不予得分。</w:t>
      </w:r>
    </w:p>
    <w:p w14:paraId="4CAF8035">
      <w:pPr>
        <w:jc w:val="center"/>
        <w:rPr>
          <w:rFonts w:hint="eastAsia" w:ascii="宋体" w:hAnsi="宋体" w:cs="宋体"/>
          <w:b/>
          <w:color w:val="auto"/>
          <w:sz w:val="32"/>
          <w:szCs w:val="32"/>
          <w:highlight w:val="none"/>
        </w:rPr>
      </w:pPr>
    </w:p>
    <w:p w14:paraId="3BA8F06E">
      <w:pPr>
        <w:spacing w:line="460" w:lineRule="exact"/>
        <w:rPr>
          <w:rFonts w:hint="eastAsia" w:ascii="宋体" w:hAnsi="宋体" w:cs="宋体"/>
          <w:b/>
          <w:bCs/>
          <w:color w:val="auto"/>
          <w:sz w:val="22"/>
          <w:highlight w:val="none"/>
        </w:rPr>
      </w:pPr>
    </w:p>
    <w:p w14:paraId="70962D5C">
      <w:pPr>
        <w:spacing w:line="460" w:lineRule="exact"/>
        <w:rPr>
          <w:rFonts w:hint="eastAsia" w:ascii="宋体" w:hAnsi="宋体" w:cs="宋体"/>
          <w:b/>
          <w:bCs/>
          <w:color w:val="auto"/>
          <w:sz w:val="22"/>
          <w:highlight w:val="none"/>
        </w:rPr>
      </w:pPr>
    </w:p>
    <w:p w14:paraId="73BF756C">
      <w:pPr>
        <w:spacing w:line="460" w:lineRule="exact"/>
        <w:rPr>
          <w:rFonts w:hint="eastAsia" w:ascii="宋体" w:hAnsi="宋体" w:cs="宋体"/>
          <w:b/>
          <w:bCs/>
          <w:color w:val="auto"/>
          <w:sz w:val="22"/>
          <w:highlight w:val="none"/>
        </w:rPr>
      </w:pPr>
    </w:p>
    <w:p w14:paraId="25786211">
      <w:pPr>
        <w:spacing w:line="360" w:lineRule="auto"/>
        <w:rPr>
          <w:rFonts w:hint="eastAsia" w:ascii="宋体" w:hAnsi="宋体" w:cs="宋体"/>
          <w:b/>
          <w:color w:val="auto"/>
          <w:szCs w:val="21"/>
          <w:highlight w:val="none"/>
        </w:rPr>
      </w:pPr>
    </w:p>
    <w:p w14:paraId="18427F7B">
      <w:pPr>
        <w:spacing w:line="360" w:lineRule="auto"/>
        <w:ind w:left="359" w:leftChars="171"/>
        <w:jc w:val="lef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供应商（盖章）：</w:t>
      </w:r>
    </w:p>
    <w:p w14:paraId="27AA7127">
      <w:pPr>
        <w:spacing w:line="360" w:lineRule="auto"/>
        <w:ind w:left="359" w:leftChars="171"/>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法定代表人或授权代表（签字）：</w:t>
      </w:r>
    </w:p>
    <w:p w14:paraId="14E483CE">
      <w:pPr>
        <w:spacing w:line="360" w:lineRule="auto"/>
        <w:ind w:left="359" w:leftChars="171"/>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日 期：  年  月  日</w:t>
      </w:r>
    </w:p>
    <w:p w14:paraId="683FA09C">
      <w:pPr>
        <w:spacing w:line="460" w:lineRule="exact"/>
        <w:rPr>
          <w:rFonts w:hint="eastAsia" w:ascii="宋体" w:hAnsi="宋体" w:cs="宋体"/>
          <w:b/>
          <w:bCs/>
          <w:color w:val="auto"/>
          <w:sz w:val="22"/>
          <w:highlight w:val="none"/>
        </w:rPr>
      </w:pPr>
    </w:p>
    <w:p w14:paraId="46254B41">
      <w:pPr>
        <w:spacing w:line="460" w:lineRule="exact"/>
        <w:rPr>
          <w:rFonts w:hint="eastAsia" w:ascii="宋体" w:hAnsi="宋体" w:cs="宋体"/>
          <w:b/>
          <w:bCs/>
          <w:color w:val="auto"/>
          <w:sz w:val="22"/>
          <w:highlight w:val="none"/>
        </w:rPr>
      </w:pPr>
    </w:p>
    <w:p w14:paraId="262748C1">
      <w:pPr>
        <w:spacing w:line="460" w:lineRule="exact"/>
        <w:rPr>
          <w:rFonts w:hint="eastAsia" w:ascii="宋体" w:hAnsi="宋体" w:cs="宋体"/>
          <w:b/>
          <w:bCs/>
          <w:color w:val="auto"/>
          <w:sz w:val="22"/>
          <w:highlight w:val="none"/>
        </w:rPr>
      </w:pPr>
    </w:p>
    <w:p w14:paraId="63CBC0C7">
      <w:pPr>
        <w:pStyle w:val="7"/>
        <w:jc w:val="both"/>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val="en-US" w:eastAsia="zh-CN"/>
        </w:rPr>
        <w:t>6</w:t>
      </w:r>
    </w:p>
    <w:p w14:paraId="15C5FB89">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偏离表</w:t>
      </w:r>
    </w:p>
    <w:p w14:paraId="39EBDD64">
      <w:pPr>
        <w:pStyle w:val="26"/>
        <w:ind w:firstLine="200"/>
        <w:rPr>
          <w:color w:val="auto"/>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710"/>
        <w:gridCol w:w="2775"/>
      </w:tblGrid>
      <w:tr w14:paraId="6315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vAlign w:val="center"/>
          </w:tcPr>
          <w:p w14:paraId="0EE05A6A">
            <w:pPr>
              <w:spacing w:before="156"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148" w:type="dxa"/>
            <w:tcBorders>
              <w:top w:val="single" w:color="auto" w:sz="4" w:space="0"/>
              <w:left w:val="single" w:color="auto" w:sz="4" w:space="0"/>
              <w:bottom w:val="single" w:color="auto" w:sz="4" w:space="0"/>
              <w:right w:val="single" w:color="auto" w:sz="4" w:space="0"/>
            </w:tcBorders>
            <w:vAlign w:val="center"/>
          </w:tcPr>
          <w:p w14:paraId="0B501AF0">
            <w:pPr>
              <w:spacing w:before="156"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vAlign w:val="center"/>
          </w:tcPr>
          <w:p w14:paraId="1B339835">
            <w:pPr>
              <w:spacing w:before="156"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竞争性磋商响应文件规范要求</w:t>
            </w:r>
          </w:p>
        </w:tc>
        <w:tc>
          <w:tcPr>
            <w:tcW w:w="1710" w:type="dxa"/>
            <w:tcBorders>
              <w:top w:val="single" w:color="auto" w:sz="4" w:space="0"/>
              <w:left w:val="single" w:color="auto" w:sz="4" w:space="0"/>
              <w:bottom w:val="single" w:color="auto" w:sz="4" w:space="0"/>
              <w:right w:val="single" w:color="auto" w:sz="4" w:space="0"/>
            </w:tcBorders>
            <w:vAlign w:val="center"/>
          </w:tcPr>
          <w:p w14:paraId="425A2C1A">
            <w:pPr>
              <w:spacing w:before="156"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响应文件对应规范</w:t>
            </w:r>
          </w:p>
        </w:tc>
        <w:tc>
          <w:tcPr>
            <w:tcW w:w="2775" w:type="dxa"/>
            <w:tcBorders>
              <w:top w:val="single" w:color="auto" w:sz="4" w:space="0"/>
              <w:left w:val="single" w:color="auto" w:sz="4" w:space="0"/>
              <w:bottom w:val="single" w:color="auto" w:sz="4" w:space="0"/>
              <w:right w:val="single" w:color="auto" w:sz="4" w:space="0"/>
            </w:tcBorders>
            <w:vAlign w:val="center"/>
          </w:tcPr>
          <w:p w14:paraId="452594C2">
            <w:pPr>
              <w:spacing w:before="156"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偏离情况</w:t>
            </w:r>
          </w:p>
        </w:tc>
      </w:tr>
      <w:tr w14:paraId="3348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060AFD2E">
            <w:pPr>
              <w:numPr>
                <w:ilvl w:val="0"/>
                <w:numId w:val="9"/>
              </w:numPr>
              <w:spacing w:before="156" w:line="360" w:lineRule="auto"/>
              <w:jc w:val="center"/>
              <w:rPr>
                <w:rFonts w:hint="eastAsia" w:ascii="宋体" w:hAnsi="宋体" w:cs="宋体"/>
                <w:color w:val="auto"/>
                <w:sz w:val="24"/>
                <w:highlight w:val="none"/>
              </w:rPr>
            </w:pPr>
          </w:p>
        </w:tc>
        <w:tc>
          <w:tcPr>
            <w:tcW w:w="2148" w:type="dxa"/>
            <w:tcBorders>
              <w:top w:val="single" w:color="auto" w:sz="4" w:space="0"/>
              <w:left w:val="single" w:color="auto" w:sz="4" w:space="0"/>
              <w:bottom w:val="single" w:color="auto" w:sz="4" w:space="0"/>
              <w:right w:val="single" w:color="auto" w:sz="4" w:space="0"/>
            </w:tcBorders>
          </w:tcPr>
          <w:p w14:paraId="7DE2DBED">
            <w:pPr>
              <w:spacing w:before="156" w:line="360" w:lineRule="auto"/>
              <w:ind w:firstLine="420" w:firstLineChars="200"/>
              <w:rPr>
                <w:rFonts w:hint="eastAsia" w:ascii="宋体" w:hAnsi="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tcPr>
          <w:p w14:paraId="3C12787A">
            <w:pPr>
              <w:spacing w:before="156" w:line="360" w:lineRule="auto"/>
              <w:ind w:firstLine="420" w:firstLineChars="200"/>
              <w:rPr>
                <w:rFonts w:hint="eastAsia" w:ascii="宋体"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tcPr>
          <w:p w14:paraId="48959629">
            <w:pPr>
              <w:spacing w:before="156" w:line="360" w:lineRule="auto"/>
              <w:ind w:firstLine="420" w:firstLineChars="200"/>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tcPr>
          <w:p w14:paraId="50604644">
            <w:pPr>
              <w:spacing w:before="156" w:line="360" w:lineRule="auto"/>
              <w:ind w:firstLine="420" w:firstLineChars="200"/>
              <w:rPr>
                <w:rFonts w:hint="eastAsia" w:ascii="宋体" w:hAnsi="宋体" w:cs="宋体"/>
                <w:color w:val="auto"/>
                <w:szCs w:val="21"/>
                <w:highlight w:val="none"/>
              </w:rPr>
            </w:pPr>
          </w:p>
        </w:tc>
      </w:tr>
      <w:tr w14:paraId="41F9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65979E02">
            <w:pPr>
              <w:numPr>
                <w:ilvl w:val="0"/>
                <w:numId w:val="9"/>
              </w:numPr>
              <w:spacing w:before="156" w:line="360" w:lineRule="auto"/>
              <w:jc w:val="center"/>
              <w:rPr>
                <w:rFonts w:hint="eastAsia" w:ascii="宋体" w:hAnsi="宋体" w:cs="宋体"/>
                <w:color w:val="auto"/>
                <w:sz w:val="24"/>
                <w:highlight w:val="none"/>
              </w:rPr>
            </w:pPr>
          </w:p>
        </w:tc>
        <w:tc>
          <w:tcPr>
            <w:tcW w:w="2148" w:type="dxa"/>
            <w:tcBorders>
              <w:top w:val="single" w:color="auto" w:sz="4" w:space="0"/>
              <w:left w:val="single" w:color="auto" w:sz="4" w:space="0"/>
              <w:bottom w:val="single" w:color="auto" w:sz="4" w:space="0"/>
              <w:right w:val="single" w:color="auto" w:sz="4" w:space="0"/>
            </w:tcBorders>
          </w:tcPr>
          <w:p w14:paraId="10F660C4">
            <w:pPr>
              <w:spacing w:before="156" w:line="360" w:lineRule="auto"/>
              <w:ind w:firstLine="420" w:firstLineChars="200"/>
              <w:rPr>
                <w:rFonts w:hint="eastAsia" w:ascii="宋体" w:hAnsi="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tcPr>
          <w:p w14:paraId="689ED0BA">
            <w:pPr>
              <w:spacing w:before="156" w:line="360" w:lineRule="auto"/>
              <w:ind w:firstLine="420" w:firstLineChars="200"/>
              <w:rPr>
                <w:rFonts w:hint="eastAsia" w:ascii="宋体"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tcPr>
          <w:p w14:paraId="3337D124">
            <w:pPr>
              <w:spacing w:before="156" w:line="360" w:lineRule="auto"/>
              <w:ind w:firstLine="420" w:firstLineChars="200"/>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tcPr>
          <w:p w14:paraId="4000E962">
            <w:pPr>
              <w:spacing w:before="156" w:line="360" w:lineRule="auto"/>
              <w:ind w:firstLine="420" w:firstLineChars="200"/>
              <w:rPr>
                <w:rFonts w:hint="eastAsia" w:ascii="宋体" w:hAnsi="宋体" w:cs="宋体"/>
                <w:color w:val="auto"/>
                <w:szCs w:val="21"/>
                <w:highlight w:val="none"/>
              </w:rPr>
            </w:pPr>
          </w:p>
        </w:tc>
      </w:tr>
      <w:tr w14:paraId="184B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53619EA4">
            <w:pPr>
              <w:numPr>
                <w:ilvl w:val="0"/>
                <w:numId w:val="9"/>
              </w:numPr>
              <w:spacing w:before="156" w:line="360" w:lineRule="auto"/>
              <w:jc w:val="center"/>
              <w:rPr>
                <w:rFonts w:hint="eastAsia" w:ascii="宋体" w:hAnsi="宋体" w:cs="宋体"/>
                <w:color w:val="auto"/>
                <w:sz w:val="24"/>
                <w:highlight w:val="none"/>
              </w:rPr>
            </w:pPr>
          </w:p>
        </w:tc>
        <w:tc>
          <w:tcPr>
            <w:tcW w:w="2148" w:type="dxa"/>
            <w:tcBorders>
              <w:top w:val="single" w:color="auto" w:sz="4" w:space="0"/>
              <w:left w:val="single" w:color="auto" w:sz="4" w:space="0"/>
              <w:bottom w:val="single" w:color="auto" w:sz="4" w:space="0"/>
              <w:right w:val="single" w:color="auto" w:sz="4" w:space="0"/>
            </w:tcBorders>
          </w:tcPr>
          <w:p w14:paraId="580BD92E">
            <w:pPr>
              <w:spacing w:before="156" w:line="360" w:lineRule="auto"/>
              <w:ind w:firstLine="420" w:firstLineChars="200"/>
              <w:rPr>
                <w:rFonts w:hint="eastAsia" w:ascii="宋体" w:hAnsi="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tcPr>
          <w:p w14:paraId="1912A205">
            <w:pPr>
              <w:spacing w:before="156" w:line="360" w:lineRule="auto"/>
              <w:ind w:firstLine="420" w:firstLineChars="200"/>
              <w:rPr>
                <w:rFonts w:hint="eastAsia" w:ascii="宋体"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tcPr>
          <w:p w14:paraId="74579E5D">
            <w:pPr>
              <w:spacing w:before="156" w:line="360" w:lineRule="auto"/>
              <w:ind w:firstLine="420" w:firstLineChars="200"/>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tcPr>
          <w:p w14:paraId="63687028">
            <w:pPr>
              <w:spacing w:before="156" w:line="360" w:lineRule="auto"/>
              <w:ind w:firstLine="420" w:firstLineChars="200"/>
              <w:rPr>
                <w:rFonts w:hint="eastAsia" w:ascii="宋体" w:hAnsi="宋体" w:cs="宋体"/>
                <w:color w:val="auto"/>
                <w:szCs w:val="21"/>
                <w:highlight w:val="none"/>
              </w:rPr>
            </w:pPr>
          </w:p>
        </w:tc>
      </w:tr>
      <w:tr w14:paraId="09BC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418F937C">
            <w:pPr>
              <w:numPr>
                <w:ilvl w:val="0"/>
                <w:numId w:val="9"/>
              </w:numPr>
              <w:spacing w:before="156" w:line="360" w:lineRule="auto"/>
              <w:jc w:val="center"/>
              <w:rPr>
                <w:rFonts w:hint="eastAsia" w:ascii="宋体" w:hAnsi="宋体" w:cs="宋体"/>
                <w:color w:val="auto"/>
                <w:sz w:val="24"/>
                <w:highlight w:val="none"/>
              </w:rPr>
            </w:pPr>
          </w:p>
        </w:tc>
        <w:tc>
          <w:tcPr>
            <w:tcW w:w="2148" w:type="dxa"/>
            <w:tcBorders>
              <w:top w:val="single" w:color="auto" w:sz="4" w:space="0"/>
              <w:left w:val="single" w:color="auto" w:sz="4" w:space="0"/>
              <w:bottom w:val="single" w:color="auto" w:sz="4" w:space="0"/>
              <w:right w:val="single" w:color="auto" w:sz="4" w:space="0"/>
            </w:tcBorders>
          </w:tcPr>
          <w:p w14:paraId="251D2F02">
            <w:pPr>
              <w:spacing w:before="156" w:line="360" w:lineRule="auto"/>
              <w:ind w:firstLine="420" w:firstLineChars="200"/>
              <w:rPr>
                <w:rFonts w:hint="eastAsia" w:ascii="宋体" w:hAnsi="宋体" w:cs="宋体"/>
                <w:color w:val="auto"/>
                <w:szCs w:val="21"/>
                <w:highlight w:val="none"/>
              </w:rPr>
            </w:pPr>
          </w:p>
        </w:tc>
        <w:tc>
          <w:tcPr>
            <w:tcW w:w="2040" w:type="dxa"/>
            <w:tcBorders>
              <w:top w:val="single" w:color="auto" w:sz="4" w:space="0"/>
              <w:left w:val="single" w:color="auto" w:sz="4" w:space="0"/>
              <w:bottom w:val="single" w:color="auto" w:sz="4" w:space="0"/>
              <w:right w:val="single" w:color="auto" w:sz="4" w:space="0"/>
            </w:tcBorders>
          </w:tcPr>
          <w:p w14:paraId="5E5FD696">
            <w:pPr>
              <w:spacing w:before="156" w:line="360" w:lineRule="auto"/>
              <w:ind w:firstLine="420" w:firstLineChars="200"/>
              <w:rPr>
                <w:rFonts w:hint="eastAsia" w:ascii="宋体"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tcPr>
          <w:p w14:paraId="6D0194A5">
            <w:pPr>
              <w:spacing w:before="156" w:line="360" w:lineRule="auto"/>
              <w:ind w:firstLine="420" w:firstLineChars="200"/>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tcPr>
          <w:p w14:paraId="3E7F4018">
            <w:pPr>
              <w:spacing w:before="156" w:line="360" w:lineRule="auto"/>
              <w:ind w:firstLine="420" w:firstLineChars="200"/>
              <w:rPr>
                <w:rFonts w:hint="eastAsia" w:ascii="宋体" w:hAnsi="宋体" w:cs="宋体"/>
                <w:color w:val="auto"/>
                <w:szCs w:val="21"/>
                <w:highlight w:val="none"/>
              </w:rPr>
            </w:pPr>
          </w:p>
        </w:tc>
      </w:tr>
    </w:tbl>
    <w:p w14:paraId="321281D5">
      <w:pPr>
        <w:spacing w:before="156"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注：对每个招标内容及要求的响应必须遵循如下规则：</w:t>
      </w:r>
    </w:p>
    <w:p w14:paraId="7C3350C7">
      <w:pPr>
        <w:numPr>
          <w:ilvl w:val="0"/>
          <w:numId w:val="10"/>
        </w:numPr>
        <w:spacing w:before="156"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偏离情况用“无偏离”、“负偏离”、“正偏离”三种之一来表明该功能或性能指标参数需求是否被满足。   </w:t>
      </w:r>
    </w:p>
    <w:p w14:paraId="4EE8DF1B">
      <w:pPr>
        <w:numPr>
          <w:ilvl w:val="0"/>
          <w:numId w:val="10"/>
        </w:numPr>
        <w:spacing w:before="156"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偏离表中仅填写与竞争性磋商响应文件要求有差异的条款，每一项在同一行一一对应，解释投标方案与用户需求之间的偏差；偏离表中仅填写条款内容但没有在同一行标明响应的，可能被认为是“未响应”，投标单位须承担此不利后果。</w:t>
      </w:r>
    </w:p>
    <w:p w14:paraId="4FFFE434">
      <w:pPr>
        <w:spacing w:before="156"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3.此表可在不改变格式的情况下自行制作。</w:t>
      </w:r>
    </w:p>
    <w:p w14:paraId="51111671">
      <w:pPr>
        <w:spacing w:line="360" w:lineRule="auto"/>
        <w:rPr>
          <w:rFonts w:hint="eastAsia" w:ascii="宋体" w:hAnsi="宋体" w:cs="宋体"/>
          <w:b/>
          <w:color w:val="auto"/>
          <w:szCs w:val="21"/>
          <w:highlight w:val="none"/>
        </w:rPr>
      </w:pPr>
    </w:p>
    <w:p w14:paraId="4D6DADB5">
      <w:pPr>
        <w:spacing w:line="360" w:lineRule="auto"/>
        <w:ind w:left="359" w:leftChars="171"/>
        <w:jc w:val="lef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供应商（盖章）：</w:t>
      </w:r>
    </w:p>
    <w:p w14:paraId="1F1D290E">
      <w:pPr>
        <w:spacing w:line="360" w:lineRule="auto"/>
        <w:ind w:left="359" w:leftChars="171"/>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法定代表人或授权代表（签字）：</w:t>
      </w:r>
    </w:p>
    <w:p w14:paraId="6CE006E1">
      <w:pPr>
        <w:spacing w:line="360" w:lineRule="auto"/>
        <w:ind w:left="359" w:leftChars="171"/>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日 期：  年  月  日</w:t>
      </w:r>
    </w:p>
    <w:p w14:paraId="0F931613">
      <w:pPr>
        <w:spacing w:line="460" w:lineRule="exact"/>
        <w:jc w:val="center"/>
        <w:rPr>
          <w:rFonts w:hint="eastAsia" w:ascii="宋体" w:hAnsi="宋体" w:cs="宋体"/>
          <w:b/>
          <w:bCs/>
          <w:color w:val="auto"/>
          <w:sz w:val="28"/>
          <w:szCs w:val="28"/>
          <w:highlight w:val="none"/>
        </w:rPr>
      </w:pPr>
    </w:p>
    <w:p w14:paraId="074CA517">
      <w:pPr>
        <w:spacing w:line="460" w:lineRule="exact"/>
        <w:jc w:val="center"/>
        <w:rPr>
          <w:rFonts w:hint="eastAsia" w:ascii="宋体" w:hAnsi="宋体" w:cs="宋体"/>
          <w:b/>
          <w:bCs/>
          <w:color w:val="auto"/>
          <w:sz w:val="28"/>
          <w:szCs w:val="28"/>
          <w:highlight w:val="none"/>
        </w:rPr>
      </w:pPr>
    </w:p>
    <w:p w14:paraId="7AB45FA0">
      <w:pPr>
        <w:spacing w:line="460" w:lineRule="exact"/>
        <w:jc w:val="center"/>
        <w:rPr>
          <w:rFonts w:hint="eastAsia" w:ascii="宋体" w:hAnsi="宋体" w:cs="宋体"/>
          <w:b/>
          <w:bCs/>
          <w:color w:val="auto"/>
          <w:sz w:val="28"/>
          <w:szCs w:val="28"/>
          <w:highlight w:val="none"/>
        </w:rPr>
      </w:pPr>
    </w:p>
    <w:p w14:paraId="13436D70">
      <w:pPr>
        <w:spacing w:line="460" w:lineRule="exact"/>
        <w:jc w:val="center"/>
        <w:rPr>
          <w:rFonts w:hint="eastAsia" w:ascii="宋体" w:hAnsi="宋体" w:cs="宋体"/>
          <w:b/>
          <w:bCs/>
          <w:color w:val="auto"/>
          <w:sz w:val="28"/>
          <w:szCs w:val="28"/>
          <w:highlight w:val="none"/>
        </w:rPr>
      </w:pPr>
    </w:p>
    <w:p w14:paraId="1ABAD3F7">
      <w:pPr>
        <w:spacing w:line="460" w:lineRule="exact"/>
        <w:jc w:val="center"/>
        <w:rPr>
          <w:rFonts w:hint="eastAsia" w:ascii="宋体" w:hAnsi="宋体" w:cs="宋体"/>
          <w:b/>
          <w:bCs/>
          <w:color w:val="auto"/>
          <w:sz w:val="28"/>
          <w:szCs w:val="28"/>
          <w:highlight w:val="none"/>
        </w:rPr>
      </w:pPr>
    </w:p>
    <w:p w14:paraId="77A86B3E">
      <w:pPr>
        <w:spacing w:line="460" w:lineRule="exact"/>
        <w:jc w:val="center"/>
        <w:rPr>
          <w:rFonts w:hint="eastAsia" w:ascii="宋体" w:hAnsi="宋体" w:cs="宋体"/>
          <w:b/>
          <w:bCs/>
          <w:color w:val="auto"/>
          <w:sz w:val="28"/>
          <w:szCs w:val="28"/>
          <w:highlight w:val="none"/>
        </w:rPr>
      </w:pPr>
    </w:p>
    <w:p w14:paraId="07C0C03D">
      <w:pPr>
        <w:spacing w:line="460" w:lineRule="exact"/>
        <w:jc w:val="center"/>
        <w:rPr>
          <w:rFonts w:hint="eastAsia" w:ascii="宋体" w:hAnsi="宋体" w:cs="宋体"/>
          <w:b/>
          <w:bCs/>
          <w:color w:val="auto"/>
          <w:sz w:val="28"/>
          <w:szCs w:val="28"/>
          <w:highlight w:val="none"/>
        </w:rPr>
      </w:pPr>
    </w:p>
    <w:p w14:paraId="1B3B5024">
      <w:pPr>
        <w:spacing w:line="460" w:lineRule="exact"/>
        <w:rPr>
          <w:rFonts w:hint="eastAsia" w:ascii="宋体" w:hAnsi="宋体" w:cs="宋体"/>
          <w:b/>
          <w:bCs/>
          <w:color w:val="auto"/>
          <w:sz w:val="28"/>
          <w:szCs w:val="28"/>
          <w:highlight w:val="none"/>
        </w:rPr>
      </w:pPr>
    </w:p>
    <w:p w14:paraId="68EC9229">
      <w:pPr>
        <w:pStyle w:val="7"/>
        <w:jc w:val="both"/>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val="en-US" w:eastAsia="zh-CN"/>
        </w:rPr>
        <w:t>7</w:t>
      </w:r>
    </w:p>
    <w:p w14:paraId="6AAE7CED">
      <w:pPr>
        <w:widowControl/>
        <w:spacing w:line="420" w:lineRule="atLeast"/>
        <w:jc w:val="cente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t>项目负责人资格情况表</w:t>
      </w:r>
    </w:p>
    <w:p w14:paraId="197ECEB8">
      <w:pPr>
        <w:pStyle w:val="26"/>
        <w:ind w:firstLine="200"/>
        <w:rPr>
          <w:color w:val="auto"/>
          <w:highlight w:val="none"/>
        </w:rPr>
      </w:pPr>
    </w:p>
    <w:tbl>
      <w:tblPr>
        <w:tblStyle w:val="53"/>
        <w:tblW w:w="0" w:type="auto"/>
        <w:tblInd w:w="0" w:type="dxa"/>
        <w:tblLayout w:type="fixed"/>
        <w:tblCellMar>
          <w:top w:w="0" w:type="dxa"/>
          <w:left w:w="0" w:type="dxa"/>
          <w:bottom w:w="0" w:type="dxa"/>
          <w:right w:w="0" w:type="dxa"/>
        </w:tblCellMar>
      </w:tblPr>
      <w:tblGrid>
        <w:gridCol w:w="1500"/>
        <w:gridCol w:w="1820"/>
        <w:gridCol w:w="1580"/>
        <w:gridCol w:w="1740"/>
        <w:gridCol w:w="1440"/>
        <w:gridCol w:w="1600"/>
      </w:tblGrid>
      <w:tr w14:paraId="443C8A84">
        <w:tblPrEx>
          <w:tblCellMar>
            <w:top w:w="0" w:type="dxa"/>
            <w:left w:w="0" w:type="dxa"/>
            <w:bottom w:w="0" w:type="dxa"/>
            <w:right w:w="0" w:type="dxa"/>
          </w:tblCellMar>
        </w:tblPrEx>
        <w:trPr>
          <w:trHeight w:val="426" w:hRule="atLeast"/>
        </w:trPr>
        <w:tc>
          <w:tcPr>
            <w:tcW w:w="9680" w:type="dxa"/>
            <w:gridSpan w:val="6"/>
            <w:tcBorders>
              <w:top w:val="single" w:color="auto" w:sz="8" w:space="0"/>
              <w:left w:val="single" w:color="auto" w:sz="8" w:space="0"/>
              <w:right w:val="single" w:color="auto" w:sz="8" w:space="0"/>
            </w:tcBorders>
            <w:vAlign w:val="center"/>
          </w:tcPr>
          <w:p w14:paraId="614E26FF">
            <w:pPr>
              <w:spacing w:line="239" w:lineRule="exact"/>
              <w:jc w:val="center"/>
              <w:rPr>
                <w:rFonts w:hint="eastAsia" w:ascii="宋体" w:hAnsi="宋体"/>
                <w:color w:val="auto"/>
                <w:highlight w:val="none"/>
              </w:rPr>
            </w:pPr>
          </w:p>
          <w:p w14:paraId="28833B6A">
            <w:pPr>
              <w:spacing w:line="0" w:lineRule="atLeast"/>
              <w:jc w:val="center"/>
              <w:rPr>
                <w:color w:val="auto"/>
                <w:sz w:val="24"/>
                <w:highlight w:val="none"/>
              </w:rPr>
            </w:pPr>
            <w:r>
              <w:rPr>
                <w:rFonts w:ascii="宋体" w:hAnsi="宋体"/>
                <w:color w:val="auto"/>
                <w:highlight w:val="none"/>
              </w:rPr>
              <w:t>1、一般情况</w:t>
            </w:r>
          </w:p>
        </w:tc>
      </w:tr>
      <w:tr w14:paraId="3E33E733">
        <w:tblPrEx>
          <w:tblCellMar>
            <w:top w:w="0" w:type="dxa"/>
            <w:left w:w="0" w:type="dxa"/>
            <w:bottom w:w="0" w:type="dxa"/>
            <w:right w:w="0" w:type="dxa"/>
          </w:tblCellMar>
        </w:tblPrEx>
        <w:trPr>
          <w:trHeight w:val="404" w:hRule="atLeast"/>
        </w:trPr>
        <w:tc>
          <w:tcPr>
            <w:tcW w:w="1500" w:type="dxa"/>
            <w:tcBorders>
              <w:top w:val="single" w:color="auto" w:sz="8" w:space="0"/>
              <w:left w:val="single" w:color="auto" w:sz="8" w:space="0"/>
              <w:bottom w:val="single" w:color="auto" w:sz="8" w:space="0"/>
              <w:right w:val="single" w:color="auto" w:sz="4" w:space="0"/>
            </w:tcBorders>
            <w:vAlign w:val="center"/>
          </w:tcPr>
          <w:p w14:paraId="37E99F97">
            <w:pPr>
              <w:spacing w:line="239" w:lineRule="exact"/>
              <w:ind w:left="160"/>
              <w:jc w:val="center"/>
              <w:rPr>
                <w:rFonts w:hint="eastAsia" w:ascii="宋体" w:hAnsi="宋体"/>
                <w:color w:val="auto"/>
                <w:highlight w:val="none"/>
              </w:rPr>
            </w:pPr>
            <w:r>
              <w:rPr>
                <w:rFonts w:hint="eastAsia" w:ascii="宋体" w:hAnsi="宋体"/>
                <w:color w:val="auto"/>
                <w:highlight w:val="none"/>
              </w:rPr>
              <w:t>姓名</w:t>
            </w:r>
          </w:p>
        </w:tc>
        <w:tc>
          <w:tcPr>
            <w:tcW w:w="1820" w:type="dxa"/>
            <w:tcBorders>
              <w:top w:val="single" w:color="auto" w:sz="8" w:space="0"/>
              <w:left w:val="single" w:color="auto" w:sz="4" w:space="0"/>
              <w:bottom w:val="single" w:color="auto" w:sz="8" w:space="0"/>
              <w:right w:val="single" w:color="auto" w:sz="8" w:space="0"/>
            </w:tcBorders>
            <w:vAlign w:val="center"/>
          </w:tcPr>
          <w:p w14:paraId="0DDD9555">
            <w:pPr>
              <w:spacing w:line="0" w:lineRule="atLeast"/>
              <w:jc w:val="center"/>
              <w:rPr>
                <w:color w:val="auto"/>
                <w:sz w:val="24"/>
                <w:highlight w:val="none"/>
              </w:rPr>
            </w:pPr>
          </w:p>
        </w:tc>
        <w:tc>
          <w:tcPr>
            <w:tcW w:w="1580" w:type="dxa"/>
            <w:tcBorders>
              <w:top w:val="single" w:color="auto" w:sz="8" w:space="0"/>
              <w:left w:val="single" w:color="auto" w:sz="8" w:space="0"/>
              <w:bottom w:val="single" w:color="auto" w:sz="8" w:space="0"/>
              <w:right w:val="single" w:color="auto" w:sz="8" w:space="0"/>
            </w:tcBorders>
            <w:vAlign w:val="center"/>
          </w:tcPr>
          <w:p w14:paraId="2CE0FCD3">
            <w:pPr>
              <w:spacing w:line="239" w:lineRule="exact"/>
              <w:jc w:val="center"/>
              <w:rPr>
                <w:rFonts w:hint="eastAsia" w:ascii="宋体" w:hAnsi="宋体"/>
                <w:color w:val="auto"/>
                <w:highlight w:val="none"/>
              </w:rPr>
            </w:pPr>
            <w:r>
              <w:rPr>
                <w:rFonts w:ascii="宋体" w:hAnsi="宋体"/>
                <w:color w:val="auto"/>
                <w:highlight w:val="none"/>
              </w:rPr>
              <w:t>年龄</w:t>
            </w:r>
          </w:p>
        </w:tc>
        <w:tc>
          <w:tcPr>
            <w:tcW w:w="1740" w:type="dxa"/>
            <w:tcBorders>
              <w:top w:val="single" w:color="auto" w:sz="8" w:space="0"/>
              <w:left w:val="single" w:color="auto" w:sz="8" w:space="0"/>
              <w:bottom w:val="single" w:color="auto" w:sz="8" w:space="0"/>
              <w:right w:val="single" w:color="auto" w:sz="8" w:space="0"/>
            </w:tcBorders>
            <w:vAlign w:val="center"/>
          </w:tcPr>
          <w:p w14:paraId="7D4A709A">
            <w:pPr>
              <w:spacing w:line="0" w:lineRule="atLeast"/>
              <w:jc w:val="center"/>
              <w:rPr>
                <w:color w:val="auto"/>
                <w:sz w:val="24"/>
                <w:highlight w:val="none"/>
              </w:rPr>
            </w:pPr>
          </w:p>
        </w:tc>
        <w:tc>
          <w:tcPr>
            <w:tcW w:w="1440" w:type="dxa"/>
            <w:tcBorders>
              <w:top w:val="single" w:color="auto" w:sz="8" w:space="0"/>
              <w:left w:val="single" w:color="auto" w:sz="8" w:space="0"/>
              <w:bottom w:val="single" w:color="auto" w:sz="8" w:space="0"/>
              <w:right w:val="single" w:color="auto" w:sz="8" w:space="0"/>
            </w:tcBorders>
            <w:vAlign w:val="center"/>
          </w:tcPr>
          <w:p w14:paraId="221C790A">
            <w:pPr>
              <w:spacing w:line="239" w:lineRule="exact"/>
              <w:jc w:val="center"/>
              <w:rPr>
                <w:rFonts w:hint="eastAsia" w:ascii="宋体" w:hAnsi="宋体"/>
                <w:color w:val="auto"/>
                <w:highlight w:val="none"/>
              </w:rPr>
            </w:pPr>
            <w:r>
              <w:rPr>
                <w:rFonts w:ascii="宋体" w:hAnsi="宋体"/>
                <w:color w:val="auto"/>
                <w:highlight w:val="none"/>
              </w:rPr>
              <w:t>学历</w:t>
            </w:r>
          </w:p>
        </w:tc>
        <w:tc>
          <w:tcPr>
            <w:tcW w:w="1600" w:type="dxa"/>
            <w:tcBorders>
              <w:top w:val="single" w:color="auto" w:sz="8" w:space="0"/>
              <w:left w:val="single" w:color="auto" w:sz="8" w:space="0"/>
              <w:bottom w:val="single" w:color="auto" w:sz="8" w:space="0"/>
              <w:right w:val="single" w:color="auto" w:sz="8" w:space="0"/>
            </w:tcBorders>
            <w:vAlign w:val="center"/>
          </w:tcPr>
          <w:p w14:paraId="39A89356">
            <w:pPr>
              <w:spacing w:line="0" w:lineRule="atLeast"/>
              <w:jc w:val="center"/>
              <w:rPr>
                <w:color w:val="auto"/>
                <w:sz w:val="24"/>
                <w:highlight w:val="none"/>
              </w:rPr>
            </w:pPr>
          </w:p>
        </w:tc>
      </w:tr>
      <w:tr w14:paraId="79066DE7">
        <w:tblPrEx>
          <w:tblCellMar>
            <w:top w:w="0" w:type="dxa"/>
            <w:left w:w="0" w:type="dxa"/>
            <w:bottom w:w="0" w:type="dxa"/>
            <w:right w:w="0" w:type="dxa"/>
          </w:tblCellMar>
        </w:tblPrEx>
        <w:trPr>
          <w:trHeight w:val="404" w:hRule="atLeast"/>
        </w:trPr>
        <w:tc>
          <w:tcPr>
            <w:tcW w:w="1500" w:type="dxa"/>
            <w:tcBorders>
              <w:top w:val="single" w:color="auto" w:sz="8" w:space="0"/>
              <w:left w:val="single" w:color="auto" w:sz="8" w:space="0"/>
              <w:bottom w:val="single" w:color="auto" w:sz="8" w:space="0"/>
              <w:right w:val="single" w:color="auto" w:sz="8" w:space="0"/>
            </w:tcBorders>
            <w:vAlign w:val="center"/>
          </w:tcPr>
          <w:p w14:paraId="6233786B">
            <w:pPr>
              <w:spacing w:line="239" w:lineRule="exact"/>
              <w:jc w:val="center"/>
              <w:rPr>
                <w:rFonts w:hint="eastAsia" w:ascii="宋体" w:hAnsi="宋体"/>
                <w:color w:val="auto"/>
                <w:w w:val="99"/>
                <w:highlight w:val="none"/>
              </w:rPr>
            </w:pPr>
            <w:r>
              <w:rPr>
                <w:rFonts w:ascii="宋体" w:hAnsi="宋体"/>
                <w:color w:val="auto"/>
                <w:w w:val="99"/>
                <w:highlight w:val="none"/>
              </w:rPr>
              <w:t>毕业学校</w:t>
            </w:r>
          </w:p>
        </w:tc>
        <w:tc>
          <w:tcPr>
            <w:tcW w:w="1820" w:type="dxa"/>
            <w:tcBorders>
              <w:top w:val="single" w:color="auto" w:sz="8" w:space="0"/>
              <w:left w:val="single" w:color="auto" w:sz="8" w:space="0"/>
              <w:bottom w:val="single" w:color="auto" w:sz="8" w:space="0"/>
              <w:right w:val="single" w:color="auto" w:sz="8" w:space="0"/>
            </w:tcBorders>
            <w:vAlign w:val="center"/>
          </w:tcPr>
          <w:p w14:paraId="407030FD">
            <w:pPr>
              <w:spacing w:line="0" w:lineRule="atLeast"/>
              <w:jc w:val="center"/>
              <w:rPr>
                <w:color w:val="auto"/>
                <w:sz w:val="24"/>
                <w:highlight w:val="none"/>
              </w:rPr>
            </w:pPr>
          </w:p>
        </w:tc>
        <w:tc>
          <w:tcPr>
            <w:tcW w:w="1580" w:type="dxa"/>
            <w:tcBorders>
              <w:top w:val="single" w:color="auto" w:sz="8" w:space="0"/>
              <w:left w:val="single" w:color="auto" w:sz="8" w:space="0"/>
              <w:bottom w:val="single" w:color="auto" w:sz="8" w:space="0"/>
              <w:right w:val="single" w:color="auto" w:sz="8" w:space="0"/>
            </w:tcBorders>
            <w:vAlign w:val="center"/>
          </w:tcPr>
          <w:p w14:paraId="6B9318AA">
            <w:pPr>
              <w:spacing w:line="239" w:lineRule="exact"/>
              <w:jc w:val="center"/>
              <w:rPr>
                <w:rFonts w:hint="eastAsia" w:ascii="宋体" w:hAnsi="宋体"/>
                <w:color w:val="auto"/>
                <w:highlight w:val="none"/>
              </w:rPr>
            </w:pPr>
            <w:r>
              <w:rPr>
                <w:rFonts w:ascii="宋体" w:hAnsi="宋体"/>
                <w:color w:val="auto"/>
                <w:highlight w:val="none"/>
              </w:rPr>
              <w:t>专业</w:t>
            </w:r>
          </w:p>
        </w:tc>
        <w:tc>
          <w:tcPr>
            <w:tcW w:w="1740" w:type="dxa"/>
            <w:tcBorders>
              <w:top w:val="single" w:color="auto" w:sz="8" w:space="0"/>
              <w:left w:val="single" w:color="auto" w:sz="8" w:space="0"/>
              <w:bottom w:val="single" w:color="auto" w:sz="8" w:space="0"/>
              <w:right w:val="single" w:color="auto" w:sz="8" w:space="0"/>
            </w:tcBorders>
            <w:vAlign w:val="center"/>
          </w:tcPr>
          <w:p w14:paraId="7702F5EA">
            <w:pPr>
              <w:spacing w:line="0" w:lineRule="atLeast"/>
              <w:jc w:val="center"/>
              <w:rPr>
                <w:color w:val="auto"/>
                <w:sz w:val="24"/>
                <w:highlight w:val="none"/>
              </w:rPr>
            </w:pPr>
          </w:p>
        </w:tc>
        <w:tc>
          <w:tcPr>
            <w:tcW w:w="1440" w:type="dxa"/>
            <w:tcBorders>
              <w:top w:val="single" w:color="auto" w:sz="8" w:space="0"/>
              <w:left w:val="single" w:color="auto" w:sz="8" w:space="0"/>
              <w:bottom w:val="single" w:color="auto" w:sz="8" w:space="0"/>
              <w:right w:val="single" w:color="auto" w:sz="8" w:space="0"/>
            </w:tcBorders>
            <w:vAlign w:val="center"/>
          </w:tcPr>
          <w:p w14:paraId="7672C7DF">
            <w:pPr>
              <w:spacing w:line="239" w:lineRule="exact"/>
              <w:jc w:val="center"/>
              <w:rPr>
                <w:rFonts w:hint="eastAsia" w:ascii="宋体" w:hAnsi="宋体"/>
                <w:color w:val="auto"/>
                <w:highlight w:val="none"/>
              </w:rPr>
            </w:pPr>
            <w:r>
              <w:rPr>
                <w:rFonts w:ascii="宋体" w:hAnsi="宋体"/>
                <w:color w:val="auto"/>
                <w:highlight w:val="none"/>
              </w:rPr>
              <w:t>职务</w:t>
            </w:r>
          </w:p>
        </w:tc>
        <w:tc>
          <w:tcPr>
            <w:tcW w:w="1600" w:type="dxa"/>
            <w:tcBorders>
              <w:top w:val="single" w:color="auto" w:sz="8" w:space="0"/>
              <w:left w:val="single" w:color="auto" w:sz="8" w:space="0"/>
              <w:bottom w:val="single" w:color="auto" w:sz="8" w:space="0"/>
              <w:right w:val="single" w:color="auto" w:sz="8" w:space="0"/>
            </w:tcBorders>
            <w:vAlign w:val="center"/>
          </w:tcPr>
          <w:p w14:paraId="4C696625">
            <w:pPr>
              <w:spacing w:line="0" w:lineRule="atLeast"/>
              <w:jc w:val="center"/>
              <w:rPr>
                <w:color w:val="auto"/>
                <w:sz w:val="24"/>
                <w:highlight w:val="none"/>
              </w:rPr>
            </w:pPr>
          </w:p>
        </w:tc>
      </w:tr>
      <w:tr w14:paraId="66F1B7D2">
        <w:tblPrEx>
          <w:tblCellMar>
            <w:top w:w="0" w:type="dxa"/>
            <w:left w:w="0" w:type="dxa"/>
            <w:bottom w:w="0" w:type="dxa"/>
            <w:right w:w="0" w:type="dxa"/>
          </w:tblCellMar>
        </w:tblPrEx>
        <w:trPr>
          <w:trHeight w:val="553" w:hRule="atLeast"/>
        </w:trPr>
        <w:tc>
          <w:tcPr>
            <w:tcW w:w="1500" w:type="dxa"/>
            <w:tcBorders>
              <w:top w:val="single" w:color="auto" w:sz="8" w:space="0"/>
              <w:left w:val="single" w:color="auto" w:sz="8" w:space="0"/>
              <w:right w:val="single" w:color="auto" w:sz="8" w:space="0"/>
            </w:tcBorders>
            <w:vAlign w:val="center"/>
          </w:tcPr>
          <w:p w14:paraId="3C818F18">
            <w:pPr>
              <w:spacing w:line="239" w:lineRule="exact"/>
              <w:jc w:val="center"/>
              <w:rPr>
                <w:rFonts w:hint="eastAsia" w:ascii="宋体" w:hAnsi="宋体"/>
                <w:color w:val="auto"/>
                <w:highlight w:val="none"/>
              </w:rPr>
            </w:pPr>
            <w:r>
              <w:rPr>
                <w:rFonts w:ascii="宋体" w:hAnsi="宋体"/>
                <w:color w:val="auto"/>
                <w:highlight w:val="none"/>
              </w:rPr>
              <w:t>职称</w:t>
            </w:r>
          </w:p>
          <w:p w14:paraId="6BE11037">
            <w:pPr>
              <w:spacing w:line="239" w:lineRule="exact"/>
              <w:jc w:val="center"/>
              <w:rPr>
                <w:rFonts w:hint="eastAsia" w:ascii="宋体" w:hAnsi="宋体"/>
                <w:color w:val="auto"/>
                <w:highlight w:val="none"/>
              </w:rPr>
            </w:pPr>
            <w:r>
              <w:rPr>
                <w:rFonts w:ascii="宋体" w:hAnsi="宋体"/>
                <w:color w:val="auto"/>
                <w:highlight w:val="none"/>
              </w:rPr>
              <w:t>（或学位）</w:t>
            </w:r>
          </w:p>
        </w:tc>
        <w:tc>
          <w:tcPr>
            <w:tcW w:w="1820" w:type="dxa"/>
            <w:tcBorders>
              <w:top w:val="single" w:color="auto" w:sz="8" w:space="0"/>
              <w:left w:val="single" w:color="auto" w:sz="8" w:space="0"/>
              <w:right w:val="single" w:color="auto" w:sz="8" w:space="0"/>
            </w:tcBorders>
            <w:vAlign w:val="center"/>
          </w:tcPr>
          <w:p w14:paraId="60BE1D40">
            <w:pPr>
              <w:spacing w:line="0" w:lineRule="atLeast"/>
              <w:jc w:val="center"/>
              <w:rPr>
                <w:color w:val="auto"/>
                <w:sz w:val="22"/>
                <w:highlight w:val="none"/>
              </w:rPr>
            </w:pPr>
          </w:p>
        </w:tc>
        <w:tc>
          <w:tcPr>
            <w:tcW w:w="1580" w:type="dxa"/>
            <w:tcBorders>
              <w:top w:val="single" w:color="auto" w:sz="8" w:space="0"/>
              <w:left w:val="single" w:color="auto" w:sz="8" w:space="0"/>
              <w:right w:val="single" w:color="auto" w:sz="8" w:space="0"/>
            </w:tcBorders>
            <w:vAlign w:val="center"/>
          </w:tcPr>
          <w:p w14:paraId="33CC521B">
            <w:pPr>
              <w:spacing w:line="239" w:lineRule="exact"/>
              <w:jc w:val="center"/>
              <w:rPr>
                <w:rFonts w:hint="eastAsia" w:ascii="宋体" w:hAnsi="宋体"/>
                <w:color w:val="auto"/>
                <w:highlight w:val="none"/>
              </w:rPr>
            </w:pPr>
            <w:r>
              <w:rPr>
                <w:rFonts w:ascii="宋体" w:hAnsi="宋体"/>
                <w:color w:val="auto"/>
                <w:highlight w:val="none"/>
              </w:rPr>
              <w:t>拟任何职</w:t>
            </w:r>
          </w:p>
        </w:tc>
        <w:tc>
          <w:tcPr>
            <w:tcW w:w="1740" w:type="dxa"/>
            <w:tcBorders>
              <w:top w:val="single" w:color="auto" w:sz="8" w:space="0"/>
              <w:left w:val="single" w:color="auto" w:sz="8" w:space="0"/>
              <w:right w:val="single" w:color="auto" w:sz="8" w:space="0"/>
            </w:tcBorders>
            <w:vAlign w:val="center"/>
          </w:tcPr>
          <w:p w14:paraId="4179A5F4">
            <w:pPr>
              <w:spacing w:line="0" w:lineRule="atLeast"/>
              <w:jc w:val="center"/>
              <w:rPr>
                <w:color w:val="auto"/>
                <w:sz w:val="22"/>
                <w:highlight w:val="none"/>
              </w:rPr>
            </w:pPr>
          </w:p>
        </w:tc>
        <w:tc>
          <w:tcPr>
            <w:tcW w:w="1440" w:type="dxa"/>
            <w:tcBorders>
              <w:top w:val="single" w:color="auto" w:sz="8" w:space="0"/>
              <w:left w:val="single" w:color="auto" w:sz="8" w:space="0"/>
              <w:right w:val="single" w:color="auto" w:sz="8" w:space="0"/>
            </w:tcBorders>
            <w:vAlign w:val="center"/>
          </w:tcPr>
          <w:p w14:paraId="07252550">
            <w:pPr>
              <w:spacing w:line="239" w:lineRule="exact"/>
              <w:jc w:val="center"/>
              <w:rPr>
                <w:rFonts w:hint="eastAsia" w:ascii="宋体" w:hAnsi="宋体"/>
                <w:color w:val="auto"/>
                <w:w w:val="99"/>
                <w:highlight w:val="none"/>
              </w:rPr>
            </w:pPr>
            <w:r>
              <w:rPr>
                <w:rFonts w:ascii="宋体" w:hAnsi="宋体"/>
                <w:color w:val="auto"/>
                <w:w w:val="99"/>
                <w:highlight w:val="none"/>
              </w:rPr>
              <w:t>参加工作时间</w:t>
            </w:r>
          </w:p>
        </w:tc>
        <w:tc>
          <w:tcPr>
            <w:tcW w:w="1600" w:type="dxa"/>
            <w:tcBorders>
              <w:top w:val="single" w:color="auto" w:sz="8" w:space="0"/>
              <w:left w:val="single" w:color="auto" w:sz="8" w:space="0"/>
              <w:bottom w:val="single" w:color="auto" w:sz="8" w:space="0"/>
              <w:right w:val="single" w:color="auto" w:sz="8" w:space="0"/>
            </w:tcBorders>
            <w:vAlign w:val="center"/>
          </w:tcPr>
          <w:p w14:paraId="3D78A12F">
            <w:pPr>
              <w:spacing w:line="0" w:lineRule="atLeast"/>
              <w:jc w:val="center"/>
              <w:rPr>
                <w:color w:val="auto"/>
                <w:sz w:val="22"/>
                <w:highlight w:val="none"/>
              </w:rPr>
            </w:pPr>
          </w:p>
        </w:tc>
      </w:tr>
      <w:tr w14:paraId="2898EB30">
        <w:tblPrEx>
          <w:tblCellMar>
            <w:top w:w="0" w:type="dxa"/>
            <w:left w:w="0" w:type="dxa"/>
            <w:bottom w:w="0" w:type="dxa"/>
            <w:right w:w="0" w:type="dxa"/>
          </w:tblCellMar>
        </w:tblPrEx>
        <w:trPr>
          <w:trHeight w:val="412" w:hRule="atLeast"/>
        </w:trPr>
        <w:tc>
          <w:tcPr>
            <w:tcW w:w="9680" w:type="dxa"/>
            <w:gridSpan w:val="6"/>
            <w:tcBorders>
              <w:top w:val="single" w:color="auto" w:sz="8" w:space="0"/>
              <w:left w:val="single" w:color="auto" w:sz="8" w:space="0"/>
              <w:bottom w:val="single" w:color="auto" w:sz="8" w:space="0"/>
              <w:right w:val="single" w:color="auto" w:sz="8" w:space="0"/>
            </w:tcBorders>
            <w:vAlign w:val="center"/>
          </w:tcPr>
          <w:p w14:paraId="139DDFB3">
            <w:pPr>
              <w:spacing w:line="0" w:lineRule="atLeast"/>
              <w:jc w:val="center"/>
              <w:rPr>
                <w:color w:val="auto"/>
                <w:sz w:val="24"/>
                <w:highlight w:val="none"/>
              </w:rPr>
            </w:pPr>
            <w:r>
              <w:rPr>
                <w:rFonts w:ascii="宋体" w:hAnsi="宋体"/>
                <w:color w:val="auto"/>
                <w:highlight w:val="none"/>
              </w:rPr>
              <w:t>2、个人简历</w:t>
            </w:r>
          </w:p>
        </w:tc>
      </w:tr>
      <w:tr w14:paraId="68AED1C5">
        <w:tblPrEx>
          <w:tblCellMar>
            <w:top w:w="0" w:type="dxa"/>
            <w:left w:w="0" w:type="dxa"/>
            <w:bottom w:w="0" w:type="dxa"/>
            <w:right w:w="0" w:type="dxa"/>
          </w:tblCellMar>
        </w:tblPrEx>
        <w:trPr>
          <w:trHeight w:val="404" w:hRule="atLeast"/>
        </w:trPr>
        <w:tc>
          <w:tcPr>
            <w:tcW w:w="1500" w:type="dxa"/>
            <w:tcBorders>
              <w:top w:val="single" w:color="auto" w:sz="8" w:space="0"/>
              <w:left w:val="single" w:color="auto" w:sz="8" w:space="0"/>
              <w:bottom w:val="single" w:color="auto" w:sz="8" w:space="0"/>
              <w:right w:val="single" w:color="auto" w:sz="8" w:space="0"/>
            </w:tcBorders>
            <w:vAlign w:val="center"/>
          </w:tcPr>
          <w:p w14:paraId="05526605">
            <w:pPr>
              <w:spacing w:line="239" w:lineRule="exact"/>
              <w:ind w:left="440"/>
              <w:jc w:val="center"/>
              <w:rPr>
                <w:rFonts w:hint="eastAsia" w:ascii="宋体" w:hAnsi="宋体"/>
                <w:color w:val="auto"/>
                <w:highlight w:val="none"/>
              </w:rPr>
            </w:pPr>
            <w:r>
              <w:rPr>
                <w:rFonts w:ascii="宋体" w:hAnsi="宋体"/>
                <w:color w:val="auto"/>
                <w:highlight w:val="none"/>
              </w:rPr>
              <w:t>时间</w:t>
            </w:r>
          </w:p>
        </w:tc>
        <w:tc>
          <w:tcPr>
            <w:tcW w:w="8180" w:type="dxa"/>
            <w:gridSpan w:val="5"/>
            <w:tcBorders>
              <w:top w:val="single" w:color="auto" w:sz="8" w:space="0"/>
              <w:left w:val="single" w:color="auto" w:sz="8" w:space="0"/>
              <w:bottom w:val="single" w:color="auto" w:sz="8" w:space="0"/>
              <w:right w:val="single" w:color="auto" w:sz="8" w:space="0"/>
            </w:tcBorders>
            <w:vAlign w:val="center"/>
          </w:tcPr>
          <w:p w14:paraId="3545267B">
            <w:pPr>
              <w:spacing w:line="0" w:lineRule="atLeast"/>
              <w:jc w:val="center"/>
              <w:rPr>
                <w:color w:val="auto"/>
                <w:sz w:val="24"/>
                <w:highlight w:val="none"/>
              </w:rPr>
            </w:pPr>
            <w:r>
              <w:rPr>
                <w:rFonts w:ascii="宋体" w:hAnsi="宋体"/>
                <w:color w:val="auto"/>
                <w:highlight w:val="none"/>
              </w:rPr>
              <w:t>专业工作经历</w:t>
            </w:r>
          </w:p>
        </w:tc>
      </w:tr>
      <w:tr w14:paraId="12513C3C">
        <w:tblPrEx>
          <w:tblCellMar>
            <w:top w:w="0" w:type="dxa"/>
            <w:left w:w="0" w:type="dxa"/>
            <w:bottom w:w="0" w:type="dxa"/>
            <w:right w:w="0" w:type="dxa"/>
          </w:tblCellMar>
        </w:tblPrEx>
        <w:trPr>
          <w:trHeight w:val="546" w:hRule="atLeast"/>
        </w:trPr>
        <w:tc>
          <w:tcPr>
            <w:tcW w:w="1500" w:type="dxa"/>
            <w:tcBorders>
              <w:top w:val="single" w:color="auto" w:sz="8" w:space="0"/>
              <w:left w:val="single" w:color="auto" w:sz="8" w:space="0"/>
              <w:bottom w:val="single" w:color="auto" w:sz="8" w:space="0"/>
              <w:right w:val="single" w:color="auto" w:sz="8" w:space="0"/>
            </w:tcBorders>
            <w:vAlign w:val="center"/>
          </w:tcPr>
          <w:p w14:paraId="1F7E6EF9">
            <w:pPr>
              <w:spacing w:line="0" w:lineRule="atLeast"/>
              <w:jc w:val="center"/>
              <w:rPr>
                <w:color w:val="auto"/>
                <w:sz w:val="24"/>
                <w:highlight w:val="none"/>
              </w:rPr>
            </w:pPr>
          </w:p>
        </w:tc>
        <w:tc>
          <w:tcPr>
            <w:tcW w:w="8180" w:type="dxa"/>
            <w:gridSpan w:val="5"/>
            <w:tcBorders>
              <w:top w:val="single" w:color="auto" w:sz="8" w:space="0"/>
              <w:left w:val="single" w:color="auto" w:sz="8" w:space="0"/>
              <w:bottom w:val="single" w:color="auto" w:sz="8" w:space="0"/>
              <w:right w:val="single" w:color="auto" w:sz="8" w:space="0"/>
            </w:tcBorders>
            <w:vAlign w:val="center"/>
          </w:tcPr>
          <w:p w14:paraId="61EFEF1A">
            <w:pPr>
              <w:spacing w:line="0" w:lineRule="atLeast"/>
              <w:jc w:val="center"/>
              <w:rPr>
                <w:color w:val="auto"/>
                <w:sz w:val="24"/>
                <w:highlight w:val="none"/>
              </w:rPr>
            </w:pPr>
          </w:p>
        </w:tc>
      </w:tr>
      <w:tr w14:paraId="779398FF">
        <w:tblPrEx>
          <w:tblCellMar>
            <w:top w:w="0" w:type="dxa"/>
            <w:left w:w="0" w:type="dxa"/>
            <w:bottom w:w="0" w:type="dxa"/>
            <w:right w:w="0" w:type="dxa"/>
          </w:tblCellMar>
        </w:tblPrEx>
        <w:trPr>
          <w:trHeight w:val="546" w:hRule="atLeast"/>
        </w:trPr>
        <w:tc>
          <w:tcPr>
            <w:tcW w:w="1500" w:type="dxa"/>
            <w:tcBorders>
              <w:top w:val="single" w:color="auto" w:sz="8" w:space="0"/>
              <w:left w:val="single" w:color="auto" w:sz="8" w:space="0"/>
              <w:bottom w:val="single" w:color="auto" w:sz="8" w:space="0"/>
              <w:right w:val="single" w:color="auto" w:sz="8" w:space="0"/>
            </w:tcBorders>
            <w:vAlign w:val="center"/>
          </w:tcPr>
          <w:p w14:paraId="68F03B00">
            <w:pPr>
              <w:spacing w:line="0" w:lineRule="atLeast"/>
              <w:jc w:val="center"/>
              <w:rPr>
                <w:color w:val="auto"/>
                <w:sz w:val="24"/>
                <w:highlight w:val="none"/>
              </w:rPr>
            </w:pPr>
          </w:p>
        </w:tc>
        <w:tc>
          <w:tcPr>
            <w:tcW w:w="8180" w:type="dxa"/>
            <w:gridSpan w:val="5"/>
            <w:tcBorders>
              <w:top w:val="single" w:color="auto" w:sz="8" w:space="0"/>
              <w:left w:val="single" w:color="auto" w:sz="8" w:space="0"/>
              <w:bottom w:val="single" w:color="auto" w:sz="8" w:space="0"/>
              <w:right w:val="single" w:color="auto" w:sz="8" w:space="0"/>
            </w:tcBorders>
            <w:vAlign w:val="center"/>
          </w:tcPr>
          <w:p w14:paraId="41F5BBB9">
            <w:pPr>
              <w:spacing w:line="0" w:lineRule="atLeast"/>
              <w:jc w:val="center"/>
              <w:rPr>
                <w:color w:val="auto"/>
                <w:sz w:val="24"/>
                <w:highlight w:val="none"/>
              </w:rPr>
            </w:pPr>
          </w:p>
        </w:tc>
      </w:tr>
    </w:tbl>
    <w:p w14:paraId="5691A0C0">
      <w:pPr>
        <w:spacing w:line="182" w:lineRule="exact"/>
        <w:rPr>
          <w:rFonts w:eastAsia="Times New Roman"/>
          <w:color w:val="auto"/>
          <w:highlight w:val="none"/>
        </w:rPr>
      </w:pPr>
    </w:p>
    <w:p w14:paraId="3D106E1C">
      <w:pPr>
        <w:spacing w:line="128" w:lineRule="exact"/>
        <w:rPr>
          <w:rFonts w:eastAsia="Times New Roman"/>
          <w:color w:val="auto"/>
          <w:highlight w:val="none"/>
        </w:rPr>
      </w:pPr>
    </w:p>
    <w:p w14:paraId="233D81B3">
      <w:pPr>
        <w:spacing w:line="429" w:lineRule="auto"/>
        <w:ind w:right="40" w:firstLine="420" w:firstLineChars="200"/>
        <w:rPr>
          <w:rFonts w:hint="eastAsia" w:ascii="宋体" w:hAnsi="宋体" w:cs="宋体"/>
          <w:color w:val="auto"/>
          <w:sz w:val="24"/>
          <w:highlight w:val="none"/>
        </w:rPr>
      </w:pPr>
      <w:r>
        <w:rPr>
          <w:rFonts w:ascii="宋体" w:hAnsi="宋体"/>
          <w:color w:val="auto"/>
          <w:highlight w:val="none"/>
        </w:rPr>
        <w:t>注：</w:t>
      </w:r>
      <w:r>
        <w:rPr>
          <w:rFonts w:hint="eastAsia" w:ascii="宋体" w:hAnsi="宋体" w:cs="宋体"/>
          <w:color w:val="auto"/>
          <w:sz w:val="24"/>
          <w:highlight w:val="none"/>
        </w:rPr>
        <w:t>1、项目负责人作为本项目联系人不得变更，必须随时听从采购单位指派，如确需变更则需经采购单位同意后方可变更。</w:t>
      </w:r>
    </w:p>
    <w:p w14:paraId="12B211EA">
      <w:pPr>
        <w:spacing w:line="429" w:lineRule="auto"/>
        <w:ind w:right="40" w:firstLine="960" w:firstLineChars="400"/>
        <w:rPr>
          <w:rFonts w:hint="eastAsia" w:ascii="宋体" w:hAnsi="宋体" w:cs="宋体"/>
          <w:color w:val="auto"/>
          <w:sz w:val="24"/>
          <w:highlight w:val="none"/>
        </w:rPr>
      </w:pPr>
      <w:r>
        <w:rPr>
          <w:rFonts w:hint="eastAsia" w:ascii="宋体" w:hAnsi="宋体" w:cs="宋体"/>
          <w:color w:val="auto"/>
          <w:sz w:val="24"/>
          <w:highlight w:val="none"/>
        </w:rPr>
        <w:t>2、表后需附拟派项目负责人的相关证书等复印件。</w:t>
      </w:r>
    </w:p>
    <w:p w14:paraId="2103FA33">
      <w:pPr>
        <w:spacing w:line="360" w:lineRule="auto"/>
        <w:ind w:left="359" w:leftChars="171"/>
        <w:jc w:val="left"/>
        <w:rPr>
          <w:rFonts w:hint="eastAsia" w:ascii="宋体" w:hAnsi="宋体" w:cs="宋体"/>
          <w:color w:val="auto"/>
          <w:szCs w:val="21"/>
          <w:highlight w:val="none"/>
        </w:rPr>
      </w:pPr>
    </w:p>
    <w:p w14:paraId="3383F94D">
      <w:pPr>
        <w:spacing w:line="360" w:lineRule="auto"/>
        <w:ind w:left="359" w:leftChars="171"/>
        <w:jc w:val="left"/>
        <w:rPr>
          <w:rFonts w:hint="eastAsia" w:ascii="宋体" w:hAnsi="宋体" w:cs="宋体"/>
          <w:color w:val="auto"/>
          <w:szCs w:val="21"/>
          <w:highlight w:val="none"/>
        </w:rPr>
      </w:pPr>
    </w:p>
    <w:p w14:paraId="4B7EA95B">
      <w:pPr>
        <w:rPr>
          <w:rFonts w:hint="eastAsia" w:ascii="宋体" w:hAnsi="宋体"/>
          <w:b/>
          <w:color w:val="auto"/>
          <w:szCs w:val="21"/>
          <w:highlight w:val="none"/>
        </w:rPr>
      </w:pPr>
      <w:r>
        <w:rPr>
          <w:rFonts w:hint="eastAsia" w:ascii="宋体" w:hAnsi="宋体" w:cs="宋体"/>
          <w:color w:val="auto"/>
          <w:szCs w:val="21"/>
          <w:highlight w:val="none"/>
        </w:rPr>
        <w:t xml:space="preserve">    </w:t>
      </w:r>
      <w:r>
        <w:rPr>
          <w:rFonts w:hint="eastAsia" w:ascii="宋体" w:hAnsi="宋体"/>
          <w:b/>
          <w:color w:val="auto"/>
          <w:szCs w:val="21"/>
          <w:highlight w:val="none"/>
        </w:rPr>
        <w:t>磋商供应商名称（加盖公章）：</w:t>
      </w:r>
    </w:p>
    <w:p w14:paraId="32156D2D">
      <w:pPr>
        <w:spacing w:line="360" w:lineRule="auto"/>
        <w:ind w:left="359" w:leftChars="171"/>
        <w:jc w:val="left"/>
        <w:rPr>
          <w:rFonts w:hint="eastAsia" w:ascii="宋体" w:hAnsi="宋体"/>
          <w:b/>
          <w:color w:val="auto"/>
          <w:szCs w:val="21"/>
          <w:highlight w:val="none"/>
        </w:rPr>
      </w:pPr>
      <w:r>
        <w:rPr>
          <w:rFonts w:ascii="宋体" w:hAnsi="宋体"/>
          <w:b/>
          <w:color w:val="auto"/>
          <w:szCs w:val="21"/>
          <w:highlight w:val="none"/>
        </w:rPr>
        <w:t xml:space="preserve">              </w:t>
      </w:r>
    </w:p>
    <w:p w14:paraId="0937F215">
      <w:pPr>
        <w:spacing w:line="320" w:lineRule="exact"/>
        <w:ind w:firstLine="480"/>
        <w:rPr>
          <w:rFonts w:hint="eastAsia" w:ascii="宋体" w:hAnsi="宋体"/>
          <w:b/>
          <w:color w:val="auto"/>
          <w:szCs w:val="21"/>
          <w:highlight w:val="none"/>
        </w:rPr>
      </w:pPr>
      <w:r>
        <w:rPr>
          <w:rFonts w:hint="eastAsia" w:ascii="宋体" w:hAnsi="宋体"/>
          <w:b/>
          <w:color w:val="auto"/>
          <w:szCs w:val="21"/>
          <w:highlight w:val="none"/>
        </w:rPr>
        <w:t xml:space="preserve">法定代表人或授权代表（签字或盖章）： </w:t>
      </w:r>
    </w:p>
    <w:p w14:paraId="10FE9778">
      <w:pPr>
        <w:spacing w:line="320" w:lineRule="exact"/>
        <w:ind w:firstLine="480"/>
        <w:rPr>
          <w:rFonts w:hint="eastAsia" w:ascii="宋体" w:hAnsi="宋体"/>
          <w:b/>
          <w:color w:val="auto"/>
          <w:szCs w:val="21"/>
          <w:highlight w:val="none"/>
        </w:rPr>
      </w:pPr>
    </w:p>
    <w:p w14:paraId="28803856">
      <w:pPr>
        <w:spacing w:line="320" w:lineRule="exact"/>
        <w:ind w:firstLine="480"/>
        <w:rPr>
          <w:rFonts w:ascii="楷体_GB2312" w:eastAsia="楷体_GB2312"/>
          <w:b/>
          <w:bCs/>
          <w:color w:val="auto"/>
          <w:sz w:val="28"/>
          <w:szCs w:val="28"/>
          <w:highlight w:val="none"/>
        </w:rPr>
      </w:pPr>
      <w:r>
        <w:rPr>
          <w:rFonts w:hint="eastAsia" w:ascii="宋体" w:hAnsi="宋体"/>
          <w:b/>
          <w:color w:val="auto"/>
          <w:kern w:val="0"/>
          <w:szCs w:val="21"/>
          <w:highlight w:val="none"/>
        </w:rPr>
        <w:t>日    期：</w:t>
      </w:r>
      <w:r>
        <w:rPr>
          <w:rFonts w:hint="eastAsia" w:ascii="宋体" w:hAnsi="宋体"/>
          <w:b/>
          <w:color w:val="auto"/>
          <w:kern w:val="0"/>
          <w:szCs w:val="21"/>
          <w:highlight w:val="none"/>
          <w:u w:val="single"/>
        </w:rPr>
        <w:t xml:space="preserve">                                    </w:t>
      </w:r>
    </w:p>
    <w:p w14:paraId="137BCF35">
      <w:pPr>
        <w:pStyle w:val="49"/>
        <w:widowControl w:val="0"/>
        <w:spacing w:line="390" w:lineRule="atLeast"/>
        <w:rPr>
          <w:rFonts w:hint="eastAsia" w:ascii="_x000B__x000C_" w:hAnsi="_x000B__x000C_"/>
          <w:b/>
          <w:color w:val="auto"/>
          <w:sz w:val="32"/>
          <w:szCs w:val="32"/>
          <w:highlight w:val="none"/>
        </w:rPr>
      </w:pPr>
    </w:p>
    <w:p w14:paraId="166C90BE">
      <w:pPr>
        <w:pStyle w:val="2"/>
        <w:ind w:firstLine="400"/>
        <w:rPr>
          <w:color w:val="auto"/>
          <w:highlight w:val="none"/>
        </w:rPr>
        <w:sectPr>
          <w:pgSz w:w="11906" w:h="16838"/>
          <w:pgMar w:top="1474" w:right="1134" w:bottom="1134" w:left="1361" w:header="851" w:footer="851" w:gutter="0"/>
          <w:cols w:space="720" w:num="1"/>
          <w:docGrid w:linePitch="312" w:charSpace="0"/>
        </w:sectPr>
      </w:pPr>
    </w:p>
    <w:p w14:paraId="014826B5">
      <w:pP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8</w:t>
      </w:r>
    </w:p>
    <w:p w14:paraId="2F2D21D3">
      <w:pPr>
        <w:pStyle w:val="31"/>
        <w:tabs>
          <w:tab w:val="left" w:pos="900"/>
        </w:tabs>
        <w:snapToGrid w:val="0"/>
        <w:spacing w:before="120" w:after="120"/>
        <w:ind w:left="480"/>
        <w:jc w:val="center"/>
        <w:rPr>
          <w:rFonts w:hint="eastAsia" w:ascii="_x000B__x000C_" w:hAnsi="_x000B__x000C_"/>
          <w:b/>
          <w:color w:val="auto"/>
          <w:sz w:val="32"/>
          <w:szCs w:val="32"/>
          <w:highlight w:val="none"/>
        </w:rPr>
      </w:pPr>
      <w:r>
        <w:rPr>
          <w:rFonts w:hint="eastAsia" w:ascii="_x000B__x000C_" w:hAnsi="_x000B__x000C_"/>
          <w:b/>
          <w:color w:val="auto"/>
          <w:sz w:val="32"/>
          <w:szCs w:val="32"/>
          <w:highlight w:val="none"/>
        </w:rPr>
        <w:t>拟派项目人员组成表</w:t>
      </w:r>
    </w:p>
    <w:p w14:paraId="6C239B69">
      <w:pPr>
        <w:snapToGrid w:val="0"/>
        <w:spacing w:line="360" w:lineRule="exact"/>
        <w:rPr>
          <w:rFonts w:hint="eastAsia"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bCs/>
          <w:color w:val="auto"/>
          <w:sz w:val="24"/>
          <w:szCs w:val="20"/>
          <w:highlight w:val="none"/>
        </w:rPr>
        <w:t xml:space="preserve">     </w:t>
      </w:r>
    </w:p>
    <w:p w14:paraId="5D005CBA">
      <w:pPr>
        <w:snapToGrid w:val="0"/>
        <w:spacing w:line="360" w:lineRule="exact"/>
        <w:rPr>
          <w:rFonts w:hint="eastAsia" w:ascii="宋体" w:hAnsi="宋体"/>
          <w:bCs/>
          <w:color w:val="auto"/>
          <w:sz w:val="24"/>
          <w:highlight w:val="none"/>
        </w:rPr>
      </w:pPr>
      <w:r>
        <w:rPr>
          <w:rFonts w:hint="eastAsia" w:ascii="宋体" w:hAnsi="宋体"/>
          <w:bCs/>
          <w:color w:val="auto"/>
          <w:sz w:val="24"/>
          <w:highlight w:val="none"/>
        </w:rPr>
        <w:t>项目编号：</w:t>
      </w:r>
    </w:p>
    <w:p w14:paraId="38611F59">
      <w:pPr>
        <w:snapToGrid w:val="0"/>
        <w:spacing w:line="360" w:lineRule="exact"/>
        <w:rPr>
          <w:rFonts w:hint="eastAsia" w:ascii="宋体" w:hAnsi="宋体"/>
          <w:bCs/>
          <w:color w:val="auto"/>
          <w:sz w:val="24"/>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72"/>
        <w:gridCol w:w="1663"/>
        <w:gridCol w:w="1802"/>
        <w:gridCol w:w="3238"/>
      </w:tblGrid>
      <w:tr w14:paraId="7356F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30452E97">
            <w:pPr>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姓名</w:t>
            </w:r>
          </w:p>
        </w:tc>
        <w:tc>
          <w:tcPr>
            <w:tcW w:w="1372" w:type="dxa"/>
            <w:tcBorders>
              <w:top w:val="single" w:color="auto" w:sz="4" w:space="0"/>
              <w:left w:val="single" w:color="auto" w:sz="4" w:space="0"/>
              <w:bottom w:val="single" w:color="auto" w:sz="4" w:space="0"/>
              <w:right w:val="single" w:color="auto" w:sz="4" w:space="0"/>
            </w:tcBorders>
            <w:vAlign w:val="center"/>
          </w:tcPr>
          <w:p w14:paraId="51180598">
            <w:pPr>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E8C3302">
            <w:pPr>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年龄</w:t>
            </w:r>
          </w:p>
        </w:tc>
        <w:tc>
          <w:tcPr>
            <w:tcW w:w="1802" w:type="dxa"/>
            <w:tcBorders>
              <w:top w:val="single" w:color="auto" w:sz="4" w:space="0"/>
              <w:left w:val="single" w:color="auto" w:sz="4" w:space="0"/>
              <w:bottom w:val="single" w:color="auto" w:sz="4" w:space="0"/>
              <w:right w:val="single" w:color="auto" w:sz="4" w:space="0"/>
            </w:tcBorders>
            <w:vAlign w:val="center"/>
          </w:tcPr>
          <w:p w14:paraId="678AC291">
            <w:pPr>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3238" w:type="dxa"/>
            <w:tcBorders>
              <w:top w:val="single" w:color="auto" w:sz="4" w:space="0"/>
              <w:left w:val="single" w:color="auto" w:sz="4" w:space="0"/>
              <w:bottom w:val="single" w:color="auto" w:sz="4" w:space="0"/>
              <w:right w:val="single" w:color="auto" w:sz="4" w:space="0"/>
            </w:tcBorders>
            <w:vAlign w:val="center"/>
          </w:tcPr>
          <w:p w14:paraId="2EF19592">
            <w:pPr>
              <w:snapToGrid w:val="0"/>
              <w:spacing w:line="360" w:lineRule="exact"/>
              <w:jc w:val="center"/>
              <w:rPr>
                <w:rFonts w:hint="eastAsia" w:ascii="宋体" w:hAnsi="宋体"/>
                <w:bCs/>
                <w:color w:val="auto"/>
                <w:sz w:val="24"/>
                <w:highlight w:val="none"/>
              </w:rPr>
            </w:pPr>
            <w:r>
              <w:rPr>
                <w:rFonts w:hint="eastAsia" w:ascii="宋体" w:hAnsi="宋体"/>
                <w:bCs/>
                <w:color w:val="auto"/>
                <w:sz w:val="24"/>
                <w:highlight w:val="none"/>
              </w:rPr>
              <w:t>参加本单位工作时间</w:t>
            </w:r>
          </w:p>
        </w:tc>
      </w:tr>
      <w:tr w14:paraId="30FEB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FB2ADF5">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08C405D">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8F84635">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25656564">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19544A80">
            <w:pPr>
              <w:snapToGrid w:val="0"/>
              <w:spacing w:line="360" w:lineRule="exact"/>
              <w:rPr>
                <w:rFonts w:hint="eastAsia" w:ascii="宋体" w:hAnsi="宋体"/>
                <w:color w:val="auto"/>
                <w:sz w:val="24"/>
                <w:highlight w:val="none"/>
              </w:rPr>
            </w:pPr>
          </w:p>
        </w:tc>
      </w:tr>
      <w:tr w14:paraId="39427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A3356E0">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015D47EE">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50CECEE">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462F0227">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0B09FA24">
            <w:pPr>
              <w:snapToGrid w:val="0"/>
              <w:spacing w:line="360" w:lineRule="exact"/>
              <w:rPr>
                <w:rFonts w:hint="eastAsia" w:ascii="宋体" w:hAnsi="宋体"/>
                <w:color w:val="auto"/>
                <w:sz w:val="24"/>
                <w:highlight w:val="none"/>
              </w:rPr>
            </w:pPr>
          </w:p>
        </w:tc>
      </w:tr>
      <w:tr w14:paraId="4E0EF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891D0B0">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3D9F642">
            <w:pPr>
              <w:pStyle w:val="33"/>
              <w:snapToGrid w:val="0"/>
              <w:spacing w:line="360" w:lineRule="exact"/>
              <w:ind w:left="5250"/>
              <w:rPr>
                <w:rFonts w:hint="eastAsia"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C98A781">
            <w:pPr>
              <w:pStyle w:val="33"/>
              <w:snapToGrid w:val="0"/>
              <w:spacing w:line="360" w:lineRule="exact"/>
              <w:ind w:left="5250"/>
              <w:rPr>
                <w:rFonts w:hint="eastAsia" w:hAnsi="宋体"/>
                <w:color w:val="auto"/>
                <w:sz w:val="24"/>
                <w:szCs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329DAC01">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0748AADE">
            <w:pPr>
              <w:snapToGrid w:val="0"/>
              <w:spacing w:line="360" w:lineRule="exact"/>
              <w:rPr>
                <w:rFonts w:hint="eastAsia" w:ascii="宋体" w:hAnsi="宋体"/>
                <w:color w:val="auto"/>
                <w:sz w:val="24"/>
                <w:highlight w:val="none"/>
              </w:rPr>
            </w:pPr>
          </w:p>
        </w:tc>
      </w:tr>
      <w:tr w14:paraId="473E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B6D795B">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7CAD5BBC">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B0B1104">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279493AF">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4CE57982">
            <w:pPr>
              <w:snapToGrid w:val="0"/>
              <w:spacing w:line="360" w:lineRule="exact"/>
              <w:rPr>
                <w:rFonts w:hint="eastAsia" w:ascii="宋体" w:hAnsi="宋体"/>
                <w:color w:val="auto"/>
                <w:sz w:val="24"/>
                <w:highlight w:val="none"/>
              </w:rPr>
            </w:pPr>
          </w:p>
        </w:tc>
      </w:tr>
      <w:tr w14:paraId="3C698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F976147">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A2DA573">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3B71A64">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10175F5E">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7CAA9F27">
            <w:pPr>
              <w:snapToGrid w:val="0"/>
              <w:spacing w:line="360" w:lineRule="exact"/>
              <w:rPr>
                <w:rFonts w:hint="eastAsia" w:ascii="宋体" w:hAnsi="宋体"/>
                <w:color w:val="auto"/>
                <w:sz w:val="24"/>
                <w:highlight w:val="none"/>
              </w:rPr>
            </w:pPr>
          </w:p>
        </w:tc>
      </w:tr>
      <w:tr w14:paraId="67763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0335043">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27372842">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E399D3F">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0359FC87">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202A5BF8">
            <w:pPr>
              <w:snapToGrid w:val="0"/>
              <w:spacing w:line="360" w:lineRule="exact"/>
              <w:rPr>
                <w:rFonts w:hint="eastAsia" w:ascii="宋体" w:hAnsi="宋体"/>
                <w:color w:val="auto"/>
                <w:sz w:val="24"/>
                <w:highlight w:val="none"/>
              </w:rPr>
            </w:pPr>
          </w:p>
        </w:tc>
      </w:tr>
      <w:tr w14:paraId="4C93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1AAA949">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2E6EF73">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8067266">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63164018">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049D5BE4">
            <w:pPr>
              <w:snapToGrid w:val="0"/>
              <w:spacing w:line="360" w:lineRule="exact"/>
              <w:rPr>
                <w:rFonts w:hint="eastAsia" w:ascii="宋体" w:hAnsi="宋体"/>
                <w:color w:val="auto"/>
                <w:sz w:val="24"/>
                <w:highlight w:val="none"/>
              </w:rPr>
            </w:pPr>
          </w:p>
        </w:tc>
      </w:tr>
      <w:tr w14:paraId="5749D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A3234D4">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03706B1E">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82BD70C">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4BC0769D">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08FD9325">
            <w:pPr>
              <w:snapToGrid w:val="0"/>
              <w:spacing w:line="360" w:lineRule="exact"/>
              <w:rPr>
                <w:rFonts w:hint="eastAsia" w:ascii="宋体" w:hAnsi="宋体"/>
                <w:color w:val="auto"/>
                <w:sz w:val="24"/>
                <w:highlight w:val="none"/>
              </w:rPr>
            </w:pPr>
          </w:p>
        </w:tc>
      </w:tr>
      <w:tr w14:paraId="43E67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C04601E">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74D0C090">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39495ED">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5923ACD7">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3E6B634B">
            <w:pPr>
              <w:snapToGrid w:val="0"/>
              <w:spacing w:line="360" w:lineRule="exact"/>
              <w:rPr>
                <w:rFonts w:hint="eastAsia" w:ascii="宋体" w:hAnsi="宋体"/>
                <w:color w:val="auto"/>
                <w:sz w:val="24"/>
                <w:highlight w:val="none"/>
              </w:rPr>
            </w:pPr>
          </w:p>
        </w:tc>
      </w:tr>
      <w:tr w14:paraId="7647F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7CA1273">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0000B1C8">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8493184">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3E255AB8">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050A3585">
            <w:pPr>
              <w:snapToGrid w:val="0"/>
              <w:spacing w:line="360" w:lineRule="exact"/>
              <w:rPr>
                <w:rFonts w:hint="eastAsia" w:ascii="宋体" w:hAnsi="宋体"/>
                <w:color w:val="auto"/>
                <w:sz w:val="24"/>
                <w:highlight w:val="none"/>
              </w:rPr>
            </w:pPr>
          </w:p>
        </w:tc>
      </w:tr>
      <w:tr w14:paraId="232E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3AB00D5">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099F7F5">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3D6FF72">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3F6D3DF5">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7AA0376A">
            <w:pPr>
              <w:snapToGrid w:val="0"/>
              <w:spacing w:line="360" w:lineRule="exact"/>
              <w:rPr>
                <w:rFonts w:hint="eastAsia" w:ascii="宋体" w:hAnsi="宋体"/>
                <w:color w:val="auto"/>
                <w:sz w:val="24"/>
                <w:highlight w:val="none"/>
              </w:rPr>
            </w:pPr>
          </w:p>
        </w:tc>
      </w:tr>
      <w:tr w14:paraId="4AF9B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212013B">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3F32F249">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9462E4">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6285AD7A">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16F7C2DB">
            <w:pPr>
              <w:snapToGrid w:val="0"/>
              <w:spacing w:line="360" w:lineRule="exact"/>
              <w:rPr>
                <w:rFonts w:hint="eastAsia" w:ascii="宋体" w:hAnsi="宋体"/>
                <w:color w:val="auto"/>
                <w:sz w:val="24"/>
                <w:highlight w:val="none"/>
              </w:rPr>
            </w:pPr>
          </w:p>
        </w:tc>
      </w:tr>
      <w:tr w14:paraId="28B9C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2EE0767">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B0026EE">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95AFCCF">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3A608AF4">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78B3C70D">
            <w:pPr>
              <w:snapToGrid w:val="0"/>
              <w:spacing w:line="360" w:lineRule="exact"/>
              <w:rPr>
                <w:rFonts w:hint="eastAsia" w:ascii="宋体" w:hAnsi="宋体"/>
                <w:color w:val="auto"/>
                <w:sz w:val="24"/>
                <w:highlight w:val="none"/>
              </w:rPr>
            </w:pPr>
          </w:p>
        </w:tc>
      </w:tr>
      <w:tr w14:paraId="0D45E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C0EADA6">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65485EBB">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E08E685">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490DE50C">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5151BBAD">
            <w:pPr>
              <w:snapToGrid w:val="0"/>
              <w:spacing w:line="360" w:lineRule="exact"/>
              <w:rPr>
                <w:rFonts w:hint="eastAsia" w:ascii="宋体" w:hAnsi="宋体"/>
                <w:color w:val="auto"/>
                <w:sz w:val="24"/>
                <w:highlight w:val="none"/>
              </w:rPr>
            </w:pPr>
          </w:p>
        </w:tc>
      </w:tr>
      <w:tr w14:paraId="4413E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31F426">
            <w:pPr>
              <w:snapToGrid w:val="0"/>
              <w:spacing w:line="360" w:lineRule="exact"/>
              <w:rPr>
                <w:rFonts w:hint="eastAsia" w:ascii="宋体" w:hAnsi="宋体"/>
                <w:color w:val="auto"/>
                <w:sz w:val="24"/>
                <w:highlight w:val="none"/>
              </w:rPr>
            </w:pPr>
          </w:p>
        </w:tc>
        <w:tc>
          <w:tcPr>
            <w:tcW w:w="1372" w:type="dxa"/>
            <w:tcBorders>
              <w:top w:val="single" w:color="auto" w:sz="4" w:space="0"/>
              <w:left w:val="single" w:color="auto" w:sz="4" w:space="0"/>
              <w:bottom w:val="single" w:color="auto" w:sz="4" w:space="0"/>
              <w:right w:val="single" w:color="auto" w:sz="4" w:space="0"/>
            </w:tcBorders>
          </w:tcPr>
          <w:p w14:paraId="5EC75BA2">
            <w:pPr>
              <w:snapToGrid w:val="0"/>
              <w:spacing w:line="360" w:lineRule="exact"/>
              <w:rPr>
                <w:rFonts w:hint="eastAsia" w:ascii="宋体" w:hAns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411925">
            <w:pPr>
              <w:snapToGrid w:val="0"/>
              <w:spacing w:line="360" w:lineRule="exact"/>
              <w:rPr>
                <w:rFonts w:hint="eastAsia" w:ascii="宋体" w:hAnsi="宋体"/>
                <w:color w:val="auto"/>
                <w:sz w:val="24"/>
                <w:highlight w:val="none"/>
              </w:rPr>
            </w:pPr>
          </w:p>
        </w:tc>
        <w:tc>
          <w:tcPr>
            <w:tcW w:w="1802" w:type="dxa"/>
            <w:tcBorders>
              <w:top w:val="single" w:color="auto" w:sz="4" w:space="0"/>
              <w:left w:val="single" w:color="auto" w:sz="4" w:space="0"/>
              <w:bottom w:val="single" w:color="auto" w:sz="4" w:space="0"/>
              <w:right w:val="single" w:color="auto" w:sz="4" w:space="0"/>
            </w:tcBorders>
          </w:tcPr>
          <w:p w14:paraId="27602BEC">
            <w:pPr>
              <w:snapToGrid w:val="0"/>
              <w:spacing w:line="360" w:lineRule="exact"/>
              <w:rPr>
                <w:rFonts w:hint="eastAsia" w:ascii="宋体" w:hAnsi="宋体"/>
                <w:color w:val="auto"/>
                <w:sz w:val="24"/>
                <w:highlight w:val="none"/>
              </w:rPr>
            </w:pPr>
          </w:p>
        </w:tc>
        <w:tc>
          <w:tcPr>
            <w:tcW w:w="3238" w:type="dxa"/>
            <w:tcBorders>
              <w:top w:val="single" w:color="auto" w:sz="4" w:space="0"/>
              <w:left w:val="single" w:color="auto" w:sz="4" w:space="0"/>
              <w:bottom w:val="single" w:color="auto" w:sz="4" w:space="0"/>
              <w:right w:val="single" w:color="auto" w:sz="4" w:space="0"/>
            </w:tcBorders>
          </w:tcPr>
          <w:p w14:paraId="396BAECA">
            <w:pPr>
              <w:snapToGrid w:val="0"/>
              <w:spacing w:line="360" w:lineRule="exact"/>
              <w:rPr>
                <w:rFonts w:hint="eastAsia" w:ascii="宋体" w:hAnsi="宋体"/>
                <w:color w:val="auto"/>
                <w:sz w:val="24"/>
                <w:highlight w:val="none"/>
              </w:rPr>
            </w:pPr>
          </w:p>
        </w:tc>
      </w:tr>
    </w:tbl>
    <w:p w14:paraId="506A95B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注：1、此表在不改变表式的情况下，可自行制作。</w:t>
      </w:r>
    </w:p>
    <w:p w14:paraId="45F6A3D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2、在本表后附人员的相关证书等复印件。</w:t>
      </w:r>
    </w:p>
    <w:p w14:paraId="61AEA61E">
      <w:pPr>
        <w:spacing w:line="480" w:lineRule="exact"/>
        <w:rPr>
          <w:rFonts w:hint="eastAsia" w:ascii="宋体" w:hAnsi="宋体" w:cs="宋体"/>
          <w:b/>
          <w:bCs/>
          <w:color w:val="auto"/>
          <w:sz w:val="24"/>
          <w:highlight w:val="none"/>
        </w:rPr>
      </w:pPr>
    </w:p>
    <w:p w14:paraId="4DE1D0E4">
      <w:pPr>
        <w:rPr>
          <w:rFonts w:hint="eastAsia" w:ascii="宋体" w:hAnsi="宋体" w:cs="宋体"/>
          <w:bCs/>
          <w:color w:val="auto"/>
          <w:sz w:val="24"/>
          <w:highlight w:val="none"/>
        </w:rPr>
      </w:pPr>
      <w:r>
        <w:rPr>
          <w:rFonts w:hint="eastAsia" w:ascii="宋体" w:hAnsi="宋体" w:cs="宋体"/>
          <w:bCs/>
          <w:color w:val="auto"/>
          <w:sz w:val="24"/>
          <w:highlight w:val="none"/>
        </w:rPr>
        <w:t>磋商供应商名称（加盖公章）：</w:t>
      </w:r>
    </w:p>
    <w:p w14:paraId="13CF0FA0">
      <w:pPr>
        <w:rPr>
          <w:rFonts w:hint="eastAsia" w:ascii="宋体" w:hAnsi="宋体" w:cs="宋体"/>
          <w:bCs/>
          <w:color w:val="auto"/>
          <w:sz w:val="24"/>
          <w:highlight w:val="none"/>
        </w:rPr>
      </w:pPr>
    </w:p>
    <w:p w14:paraId="6938B08D">
      <w:pPr>
        <w:rPr>
          <w:rFonts w:hint="eastAsia" w:ascii="宋体" w:hAnsi="宋体" w:cs="宋体"/>
          <w:bCs/>
          <w:color w:val="auto"/>
          <w:sz w:val="24"/>
          <w:highlight w:val="none"/>
        </w:rPr>
      </w:pPr>
      <w:r>
        <w:rPr>
          <w:rFonts w:hint="eastAsia" w:ascii="宋体" w:hAnsi="宋体" w:cs="宋体"/>
          <w:bCs/>
          <w:color w:val="auto"/>
          <w:sz w:val="24"/>
          <w:highlight w:val="none"/>
        </w:rPr>
        <w:t>法定代表人或其授权代表签字：</w:t>
      </w:r>
    </w:p>
    <w:p w14:paraId="12885D0B">
      <w:pPr>
        <w:rPr>
          <w:rFonts w:hint="eastAsia" w:ascii="宋体" w:hAnsi="宋体" w:cs="宋体"/>
          <w:bCs/>
          <w:color w:val="auto"/>
          <w:sz w:val="24"/>
          <w:highlight w:val="none"/>
        </w:rPr>
      </w:pPr>
    </w:p>
    <w:p w14:paraId="1813376B">
      <w:pPr>
        <w:rPr>
          <w:rFonts w:hint="eastAsia" w:ascii="宋体" w:hAnsi="宋体" w:cs="宋体"/>
          <w:color w:val="auto"/>
          <w:sz w:val="24"/>
          <w:highlight w:val="none"/>
        </w:rPr>
      </w:pPr>
      <w:r>
        <w:rPr>
          <w:rFonts w:hint="eastAsia" w:ascii="宋体" w:hAnsi="宋体" w:cs="宋体"/>
          <w:color w:val="auto"/>
          <w:sz w:val="24"/>
          <w:highlight w:val="none"/>
        </w:rPr>
        <w:t xml:space="preserve">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1A174DA">
      <w:pPr>
        <w:pStyle w:val="393"/>
        <w:widowControl/>
        <w:spacing w:line="440" w:lineRule="exact"/>
        <w:ind w:left="0" w:firstLine="0"/>
        <w:rPr>
          <w:rFonts w:hint="eastAsia"/>
          <w:b/>
          <w:bCs/>
          <w:color w:val="auto"/>
          <w:sz w:val="24"/>
          <w:highlight w:val="none"/>
        </w:rPr>
      </w:pPr>
      <w:r>
        <w:rPr>
          <w:rFonts w:hint="eastAsia"/>
          <w:b/>
          <w:bCs/>
          <w:color w:val="auto"/>
          <w:sz w:val="24"/>
          <w:highlight w:val="none"/>
        </w:rPr>
        <w:br w:type="page"/>
      </w:r>
    </w:p>
    <w:p w14:paraId="0C49E9D2">
      <w:pPr>
        <w:pStyle w:val="393"/>
        <w:widowControl/>
        <w:spacing w:line="440" w:lineRule="exact"/>
        <w:ind w:left="0" w:firstLine="0"/>
        <w:rPr>
          <w:rFonts w:hint="eastAsia"/>
          <w:b/>
          <w:bCs/>
          <w:color w:val="auto"/>
          <w:sz w:val="24"/>
          <w:highlight w:val="none"/>
        </w:rPr>
      </w:pPr>
    </w:p>
    <w:p w14:paraId="6C478C16">
      <w:pPr>
        <w:pStyle w:val="393"/>
        <w:widowControl/>
        <w:spacing w:line="440" w:lineRule="exact"/>
        <w:ind w:left="0" w:firstLine="0"/>
        <w:rPr>
          <w:rFonts w:hint="eastAsia"/>
          <w:b/>
          <w:bCs/>
          <w:color w:val="auto"/>
          <w:sz w:val="24"/>
          <w:highlight w:val="none"/>
        </w:rPr>
      </w:pPr>
    </w:p>
    <w:p w14:paraId="7754D759">
      <w:pPr>
        <w:pStyle w:val="393"/>
        <w:widowControl/>
        <w:spacing w:line="440" w:lineRule="exact"/>
        <w:ind w:left="0" w:firstLine="0"/>
        <w:rPr>
          <w:rFonts w:hint="eastAsia"/>
          <w:b/>
          <w:bCs/>
          <w:color w:val="auto"/>
          <w:sz w:val="24"/>
          <w:highlight w:val="none"/>
        </w:rPr>
      </w:pPr>
    </w:p>
    <w:p w14:paraId="73275A29">
      <w:pPr>
        <w:pStyle w:val="393"/>
        <w:widowControl/>
        <w:spacing w:line="440" w:lineRule="exact"/>
        <w:ind w:left="0" w:firstLine="0"/>
        <w:rPr>
          <w:rFonts w:hint="eastAsia"/>
          <w:b/>
          <w:bCs/>
          <w:color w:val="auto"/>
          <w:sz w:val="24"/>
          <w:highlight w:val="none"/>
        </w:rPr>
      </w:pPr>
    </w:p>
    <w:p w14:paraId="4DEAD03B">
      <w:pPr>
        <w:pStyle w:val="393"/>
        <w:widowControl/>
        <w:spacing w:line="440" w:lineRule="exact"/>
        <w:ind w:left="0" w:firstLine="0"/>
        <w:rPr>
          <w:rFonts w:hint="eastAsia"/>
          <w:b/>
          <w:bCs/>
          <w:color w:val="auto"/>
          <w:sz w:val="22"/>
          <w:highlight w:val="none"/>
        </w:rPr>
      </w:pPr>
    </w:p>
    <w:p w14:paraId="3917C75B">
      <w:pPr>
        <w:pStyle w:val="393"/>
        <w:widowControl/>
        <w:spacing w:line="440" w:lineRule="exact"/>
        <w:ind w:left="0" w:firstLine="0"/>
        <w:jc w:val="center"/>
        <w:rPr>
          <w:rFonts w:hint="eastAsia"/>
          <w:b/>
          <w:bCs/>
          <w:color w:val="auto"/>
          <w:sz w:val="30"/>
          <w:szCs w:val="30"/>
          <w:highlight w:val="none"/>
        </w:rPr>
      </w:pPr>
      <w:r>
        <w:rPr>
          <w:rFonts w:hint="eastAsia"/>
          <w:b/>
          <w:bCs/>
          <w:color w:val="auto"/>
          <w:sz w:val="30"/>
          <w:szCs w:val="30"/>
          <w:highlight w:val="none"/>
        </w:rPr>
        <w:t>技术和服务方案</w:t>
      </w:r>
    </w:p>
    <w:p w14:paraId="0D2D41D2">
      <w:pPr>
        <w:pStyle w:val="393"/>
        <w:widowControl/>
        <w:spacing w:line="440" w:lineRule="exact"/>
        <w:ind w:left="0" w:firstLine="0"/>
        <w:jc w:val="center"/>
        <w:rPr>
          <w:rFonts w:hint="eastAsia"/>
          <w:b/>
          <w:bCs/>
          <w:color w:val="auto"/>
          <w:sz w:val="30"/>
          <w:szCs w:val="30"/>
          <w:highlight w:val="none"/>
        </w:rPr>
      </w:pPr>
      <w:r>
        <w:rPr>
          <w:rFonts w:hint="eastAsia"/>
          <w:b/>
          <w:bCs/>
          <w:color w:val="auto"/>
          <w:sz w:val="30"/>
          <w:szCs w:val="30"/>
          <w:highlight w:val="none"/>
        </w:rPr>
        <w:t>（对照相应项目评分标准，由投标人自行拟定）</w:t>
      </w:r>
    </w:p>
    <w:p w14:paraId="17139799">
      <w:pPr>
        <w:pStyle w:val="393"/>
        <w:widowControl/>
        <w:spacing w:line="440" w:lineRule="exact"/>
        <w:ind w:left="0" w:firstLine="0"/>
        <w:jc w:val="center"/>
        <w:rPr>
          <w:rFonts w:hint="eastAsia"/>
          <w:b/>
          <w:bCs/>
          <w:color w:val="auto"/>
          <w:sz w:val="30"/>
          <w:szCs w:val="30"/>
          <w:highlight w:val="none"/>
        </w:rPr>
      </w:pPr>
    </w:p>
    <w:p w14:paraId="3FEF5D3D">
      <w:pPr>
        <w:pStyle w:val="393"/>
        <w:widowControl/>
        <w:spacing w:line="440" w:lineRule="exact"/>
        <w:ind w:left="0" w:firstLine="0"/>
        <w:jc w:val="center"/>
        <w:rPr>
          <w:rFonts w:hint="eastAsia"/>
          <w:b/>
          <w:bCs/>
          <w:color w:val="auto"/>
          <w:sz w:val="30"/>
          <w:szCs w:val="30"/>
          <w:highlight w:val="none"/>
        </w:rPr>
      </w:pPr>
    </w:p>
    <w:p w14:paraId="3AC8B3ED">
      <w:pPr>
        <w:pStyle w:val="393"/>
        <w:widowControl/>
        <w:spacing w:line="440" w:lineRule="exact"/>
        <w:ind w:left="0" w:firstLine="0"/>
        <w:jc w:val="center"/>
        <w:rPr>
          <w:rFonts w:hint="eastAsia"/>
          <w:b/>
          <w:bCs/>
          <w:color w:val="auto"/>
          <w:sz w:val="30"/>
          <w:szCs w:val="30"/>
          <w:highlight w:val="none"/>
        </w:rPr>
      </w:pPr>
    </w:p>
    <w:p w14:paraId="6E22D7D5">
      <w:pPr>
        <w:pStyle w:val="393"/>
        <w:widowControl/>
        <w:spacing w:line="440" w:lineRule="exact"/>
        <w:ind w:left="0" w:firstLine="0"/>
        <w:jc w:val="center"/>
        <w:rPr>
          <w:rFonts w:hint="eastAsia"/>
          <w:b/>
          <w:bCs/>
          <w:color w:val="auto"/>
          <w:sz w:val="30"/>
          <w:szCs w:val="30"/>
          <w:highlight w:val="none"/>
        </w:rPr>
      </w:pPr>
    </w:p>
    <w:p w14:paraId="6D6293FA">
      <w:pPr>
        <w:pStyle w:val="393"/>
        <w:widowControl/>
        <w:spacing w:line="440" w:lineRule="exact"/>
        <w:ind w:left="0" w:firstLine="0"/>
        <w:jc w:val="center"/>
        <w:rPr>
          <w:rFonts w:hint="eastAsia"/>
          <w:b/>
          <w:bCs/>
          <w:color w:val="auto"/>
          <w:sz w:val="30"/>
          <w:szCs w:val="30"/>
          <w:highlight w:val="none"/>
        </w:rPr>
      </w:pPr>
    </w:p>
    <w:p w14:paraId="0094F731">
      <w:pPr>
        <w:pStyle w:val="393"/>
        <w:widowControl/>
        <w:spacing w:line="440" w:lineRule="exact"/>
        <w:ind w:left="0" w:firstLine="0"/>
        <w:jc w:val="center"/>
        <w:rPr>
          <w:rFonts w:hint="eastAsia"/>
          <w:b/>
          <w:bCs/>
          <w:color w:val="auto"/>
          <w:sz w:val="30"/>
          <w:szCs w:val="30"/>
          <w:highlight w:val="none"/>
        </w:rPr>
      </w:pPr>
    </w:p>
    <w:p w14:paraId="06195E4E">
      <w:pPr>
        <w:pStyle w:val="393"/>
        <w:widowControl/>
        <w:spacing w:line="440" w:lineRule="exact"/>
        <w:ind w:left="0" w:firstLine="0"/>
        <w:jc w:val="center"/>
        <w:rPr>
          <w:rFonts w:hint="eastAsia"/>
          <w:b/>
          <w:bCs/>
          <w:color w:val="auto"/>
          <w:sz w:val="30"/>
          <w:szCs w:val="30"/>
          <w:highlight w:val="none"/>
        </w:rPr>
      </w:pPr>
    </w:p>
    <w:p w14:paraId="2CEAAD4C">
      <w:pPr>
        <w:pStyle w:val="393"/>
        <w:widowControl/>
        <w:spacing w:line="440" w:lineRule="exact"/>
        <w:ind w:left="0" w:firstLine="0"/>
        <w:jc w:val="center"/>
        <w:rPr>
          <w:rFonts w:hint="eastAsia"/>
          <w:b/>
          <w:bCs/>
          <w:color w:val="auto"/>
          <w:sz w:val="30"/>
          <w:szCs w:val="30"/>
          <w:highlight w:val="none"/>
        </w:rPr>
      </w:pPr>
    </w:p>
    <w:p w14:paraId="5F56A0C9">
      <w:pPr>
        <w:pStyle w:val="393"/>
        <w:widowControl/>
        <w:spacing w:line="440" w:lineRule="exact"/>
        <w:ind w:left="0" w:firstLine="0"/>
        <w:rPr>
          <w:rFonts w:hint="eastAsia"/>
          <w:b/>
          <w:bCs/>
          <w:color w:val="auto"/>
          <w:sz w:val="22"/>
          <w:highlight w:val="none"/>
        </w:rPr>
      </w:pPr>
    </w:p>
    <w:p w14:paraId="3B717FB9">
      <w:pPr>
        <w:pStyle w:val="393"/>
        <w:widowControl/>
        <w:spacing w:line="440" w:lineRule="exact"/>
        <w:ind w:left="0" w:firstLine="0"/>
        <w:rPr>
          <w:rFonts w:hint="eastAsia"/>
          <w:b/>
          <w:bCs/>
          <w:color w:val="auto"/>
          <w:sz w:val="22"/>
          <w:highlight w:val="none"/>
        </w:rPr>
      </w:pPr>
    </w:p>
    <w:p w14:paraId="5C6C786A">
      <w:pPr>
        <w:pStyle w:val="393"/>
        <w:widowControl/>
        <w:spacing w:line="440" w:lineRule="exact"/>
        <w:ind w:left="0" w:firstLine="0"/>
        <w:rPr>
          <w:rFonts w:hint="eastAsia"/>
          <w:b/>
          <w:bCs/>
          <w:color w:val="auto"/>
          <w:sz w:val="22"/>
          <w:highlight w:val="none"/>
        </w:rPr>
      </w:pPr>
    </w:p>
    <w:p w14:paraId="156B980A">
      <w:pPr>
        <w:pStyle w:val="393"/>
        <w:widowControl/>
        <w:spacing w:line="440" w:lineRule="exact"/>
        <w:ind w:left="0" w:firstLine="0"/>
        <w:rPr>
          <w:rFonts w:hint="eastAsia"/>
          <w:b/>
          <w:bCs/>
          <w:color w:val="auto"/>
          <w:sz w:val="22"/>
          <w:highlight w:val="none"/>
        </w:rPr>
      </w:pPr>
    </w:p>
    <w:p w14:paraId="41AE4A40">
      <w:pPr>
        <w:pStyle w:val="393"/>
        <w:widowControl/>
        <w:spacing w:line="440" w:lineRule="exact"/>
        <w:ind w:left="0" w:firstLine="0"/>
        <w:rPr>
          <w:rFonts w:hint="eastAsia"/>
          <w:b/>
          <w:bCs/>
          <w:color w:val="auto"/>
          <w:sz w:val="22"/>
          <w:highlight w:val="none"/>
        </w:rPr>
      </w:pPr>
    </w:p>
    <w:p w14:paraId="078ADAB6">
      <w:pPr>
        <w:pStyle w:val="393"/>
        <w:widowControl/>
        <w:spacing w:line="440" w:lineRule="exact"/>
        <w:ind w:left="0" w:firstLine="0"/>
        <w:rPr>
          <w:rFonts w:hint="eastAsia"/>
          <w:b/>
          <w:bCs/>
          <w:color w:val="auto"/>
          <w:sz w:val="22"/>
          <w:highlight w:val="none"/>
        </w:rPr>
      </w:pPr>
    </w:p>
    <w:p w14:paraId="282B0D27">
      <w:pPr>
        <w:pStyle w:val="393"/>
        <w:widowControl/>
        <w:spacing w:line="440" w:lineRule="exact"/>
        <w:ind w:left="0" w:firstLine="0"/>
        <w:rPr>
          <w:rFonts w:hint="eastAsia"/>
          <w:b/>
          <w:bCs/>
          <w:color w:val="auto"/>
          <w:sz w:val="22"/>
          <w:highlight w:val="none"/>
        </w:rPr>
      </w:pPr>
    </w:p>
    <w:p w14:paraId="2D09B37F">
      <w:pPr>
        <w:pStyle w:val="393"/>
        <w:widowControl/>
        <w:spacing w:line="440" w:lineRule="exact"/>
        <w:ind w:left="0" w:firstLine="0"/>
        <w:rPr>
          <w:rFonts w:hint="eastAsia"/>
          <w:b/>
          <w:bCs/>
          <w:color w:val="auto"/>
          <w:sz w:val="22"/>
          <w:highlight w:val="none"/>
        </w:rPr>
      </w:pPr>
    </w:p>
    <w:p w14:paraId="34C395A1">
      <w:pPr>
        <w:pStyle w:val="393"/>
        <w:widowControl/>
        <w:spacing w:line="440" w:lineRule="exact"/>
        <w:ind w:left="0" w:firstLine="0"/>
        <w:rPr>
          <w:rFonts w:hint="eastAsia"/>
          <w:b/>
          <w:bCs/>
          <w:color w:val="auto"/>
          <w:sz w:val="22"/>
          <w:highlight w:val="none"/>
        </w:rPr>
      </w:pPr>
    </w:p>
    <w:p w14:paraId="6433330D">
      <w:pPr>
        <w:pStyle w:val="393"/>
        <w:widowControl/>
        <w:spacing w:line="440" w:lineRule="exact"/>
        <w:ind w:left="0" w:firstLine="0"/>
        <w:rPr>
          <w:rFonts w:hint="eastAsia"/>
          <w:b/>
          <w:bCs/>
          <w:color w:val="auto"/>
          <w:sz w:val="22"/>
          <w:highlight w:val="none"/>
        </w:rPr>
      </w:pPr>
    </w:p>
    <w:p w14:paraId="688F2988">
      <w:pPr>
        <w:pStyle w:val="393"/>
        <w:widowControl/>
        <w:spacing w:line="440" w:lineRule="exact"/>
        <w:ind w:left="0" w:firstLine="0"/>
        <w:rPr>
          <w:rFonts w:hint="eastAsia"/>
          <w:b/>
          <w:bCs/>
          <w:color w:val="auto"/>
          <w:sz w:val="22"/>
          <w:highlight w:val="none"/>
        </w:rPr>
      </w:pPr>
    </w:p>
    <w:p w14:paraId="6AC14D8F">
      <w:pPr>
        <w:pStyle w:val="393"/>
        <w:widowControl/>
        <w:spacing w:line="440" w:lineRule="exact"/>
        <w:ind w:left="0" w:firstLine="0"/>
        <w:rPr>
          <w:rFonts w:hint="eastAsia"/>
          <w:b/>
          <w:bCs/>
          <w:color w:val="auto"/>
          <w:sz w:val="22"/>
          <w:highlight w:val="none"/>
        </w:rPr>
      </w:pPr>
    </w:p>
    <w:p w14:paraId="46AB9FD4">
      <w:pPr>
        <w:pStyle w:val="393"/>
        <w:widowControl/>
        <w:spacing w:line="440" w:lineRule="exact"/>
        <w:ind w:left="0" w:firstLine="0"/>
        <w:rPr>
          <w:rFonts w:hint="eastAsia"/>
          <w:b/>
          <w:bCs/>
          <w:color w:val="auto"/>
          <w:sz w:val="22"/>
          <w:highlight w:val="none"/>
        </w:rPr>
      </w:pPr>
    </w:p>
    <w:p w14:paraId="3DA4FCB4">
      <w:pPr>
        <w:pStyle w:val="393"/>
        <w:widowControl/>
        <w:spacing w:line="440" w:lineRule="exact"/>
        <w:ind w:left="0" w:firstLine="0"/>
        <w:rPr>
          <w:rFonts w:hint="eastAsia"/>
          <w:b/>
          <w:bCs/>
          <w:color w:val="auto"/>
          <w:sz w:val="22"/>
          <w:highlight w:val="none"/>
        </w:rPr>
      </w:pPr>
    </w:p>
    <w:p w14:paraId="3967FD63">
      <w:pPr>
        <w:pStyle w:val="393"/>
        <w:widowControl/>
        <w:spacing w:line="440" w:lineRule="exact"/>
        <w:ind w:left="0" w:firstLine="0"/>
        <w:rPr>
          <w:rFonts w:hint="eastAsia"/>
          <w:b/>
          <w:bCs/>
          <w:color w:val="auto"/>
          <w:sz w:val="22"/>
          <w:highlight w:val="none"/>
        </w:rPr>
      </w:pPr>
    </w:p>
    <w:p w14:paraId="61A5EE5F">
      <w:pPr>
        <w:pStyle w:val="393"/>
        <w:widowControl/>
        <w:spacing w:line="440" w:lineRule="exact"/>
        <w:ind w:left="0" w:firstLine="0"/>
        <w:rPr>
          <w:rFonts w:hint="eastAsia"/>
          <w:b/>
          <w:bCs/>
          <w:color w:val="auto"/>
          <w:sz w:val="22"/>
          <w:highlight w:val="none"/>
        </w:rPr>
      </w:pPr>
    </w:p>
    <w:p w14:paraId="6BD6B65D">
      <w:pPr>
        <w:pStyle w:val="31"/>
        <w:tabs>
          <w:tab w:val="left" w:pos="900"/>
        </w:tabs>
        <w:snapToGrid w:val="0"/>
        <w:jc w:val="center"/>
        <w:rPr>
          <w:rFonts w:hint="eastAsia" w:hAnsi="宋体" w:cs="宋体"/>
          <w:b/>
          <w:color w:val="auto"/>
          <w:sz w:val="36"/>
          <w:szCs w:val="36"/>
          <w:highlight w:val="none"/>
        </w:rPr>
      </w:pPr>
    </w:p>
    <w:p w14:paraId="7EAA61CD">
      <w:pPr>
        <w:pStyle w:val="31"/>
        <w:tabs>
          <w:tab w:val="left" w:pos="900"/>
        </w:tabs>
        <w:snapToGrid w:val="0"/>
        <w:jc w:val="center"/>
        <w:rPr>
          <w:rFonts w:hint="eastAsia" w:hAnsi="宋体" w:cs="宋体"/>
          <w:b/>
          <w:color w:val="auto"/>
          <w:sz w:val="36"/>
          <w:szCs w:val="36"/>
          <w:highlight w:val="none"/>
        </w:rPr>
      </w:pPr>
    </w:p>
    <w:p w14:paraId="06E84098">
      <w:pPr>
        <w:pStyle w:val="31"/>
        <w:tabs>
          <w:tab w:val="left" w:pos="900"/>
        </w:tabs>
        <w:snapToGrid w:val="0"/>
        <w:jc w:val="center"/>
        <w:rPr>
          <w:rFonts w:hint="eastAsia" w:hAnsi="宋体" w:cs="宋体"/>
          <w:b/>
          <w:color w:val="auto"/>
          <w:sz w:val="36"/>
          <w:szCs w:val="36"/>
          <w:highlight w:val="none"/>
        </w:rPr>
      </w:pPr>
      <w:r>
        <w:rPr>
          <w:rFonts w:hint="eastAsia" w:hAnsi="宋体" w:cs="宋体"/>
          <w:b/>
          <w:color w:val="auto"/>
          <w:sz w:val="36"/>
          <w:szCs w:val="36"/>
          <w:highlight w:val="none"/>
        </w:rPr>
        <w:t>不发达地区或少数民族地区的声明函</w:t>
      </w:r>
    </w:p>
    <w:p w14:paraId="182CED6F">
      <w:pPr>
        <w:pStyle w:val="31"/>
        <w:tabs>
          <w:tab w:val="left" w:pos="900"/>
        </w:tabs>
        <w:snapToGrid w:val="0"/>
        <w:ind w:left="840"/>
        <w:jc w:val="center"/>
        <w:rPr>
          <w:rFonts w:hint="eastAsia" w:hAnsi="宋体" w:cs="宋体"/>
          <w:b/>
          <w:color w:val="auto"/>
          <w:sz w:val="36"/>
          <w:szCs w:val="36"/>
          <w:highlight w:val="none"/>
        </w:rPr>
      </w:pPr>
    </w:p>
    <w:p w14:paraId="1900A90D">
      <w:pPr>
        <w:pStyle w:val="2"/>
        <w:spacing w:line="460" w:lineRule="exact"/>
        <w:ind w:firstLine="480"/>
        <w:rPr>
          <w:rFonts w:hint="eastAsia" w:hAnsi="宋体"/>
          <w:bCs/>
          <w:color w:val="auto"/>
          <w:szCs w:val="24"/>
          <w:highlight w:val="none"/>
        </w:rPr>
      </w:pPr>
      <w:r>
        <w:rPr>
          <w:rFonts w:hint="eastAsia" w:hAnsi="宋体"/>
          <w:bCs/>
          <w:color w:val="auto"/>
          <w:szCs w:val="24"/>
          <w:highlight w:val="none"/>
        </w:rPr>
        <w:t>本单位郑重声明，本单位为符合条件的不发达地区或少数民族地区单位，且本单位参加_______单位的______项目采购活动提供本单位制造的货物（由本单位承担工程/提供服务）。</w:t>
      </w:r>
    </w:p>
    <w:p w14:paraId="08E779BF">
      <w:pPr>
        <w:pStyle w:val="2"/>
        <w:spacing w:line="460" w:lineRule="exact"/>
        <w:ind w:firstLine="480"/>
        <w:rPr>
          <w:rFonts w:hint="eastAsia" w:hAnsi="宋体"/>
          <w:bCs/>
          <w:color w:val="auto"/>
          <w:szCs w:val="24"/>
          <w:highlight w:val="none"/>
        </w:rPr>
      </w:pPr>
      <w:r>
        <w:rPr>
          <w:rFonts w:hint="eastAsia" w:hAnsi="宋体"/>
          <w:bCs/>
          <w:color w:val="auto"/>
          <w:szCs w:val="24"/>
          <w:highlight w:val="none"/>
        </w:rPr>
        <w:t>本单位对上述声明的真实性负责。如有虚假，将依法承担相应责任。</w:t>
      </w:r>
    </w:p>
    <w:p w14:paraId="1DF24D49">
      <w:pPr>
        <w:pStyle w:val="2"/>
        <w:spacing w:line="460" w:lineRule="exact"/>
        <w:ind w:firstLine="480"/>
        <w:jc w:val="right"/>
        <w:rPr>
          <w:rFonts w:hint="eastAsia" w:hAnsi="宋体"/>
          <w:bCs/>
          <w:color w:val="auto"/>
          <w:szCs w:val="24"/>
          <w:highlight w:val="none"/>
        </w:rPr>
      </w:pPr>
      <w:r>
        <w:rPr>
          <w:rFonts w:hint="eastAsia" w:hAnsi="宋体"/>
          <w:bCs/>
          <w:color w:val="auto"/>
          <w:szCs w:val="24"/>
          <w:highlight w:val="none"/>
        </w:rPr>
        <w:t xml:space="preserve">      </w:t>
      </w:r>
    </w:p>
    <w:p w14:paraId="410CB994">
      <w:pPr>
        <w:pStyle w:val="2"/>
        <w:spacing w:line="460" w:lineRule="exact"/>
        <w:ind w:firstLine="480"/>
        <w:jc w:val="right"/>
        <w:rPr>
          <w:rFonts w:hint="eastAsia" w:hAnsi="宋体"/>
          <w:bCs/>
          <w:color w:val="auto"/>
          <w:szCs w:val="24"/>
          <w:highlight w:val="none"/>
        </w:rPr>
      </w:pPr>
    </w:p>
    <w:p w14:paraId="5D77393A">
      <w:pPr>
        <w:snapToGrid w:val="0"/>
        <w:spacing w:line="360" w:lineRule="auto"/>
        <w:rPr>
          <w:rFonts w:hint="eastAsia" w:ascii="宋体" w:hAnsi="宋体" w:cs="宋体"/>
          <w:color w:val="auto"/>
          <w:spacing w:val="20"/>
          <w:sz w:val="24"/>
          <w:highlight w:val="none"/>
          <w:u w:val="single"/>
        </w:rPr>
      </w:pPr>
      <w:r>
        <w:rPr>
          <w:rFonts w:hint="eastAsia" w:hAnsi="宋体"/>
          <w:bCs/>
          <w:color w:val="auto"/>
          <w:sz w:val="24"/>
          <w:highlight w:val="none"/>
        </w:rPr>
        <w:t xml:space="preserve">                                 </w:t>
      </w:r>
      <w:r>
        <w:rPr>
          <w:rFonts w:hint="eastAsia" w:ascii="宋体" w:hAnsi="宋体" w:cs="宋体"/>
          <w:color w:val="auto"/>
          <w:sz w:val="24"/>
          <w:highlight w:val="none"/>
        </w:rPr>
        <w:t>投标人全称（盖电子公章）：</w:t>
      </w:r>
    </w:p>
    <w:p w14:paraId="4A7DD343">
      <w:pPr>
        <w:pStyle w:val="31"/>
        <w:tabs>
          <w:tab w:val="left" w:pos="900"/>
        </w:tabs>
        <w:snapToGrid w:val="0"/>
        <w:ind w:firstLine="3920" w:firstLineChars="1400"/>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14:paraId="5F08EE75">
      <w:pPr>
        <w:pStyle w:val="31"/>
        <w:tabs>
          <w:tab w:val="left" w:pos="900"/>
        </w:tabs>
        <w:snapToGrid w:val="0"/>
        <w:jc w:val="center"/>
        <w:rPr>
          <w:rFonts w:hint="eastAsia" w:hAnsi="宋体" w:cs="宋体"/>
          <w:bCs/>
          <w:color w:val="auto"/>
          <w:highlight w:val="none"/>
        </w:rPr>
      </w:pPr>
    </w:p>
    <w:p w14:paraId="0B01E79D">
      <w:pPr>
        <w:pStyle w:val="31"/>
        <w:tabs>
          <w:tab w:val="left" w:pos="900"/>
        </w:tabs>
        <w:snapToGrid w:val="0"/>
        <w:ind w:left="840"/>
        <w:rPr>
          <w:rFonts w:hint="eastAsia" w:hAnsi="宋体" w:cs="宋体"/>
          <w:bCs/>
          <w:color w:val="auto"/>
          <w:highlight w:val="none"/>
        </w:rPr>
      </w:pPr>
    </w:p>
    <w:p w14:paraId="564739C2">
      <w:pPr>
        <w:pStyle w:val="31"/>
        <w:tabs>
          <w:tab w:val="left" w:pos="900"/>
        </w:tabs>
        <w:snapToGrid w:val="0"/>
        <w:ind w:left="840"/>
        <w:rPr>
          <w:rFonts w:hint="eastAsia" w:hAnsi="宋体" w:cs="宋体"/>
          <w:bCs/>
          <w:color w:val="auto"/>
          <w:highlight w:val="none"/>
        </w:rPr>
      </w:pPr>
    </w:p>
    <w:p w14:paraId="5B02D4F7">
      <w:pPr>
        <w:pStyle w:val="2"/>
        <w:spacing w:line="460" w:lineRule="exact"/>
        <w:ind w:firstLine="482"/>
        <w:rPr>
          <w:rFonts w:hint="eastAsia" w:hAnsi="宋体"/>
          <w:b/>
          <w:color w:val="auto"/>
          <w:szCs w:val="24"/>
          <w:highlight w:val="none"/>
        </w:rPr>
      </w:pPr>
    </w:p>
    <w:p w14:paraId="2647C936">
      <w:pPr>
        <w:pStyle w:val="2"/>
        <w:spacing w:line="460" w:lineRule="exact"/>
        <w:ind w:firstLine="482"/>
        <w:rPr>
          <w:rFonts w:hint="eastAsia" w:hAnsi="宋体"/>
          <w:b/>
          <w:color w:val="auto"/>
          <w:szCs w:val="24"/>
          <w:highlight w:val="none"/>
        </w:rPr>
      </w:pPr>
      <w:r>
        <w:rPr>
          <w:rFonts w:hint="eastAsia" w:hAnsi="宋体"/>
          <w:b/>
          <w:color w:val="auto"/>
          <w:szCs w:val="24"/>
          <w:highlight w:val="none"/>
        </w:rPr>
        <w:t>注：投标人注册地为不发达地区或少数民族地区时提供“不发达地区或少数民族地区的声明函”并附相关资料。</w:t>
      </w:r>
    </w:p>
    <w:p w14:paraId="3FBF23B0">
      <w:pPr>
        <w:pStyle w:val="26"/>
        <w:rPr>
          <w:rFonts w:hint="eastAsia"/>
          <w:color w:val="auto"/>
        </w:rPr>
      </w:pPr>
    </w:p>
    <w:p w14:paraId="2BD21612">
      <w:pPr>
        <w:pStyle w:val="26"/>
        <w:rPr>
          <w:rFonts w:hint="eastAsia"/>
          <w:color w:val="auto"/>
        </w:rPr>
      </w:pPr>
    </w:p>
    <w:p w14:paraId="149C606F">
      <w:pPr>
        <w:pStyle w:val="2"/>
        <w:spacing w:line="460" w:lineRule="exact"/>
        <w:ind w:firstLine="482"/>
        <w:rPr>
          <w:rFonts w:hint="eastAsia" w:hAnsi="宋体"/>
          <w:b/>
          <w:color w:val="auto"/>
          <w:szCs w:val="24"/>
          <w:highlight w:val="none"/>
        </w:rPr>
      </w:pPr>
    </w:p>
    <w:p w14:paraId="54650F0C">
      <w:pPr>
        <w:snapToGrid w:val="0"/>
        <w:spacing w:line="360" w:lineRule="auto"/>
        <w:rPr>
          <w:rFonts w:hint="eastAsia" w:ascii="宋体" w:hAnsi="宋体" w:cs="宋体"/>
          <w:color w:val="auto"/>
          <w:spacing w:val="20"/>
          <w:sz w:val="24"/>
          <w:highlight w:val="none"/>
        </w:rPr>
      </w:pPr>
    </w:p>
    <w:p w14:paraId="2CB59146">
      <w:pPr>
        <w:pStyle w:val="39"/>
        <w:tabs>
          <w:tab w:val="right" w:leader="dot" w:pos="8720"/>
          <w:tab w:val="clear" w:pos="8296"/>
        </w:tabs>
        <w:rPr>
          <w:rFonts w:hint="eastAsia" w:ascii="宋体" w:hAnsi="宋体" w:cs="宋体"/>
          <w:color w:val="auto"/>
          <w:spacing w:val="20"/>
          <w:sz w:val="24"/>
          <w:highlight w:val="none"/>
        </w:rPr>
      </w:pPr>
    </w:p>
    <w:p w14:paraId="3D734BC9">
      <w:pPr>
        <w:pStyle w:val="31"/>
        <w:tabs>
          <w:tab w:val="left" w:pos="900"/>
        </w:tabs>
        <w:snapToGrid w:val="0"/>
        <w:spacing w:beforeLines="0" w:afterLines="0" w:line="240" w:lineRule="auto"/>
        <w:jc w:val="center"/>
        <w:rPr>
          <w:rFonts w:hint="eastAsia" w:hAnsi="宋体" w:cs="宋体"/>
          <w:b/>
          <w:color w:val="auto"/>
          <w:sz w:val="36"/>
          <w:szCs w:val="36"/>
          <w:highlight w:val="none"/>
        </w:rPr>
      </w:pPr>
    </w:p>
    <w:p w14:paraId="2305353B">
      <w:pPr>
        <w:rPr>
          <w:rFonts w:hint="eastAsia" w:hAnsi="宋体" w:cs="宋体"/>
          <w:b/>
          <w:color w:val="auto"/>
          <w:sz w:val="36"/>
          <w:szCs w:val="36"/>
          <w:highlight w:val="none"/>
        </w:rPr>
      </w:pPr>
    </w:p>
    <w:p w14:paraId="73D75D2B">
      <w:pPr>
        <w:pStyle w:val="26"/>
        <w:rPr>
          <w:rFonts w:hint="eastAsia" w:hAnsi="宋体" w:cs="宋体"/>
          <w:b/>
          <w:color w:val="auto"/>
          <w:sz w:val="36"/>
          <w:szCs w:val="36"/>
          <w:highlight w:val="none"/>
        </w:rPr>
      </w:pPr>
    </w:p>
    <w:p w14:paraId="1D54D12E">
      <w:pPr>
        <w:rPr>
          <w:rFonts w:hint="eastAsia" w:hAnsi="宋体" w:cs="宋体"/>
          <w:b/>
          <w:color w:val="auto"/>
          <w:sz w:val="36"/>
          <w:szCs w:val="36"/>
          <w:highlight w:val="none"/>
        </w:rPr>
      </w:pPr>
    </w:p>
    <w:p w14:paraId="6021B728">
      <w:pPr>
        <w:pStyle w:val="26"/>
        <w:rPr>
          <w:rFonts w:hint="eastAsia" w:hAnsi="宋体" w:cs="宋体"/>
          <w:b/>
          <w:color w:val="auto"/>
          <w:sz w:val="36"/>
          <w:szCs w:val="36"/>
          <w:highlight w:val="none"/>
        </w:rPr>
      </w:pPr>
    </w:p>
    <w:p w14:paraId="570E4D78">
      <w:pPr>
        <w:rPr>
          <w:rFonts w:hint="eastAsia"/>
          <w:color w:val="auto"/>
        </w:rPr>
      </w:pPr>
    </w:p>
    <w:p w14:paraId="0A3413BD">
      <w:pPr>
        <w:spacing w:line="460" w:lineRule="exact"/>
        <w:rPr>
          <w:rFonts w:hint="eastAsia" w:ascii="宋体" w:hAnsi="宋体" w:cs="宋体"/>
          <w:b/>
          <w:bCs/>
          <w:color w:val="auto"/>
          <w:sz w:val="22"/>
          <w:highlight w:val="none"/>
        </w:rPr>
      </w:pPr>
    </w:p>
    <w:p w14:paraId="6E4513E4">
      <w:pPr>
        <w:spacing w:line="460" w:lineRule="exact"/>
        <w:rPr>
          <w:rFonts w:hint="eastAsia" w:ascii="宋体" w:hAnsi="宋体" w:cs="宋体"/>
          <w:b/>
          <w:bCs/>
          <w:color w:val="auto"/>
          <w:sz w:val="22"/>
          <w:highlight w:val="none"/>
        </w:rPr>
      </w:pPr>
    </w:p>
    <w:p w14:paraId="66BEC937">
      <w:pPr>
        <w:spacing w:line="460" w:lineRule="exact"/>
        <w:rPr>
          <w:rFonts w:hint="eastAsia" w:ascii="宋体" w:hAnsi="宋体" w:eastAsia="宋体" w:cs="宋体"/>
          <w:b/>
          <w:bCs/>
          <w:color w:val="auto"/>
          <w:sz w:val="22"/>
          <w:highlight w:val="none"/>
          <w:lang w:eastAsia="zh-CN"/>
        </w:rPr>
      </w:pPr>
      <w:bookmarkStart w:id="147" w:name="_GoBack"/>
      <w:bookmarkEnd w:id="147"/>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9</w:t>
      </w:r>
    </w:p>
    <w:p w14:paraId="4486D2A8">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w:t>
      </w:r>
    </w:p>
    <w:p w14:paraId="4FC2C7A6">
      <w:pPr>
        <w:spacing w:line="380" w:lineRule="exact"/>
        <w:jc w:val="center"/>
        <w:rPr>
          <w:rFonts w:hint="eastAsia" w:ascii="宋体" w:hAnsi="宋体" w:cs="宋体"/>
          <w:b/>
          <w:bCs/>
          <w:color w:val="auto"/>
          <w:sz w:val="28"/>
          <w:highlight w:val="none"/>
        </w:rPr>
      </w:pPr>
    </w:p>
    <w:p w14:paraId="1FCB44B6">
      <w:pPr>
        <w:spacing w:line="380" w:lineRule="exact"/>
        <w:jc w:val="center"/>
        <w:rPr>
          <w:rFonts w:hint="eastAsia" w:ascii="宋体" w:hAnsi="宋体" w:cs="宋体"/>
          <w:b/>
          <w:bCs/>
          <w:color w:val="auto"/>
          <w:sz w:val="24"/>
          <w:highlight w:val="none"/>
        </w:rPr>
      </w:pPr>
    </w:p>
    <w:p w14:paraId="520DC60A">
      <w:pPr>
        <w:spacing w:line="360" w:lineRule="auto"/>
        <w:ind w:right="349" w:rightChars="166"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项目名称：                                        项目编号：</w:t>
      </w:r>
    </w:p>
    <w:p w14:paraId="1B0CBAAB">
      <w:pPr>
        <w:pStyle w:val="2"/>
        <w:ind w:firstLine="400"/>
        <w:rPr>
          <w:color w:val="auto"/>
          <w:highlight w:val="none"/>
        </w:rPr>
      </w:pPr>
    </w:p>
    <w:tbl>
      <w:tblPr>
        <w:tblStyle w:val="53"/>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85"/>
        <w:gridCol w:w="7172"/>
      </w:tblGrid>
      <w:tr w14:paraId="1F479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22C4F20">
            <w:pPr>
              <w:pStyle w:val="31"/>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785" w:type="dxa"/>
            <w:tcBorders>
              <w:top w:val="single" w:color="auto" w:sz="4" w:space="0"/>
              <w:left w:val="single" w:color="auto" w:sz="4" w:space="0"/>
              <w:bottom w:val="single" w:color="auto" w:sz="4" w:space="0"/>
              <w:right w:val="single" w:color="auto" w:sz="4" w:space="0"/>
            </w:tcBorders>
            <w:vAlign w:val="center"/>
          </w:tcPr>
          <w:p w14:paraId="65FF7812">
            <w:pPr>
              <w:pStyle w:val="31"/>
              <w:jc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7172" w:type="dxa"/>
            <w:tcBorders>
              <w:top w:val="single" w:color="auto" w:sz="4" w:space="0"/>
              <w:left w:val="single" w:color="auto" w:sz="4" w:space="0"/>
              <w:bottom w:val="single" w:color="auto" w:sz="4" w:space="0"/>
              <w:right w:val="single" w:color="auto" w:sz="8" w:space="0"/>
            </w:tcBorders>
            <w:vAlign w:val="center"/>
          </w:tcPr>
          <w:p w14:paraId="375E6EE1">
            <w:pPr>
              <w:pStyle w:val="31"/>
              <w:jc w:val="center"/>
              <w:rPr>
                <w:rFonts w:hint="eastAsia" w:hAnsi="宋体" w:cs="宋体"/>
                <w:color w:val="auto"/>
                <w:sz w:val="24"/>
                <w:szCs w:val="24"/>
                <w:highlight w:val="none"/>
              </w:rPr>
            </w:pPr>
            <w:r>
              <w:rPr>
                <w:rFonts w:hint="eastAsia" w:hAnsi="宋体" w:cs="宋体"/>
                <w:color w:val="auto"/>
                <w:sz w:val="24"/>
                <w:szCs w:val="24"/>
                <w:highlight w:val="none"/>
              </w:rPr>
              <w:t>内容</w:t>
            </w:r>
          </w:p>
        </w:tc>
      </w:tr>
      <w:tr w14:paraId="7F3B7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1" w:hRule="atLeast"/>
          <w:jc w:val="center"/>
        </w:trPr>
        <w:tc>
          <w:tcPr>
            <w:tcW w:w="709" w:type="dxa"/>
            <w:tcBorders>
              <w:left w:val="single" w:color="auto" w:sz="4" w:space="0"/>
              <w:bottom w:val="single" w:color="auto" w:sz="4" w:space="0"/>
              <w:right w:val="single" w:color="auto" w:sz="4" w:space="0"/>
            </w:tcBorders>
            <w:vAlign w:val="center"/>
          </w:tcPr>
          <w:p w14:paraId="1892E8C6">
            <w:pPr>
              <w:pStyle w:val="31"/>
              <w:jc w:val="center"/>
              <w:rPr>
                <w:rFonts w:hint="eastAsia" w:hAnsi="宋体" w:cs="宋体"/>
                <w:color w:val="auto"/>
                <w:sz w:val="24"/>
                <w:szCs w:val="24"/>
                <w:highlight w:val="none"/>
              </w:rPr>
            </w:pPr>
            <w:r>
              <w:rPr>
                <w:rFonts w:hint="eastAsia" w:hAnsi="宋体" w:cs="宋体"/>
                <w:color w:val="auto"/>
                <w:sz w:val="24"/>
                <w:szCs w:val="24"/>
                <w:highlight w:val="none"/>
              </w:rPr>
              <w:t>一</w:t>
            </w:r>
          </w:p>
        </w:tc>
        <w:tc>
          <w:tcPr>
            <w:tcW w:w="1785" w:type="dxa"/>
            <w:tcBorders>
              <w:left w:val="single" w:color="auto" w:sz="4" w:space="0"/>
              <w:bottom w:val="single" w:color="auto" w:sz="4" w:space="0"/>
              <w:right w:val="single" w:color="auto" w:sz="4" w:space="0"/>
            </w:tcBorders>
            <w:vAlign w:val="center"/>
          </w:tcPr>
          <w:p w14:paraId="24BAD124">
            <w:pPr>
              <w:pStyle w:val="31"/>
              <w:jc w:val="center"/>
              <w:rPr>
                <w:rFonts w:hint="eastAsia" w:hAnsi="宋体" w:cs="宋体"/>
                <w:color w:val="auto"/>
                <w:sz w:val="24"/>
                <w:szCs w:val="24"/>
                <w:highlight w:val="none"/>
              </w:rPr>
            </w:pPr>
            <w:r>
              <w:rPr>
                <w:rFonts w:hint="eastAsia" w:hAnsi="宋体" w:cs="宋体"/>
                <w:color w:val="auto"/>
                <w:sz w:val="24"/>
                <w:szCs w:val="24"/>
                <w:highlight w:val="none"/>
              </w:rPr>
              <w:t>投标总价</w:t>
            </w:r>
          </w:p>
        </w:tc>
        <w:tc>
          <w:tcPr>
            <w:tcW w:w="7172" w:type="dxa"/>
            <w:tcBorders>
              <w:top w:val="single" w:color="auto" w:sz="4" w:space="0"/>
              <w:left w:val="single" w:color="auto" w:sz="4" w:space="0"/>
              <w:bottom w:val="single" w:color="auto" w:sz="4" w:space="0"/>
              <w:right w:val="single" w:color="auto" w:sz="4" w:space="0"/>
            </w:tcBorders>
            <w:vAlign w:val="center"/>
          </w:tcPr>
          <w:p w14:paraId="6CE2990C">
            <w:pPr>
              <w:pStyle w:val="31"/>
              <w:rPr>
                <w:rFonts w:hint="eastAsia" w:hAnsi="宋体" w:cs="宋体"/>
                <w:color w:val="auto"/>
                <w:sz w:val="24"/>
                <w:szCs w:val="24"/>
                <w:highlight w:val="none"/>
              </w:rPr>
            </w:pPr>
            <w:r>
              <w:rPr>
                <w:rFonts w:hint="eastAsia" w:hAnsi="宋体" w:cs="宋体"/>
                <w:color w:val="auto"/>
                <w:highlight w:val="none"/>
              </w:rPr>
              <w:t>大写：</w:t>
            </w:r>
            <w:r>
              <w:rPr>
                <w:rFonts w:hint="eastAsia" w:hAnsi="宋体" w:cs="宋体"/>
                <w:color w:val="auto"/>
                <w:highlight w:val="none"/>
                <w:u w:val="single"/>
              </w:rPr>
              <w:t xml:space="preserve">              </w:t>
            </w:r>
            <w:r>
              <w:rPr>
                <w:rFonts w:hint="eastAsia" w:hAnsi="宋体" w:cs="宋体"/>
                <w:color w:val="auto"/>
                <w:highlight w:val="none"/>
              </w:rPr>
              <w:t>元整（￥</w:t>
            </w:r>
            <w:r>
              <w:rPr>
                <w:rFonts w:hint="eastAsia" w:hAnsi="宋体" w:cs="宋体"/>
                <w:color w:val="auto"/>
                <w:highlight w:val="none"/>
                <w:u w:val="single"/>
              </w:rPr>
              <w:t xml:space="preserve">              </w:t>
            </w:r>
            <w:r>
              <w:rPr>
                <w:rFonts w:hint="eastAsia" w:hAnsi="宋体" w:cs="宋体"/>
                <w:color w:val="auto"/>
                <w:highlight w:val="none"/>
              </w:rPr>
              <w:t>）</w:t>
            </w:r>
          </w:p>
        </w:tc>
      </w:tr>
      <w:tr w14:paraId="69741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7" w:hRule="atLeast"/>
          <w:jc w:val="center"/>
        </w:trPr>
        <w:tc>
          <w:tcPr>
            <w:tcW w:w="2494" w:type="dxa"/>
            <w:gridSpan w:val="2"/>
            <w:tcBorders>
              <w:top w:val="single" w:color="auto" w:sz="4" w:space="0"/>
              <w:left w:val="single" w:color="auto" w:sz="4" w:space="0"/>
              <w:bottom w:val="single" w:color="auto" w:sz="4" w:space="0"/>
              <w:right w:val="single" w:color="auto" w:sz="4" w:space="0"/>
            </w:tcBorders>
            <w:vAlign w:val="center"/>
          </w:tcPr>
          <w:p w14:paraId="74C6A387">
            <w:pPr>
              <w:pStyle w:val="31"/>
              <w:jc w:val="center"/>
              <w:rPr>
                <w:rFonts w:hint="eastAsia" w:hAnsi="宋体" w:cs="宋体"/>
                <w:color w:val="auto"/>
                <w:sz w:val="24"/>
                <w:szCs w:val="24"/>
                <w:highlight w:val="none"/>
              </w:rPr>
            </w:pPr>
            <w:r>
              <w:rPr>
                <w:rFonts w:hint="eastAsia" w:hAnsi="宋体" w:cs="宋体"/>
                <w:color w:val="auto"/>
                <w:sz w:val="24"/>
                <w:szCs w:val="24"/>
                <w:highlight w:val="none"/>
              </w:rPr>
              <w:t>备注</w:t>
            </w:r>
          </w:p>
        </w:tc>
        <w:tc>
          <w:tcPr>
            <w:tcW w:w="7172" w:type="dxa"/>
            <w:tcBorders>
              <w:top w:val="single" w:color="auto" w:sz="4" w:space="0"/>
              <w:left w:val="single" w:color="auto" w:sz="4" w:space="0"/>
              <w:bottom w:val="single" w:color="auto" w:sz="4" w:space="0"/>
              <w:right w:val="single" w:color="auto" w:sz="8" w:space="0"/>
            </w:tcBorders>
            <w:vAlign w:val="center"/>
          </w:tcPr>
          <w:p w14:paraId="662B59FB">
            <w:pPr>
              <w:pStyle w:val="31"/>
              <w:rPr>
                <w:rFonts w:hint="eastAsia" w:hAnsi="宋体" w:cs="宋体"/>
                <w:color w:val="auto"/>
                <w:sz w:val="24"/>
                <w:szCs w:val="24"/>
                <w:highlight w:val="none"/>
              </w:rPr>
            </w:pPr>
            <w:r>
              <w:rPr>
                <w:rFonts w:hint="eastAsia" w:hAnsi="宋体" w:cs="宋体"/>
                <w:color w:val="auto"/>
                <w:sz w:val="24"/>
                <w:szCs w:val="24"/>
                <w:highlight w:val="none"/>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磋商报价。</w:t>
            </w:r>
          </w:p>
        </w:tc>
      </w:tr>
    </w:tbl>
    <w:p w14:paraId="081ACD04">
      <w:pPr>
        <w:spacing w:line="360" w:lineRule="auto"/>
        <w:ind w:firstLine="630" w:firstLineChars="300"/>
        <w:rPr>
          <w:rFonts w:hint="eastAsia" w:ascii="宋体" w:hAnsi="宋体" w:cs="宋体"/>
          <w:color w:val="auto"/>
          <w:szCs w:val="21"/>
          <w:highlight w:val="none"/>
        </w:rPr>
      </w:pPr>
    </w:p>
    <w:p w14:paraId="3D82D027">
      <w:pPr>
        <w:spacing w:line="360" w:lineRule="auto"/>
        <w:ind w:firstLine="219" w:firstLineChars="104"/>
        <w:jc w:val="left"/>
        <w:rPr>
          <w:rFonts w:hint="eastAsia" w:ascii="宋体" w:hAnsi="宋体" w:cs="宋体"/>
          <w:b/>
          <w:bCs/>
          <w:color w:val="auto"/>
          <w:szCs w:val="21"/>
          <w:highlight w:val="none"/>
        </w:rPr>
      </w:pPr>
    </w:p>
    <w:p w14:paraId="644FFAFE">
      <w:pPr>
        <w:spacing w:line="360" w:lineRule="auto"/>
        <w:ind w:firstLine="219" w:firstLineChars="104"/>
        <w:jc w:val="left"/>
        <w:rPr>
          <w:rFonts w:hint="eastAsia" w:ascii="宋体" w:hAnsi="宋体" w:cs="宋体"/>
          <w:b/>
          <w:bCs/>
          <w:color w:val="auto"/>
          <w:szCs w:val="21"/>
          <w:highlight w:val="none"/>
        </w:rPr>
      </w:pPr>
    </w:p>
    <w:p w14:paraId="367E28F1">
      <w:pPr>
        <w:spacing w:line="360" w:lineRule="auto"/>
        <w:ind w:firstLine="219" w:firstLineChars="104"/>
        <w:jc w:val="left"/>
        <w:rPr>
          <w:rFonts w:hint="eastAsia" w:ascii="宋体" w:hAnsi="宋体" w:cs="宋体"/>
          <w:b/>
          <w:bCs/>
          <w:color w:val="auto"/>
          <w:szCs w:val="21"/>
          <w:highlight w:val="none"/>
        </w:rPr>
      </w:pPr>
      <w:r>
        <w:rPr>
          <w:rFonts w:hint="eastAsia" w:ascii="宋体" w:hAnsi="宋体" w:cs="宋体"/>
          <w:b/>
          <w:bCs/>
          <w:color w:val="auto"/>
          <w:szCs w:val="21"/>
          <w:highlight w:val="none"/>
        </w:rPr>
        <w:t>供应商（盖章）：</w:t>
      </w:r>
    </w:p>
    <w:p w14:paraId="27445D5F">
      <w:pPr>
        <w:spacing w:line="360" w:lineRule="auto"/>
        <w:ind w:firstLine="219" w:firstLineChars="104"/>
        <w:jc w:val="left"/>
        <w:rPr>
          <w:rFonts w:hint="eastAsia" w:ascii="宋体" w:hAnsi="宋体" w:cs="宋体"/>
          <w:b/>
          <w:bCs/>
          <w:color w:val="auto"/>
          <w:szCs w:val="21"/>
          <w:highlight w:val="none"/>
        </w:rPr>
      </w:pPr>
      <w:r>
        <w:rPr>
          <w:rFonts w:hint="eastAsia" w:ascii="宋体" w:hAnsi="宋体" w:cs="宋体"/>
          <w:b/>
          <w:bCs/>
          <w:color w:val="auto"/>
          <w:szCs w:val="21"/>
          <w:highlight w:val="none"/>
        </w:rPr>
        <w:t>法定代表人或授权代表（签字）：</w:t>
      </w:r>
    </w:p>
    <w:p w14:paraId="42CD2CD7">
      <w:pPr>
        <w:spacing w:line="360" w:lineRule="auto"/>
        <w:ind w:left="357" w:leftChars="104" w:hanging="139" w:hangingChars="66"/>
        <w:jc w:val="left"/>
        <w:rPr>
          <w:rFonts w:hint="eastAsia" w:ascii="宋体" w:hAnsi="宋体" w:cs="宋体"/>
          <w:b/>
          <w:bCs/>
          <w:color w:val="auto"/>
          <w:szCs w:val="21"/>
          <w:highlight w:val="none"/>
        </w:rPr>
      </w:pPr>
      <w:r>
        <w:rPr>
          <w:rFonts w:hint="eastAsia" w:ascii="宋体" w:hAnsi="宋体" w:cs="宋体"/>
          <w:b/>
          <w:bCs/>
          <w:color w:val="auto"/>
          <w:szCs w:val="21"/>
          <w:highlight w:val="none"/>
        </w:rPr>
        <w:t>日 期：  年  月  日</w:t>
      </w:r>
    </w:p>
    <w:p w14:paraId="50BC81B4">
      <w:pPr>
        <w:spacing w:line="380" w:lineRule="exact"/>
        <w:ind w:left="359" w:leftChars="171"/>
        <w:rPr>
          <w:rFonts w:hint="eastAsia" w:ascii="宋体" w:hAnsi="宋体" w:cs="宋体"/>
          <w:color w:val="auto"/>
          <w:sz w:val="22"/>
          <w:highlight w:val="none"/>
        </w:rPr>
      </w:pPr>
    </w:p>
    <w:p w14:paraId="5DBB0B50">
      <w:pPr>
        <w:spacing w:line="380" w:lineRule="exact"/>
        <w:ind w:left="359" w:leftChars="171"/>
        <w:rPr>
          <w:rFonts w:hint="eastAsia" w:ascii="宋体" w:hAnsi="宋体" w:cs="宋体"/>
          <w:color w:val="auto"/>
          <w:sz w:val="22"/>
          <w:highlight w:val="none"/>
        </w:rPr>
      </w:pPr>
    </w:p>
    <w:p w14:paraId="42C7313A">
      <w:pPr>
        <w:spacing w:line="380" w:lineRule="exact"/>
        <w:ind w:left="359" w:leftChars="171"/>
        <w:rPr>
          <w:rFonts w:hint="eastAsia" w:ascii="宋体" w:hAnsi="宋体" w:cs="宋体"/>
          <w:color w:val="auto"/>
          <w:sz w:val="22"/>
          <w:highlight w:val="none"/>
        </w:rPr>
      </w:pPr>
    </w:p>
    <w:p w14:paraId="16BB3B9F">
      <w:pPr>
        <w:spacing w:line="380" w:lineRule="exact"/>
        <w:ind w:left="359" w:leftChars="171"/>
        <w:rPr>
          <w:rFonts w:hint="eastAsia" w:ascii="宋体" w:hAnsi="宋体" w:cs="宋体"/>
          <w:color w:val="auto"/>
          <w:sz w:val="22"/>
          <w:highlight w:val="none"/>
        </w:rPr>
      </w:pPr>
    </w:p>
    <w:p w14:paraId="6D6DEA05">
      <w:pPr>
        <w:spacing w:line="380" w:lineRule="exact"/>
        <w:ind w:left="359" w:leftChars="171"/>
        <w:rPr>
          <w:rFonts w:hint="eastAsia" w:ascii="宋体" w:hAnsi="宋体" w:cs="宋体"/>
          <w:color w:val="auto"/>
          <w:sz w:val="22"/>
          <w:highlight w:val="none"/>
        </w:rPr>
      </w:pPr>
    </w:p>
    <w:p w14:paraId="26B7E4C6">
      <w:pPr>
        <w:rPr>
          <w:rFonts w:hint="eastAsia" w:ascii="宋体" w:hAnsi="宋体" w:cs="宋体"/>
          <w:color w:val="auto"/>
          <w:highlight w:val="none"/>
        </w:rPr>
      </w:pPr>
    </w:p>
    <w:p w14:paraId="0DF898B2">
      <w:pPr>
        <w:rPr>
          <w:rFonts w:hint="eastAsia" w:ascii="宋体" w:hAnsi="宋体" w:cs="宋体"/>
          <w:color w:val="auto"/>
          <w:highlight w:val="none"/>
        </w:rPr>
      </w:pPr>
    </w:p>
    <w:p w14:paraId="3836B10D">
      <w:pPr>
        <w:rPr>
          <w:rFonts w:hint="eastAsia" w:ascii="宋体" w:hAnsi="宋体" w:cs="宋体"/>
          <w:color w:val="auto"/>
          <w:highlight w:val="none"/>
        </w:rPr>
      </w:pPr>
    </w:p>
    <w:p w14:paraId="7D0BD28C">
      <w:pPr>
        <w:rPr>
          <w:rFonts w:hint="eastAsia" w:ascii="宋体" w:hAnsi="宋体" w:cs="宋体"/>
          <w:color w:val="auto"/>
          <w:highlight w:val="none"/>
        </w:rPr>
      </w:pPr>
    </w:p>
    <w:p w14:paraId="052BBB54">
      <w:pPr>
        <w:rPr>
          <w:rFonts w:hint="eastAsia" w:ascii="宋体" w:hAnsi="宋体" w:cs="宋体"/>
          <w:color w:val="auto"/>
          <w:highlight w:val="none"/>
        </w:rPr>
      </w:pPr>
    </w:p>
    <w:p w14:paraId="32E41170">
      <w:pPr>
        <w:rPr>
          <w:rFonts w:hint="eastAsia" w:ascii="宋体" w:hAnsi="宋体" w:cs="宋体"/>
          <w:color w:val="auto"/>
          <w:highlight w:val="none"/>
        </w:rPr>
      </w:pPr>
    </w:p>
    <w:p w14:paraId="43B32BE5">
      <w:pPr>
        <w:rPr>
          <w:rFonts w:hint="eastAsia" w:ascii="宋体" w:hAnsi="宋体" w:cs="宋体"/>
          <w:color w:val="auto"/>
          <w:highlight w:val="none"/>
        </w:rPr>
      </w:pPr>
    </w:p>
    <w:p w14:paraId="22858F5E">
      <w:pPr>
        <w:rPr>
          <w:rFonts w:hint="eastAsia" w:ascii="宋体" w:hAnsi="宋体" w:cs="宋体"/>
          <w:color w:val="auto"/>
          <w:highlight w:val="none"/>
        </w:rPr>
      </w:pPr>
    </w:p>
    <w:p w14:paraId="42F6DCE9">
      <w:pPr>
        <w:spacing w:line="460" w:lineRule="exact"/>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br w:type="page"/>
      </w:r>
      <w:r>
        <w:rPr>
          <w:rFonts w:hint="eastAsia" w:ascii="宋体" w:hAnsi="宋体" w:cs="宋体"/>
          <w:b/>
          <w:bCs/>
          <w:color w:val="auto"/>
          <w:sz w:val="22"/>
          <w:highlight w:val="none"/>
        </w:rPr>
        <w:t>附件1</w:t>
      </w:r>
      <w:r>
        <w:rPr>
          <w:rFonts w:hint="eastAsia" w:ascii="宋体" w:hAnsi="宋体" w:cs="宋体"/>
          <w:b/>
          <w:bCs/>
          <w:color w:val="auto"/>
          <w:sz w:val="22"/>
          <w:highlight w:val="none"/>
          <w:lang w:val="en-US" w:eastAsia="zh-CN"/>
        </w:rPr>
        <w:t>0</w:t>
      </w:r>
    </w:p>
    <w:p w14:paraId="22334133">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磋商报价明细表</w:t>
      </w:r>
    </w:p>
    <w:p w14:paraId="629F3493">
      <w:pPr>
        <w:pStyle w:val="2"/>
        <w:ind w:firstLine="400"/>
        <w:rPr>
          <w:color w:val="auto"/>
          <w:highlight w:val="none"/>
        </w:rPr>
      </w:pPr>
    </w:p>
    <w:p w14:paraId="35036FBC">
      <w:pPr>
        <w:pStyle w:val="31"/>
        <w:spacing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项目名称：                                               项目编号：</w:t>
      </w:r>
    </w:p>
    <w:tbl>
      <w:tblPr>
        <w:tblStyle w:val="53"/>
        <w:tblW w:w="10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24"/>
        <w:gridCol w:w="1700"/>
        <w:gridCol w:w="1318"/>
        <w:gridCol w:w="3086"/>
        <w:gridCol w:w="1770"/>
        <w:gridCol w:w="1770"/>
      </w:tblGrid>
      <w:tr w14:paraId="70C86F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3" w:hRule="atLeast"/>
          <w:jc w:val="center"/>
        </w:trPr>
        <w:tc>
          <w:tcPr>
            <w:tcW w:w="624" w:type="dxa"/>
            <w:tcBorders>
              <w:top w:val="single" w:color="auto" w:sz="4" w:space="0"/>
              <w:bottom w:val="single" w:color="auto" w:sz="4" w:space="0"/>
            </w:tcBorders>
            <w:tcMar>
              <w:left w:w="0" w:type="dxa"/>
              <w:right w:w="0" w:type="dxa"/>
            </w:tcMar>
            <w:vAlign w:val="center"/>
          </w:tcPr>
          <w:p w14:paraId="3E69E8AD">
            <w:pPr>
              <w:jc w:val="center"/>
              <w:rPr>
                <w:color w:val="auto"/>
                <w:highlight w:val="none"/>
              </w:rPr>
            </w:pPr>
            <w:bookmarkStart w:id="143" w:name="OLE_LINK13"/>
            <w:r>
              <w:rPr>
                <w:color w:val="auto"/>
                <w:highlight w:val="none"/>
              </w:rPr>
              <w:t>序号</w:t>
            </w:r>
          </w:p>
        </w:tc>
        <w:tc>
          <w:tcPr>
            <w:tcW w:w="1700" w:type="dxa"/>
            <w:tcBorders>
              <w:top w:val="single" w:color="auto" w:sz="4" w:space="0"/>
              <w:bottom w:val="single" w:color="auto" w:sz="4" w:space="0"/>
            </w:tcBorders>
            <w:tcMar>
              <w:left w:w="0" w:type="dxa"/>
              <w:right w:w="0" w:type="dxa"/>
            </w:tcMar>
            <w:vAlign w:val="center"/>
          </w:tcPr>
          <w:p w14:paraId="6BEBD30B">
            <w:pPr>
              <w:jc w:val="center"/>
              <w:rPr>
                <w:color w:val="auto"/>
                <w:highlight w:val="none"/>
              </w:rPr>
            </w:pPr>
            <w:r>
              <w:rPr>
                <w:rFonts w:hint="eastAsia"/>
                <w:color w:val="auto"/>
                <w:highlight w:val="none"/>
              </w:rPr>
              <w:t>内容</w:t>
            </w:r>
          </w:p>
        </w:tc>
        <w:tc>
          <w:tcPr>
            <w:tcW w:w="1318" w:type="dxa"/>
            <w:tcBorders>
              <w:top w:val="single" w:color="auto" w:sz="4" w:space="0"/>
              <w:bottom w:val="single" w:color="auto" w:sz="4" w:space="0"/>
              <w:right w:val="single" w:color="auto" w:sz="4" w:space="0"/>
            </w:tcBorders>
            <w:tcMar>
              <w:left w:w="0" w:type="dxa"/>
              <w:right w:w="0" w:type="dxa"/>
            </w:tcMar>
            <w:vAlign w:val="center"/>
          </w:tcPr>
          <w:p w14:paraId="4DE8E289">
            <w:pPr>
              <w:jc w:val="center"/>
              <w:rPr>
                <w:color w:val="auto"/>
                <w:highlight w:val="none"/>
              </w:rPr>
            </w:pPr>
            <w:r>
              <w:rPr>
                <w:rFonts w:hint="eastAsia"/>
                <w:color w:val="auto"/>
                <w:highlight w:val="none"/>
              </w:rPr>
              <w:t>数量</w:t>
            </w:r>
          </w:p>
        </w:tc>
        <w:tc>
          <w:tcPr>
            <w:tcW w:w="3086" w:type="dxa"/>
            <w:tcBorders>
              <w:top w:val="single" w:color="auto" w:sz="4" w:space="0"/>
              <w:left w:val="single" w:color="auto" w:sz="4" w:space="0"/>
              <w:bottom w:val="single" w:color="auto" w:sz="4" w:space="0"/>
            </w:tcBorders>
            <w:tcMar>
              <w:left w:w="0" w:type="dxa"/>
              <w:right w:w="0" w:type="dxa"/>
            </w:tcMar>
            <w:vAlign w:val="center"/>
          </w:tcPr>
          <w:p w14:paraId="34D974B8">
            <w:pPr>
              <w:jc w:val="center"/>
              <w:rPr>
                <w:color w:val="auto"/>
                <w:highlight w:val="none"/>
              </w:rPr>
            </w:pPr>
            <w:r>
              <w:rPr>
                <w:color w:val="auto"/>
                <w:highlight w:val="none"/>
              </w:rPr>
              <w:t>投标价（人民币元）</w:t>
            </w:r>
          </w:p>
        </w:tc>
        <w:tc>
          <w:tcPr>
            <w:tcW w:w="1770" w:type="dxa"/>
            <w:tcBorders>
              <w:top w:val="single" w:color="auto" w:sz="4" w:space="0"/>
              <w:bottom w:val="single" w:color="auto" w:sz="4" w:space="0"/>
            </w:tcBorders>
            <w:tcMar>
              <w:left w:w="0" w:type="dxa"/>
              <w:right w:w="0" w:type="dxa"/>
            </w:tcMar>
            <w:vAlign w:val="center"/>
          </w:tcPr>
          <w:p w14:paraId="5CB5EDAE">
            <w:pPr>
              <w:jc w:val="center"/>
              <w:rPr>
                <w:color w:val="auto"/>
                <w:highlight w:val="none"/>
              </w:rPr>
            </w:pPr>
            <w:r>
              <w:rPr>
                <w:rFonts w:hint="eastAsia"/>
                <w:color w:val="auto"/>
                <w:highlight w:val="none"/>
              </w:rPr>
              <w:t>是否为小微、监狱、残疾人企业</w:t>
            </w:r>
          </w:p>
        </w:tc>
        <w:tc>
          <w:tcPr>
            <w:tcW w:w="1770" w:type="dxa"/>
            <w:tcBorders>
              <w:top w:val="single" w:color="auto" w:sz="4" w:space="0"/>
              <w:bottom w:val="single" w:color="auto" w:sz="4" w:space="0"/>
            </w:tcBorders>
            <w:tcMar>
              <w:left w:w="0" w:type="dxa"/>
              <w:right w:w="0" w:type="dxa"/>
            </w:tcMar>
            <w:vAlign w:val="center"/>
          </w:tcPr>
          <w:p w14:paraId="7023003B">
            <w:pPr>
              <w:jc w:val="center"/>
              <w:rPr>
                <w:color w:val="auto"/>
                <w:highlight w:val="none"/>
              </w:rPr>
            </w:pPr>
            <w:r>
              <w:rPr>
                <w:rFonts w:hint="eastAsia"/>
                <w:color w:val="auto"/>
                <w:highlight w:val="none"/>
              </w:rPr>
              <w:t>备注</w:t>
            </w:r>
          </w:p>
        </w:tc>
      </w:tr>
      <w:tr w14:paraId="183E59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tcMar>
              <w:left w:w="0" w:type="dxa"/>
              <w:right w:w="0" w:type="dxa"/>
            </w:tcMar>
            <w:vAlign w:val="center"/>
          </w:tcPr>
          <w:p w14:paraId="55DBF791">
            <w:pPr>
              <w:jc w:val="center"/>
              <w:rPr>
                <w:color w:val="auto"/>
                <w:highlight w:val="none"/>
              </w:rPr>
            </w:pPr>
          </w:p>
        </w:tc>
        <w:tc>
          <w:tcPr>
            <w:tcW w:w="1700" w:type="dxa"/>
            <w:tcBorders>
              <w:bottom w:val="single" w:color="auto" w:sz="4" w:space="0"/>
            </w:tcBorders>
            <w:tcMar>
              <w:left w:w="0" w:type="dxa"/>
              <w:right w:w="0" w:type="dxa"/>
            </w:tcMar>
            <w:vAlign w:val="center"/>
          </w:tcPr>
          <w:p w14:paraId="3BC53F51">
            <w:pPr>
              <w:jc w:val="center"/>
              <w:rPr>
                <w:color w:val="auto"/>
                <w:highlight w:val="none"/>
              </w:rPr>
            </w:pPr>
          </w:p>
        </w:tc>
        <w:tc>
          <w:tcPr>
            <w:tcW w:w="1318" w:type="dxa"/>
            <w:tcBorders>
              <w:bottom w:val="single" w:color="auto" w:sz="4" w:space="0"/>
              <w:right w:val="single" w:color="auto" w:sz="4" w:space="0"/>
            </w:tcBorders>
            <w:tcMar>
              <w:left w:w="0" w:type="dxa"/>
              <w:right w:w="0" w:type="dxa"/>
            </w:tcMar>
            <w:vAlign w:val="center"/>
          </w:tcPr>
          <w:p w14:paraId="1381368C">
            <w:pPr>
              <w:jc w:val="center"/>
              <w:rPr>
                <w:color w:val="auto"/>
                <w:highlight w:val="none"/>
              </w:rPr>
            </w:pPr>
          </w:p>
        </w:tc>
        <w:tc>
          <w:tcPr>
            <w:tcW w:w="3086" w:type="dxa"/>
            <w:tcBorders>
              <w:left w:val="single" w:color="auto" w:sz="4" w:space="0"/>
              <w:bottom w:val="single" w:color="auto" w:sz="4" w:space="0"/>
            </w:tcBorders>
            <w:tcMar>
              <w:left w:w="0" w:type="dxa"/>
              <w:right w:w="0" w:type="dxa"/>
            </w:tcMar>
            <w:vAlign w:val="center"/>
          </w:tcPr>
          <w:p w14:paraId="3D9CA24A">
            <w:pPr>
              <w:jc w:val="center"/>
              <w:rPr>
                <w:color w:val="auto"/>
                <w:highlight w:val="none"/>
              </w:rPr>
            </w:pPr>
          </w:p>
        </w:tc>
        <w:tc>
          <w:tcPr>
            <w:tcW w:w="1770" w:type="dxa"/>
            <w:tcBorders>
              <w:bottom w:val="single" w:color="auto" w:sz="4" w:space="0"/>
            </w:tcBorders>
            <w:tcMar>
              <w:left w:w="0" w:type="dxa"/>
              <w:right w:w="0" w:type="dxa"/>
            </w:tcMar>
            <w:vAlign w:val="center"/>
          </w:tcPr>
          <w:p w14:paraId="404FA3E7">
            <w:pPr>
              <w:jc w:val="center"/>
              <w:rPr>
                <w:color w:val="auto"/>
                <w:highlight w:val="none"/>
              </w:rPr>
            </w:pPr>
          </w:p>
        </w:tc>
        <w:tc>
          <w:tcPr>
            <w:tcW w:w="1770" w:type="dxa"/>
            <w:tcBorders>
              <w:bottom w:val="single" w:color="auto" w:sz="4" w:space="0"/>
            </w:tcBorders>
            <w:tcMar>
              <w:left w:w="0" w:type="dxa"/>
              <w:right w:w="0" w:type="dxa"/>
            </w:tcMar>
            <w:vAlign w:val="center"/>
          </w:tcPr>
          <w:p w14:paraId="34E620E1">
            <w:pPr>
              <w:jc w:val="center"/>
              <w:rPr>
                <w:color w:val="auto"/>
                <w:highlight w:val="none"/>
              </w:rPr>
            </w:pPr>
          </w:p>
        </w:tc>
      </w:tr>
      <w:tr w14:paraId="4D21C0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624" w:type="dxa"/>
            <w:tcBorders>
              <w:bottom w:val="single" w:color="auto" w:sz="4" w:space="0"/>
            </w:tcBorders>
            <w:tcMar>
              <w:left w:w="0" w:type="dxa"/>
              <w:right w:w="0" w:type="dxa"/>
            </w:tcMar>
            <w:vAlign w:val="center"/>
          </w:tcPr>
          <w:p w14:paraId="2E663BD0">
            <w:pPr>
              <w:jc w:val="center"/>
              <w:rPr>
                <w:color w:val="auto"/>
                <w:highlight w:val="none"/>
              </w:rPr>
            </w:pPr>
          </w:p>
        </w:tc>
        <w:tc>
          <w:tcPr>
            <w:tcW w:w="1700" w:type="dxa"/>
            <w:tcBorders>
              <w:bottom w:val="single" w:color="auto" w:sz="4" w:space="0"/>
            </w:tcBorders>
            <w:tcMar>
              <w:left w:w="0" w:type="dxa"/>
              <w:right w:w="0" w:type="dxa"/>
            </w:tcMar>
            <w:vAlign w:val="center"/>
          </w:tcPr>
          <w:p w14:paraId="4AE47508">
            <w:pPr>
              <w:jc w:val="center"/>
              <w:rPr>
                <w:color w:val="auto"/>
                <w:highlight w:val="none"/>
              </w:rPr>
            </w:pPr>
          </w:p>
        </w:tc>
        <w:tc>
          <w:tcPr>
            <w:tcW w:w="1318" w:type="dxa"/>
            <w:tcBorders>
              <w:bottom w:val="single" w:color="auto" w:sz="4" w:space="0"/>
              <w:right w:val="single" w:color="auto" w:sz="4" w:space="0"/>
            </w:tcBorders>
            <w:tcMar>
              <w:left w:w="0" w:type="dxa"/>
              <w:right w:w="0" w:type="dxa"/>
            </w:tcMar>
            <w:vAlign w:val="center"/>
          </w:tcPr>
          <w:p w14:paraId="19A5B21F">
            <w:pPr>
              <w:jc w:val="center"/>
              <w:rPr>
                <w:color w:val="auto"/>
                <w:highlight w:val="none"/>
              </w:rPr>
            </w:pPr>
          </w:p>
        </w:tc>
        <w:tc>
          <w:tcPr>
            <w:tcW w:w="3086" w:type="dxa"/>
            <w:tcBorders>
              <w:left w:val="single" w:color="auto" w:sz="4" w:space="0"/>
              <w:bottom w:val="single" w:color="auto" w:sz="4" w:space="0"/>
            </w:tcBorders>
            <w:tcMar>
              <w:left w:w="0" w:type="dxa"/>
              <w:right w:w="0" w:type="dxa"/>
            </w:tcMar>
            <w:vAlign w:val="center"/>
          </w:tcPr>
          <w:p w14:paraId="281F6A1B">
            <w:pPr>
              <w:jc w:val="center"/>
              <w:rPr>
                <w:color w:val="auto"/>
                <w:highlight w:val="none"/>
              </w:rPr>
            </w:pPr>
          </w:p>
          <w:p w14:paraId="1FC84F52">
            <w:pPr>
              <w:tabs>
                <w:tab w:val="left" w:pos="1190"/>
              </w:tabs>
              <w:jc w:val="left"/>
              <w:rPr>
                <w:color w:val="auto"/>
                <w:highlight w:val="none"/>
              </w:rPr>
            </w:pPr>
            <w:r>
              <w:rPr>
                <w:rFonts w:hint="eastAsia"/>
                <w:color w:val="auto"/>
                <w:highlight w:val="none"/>
              </w:rPr>
              <w:tab/>
            </w:r>
          </w:p>
        </w:tc>
        <w:tc>
          <w:tcPr>
            <w:tcW w:w="1770" w:type="dxa"/>
            <w:tcBorders>
              <w:bottom w:val="single" w:color="auto" w:sz="4" w:space="0"/>
            </w:tcBorders>
            <w:tcMar>
              <w:left w:w="0" w:type="dxa"/>
              <w:right w:w="0" w:type="dxa"/>
            </w:tcMar>
            <w:vAlign w:val="center"/>
          </w:tcPr>
          <w:p w14:paraId="0D9EC049">
            <w:pPr>
              <w:jc w:val="center"/>
              <w:rPr>
                <w:color w:val="auto"/>
                <w:highlight w:val="none"/>
              </w:rPr>
            </w:pPr>
          </w:p>
        </w:tc>
        <w:tc>
          <w:tcPr>
            <w:tcW w:w="1770" w:type="dxa"/>
            <w:tcBorders>
              <w:bottom w:val="single" w:color="auto" w:sz="4" w:space="0"/>
            </w:tcBorders>
            <w:tcMar>
              <w:left w:w="0" w:type="dxa"/>
              <w:right w:w="0" w:type="dxa"/>
            </w:tcMar>
            <w:vAlign w:val="center"/>
          </w:tcPr>
          <w:p w14:paraId="3E35C201">
            <w:pPr>
              <w:jc w:val="center"/>
              <w:rPr>
                <w:color w:val="auto"/>
                <w:highlight w:val="none"/>
              </w:rPr>
            </w:pPr>
          </w:p>
        </w:tc>
      </w:tr>
      <w:tr w14:paraId="65BDCF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tcMar>
              <w:left w:w="0" w:type="dxa"/>
              <w:right w:w="0" w:type="dxa"/>
            </w:tcMar>
            <w:vAlign w:val="center"/>
          </w:tcPr>
          <w:p w14:paraId="14AFE2BB">
            <w:pPr>
              <w:jc w:val="center"/>
              <w:rPr>
                <w:color w:val="auto"/>
                <w:highlight w:val="none"/>
              </w:rPr>
            </w:pPr>
          </w:p>
        </w:tc>
        <w:tc>
          <w:tcPr>
            <w:tcW w:w="1700" w:type="dxa"/>
            <w:tcBorders>
              <w:bottom w:val="single" w:color="auto" w:sz="4" w:space="0"/>
            </w:tcBorders>
            <w:tcMar>
              <w:left w:w="0" w:type="dxa"/>
              <w:right w:w="0" w:type="dxa"/>
            </w:tcMar>
            <w:vAlign w:val="center"/>
          </w:tcPr>
          <w:p w14:paraId="6B7E95DB">
            <w:pPr>
              <w:jc w:val="center"/>
              <w:rPr>
                <w:color w:val="auto"/>
                <w:highlight w:val="none"/>
              </w:rPr>
            </w:pPr>
          </w:p>
        </w:tc>
        <w:tc>
          <w:tcPr>
            <w:tcW w:w="1318" w:type="dxa"/>
            <w:tcBorders>
              <w:bottom w:val="single" w:color="auto" w:sz="4" w:space="0"/>
              <w:right w:val="single" w:color="auto" w:sz="4" w:space="0"/>
            </w:tcBorders>
            <w:tcMar>
              <w:left w:w="0" w:type="dxa"/>
              <w:right w:w="0" w:type="dxa"/>
            </w:tcMar>
            <w:vAlign w:val="center"/>
          </w:tcPr>
          <w:p w14:paraId="43082156">
            <w:pPr>
              <w:jc w:val="center"/>
              <w:rPr>
                <w:color w:val="auto"/>
                <w:highlight w:val="none"/>
              </w:rPr>
            </w:pPr>
          </w:p>
        </w:tc>
        <w:tc>
          <w:tcPr>
            <w:tcW w:w="3086" w:type="dxa"/>
            <w:tcBorders>
              <w:left w:val="single" w:color="auto" w:sz="4" w:space="0"/>
              <w:bottom w:val="single" w:color="auto" w:sz="4" w:space="0"/>
            </w:tcBorders>
            <w:tcMar>
              <w:left w:w="0" w:type="dxa"/>
              <w:right w:w="0" w:type="dxa"/>
            </w:tcMar>
            <w:vAlign w:val="center"/>
          </w:tcPr>
          <w:p w14:paraId="294D2E93">
            <w:pPr>
              <w:jc w:val="center"/>
              <w:rPr>
                <w:color w:val="auto"/>
                <w:highlight w:val="none"/>
              </w:rPr>
            </w:pPr>
          </w:p>
        </w:tc>
        <w:tc>
          <w:tcPr>
            <w:tcW w:w="1770" w:type="dxa"/>
            <w:tcBorders>
              <w:bottom w:val="single" w:color="auto" w:sz="4" w:space="0"/>
            </w:tcBorders>
            <w:tcMar>
              <w:left w:w="0" w:type="dxa"/>
              <w:right w:w="0" w:type="dxa"/>
            </w:tcMar>
            <w:vAlign w:val="center"/>
          </w:tcPr>
          <w:p w14:paraId="236047D3">
            <w:pPr>
              <w:jc w:val="center"/>
              <w:rPr>
                <w:color w:val="auto"/>
                <w:highlight w:val="none"/>
              </w:rPr>
            </w:pPr>
          </w:p>
        </w:tc>
        <w:tc>
          <w:tcPr>
            <w:tcW w:w="1770" w:type="dxa"/>
            <w:tcBorders>
              <w:bottom w:val="single" w:color="auto" w:sz="4" w:space="0"/>
            </w:tcBorders>
            <w:tcMar>
              <w:left w:w="0" w:type="dxa"/>
              <w:right w:w="0" w:type="dxa"/>
            </w:tcMar>
            <w:vAlign w:val="center"/>
          </w:tcPr>
          <w:p w14:paraId="6FD1116C">
            <w:pPr>
              <w:jc w:val="center"/>
              <w:rPr>
                <w:color w:val="auto"/>
                <w:highlight w:val="none"/>
              </w:rPr>
            </w:pPr>
          </w:p>
        </w:tc>
      </w:tr>
      <w:tr w14:paraId="08BE0A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tcMar>
              <w:left w:w="0" w:type="dxa"/>
              <w:right w:w="0" w:type="dxa"/>
            </w:tcMar>
            <w:vAlign w:val="center"/>
          </w:tcPr>
          <w:p w14:paraId="4EFC1F60">
            <w:pPr>
              <w:jc w:val="center"/>
              <w:rPr>
                <w:color w:val="auto"/>
                <w:highlight w:val="none"/>
              </w:rPr>
            </w:pPr>
          </w:p>
        </w:tc>
        <w:tc>
          <w:tcPr>
            <w:tcW w:w="1700" w:type="dxa"/>
            <w:tcBorders>
              <w:bottom w:val="single" w:color="auto" w:sz="4" w:space="0"/>
            </w:tcBorders>
            <w:tcMar>
              <w:left w:w="0" w:type="dxa"/>
              <w:right w:w="0" w:type="dxa"/>
            </w:tcMar>
            <w:vAlign w:val="center"/>
          </w:tcPr>
          <w:p w14:paraId="6F75C71F">
            <w:pPr>
              <w:jc w:val="center"/>
              <w:rPr>
                <w:color w:val="auto"/>
                <w:highlight w:val="none"/>
              </w:rPr>
            </w:pPr>
          </w:p>
        </w:tc>
        <w:tc>
          <w:tcPr>
            <w:tcW w:w="1318" w:type="dxa"/>
            <w:tcBorders>
              <w:bottom w:val="single" w:color="auto" w:sz="4" w:space="0"/>
              <w:right w:val="single" w:color="auto" w:sz="4" w:space="0"/>
            </w:tcBorders>
            <w:tcMar>
              <w:left w:w="0" w:type="dxa"/>
              <w:right w:w="0" w:type="dxa"/>
            </w:tcMar>
            <w:vAlign w:val="center"/>
          </w:tcPr>
          <w:p w14:paraId="5890F72A">
            <w:pPr>
              <w:jc w:val="center"/>
              <w:rPr>
                <w:color w:val="auto"/>
                <w:highlight w:val="none"/>
              </w:rPr>
            </w:pPr>
          </w:p>
        </w:tc>
        <w:tc>
          <w:tcPr>
            <w:tcW w:w="3086" w:type="dxa"/>
            <w:tcBorders>
              <w:left w:val="single" w:color="auto" w:sz="4" w:space="0"/>
              <w:bottom w:val="single" w:color="auto" w:sz="4" w:space="0"/>
            </w:tcBorders>
            <w:tcMar>
              <w:left w:w="0" w:type="dxa"/>
              <w:right w:w="0" w:type="dxa"/>
            </w:tcMar>
            <w:vAlign w:val="center"/>
          </w:tcPr>
          <w:p w14:paraId="2B7C6CDF">
            <w:pPr>
              <w:jc w:val="center"/>
              <w:rPr>
                <w:color w:val="auto"/>
                <w:highlight w:val="none"/>
              </w:rPr>
            </w:pPr>
          </w:p>
        </w:tc>
        <w:tc>
          <w:tcPr>
            <w:tcW w:w="1770" w:type="dxa"/>
            <w:tcBorders>
              <w:bottom w:val="single" w:color="auto" w:sz="4" w:space="0"/>
            </w:tcBorders>
            <w:tcMar>
              <w:left w:w="0" w:type="dxa"/>
              <w:right w:w="0" w:type="dxa"/>
            </w:tcMar>
            <w:vAlign w:val="center"/>
          </w:tcPr>
          <w:p w14:paraId="6AD983A4">
            <w:pPr>
              <w:jc w:val="center"/>
              <w:rPr>
                <w:color w:val="auto"/>
                <w:highlight w:val="none"/>
              </w:rPr>
            </w:pPr>
          </w:p>
        </w:tc>
        <w:tc>
          <w:tcPr>
            <w:tcW w:w="1770" w:type="dxa"/>
            <w:tcBorders>
              <w:bottom w:val="single" w:color="auto" w:sz="4" w:space="0"/>
            </w:tcBorders>
            <w:tcMar>
              <w:left w:w="0" w:type="dxa"/>
              <w:right w:w="0" w:type="dxa"/>
            </w:tcMar>
            <w:vAlign w:val="center"/>
          </w:tcPr>
          <w:p w14:paraId="457DAF06">
            <w:pPr>
              <w:jc w:val="center"/>
              <w:rPr>
                <w:color w:val="auto"/>
                <w:highlight w:val="none"/>
              </w:rPr>
            </w:pPr>
          </w:p>
        </w:tc>
      </w:tr>
      <w:tr w14:paraId="41F88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tcMar>
              <w:left w:w="0" w:type="dxa"/>
              <w:right w:w="0" w:type="dxa"/>
            </w:tcMar>
            <w:vAlign w:val="center"/>
          </w:tcPr>
          <w:p w14:paraId="2F8F9B25">
            <w:pPr>
              <w:jc w:val="center"/>
              <w:rPr>
                <w:color w:val="auto"/>
                <w:highlight w:val="none"/>
              </w:rPr>
            </w:pPr>
          </w:p>
        </w:tc>
        <w:tc>
          <w:tcPr>
            <w:tcW w:w="1700" w:type="dxa"/>
            <w:tcBorders>
              <w:bottom w:val="single" w:color="auto" w:sz="4" w:space="0"/>
            </w:tcBorders>
            <w:tcMar>
              <w:left w:w="0" w:type="dxa"/>
              <w:right w:w="0" w:type="dxa"/>
            </w:tcMar>
            <w:vAlign w:val="center"/>
          </w:tcPr>
          <w:p w14:paraId="619F5857">
            <w:pPr>
              <w:jc w:val="center"/>
              <w:rPr>
                <w:color w:val="auto"/>
                <w:highlight w:val="none"/>
              </w:rPr>
            </w:pPr>
          </w:p>
        </w:tc>
        <w:tc>
          <w:tcPr>
            <w:tcW w:w="1318" w:type="dxa"/>
            <w:tcBorders>
              <w:bottom w:val="single" w:color="auto" w:sz="4" w:space="0"/>
              <w:right w:val="single" w:color="auto" w:sz="4" w:space="0"/>
            </w:tcBorders>
            <w:tcMar>
              <w:left w:w="0" w:type="dxa"/>
              <w:right w:w="0" w:type="dxa"/>
            </w:tcMar>
            <w:vAlign w:val="center"/>
          </w:tcPr>
          <w:p w14:paraId="558E218F">
            <w:pPr>
              <w:jc w:val="center"/>
              <w:rPr>
                <w:color w:val="auto"/>
                <w:highlight w:val="none"/>
              </w:rPr>
            </w:pPr>
          </w:p>
        </w:tc>
        <w:tc>
          <w:tcPr>
            <w:tcW w:w="3086" w:type="dxa"/>
            <w:tcBorders>
              <w:left w:val="single" w:color="auto" w:sz="4" w:space="0"/>
              <w:bottom w:val="single" w:color="auto" w:sz="4" w:space="0"/>
            </w:tcBorders>
            <w:tcMar>
              <w:left w:w="0" w:type="dxa"/>
              <w:right w:w="0" w:type="dxa"/>
            </w:tcMar>
            <w:vAlign w:val="center"/>
          </w:tcPr>
          <w:p w14:paraId="7E9554AB">
            <w:pPr>
              <w:jc w:val="center"/>
              <w:rPr>
                <w:color w:val="auto"/>
                <w:highlight w:val="none"/>
              </w:rPr>
            </w:pPr>
          </w:p>
        </w:tc>
        <w:tc>
          <w:tcPr>
            <w:tcW w:w="1770" w:type="dxa"/>
            <w:tcBorders>
              <w:bottom w:val="single" w:color="auto" w:sz="4" w:space="0"/>
            </w:tcBorders>
            <w:tcMar>
              <w:left w:w="0" w:type="dxa"/>
              <w:right w:w="0" w:type="dxa"/>
            </w:tcMar>
            <w:vAlign w:val="center"/>
          </w:tcPr>
          <w:p w14:paraId="7C4CA132">
            <w:pPr>
              <w:jc w:val="center"/>
              <w:rPr>
                <w:color w:val="auto"/>
                <w:highlight w:val="none"/>
              </w:rPr>
            </w:pPr>
          </w:p>
        </w:tc>
        <w:tc>
          <w:tcPr>
            <w:tcW w:w="1770" w:type="dxa"/>
            <w:tcBorders>
              <w:bottom w:val="single" w:color="auto" w:sz="4" w:space="0"/>
            </w:tcBorders>
            <w:tcMar>
              <w:left w:w="0" w:type="dxa"/>
              <w:right w:w="0" w:type="dxa"/>
            </w:tcMar>
            <w:vAlign w:val="center"/>
          </w:tcPr>
          <w:p w14:paraId="76E2E282">
            <w:pPr>
              <w:jc w:val="center"/>
              <w:rPr>
                <w:color w:val="auto"/>
                <w:highlight w:val="none"/>
              </w:rPr>
            </w:pPr>
          </w:p>
        </w:tc>
      </w:tr>
      <w:tr w14:paraId="0F79E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tcMar>
              <w:left w:w="0" w:type="dxa"/>
              <w:right w:w="0" w:type="dxa"/>
            </w:tcMar>
            <w:vAlign w:val="center"/>
          </w:tcPr>
          <w:p w14:paraId="5448A3CF">
            <w:pPr>
              <w:jc w:val="center"/>
              <w:rPr>
                <w:color w:val="auto"/>
                <w:highlight w:val="none"/>
              </w:rPr>
            </w:pPr>
          </w:p>
        </w:tc>
        <w:tc>
          <w:tcPr>
            <w:tcW w:w="1700" w:type="dxa"/>
            <w:tcBorders>
              <w:bottom w:val="single" w:color="auto" w:sz="4" w:space="0"/>
            </w:tcBorders>
            <w:tcMar>
              <w:left w:w="0" w:type="dxa"/>
              <w:right w:w="0" w:type="dxa"/>
            </w:tcMar>
            <w:vAlign w:val="center"/>
          </w:tcPr>
          <w:p w14:paraId="47DFFCB0">
            <w:pPr>
              <w:jc w:val="center"/>
              <w:rPr>
                <w:color w:val="auto"/>
                <w:highlight w:val="none"/>
              </w:rPr>
            </w:pPr>
          </w:p>
        </w:tc>
        <w:tc>
          <w:tcPr>
            <w:tcW w:w="1318" w:type="dxa"/>
            <w:tcBorders>
              <w:bottom w:val="single" w:color="auto" w:sz="4" w:space="0"/>
              <w:right w:val="single" w:color="auto" w:sz="4" w:space="0"/>
            </w:tcBorders>
            <w:tcMar>
              <w:left w:w="0" w:type="dxa"/>
              <w:right w:w="0" w:type="dxa"/>
            </w:tcMar>
            <w:vAlign w:val="center"/>
          </w:tcPr>
          <w:p w14:paraId="476EA592">
            <w:pPr>
              <w:jc w:val="center"/>
              <w:rPr>
                <w:color w:val="auto"/>
                <w:highlight w:val="none"/>
              </w:rPr>
            </w:pPr>
          </w:p>
        </w:tc>
        <w:tc>
          <w:tcPr>
            <w:tcW w:w="3086" w:type="dxa"/>
            <w:tcBorders>
              <w:left w:val="single" w:color="auto" w:sz="4" w:space="0"/>
              <w:bottom w:val="single" w:color="auto" w:sz="4" w:space="0"/>
            </w:tcBorders>
            <w:tcMar>
              <w:left w:w="0" w:type="dxa"/>
              <w:right w:w="0" w:type="dxa"/>
            </w:tcMar>
            <w:vAlign w:val="center"/>
          </w:tcPr>
          <w:p w14:paraId="2DDF8F5F">
            <w:pPr>
              <w:jc w:val="center"/>
              <w:rPr>
                <w:color w:val="auto"/>
                <w:highlight w:val="none"/>
              </w:rPr>
            </w:pPr>
          </w:p>
        </w:tc>
        <w:tc>
          <w:tcPr>
            <w:tcW w:w="1770" w:type="dxa"/>
            <w:tcBorders>
              <w:bottom w:val="single" w:color="auto" w:sz="4" w:space="0"/>
            </w:tcBorders>
            <w:tcMar>
              <w:left w:w="0" w:type="dxa"/>
              <w:right w:w="0" w:type="dxa"/>
            </w:tcMar>
            <w:vAlign w:val="center"/>
          </w:tcPr>
          <w:p w14:paraId="6C3AD8E9">
            <w:pPr>
              <w:jc w:val="center"/>
              <w:rPr>
                <w:color w:val="auto"/>
                <w:highlight w:val="none"/>
              </w:rPr>
            </w:pPr>
          </w:p>
        </w:tc>
        <w:tc>
          <w:tcPr>
            <w:tcW w:w="1770" w:type="dxa"/>
            <w:tcBorders>
              <w:bottom w:val="single" w:color="auto" w:sz="4" w:space="0"/>
            </w:tcBorders>
            <w:tcMar>
              <w:left w:w="0" w:type="dxa"/>
              <w:right w:w="0" w:type="dxa"/>
            </w:tcMar>
            <w:vAlign w:val="center"/>
          </w:tcPr>
          <w:p w14:paraId="6CB99490">
            <w:pPr>
              <w:jc w:val="center"/>
              <w:rPr>
                <w:color w:val="auto"/>
                <w:highlight w:val="none"/>
              </w:rPr>
            </w:pPr>
          </w:p>
        </w:tc>
      </w:tr>
      <w:tr w14:paraId="481C52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2324" w:type="dxa"/>
            <w:gridSpan w:val="2"/>
            <w:tcBorders>
              <w:top w:val="single" w:color="auto" w:sz="4" w:space="0"/>
              <w:bottom w:val="single" w:color="auto" w:sz="2" w:space="0"/>
              <w:right w:val="single" w:color="auto" w:sz="2" w:space="0"/>
            </w:tcBorders>
            <w:tcMar>
              <w:left w:w="0" w:type="dxa"/>
              <w:right w:w="0" w:type="dxa"/>
            </w:tcMar>
            <w:vAlign w:val="center"/>
          </w:tcPr>
          <w:p w14:paraId="41629688">
            <w:pPr>
              <w:spacing w:line="0" w:lineRule="atLeast"/>
              <w:ind w:left="420"/>
              <w:jc w:val="center"/>
              <w:rPr>
                <w:color w:val="auto"/>
                <w:spacing w:val="-4"/>
                <w:sz w:val="24"/>
                <w:highlight w:val="none"/>
              </w:rPr>
            </w:pPr>
            <w:r>
              <w:rPr>
                <w:color w:val="auto"/>
                <w:spacing w:val="-4"/>
                <w:sz w:val="24"/>
                <w:highlight w:val="none"/>
              </w:rPr>
              <w:t>投标价合计</w:t>
            </w:r>
          </w:p>
        </w:tc>
        <w:tc>
          <w:tcPr>
            <w:tcW w:w="7944" w:type="dxa"/>
            <w:gridSpan w:val="4"/>
            <w:tcBorders>
              <w:top w:val="single" w:color="auto" w:sz="4" w:space="0"/>
              <w:left w:val="single" w:color="auto" w:sz="2" w:space="0"/>
              <w:bottom w:val="single" w:color="auto" w:sz="2" w:space="0"/>
            </w:tcBorders>
            <w:vAlign w:val="center"/>
          </w:tcPr>
          <w:p w14:paraId="72970BB9">
            <w:pPr>
              <w:spacing w:line="0" w:lineRule="atLeast"/>
              <w:rPr>
                <w:color w:val="auto"/>
                <w:spacing w:val="-4"/>
                <w:sz w:val="24"/>
                <w:highlight w:val="none"/>
              </w:rPr>
            </w:pPr>
            <w:r>
              <w:rPr>
                <w:rFonts w:hint="eastAsia"/>
                <w:color w:val="auto"/>
                <w:spacing w:val="-4"/>
                <w:sz w:val="24"/>
                <w:highlight w:val="none"/>
              </w:rPr>
              <w:t>投标总价：大写：</w:t>
            </w:r>
            <w:r>
              <w:rPr>
                <w:rFonts w:hint="eastAsia"/>
                <w:color w:val="auto"/>
                <w:spacing w:val="-4"/>
                <w:sz w:val="24"/>
                <w:highlight w:val="none"/>
                <w:u w:val="single"/>
              </w:rPr>
              <w:t xml:space="preserve">           </w:t>
            </w:r>
            <w:r>
              <w:rPr>
                <w:rFonts w:hint="eastAsia"/>
                <w:color w:val="auto"/>
                <w:spacing w:val="-4"/>
                <w:sz w:val="24"/>
                <w:highlight w:val="none"/>
              </w:rPr>
              <w:t>元</w:t>
            </w:r>
            <w:r>
              <w:rPr>
                <w:color w:val="auto"/>
                <w:spacing w:val="-4"/>
                <w:sz w:val="24"/>
                <w:highlight w:val="none"/>
              </w:rPr>
              <w:t>（小写）</w:t>
            </w:r>
            <w:r>
              <w:rPr>
                <w:rFonts w:hint="eastAsia"/>
                <w:color w:val="auto"/>
                <w:spacing w:val="-4"/>
                <w:sz w:val="24"/>
                <w:highlight w:val="none"/>
              </w:rPr>
              <w:t>：</w:t>
            </w:r>
            <w:r>
              <w:rPr>
                <w:rFonts w:hint="eastAsia"/>
                <w:color w:val="auto"/>
                <w:spacing w:val="-4"/>
                <w:sz w:val="24"/>
                <w:highlight w:val="none"/>
                <w:u w:val="single"/>
              </w:rPr>
              <w:t xml:space="preserve">           </w:t>
            </w:r>
            <w:r>
              <w:rPr>
                <w:rFonts w:hint="eastAsia"/>
                <w:color w:val="auto"/>
                <w:spacing w:val="-4"/>
                <w:sz w:val="24"/>
                <w:highlight w:val="none"/>
              </w:rPr>
              <w:t>元</w:t>
            </w:r>
          </w:p>
        </w:tc>
      </w:tr>
    </w:tbl>
    <w:p w14:paraId="36714418">
      <w:pPr>
        <w:spacing w:line="360" w:lineRule="auto"/>
        <w:ind w:left="723" w:hanging="723" w:hangingChars="343"/>
        <w:rPr>
          <w:rFonts w:hint="eastAsia" w:ascii="宋体" w:hAnsi="宋体" w:cs="宋体"/>
          <w:b/>
          <w:color w:val="auto"/>
          <w:szCs w:val="21"/>
          <w:highlight w:val="none"/>
        </w:rPr>
      </w:pPr>
    </w:p>
    <w:p w14:paraId="60C3028D">
      <w:pPr>
        <w:spacing w:line="500" w:lineRule="exact"/>
        <w:ind w:left="826" w:hanging="826" w:hangingChars="343"/>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1.总计价应与“开标一览表”中磋商报价相一致。</w:t>
      </w:r>
    </w:p>
    <w:p w14:paraId="4F8AB917">
      <w:pPr>
        <w:tabs>
          <w:tab w:val="left" w:pos="540"/>
        </w:tabs>
        <w:spacing w:line="500" w:lineRule="exact"/>
        <w:ind w:firstLine="420"/>
        <w:rPr>
          <w:rFonts w:hint="eastAsia" w:ascii="宋体" w:hAnsi="宋体" w:cs="宋体"/>
          <w:color w:val="auto"/>
          <w:sz w:val="24"/>
          <w:highlight w:val="none"/>
        </w:rPr>
      </w:pPr>
      <w:bookmarkStart w:id="144" w:name="_Toc21438"/>
      <w:bookmarkStart w:id="145" w:name="_Toc3929"/>
      <w:r>
        <w:rPr>
          <w:rFonts w:hint="eastAsia" w:ascii="宋体" w:hAnsi="宋体" w:cs="宋体"/>
          <w:color w:val="auto"/>
          <w:sz w:val="24"/>
          <w:highlight w:val="none"/>
        </w:rPr>
        <w:t xml:space="preserve">2. </w:t>
      </w:r>
      <w:bookmarkEnd w:id="144"/>
      <w:bookmarkEnd w:id="145"/>
      <w:r>
        <w:rPr>
          <w:rFonts w:hint="eastAsia" w:ascii="宋体" w:hAnsi="宋体" w:cs="宋体"/>
          <w:color w:val="auto"/>
          <w:sz w:val="24"/>
          <w:highlight w:val="none"/>
        </w:rPr>
        <w:t>磋商响应报价包括但不限于人员工资、奖金、节假日加班费、社会保险（养老、医保、失业、工伤、生育）、公积金、交通费、住宿费、办公</w:t>
      </w:r>
      <w:r>
        <w:rPr>
          <w:rFonts w:hint="eastAsia" w:ascii="宋体" w:hAnsi="宋体" w:cs="宋体"/>
          <w:color w:val="auto"/>
          <w:sz w:val="24"/>
          <w:highlight w:val="none"/>
          <w:lang w:eastAsia="zh-CN"/>
        </w:rPr>
        <w:t>通信费</w:t>
      </w:r>
      <w:r>
        <w:rPr>
          <w:rFonts w:hint="eastAsia" w:ascii="宋体" w:hAnsi="宋体" w:cs="宋体"/>
          <w:color w:val="auto"/>
          <w:sz w:val="24"/>
          <w:highlight w:val="none"/>
        </w:rPr>
        <w:t>、食堂卫生保洁费、服装费、体检费</w:t>
      </w:r>
      <w:r>
        <w:rPr>
          <w:rFonts w:hint="eastAsia" w:ascii="宋体" w:hAnsi="宋体" w:cs="宋体"/>
          <w:color w:val="auto"/>
          <w:sz w:val="24"/>
          <w:highlight w:val="none"/>
          <w:lang w:eastAsia="zh-CN"/>
        </w:rPr>
        <w:t>、管理费用、利润、税费、合同实施过程中不可预见的费用等，如有漏项也视为优惠已包括在投标总价中，</w:t>
      </w:r>
      <w:r>
        <w:rPr>
          <w:rFonts w:hint="eastAsia" w:ascii="宋体" w:hAnsi="宋体" w:cs="宋体"/>
          <w:color w:val="auto"/>
          <w:sz w:val="24"/>
          <w:highlight w:val="none"/>
        </w:rPr>
        <w:t>合同价款结算时中标人须开具正式的</w:t>
      </w:r>
      <w:r>
        <w:rPr>
          <w:rFonts w:hint="eastAsia" w:ascii="宋体" w:hAnsi="宋体" w:cs="宋体"/>
          <w:color w:val="auto"/>
          <w:sz w:val="24"/>
          <w:highlight w:val="none"/>
          <w:lang w:eastAsia="zh-CN"/>
        </w:rPr>
        <w:t>增值税发票</w:t>
      </w:r>
      <w:r>
        <w:rPr>
          <w:rFonts w:hint="eastAsia" w:ascii="宋体" w:hAnsi="宋体" w:cs="宋体"/>
          <w:color w:val="auto"/>
          <w:sz w:val="24"/>
          <w:highlight w:val="none"/>
        </w:rPr>
        <w:t>。</w:t>
      </w:r>
    </w:p>
    <w:p w14:paraId="75D55E4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3、此表仅提供了表格形式，投标人应根据需要及招标文件的具体要求，准备足够数量的表格按实填写。</w:t>
      </w:r>
    </w:p>
    <w:bookmarkEnd w:id="143"/>
    <w:p w14:paraId="28F116E4">
      <w:pPr>
        <w:pStyle w:val="31"/>
        <w:spacing w:line="360" w:lineRule="auto"/>
        <w:rPr>
          <w:rFonts w:hint="eastAsia" w:hAnsi="宋体" w:cs="宋体"/>
          <w:color w:val="auto"/>
          <w:sz w:val="24"/>
          <w:highlight w:val="none"/>
        </w:rPr>
      </w:pPr>
    </w:p>
    <w:p w14:paraId="75D19527">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供应商（盖章）：</w:t>
      </w:r>
    </w:p>
    <w:p w14:paraId="694BF23C">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法定代表人或授权代表（签字）：</w:t>
      </w:r>
    </w:p>
    <w:p w14:paraId="7938CEA1">
      <w:pPr>
        <w:spacing w:line="5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日 期：  年  月  日</w:t>
      </w:r>
    </w:p>
    <w:p w14:paraId="71228EC9">
      <w:pPr>
        <w:spacing w:line="460" w:lineRule="exact"/>
        <w:rPr>
          <w:rFonts w:hint="eastAsia" w:ascii="宋体" w:hAnsi="宋体" w:cs="宋体"/>
          <w:b/>
          <w:bCs/>
          <w:color w:val="auto"/>
          <w:sz w:val="22"/>
          <w:highlight w:val="none"/>
        </w:rPr>
      </w:pPr>
    </w:p>
    <w:p w14:paraId="4BCA247D">
      <w:pPr>
        <w:spacing w:line="460" w:lineRule="exact"/>
        <w:rPr>
          <w:rFonts w:hint="eastAsia" w:ascii="宋体" w:hAnsi="宋体" w:cs="宋体"/>
          <w:b/>
          <w:bCs/>
          <w:color w:val="auto"/>
          <w:sz w:val="22"/>
          <w:highlight w:val="none"/>
        </w:rPr>
      </w:pPr>
    </w:p>
    <w:p w14:paraId="49420F15">
      <w:pPr>
        <w:spacing w:line="460" w:lineRule="exact"/>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附件1</w:t>
      </w:r>
      <w:r>
        <w:rPr>
          <w:rFonts w:hint="eastAsia" w:ascii="宋体" w:hAnsi="宋体" w:cs="宋体"/>
          <w:b/>
          <w:bCs/>
          <w:color w:val="auto"/>
          <w:sz w:val="22"/>
          <w:highlight w:val="none"/>
          <w:lang w:val="en-US" w:eastAsia="zh-CN"/>
        </w:rPr>
        <w:t>1</w:t>
      </w:r>
    </w:p>
    <w:p w14:paraId="0FD28D8C">
      <w:pPr>
        <w:widowControl/>
        <w:spacing w:line="420" w:lineRule="atLeast"/>
        <w:jc w:val="center"/>
        <w:rPr>
          <w:rFonts w:hint="eastAsia" w:ascii="宋体" w:hAnsi="宋体" w:cs="宋体"/>
          <w:b/>
          <w:bCs/>
          <w:color w:val="auto"/>
          <w:kern w:val="0"/>
          <w:sz w:val="30"/>
          <w:szCs w:val="30"/>
          <w:highlight w:val="none"/>
        </w:rPr>
      </w:pPr>
    </w:p>
    <w:p w14:paraId="76D8E0CF">
      <w:pPr>
        <w:widowControl/>
        <w:spacing w:line="420" w:lineRule="atLeas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最终报价表</w:t>
      </w:r>
    </w:p>
    <w:p w14:paraId="74AB735F">
      <w:pPr>
        <w:spacing w:line="380" w:lineRule="exact"/>
        <w:jc w:val="center"/>
        <w:rPr>
          <w:rFonts w:hint="eastAsia" w:ascii="宋体" w:hAnsi="宋体" w:cs="宋体"/>
          <w:b/>
          <w:bCs/>
          <w:color w:val="auto"/>
          <w:sz w:val="28"/>
          <w:highlight w:val="none"/>
        </w:rPr>
      </w:pPr>
    </w:p>
    <w:p w14:paraId="4CA5C2B4">
      <w:pPr>
        <w:spacing w:line="380" w:lineRule="exact"/>
        <w:jc w:val="center"/>
        <w:rPr>
          <w:rFonts w:hint="eastAsia" w:ascii="宋体" w:hAnsi="宋体" w:cs="宋体"/>
          <w:b/>
          <w:bCs/>
          <w:color w:val="auto"/>
          <w:sz w:val="28"/>
          <w:highlight w:val="none"/>
        </w:rPr>
      </w:pPr>
    </w:p>
    <w:p w14:paraId="51B42821">
      <w:pPr>
        <w:spacing w:line="360" w:lineRule="auto"/>
        <w:ind w:right="349" w:rightChars="166"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项目名称：                                          项目编号：</w:t>
      </w:r>
    </w:p>
    <w:p w14:paraId="0321AC60">
      <w:pPr>
        <w:pStyle w:val="2"/>
        <w:ind w:firstLine="400"/>
        <w:rPr>
          <w:color w:val="auto"/>
          <w:highlight w:val="none"/>
        </w:rPr>
      </w:pPr>
    </w:p>
    <w:tbl>
      <w:tblPr>
        <w:tblStyle w:val="53"/>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393"/>
        <w:gridCol w:w="7564"/>
      </w:tblGrid>
      <w:tr w14:paraId="48C60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5767B5">
            <w:pPr>
              <w:pStyle w:val="31"/>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393" w:type="dxa"/>
            <w:tcBorders>
              <w:top w:val="single" w:color="auto" w:sz="4" w:space="0"/>
              <w:left w:val="single" w:color="auto" w:sz="4" w:space="0"/>
              <w:bottom w:val="single" w:color="auto" w:sz="4" w:space="0"/>
              <w:right w:val="single" w:color="auto" w:sz="4" w:space="0"/>
            </w:tcBorders>
            <w:vAlign w:val="center"/>
          </w:tcPr>
          <w:p w14:paraId="5D78933E">
            <w:pPr>
              <w:pStyle w:val="31"/>
              <w:jc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7564" w:type="dxa"/>
            <w:tcBorders>
              <w:top w:val="single" w:color="auto" w:sz="4" w:space="0"/>
              <w:left w:val="single" w:color="auto" w:sz="4" w:space="0"/>
              <w:bottom w:val="single" w:color="auto" w:sz="4" w:space="0"/>
              <w:right w:val="single" w:color="auto" w:sz="8" w:space="0"/>
            </w:tcBorders>
            <w:vAlign w:val="center"/>
          </w:tcPr>
          <w:p w14:paraId="5A470070">
            <w:pPr>
              <w:pStyle w:val="31"/>
              <w:jc w:val="center"/>
              <w:rPr>
                <w:rFonts w:hint="eastAsia" w:hAnsi="宋体" w:cs="宋体"/>
                <w:color w:val="auto"/>
                <w:sz w:val="24"/>
                <w:szCs w:val="24"/>
                <w:highlight w:val="none"/>
              </w:rPr>
            </w:pPr>
            <w:r>
              <w:rPr>
                <w:rFonts w:hint="eastAsia" w:hAnsi="宋体" w:cs="宋体"/>
                <w:color w:val="auto"/>
                <w:sz w:val="24"/>
                <w:szCs w:val="24"/>
                <w:highlight w:val="none"/>
              </w:rPr>
              <w:t>内容</w:t>
            </w:r>
          </w:p>
        </w:tc>
      </w:tr>
      <w:tr w14:paraId="7ECF7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9" w:hRule="atLeast"/>
          <w:jc w:val="center"/>
        </w:trPr>
        <w:tc>
          <w:tcPr>
            <w:tcW w:w="709" w:type="dxa"/>
            <w:tcBorders>
              <w:left w:val="single" w:color="auto" w:sz="4" w:space="0"/>
              <w:bottom w:val="single" w:color="auto" w:sz="4" w:space="0"/>
              <w:right w:val="single" w:color="auto" w:sz="4" w:space="0"/>
            </w:tcBorders>
            <w:vAlign w:val="center"/>
          </w:tcPr>
          <w:p w14:paraId="0A456C76">
            <w:pPr>
              <w:pStyle w:val="31"/>
              <w:jc w:val="center"/>
              <w:rPr>
                <w:rFonts w:hint="eastAsia" w:hAnsi="宋体" w:cs="宋体"/>
                <w:color w:val="auto"/>
                <w:sz w:val="24"/>
                <w:szCs w:val="24"/>
                <w:highlight w:val="none"/>
              </w:rPr>
            </w:pPr>
            <w:r>
              <w:rPr>
                <w:rFonts w:hint="eastAsia" w:hAnsi="宋体" w:cs="宋体"/>
                <w:color w:val="auto"/>
                <w:sz w:val="24"/>
                <w:szCs w:val="24"/>
                <w:highlight w:val="none"/>
              </w:rPr>
              <w:t>一</w:t>
            </w:r>
          </w:p>
        </w:tc>
        <w:tc>
          <w:tcPr>
            <w:tcW w:w="1393" w:type="dxa"/>
            <w:tcBorders>
              <w:left w:val="single" w:color="auto" w:sz="4" w:space="0"/>
              <w:bottom w:val="single" w:color="auto" w:sz="4" w:space="0"/>
              <w:right w:val="single" w:color="auto" w:sz="4" w:space="0"/>
            </w:tcBorders>
            <w:vAlign w:val="center"/>
          </w:tcPr>
          <w:p w14:paraId="0E0069F7">
            <w:pPr>
              <w:pStyle w:val="31"/>
              <w:jc w:val="center"/>
              <w:rPr>
                <w:rFonts w:hint="eastAsia" w:hAnsi="宋体" w:cs="宋体"/>
                <w:color w:val="auto"/>
                <w:sz w:val="24"/>
                <w:szCs w:val="24"/>
                <w:highlight w:val="none"/>
              </w:rPr>
            </w:pPr>
            <w:r>
              <w:rPr>
                <w:rFonts w:hint="eastAsia" w:hAnsi="宋体" w:cs="宋体"/>
                <w:color w:val="auto"/>
                <w:sz w:val="24"/>
                <w:szCs w:val="24"/>
                <w:highlight w:val="none"/>
              </w:rPr>
              <w:t>投标总价</w:t>
            </w:r>
          </w:p>
        </w:tc>
        <w:tc>
          <w:tcPr>
            <w:tcW w:w="7564" w:type="dxa"/>
            <w:tcBorders>
              <w:top w:val="single" w:color="auto" w:sz="4" w:space="0"/>
              <w:left w:val="single" w:color="auto" w:sz="4" w:space="0"/>
              <w:bottom w:val="single" w:color="auto" w:sz="4" w:space="0"/>
              <w:right w:val="single" w:color="auto" w:sz="4" w:space="0"/>
            </w:tcBorders>
            <w:vAlign w:val="center"/>
          </w:tcPr>
          <w:p w14:paraId="5DA59E62">
            <w:pPr>
              <w:pStyle w:val="31"/>
              <w:rPr>
                <w:rFonts w:hint="eastAsia" w:hAnsi="宋体" w:cs="宋体"/>
                <w:color w:val="auto"/>
                <w:sz w:val="24"/>
                <w:szCs w:val="24"/>
                <w:highlight w:val="none"/>
              </w:rPr>
            </w:pPr>
            <w:r>
              <w:rPr>
                <w:rFonts w:hint="eastAsia" w:hAnsi="宋体" w:cs="宋体"/>
                <w:color w:val="auto"/>
                <w:highlight w:val="none"/>
              </w:rPr>
              <w:t>大写：</w:t>
            </w:r>
            <w:r>
              <w:rPr>
                <w:rFonts w:hint="eastAsia" w:hAnsi="宋体" w:cs="宋体"/>
                <w:color w:val="auto"/>
                <w:highlight w:val="none"/>
                <w:u w:val="single"/>
              </w:rPr>
              <w:t xml:space="preserve">              </w:t>
            </w:r>
            <w:r>
              <w:rPr>
                <w:rFonts w:hint="eastAsia" w:hAnsi="宋体" w:cs="宋体"/>
                <w:color w:val="auto"/>
                <w:highlight w:val="none"/>
              </w:rPr>
              <w:t>元整（￥</w:t>
            </w:r>
            <w:r>
              <w:rPr>
                <w:rFonts w:hint="eastAsia" w:hAnsi="宋体" w:cs="宋体"/>
                <w:color w:val="auto"/>
                <w:highlight w:val="none"/>
                <w:u w:val="single"/>
              </w:rPr>
              <w:t xml:space="preserve">              </w:t>
            </w:r>
            <w:r>
              <w:rPr>
                <w:rFonts w:hint="eastAsia" w:hAnsi="宋体" w:cs="宋体"/>
                <w:color w:val="auto"/>
                <w:highlight w:val="none"/>
              </w:rPr>
              <w:t>）</w:t>
            </w:r>
          </w:p>
        </w:tc>
      </w:tr>
      <w:tr w14:paraId="18B6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2" w:hRule="atLeast"/>
          <w:jc w:val="center"/>
        </w:trPr>
        <w:tc>
          <w:tcPr>
            <w:tcW w:w="2102" w:type="dxa"/>
            <w:gridSpan w:val="2"/>
            <w:tcBorders>
              <w:top w:val="single" w:color="auto" w:sz="4" w:space="0"/>
              <w:left w:val="single" w:color="auto" w:sz="4" w:space="0"/>
              <w:bottom w:val="single" w:color="auto" w:sz="4" w:space="0"/>
              <w:right w:val="single" w:color="auto" w:sz="4" w:space="0"/>
            </w:tcBorders>
            <w:vAlign w:val="center"/>
          </w:tcPr>
          <w:p w14:paraId="1363CC67">
            <w:pPr>
              <w:pStyle w:val="31"/>
              <w:jc w:val="center"/>
              <w:rPr>
                <w:rFonts w:hint="eastAsia" w:hAnsi="宋体" w:cs="宋体"/>
                <w:color w:val="auto"/>
                <w:sz w:val="24"/>
                <w:szCs w:val="24"/>
                <w:highlight w:val="none"/>
              </w:rPr>
            </w:pPr>
            <w:r>
              <w:rPr>
                <w:rFonts w:hint="eastAsia" w:hAnsi="宋体" w:cs="宋体"/>
                <w:color w:val="auto"/>
                <w:sz w:val="24"/>
                <w:szCs w:val="24"/>
                <w:highlight w:val="none"/>
              </w:rPr>
              <w:t>备注</w:t>
            </w:r>
          </w:p>
        </w:tc>
        <w:tc>
          <w:tcPr>
            <w:tcW w:w="7564" w:type="dxa"/>
            <w:tcBorders>
              <w:top w:val="single" w:color="auto" w:sz="4" w:space="0"/>
              <w:left w:val="single" w:color="auto" w:sz="4" w:space="0"/>
              <w:bottom w:val="single" w:color="auto" w:sz="4" w:space="0"/>
              <w:right w:val="single" w:color="auto" w:sz="8" w:space="0"/>
            </w:tcBorders>
            <w:vAlign w:val="center"/>
          </w:tcPr>
          <w:p w14:paraId="67B56CE3">
            <w:pPr>
              <w:pStyle w:val="31"/>
              <w:rPr>
                <w:rFonts w:hint="eastAsia" w:hAnsi="宋体" w:cs="宋体"/>
                <w:color w:val="auto"/>
                <w:sz w:val="24"/>
                <w:szCs w:val="24"/>
                <w:highlight w:val="none"/>
              </w:rPr>
            </w:pPr>
            <w:r>
              <w:rPr>
                <w:rFonts w:hint="eastAsia" w:hAnsi="宋体" w:cs="宋体"/>
                <w:color w:val="auto"/>
                <w:sz w:val="24"/>
                <w:szCs w:val="24"/>
                <w:highlight w:val="none"/>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磋商报价。</w:t>
            </w:r>
          </w:p>
        </w:tc>
      </w:tr>
    </w:tbl>
    <w:p w14:paraId="4454253D">
      <w:pPr>
        <w:spacing w:line="360" w:lineRule="auto"/>
        <w:ind w:firstLine="420" w:firstLineChars="200"/>
        <w:rPr>
          <w:rFonts w:hint="eastAsia" w:ascii="宋体" w:hAnsi="宋体" w:cs="宋体"/>
          <w:color w:val="auto"/>
          <w:szCs w:val="21"/>
          <w:highlight w:val="none"/>
        </w:rPr>
      </w:pPr>
    </w:p>
    <w:p w14:paraId="125A84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w:t>
      </w:r>
      <w:r>
        <w:rPr>
          <w:rFonts w:hint="eastAsia" w:ascii="宋体" w:hAnsi="宋体" w:cs="宋体"/>
          <w:color w:val="auto"/>
          <w:szCs w:val="21"/>
          <w:highlight w:val="none"/>
          <w:u w:val="single"/>
        </w:rPr>
        <w:t>此表无需在制作响应文件时填写，但供应商可提前打印并签字加盖公章，作为磋商谈判过程后最终报价时填写。</w:t>
      </w:r>
    </w:p>
    <w:p w14:paraId="1188FC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2、此表填写后需在规定时间内递交工作人员。</w:t>
      </w:r>
    </w:p>
    <w:p w14:paraId="53231904">
      <w:pPr>
        <w:spacing w:line="360" w:lineRule="auto"/>
        <w:ind w:firstLine="630" w:firstLineChars="300"/>
        <w:rPr>
          <w:rFonts w:hint="eastAsia" w:ascii="宋体" w:hAnsi="宋体" w:cs="宋体"/>
          <w:color w:val="auto"/>
          <w:szCs w:val="21"/>
          <w:highlight w:val="none"/>
        </w:rPr>
      </w:pPr>
    </w:p>
    <w:p w14:paraId="381763D5">
      <w:pPr>
        <w:spacing w:line="360" w:lineRule="auto"/>
        <w:ind w:firstLine="219" w:firstLineChars="104"/>
        <w:jc w:val="left"/>
        <w:rPr>
          <w:rFonts w:hint="eastAsia" w:ascii="宋体" w:hAnsi="宋体" w:cs="宋体"/>
          <w:b/>
          <w:bCs/>
          <w:color w:val="auto"/>
          <w:szCs w:val="21"/>
          <w:highlight w:val="none"/>
        </w:rPr>
      </w:pPr>
      <w:r>
        <w:rPr>
          <w:rFonts w:hint="eastAsia" w:ascii="宋体" w:hAnsi="宋体" w:cs="宋体"/>
          <w:b/>
          <w:bCs/>
          <w:color w:val="auto"/>
          <w:szCs w:val="21"/>
          <w:highlight w:val="none"/>
        </w:rPr>
        <w:t>供应商（盖章）：</w:t>
      </w:r>
    </w:p>
    <w:p w14:paraId="442CD6AD">
      <w:pPr>
        <w:spacing w:line="360" w:lineRule="auto"/>
        <w:ind w:firstLine="219" w:firstLineChars="104"/>
        <w:jc w:val="left"/>
        <w:rPr>
          <w:rFonts w:hint="eastAsia" w:ascii="宋体" w:hAnsi="宋体" w:cs="宋体"/>
          <w:b/>
          <w:bCs/>
          <w:color w:val="auto"/>
          <w:szCs w:val="21"/>
          <w:highlight w:val="none"/>
        </w:rPr>
      </w:pPr>
      <w:r>
        <w:rPr>
          <w:rFonts w:hint="eastAsia" w:ascii="宋体" w:hAnsi="宋体" w:cs="宋体"/>
          <w:b/>
          <w:bCs/>
          <w:color w:val="auto"/>
          <w:szCs w:val="21"/>
          <w:highlight w:val="none"/>
        </w:rPr>
        <w:t>法定代表人或授权代表（签字）：</w:t>
      </w:r>
    </w:p>
    <w:p w14:paraId="09F9477E">
      <w:pPr>
        <w:spacing w:line="360" w:lineRule="auto"/>
        <w:ind w:left="357" w:leftChars="104" w:hanging="139" w:hangingChars="66"/>
        <w:jc w:val="left"/>
        <w:rPr>
          <w:rFonts w:hint="eastAsia" w:ascii="宋体" w:hAnsi="宋体" w:cs="宋体"/>
          <w:b/>
          <w:bCs/>
          <w:color w:val="auto"/>
          <w:szCs w:val="21"/>
          <w:highlight w:val="none"/>
        </w:rPr>
      </w:pPr>
      <w:r>
        <w:rPr>
          <w:rFonts w:hint="eastAsia" w:ascii="宋体" w:hAnsi="宋体" w:cs="宋体"/>
          <w:b/>
          <w:bCs/>
          <w:color w:val="auto"/>
          <w:szCs w:val="21"/>
          <w:highlight w:val="none"/>
        </w:rPr>
        <w:t>日 期：  年  月  日</w:t>
      </w:r>
    </w:p>
    <w:p w14:paraId="184634CF">
      <w:pPr>
        <w:pStyle w:val="2"/>
        <w:spacing w:line="460" w:lineRule="exact"/>
        <w:ind w:left="0" w:leftChars="0" w:firstLine="241" w:firstLineChars="100"/>
        <w:rPr>
          <w:rFonts w:hint="eastAsia" w:ascii="宋体" w:hAnsi="宋体" w:cs="宋体"/>
          <w:b/>
          <w:color w:val="auto"/>
          <w:sz w:val="24"/>
          <w:highlight w:val="none"/>
        </w:rPr>
      </w:pPr>
    </w:p>
    <w:p w14:paraId="717EF7C5">
      <w:pPr>
        <w:pStyle w:val="2"/>
        <w:spacing w:line="460" w:lineRule="exact"/>
        <w:ind w:left="0" w:leftChars="0" w:firstLine="241" w:firstLineChars="100"/>
        <w:rPr>
          <w:rFonts w:hint="eastAsia" w:ascii="宋体" w:hAnsi="宋体" w:cs="宋体"/>
          <w:b/>
          <w:color w:val="auto"/>
          <w:sz w:val="24"/>
          <w:highlight w:val="none"/>
        </w:rPr>
        <w:sectPr>
          <w:headerReference r:id="rId9" w:type="default"/>
          <w:footerReference r:id="rId10" w:type="default"/>
          <w:pgSz w:w="11906" w:h="16838"/>
          <w:pgMar w:top="1440" w:right="1134" w:bottom="1304" w:left="1361" w:header="851" w:footer="992" w:gutter="0"/>
          <w:cols w:space="720" w:num="1"/>
          <w:titlePg/>
          <w:docGrid w:linePitch="312" w:charSpace="0"/>
        </w:sectPr>
      </w:pPr>
    </w:p>
    <w:p w14:paraId="4D4B6B50">
      <w:pPr>
        <w:spacing w:line="480" w:lineRule="auto"/>
        <w:ind w:firstLine="2398" w:firstLineChars="853"/>
        <w:rPr>
          <w:rFonts w:hint="eastAsia" w:ascii="宋体" w:hAnsi="宋体" w:cs="宋体"/>
          <w:b/>
          <w:bCs/>
          <w:color w:val="auto"/>
          <w:sz w:val="28"/>
          <w:szCs w:val="28"/>
          <w:highlight w:val="none"/>
        </w:rPr>
      </w:pPr>
      <w:bookmarkStart w:id="146" w:name="_Toc21597_WPSOffice_Level1"/>
      <w:r>
        <w:rPr>
          <w:rFonts w:hint="eastAsia" w:ascii="宋体" w:hAnsi="宋体" w:cs="宋体"/>
          <w:b/>
          <w:bCs/>
          <w:color w:val="auto"/>
          <w:sz w:val="28"/>
          <w:szCs w:val="28"/>
          <w:highlight w:val="none"/>
        </w:rPr>
        <w:t xml:space="preserve"> </w:t>
      </w:r>
    </w:p>
    <w:p w14:paraId="6CE307B7">
      <w:pPr>
        <w:spacing w:line="480" w:lineRule="auto"/>
        <w:ind w:firstLine="2398" w:firstLineChars="853"/>
        <w:rPr>
          <w:rFonts w:hint="eastAsia" w:ascii="宋体" w:hAnsi="宋体" w:cs="宋体"/>
          <w:b/>
          <w:bCs/>
          <w:color w:val="auto"/>
          <w:sz w:val="28"/>
          <w:szCs w:val="28"/>
          <w:highlight w:val="none"/>
        </w:rPr>
      </w:pPr>
    </w:p>
    <w:p w14:paraId="454DC561">
      <w:pPr>
        <w:spacing w:line="480" w:lineRule="auto"/>
        <w:ind w:firstLine="2398" w:firstLineChars="853"/>
        <w:rPr>
          <w:rFonts w:hint="eastAsia" w:ascii="宋体" w:hAnsi="宋体" w:cs="宋体"/>
          <w:b/>
          <w:bCs/>
          <w:color w:val="auto"/>
          <w:sz w:val="28"/>
          <w:szCs w:val="28"/>
          <w:highlight w:val="none"/>
        </w:rPr>
      </w:pPr>
    </w:p>
    <w:p w14:paraId="096E127F">
      <w:pPr>
        <w:spacing w:line="480" w:lineRule="auto"/>
        <w:ind w:firstLine="2398" w:firstLineChars="853"/>
        <w:rPr>
          <w:rFonts w:hint="eastAsia" w:ascii="宋体" w:hAnsi="宋体" w:cs="宋体"/>
          <w:b/>
          <w:bCs/>
          <w:color w:val="auto"/>
          <w:sz w:val="28"/>
          <w:szCs w:val="28"/>
          <w:highlight w:val="none"/>
        </w:rPr>
      </w:pPr>
    </w:p>
    <w:p w14:paraId="40F95FFB">
      <w:pPr>
        <w:spacing w:line="480" w:lineRule="auto"/>
        <w:ind w:firstLine="2398" w:firstLineChars="853"/>
        <w:rPr>
          <w:rFonts w:hint="eastAsia" w:ascii="宋体" w:hAnsi="宋体" w:cs="宋体"/>
          <w:b/>
          <w:bCs/>
          <w:color w:val="auto"/>
          <w:sz w:val="28"/>
          <w:szCs w:val="28"/>
          <w:highlight w:val="none"/>
        </w:rPr>
      </w:pPr>
    </w:p>
    <w:p w14:paraId="025BEF1C">
      <w:pPr>
        <w:spacing w:line="48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供应商需说明的其它问题</w:t>
      </w:r>
      <w:bookmarkEnd w:id="146"/>
    </w:p>
    <w:p w14:paraId="2D42AFF1">
      <w:pPr>
        <w:pStyle w:val="2"/>
        <w:spacing w:line="460" w:lineRule="exact"/>
        <w:ind w:left="0" w:leftChars="0" w:firstLine="241" w:firstLineChars="100"/>
        <w:rPr>
          <w:rFonts w:hint="eastAsia" w:ascii="宋体" w:hAnsi="宋体" w:cs="宋体"/>
          <w:b/>
          <w:color w:val="auto"/>
          <w:sz w:val="24"/>
          <w:highlight w:val="none"/>
        </w:rPr>
        <w:sectPr>
          <w:pgSz w:w="11906" w:h="16838"/>
          <w:pgMar w:top="1440" w:right="1134" w:bottom="1304" w:left="1361" w:header="851" w:footer="992" w:gutter="0"/>
          <w:cols w:space="720" w:num="1"/>
          <w:titlePg/>
          <w:docGrid w:linePitch="312" w:charSpace="0"/>
        </w:sectPr>
      </w:pPr>
    </w:p>
    <w:p w14:paraId="2B141168">
      <w:pPr>
        <w:spacing w:line="500" w:lineRule="exact"/>
        <w:jc w:val="left"/>
        <w:rPr>
          <w:rFonts w:hint="eastAsia" w:ascii="宋体" w:hAnsi="宋体" w:cs="宋体"/>
          <w:b/>
          <w:color w:val="auto"/>
          <w:sz w:val="36"/>
          <w:szCs w:val="44"/>
          <w:highlight w:val="none"/>
        </w:rPr>
      </w:pPr>
      <w:r>
        <w:rPr>
          <w:rFonts w:hint="eastAsia" w:ascii="宋体" w:hAnsi="宋体" w:cs="宋体"/>
          <w:b/>
          <w:color w:val="auto"/>
          <w:sz w:val="32"/>
          <w:szCs w:val="32"/>
          <w:highlight w:val="none"/>
        </w:rPr>
        <w:t>附件1</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w:t>
      </w:r>
      <w:r>
        <w:rPr>
          <w:rFonts w:hint="eastAsia" w:ascii="宋体" w:hAnsi="宋体" w:cs="宋体"/>
          <w:b/>
          <w:color w:val="auto"/>
          <w:sz w:val="36"/>
          <w:szCs w:val="44"/>
          <w:highlight w:val="none"/>
        </w:rPr>
        <w:t>质疑函格式</w:t>
      </w:r>
    </w:p>
    <w:p w14:paraId="20E1B29D">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质疑函</w:t>
      </w:r>
    </w:p>
    <w:p w14:paraId="14A07ED8">
      <w:pPr>
        <w:adjustRightInd w:val="0"/>
        <w:snapToGrid w:val="0"/>
        <w:spacing w:before="240" w:beforeLines="100" w:line="400" w:lineRule="exact"/>
        <w:rPr>
          <w:rFonts w:hint="eastAsia" w:ascii="宋体" w:hAnsi="宋体" w:cs="宋体"/>
          <w:bCs/>
          <w:color w:val="auto"/>
          <w:highlight w:val="none"/>
        </w:rPr>
      </w:pPr>
      <w:r>
        <w:rPr>
          <w:rFonts w:hint="eastAsia" w:ascii="宋体" w:hAnsi="宋体" w:cs="宋体"/>
          <w:bCs/>
          <w:color w:val="auto"/>
          <w:highlight w:val="none"/>
        </w:rPr>
        <w:t>一、质疑供应商基本信息</w:t>
      </w:r>
    </w:p>
    <w:p w14:paraId="75C27A61">
      <w:pPr>
        <w:adjustRightInd w:val="0"/>
        <w:snapToGrid w:val="0"/>
        <w:spacing w:line="400" w:lineRule="exact"/>
        <w:rPr>
          <w:rFonts w:hint="eastAsia"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single"/>
        </w:rPr>
        <w:t xml:space="preserve">                   </w:t>
      </w:r>
    </w:p>
    <w:p w14:paraId="483F0883">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w:t>
      </w:r>
    </w:p>
    <w:p w14:paraId="4869C242">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联  系  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u w:val="single"/>
        </w:rPr>
        <w:t xml:space="preserve">                     </w:t>
      </w:r>
    </w:p>
    <w:p w14:paraId="7D12A0F3">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授权代表：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u w:val="single"/>
        </w:rPr>
        <w:t xml:space="preserve">                     </w:t>
      </w:r>
    </w:p>
    <w:p w14:paraId="0606590C">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 xml:space="preserve">地    址：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w:t>
      </w:r>
    </w:p>
    <w:p w14:paraId="3A621338">
      <w:pPr>
        <w:adjustRightInd w:val="0"/>
        <w:snapToGrid w:val="0"/>
        <w:spacing w:line="400" w:lineRule="exact"/>
        <w:rPr>
          <w:rFonts w:hint="eastAsia" w:ascii="宋体" w:hAnsi="宋体" w:cs="宋体"/>
          <w:bCs/>
          <w:color w:val="auto"/>
          <w:highlight w:val="none"/>
        </w:rPr>
      </w:pPr>
      <w:r>
        <w:rPr>
          <w:rFonts w:hint="eastAsia" w:ascii="宋体" w:hAnsi="宋体" w:cs="宋体"/>
          <w:bCs/>
          <w:color w:val="auto"/>
          <w:highlight w:val="none"/>
        </w:rPr>
        <w:t>二、质疑项目基本情况</w:t>
      </w:r>
    </w:p>
    <w:p w14:paraId="4B80F6C1">
      <w:pPr>
        <w:adjustRightInd w:val="0"/>
        <w:snapToGrid w:val="0"/>
        <w:spacing w:line="400" w:lineRule="exact"/>
        <w:rPr>
          <w:rFonts w:hint="eastAsia" w:ascii="宋体" w:hAnsi="宋体" w:cs="宋体"/>
          <w:color w:val="auto"/>
          <w:highlight w:val="none"/>
          <w:u w:val="single"/>
        </w:rPr>
      </w:pPr>
      <w:r>
        <w:rPr>
          <w:rFonts w:hint="eastAsia" w:ascii="宋体" w:hAnsi="宋体" w:cs="宋体"/>
          <w:color w:val="auto"/>
          <w:highlight w:val="none"/>
        </w:rPr>
        <w:t>质疑项目的名称：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质疑项目的编号：</w:t>
      </w:r>
      <w:r>
        <w:rPr>
          <w:rFonts w:hint="eastAsia" w:ascii="宋体" w:hAnsi="宋体" w:cs="宋体"/>
          <w:color w:val="auto"/>
          <w:highlight w:val="none"/>
          <w:u w:val="single"/>
        </w:rPr>
        <w:t xml:space="preserve">                   </w:t>
      </w:r>
    </w:p>
    <w:p w14:paraId="751EF1C8">
      <w:pPr>
        <w:adjustRightInd w:val="0"/>
        <w:snapToGrid w:val="0"/>
        <w:spacing w:line="400" w:lineRule="exact"/>
        <w:rPr>
          <w:rFonts w:hint="eastAsia" w:ascii="宋体" w:hAnsi="宋体" w:cs="宋体"/>
          <w:color w:val="auto"/>
          <w:highlight w:val="none"/>
          <w:u w:val="dotted"/>
        </w:rPr>
      </w:pPr>
      <w:r>
        <w:rPr>
          <w:rFonts w:hint="eastAsia" w:ascii="宋体" w:hAnsi="宋体" w:cs="宋体"/>
          <w:color w:val="auto"/>
          <w:highlight w:val="none"/>
        </w:rPr>
        <w:t>包      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采购人名称：</w:t>
      </w:r>
      <w:r>
        <w:rPr>
          <w:rFonts w:hint="eastAsia" w:ascii="宋体" w:hAnsi="宋体" w:cs="宋体"/>
          <w:color w:val="auto"/>
          <w:highlight w:val="none"/>
          <w:u w:val="single"/>
        </w:rPr>
        <w:t xml:space="preserve">                      </w:t>
      </w:r>
    </w:p>
    <w:p w14:paraId="09E81CA3">
      <w:pPr>
        <w:adjustRightInd w:val="0"/>
        <w:snapToGrid w:val="0"/>
        <w:spacing w:line="400" w:lineRule="exact"/>
        <w:rPr>
          <w:rFonts w:hint="eastAsia" w:ascii="宋体" w:hAnsi="宋体" w:cs="宋体"/>
          <w:color w:val="auto"/>
          <w:highlight w:val="none"/>
          <w:u w:val="single"/>
        </w:rPr>
      </w:pPr>
      <w:r>
        <w:rPr>
          <w:rFonts w:hint="eastAsia" w:ascii="宋体" w:hAnsi="宋体" w:cs="宋体"/>
          <w:color w:val="auto"/>
          <w:highlight w:val="none"/>
        </w:rPr>
        <w:t>采购文件获取日期：</w:t>
      </w:r>
      <w:r>
        <w:rPr>
          <w:rFonts w:hint="eastAsia" w:ascii="宋体" w:hAnsi="宋体" w:cs="宋体"/>
          <w:color w:val="auto"/>
          <w:highlight w:val="none"/>
          <w:u w:val="single"/>
        </w:rPr>
        <w:t xml:space="preserve">                   </w:t>
      </w:r>
    </w:p>
    <w:p w14:paraId="7178FC8A">
      <w:pPr>
        <w:adjustRightInd w:val="0"/>
        <w:snapToGrid w:val="0"/>
        <w:spacing w:line="400" w:lineRule="exact"/>
        <w:rPr>
          <w:rFonts w:hint="eastAsia" w:ascii="宋体" w:hAnsi="宋体" w:cs="宋体"/>
          <w:bCs/>
          <w:color w:val="auto"/>
          <w:highlight w:val="none"/>
        </w:rPr>
      </w:pPr>
      <w:r>
        <w:rPr>
          <w:rFonts w:hint="eastAsia" w:ascii="宋体" w:hAnsi="宋体" w:cs="宋体"/>
          <w:bCs/>
          <w:color w:val="auto"/>
          <w:highlight w:val="none"/>
        </w:rPr>
        <w:t>三、质疑事项具体内容</w:t>
      </w:r>
    </w:p>
    <w:p w14:paraId="48625519">
      <w:pPr>
        <w:adjustRightInd w:val="0"/>
        <w:snapToGrid w:val="0"/>
        <w:spacing w:line="400" w:lineRule="exact"/>
        <w:rPr>
          <w:rFonts w:hint="eastAsia" w:ascii="宋体" w:hAnsi="宋体" w:cs="宋体"/>
          <w:color w:val="auto"/>
          <w:highlight w:val="none"/>
          <w:u w:val="dotted"/>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14:paraId="1BD647D2">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事实依据：</w:t>
      </w:r>
      <w:r>
        <w:rPr>
          <w:rFonts w:hint="eastAsia" w:ascii="宋体" w:hAnsi="宋体" w:cs="宋体"/>
          <w:color w:val="auto"/>
          <w:highlight w:val="none"/>
          <w:u w:val="single"/>
        </w:rPr>
        <w:t xml:space="preserve">                   </w:t>
      </w:r>
    </w:p>
    <w:p w14:paraId="49A83970">
      <w:pPr>
        <w:adjustRightInd w:val="0"/>
        <w:snapToGrid w:val="0"/>
        <w:spacing w:line="400" w:lineRule="exact"/>
        <w:rPr>
          <w:rFonts w:hint="eastAsia"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single"/>
        </w:rPr>
        <w:t xml:space="preserve">                   </w:t>
      </w:r>
    </w:p>
    <w:p w14:paraId="222244FF">
      <w:pPr>
        <w:adjustRightInd w:val="0"/>
        <w:snapToGrid w:val="0"/>
        <w:spacing w:line="400" w:lineRule="exact"/>
        <w:rPr>
          <w:rFonts w:hint="eastAsia" w:ascii="宋体" w:hAnsi="宋体" w:cs="宋体"/>
          <w:color w:val="auto"/>
          <w:highlight w:val="none"/>
          <w:u w:val="dotted"/>
        </w:rPr>
      </w:pPr>
      <w:r>
        <w:rPr>
          <w:rFonts w:hint="eastAsia" w:ascii="宋体" w:hAnsi="宋体" w:cs="宋体"/>
          <w:color w:val="auto"/>
          <w:highlight w:val="none"/>
        </w:rPr>
        <w:t>质疑事项2</w:t>
      </w:r>
    </w:p>
    <w:p w14:paraId="7759451D">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w:t>
      </w:r>
    </w:p>
    <w:p w14:paraId="739252D2">
      <w:pPr>
        <w:adjustRightInd w:val="0"/>
        <w:snapToGrid w:val="0"/>
        <w:spacing w:line="400" w:lineRule="exact"/>
        <w:rPr>
          <w:rFonts w:hint="eastAsia" w:ascii="宋体" w:hAnsi="宋体" w:cs="宋体"/>
          <w:bCs/>
          <w:color w:val="auto"/>
          <w:highlight w:val="none"/>
        </w:rPr>
      </w:pPr>
      <w:r>
        <w:rPr>
          <w:rFonts w:hint="eastAsia" w:ascii="宋体" w:hAnsi="宋体" w:cs="宋体"/>
          <w:bCs/>
          <w:color w:val="auto"/>
          <w:highlight w:val="none"/>
        </w:rPr>
        <w:t>四、与质疑事项相关的质疑请求</w:t>
      </w:r>
    </w:p>
    <w:p w14:paraId="0010EEC0">
      <w:pPr>
        <w:spacing w:line="400" w:lineRule="exact"/>
        <w:rPr>
          <w:rFonts w:hint="eastAsia" w:ascii="宋体" w:hAnsi="宋体" w:cs="宋体"/>
          <w:color w:val="auto"/>
          <w:highlight w:val="none"/>
          <w:u w:val="single"/>
        </w:rPr>
      </w:pPr>
      <w:r>
        <w:rPr>
          <w:rFonts w:hint="eastAsia" w:ascii="宋体" w:hAnsi="宋体" w:cs="宋体"/>
          <w:color w:val="auto"/>
          <w:highlight w:val="none"/>
        </w:rPr>
        <w:t>请    求：</w:t>
      </w:r>
      <w:r>
        <w:rPr>
          <w:rFonts w:hint="eastAsia" w:ascii="宋体" w:hAnsi="宋体" w:cs="宋体"/>
          <w:color w:val="auto"/>
          <w:highlight w:val="none"/>
          <w:u w:val="single"/>
        </w:rPr>
        <w:t xml:space="preserve">                   </w:t>
      </w:r>
    </w:p>
    <w:p w14:paraId="7B1F4267">
      <w:pPr>
        <w:spacing w:line="400" w:lineRule="exact"/>
        <w:rPr>
          <w:rFonts w:hint="eastAsia" w:ascii="宋体" w:hAnsi="宋体" w:cs="宋体"/>
          <w:color w:val="auto"/>
          <w:highlight w:val="none"/>
        </w:rPr>
      </w:pPr>
      <w:r>
        <w:rPr>
          <w:rFonts w:hint="eastAsia" w:ascii="宋体" w:hAnsi="宋体" w:cs="宋体"/>
          <w:color w:val="auto"/>
          <w:highlight w:val="none"/>
        </w:rPr>
        <w:t>签字(签章)：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0D06932">
      <w:pPr>
        <w:spacing w:line="400" w:lineRule="exact"/>
        <w:rPr>
          <w:rFonts w:hint="eastAsia" w:ascii="宋体" w:hAnsi="宋体" w:cs="宋体"/>
          <w:color w:val="auto"/>
          <w:highlight w:val="none"/>
        </w:rPr>
      </w:pPr>
      <w:r>
        <w:rPr>
          <w:rFonts w:hint="eastAsia" w:ascii="宋体" w:hAnsi="宋体" w:cs="宋体"/>
          <w:color w:val="auto"/>
          <w:highlight w:val="none"/>
        </w:rPr>
        <w:t>公    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434E17D">
      <w:pPr>
        <w:spacing w:line="400" w:lineRule="exact"/>
        <w:rPr>
          <w:rFonts w:hint="eastAsia" w:ascii="宋体" w:hAnsi="宋体" w:cs="宋体"/>
          <w:color w:val="auto"/>
          <w:highlight w:val="none"/>
        </w:rPr>
      </w:pPr>
      <w:r>
        <w:rPr>
          <w:rFonts w:hint="eastAsia" w:ascii="宋体" w:hAnsi="宋体" w:cs="宋体"/>
          <w:color w:val="auto"/>
          <w:highlight w:val="none"/>
        </w:rPr>
        <w:t xml:space="preserve">日    期：    </w:t>
      </w:r>
    </w:p>
    <w:p w14:paraId="39842641">
      <w:pPr>
        <w:spacing w:line="400" w:lineRule="exact"/>
        <w:rPr>
          <w:rFonts w:hint="eastAsia" w:ascii="宋体" w:hAnsi="宋体" w:cs="宋体"/>
          <w:b/>
          <w:color w:val="auto"/>
          <w:highlight w:val="none"/>
        </w:rPr>
      </w:pPr>
      <w:r>
        <w:rPr>
          <w:rFonts w:hint="eastAsia" w:ascii="宋体" w:hAnsi="宋体" w:cs="宋体"/>
          <w:b/>
          <w:color w:val="auto"/>
          <w:highlight w:val="none"/>
        </w:rPr>
        <w:t>注：质疑函制作说明</w:t>
      </w:r>
    </w:p>
    <w:p w14:paraId="2EE3925A">
      <w:pPr>
        <w:widowControl/>
        <w:spacing w:line="3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40A9DAAF">
      <w:pPr>
        <w:widowControl/>
        <w:spacing w:line="3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13B150">
      <w:pPr>
        <w:widowControl/>
        <w:spacing w:line="3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68666D21">
      <w:pPr>
        <w:widowControl/>
        <w:spacing w:line="3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49CFE59D">
      <w:pPr>
        <w:widowControl/>
        <w:spacing w:line="3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5.质疑函的质疑请求应与质疑事项相关。</w:t>
      </w:r>
    </w:p>
    <w:p w14:paraId="0531AF87">
      <w:pPr>
        <w:widowControl/>
        <w:spacing w:line="3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6DA50969">
      <w:pPr>
        <w:widowControl/>
        <w:spacing w:line="340" w:lineRule="exact"/>
        <w:ind w:firstLine="420" w:firstLineChars="200"/>
        <w:jc w:val="left"/>
        <w:rPr>
          <w:rFonts w:hint="eastAsia" w:ascii="宋体" w:hAnsi="宋体" w:cs="宋体"/>
          <w:color w:val="auto"/>
          <w:highlight w:val="none"/>
        </w:rPr>
      </w:pPr>
    </w:p>
    <w:p w14:paraId="4E283966">
      <w:pPr>
        <w:widowControl/>
        <w:spacing w:line="340" w:lineRule="exact"/>
        <w:ind w:firstLine="420" w:firstLineChars="200"/>
        <w:jc w:val="left"/>
        <w:rPr>
          <w:rFonts w:hint="eastAsia" w:ascii="宋体" w:hAnsi="宋体" w:cs="宋体"/>
          <w:color w:val="auto"/>
          <w:highlight w:val="none"/>
        </w:rPr>
      </w:pPr>
    </w:p>
    <w:p w14:paraId="1E84FD68">
      <w:pPr>
        <w:spacing w:line="500" w:lineRule="exact"/>
        <w:rPr>
          <w:rFonts w:hint="eastAsia" w:ascii="宋体" w:hAnsi="宋体" w:cs="宋体"/>
          <w:b/>
          <w:color w:val="auto"/>
          <w:sz w:val="36"/>
          <w:szCs w:val="44"/>
          <w:highlight w:val="none"/>
        </w:rPr>
      </w:pPr>
      <w:r>
        <w:rPr>
          <w:rFonts w:hint="eastAsia" w:ascii="宋体" w:hAnsi="宋体" w:cs="宋体"/>
          <w:b/>
          <w:color w:val="auto"/>
          <w:sz w:val="36"/>
          <w:szCs w:val="44"/>
          <w:highlight w:val="none"/>
        </w:rPr>
        <w:t>附件1</w:t>
      </w:r>
      <w:r>
        <w:rPr>
          <w:rFonts w:hint="eastAsia" w:ascii="宋体" w:hAnsi="宋体" w:cs="宋体"/>
          <w:b/>
          <w:color w:val="auto"/>
          <w:sz w:val="36"/>
          <w:szCs w:val="44"/>
          <w:highlight w:val="none"/>
          <w:lang w:val="en-US" w:eastAsia="zh-CN"/>
        </w:rPr>
        <w:t>3</w:t>
      </w:r>
      <w:r>
        <w:rPr>
          <w:rFonts w:hint="eastAsia" w:ascii="宋体" w:hAnsi="宋体" w:cs="宋体"/>
          <w:b/>
          <w:color w:val="auto"/>
          <w:sz w:val="36"/>
          <w:szCs w:val="44"/>
          <w:highlight w:val="none"/>
        </w:rPr>
        <w:t>：投诉书格式</w:t>
      </w:r>
    </w:p>
    <w:p w14:paraId="5F0E83D2">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投诉书</w:t>
      </w:r>
    </w:p>
    <w:p w14:paraId="74FA3D3B">
      <w:pPr>
        <w:spacing w:line="440" w:lineRule="exact"/>
        <w:rPr>
          <w:rFonts w:hint="eastAsia" w:ascii="宋体" w:hAnsi="宋体" w:cs="宋体"/>
          <w:color w:val="auto"/>
          <w:highlight w:val="none"/>
        </w:rPr>
      </w:pPr>
      <w:r>
        <w:rPr>
          <w:rFonts w:hint="eastAsia" w:ascii="宋体" w:hAnsi="宋体" w:cs="宋体"/>
          <w:color w:val="auto"/>
          <w:highlight w:val="none"/>
        </w:rPr>
        <w:t>一、投诉相关主体基本情况</w:t>
      </w:r>
    </w:p>
    <w:p w14:paraId="61E07759">
      <w:pPr>
        <w:spacing w:line="440" w:lineRule="exact"/>
        <w:rPr>
          <w:rFonts w:hint="eastAsia" w:ascii="宋体" w:hAnsi="宋体" w:cs="宋体"/>
          <w:color w:val="auto"/>
          <w:highlight w:val="none"/>
        </w:rPr>
      </w:pPr>
      <w:r>
        <w:rPr>
          <w:rFonts w:hint="eastAsia" w:ascii="宋体" w:hAnsi="宋体" w:cs="宋体"/>
          <w:color w:val="auto"/>
          <w:highlight w:val="none"/>
        </w:rPr>
        <w:t>投 诉 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CBDBAD4">
      <w:pPr>
        <w:spacing w:line="440" w:lineRule="exact"/>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E8859AA">
      <w:pPr>
        <w:spacing w:line="440" w:lineRule="exact"/>
        <w:rPr>
          <w:rFonts w:hint="eastAsia" w:ascii="宋体" w:hAnsi="宋体" w:cs="宋体"/>
          <w:color w:val="auto"/>
          <w:highlight w:val="none"/>
          <w:u w:val="dotted"/>
        </w:rPr>
      </w:pPr>
      <w:r>
        <w:rPr>
          <w:rFonts w:hint="eastAsia" w:ascii="宋体" w:hAnsi="宋体" w:cs="宋体"/>
          <w:color w:val="auto"/>
          <w:highlight w:val="none"/>
        </w:rPr>
        <w:t>法定代表人/主要负责人：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3E6599E">
      <w:pPr>
        <w:spacing w:line="440" w:lineRule="exact"/>
        <w:rPr>
          <w:rFonts w:hint="eastAsia"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u w:val="dotted"/>
        </w:rPr>
        <w:t>：</w:t>
      </w:r>
      <w:r>
        <w:rPr>
          <w:rFonts w:hint="eastAsia" w:ascii="宋体" w:hAnsi="宋体" w:cs="宋体"/>
          <w:color w:val="auto"/>
          <w:highlight w:val="none"/>
          <w:u w:val="single"/>
        </w:rPr>
        <w:t xml:space="preserve">                      </w:t>
      </w:r>
    </w:p>
    <w:p w14:paraId="106C23D0">
      <w:pPr>
        <w:spacing w:line="440" w:lineRule="exact"/>
        <w:rPr>
          <w:rFonts w:hint="eastAsia" w:ascii="宋体" w:hAnsi="宋体" w:cs="宋体"/>
          <w:color w:val="auto"/>
          <w:highlight w:val="none"/>
          <w:u w:val="dotted"/>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w:t>
      </w:r>
    </w:p>
    <w:p w14:paraId="2D70A0F8">
      <w:pPr>
        <w:spacing w:line="440" w:lineRule="exact"/>
        <w:rPr>
          <w:rFonts w:hint="eastAsia" w:ascii="宋体" w:hAnsi="宋体" w:cs="宋体"/>
          <w:color w:val="auto"/>
          <w:highlight w:val="none"/>
          <w:u w:val="single"/>
        </w:rPr>
      </w:pPr>
      <w:r>
        <w:rPr>
          <w:rFonts w:hint="eastAsia" w:ascii="宋体" w:hAnsi="宋体" w:cs="宋体"/>
          <w:color w:val="auto"/>
          <w:highlight w:val="none"/>
        </w:rPr>
        <w:t>被投诉人1：</w:t>
      </w:r>
      <w:r>
        <w:rPr>
          <w:rFonts w:hint="eastAsia" w:ascii="宋体" w:hAnsi="宋体" w:cs="宋体"/>
          <w:color w:val="auto"/>
          <w:highlight w:val="none"/>
          <w:u w:val="single"/>
        </w:rPr>
        <w:t xml:space="preserve">                    </w:t>
      </w:r>
    </w:p>
    <w:p w14:paraId="5850880E">
      <w:pPr>
        <w:spacing w:line="440" w:lineRule="exact"/>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w:t>
      </w:r>
    </w:p>
    <w:p w14:paraId="01CC21A5">
      <w:pPr>
        <w:spacing w:line="440" w:lineRule="exact"/>
        <w:rPr>
          <w:rFonts w:hint="eastAsia" w:ascii="宋体" w:hAnsi="宋体" w:cs="宋体"/>
          <w:color w:val="auto"/>
          <w:highlight w:val="none"/>
          <w:u w:val="single"/>
        </w:rPr>
      </w:pPr>
      <w:r>
        <w:rPr>
          <w:rFonts w:hint="eastAsia" w:ascii="宋体" w:hAnsi="宋体" w:cs="宋体"/>
          <w:color w:val="auto"/>
          <w:highlight w:val="none"/>
        </w:rPr>
        <w:t>联  系  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u w:val="single"/>
        </w:rPr>
        <w:t xml:space="preserve">                      </w:t>
      </w:r>
    </w:p>
    <w:p w14:paraId="7E3E6EB7">
      <w:pPr>
        <w:spacing w:line="440" w:lineRule="exact"/>
        <w:rPr>
          <w:rFonts w:hint="eastAsia" w:ascii="宋体" w:hAnsi="宋体" w:cs="宋体"/>
          <w:color w:val="auto"/>
          <w:highlight w:val="none"/>
        </w:rPr>
      </w:pPr>
      <w:r>
        <w:rPr>
          <w:rFonts w:hint="eastAsia" w:ascii="宋体" w:hAnsi="宋体" w:cs="宋体"/>
          <w:color w:val="auto"/>
          <w:highlight w:val="none"/>
        </w:rPr>
        <w:t>被投诉人2</w:t>
      </w:r>
    </w:p>
    <w:p w14:paraId="31E34833">
      <w:pPr>
        <w:spacing w:line="440" w:lineRule="exact"/>
        <w:rPr>
          <w:rFonts w:hint="eastAsia" w:ascii="宋体" w:hAnsi="宋体" w:cs="宋体"/>
          <w:color w:val="auto"/>
          <w:highlight w:val="none"/>
          <w:u w:val="dotted"/>
        </w:rPr>
      </w:pPr>
      <w:r>
        <w:rPr>
          <w:rFonts w:hint="eastAsia" w:ascii="宋体" w:hAnsi="宋体" w:cs="宋体"/>
          <w:color w:val="auto"/>
          <w:highlight w:val="none"/>
        </w:rPr>
        <w:t>……</w:t>
      </w:r>
    </w:p>
    <w:p w14:paraId="6F232040">
      <w:pPr>
        <w:spacing w:line="440" w:lineRule="exact"/>
        <w:rPr>
          <w:rFonts w:hint="eastAsia" w:ascii="宋体" w:hAnsi="宋体" w:cs="宋体"/>
          <w:color w:val="auto"/>
          <w:highlight w:val="none"/>
          <w:u w:val="single"/>
        </w:rPr>
      </w:pPr>
      <w:r>
        <w:rPr>
          <w:rFonts w:hint="eastAsia" w:ascii="宋体" w:hAnsi="宋体" w:cs="宋体"/>
          <w:color w:val="auto"/>
          <w:highlight w:val="none"/>
        </w:rPr>
        <w:t>相关供应商：</w:t>
      </w:r>
      <w:r>
        <w:rPr>
          <w:rFonts w:hint="eastAsia" w:ascii="宋体" w:hAnsi="宋体" w:cs="宋体"/>
          <w:color w:val="auto"/>
          <w:highlight w:val="none"/>
          <w:u w:val="single"/>
        </w:rPr>
        <w:t xml:space="preserve">                    </w:t>
      </w:r>
    </w:p>
    <w:p w14:paraId="0D831726">
      <w:pPr>
        <w:spacing w:line="440" w:lineRule="exact"/>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     编：</w:t>
      </w:r>
      <w:r>
        <w:rPr>
          <w:rFonts w:hint="eastAsia" w:ascii="宋体" w:hAnsi="宋体" w:cs="宋体"/>
          <w:color w:val="auto"/>
          <w:highlight w:val="none"/>
          <w:u w:val="single"/>
        </w:rPr>
        <w:t xml:space="preserve">                      </w:t>
      </w:r>
    </w:p>
    <w:p w14:paraId="59128DC8">
      <w:pPr>
        <w:spacing w:line="440" w:lineRule="exact"/>
        <w:rPr>
          <w:rFonts w:hint="eastAsia" w:ascii="宋体" w:hAnsi="宋体" w:cs="宋体"/>
          <w:color w:val="auto"/>
          <w:highlight w:val="none"/>
          <w:u w:val="single"/>
        </w:rPr>
      </w:pPr>
      <w:r>
        <w:rPr>
          <w:rFonts w:hint="eastAsia" w:ascii="宋体" w:hAnsi="宋体" w:cs="宋体"/>
          <w:color w:val="auto"/>
          <w:highlight w:val="none"/>
        </w:rPr>
        <w:t>联  系  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u w:val="single"/>
        </w:rPr>
        <w:t xml:space="preserve">                         </w:t>
      </w:r>
    </w:p>
    <w:p w14:paraId="5C182089">
      <w:pPr>
        <w:spacing w:line="440" w:lineRule="exact"/>
        <w:rPr>
          <w:rFonts w:hint="eastAsia" w:ascii="宋体" w:hAnsi="宋体" w:cs="宋体"/>
          <w:color w:val="auto"/>
          <w:highlight w:val="none"/>
        </w:rPr>
      </w:pPr>
      <w:r>
        <w:rPr>
          <w:rFonts w:hint="eastAsia" w:ascii="宋体" w:hAnsi="宋体" w:cs="宋体"/>
          <w:color w:val="auto"/>
          <w:highlight w:val="none"/>
        </w:rPr>
        <w:t>二、投诉项目基本情况</w:t>
      </w:r>
    </w:p>
    <w:p w14:paraId="0493B3AD">
      <w:pPr>
        <w:spacing w:line="440" w:lineRule="exact"/>
        <w:rPr>
          <w:rFonts w:hint="eastAsia" w:ascii="宋体" w:hAnsi="宋体" w:cs="宋体"/>
          <w:color w:val="auto"/>
          <w:highlight w:val="none"/>
          <w:u w:val="single"/>
        </w:rPr>
      </w:pPr>
      <w:r>
        <w:rPr>
          <w:rFonts w:hint="eastAsia" w:ascii="宋体" w:hAnsi="宋体" w:cs="宋体"/>
          <w:color w:val="auto"/>
          <w:highlight w:val="none"/>
        </w:rPr>
        <w:t>采购项目名称：</w:t>
      </w:r>
      <w:r>
        <w:rPr>
          <w:rFonts w:hint="eastAsia" w:ascii="宋体" w:hAnsi="宋体" w:cs="宋体"/>
          <w:color w:val="auto"/>
          <w:highlight w:val="none"/>
          <w:u w:val="single"/>
        </w:rPr>
        <w:t xml:space="preserve">                   </w:t>
      </w:r>
    </w:p>
    <w:p w14:paraId="6CDA3758">
      <w:pPr>
        <w:spacing w:line="440" w:lineRule="exact"/>
        <w:rPr>
          <w:rFonts w:hint="eastAsia" w:ascii="宋体" w:hAnsi="宋体" w:cs="宋体"/>
          <w:color w:val="auto"/>
          <w:highlight w:val="none"/>
          <w:u w:val="single"/>
        </w:rPr>
      </w:pPr>
      <w:r>
        <w:rPr>
          <w:rFonts w:hint="eastAsia" w:ascii="宋体" w:hAnsi="宋体" w:cs="宋体"/>
          <w:color w:val="auto"/>
          <w:highlight w:val="none"/>
        </w:rPr>
        <w:t>采购项目编号：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包        号：</w:t>
      </w:r>
      <w:r>
        <w:rPr>
          <w:rFonts w:hint="eastAsia" w:ascii="宋体" w:hAnsi="宋体" w:cs="宋体"/>
          <w:color w:val="auto"/>
          <w:highlight w:val="none"/>
          <w:u w:val="single"/>
        </w:rPr>
        <w:t xml:space="preserve">                    </w:t>
      </w:r>
    </w:p>
    <w:p w14:paraId="00DFC8D8">
      <w:pPr>
        <w:spacing w:line="440" w:lineRule="exact"/>
        <w:rPr>
          <w:rFonts w:hint="eastAsia" w:ascii="宋体" w:hAnsi="宋体" w:cs="宋体"/>
          <w:color w:val="auto"/>
          <w:highlight w:val="none"/>
          <w:u w:val="single"/>
        </w:rPr>
      </w:pPr>
      <w:r>
        <w:rPr>
          <w:rFonts w:hint="eastAsia" w:ascii="宋体" w:hAnsi="宋体" w:cs="宋体"/>
          <w:color w:val="auto"/>
          <w:highlight w:val="none"/>
        </w:rPr>
        <w:t>采购人名称：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代理机构名称：</w:t>
      </w:r>
      <w:r>
        <w:rPr>
          <w:rFonts w:hint="eastAsia" w:ascii="宋体" w:hAnsi="宋体" w:cs="宋体"/>
          <w:color w:val="auto"/>
          <w:highlight w:val="none"/>
          <w:u w:val="single"/>
        </w:rPr>
        <w:t xml:space="preserve">                   </w:t>
      </w:r>
    </w:p>
    <w:p w14:paraId="4CC49220">
      <w:pPr>
        <w:spacing w:line="440" w:lineRule="exact"/>
        <w:rPr>
          <w:rFonts w:hint="eastAsia" w:ascii="宋体" w:hAnsi="宋体" w:cs="宋体"/>
          <w:color w:val="auto"/>
          <w:highlight w:val="none"/>
          <w:u w:val="dotted"/>
        </w:rPr>
      </w:pPr>
      <w:r>
        <w:rPr>
          <w:rFonts w:hint="eastAsia" w:ascii="宋体" w:hAnsi="宋体" w:cs="宋体"/>
          <w:color w:val="auto"/>
          <w:highlight w:val="none"/>
        </w:rPr>
        <w:t>采购文件公告:</w:t>
      </w:r>
      <w:r>
        <w:rPr>
          <w:rFonts w:hint="eastAsia" w:ascii="宋体" w:hAnsi="宋体" w:cs="宋体"/>
          <w:color w:val="auto"/>
          <w:highlight w:val="none"/>
          <w:u w:val="dotted"/>
        </w:rPr>
        <w:t xml:space="preserve">是/否 </w:t>
      </w:r>
      <w:r>
        <w:rPr>
          <w:rFonts w:hint="eastAsia" w:ascii="宋体" w:hAnsi="宋体" w:cs="宋体"/>
          <w:color w:val="auto"/>
          <w:highlight w:val="none"/>
        </w:rPr>
        <w:t>公告期限：</w:t>
      </w:r>
      <w:r>
        <w:rPr>
          <w:rFonts w:hint="eastAsia" w:ascii="宋体" w:hAnsi="宋体" w:cs="宋体"/>
          <w:color w:val="auto"/>
          <w:highlight w:val="none"/>
          <w:u w:val="single"/>
        </w:rPr>
        <w:t xml:space="preserve">                   </w:t>
      </w:r>
    </w:p>
    <w:p w14:paraId="209CB96F">
      <w:pPr>
        <w:spacing w:line="440" w:lineRule="exact"/>
        <w:rPr>
          <w:rFonts w:hint="eastAsia" w:ascii="宋体" w:hAnsi="宋体" w:cs="宋体"/>
          <w:color w:val="auto"/>
          <w:highlight w:val="none"/>
          <w:u w:val="single"/>
        </w:rPr>
      </w:pPr>
      <w:r>
        <w:rPr>
          <w:rFonts w:hint="eastAsia" w:ascii="宋体" w:hAnsi="宋体" w:cs="宋体"/>
          <w:color w:val="auto"/>
          <w:highlight w:val="none"/>
        </w:rPr>
        <w:t>采购结果公告:</w:t>
      </w:r>
      <w:r>
        <w:rPr>
          <w:rFonts w:hint="eastAsia" w:ascii="宋体" w:hAnsi="宋体" w:cs="宋体"/>
          <w:color w:val="auto"/>
          <w:highlight w:val="none"/>
          <w:u w:val="dotted"/>
        </w:rPr>
        <w:t xml:space="preserve">是/否 </w:t>
      </w:r>
      <w:r>
        <w:rPr>
          <w:rFonts w:hint="eastAsia" w:ascii="宋体" w:hAnsi="宋体" w:cs="宋体"/>
          <w:color w:val="auto"/>
          <w:highlight w:val="none"/>
        </w:rPr>
        <w:t>公告期限：</w:t>
      </w:r>
      <w:r>
        <w:rPr>
          <w:rFonts w:hint="eastAsia" w:ascii="宋体" w:hAnsi="宋体" w:cs="宋体"/>
          <w:color w:val="auto"/>
          <w:highlight w:val="none"/>
          <w:u w:val="single"/>
        </w:rPr>
        <w:t xml:space="preserve">                   </w:t>
      </w:r>
    </w:p>
    <w:p w14:paraId="44C80B33">
      <w:pPr>
        <w:spacing w:line="440" w:lineRule="exact"/>
        <w:rPr>
          <w:rFonts w:hint="eastAsia" w:ascii="宋体" w:hAnsi="宋体" w:cs="宋体"/>
          <w:color w:val="auto"/>
          <w:highlight w:val="none"/>
        </w:rPr>
      </w:pPr>
      <w:r>
        <w:rPr>
          <w:rFonts w:hint="eastAsia" w:ascii="宋体" w:hAnsi="宋体" w:cs="宋体"/>
          <w:color w:val="auto"/>
          <w:highlight w:val="none"/>
        </w:rPr>
        <w:t>三、质疑基本情况</w:t>
      </w:r>
    </w:p>
    <w:p w14:paraId="0D82F37D">
      <w:pPr>
        <w:spacing w:line="440" w:lineRule="exact"/>
        <w:rPr>
          <w:rFonts w:hint="eastAsia" w:ascii="宋体" w:hAnsi="宋体" w:cs="宋体"/>
          <w:color w:val="auto"/>
          <w:highlight w:val="none"/>
          <w:u w:val="dotted"/>
        </w:rPr>
      </w:pPr>
      <w:r>
        <w:rPr>
          <w:rFonts w:hint="eastAsia" w:ascii="宋体" w:hAnsi="宋体" w:cs="宋体"/>
          <w:color w:val="auto"/>
          <w:highlight w:val="none"/>
        </w:rPr>
        <w:t>投诉人于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日,向</w:t>
      </w:r>
      <w:r>
        <w:rPr>
          <w:rFonts w:hint="eastAsia" w:ascii="宋体" w:hAnsi="宋体" w:cs="宋体"/>
          <w:color w:val="auto"/>
          <w:highlight w:val="none"/>
          <w:u w:val="single"/>
        </w:rPr>
        <w:t xml:space="preserve">                  </w:t>
      </w:r>
      <w:r>
        <w:rPr>
          <w:rFonts w:hint="eastAsia" w:ascii="宋体" w:hAnsi="宋体" w:cs="宋体"/>
          <w:color w:val="auto"/>
          <w:highlight w:val="none"/>
        </w:rPr>
        <w:t>提出质疑，质疑事项为：</w:t>
      </w:r>
      <w:r>
        <w:rPr>
          <w:rFonts w:hint="eastAsia" w:ascii="宋体" w:hAnsi="宋体" w:cs="宋体"/>
          <w:color w:val="auto"/>
          <w:highlight w:val="none"/>
          <w:u w:val="single"/>
        </w:rPr>
        <w:t xml:space="preserve">                   </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3F8F2343">
      <w:pPr>
        <w:spacing w:line="440" w:lineRule="exact"/>
        <w:rPr>
          <w:rFonts w:hint="eastAsia" w:ascii="宋体" w:hAnsi="宋体" w:cs="宋体"/>
          <w:color w:val="auto"/>
          <w:highlight w:val="none"/>
        </w:rPr>
      </w:pPr>
      <w:r>
        <w:rPr>
          <w:rFonts w:hint="eastAsia" w:ascii="宋体" w:hAnsi="宋体" w:cs="宋体"/>
          <w:color w:val="auto"/>
          <w:highlight w:val="none"/>
        </w:rPr>
        <w:t>采购人/代理机构于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日,就质疑事项作出了答复/没有在法定期限内作出答复。</w:t>
      </w:r>
    </w:p>
    <w:p w14:paraId="38F759FB">
      <w:pPr>
        <w:spacing w:line="440" w:lineRule="exact"/>
        <w:rPr>
          <w:rFonts w:hint="eastAsia" w:ascii="宋体" w:hAnsi="宋体" w:cs="宋体"/>
          <w:color w:val="auto"/>
          <w:highlight w:val="none"/>
        </w:rPr>
      </w:pPr>
      <w:r>
        <w:rPr>
          <w:rFonts w:hint="eastAsia" w:ascii="宋体" w:hAnsi="宋体" w:cs="宋体"/>
          <w:color w:val="auto"/>
          <w:highlight w:val="none"/>
        </w:rPr>
        <w:t>四、投诉事项具体内容</w:t>
      </w:r>
    </w:p>
    <w:p w14:paraId="137D2EE7">
      <w:pPr>
        <w:spacing w:line="440" w:lineRule="exact"/>
        <w:rPr>
          <w:rFonts w:hint="eastAsia" w:ascii="宋体" w:hAnsi="宋体" w:cs="宋体"/>
          <w:color w:val="auto"/>
          <w:highlight w:val="none"/>
          <w:u w:val="single"/>
        </w:rPr>
      </w:pPr>
      <w:r>
        <w:rPr>
          <w:rFonts w:hint="eastAsia" w:ascii="宋体" w:hAnsi="宋体" w:cs="宋体"/>
          <w:color w:val="auto"/>
          <w:highlight w:val="none"/>
        </w:rPr>
        <w:t>投诉事项 1：</w:t>
      </w:r>
      <w:r>
        <w:rPr>
          <w:rFonts w:hint="eastAsia" w:ascii="宋体" w:hAnsi="宋体" w:cs="宋体"/>
          <w:color w:val="auto"/>
          <w:highlight w:val="none"/>
          <w:u w:val="single"/>
        </w:rPr>
        <w:t xml:space="preserve">                   </w:t>
      </w:r>
    </w:p>
    <w:p w14:paraId="783CF638">
      <w:pPr>
        <w:spacing w:line="440" w:lineRule="exact"/>
        <w:rPr>
          <w:rFonts w:hint="eastAsia"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single"/>
        </w:rPr>
        <w:t xml:space="preserve">                   </w:t>
      </w:r>
    </w:p>
    <w:p w14:paraId="3A28D67E">
      <w:pPr>
        <w:spacing w:line="440" w:lineRule="exact"/>
        <w:rPr>
          <w:rFonts w:hint="eastAsia"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single"/>
        </w:rPr>
        <w:t xml:space="preserve">                   </w:t>
      </w:r>
    </w:p>
    <w:p w14:paraId="7DE2CE1A">
      <w:pPr>
        <w:spacing w:line="440" w:lineRule="exact"/>
        <w:rPr>
          <w:rFonts w:hint="eastAsia" w:ascii="宋体" w:hAnsi="宋体" w:cs="宋体"/>
          <w:color w:val="auto"/>
          <w:highlight w:val="none"/>
        </w:rPr>
      </w:pPr>
      <w:r>
        <w:rPr>
          <w:rFonts w:hint="eastAsia" w:ascii="宋体" w:hAnsi="宋体" w:cs="宋体"/>
          <w:color w:val="auto"/>
          <w:highlight w:val="none"/>
        </w:rPr>
        <w:t>投诉事项2</w:t>
      </w:r>
    </w:p>
    <w:p w14:paraId="09627C5C">
      <w:pPr>
        <w:spacing w:line="440" w:lineRule="exact"/>
        <w:rPr>
          <w:rFonts w:hint="eastAsia" w:ascii="宋体" w:hAnsi="宋体" w:cs="宋体"/>
          <w:color w:val="auto"/>
          <w:highlight w:val="none"/>
          <w:u w:val="dotted"/>
        </w:rPr>
      </w:pPr>
      <w:r>
        <w:rPr>
          <w:rFonts w:hint="eastAsia" w:ascii="宋体" w:hAnsi="宋体" w:cs="宋体"/>
          <w:color w:val="auto"/>
          <w:highlight w:val="none"/>
        </w:rPr>
        <w:t>……</w:t>
      </w:r>
    </w:p>
    <w:p w14:paraId="0F3C558C">
      <w:pPr>
        <w:spacing w:line="440" w:lineRule="exact"/>
        <w:rPr>
          <w:rFonts w:hint="eastAsia" w:ascii="宋体" w:hAnsi="宋体" w:cs="宋体"/>
          <w:color w:val="auto"/>
          <w:highlight w:val="none"/>
        </w:rPr>
      </w:pPr>
      <w:r>
        <w:rPr>
          <w:rFonts w:hint="eastAsia" w:ascii="宋体" w:hAnsi="宋体" w:cs="宋体"/>
          <w:color w:val="auto"/>
          <w:highlight w:val="none"/>
        </w:rPr>
        <w:t>五、与投诉事项相关的投诉请求</w:t>
      </w:r>
    </w:p>
    <w:p w14:paraId="3C9990F3">
      <w:pPr>
        <w:spacing w:line="440" w:lineRule="exact"/>
        <w:rPr>
          <w:rFonts w:hint="eastAsia" w:ascii="宋体" w:hAnsi="宋体" w:cs="宋体"/>
          <w:color w:val="auto"/>
          <w:highlight w:val="none"/>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p>
    <w:p w14:paraId="532F550F">
      <w:pPr>
        <w:spacing w:line="440" w:lineRule="exact"/>
        <w:rPr>
          <w:rFonts w:hint="eastAsia" w:ascii="宋体" w:hAnsi="宋体" w:cs="宋体"/>
          <w:color w:val="auto"/>
          <w:highlight w:val="none"/>
          <w:u w:val="single"/>
        </w:rPr>
      </w:pPr>
      <w:r>
        <w:rPr>
          <w:rFonts w:hint="eastAsia" w:ascii="宋体" w:hAnsi="宋体" w:cs="宋体"/>
          <w:color w:val="auto"/>
          <w:highlight w:val="none"/>
        </w:rPr>
        <w:t xml:space="preserve">                                                                                                    </w:t>
      </w:r>
    </w:p>
    <w:p w14:paraId="4E5E0766">
      <w:pPr>
        <w:spacing w:line="440" w:lineRule="exact"/>
        <w:rPr>
          <w:rFonts w:hint="eastAsia" w:ascii="宋体" w:hAnsi="宋体" w:cs="宋体"/>
          <w:color w:val="auto"/>
          <w:highlight w:val="none"/>
        </w:rPr>
      </w:pPr>
      <w:r>
        <w:rPr>
          <w:rFonts w:hint="eastAsia" w:ascii="宋体" w:hAnsi="宋体" w:cs="宋体"/>
          <w:color w:val="auto"/>
          <w:highlight w:val="none"/>
        </w:rPr>
        <w:t xml:space="preserve">签字(签章)：                   公章：                      </w:t>
      </w:r>
    </w:p>
    <w:p w14:paraId="37AFF08F">
      <w:pPr>
        <w:spacing w:line="440" w:lineRule="exact"/>
        <w:rPr>
          <w:rFonts w:hint="eastAsia" w:ascii="宋体" w:hAnsi="宋体" w:cs="宋体"/>
          <w:color w:val="auto"/>
          <w:highlight w:val="none"/>
        </w:rPr>
      </w:pPr>
      <w:r>
        <w:rPr>
          <w:rFonts w:hint="eastAsia" w:ascii="宋体" w:hAnsi="宋体" w:cs="宋体"/>
          <w:color w:val="auto"/>
          <w:highlight w:val="none"/>
        </w:rPr>
        <w:t xml:space="preserve">日期：    </w:t>
      </w:r>
    </w:p>
    <w:p w14:paraId="08D92FD8">
      <w:pPr>
        <w:rPr>
          <w:rFonts w:hint="eastAsia" w:ascii="宋体" w:hAnsi="宋体" w:cs="宋体"/>
          <w:b/>
          <w:color w:val="auto"/>
          <w:highlight w:val="none"/>
        </w:rPr>
      </w:pPr>
    </w:p>
    <w:p w14:paraId="0A440E87">
      <w:pPr>
        <w:rPr>
          <w:rFonts w:hint="eastAsia" w:ascii="宋体" w:hAnsi="宋体" w:cs="宋体"/>
          <w:b/>
          <w:color w:val="auto"/>
          <w:highlight w:val="none"/>
        </w:rPr>
      </w:pPr>
    </w:p>
    <w:p w14:paraId="495D5624">
      <w:pPr>
        <w:rPr>
          <w:rFonts w:hint="eastAsia" w:ascii="宋体" w:hAnsi="宋体" w:cs="宋体"/>
          <w:b/>
          <w:color w:val="auto"/>
          <w:highlight w:val="none"/>
        </w:rPr>
      </w:pPr>
    </w:p>
    <w:p w14:paraId="65FB16F1">
      <w:pPr>
        <w:rPr>
          <w:rFonts w:hint="eastAsia" w:ascii="宋体" w:hAnsi="宋体" w:cs="宋体"/>
          <w:b/>
          <w:color w:val="auto"/>
          <w:highlight w:val="none"/>
        </w:rPr>
      </w:pPr>
      <w:r>
        <w:rPr>
          <w:rFonts w:hint="eastAsia" w:ascii="宋体" w:hAnsi="宋体" w:cs="宋体"/>
          <w:b/>
          <w:color w:val="auto"/>
          <w:highlight w:val="none"/>
        </w:rPr>
        <w:t>注：投诉书制作说明</w:t>
      </w:r>
    </w:p>
    <w:p w14:paraId="1426FAC3">
      <w:pPr>
        <w:widowControl/>
        <w:ind w:firstLine="420" w:firstLineChars="200"/>
        <w:rPr>
          <w:rFonts w:hint="eastAsia" w:ascii="宋体" w:hAnsi="宋体" w:cs="宋体"/>
          <w:color w:val="auto"/>
          <w:highlight w:val="none"/>
        </w:rPr>
      </w:pPr>
      <w:r>
        <w:rPr>
          <w:rFonts w:hint="eastAsia" w:ascii="宋体" w:hAnsi="宋体" w:cs="宋体"/>
          <w:color w:val="auto"/>
          <w:highlight w:val="none"/>
        </w:rPr>
        <w:t>1.投诉人提起投诉时，应当提交投诉书和必要的证明材料，并按照被投诉人和与投诉事项有关的供应商数量提供投诉书副本。</w:t>
      </w:r>
    </w:p>
    <w:p w14:paraId="6DE7E8B6">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974D08B">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t>3.投诉人若对项目的某一分包进行投诉，投诉书应列明具体分包号。</w:t>
      </w:r>
    </w:p>
    <w:p w14:paraId="21B3EA57">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t>4.投诉书应简要列明质疑事项，质疑函、质疑答复等作为附件材料提供。</w:t>
      </w:r>
    </w:p>
    <w:p w14:paraId="56F05B92">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t>5.投诉书的投诉事项应具体、明确，并有必要的事实依据和法律依据。</w:t>
      </w:r>
    </w:p>
    <w:p w14:paraId="44C5F13F">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t>6.投诉书的投诉请求应与投诉事项相关。</w:t>
      </w:r>
    </w:p>
    <w:p w14:paraId="335144D8">
      <w:pPr>
        <w:widowControl/>
        <w:ind w:firstLine="420" w:firstLineChars="200"/>
        <w:jc w:val="left"/>
        <w:rPr>
          <w:rFonts w:hint="eastAsia" w:ascii="宋体" w:hAnsi="宋体" w:cs="宋体"/>
          <w:color w:val="auto"/>
          <w:highlight w:val="none"/>
        </w:rPr>
      </w:pPr>
      <w:r>
        <w:rPr>
          <w:rFonts w:hint="eastAsia" w:ascii="宋体" w:hAnsi="宋体" w:cs="宋体"/>
          <w:color w:val="auto"/>
          <w:highlight w:val="none"/>
        </w:rPr>
        <w:t>7.投诉人为自然人的，投诉书应当由本人签字；投诉人为法人或者其他组织的，投诉书应当由法定代表人、主要负责人，或者其授权代表签字或者盖章，并加盖公章。</w:t>
      </w:r>
    </w:p>
    <w:p w14:paraId="19175AB3">
      <w:pPr>
        <w:snapToGrid w:val="0"/>
        <w:spacing w:before="50" w:after="50"/>
        <w:rPr>
          <w:rFonts w:hint="eastAsia" w:ascii="宋体" w:hAnsi="宋体" w:cs="宋体"/>
          <w:color w:val="auto"/>
          <w:highlight w:val="none"/>
        </w:rPr>
      </w:pPr>
    </w:p>
    <w:p w14:paraId="40A5E4C0">
      <w:pPr>
        <w:snapToGrid w:val="0"/>
        <w:spacing w:before="50" w:after="50"/>
        <w:rPr>
          <w:rFonts w:hint="eastAsia" w:ascii="宋体" w:hAnsi="宋体" w:cs="宋体"/>
          <w:color w:val="auto"/>
          <w:highlight w:val="none"/>
        </w:rPr>
      </w:pPr>
    </w:p>
    <w:p w14:paraId="61949419">
      <w:pPr>
        <w:snapToGrid w:val="0"/>
        <w:spacing w:before="50" w:after="50"/>
        <w:rPr>
          <w:rFonts w:hint="eastAsia" w:ascii="宋体" w:hAnsi="宋体" w:cs="宋体"/>
          <w:color w:val="auto"/>
          <w:highlight w:val="none"/>
        </w:rPr>
      </w:pPr>
    </w:p>
    <w:p w14:paraId="5F737EFF">
      <w:pPr>
        <w:snapToGrid w:val="0"/>
        <w:spacing w:before="50" w:after="50"/>
        <w:rPr>
          <w:rFonts w:hint="eastAsia" w:ascii="宋体" w:hAnsi="宋体" w:cs="宋体"/>
          <w:color w:val="auto"/>
          <w:highlight w:val="none"/>
        </w:rPr>
      </w:pPr>
    </w:p>
    <w:p w14:paraId="3F08B532">
      <w:pPr>
        <w:snapToGrid w:val="0"/>
        <w:spacing w:before="50" w:after="50"/>
        <w:rPr>
          <w:rFonts w:hint="eastAsia" w:ascii="宋体" w:hAnsi="宋体" w:cs="宋体"/>
          <w:color w:val="auto"/>
          <w:highlight w:val="none"/>
        </w:rPr>
      </w:pPr>
    </w:p>
    <w:p w14:paraId="2392A96B">
      <w:pPr>
        <w:snapToGrid w:val="0"/>
        <w:spacing w:before="50" w:after="50"/>
        <w:rPr>
          <w:rFonts w:hint="eastAsia" w:ascii="宋体" w:hAnsi="宋体" w:cs="宋体"/>
          <w:color w:val="auto"/>
          <w:highlight w:val="none"/>
        </w:rPr>
      </w:pPr>
    </w:p>
    <w:p w14:paraId="1BC2CCF7">
      <w:pPr>
        <w:snapToGrid w:val="0"/>
        <w:spacing w:before="50" w:after="50"/>
        <w:rPr>
          <w:rFonts w:hint="eastAsia" w:ascii="宋体" w:hAnsi="宋体" w:cs="宋体"/>
          <w:color w:val="auto"/>
          <w:highlight w:val="none"/>
        </w:rPr>
      </w:pPr>
    </w:p>
    <w:p w14:paraId="2EB56A72">
      <w:pPr>
        <w:snapToGrid w:val="0"/>
        <w:spacing w:before="50" w:after="50"/>
        <w:rPr>
          <w:rFonts w:hint="eastAsia" w:ascii="宋体" w:hAnsi="宋体" w:cs="宋体"/>
          <w:color w:val="auto"/>
          <w:highlight w:val="none"/>
        </w:rPr>
      </w:pPr>
    </w:p>
    <w:p w14:paraId="2F451090">
      <w:pPr>
        <w:snapToGrid w:val="0"/>
        <w:spacing w:before="50" w:after="50"/>
        <w:rPr>
          <w:rFonts w:hint="eastAsia" w:ascii="宋体" w:hAnsi="宋体" w:cs="宋体"/>
          <w:color w:val="auto"/>
          <w:highlight w:val="none"/>
        </w:rPr>
      </w:pPr>
    </w:p>
    <w:p w14:paraId="6CEFE4B8">
      <w:pPr>
        <w:snapToGrid w:val="0"/>
        <w:spacing w:before="50" w:after="50"/>
        <w:rPr>
          <w:rFonts w:hint="eastAsia" w:ascii="宋体" w:hAnsi="宋体" w:cs="宋体"/>
          <w:color w:val="auto"/>
          <w:highlight w:val="none"/>
        </w:rPr>
      </w:pPr>
    </w:p>
    <w:p w14:paraId="12927D42">
      <w:pPr>
        <w:snapToGrid w:val="0"/>
        <w:spacing w:before="50" w:after="50"/>
        <w:rPr>
          <w:rFonts w:hint="eastAsia" w:ascii="宋体" w:hAnsi="宋体" w:cs="宋体"/>
          <w:color w:val="auto"/>
          <w:highlight w:val="none"/>
        </w:rPr>
        <w:sectPr>
          <w:headerReference r:id="rId11" w:type="default"/>
          <w:footerReference r:id="rId12" w:type="default"/>
          <w:pgSz w:w="11906" w:h="16838"/>
          <w:pgMar w:top="1474" w:right="1134" w:bottom="1134" w:left="1361" w:header="850" w:footer="850" w:gutter="0"/>
          <w:cols w:space="720" w:num="1"/>
          <w:docGrid w:linePitch="360" w:charSpace="0"/>
        </w:sectPr>
      </w:pPr>
    </w:p>
    <w:p w14:paraId="56113F79">
      <w:pPr>
        <w:spacing w:line="500" w:lineRule="exact"/>
        <w:rPr>
          <w:rFonts w:hint="eastAsia" w:ascii="宋体" w:hAnsi="宋体" w:cs="宋体"/>
          <w:b/>
          <w:color w:val="auto"/>
          <w:sz w:val="36"/>
          <w:szCs w:val="44"/>
          <w:highlight w:val="none"/>
        </w:rPr>
      </w:pPr>
      <w:r>
        <w:rPr>
          <w:rFonts w:hint="eastAsia" w:ascii="宋体" w:hAnsi="宋体" w:cs="宋体"/>
          <w:b/>
          <w:color w:val="auto"/>
          <w:sz w:val="36"/>
          <w:szCs w:val="44"/>
          <w:highlight w:val="none"/>
        </w:rPr>
        <w:t>附件1</w:t>
      </w:r>
      <w:r>
        <w:rPr>
          <w:rFonts w:hint="eastAsia" w:ascii="宋体" w:hAnsi="宋体" w:cs="宋体"/>
          <w:b/>
          <w:color w:val="auto"/>
          <w:sz w:val="36"/>
          <w:szCs w:val="44"/>
          <w:highlight w:val="none"/>
          <w:lang w:val="en-US" w:eastAsia="zh-CN"/>
        </w:rPr>
        <w:t>4</w:t>
      </w:r>
      <w:r>
        <w:rPr>
          <w:rFonts w:hint="eastAsia" w:ascii="宋体" w:hAnsi="宋体" w:cs="宋体"/>
          <w:b/>
          <w:color w:val="auto"/>
          <w:sz w:val="36"/>
          <w:szCs w:val="44"/>
          <w:highlight w:val="none"/>
        </w:rPr>
        <w:t>：</w:t>
      </w:r>
    </w:p>
    <w:p w14:paraId="3791E04B">
      <w:pPr>
        <w:pStyle w:val="2"/>
        <w:spacing w:line="400" w:lineRule="exact"/>
        <w:ind w:firstLine="400"/>
        <w:rPr>
          <w:rFonts w:hint="eastAsia" w:ascii="宋体" w:hAnsi="宋体" w:cs="宋体"/>
          <w:color w:val="auto"/>
          <w:highlight w:val="none"/>
        </w:rPr>
      </w:pPr>
    </w:p>
    <w:p w14:paraId="4797DA40">
      <w:pPr>
        <w:widowControl/>
        <w:spacing w:before="100" w:beforeAutospacing="1" w:after="100" w:afterAutospacing="1" w:line="300" w:lineRule="atLeast"/>
        <w:jc w:val="left"/>
        <w:rPr>
          <w:rFonts w:hint="eastAsia" w:ascii="宋体" w:hAnsi="宋体" w:cs="宋体"/>
          <w:color w:val="auto"/>
          <w:kern w:val="0"/>
          <w:sz w:val="24"/>
          <w:highlight w:val="none"/>
        </w:rPr>
      </w:pPr>
      <w:r>
        <w:rPr>
          <w:rFonts w:hint="eastAsia" w:ascii="宋体" w:hAnsi="宋体" w:cs="宋体"/>
          <w:b/>
          <w:bCs/>
          <w:color w:val="auto"/>
          <w:kern w:val="0"/>
          <w:sz w:val="20"/>
          <w:highlight w:val="none"/>
        </w:rPr>
        <w:t> 招标代理服务收费标准</w:t>
      </w: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费 率)</w:t>
      </w:r>
      <w:r>
        <w:rPr>
          <w:rFonts w:hint="eastAsia" w:ascii="宋体" w:hAnsi="宋体" w:cs="宋体"/>
          <w:color w:val="auto"/>
          <w:kern w:val="0"/>
          <w:sz w:val="20"/>
          <w:szCs w:val="20"/>
          <w:highlight w:val="none"/>
        </w:rPr>
        <w:t xml:space="preserve"> </w:t>
      </w:r>
    </w:p>
    <w:tbl>
      <w:tblPr>
        <w:tblStyle w:val="5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611BF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53190D10">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14:paraId="71092E93">
            <w:pPr>
              <w:widowControl/>
              <w:spacing w:before="100" w:beforeAutospacing="1" w:after="100" w:afterAutospacing="1" w:line="300" w:lineRule="atLeast"/>
              <w:rPr>
                <w:rFonts w:hint="eastAsia"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vAlign w:val="center"/>
          </w:tcPr>
          <w:p w14:paraId="6E5D2054">
            <w:pPr>
              <w:widowControl/>
              <w:spacing w:before="100" w:beforeAutospacing="1" w:after="100" w:afterAutospacing="1" w:line="30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vAlign w:val="center"/>
          </w:tcPr>
          <w:p w14:paraId="0CCEA63A">
            <w:pPr>
              <w:widowControl/>
              <w:spacing w:before="100" w:beforeAutospacing="1" w:after="100" w:afterAutospacing="1" w:line="30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vAlign w:val="center"/>
          </w:tcPr>
          <w:p w14:paraId="4621C470">
            <w:pPr>
              <w:widowControl/>
              <w:spacing w:before="100" w:beforeAutospacing="1" w:after="100" w:afterAutospacing="1" w:line="300" w:lineRule="atLeast"/>
              <w:jc w:val="center"/>
              <w:rPr>
                <w:rFonts w:hint="eastAsia"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14:paraId="649CA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5975F7CD">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vAlign w:val="center"/>
          </w:tcPr>
          <w:p w14:paraId="7F7E016D">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vAlign w:val="center"/>
          </w:tcPr>
          <w:p w14:paraId="7F3C10FC">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vAlign w:val="center"/>
          </w:tcPr>
          <w:p w14:paraId="5A352414">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w:t>
            </w:r>
          </w:p>
        </w:tc>
      </w:tr>
      <w:tr w14:paraId="09DE1D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78B50BE2">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vAlign w:val="center"/>
          </w:tcPr>
          <w:p w14:paraId="6A217C20">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vAlign w:val="center"/>
          </w:tcPr>
          <w:p w14:paraId="34E6DDC5">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vAlign w:val="center"/>
          </w:tcPr>
          <w:p w14:paraId="73B58A8B">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0.7％</w:t>
            </w:r>
          </w:p>
        </w:tc>
      </w:tr>
      <w:tr w14:paraId="1AC77C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664D2F10">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vAlign w:val="center"/>
          </w:tcPr>
          <w:p w14:paraId="6A42E830">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vAlign w:val="center"/>
          </w:tcPr>
          <w:p w14:paraId="5D9EB80B">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vAlign w:val="center"/>
          </w:tcPr>
          <w:p w14:paraId="30842ED3">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0.55％</w:t>
            </w:r>
          </w:p>
        </w:tc>
      </w:tr>
      <w:tr w14:paraId="1CF085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4BDD74B8">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vAlign w:val="center"/>
          </w:tcPr>
          <w:p w14:paraId="21C00FAE">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vAlign w:val="center"/>
          </w:tcPr>
          <w:p w14:paraId="0075800D">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vAlign w:val="center"/>
          </w:tcPr>
          <w:p w14:paraId="0B193622">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0.35％</w:t>
            </w:r>
          </w:p>
        </w:tc>
      </w:tr>
      <w:tr w14:paraId="6D84B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752A658E">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vAlign w:val="center"/>
          </w:tcPr>
          <w:p w14:paraId="1D605465">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vAlign w:val="center"/>
          </w:tcPr>
          <w:p w14:paraId="09613665">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vAlign w:val="center"/>
          </w:tcPr>
          <w:p w14:paraId="3DBD5892">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0.2％</w:t>
            </w:r>
          </w:p>
        </w:tc>
      </w:tr>
      <w:tr w14:paraId="5FFF5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596F9117">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vAlign w:val="center"/>
          </w:tcPr>
          <w:p w14:paraId="0ABABEBF">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vAlign w:val="center"/>
          </w:tcPr>
          <w:p w14:paraId="19219D99">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vAlign w:val="center"/>
          </w:tcPr>
          <w:p w14:paraId="0978DC3C">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0.05％</w:t>
            </w:r>
          </w:p>
        </w:tc>
      </w:tr>
      <w:tr w14:paraId="2864B0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14:paraId="2CB5B00A">
            <w:pPr>
              <w:widowControl/>
              <w:spacing w:before="100" w:beforeAutospacing="1" w:after="100" w:afterAutospacing="1" w:line="210" w:lineRule="atLeast"/>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vAlign w:val="center"/>
          </w:tcPr>
          <w:p w14:paraId="318E37C9">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vAlign w:val="center"/>
          </w:tcPr>
          <w:p w14:paraId="22C6C90D">
            <w:pPr>
              <w:widowControl/>
              <w:spacing w:before="100" w:beforeAutospacing="1" w:after="100" w:afterAutospacing="1" w:line="210"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vAlign w:val="center"/>
          </w:tcPr>
          <w:p w14:paraId="53C3C73C">
            <w:pPr>
              <w:widowControl/>
              <w:spacing w:before="100" w:beforeAutospacing="1" w:after="100" w:afterAutospacing="1" w:line="210" w:lineRule="atLeast"/>
              <w:jc w:val="center"/>
              <w:rPr>
                <w:rFonts w:hint="eastAsia"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14:paraId="54A90458">
      <w:pPr>
        <w:widowControl/>
        <w:spacing w:line="432" w:lineRule="auto"/>
        <w:jc w:val="left"/>
        <w:rPr>
          <w:rFonts w:hint="eastAsia" w:ascii="宋体" w:hAnsi="宋体" w:cs="宋体"/>
          <w:color w:val="auto"/>
          <w:kern w:val="0"/>
          <w:sz w:val="20"/>
          <w:szCs w:val="20"/>
          <w:highlight w:val="none"/>
        </w:rPr>
      </w:pPr>
    </w:p>
    <w:p w14:paraId="7EF424F6">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注：</w:t>
      </w:r>
    </w:p>
    <w:p w14:paraId="008CBFDE">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p>
    <w:p w14:paraId="2A7DED3E">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100万元×1.0％＝1万元</w:t>
      </w:r>
    </w:p>
    <w:p w14:paraId="4130571A">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（500－100）万元×0.7％＝2.8万元</w:t>
      </w:r>
    </w:p>
    <w:p w14:paraId="77F52D8F">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（1000－500）万元×0.55％＝2.75万元</w:t>
      </w:r>
    </w:p>
    <w:p w14:paraId="291EC2AD">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（5000－1000）万元×0.35％＝14万元</w:t>
      </w:r>
    </w:p>
    <w:p w14:paraId="0E2F4C86">
      <w:pPr>
        <w:widowControl/>
        <w:spacing w:line="432" w:lineRule="auto"/>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（6000－5000）万元×0.2％＝2万元</w:t>
      </w:r>
    </w:p>
    <w:p w14:paraId="545BD0F2">
      <w:pPr>
        <w:widowControl/>
        <w:spacing w:line="432" w:lineRule="auto"/>
        <w:jc w:val="left"/>
        <w:rPr>
          <w:rFonts w:hint="eastAsia" w:ascii="宋体" w:hAnsi="宋体" w:cs="宋体"/>
          <w:color w:val="auto"/>
          <w:kern w:val="0"/>
          <w:sz w:val="24"/>
          <w:highlight w:val="none"/>
        </w:rPr>
      </w:pPr>
      <w:r>
        <w:rPr>
          <w:rFonts w:hint="eastAsia" w:ascii="宋体" w:hAnsi="宋体" w:cs="宋体"/>
          <w:color w:val="auto"/>
          <w:kern w:val="0"/>
          <w:sz w:val="20"/>
          <w:szCs w:val="20"/>
          <w:highlight w:val="none"/>
        </w:rPr>
        <w:t>    合计收费＝1＋2.8＋2.75＋14＋2＝22.55(万元)</w:t>
      </w:r>
    </w:p>
    <w:p w14:paraId="27BADCDA">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14:paraId="64500492">
      <w:pPr>
        <w:spacing w:line="360" w:lineRule="auto"/>
        <w:jc w:val="left"/>
        <w:rPr>
          <w:rFonts w:hint="eastAsia" w:ascii="宋体" w:hAnsi="宋体" w:cs="宋体"/>
          <w:color w:val="auto"/>
          <w:highlight w:val="none"/>
        </w:rPr>
      </w:pPr>
    </w:p>
    <w:sectPr>
      <w:pgSz w:w="11907" w:h="16840"/>
      <w:pgMar w:top="1247" w:right="1134" w:bottom="1247" w:left="1418" w:header="851" w:footer="851"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CG Times">
    <w:altName w:val="微软雅黑"/>
    <w:panose1 w:val="00000000000000000000"/>
    <w:charset w:val="00"/>
    <w:family w:val="roman"/>
    <w:pitch w:val="default"/>
    <w:sig w:usb0="00000000" w:usb1="00000000" w:usb2="00000000" w:usb3="00000000" w:csb0="00040001" w:csb1="00000000"/>
  </w:font>
  <w:font w:name="Garamond">
    <w:altName w:val="Segoe Print"/>
    <w:panose1 w:val="02020404030301010803"/>
    <w:charset w:val="00"/>
    <w:family w:val="roman"/>
    <w:pitch w:val="default"/>
    <w:sig w:usb0="00000000" w:usb1="00000000" w:usb2="00000000" w:usb3="00000000" w:csb0="0000009F" w:csb1="00000000"/>
  </w:font>
  <w:font w:name="创艺繁线体">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DA09">
    <w:pPr>
      <w:pStyle w:val="37"/>
      <w:framePr w:wrap="around" w:vAnchor="text" w:hAnchor="margin" w:xAlign="center" w:y="1"/>
      <w:rPr>
        <w:rStyle w:val="57"/>
      </w:rPr>
    </w:pPr>
    <w:r>
      <w:fldChar w:fldCharType="begin"/>
    </w:r>
    <w:r>
      <w:rPr>
        <w:rStyle w:val="57"/>
      </w:rPr>
      <w:instrText xml:space="preserve">PAGE  </w:instrText>
    </w:r>
    <w:r>
      <w:fldChar w:fldCharType="end"/>
    </w:r>
  </w:p>
  <w:p w14:paraId="2D47E4F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F769">
    <w:pPr>
      <w:pStyle w:val="37"/>
      <w:jc w:val="center"/>
    </w:pP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- 47 -</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68E2">
    <w:pPr>
      <w:pStyle w:val="38"/>
      <w:pBdr>
        <w:bottom w:val="none" w:color="auto" w:sz="0" w:space="0"/>
      </w:pBdr>
      <w:jc w:val="both"/>
      <w:rPr>
        <w:rFonts w:hint="eastAsia" w:ascii="黑体" w:hAnsi="宋体" w:eastAsia="黑体"/>
        <w:sz w:val="21"/>
        <w:szCs w:val="21"/>
      </w:rPr>
    </w:pPr>
  </w:p>
  <w:p w14:paraId="466C125A">
    <w:pPr>
      <w:pStyle w:val="38"/>
      <w:pBdr>
        <w:bottom w:val="none" w:color="auto" w:sz="0" w:space="0"/>
      </w:pBdr>
      <w:tabs>
        <w:tab w:val="right" w:pos="9180"/>
        <w:tab w:val="clear" w:pos="8306"/>
      </w:tabs>
      <w:ind w:right="-10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E7A4">
    <w:pPr>
      <w:pStyle w:val="38"/>
      <w:pBdr>
        <w:bottom w:val="none" w:color="auto" w:sz="0" w:space="0"/>
      </w:pBdr>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B2CA4">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6DB2CA4">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45F19E45">
    <w:pPr>
      <w:pStyle w:val="38"/>
      <w:pBdr>
        <w:bottom w:val="none" w:color="auto" w:sz="0" w:space="0"/>
      </w:pBdr>
      <w:tabs>
        <w:tab w:val="right" w:pos="9180"/>
        <w:tab w:val="clear" w:pos="8306"/>
      </w:tabs>
      <w:ind w:right="-10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9D8CA">
    <w:pPr>
      <w:pStyle w:val="38"/>
      <w:pBdr>
        <w:bottom w:val="none" w:color="auto" w:sz="0" w:space="0"/>
      </w:pBdr>
      <w:rPr>
        <w:rFonts w:hint="eastAsia"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25E07">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425E07">
                    <w:pPr>
                      <w:pStyle w:val="3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91A3">
    <w:pPr>
      <w:pStyle w:val="37"/>
      <w:jc w:val="center"/>
      <w:rPr>
        <w:rStyle w:val="57"/>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38570">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5338570">
                    <w:pPr>
                      <w:pStyle w:val="37"/>
                    </w:pPr>
                    <w:r>
                      <w:fldChar w:fldCharType="begin"/>
                    </w:r>
                    <w:r>
                      <w:instrText xml:space="preserve"> PAGE  \* MERGEFORMAT </w:instrText>
                    </w:r>
                    <w:r>
                      <w:fldChar w:fldCharType="separate"/>
                    </w:r>
                    <w:r>
                      <w:t>55</w:t>
                    </w:r>
                    <w:r>
                      <w:fldChar w:fldCharType="end"/>
                    </w:r>
                  </w:p>
                </w:txbxContent>
              </v:textbox>
            </v:shape>
          </w:pict>
        </mc:Fallback>
      </mc:AlternateContent>
    </w:r>
  </w:p>
  <w:p w14:paraId="39085F4D">
    <w:pPr>
      <w:pStyle w:val="3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38E4">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304D">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4BA3">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69F3">
    <w:pPr>
      <w:pStyle w:val="3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29B5C"/>
    <w:multiLevelType w:val="singleLevel"/>
    <w:tmpl w:val="9D929B5C"/>
    <w:lvl w:ilvl="0" w:tentative="0">
      <w:start w:val="1"/>
      <w:numFmt w:val="decimal"/>
      <w:suff w:val="nothing"/>
      <w:lvlText w:val="（%1）"/>
      <w:lvlJc w:val="left"/>
    </w:lvl>
  </w:abstractNum>
  <w:abstractNum w:abstractNumId="1">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2">
    <w:nsid w:val="D2AA1567"/>
    <w:multiLevelType w:val="singleLevel"/>
    <w:tmpl w:val="D2AA1567"/>
    <w:lvl w:ilvl="0" w:tentative="0">
      <w:start w:val="1"/>
      <w:numFmt w:val="decimal"/>
      <w:suff w:val="nothing"/>
      <w:lvlText w:val="（%1）"/>
      <w:lvlJc w:val="left"/>
    </w:lvl>
  </w:abstractNum>
  <w:abstractNum w:abstractNumId="3">
    <w:nsid w:val="0000000D"/>
    <w:multiLevelType w:val="singleLevel"/>
    <w:tmpl w:val="0000000D"/>
    <w:lvl w:ilvl="0" w:tentative="0">
      <w:start w:val="1"/>
      <w:numFmt w:val="lowerLetter"/>
      <w:lvlText w:val=""/>
      <w:lvlJc w:val="left"/>
      <w:pPr>
        <w:tabs>
          <w:tab w:val="left" w:pos="360"/>
        </w:tabs>
        <w:ind w:left="360" w:hanging="360"/>
      </w:pPr>
      <w:rPr>
        <w:rFonts w:hint="default" w:ascii="Times New Roman" w:hAnsi="Times New Roman"/>
      </w:rPr>
    </w:lvl>
  </w:abstractNum>
  <w:abstractNum w:abstractNumId="4">
    <w:nsid w:val="113AD3CC"/>
    <w:multiLevelType w:val="singleLevel"/>
    <w:tmpl w:val="113AD3CC"/>
    <w:lvl w:ilvl="0" w:tentative="0">
      <w:start w:val="1"/>
      <w:numFmt w:val="decimal"/>
      <w:suff w:val="nothing"/>
      <w:lvlText w:val="（%1）"/>
      <w:lvlJc w:val="left"/>
    </w:lvl>
  </w:abstractNum>
  <w:abstractNum w:abstractNumId="5">
    <w:nsid w:val="2AB82AE3"/>
    <w:multiLevelType w:val="singleLevel"/>
    <w:tmpl w:val="2AB82AE3"/>
    <w:lvl w:ilvl="0" w:tentative="0">
      <w:start w:val="5"/>
      <w:numFmt w:val="decimal"/>
      <w:suff w:val="nothing"/>
      <w:lvlText w:val="%1、"/>
      <w:lvlJc w:val="left"/>
    </w:lvl>
  </w:abstractNum>
  <w:abstractNum w:abstractNumId="6">
    <w:nsid w:val="3FA9E490"/>
    <w:multiLevelType w:val="singleLevel"/>
    <w:tmpl w:val="3FA9E490"/>
    <w:lvl w:ilvl="0" w:tentative="0">
      <w:start w:val="1"/>
      <w:numFmt w:val="decimal"/>
      <w:suff w:val="nothing"/>
      <w:lvlText w:val="%1、"/>
      <w:lvlJc w:val="left"/>
    </w:lvl>
  </w:abstractNum>
  <w:abstractNum w:abstractNumId="7">
    <w:nsid w:val="46B96B19"/>
    <w:multiLevelType w:val="singleLevel"/>
    <w:tmpl w:val="46B96B19"/>
    <w:lvl w:ilvl="0" w:tentative="0">
      <w:start w:val="1"/>
      <w:numFmt w:val="chineseCounting"/>
      <w:suff w:val="nothing"/>
      <w:lvlText w:val="（%1）"/>
      <w:lvlJc w:val="left"/>
      <w:rPr>
        <w:rFonts w:hint="eastAsia"/>
      </w:rPr>
    </w:lvl>
  </w:abstractNum>
  <w:abstractNum w:abstractNumId="8">
    <w:nsid w:val="582470DB"/>
    <w:multiLevelType w:val="singleLevel"/>
    <w:tmpl w:val="582470DB"/>
    <w:lvl w:ilvl="0" w:tentative="0">
      <w:start w:val="1"/>
      <w:numFmt w:val="decimal"/>
      <w:suff w:val="nothing"/>
      <w:lvlText w:val="%1."/>
      <w:lvlJc w:val="left"/>
    </w:lvl>
  </w:abstractNum>
  <w:abstractNum w:abstractNumId="9">
    <w:nsid w:val="7E91D5B2"/>
    <w:multiLevelType w:val="singleLevel"/>
    <w:tmpl w:val="7E91D5B2"/>
    <w:lvl w:ilvl="0" w:tentative="0">
      <w:start w:val="1"/>
      <w:numFmt w:val="decimal"/>
      <w:suff w:val="nothing"/>
      <w:lvlText w:val="（%1）"/>
      <w:lvlJc w:val="left"/>
    </w:lvl>
  </w:abstractNum>
  <w:num w:numId="1">
    <w:abstractNumId w:val="3"/>
  </w:num>
  <w:num w:numId="2">
    <w:abstractNumId w:val="7"/>
  </w:num>
  <w:num w:numId="3">
    <w:abstractNumId w:val="6"/>
  </w:num>
  <w:num w:numId="4">
    <w:abstractNumId w:val="5"/>
  </w:num>
  <w:num w:numId="5">
    <w:abstractNumId w:val="9"/>
  </w:num>
  <w:num w:numId="6">
    <w:abstractNumId w:val="2"/>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WM4ZWYxNDJlNzc4YzdkMTgwMDVkMGYxMTAxOGIifQ=="/>
  </w:docVars>
  <w:rsids>
    <w:rsidRoot w:val="000E05E9"/>
    <w:rsid w:val="0000131C"/>
    <w:rsid w:val="00005FDD"/>
    <w:rsid w:val="00007E88"/>
    <w:rsid w:val="000125C5"/>
    <w:rsid w:val="00013862"/>
    <w:rsid w:val="00013A63"/>
    <w:rsid w:val="0002059D"/>
    <w:rsid w:val="0002327D"/>
    <w:rsid w:val="00025E8C"/>
    <w:rsid w:val="00036B80"/>
    <w:rsid w:val="00040A4D"/>
    <w:rsid w:val="00042F1F"/>
    <w:rsid w:val="00045015"/>
    <w:rsid w:val="00047136"/>
    <w:rsid w:val="00047C8F"/>
    <w:rsid w:val="0005073B"/>
    <w:rsid w:val="00054585"/>
    <w:rsid w:val="000547CE"/>
    <w:rsid w:val="00057DA7"/>
    <w:rsid w:val="00060A02"/>
    <w:rsid w:val="00066040"/>
    <w:rsid w:val="00066346"/>
    <w:rsid w:val="000712BF"/>
    <w:rsid w:val="00076D5D"/>
    <w:rsid w:val="00083A0D"/>
    <w:rsid w:val="00091935"/>
    <w:rsid w:val="00091C0C"/>
    <w:rsid w:val="00093AD7"/>
    <w:rsid w:val="00096549"/>
    <w:rsid w:val="000A1930"/>
    <w:rsid w:val="000A2B99"/>
    <w:rsid w:val="000A4EE9"/>
    <w:rsid w:val="000B2DA4"/>
    <w:rsid w:val="000B35D3"/>
    <w:rsid w:val="000B537A"/>
    <w:rsid w:val="000B5388"/>
    <w:rsid w:val="000C34EE"/>
    <w:rsid w:val="000C4145"/>
    <w:rsid w:val="000D6D01"/>
    <w:rsid w:val="000E05E9"/>
    <w:rsid w:val="000E116C"/>
    <w:rsid w:val="000E27A7"/>
    <w:rsid w:val="000E3721"/>
    <w:rsid w:val="000E3FC3"/>
    <w:rsid w:val="000E633B"/>
    <w:rsid w:val="000E652B"/>
    <w:rsid w:val="000E6C2B"/>
    <w:rsid w:val="000E7798"/>
    <w:rsid w:val="000F0A7C"/>
    <w:rsid w:val="000F2E37"/>
    <w:rsid w:val="0010034A"/>
    <w:rsid w:val="00110263"/>
    <w:rsid w:val="001161E6"/>
    <w:rsid w:val="00121EB1"/>
    <w:rsid w:val="00124540"/>
    <w:rsid w:val="00130DD9"/>
    <w:rsid w:val="00131217"/>
    <w:rsid w:val="00135B94"/>
    <w:rsid w:val="0013703D"/>
    <w:rsid w:val="00140EAD"/>
    <w:rsid w:val="001463F4"/>
    <w:rsid w:val="001553CC"/>
    <w:rsid w:val="00173A99"/>
    <w:rsid w:val="00177F35"/>
    <w:rsid w:val="00181269"/>
    <w:rsid w:val="00185687"/>
    <w:rsid w:val="00190C65"/>
    <w:rsid w:val="00191CB1"/>
    <w:rsid w:val="00191F13"/>
    <w:rsid w:val="0019280B"/>
    <w:rsid w:val="001A0605"/>
    <w:rsid w:val="001A0793"/>
    <w:rsid w:val="001A429A"/>
    <w:rsid w:val="001A5494"/>
    <w:rsid w:val="001A5C69"/>
    <w:rsid w:val="001A5CD3"/>
    <w:rsid w:val="001A5E99"/>
    <w:rsid w:val="001A61D7"/>
    <w:rsid w:val="001A7DF5"/>
    <w:rsid w:val="001B57F9"/>
    <w:rsid w:val="001C2FDE"/>
    <w:rsid w:val="001C6E3F"/>
    <w:rsid w:val="001D0C7A"/>
    <w:rsid w:val="001D1A40"/>
    <w:rsid w:val="001D2A3E"/>
    <w:rsid w:val="001D3F22"/>
    <w:rsid w:val="001D50AC"/>
    <w:rsid w:val="001E30B3"/>
    <w:rsid w:val="001F23C6"/>
    <w:rsid w:val="002020AA"/>
    <w:rsid w:val="002021B8"/>
    <w:rsid w:val="002051F7"/>
    <w:rsid w:val="00205629"/>
    <w:rsid w:val="00205753"/>
    <w:rsid w:val="002108CF"/>
    <w:rsid w:val="0021170C"/>
    <w:rsid w:val="00212614"/>
    <w:rsid w:val="00214693"/>
    <w:rsid w:val="00215838"/>
    <w:rsid w:val="00215C83"/>
    <w:rsid w:val="002256DB"/>
    <w:rsid w:val="00235146"/>
    <w:rsid w:val="00237E24"/>
    <w:rsid w:val="00242AC0"/>
    <w:rsid w:val="00255F2C"/>
    <w:rsid w:val="00257116"/>
    <w:rsid w:val="00257958"/>
    <w:rsid w:val="0026116C"/>
    <w:rsid w:val="00262028"/>
    <w:rsid w:val="00266096"/>
    <w:rsid w:val="0026678B"/>
    <w:rsid w:val="00266A01"/>
    <w:rsid w:val="00270D64"/>
    <w:rsid w:val="00272974"/>
    <w:rsid w:val="002730AF"/>
    <w:rsid w:val="002760E8"/>
    <w:rsid w:val="0027673C"/>
    <w:rsid w:val="002767F6"/>
    <w:rsid w:val="00280BFE"/>
    <w:rsid w:val="00281435"/>
    <w:rsid w:val="00287AC3"/>
    <w:rsid w:val="002924D5"/>
    <w:rsid w:val="00292FE3"/>
    <w:rsid w:val="002934BB"/>
    <w:rsid w:val="00297F93"/>
    <w:rsid w:val="002A3BCB"/>
    <w:rsid w:val="002A643C"/>
    <w:rsid w:val="002A68D0"/>
    <w:rsid w:val="002B1891"/>
    <w:rsid w:val="002B2FEF"/>
    <w:rsid w:val="002B6CB7"/>
    <w:rsid w:val="002B7A31"/>
    <w:rsid w:val="002C38A4"/>
    <w:rsid w:val="002C3E95"/>
    <w:rsid w:val="002C49ED"/>
    <w:rsid w:val="002C4EEB"/>
    <w:rsid w:val="002D1914"/>
    <w:rsid w:val="002D32B7"/>
    <w:rsid w:val="002D3B8C"/>
    <w:rsid w:val="002E0115"/>
    <w:rsid w:val="002E42A7"/>
    <w:rsid w:val="002E7B75"/>
    <w:rsid w:val="002F0517"/>
    <w:rsid w:val="002F4B35"/>
    <w:rsid w:val="002F560D"/>
    <w:rsid w:val="002F57DA"/>
    <w:rsid w:val="002F6D67"/>
    <w:rsid w:val="003077EE"/>
    <w:rsid w:val="00307AAF"/>
    <w:rsid w:val="003109AB"/>
    <w:rsid w:val="0031445E"/>
    <w:rsid w:val="00315D3B"/>
    <w:rsid w:val="00316568"/>
    <w:rsid w:val="00317887"/>
    <w:rsid w:val="00322261"/>
    <w:rsid w:val="0032288A"/>
    <w:rsid w:val="00325FD6"/>
    <w:rsid w:val="0034186D"/>
    <w:rsid w:val="003423FD"/>
    <w:rsid w:val="0034425F"/>
    <w:rsid w:val="00346AA4"/>
    <w:rsid w:val="0035440F"/>
    <w:rsid w:val="003546FE"/>
    <w:rsid w:val="003601EB"/>
    <w:rsid w:val="00360E24"/>
    <w:rsid w:val="00364201"/>
    <w:rsid w:val="00364950"/>
    <w:rsid w:val="00365A09"/>
    <w:rsid w:val="00367DE6"/>
    <w:rsid w:val="003722BA"/>
    <w:rsid w:val="00375DB6"/>
    <w:rsid w:val="0037697E"/>
    <w:rsid w:val="00395E6C"/>
    <w:rsid w:val="003A64C8"/>
    <w:rsid w:val="003A7003"/>
    <w:rsid w:val="003B0D68"/>
    <w:rsid w:val="003B27A0"/>
    <w:rsid w:val="003B2BC7"/>
    <w:rsid w:val="003B2F1F"/>
    <w:rsid w:val="003B3600"/>
    <w:rsid w:val="003B40B2"/>
    <w:rsid w:val="003B7719"/>
    <w:rsid w:val="003C14AD"/>
    <w:rsid w:val="003C6622"/>
    <w:rsid w:val="003D05ED"/>
    <w:rsid w:val="003E4FE7"/>
    <w:rsid w:val="003F519D"/>
    <w:rsid w:val="00406121"/>
    <w:rsid w:val="0040776B"/>
    <w:rsid w:val="00407DAF"/>
    <w:rsid w:val="00413FAE"/>
    <w:rsid w:val="00414574"/>
    <w:rsid w:val="00414905"/>
    <w:rsid w:val="00415076"/>
    <w:rsid w:val="00416384"/>
    <w:rsid w:val="0042245E"/>
    <w:rsid w:val="004239F5"/>
    <w:rsid w:val="00423E38"/>
    <w:rsid w:val="00430C87"/>
    <w:rsid w:val="00431E3D"/>
    <w:rsid w:val="004362DF"/>
    <w:rsid w:val="00440A93"/>
    <w:rsid w:val="00442215"/>
    <w:rsid w:val="00443337"/>
    <w:rsid w:val="0044440C"/>
    <w:rsid w:val="0044463A"/>
    <w:rsid w:val="00451442"/>
    <w:rsid w:val="00453C72"/>
    <w:rsid w:val="0045443F"/>
    <w:rsid w:val="004560D3"/>
    <w:rsid w:val="00460D2D"/>
    <w:rsid w:val="00463A8C"/>
    <w:rsid w:val="00470FCC"/>
    <w:rsid w:val="00476314"/>
    <w:rsid w:val="00476F9F"/>
    <w:rsid w:val="00480207"/>
    <w:rsid w:val="004813C2"/>
    <w:rsid w:val="00482733"/>
    <w:rsid w:val="00482D0F"/>
    <w:rsid w:val="00483A42"/>
    <w:rsid w:val="004842FC"/>
    <w:rsid w:val="00486BB9"/>
    <w:rsid w:val="00486EA5"/>
    <w:rsid w:val="00494768"/>
    <w:rsid w:val="004A69A1"/>
    <w:rsid w:val="004A6EEC"/>
    <w:rsid w:val="004B058F"/>
    <w:rsid w:val="004B7C33"/>
    <w:rsid w:val="004B7D29"/>
    <w:rsid w:val="004C11D0"/>
    <w:rsid w:val="004D0388"/>
    <w:rsid w:val="004D0F30"/>
    <w:rsid w:val="004D13C1"/>
    <w:rsid w:val="004D5D9D"/>
    <w:rsid w:val="004D654C"/>
    <w:rsid w:val="004E45BB"/>
    <w:rsid w:val="004E4989"/>
    <w:rsid w:val="004E6F44"/>
    <w:rsid w:val="004E741F"/>
    <w:rsid w:val="004F0858"/>
    <w:rsid w:val="00503033"/>
    <w:rsid w:val="0050438D"/>
    <w:rsid w:val="0050445D"/>
    <w:rsid w:val="0050528E"/>
    <w:rsid w:val="00505F98"/>
    <w:rsid w:val="005061C3"/>
    <w:rsid w:val="005160C0"/>
    <w:rsid w:val="00517566"/>
    <w:rsid w:val="00517F9E"/>
    <w:rsid w:val="00522102"/>
    <w:rsid w:val="005257E5"/>
    <w:rsid w:val="00526646"/>
    <w:rsid w:val="00534C91"/>
    <w:rsid w:val="005407BC"/>
    <w:rsid w:val="00541C0E"/>
    <w:rsid w:val="00541DD3"/>
    <w:rsid w:val="0054785F"/>
    <w:rsid w:val="00552035"/>
    <w:rsid w:val="0055349B"/>
    <w:rsid w:val="0056279A"/>
    <w:rsid w:val="005642F8"/>
    <w:rsid w:val="00565CAE"/>
    <w:rsid w:val="00566AD0"/>
    <w:rsid w:val="00567D6B"/>
    <w:rsid w:val="00572554"/>
    <w:rsid w:val="005740A3"/>
    <w:rsid w:val="0057411E"/>
    <w:rsid w:val="00574F62"/>
    <w:rsid w:val="00575920"/>
    <w:rsid w:val="00580C8F"/>
    <w:rsid w:val="005831F6"/>
    <w:rsid w:val="00583D88"/>
    <w:rsid w:val="005843B4"/>
    <w:rsid w:val="00584BF4"/>
    <w:rsid w:val="00590EBE"/>
    <w:rsid w:val="00591EA6"/>
    <w:rsid w:val="005A109D"/>
    <w:rsid w:val="005A1A1B"/>
    <w:rsid w:val="005A2AF4"/>
    <w:rsid w:val="005A4816"/>
    <w:rsid w:val="005A7595"/>
    <w:rsid w:val="005A7EE3"/>
    <w:rsid w:val="005B4CCA"/>
    <w:rsid w:val="005B6F8B"/>
    <w:rsid w:val="005B7F00"/>
    <w:rsid w:val="005C03DD"/>
    <w:rsid w:val="005C1ACE"/>
    <w:rsid w:val="005C338D"/>
    <w:rsid w:val="005C33E2"/>
    <w:rsid w:val="005C7374"/>
    <w:rsid w:val="005D12A0"/>
    <w:rsid w:val="005D383C"/>
    <w:rsid w:val="005E1257"/>
    <w:rsid w:val="005E4EFF"/>
    <w:rsid w:val="005E536D"/>
    <w:rsid w:val="005E6AD3"/>
    <w:rsid w:val="005E726D"/>
    <w:rsid w:val="005E7CAD"/>
    <w:rsid w:val="005F0C44"/>
    <w:rsid w:val="005F3683"/>
    <w:rsid w:val="00602F48"/>
    <w:rsid w:val="0060459A"/>
    <w:rsid w:val="00604785"/>
    <w:rsid w:val="006051E3"/>
    <w:rsid w:val="00612241"/>
    <w:rsid w:val="006130F8"/>
    <w:rsid w:val="0061347E"/>
    <w:rsid w:val="006150F5"/>
    <w:rsid w:val="00620583"/>
    <w:rsid w:val="00620C4C"/>
    <w:rsid w:val="00620CC3"/>
    <w:rsid w:val="00626AC1"/>
    <w:rsid w:val="006324F9"/>
    <w:rsid w:val="0063409F"/>
    <w:rsid w:val="00637101"/>
    <w:rsid w:val="00637FB8"/>
    <w:rsid w:val="00640E7A"/>
    <w:rsid w:val="00643BBE"/>
    <w:rsid w:val="006450C0"/>
    <w:rsid w:val="00645E48"/>
    <w:rsid w:val="006473E3"/>
    <w:rsid w:val="00657900"/>
    <w:rsid w:val="00657AC4"/>
    <w:rsid w:val="00657C17"/>
    <w:rsid w:val="00660346"/>
    <w:rsid w:val="006642E9"/>
    <w:rsid w:val="00664DF2"/>
    <w:rsid w:val="00666D2E"/>
    <w:rsid w:val="00670D72"/>
    <w:rsid w:val="006726FC"/>
    <w:rsid w:val="00673329"/>
    <w:rsid w:val="00686F97"/>
    <w:rsid w:val="00687BE7"/>
    <w:rsid w:val="00690F45"/>
    <w:rsid w:val="006921E2"/>
    <w:rsid w:val="006938E3"/>
    <w:rsid w:val="00694595"/>
    <w:rsid w:val="00695C31"/>
    <w:rsid w:val="00696006"/>
    <w:rsid w:val="006A463E"/>
    <w:rsid w:val="006A495A"/>
    <w:rsid w:val="006B1B65"/>
    <w:rsid w:val="006B4959"/>
    <w:rsid w:val="006B53A7"/>
    <w:rsid w:val="006C2DB3"/>
    <w:rsid w:val="006C53BB"/>
    <w:rsid w:val="006D1A25"/>
    <w:rsid w:val="006D21B8"/>
    <w:rsid w:val="006D5F82"/>
    <w:rsid w:val="006D6AA5"/>
    <w:rsid w:val="006E2EFF"/>
    <w:rsid w:val="006E325F"/>
    <w:rsid w:val="006E38ED"/>
    <w:rsid w:val="006E7270"/>
    <w:rsid w:val="006E7BA0"/>
    <w:rsid w:val="006F065C"/>
    <w:rsid w:val="006F13F2"/>
    <w:rsid w:val="006F307B"/>
    <w:rsid w:val="006F3792"/>
    <w:rsid w:val="006F56B1"/>
    <w:rsid w:val="006F5A05"/>
    <w:rsid w:val="006F6B61"/>
    <w:rsid w:val="006F77C4"/>
    <w:rsid w:val="00701C2C"/>
    <w:rsid w:val="00702588"/>
    <w:rsid w:val="00706C5C"/>
    <w:rsid w:val="0071204A"/>
    <w:rsid w:val="00712FAC"/>
    <w:rsid w:val="0071484B"/>
    <w:rsid w:val="00714F53"/>
    <w:rsid w:val="00723779"/>
    <w:rsid w:val="00724490"/>
    <w:rsid w:val="0072454E"/>
    <w:rsid w:val="00724552"/>
    <w:rsid w:val="0073390B"/>
    <w:rsid w:val="00733FCF"/>
    <w:rsid w:val="00734696"/>
    <w:rsid w:val="00734DDD"/>
    <w:rsid w:val="00734FB0"/>
    <w:rsid w:val="00741F32"/>
    <w:rsid w:val="00743996"/>
    <w:rsid w:val="00747C83"/>
    <w:rsid w:val="0075194C"/>
    <w:rsid w:val="00754321"/>
    <w:rsid w:val="007545E1"/>
    <w:rsid w:val="00756AB0"/>
    <w:rsid w:val="007620AD"/>
    <w:rsid w:val="007627C3"/>
    <w:rsid w:val="00764552"/>
    <w:rsid w:val="00764A99"/>
    <w:rsid w:val="00764C5E"/>
    <w:rsid w:val="00766F90"/>
    <w:rsid w:val="007726CF"/>
    <w:rsid w:val="00772744"/>
    <w:rsid w:val="007800E0"/>
    <w:rsid w:val="00781AE7"/>
    <w:rsid w:val="00782429"/>
    <w:rsid w:val="007877C7"/>
    <w:rsid w:val="007916B6"/>
    <w:rsid w:val="007924EA"/>
    <w:rsid w:val="00795850"/>
    <w:rsid w:val="00797E36"/>
    <w:rsid w:val="007A425C"/>
    <w:rsid w:val="007A63C5"/>
    <w:rsid w:val="007B564E"/>
    <w:rsid w:val="007D1BDF"/>
    <w:rsid w:val="007D53C0"/>
    <w:rsid w:val="007E0042"/>
    <w:rsid w:val="007E3ABD"/>
    <w:rsid w:val="007F21C6"/>
    <w:rsid w:val="007F293F"/>
    <w:rsid w:val="007F3AE4"/>
    <w:rsid w:val="007F751E"/>
    <w:rsid w:val="0080339A"/>
    <w:rsid w:val="00805121"/>
    <w:rsid w:val="00805F67"/>
    <w:rsid w:val="008062C2"/>
    <w:rsid w:val="0080668F"/>
    <w:rsid w:val="008102F1"/>
    <w:rsid w:val="00813523"/>
    <w:rsid w:val="00815F87"/>
    <w:rsid w:val="00817341"/>
    <w:rsid w:val="008179A6"/>
    <w:rsid w:val="00821C11"/>
    <w:rsid w:val="008252CF"/>
    <w:rsid w:val="00832098"/>
    <w:rsid w:val="0083441E"/>
    <w:rsid w:val="00834DC3"/>
    <w:rsid w:val="0083527D"/>
    <w:rsid w:val="008509E6"/>
    <w:rsid w:val="00851CDB"/>
    <w:rsid w:val="00853053"/>
    <w:rsid w:val="00856EB5"/>
    <w:rsid w:val="00857407"/>
    <w:rsid w:val="00857F72"/>
    <w:rsid w:val="008605A6"/>
    <w:rsid w:val="0086214F"/>
    <w:rsid w:val="00862F15"/>
    <w:rsid w:val="00885F23"/>
    <w:rsid w:val="00886EA0"/>
    <w:rsid w:val="008922B9"/>
    <w:rsid w:val="00892B69"/>
    <w:rsid w:val="00893251"/>
    <w:rsid w:val="00894A21"/>
    <w:rsid w:val="00894FBC"/>
    <w:rsid w:val="0089616F"/>
    <w:rsid w:val="008969F3"/>
    <w:rsid w:val="008970D7"/>
    <w:rsid w:val="008A2A29"/>
    <w:rsid w:val="008A34E7"/>
    <w:rsid w:val="008A7747"/>
    <w:rsid w:val="008A7BFE"/>
    <w:rsid w:val="008B1EAE"/>
    <w:rsid w:val="008B200E"/>
    <w:rsid w:val="008B7FF9"/>
    <w:rsid w:val="008C1949"/>
    <w:rsid w:val="008C277C"/>
    <w:rsid w:val="008D0948"/>
    <w:rsid w:val="008D0D62"/>
    <w:rsid w:val="008D1818"/>
    <w:rsid w:val="008D33B8"/>
    <w:rsid w:val="008D3FBA"/>
    <w:rsid w:val="008D6661"/>
    <w:rsid w:val="008E131C"/>
    <w:rsid w:val="008E53C2"/>
    <w:rsid w:val="008E6FC7"/>
    <w:rsid w:val="008E704B"/>
    <w:rsid w:val="008E7E1F"/>
    <w:rsid w:val="008F122E"/>
    <w:rsid w:val="008F14FB"/>
    <w:rsid w:val="008F4DDC"/>
    <w:rsid w:val="008F7250"/>
    <w:rsid w:val="008F7420"/>
    <w:rsid w:val="008F7E0C"/>
    <w:rsid w:val="0090029B"/>
    <w:rsid w:val="00904807"/>
    <w:rsid w:val="0091683B"/>
    <w:rsid w:val="00917A62"/>
    <w:rsid w:val="009201B4"/>
    <w:rsid w:val="00920ED6"/>
    <w:rsid w:val="00923F81"/>
    <w:rsid w:val="00927A08"/>
    <w:rsid w:val="00931394"/>
    <w:rsid w:val="009323B4"/>
    <w:rsid w:val="0093642F"/>
    <w:rsid w:val="0093723C"/>
    <w:rsid w:val="009376AE"/>
    <w:rsid w:val="00945980"/>
    <w:rsid w:val="00946702"/>
    <w:rsid w:val="0095377D"/>
    <w:rsid w:val="009548F9"/>
    <w:rsid w:val="00957C7F"/>
    <w:rsid w:val="00962E61"/>
    <w:rsid w:val="009641B9"/>
    <w:rsid w:val="00966FCC"/>
    <w:rsid w:val="00971A6A"/>
    <w:rsid w:val="00984E3E"/>
    <w:rsid w:val="00986558"/>
    <w:rsid w:val="009871AB"/>
    <w:rsid w:val="00991F6D"/>
    <w:rsid w:val="0099764C"/>
    <w:rsid w:val="009A4D5E"/>
    <w:rsid w:val="009B0B87"/>
    <w:rsid w:val="009B443E"/>
    <w:rsid w:val="009B5744"/>
    <w:rsid w:val="009C3CDE"/>
    <w:rsid w:val="009C4EFA"/>
    <w:rsid w:val="009D2A08"/>
    <w:rsid w:val="009E1AEB"/>
    <w:rsid w:val="009E6276"/>
    <w:rsid w:val="009E794D"/>
    <w:rsid w:val="009F0AC7"/>
    <w:rsid w:val="009F1589"/>
    <w:rsid w:val="009F337F"/>
    <w:rsid w:val="009F439E"/>
    <w:rsid w:val="009F599D"/>
    <w:rsid w:val="00A03C79"/>
    <w:rsid w:val="00A04639"/>
    <w:rsid w:val="00A1505C"/>
    <w:rsid w:val="00A16921"/>
    <w:rsid w:val="00A31553"/>
    <w:rsid w:val="00A31F9F"/>
    <w:rsid w:val="00A33B61"/>
    <w:rsid w:val="00A33D6E"/>
    <w:rsid w:val="00A34F97"/>
    <w:rsid w:val="00A35C84"/>
    <w:rsid w:val="00A35EB5"/>
    <w:rsid w:val="00A41912"/>
    <w:rsid w:val="00A42F83"/>
    <w:rsid w:val="00A44154"/>
    <w:rsid w:val="00A51CD9"/>
    <w:rsid w:val="00A567D9"/>
    <w:rsid w:val="00A570CD"/>
    <w:rsid w:val="00A605DD"/>
    <w:rsid w:val="00A6097A"/>
    <w:rsid w:val="00A60E52"/>
    <w:rsid w:val="00A64A9E"/>
    <w:rsid w:val="00A6653A"/>
    <w:rsid w:val="00A70419"/>
    <w:rsid w:val="00A716A9"/>
    <w:rsid w:val="00A730AA"/>
    <w:rsid w:val="00A73708"/>
    <w:rsid w:val="00A74142"/>
    <w:rsid w:val="00A75110"/>
    <w:rsid w:val="00A77365"/>
    <w:rsid w:val="00A80B21"/>
    <w:rsid w:val="00A81AA6"/>
    <w:rsid w:val="00A85155"/>
    <w:rsid w:val="00A85CA5"/>
    <w:rsid w:val="00A8765B"/>
    <w:rsid w:val="00A90373"/>
    <w:rsid w:val="00A90AFB"/>
    <w:rsid w:val="00A90E6A"/>
    <w:rsid w:val="00A924D7"/>
    <w:rsid w:val="00AA191C"/>
    <w:rsid w:val="00AA26E9"/>
    <w:rsid w:val="00AA2830"/>
    <w:rsid w:val="00AA5916"/>
    <w:rsid w:val="00AA5E88"/>
    <w:rsid w:val="00AB128B"/>
    <w:rsid w:val="00AB128F"/>
    <w:rsid w:val="00AB2F20"/>
    <w:rsid w:val="00AB430F"/>
    <w:rsid w:val="00AB5989"/>
    <w:rsid w:val="00AC1301"/>
    <w:rsid w:val="00AC3FF9"/>
    <w:rsid w:val="00AD09C9"/>
    <w:rsid w:val="00AD7C2B"/>
    <w:rsid w:val="00AE1FBC"/>
    <w:rsid w:val="00AE2CC0"/>
    <w:rsid w:val="00AE455A"/>
    <w:rsid w:val="00AE62AC"/>
    <w:rsid w:val="00AF11E2"/>
    <w:rsid w:val="00AF1CDA"/>
    <w:rsid w:val="00AF5B75"/>
    <w:rsid w:val="00AF710B"/>
    <w:rsid w:val="00B07989"/>
    <w:rsid w:val="00B10093"/>
    <w:rsid w:val="00B1035A"/>
    <w:rsid w:val="00B17013"/>
    <w:rsid w:val="00B2451A"/>
    <w:rsid w:val="00B25735"/>
    <w:rsid w:val="00B304A9"/>
    <w:rsid w:val="00B30AAD"/>
    <w:rsid w:val="00B30D24"/>
    <w:rsid w:val="00B3503D"/>
    <w:rsid w:val="00B44878"/>
    <w:rsid w:val="00B4653E"/>
    <w:rsid w:val="00B501A4"/>
    <w:rsid w:val="00B50AFA"/>
    <w:rsid w:val="00B51FEE"/>
    <w:rsid w:val="00B520D6"/>
    <w:rsid w:val="00B54BA5"/>
    <w:rsid w:val="00B56990"/>
    <w:rsid w:val="00B6002B"/>
    <w:rsid w:val="00B620DC"/>
    <w:rsid w:val="00B63E52"/>
    <w:rsid w:val="00B666A9"/>
    <w:rsid w:val="00B7146F"/>
    <w:rsid w:val="00B71FAE"/>
    <w:rsid w:val="00B749F5"/>
    <w:rsid w:val="00B806FB"/>
    <w:rsid w:val="00B958A7"/>
    <w:rsid w:val="00B9709E"/>
    <w:rsid w:val="00BA3B88"/>
    <w:rsid w:val="00BA4945"/>
    <w:rsid w:val="00BA5FF1"/>
    <w:rsid w:val="00BA7096"/>
    <w:rsid w:val="00BB1658"/>
    <w:rsid w:val="00BB1801"/>
    <w:rsid w:val="00BB267F"/>
    <w:rsid w:val="00BB3571"/>
    <w:rsid w:val="00BB3AB3"/>
    <w:rsid w:val="00BB5960"/>
    <w:rsid w:val="00BC5DDB"/>
    <w:rsid w:val="00BC7644"/>
    <w:rsid w:val="00BD0FEF"/>
    <w:rsid w:val="00BD6FB4"/>
    <w:rsid w:val="00BD7AF7"/>
    <w:rsid w:val="00BD7CCB"/>
    <w:rsid w:val="00BE2FBD"/>
    <w:rsid w:val="00BE3262"/>
    <w:rsid w:val="00BE5110"/>
    <w:rsid w:val="00BE73A2"/>
    <w:rsid w:val="00BF0309"/>
    <w:rsid w:val="00BF103A"/>
    <w:rsid w:val="00BF2295"/>
    <w:rsid w:val="00BF71F7"/>
    <w:rsid w:val="00C00AC3"/>
    <w:rsid w:val="00C03DBB"/>
    <w:rsid w:val="00C05041"/>
    <w:rsid w:val="00C0554F"/>
    <w:rsid w:val="00C101E0"/>
    <w:rsid w:val="00C1037C"/>
    <w:rsid w:val="00C12886"/>
    <w:rsid w:val="00C2200D"/>
    <w:rsid w:val="00C22E23"/>
    <w:rsid w:val="00C2501B"/>
    <w:rsid w:val="00C3415B"/>
    <w:rsid w:val="00C3665C"/>
    <w:rsid w:val="00C51520"/>
    <w:rsid w:val="00C5155D"/>
    <w:rsid w:val="00C5641B"/>
    <w:rsid w:val="00C56EF4"/>
    <w:rsid w:val="00C57038"/>
    <w:rsid w:val="00C604AC"/>
    <w:rsid w:val="00C6137C"/>
    <w:rsid w:val="00C63C57"/>
    <w:rsid w:val="00C64B95"/>
    <w:rsid w:val="00C65534"/>
    <w:rsid w:val="00C674EA"/>
    <w:rsid w:val="00C70D67"/>
    <w:rsid w:val="00C726BB"/>
    <w:rsid w:val="00C72C19"/>
    <w:rsid w:val="00C734B9"/>
    <w:rsid w:val="00C74677"/>
    <w:rsid w:val="00C81534"/>
    <w:rsid w:val="00C83161"/>
    <w:rsid w:val="00C845FC"/>
    <w:rsid w:val="00C84ED2"/>
    <w:rsid w:val="00C8585A"/>
    <w:rsid w:val="00C85AD0"/>
    <w:rsid w:val="00C94CD8"/>
    <w:rsid w:val="00C94F91"/>
    <w:rsid w:val="00CA03FA"/>
    <w:rsid w:val="00CA1CD0"/>
    <w:rsid w:val="00CA2A59"/>
    <w:rsid w:val="00CA3510"/>
    <w:rsid w:val="00CA4B8A"/>
    <w:rsid w:val="00CA732F"/>
    <w:rsid w:val="00CA7F4B"/>
    <w:rsid w:val="00CC1AEA"/>
    <w:rsid w:val="00CC36D1"/>
    <w:rsid w:val="00CD003F"/>
    <w:rsid w:val="00CD00E3"/>
    <w:rsid w:val="00CD3508"/>
    <w:rsid w:val="00CD5188"/>
    <w:rsid w:val="00CD6E16"/>
    <w:rsid w:val="00CD7205"/>
    <w:rsid w:val="00CD779C"/>
    <w:rsid w:val="00CE7E94"/>
    <w:rsid w:val="00CF0764"/>
    <w:rsid w:val="00CF0D9F"/>
    <w:rsid w:val="00CF1326"/>
    <w:rsid w:val="00CF28AE"/>
    <w:rsid w:val="00CF3C32"/>
    <w:rsid w:val="00CF477D"/>
    <w:rsid w:val="00CF4B05"/>
    <w:rsid w:val="00CF6222"/>
    <w:rsid w:val="00D14C39"/>
    <w:rsid w:val="00D17682"/>
    <w:rsid w:val="00D22420"/>
    <w:rsid w:val="00D23626"/>
    <w:rsid w:val="00D25EC3"/>
    <w:rsid w:val="00D25F14"/>
    <w:rsid w:val="00D32BFF"/>
    <w:rsid w:val="00D3453D"/>
    <w:rsid w:val="00D35596"/>
    <w:rsid w:val="00D37BB7"/>
    <w:rsid w:val="00D40164"/>
    <w:rsid w:val="00D4169A"/>
    <w:rsid w:val="00D41B42"/>
    <w:rsid w:val="00D51122"/>
    <w:rsid w:val="00D51D9A"/>
    <w:rsid w:val="00D56A60"/>
    <w:rsid w:val="00D60BED"/>
    <w:rsid w:val="00D647D9"/>
    <w:rsid w:val="00D6658E"/>
    <w:rsid w:val="00D67639"/>
    <w:rsid w:val="00D6783C"/>
    <w:rsid w:val="00D67D96"/>
    <w:rsid w:val="00D71960"/>
    <w:rsid w:val="00D76483"/>
    <w:rsid w:val="00D772EF"/>
    <w:rsid w:val="00D81E23"/>
    <w:rsid w:val="00D820E1"/>
    <w:rsid w:val="00D929D3"/>
    <w:rsid w:val="00D95A09"/>
    <w:rsid w:val="00D96828"/>
    <w:rsid w:val="00D97A9A"/>
    <w:rsid w:val="00DA0116"/>
    <w:rsid w:val="00DA022F"/>
    <w:rsid w:val="00DA410C"/>
    <w:rsid w:val="00DA5CF3"/>
    <w:rsid w:val="00DA7563"/>
    <w:rsid w:val="00DB0F57"/>
    <w:rsid w:val="00DB31CC"/>
    <w:rsid w:val="00DC5FB5"/>
    <w:rsid w:val="00DC63B2"/>
    <w:rsid w:val="00DD0C56"/>
    <w:rsid w:val="00DD135A"/>
    <w:rsid w:val="00DD5A94"/>
    <w:rsid w:val="00DE26AC"/>
    <w:rsid w:val="00DE3267"/>
    <w:rsid w:val="00DE3E3C"/>
    <w:rsid w:val="00DF147D"/>
    <w:rsid w:val="00DF3301"/>
    <w:rsid w:val="00E016AA"/>
    <w:rsid w:val="00E11BB9"/>
    <w:rsid w:val="00E1276D"/>
    <w:rsid w:val="00E129AF"/>
    <w:rsid w:val="00E152C2"/>
    <w:rsid w:val="00E17967"/>
    <w:rsid w:val="00E17DE1"/>
    <w:rsid w:val="00E20FA4"/>
    <w:rsid w:val="00E25815"/>
    <w:rsid w:val="00E3775C"/>
    <w:rsid w:val="00E37E79"/>
    <w:rsid w:val="00E4353C"/>
    <w:rsid w:val="00E444D2"/>
    <w:rsid w:val="00E465A1"/>
    <w:rsid w:val="00E55A19"/>
    <w:rsid w:val="00E56073"/>
    <w:rsid w:val="00E5659C"/>
    <w:rsid w:val="00E56CA5"/>
    <w:rsid w:val="00E56E69"/>
    <w:rsid w:val="00E61726"/>
    <w:rsid w:val="00E6385E"/>
    <w:rsid w:val="00E659E8"/>
    <w:rsid w:val="00E7123C"/>
    <w:rsid w:val="00E72993"/>
    <w:rsid w:val="00E7312E"/>
    <w:rsid w:val="00E74F9E"/>
    <w:rsid w:val="00E751E8"/>
    <w:rsid w:val="00E828D1"/>
    <w:rsid w:val="00E83A6E"/>
    <w:rsid w:val="00EA324A"/>
    <w:rsid w:val="00EA37EF"/>
    <w:rsid w:val="00EA4F53"/>
    <w:rsid w:val="00EA4FA3"/>
    <w:rsid w:val="00EB0CB9"/>
    <w:rsid w:val="00EB232C"/>
    <w:rsid w:val="00EB4C59"/>
    <w:rsid w:val="00EC0733"/>
    <w:rsid w:val="00ED0A32"/>
    <w:rsid w:val="00ED0BD8"/>
    <w:rsid w:val="00ED1032"/>
    <w:rsid w:val="00ED33B2"/>
    <w:rsid w:val="00EE084E"/>
    <w:rsid w:val="00EE0A90"/>
    <w:rsid w:val="00EE1553"/>
    <w:rsid w:val="00EF2B9D"/>
    <w:rsid w:val="00EF5DCE"/>
    <w:rsid w:val="00EF7B20"/>
    <w:rsid w:val="00F105EF"/>
    <w:rsid w:val="00F11ABA"/>
    <w:rsid w:val="00F12B63"/>
    <w:rsid w:val="00F14DA1"/>
    <w:rsid w:val="00F15114"/>
    <w:rsid w:val="00F15667"/>
    <w:rsid w:val="00F17E54"/>
    <w:rsid w:val="00F20C98"/>
    <w:rsid w:val="00F30080"/>
    <w:rsid w:val="00F40AE1"/>
    <w:rsid w:val="00F4321D"/>
    <w:rsid w:val="00F44D3B"/>
    <w:rsid w:val="00F45487"/>
    <w:rsid w:val="00F50CDF"/>
    <w:rsid w:val="00F54172"/>
    <w:rsid w:val="00F62A50"/>
    <w:rsid w:val="00F677C8"/>
    <w:rsid w:val="00F7633C"/>
    <w:rsid w:val="00F83DA3"/>
    <w:rsid w:val="00F85DB9"/>
    <w:rsid w:val="00F867F2"/>
    <w:rsid w:val="00F93C19"/>
    <w:rsid w:val="00F97DE4"/>
    <w:rsid w:val="00F97E47"/>
    <w:rsid w:val="00FA3AA8"/>
    <w:rsid w:val="00FA4A7F"/>
    <w:rsid w:val="00FA532B"/>
    <w:rsid w:val="00FA7E8C"/>
    <w:rsid w:val="00FB13FE"/>
    <w:rsid w:val="00FB1FA4"/>
    <w:rsid w:val="00FB6A10"/>
    <w:rsid w:val="00FC2605"/>
    <w:rsid w:val="00FD35B9"/>
    <w:rsid w:val="00FE1349"/>
    <w:rsid w:val="00FE3577"/>
    <w:rsid w:val="00FE3739"/>
    <w:rsid w:val="00FE7240"/>
    <w:rsid w:val="00FE7EB5"/>
    <w:rsid w:val="00FF3408"/>
    <w:rsid w:val="00FF3622"/>
    <w:rsid w:val="00FF6113"/>
    <w:rsid w:val="011D2F98"/>
    <w:rsid w:val="01227D26"/>
    <w:rsid w:val="01632A80"/>
    <w:rsid w:val="01805B1F"/>
    <w:rsid w:val="019B3634"/>
    <w:rsid w:val="01A23F19"/>
    <w:rsid w:val="01AE07E2"/>
    <w:rsid w:val="01FE3698"/>
    <w:rsid w:val="02041D4E"/>
    <w:rsid w:val="021358C1"/>
    <w:rsid w:val="021E7943"/>
    <w:rsid w:val="02435A78"/>
    <w:rsid w:val="02477318"/>
    <w:rsid w:val="024A7CF6"/>
    <w:rsid w:val="026C4FD1"/>
    <w:rsid w:val="02750329"/>
    <w:rsid w:val="02934466"/>
    <w:rsid w:val="02936A01"/>
    <w:rsid w:val="02940F32"/>
    <w:rsid w:val="02B2494E"/>
    <w:rsid w:val="02DD1A2B"/>
    <w:rsid w:val="02E64D83"/>
    <w:rsid w:val="02EB682A"/>
    <w:rsid w:val="02F62AAB"/>
    <w:rsid w:val="02FA25DD"/>
    <w:rsid w:val="03002763"/>
    <w:rsid w:val="03073C0C"/>
    <w:rsid w:val="03123DCA"/>
    <w:rsid w:val="032E3433"/>
    <w:rsid w:val="03336D85"/>
    <w:rsid w:val="035148F2"/>
    <w:rsid w:val="036419D3"/>
    <w:rsid w:val="036B5288"/>
    <w:rsid w:val="037A07A4"/>
    <w:rsid w:val="03942A31"/>
    <w:rsid w:val="03974E7F"/>
    <w:rsid w:val="039C3AE0"/>
    <w:rsid w:val="03C76963"/>
    <w:rsid w:val="03CC5D27"/>
    <w:rsid w:val="03EE2141"/>
    <w:rsid w:val="03F31EED"/>
    <w:rsid w:val="03FB4571"/>
    <w:rsid w:val="03FF60FC"/>
    <w:rsid w:val="04073203"/>
    <w:rsid w:val="040F012F"/>
    <w:rsid w:val="04137DFA"/>
    <w:rsid w:val="0441134A"/>
    <w:rsid w:val="046378E3"/>
    <w:rsid w:val="0475494B"/>
    <w:rsid w:val="04CB5637"/>
    <w:rsid w:val="04CD38C4"/>
    <w:rsid w:val="04CD6D58"/>
    <w:rsid w:val="04D1736D"/>
    <w:rsid w:val="04DB7527"/>
    <w:rsid w:val="04EE6171"/>
    <w:rsid w:val="04FC7560"/>
    <w:rsid w:val="05056D9E"/>
    <w:rsid w:val="05084C4D"/>
    <w:rsid w:val="052B7E65"/>
    <w:rsid w:val="0539206E"/>
    <w:rsid w:val="05451CBD"/>
    <w:rsid w:val="05475AFD"/>
    <w:rsid w:val="054B313A"/>
    <w:rsid w:val="056135FA"/>
    <w:rsid w:val="0593094B"/>
    <w:rsid w:val="059E3B26"/>
    <w:rsid w:val="05D45367"/>
    <w:rsid w:val="05DE26B0"/>
    <w:rsid w:val="05E337FC"/>
    <w:rsid w:val="05E36B48"/>
    <w:rsid w:val="05F746A3"/>
    <w:rsid w:val="060C78FC"/>
    <w:rsid w:val="060F0852"/>
    <w:rsid w:val="06252BB3"/>
    <w:rsid w:val="064B7D35"/>
    <w:rsid w:val="0650631D"/>
    <w:rsid w:val="06542680"/>
    <w:rsid w:val="065F615B"/>
    <w:rsid w:val="066557A6"/>
    <w:rsid w:val="06701ABF"/>
    <w:rsid w:val="067B063E"/>
    <w:rsid w:val="06832A34"/>
    <w:rsid w:val="06942FFC"/>
    <w:rsid w:val="06B74FBC"/>
    <w:rsid w:val="06D74856"/>
    <w:rsid w:val="06EA3302"/>
    <w:rsid w:val="06F41579"/>
    <w:rsid w:val="06FC2DC7"/>
    <w:rsid w:val="0701047C"/>
    <w:rsid w:val="071F7265"/>
    <w:rsid w:val="07200C9D"/>
    <w:rsid w:val="07297F50"/>
    <w:rsid w:val="0778153C"/>
    <w:rsid w:val="078049DF"/>
    <w:rsid w:val="07832BA1"/>
    <w:rsid w:val="07902768"/>
    <w:rsid w:val="079B438E"/>
    <w:rsid w:val="07C40DAD"/>
    <w:rsid w:val="07D63BF8"/>
    <w:rsid w:val="08033CE1"/>
    <w:rsid w:val="083B16CD"/>
    <w:rsid w:val="08402805"/>
    <w:rsid w:val="08544B27"/>
    <w:rsid w:val="08915791"/>
    <w:rsid w:val="089332B7"/>
    <w:rsid w:val="089D2225"/>
    <w:rsid w:val="08D613F6"/>
    <w:rsid w:val="08E753B1"/>
    <w:rsid w:val="08F063F5"/>
    <w:rsid w:val="08FB2D75"/>
    <w:rsid w:val="091A7535"/>
    <w:rsid w:val="0928131E"/>
    <w:rsid w:val="094A2C65"/>
    <w:rsid w:val="094B2CD1"/>
    <w:rsid w:val="09695E49"/>
    <w:rsid w:val="097242B1"/>
    <w:rsid w:val="097860BE"/>
    <w:rsid w:val="0983563F"/>
    <w:rsid w:val="09863083"/>
    <w:rsid w:val="09931095"/>
    <w:rsid w:val="099F7A3A"/>
    <w:rsid w:val="09A91FE2"/>
    <w:rsid w:val="09BD1E08"/>
    <w:rsid w:val="09CC3463"/>
    <w:rsid w:val="09D55C00"/>
    <w:rsid w:val="09E427E1"/>
    <w:rsid w:val="09E718A8"/>
    <w:rsid w:val="09EE79D5"/>
    <w:rsid w:val="09F538BC"/>
    <w:rsid w:val="09F56FA6"/>
    <w:rsid w:val="0A0106F5"/>
    <w:rsid w:val="0A11478C"/>
    <w:rsid w:val="0A221DE1"/>
    <w:rsid w:val="0A23066B"/>
    <w:rsid w:val="0A336A25"/>
    <w:rsid w:val="0A4A3749"/>
    <w:rsid w:val="0A71587A"/>
    <w:rsid w:val="0A7A7FDB"/>
    <w:rsid w:val="0A8948E7"/>
    <w:rsid w:val="0A8C0653"/>
    <w:rsid w:val="0A8C339B"/>
    <w:rsid w:val="0A9926DB"/>
    <w:rsid w:val="0AA36B82"/>
    <w:rsid w:val="0AAC4FD4"/>
    <w:rsid w:val="0ABA1748"/>
    <w:rsid w:val="0AD75A4C"/>
    <w:rsid w:val="0AE4014E"/>
    <w:rsid w:val="0AF063CD"/>
    <w:rsid w:val="0B296FBB"/>
    <w:rsid w:val="0B316DB7"/>
    <w:rsid w:val="0B331A97"/>
    <w:rsid w:val="0B350656"/>
    <w:rsid w:val="0B392A47"/>
    <w:rsid w:val="0B3A5C6C"/>
    <w:rsid w:val="0B3C6F23"/>
    <w:rsid w:val="0B5807E8"/>
    <w:rsid w:val="0B5B18F1"/>
    <w:rsid w:val="0B601863"/>
    <w:rsid w:val="0B6E638C"/>
    <w:rsid w:val="0B6E7302"/>
    <w:rsid w:val="0B6F23C9"/>
    <w:rsid w:val="0B6F2E47"/>
    <w:rsid w:val="0BA46C3D"/>
    <w:rsid w:val="0BA629BF"/>
    <w:rsid w:val="0BA65E90"/>
    <w:rsid w:val="0BAD223D"/>
    <w:rsid w:val="0BD97931"/>
    <w:rsid w:val="0BDC3DAA"/>
    <w:rsid w:val="0BDF4C6D"/>
    <w:rsid w:val="0BE856C8"/>
    <w:rsid w:val="0BE906EB"/>
    <w:rsid w:val="0BF66E0B"/>
    <w:rsid w:val="0BF95975"/>
    <w:rsid w:val="0C050033"/>
    <w:rsid w:val="0C0F6EDB"/>
    <w:rsid w:val="0C234C0A"/>
    <w:rsid w:val="0C243E28"/>
    <w:rsid w:val="0C27478E"/>
    <w:rsid w:val="0C275F3F"/>
    <w:rsid w:val="0C2E0F79"/>
    <w:rsid w:val="0C572E12"/>
    <w:rsid w:val="0C73223D"/>
    <w:rsid w:val="0C8816C6"/>
    <w:rsid w:val="0C9320DF"/>
    <w:rsid w:val="0C9529AC"/>
    <w:rsid w:val="0CA63264"/>
    <w:rsid w:val="0CA87AA1"/>
    <w:rsid w:val="0CB00075"/>
    <w:rsid w:val="0CB101B0"/>
    <w:rsid w:val="0CC2416B"/>
    <w:rsid w:val="0CC9159D"/>
    <w:rsid w:val="0CE20BF0"/>
    <w:rsid w:val="0D0B67CA"/>
    <w:rsid w:val="0D0C0DA7"/>
    <w:rsid w:val="0D1819B3"/>
    <w:rsid w:val="0D1C7193"/>
    <w:rsid w:val="0D243936"/>
    <w:rsid w:val="0D2E0786"/>
    <w:rsid w:val="0D3B3F1D"/>
    <w:rsid w:val="0D5110CA"/>
    <w:rsid w:val="0D543F2D"/>
    <w:rsid w:val="0D8D29CB"/>
    <w:rsid w:val="0D9D578A"/>
    <w:rsid w:val="0D9F2F95"/>
    <w:rsid w:val="0DA74418"/>
    <w:rsid w:val="0DDF0E2F"/>
    <w:rsid w:val="0DF46633"/>
    <w:rsid w:val="0E3B1B1E"/>
    <w:rsid w:val="0E5B6625"/>
    <w:rsid w:val="0E6273FC"/>
    <w:rsid w:val="0E644C2B"/>
    <w:rsid w:val="0E762BA4"/>
    <w:rsid w:val="0E7E0566"/>
    <w:rsid w:val="0E7F3A52"/>
    <w:rsid w:val="0E945121"/>
    <w:rsid w:val="0EA55AF2"/>
    <w:rsid w:val="0EDF453D"/>
    <w:rsid w:val="0EF62849"/>
    <w:rsid w:val="0F0909B7"/>
    <w:rsid w:val="0F13485C"/>
    <w:rsid w:val="0F23756B"/>
    <w:rsid w:val="0F36499C"/>
    <w:rsid w:val="0F390566"/>
    <w:rsid w:val="0F5C7BF8"/>
    <w:rsid w:val="0F735BF1"/>
    <w:rsid w:val="0F866581"/>
    <w:rsid w:val="0F9633B3"/>
    <w:rsid w:val="0FDD7A02"/>
    <w:rsid w:val="0FE840F5"/>
    <w:rsid w:val="0FEC3CB2"/>
    <w:rsid w:val="0FEE669B"/>
    <w:rsid w:val="10077C8D"/>
    <w:rsid w:val="10120F66"/>
    <w:rsid w:val="10166201"/>
    <w:rsid w:val="1045758D"/>
    <w:rsid w:val="10513DA0"/>
    <w:rsid w:val="10593038"/>
    <w:rsid w:val="105C2D2F"/>
    <w:rsid w:val="106D65D7"/>
    <w:rsid w:val="108836AA"/>
    <w:rsid w:val="10997B3A"/>
    <w:rsid w:val="10AF7289"/>
    <w:rsid w:val="10B1702D"/>
    <w:rsid w:val="10BB33AB"/>
    <w:rsid w:val="10CC0F33"/>
    <w:rsid w:val="10CC380A"/>
    <w:rsid w:val="10D358DD"/>
    <w:rsid w:val="10D601E5"/>
    <w:rsid w:val="10DE05A2"/>
    <w:rsid w:val="10DF7CB4"/>
    <w:rsid w:val="10E24745"/>
    <w:rsid w:val="10ED3DE7"/>
    <w:rsid w:val="10F45EB7"/>
    <w:rsid w:val="10FF6323"/>
    <w:rsid w:val="11320B3E"/>
    <w:rsid w:val="114B6088"/>
    <w:rsid w:val="11515ABE"/>
    <w:rsid w:val="115452C8"/>
    <w:rsid w:val="115756DA"/>
    <w:rsid w:val="115962B5"/>
    <w:rsid w:val="116021A5"/>
    <w:rsid w:val="11633AAD"/>
    <w:rsid w:val="11905C69"/>
    <w:rsid w:val="11AB1672"/>
    <w:rsid w:val="11C4717C"/>
    <w:rsid w:val="11D429FF"/>
    <w:rsid w:val="11EB168D"/>
    <w:rsid w:val="11EC0088"/>
    <w:rsid w:val="11ED0CB6"/>
    <w:rsid w:val="11FE5D4D"/>
    <w:rsid w:val="120141CC"/>
    <w:rsid w:val="1226519C"/>
    <w:rsid w:val="12413846"/>
    <w:rsid w:val="124279CC"/>
    <w:rsid w:val="12486637"/>
    <w:rsid w:val="125515DD"/>
    <w:rsid w:val="125731F0"/>
    <w:rsid w:val="128B4FFF"/>
    <w:rsid w:val="12F8619E"/>
    <w:rsid w:val="1303728B"/>
    <w:rsid w:val="130B69DE"/>
    <w:rsid w:val="1311004D"/>
    <w:rsid w:val="13223BB5"/>
    <w:rsid w:val="13225C1B"/>
    <w:rsid w:val="13390EFF"/>
    <w:rsid w:val="134078EF"/>
    <w:rsid w:val="134453B5"/>
    <w:rsid w:val="134D32DF"/>
    <w:rsid w:val="13590880"/>
    <w:rsid w:val="136C5C00"/>
    <w:rsid w:val="136E6692"/>
    <w:rsid w:val="13805F82"/>
    <w:rsid w:val="13AC7923"/>
    <w:rsid w:val="13E76095"/>
    <w:rsid w:val="13F609F9"/>
    <w:rsid w:val="13F6383A"/>
    <w:rsid w:val="140B63F8"/>
    <w:rsid w:val="14183BC4"/>
    <w:rsid w:val="14360F37"/>
    <w:rsid w:val="144845E3"/>
    <w:rsid w:val="145109C3"/>
    <w:rsid w:val="14781021"/>
    <w:rsid w:val="14A67CAA"/>
    <w:rsid w:val="14C512BE"/>
    <w:rsid w:val="14DA401C"/>
    <w:rsid w:val="150124ED"/>
    <w:rsid w:val="152B1B0C"/>
    <w:rsid w:val="154A0535"/>
    <w:rsid w:val="154A2F50"/>
    <w:rsid w:val="156523ED"/>
    <w:rsid w:val="156A35F2"/>
    <w:rsid w:val="157944DF"/>
    <w:rsid w:val="1589730E"/>
    <w:rsid w:val="1598015F"/>
    <w:rsid w:val="15BA5BA3"/>
    <w:rsid w:val="15BD44AB"/>
    <w:rsid w:val="15BE749A"/>
    <w:rsid w:val="15DA7B2A"/>
    <w:rsid w:val="15E35238"/>
    <w:rsid w:val="15F52D45"/>
    <w:rsid w:val="1602030B"/>
    <w:rsid w:val="161C601E"/>
    <w:rsid w:val="163148AE"/>
    <w:rsid w:val="16417234"/>
    <w:rsid w:val="16457D01"/>
    <w:rsid w:val="16636A3C"/>
    <w:rsid w:val="166938A9"/>
    <w:rsid w:val="166D0B6A"/>
    <w:rsid w:val="168A7263"/>
    <w:rsid w:val="169A1CB5"/>
    <w:rsid w:val="169B5C46"/>
    <w:rsid w:val="16A50D85"/>
    <w:rsid w:val="16AF4AA1"/>
    <w:rsid w:val="16B106BA"/>
    <w:rsid w:val="16CB43F4"/>
    <w:rsid w:val="16D84556"/>
    <w:rsid w:val="16E364EA"/>
    <w:rsid w:val="16E91E8E"/>
    <w:rsid w:val="16EB2510"/>
    <w:rsid w:val="16ED0BA4"/>
    <w:rsid w:val="17023B3A"/>
    <w:rsid w:val="172A4DE7"/>
    <w:rsid w:val="172F064F"/>
    <w:rsid w:val="17407CC3"/>
    <w:rsid w:val="17516BA9"/>
    <w:rsid w:val="175C5A0C"/>
    <w:rsid w:val="177A385A"/>
    <w:rsid w:val="17C81CF0"/>
    <w:rsid w:val="17CA6645"/>
    <w:rsid w:val="17D934D4"/>
    <w:rsid w:val="17DA4EE7"/>
    <w:rsid w:val="17F86FE1"/>
    <w:rsid w:val="18081A00"/>
    <w:rsid w:val="181B011C"/>
    <w:rsid w:val="18304C60"/>
    <w:rsid w:val="18332E12"/>
    <w:rsid w:val="18445C9B"/>
    <w:rsid w:val="18574301"/>
    <w:rsid w:val="188A386F"/>
    <w:rsid w:val="18AD46F0"/>
    <w:rsid w:val="18CA2B86"/>
    <w:rsid w:val="18DA45EA"/>
    <w:rsid w:val="18DF7E53"/>
    <w:rsid w:val="18F20EF0"/>
    <w:rsid w:val="18F67371"/>
    <w:rsid w:val="1902347D"/>
    <w:rsid w:val="19050FA3"/>
    <w:rsid w:val="19061883"/>
    <w:rsid w:val="190A1374"/>
    <w:rsid w:val="19614D0C"/>
    <w:rsid w:val="196B2DC9"/>
    <w:rsid w:val="1972436E"/>
    <w:rsid w:val="19734D98"/>
    <w:rsid w:val="19847A39"/>
    <w:rsid w:val="198E2617"/>
    <w:rsid w:val="198F518F"/>
    <w:rsid w:val="19AC7272"/>
    <w:rsid w:val="19AE600F"/>
    <w:rsid w:val="19B03F49"/>
    <w:rsid w:val="19C71013"/>
    <w:rsid w:val="19CF6417"/>
    <w:rsid w:val="19FD61E8"/>
    <w:rsid w:val="1A0276AB"/>
    <w:rsid w:val="1A09162B"/>
    <w:rsid w:val="1A1C6B5F"/>
    <w:rsid w:val="1A22449B"/>
    <w:rsid w:val="1A531E93"/>
    <w:rsid w:val="1A5A011D"/>
    <w:rsid w:val="1A5B5BFF"/>
    <w:rsid w:val="1A7A5059"/>
    <w:rsid w:val="1A940502"/>
    <w:rsid w:val="1A956B0D"/>
    <w:rsid w:val="1A9F1B67"/>
    <w:rsid w:val="1AC55FC7"/>
    <w:rsid w:val="1AEB78DE"/>
    <w:rsid w:val="1B0A131E"/>
    <w:rsid w:val="1B1C3BA9"/>
    <w:rsid w:val="1B2D7691"/>
    <w:rsid w:val="1B4147E9"/>
    <w:rsid w:val="1B415043"/>
    <w:rsid w:val="1B432655"/>
    <w:rsid w:val="1B4D0140"/>
    <w:rsid w:val="1B5763C6"/>
    <w:rsid w:val="1B5831B1"/>
    <w:rsid w:val="1B5B23B9"/>
    <w:rsid w:val="1B830F69"/>
    <w:rsid w:val="1B8717F8"/>
    <w:rsid w:val="1B8E709A"/>
    <w:rsid w:val="1B965884"/>
    <w:rsid w:val="1B976CE0"/>
    <w:rsid w:val="1BBB7C03"/>
    <w:rsid w:val="1BC76BAC"/>
    <w:rsid w:val="1BD6553D"/>
    <w:rsid w:val="1BD93F8B"/>
    <w:rsid w:val="1BD968A7"/>
    <w:rsid w:val="1BF754B3"/>
    <w:rsid w:val="1BF94CAA"/>
    <w:rsid w:val="1C177904"/>
    <w:rsid w:val="1C33074E"/>
    <w:rsid w:val="1C343F01"/>
    <w:rsid w:val="1C3861F8"/>
    <w:rsid w:val="1C5D02DD"/>
    <w:rsid w:val="1C760058"/>
    <w:rsid w:val="1C99656B"/>
    <w:rsid w:val="1CA30D2E"/>
    <w:rsid w:val="1CB20068"/>
    <w:rsid w:val="1CC44EDB"/>
    <w:rsid w:val="1CCE51F2"/>
    <w:rsid w:val="1CF11E86"/>
    <w:rsid w:val="1CF3211F"/>
    <w:rsid w:val="1D1125A5"/>
    <w:rsid w:val="1D120041"/>
    <w:rsid w:val="1D12082A"/>
    <w:rsid w:val="1D1C35AC"/>
    <w:rsid w:val="1D2A671F"/>
    <w:rsid w:val="1D412A5E"/>
    <w:rsid w:val="1D430336"/>
    <w:rsid w:val="1D43280D"/>
    <w:rsid w:val="1D4370D8"/>
    <w:rsid w:val="1D484219"/>
    <w:rsid w:val="1D577F42"/>
    <w:rsid w:val="1D84721B"/>
    <w:rsid w:val="1D893AA0"/>
    <w:rsid w:val="1D8C2DE9"/>
    <w:rsid w:val="1D914484"/>
    <w:rsid w:val="1D921B62"/>
    <w:rsid w:val="1D9F5E03"/>
    <w:rsid w:val="1DB418AE"/>
    <w:rsid w:val="1DC45E0E"/>
    <w:rsid w:val="1DD66886"/>
    <w:rsid w:val="1DD737EE"/>
    <w:rsid w:val="1DDF4451"/>
    <w:rsid w:val="1DEB7436"/>
    <w:rsid w:val="1DFC1EC7"/>
    <w:rsid w:val="1E036B3F"/>
    <w:rsid w:val="1E0740D4"/>
    <w:rsid w:val="1E081477"/>
    <w:rsid w:val="1E150A79"/>
    <w:rsid w:val="1E57048B"/>
    <w:rsid w:val="1E5846BC"/>
    <w:rsid w:val="1E6C3A97"/>
    <w:rsid w:val="1E731266"/>
    <w:rsid w:val="1E7B0915"/>
    <w:rsid w:val="1E7C3B61"/>
    <w:rsid w:val="1E8F4FAF"/>
    <w:rsid w:val="1EAD2A39"/>
    <w:rsid w:val="1EB1403F"/>
    <w:rsid w:val="1EC42264"/>
    <w:rsid w:val="1ED830E7"/>
    <w:rsid w:val="1EE152CA"/>
    <w:rsid w:val="1EE26C20"/>
    <w:rsid w:val="1EED47BE"/>
    <w:rsid w:val="1EF03D4E"/>
    <w:rsid w:val="1EF277BC"/>
    <w:rsid w:val="1EFD1033"/>
    <w:rsid w:val="1F0100D0"/>
    <w:rsid w:val="1F047610"/>
    <w:rsid w:val="1F135653"/>
    <w:rsid w:val="1F136AA8"/>
    <w:rsid w:val="1F344FAE"/>
    <w:rsid w:val="1F3B0A82"/>
    <w:rsid w:val="1F446C62"/>
    <w:rsid w:val="1F6B2E32"/>
    <w:rsid w:val="1F6F5E24"/>
    <w:rsid w:val="1F7A63A0"/>
    <w:rsid w:val="1F8504C8"/>
    <w:rsid w:val="1F8B19CF"/>
    <w:rsid w:val="1F8C65EC"/>
    <w:rsid w:val="1F990339"/>
    <w:rsid w:val="1F9F033C"/>
    <w:rsid w:val="1FA45268"/>
    <w:rsid w:val="1FA85AD7"/>
    <w:rsid w:val="1FEF6BCD"/>
    <w:rsid w:val="2031368A"/>
    <w:rsid w:val="203659F9"/>
    <w:rsid w:val="20464F8F"/>
    <w:rsid w:val="205D218B"/>
    <w:rsid w:val="205F6136"/>
    <w:rsid w:val="207417C9"/>
    <w:rsid w:val="207C2E29"/>
    <w:rsid w:val="208D63E6"/>
    <w:rsid w:val="20971013"/>
    <w:rsid w:val="20C242E2"/>
    <w:rsid w:val="20C45AD7"/>
    <w:rsid w:val="20CC688D"/>
    <w:rsid w:val="20CD474D"/>
    <w:rsid w:val="20EA2C10"/>
    <w:rsid w:val="210E4E09"/>
    <w:rsid w:val="211803A6"/>
    <w:rsid w:val="211C78D4"/>
    <w:rsid w:val="2129012A"/>
    <w:rsid w:val="213305CA"/>
    <w:rsid w:val="21507B40"/>
    <w:rsid w:val="21562069"/>
    <w:rsid w:val="2157569F"/>
    <w:rsid w:val="21577120"/>
    <w:rsid w:val="21675A25"/>
    <w:rsid w:val="21694BF3"/>
    <w:rsid w:val="216B497A"/>
    <w:rsid w:val="217667CA"/>
    <w:rsid w:val="21871088"/>
    <w:rsid w:val="21BA66FB"/>
    <w:rsid w:val="21CD428F"/>
    <w:rsid w:val="220A5F40"/>
    <w:rsid w:val="22252D7A"/>
    <w:rsid w:val="22282F46"/>
    <w:rsid w:val="22371043"/>
    <w:rsid w:val="2240148C"/>
    <w:rsid w:val="226E43BF"/>
    <w:rsid w:val="227275E7"/>
    <w:rsid w:val="22750CCC"/>
    <w:rsid w:val="22A138E6"/>
    <w:rsid w:val="22A75E85"/>
    <w:rsid w:val="22B440FE"/>
    <w:rsid w:val="22C64476"/>
    <w:rsid w:val="22CC332F"/>
    <w:rsid w:val="22D41A87"/>
    <w:rsid w:val="22D91B9F"/>
    <w:rsid w:val="22DA5953"/>
    <w:rsid w:val="22EA0F1D"/>
    <w:rsid w:val="22FA60AB"/>
    <w:rsid w:val="23490CEA"/>
    <w:rsid w:val="2353094F"/>
    <w:rsid w:val="2355768F"/>
    <w:rsid w:val="235C20D3"/>
    <w:rsid w:val="237C012C"/>
    <w:rsid w:val="238B313F"/>
    <w:rsid w:val="23945123"/>
    <w:rsid w:val="23B5349D"/>
    <w:rsid w:val="23C32F4A"/>
    <w:rsid w:val="23C612F6"/>
    <w:rsid w:val="23E746D1"/>
    <w:rsid w:val="241D0A6F"/>
    <w:rsid w:val="242B0D1E"/>
    <w:rsid w:val="242E1C8E"/>
    <w:rsid w:val="24337CEA"/>
    <w:rsid w:val="243C1BBB"/>
    <w:rsid w:val="243E6375"/>
    <w:rsid w:val="24440568"/>
    <w:rsid w:val="24865060"/>
    <w:rsid w:val="24A23FFA"/>
    <w:rsid w:val="24AE0B6C"/>
    <w:rsid w:val="24B85C40"/>
    <w:rsid w:val="24CA5E5B"/>
    <w:rsid w:val="24D43CDF"/>
    <w:rsid w:val="24E81FE7"/>
    <w:rsid w:val="24F421AF"/>
    <w:rsid w:val="24F904EE"/>
    <w:rsid w:val="251B4C31"/>
    <w:rsid w:val="251D41DD"/>
    <w:rsid w:val="252862C7"/>
    <w:rsid w:val="254659FF"/>
    <w:rsid w:val="25493224"/>
    <w:rsid w:val="254B6F9C"/>
    <w:rsid w:val="2554441C"/>
    <w:rsid w:val="2558427C"/>
    <w:rsid w:val="257E1525"/>
    <w:rsid w:val="258F4210"/>
    <w:rsid w:val="25A20B86"/>
    <w:rsid w:val="25A75E02"/>
    <w:rsid w:val="25A775E4"/>
    <w:rsid w:val="25C32C46"/>
    <w:rsid w:val="25C43ADE"/>
    <w:rsid w:val="25D736CD"/>
    <w:rsid w:val="25DB6F52"/>
    <w:rsid w:val="25E111E1"/>
    <w:rsid w:val="25F62042"/>
    <w:rsid w:val="25F74A2E"/>
    <w:rsid w:val="25FA470D"/>
    <w:rsid w:val="25FB1B9E"/>
    <w:rsid w:val="263C68E5"/>
    <w:rsid w:val="264A270F"/>
    <w:rsid w:val="264E7E89"/>
    <w:rsid w:val="265C0D35"/>
    <w:rsid w:val="265E4FE2"/>
    <w:rsid w:val="267E0CAB"/>
    <w:rsid w:val="267E63AD"/>
    <w:rsid w:val="2696408D"/>
    <w:rsid w:val="26A10C19"/>
    <w:rsid w:val="26B472E4"/>
    <w:rsid w:val="26C41CC7"/>
    <w:rsid w:val="26C97F7B"/>
    <w:rsid w:val="26CA5E5C"/>
    <w:rsid w:val="26CE0BCA"/>
    <w:rsid w:val="26CE5960"/>
    <w:rsid w:val="26D20F36"/>
    <w:rsid w:val="26EA25CA"/>
    <w:rsid w:val="2706154B"/>
    <w:rsid w:val="27080982"/>
    <w:rsid w:val="27114980"/>
    <w:rsid w:val="27271343"/>
    <w:rsid w:val="2745306A"/>
    <w:rsid w:val="274912B9"/>
    <w:rsid w:val="27561389"/>
    <w:rsid w:val="27606603"/>
    <w:rsid w:val="276A299E"/>
    <w:rsid w:val="27816C7E"/>
    <w:rsid w:val="278B7B24"/>
    <w:rsid w:val="278E35A9"/>
    <w:rsid w:val="278F5E3D"/>
    <w:rsid w:val="278F6000"/>
    <w:rsid w:val="27AB1918"/>
    <w:rsid w:val="27BC5F2F"/>
    <w:rsid w:val="27C9064C"/>
    <w:rsid w:val="27E2170E"/>
    <w:rsid w:val="27E617B7"/>
    <w:rsid w:val="280E2503"/>
    <w:rsid w:val="28102E15"/>
    <w:rsid w:val="283D69F1"/>
    <w:rsid w:val="283F3FBB"/>
    <w:rsid w:val="28453F22"/>
    <w:rsid w:val="2895052E"/>
    <w:rsid w:val="28976785"/>
    <w:rsid w:val="28A66EFD"/>
    <w:rsid w:val="28B1051E"/>
    <w:rsid w:val="28B913B7"/>
    <w:rsid w:val="28BA1BA7"/>
    <w:rsid w:val="28C50ACE"/>
    <w:rsid w:val="28CA61FD"/>
    <w:rsid w:val="28D10507"/>
    <w:rsid w:val="28D177B8"/>
    <w:rsid w:val="28EF6906"/>
    <w:rsid w:val="28FA4E36"/>
    <w:rsid w:val="28FB2A87"/>
    <w:rsid w:val="290D1BD2"/>
    <w:rsid w:val="29353FD6"/>
    <w:rsid w:val="29682941"/>
    <w:rsid w:val="298A281B"/>
    <w:rsid w:val="299D0D7F"/>
    <w:rsid w:val="299E672C"/>
    <w:rsid w:val="29AC1FD3"/>
    <w:rsid w:val="29B61506"/>
    <w:rsid w:val="29C55991"/>
    <w:rsid w:val="29DF6D84"/>
    <w:rsid w:val="29ED73C7"/>
    <w:rsid w:val="2A095D63"/>
    <w:rsid w:val="2A2609CE"/>
    <w:rsid w:val="2A261882"/>
    <w:rsid w:val="2A265DAA"/>
    <w:rsid w:val="2A3A50F8"/>
    <w:rsid w:val="2A3D39F0"/>
    <w:rsid w:val="2A9036A3"/>
    <w:rsid w:val="2A9211C9"/>
    <w:rsid w:val="2A9A649F"/>
    <w:rsid w:val="2ABB0720"/>
    <w:rsid w:val="2ABC2E45"/>
    <w:rsid w:val="2AC11AAE"/>
    <w:rsid w:val="2ADA5A84"/>
    <w:rsid w:val="2ADF4072"/>
    <w:rsid w:val="2AE5579D"/>
    <w:rsid w:val="2AE5754B"/>
    <w:rsid w:val="2AF0354E"/>
    <w:rsid w:val="2AF20DFA"/>
    <w:rsid w:val="2AF43E07"/>
    <w:rsid w:val="2B0C6D95"/>
    <w:rsid w:val="2B163BA8"/>
    <w:rsid w:val="2B1D0A4A"/>
    <w:rsid w:val="2B27385A"/>
    <w:rsid w:val="2B3C72FC"/>
    <w:rsid w:val="2B677961"/>
    <w:rsid w:val="2B754AA5"/>
    <w:rsid w:val="2B755AA8"/>
    <w:rsid w:val="2B7753D4"/>
    <w:rsid w:val="2B853E78"/>
    <w:rsid w:val="2B9C3D34"/>
    <w:rsid w:val="2BB73573"/>
    <w:rsid w:val="2BCA5DFA"/>
    <w:rsid w:val="2BFB2D9E"/>
    <w:rsid w:val="2C0C4FAB"/>
    <w:rsid w:val="2C1A3C72"/>
    <w:rsid w:val="2C306305"/>
    <w:rsid w:val="2C6F4194"/>
    <w:rsid w:val="2C891DA2"/>
    <w:rsid w:val="2C8D5567"/>
    <w:rsid w:val="2CA417B5"/>
    <w:rsid w:val="2CB23EF9"/>
    <w:rsid w:val="2CB9579B"/>
    <w:rsid w:val="2CC81A61"/>
    <w:rsid w:val="2CCE1AD1"/>
    <w:rsid w:val="2CCF2BFC"/>
    <w:rsid w:val="2CF002F3"/>
    <w:rsid w:val="2CFB10C1"/>
    <w:rsid w:val="2CFD6AFA"/>
    <w:rsid w:val="2D000D30"/>
    <w:rsid w:val="2D177B8F"/>
    <w:rsid w:val="2D2F0F51"/>
    <w:rsid w:val="2D612E3F"/>
    <w:rsid w:val="2D83129D"/>
    <w:rsid w:val="2D904132"/>
    <w:rsid w:val="2DA43D30"/>
    <w:rsid w:val="2DAA6269"/>
    <w:rsid w:val="2DE71291"/>
    <w:rsid w:val="2DED6724"/>
    <w:rsid w:val="2DF90668"/>
    <w:rsid w:val="2E093550"/>
    <w:rsid w:val="2E0C2D5B"/>
    <w:rsid w:val="2E4834CF"/>
    <w:rsid w:val="2E4E18AB"/>
    <w:rsid w:val="2E4E51D0"/>
    <w:rsid w:val="2E512153"/>
    <w:rsid w:val="2E5307AA"/>
    <w:rsid w:val="2E532A1D"/>
    <w:rsid w:val="2E5549E7"/>
    <w:rsid w:val="2E62701A"/>
    <w:rsid w:val="2E6870A9"/>
    <w:rsid w:val="2E6A6B6E"/>
    <w:rsid w:val="2E9B3266"/>
    <w:rsid w:val="2EB6794E"/>
    <w:rsid w:val="2EBE07DF"/>
    <w:rsid w:val="2EC70009"/>
    <w:rsid w:val="2F391C13"/>
    <w:rsid w:val="2F575675"/>
    <w:rsid w:val="2F6A0E03"/>
    <w:rsid w:val="2F743F71"/>
    <w:rsid w:val="2F8337D6"/>
    <w:rsid w:val="2F975735"/>
    <w:rsid w:val="2FB120F1"/>
    <w:rsid w:val="2FD17B5F"/>
    <w:rsid w:val="2FD96FF0"/>
    <w:rsid w:val="301B022E"/>
    <w:rsid w:val="303436F6"/>
    <w:rsid w:val="303643A5"/>
    <w:rsid w:val="30380ACF"/>
    <w:rsid w:val="30411964"/>
    <w:rsid w:val="30481B04"/>
    <w:rsid w:val="304A7E50"/>
    <w:rsid w:val="30682884"/>
    <w:rsid w:val="306C5744"/>
    <w:rsid w:val="306D71B4"/>
    <w:rsid w:val="30822BE8"/>
    <w:rsid w:val="30BD582A"/>
    <w:rsid w:val="30D53BBD"/>
    <w:rsid w:val="30EB33E1"/>
    <w:rsid w:val="30F57F7D"/>
    <w:rsid w:val="30FD16E7"/>
    <w:rsid w:val="31014425"/>
    <w:rsid w:val="31126BC0"/>
    <w:rsid w:val="31127993"/>
    <w:rsid w:val="313755F4"/>
    <w:rsid w:val="3150281D"/>
    <w:rsid w:val="315113EC"/>
    <w:rsid w:val="31601CA3"/>
    <w:rsid w:val="31664231"/>
    <w:rsid w:val="31823676"/>
    <w:rsid w:val="318B0720"/>
    <w:rsid w:val="31B13672"/>
    <w:rsid w:val="31C54654"/>
    <w:rsid w:val="31D214C5"/>
    <w:rsid w:val="31E5360E"/>
    <w:rsid w:val="31E97574"/>
    <w:rsid w:val="31EC119A"/>
    <w:rsid w:val="31EC7AF8"/>
    <w:rsid w:val="31F64758"/>
    <w:rsid w:val="32391DFA"/>
    <w:rsid w:val="324D2004"/>
    <w:rsid w:val="326A2A2B"/>
    <w:rsid w:val="32726525"/>
    <w:rsid w:val="32746C83"/>
    <w:rsid w:val="3298540E"/>
    <w:rsid w:val="32A53F32"/>
    <w:rsid w:val="32AC35A9"/>
    <w:rsid w:val="32BD419A"/>
    <w:rsid w:val="32BF51D2"/>
    <w:rsid w:val="32EB7C73"/>
    <w:rsid w:val="32EF4E3E"/>
    <w:rsid w:val="32FA0751"/>
    <w:rsid w:val="32FA0C59"/>
    <w:rsid w:val="33011B4B"/>
    <w:rsid w:val="33157086"/>
    <w:rsid w:val="331F3D88"/>
    <w:rsid w:val="33305A36"/>
    <w:rsid w:val="333304B5"/>
    <w:rsid w:val="334814A4"/>
    <w:rsid w:val="33541197"/>
    <w:rsid w:val="335D5043"/>
    <w:rsid w:val="33686F6B"/>
    <w:rsid w:val="33754C61"/>
    <w:rsid w:val="33956111"/>
    <w:rsid w:val="33A15536"/>
    <w:rsid w:val="33B201E6"/>
    <w:rsid w:val="33C06D12"/>
    <w:rsid w:val="33DF6FF5"/>
    <w:rsid w:val="33FA75A8"/>
    <w:rsid w:val="34081CB4"/>
    <w:rsid w:val="34084C56"/>
    <w:rsid w:val="341E2D13"/>
    <w:rsid w:val="34205D12"/>
    <w:rsid w:val="34273854"/>
    <w:rsid w:val="343E7CCC"/>
    <w:rsid w:val="345F52C7"/>
    <w:rsid w:val="3475156B"/>
    <w:rsid w:val="34757B91"/>
    <w:rsid w:val="347F27BE"/>
    <w:rsid w:val="34856DA8"/>
    <w:rsid w:val="349124F1"/>
    <w:rsid w:val="349D2C44"/>
    <w:rsid w:val="349F7250"/>
    <w:rsid w:val="34AE349B"/>
    <w:rsid w:val="34B35B38"/>
    <w:rsid w:val="34B47F8E"/>
    <w:rsid w:val="34E07EBD"/>
    <w:rsid w:val="34F55485"/>
    <w:rsid w:val="34F9247A"/>
    <w:rsid w:val="34FC3F5A"/>
    <w:rsid w:val="35293447"/>
    <w:rsid w:val="352D50D7"/>
    <w:rsid w:val="3539187D"/>
    <w:rsid w:val="35410C80"/>
    <w:rsid w:val="354C21F6"/>
    <w:rsid w:val="355D2DE5"/>
    <w:rsid w:val="35622615"/>
    <w:rsid w:val="35694398"/>
    <w:rsid w:val="357B294F"/>
    <w:rsid w:val="358A766C"/>
    <w:rsid w:val="358E07DF"/>
    <w:rsid w:val="35CE2B90"/>
    <w:rsid w:val="35D93999"/>
    <w:rsid w:val="35DE6D7F"/>
    <w:rsid w:val="35E61EFA"/>
    <w:rsid w:val="35EA7C83"/>
    <w:rsid w:val="35F4492F"/>
    <w:rsid w:val="35FE5964"/>
    <w:rsid w:val="362021FB"/>
    <w:rsid w:val="36553923"/>
    <w:rsid w:val="36592B9B"/>
    <w:rsid w:val="366A102A"/>
    <w:rsid w:val="36767BF1"/>
    <w:rsid w:val="368262CA"/>
    <w:rsid w:val="3685184B"/>
    <w:rsid w:val="369216E3"/>
    <w:rsid w:val="369627A7"/>
    <w:rsid w:val="369B79F5"/>
    <w:rsid w:val="36AC62D8"/>
    <w:rsid w:val="36B66652"/>
    <w:rsid w:val="36BF61C7"/>
    <w:rsid w:val="36D475E2"/>
    <w:rsid w:val="36DA1DD6"/>
    <w:rsid w:val="36ED2035"/>
    <w:rsid w:val="36FF3441"/>
    <w:rsid w:val="370778EE"/>
    <w:rsid w:val="370D690E"/>
    <w:rsid w:val="371F0484"/>
    <w:rsid w:val="37264D18"/>
    <w:rsid w:val="372F00FC"/>
    <w:rsid w:val="373700D6"/>
    <w:rsid w:val="37A06096"/>
    <w:rsid w:val="37A34B86"/>
    <w:rsid w:val="37BE1E1B"/>
    <w:rsid w:val="37BF5A41"/>
    <w:rsid w:val="37C16940"/>
    <w:rsid w:val="37C26379"/>
    <w:rsid w:val="37C84D83"/>
    <w:rsid w:val="37CA0D8C"/>
    <w:rsid w:val="37DE21DC"/>
    <w:rsid w:val="37E1109A"/>
    <w:rsid w:val="37F14F56"/>
    <w:rsid w:val="37FC0AFB"/>
    <w:rsid w:val="38217825"/>
    <w:rsid w:val="38280706"/>
    <w:rsid w:val="382D41E8"/>
    <w:rsid w:val="383D2986"/>
    <w:rsid w:val="38402C5C"/>
    <w:rsid w:val="3850600B"/>
    <w:rsid w:val="38602D55"/>
    <w:rsid w:val="3869653B"/>
    <w:rsid w:val="38746E9D"/>
    <w:rsid w:val="3875572F"/>
    <w:rsid w:val="387719FE"/>
    <w:rsid w:val="38855EC9"/>
    <w:rsid w:val="38884BB1"/>
    <w:rsid w:val="389D76B7"/>
    <w:rsid w:val="38A1230C"/>
    <w:rsid w:val="38AC6B09"/>
    <w:rsid w:val="38B26CE8"/>
    <w:rsid w:val="38C9058A"/>
    <w:rsid w:val="38E01351"/>
    <w:rsid w:val="38E64655"/>
    <w:rsid w:val="39077A4B"/>
    <w:rsid w:val="3911775D"/>
    <w:rsid w:val="3912089B"/>
    <w:rsid w:val="391536F1"/>
    <w:rsid w:val="39182A71"/>
    <w:rsid w:val="39245CCA"/>
    <w:rsid w:val="392B029F"/>
    <w:rsid w:val="392F4176"/>
    <w:rsid w:val="393541CC"/>
    <w:rsid w:val="393A7830"/>
    <w:rsid w:val="39495149"/>
    <w:rsid w:val="394F5EF3"/>
    <w:rsid w:val="39637322"/>
    <w:rsid w:val="396B4DB7"/>
    <w:rsid w:val="3972239A"/>
    <w:rsid w:val="397B6202"/>
    <w:rsid w:val="39846181"/>
    <w:rsid w:val="39902180"/>
    <w:rsid w:val="39932925"/>
    <w:rsid w:val="399547A0"/>
    <w:rsid w:val="399D5494"/>
    <w:rsid w:val="39B12CEE"/>
    <w:rsid w:val="39B8407C"/>
    <w:rsid w:val="39C00BD6"/>
    <w:rsid w:val="39C12F31"/>
    <w:rsid w:val="39CE18BD"/>
    <w:rsid w:val="39DE7F87"/>
    <w:rsid w:val="39E66F4B"/>
    <w:rsid w:val="3A0F3616"/>
    <w:rsid w:val="3A222087"/>
    <w:rsid w:val="3A4029D6"/>
    <w:rsid w:val="3A561A17"/>
    <w:rsid w:val="3A60099C"/>
    <w:rsid w:val="3A696B3A"/>
    <w:rsid w:val="3A6F435C"/>
    <w:rsid w:val="3A7E52C6"/>
    <w:rsid w:val="3A802E05"/>
    <w:rsid w:val="3A8C79E3"/>
    <w:rsid w:val="3AA0523C"/>
    <w:rsid w:val="3AA32463"/>
    <w:rsid w:val="3AA53E6D"/>
    <w:rsid w:val="3AAB0C3B"/>
    <w:rsid w:val="3AAD1707"/>
    <w:rsid w:val="3AB72586"/>
    <w:rsid w:val="3ABB6A9F"/>
    <w:rsid w:val="3AC719A5"/>
    <w:rsid w:val="3AE173B0"/>
    <w:rsid w:val="3B01368C"/>
    <w:rsid w:val="3B023801"/>
    <w:rsid w:val="3B0A0908"/>
    <w:rsid w:val="3B136929"/>
    <w:rsid w:val="3B28467F"/>
    <w:rsid w:val="3B2A75C6"/>
    <w:rsid w:val="3B553CA2"/>
    <w:rsid w:val="3B5764A8"/>
    <w:rsid w:val="3B5807CF"/>
    <w:rsid w:val="3B710987"/>
    <w:rsid w:val="3B716BD9"/>
    <w:rsid w:val="3B850573"/>
    <w:rsid w:val="3B862684"/>
    <w:rsid w:val="3BA23236"/>
    <w:rsid w:val="3BAD12E3"/>
    <w:rsid w:val="3BC44F5A"/>
    <w:rsid w:val="3BD6758F"/>
    <w:rsid w:val="3BE509EB"/>
    <w:rsid w:val="3BE87EF6"/>
    <w:rsid w:val="3BEB24E7"/>
    <w:rsid w:val="3BEE0229"/>
    <w:rsid w:val="3C3C2B6D"/>
    <w:rsid w:val="3C4E436E"/>
    <w:rsid w:val="3C5F2FF7"/>
    <w:rsid w:val="3C636202"/>
    <w:rsid w:val="3C8A7C0A"/>
    <w:rsid w:val="3C8F5568"/>
    <w:rsid w:val="3C8F7316"/>
    <w:rsid w:val="3C9506A5"/>
    <w:rsid w:val="3CAA23A2"/>
    <w:rsid w:val="3CBE7BFC"/>
    <w:rsid w:val="3CE04016"/>
    <w:rsid w:val="3CE13F1D"/>
    <w:rsid w:val="3CE7552E"/>
    <w:rsid w:val="3CED6D15"/>
    <w:rsid w:val="3CF931C7"/>
    <w:rsid w:val="3D0038A0"/>
    <w:rsid w:val="3D027072"/>
    <w:rsid w:val="3D0754BF"/>
    <w:rsid w:val="3D17466B"/>
    <w:rsid w:val="3D201BD6"/>
    <w:rsid w:val="3D2150E0"/>
    <w:rsid w:val="3D52697D"/>
    <w:rsid w:val="3D55607B"/>
    <w:rsid w:val="3D566735"/>
    <w:rsid w:val="3D670293"/>
    <w:rsid w:val="3D7D50EB"/>
    <w:rsid w:val="3D8C159E"/>
    <w:rsid w:val="3D9144F1"/>
    <w:rsid w:val="3DA67B07"/>
    <w:rsid w:val="3DB37034"/>
    <w:rsid w:val="3DCF4D9D"/>
    <w:rsid w:val="3DE51773"/>
    <w:rsid w:val="3DEE144B"/>
    <w:rsid w:val="3DF932EB"/>
    <w:rsid w:val="3E043D34"/>
    <w:rsid w:val="3E38182D"/>
    <w:rsid w:val="3E78129B"/>
    <w:rsid w:val="3E8E0780"/>
    <w:rsid w:val="3E8F1850"/>
    <w:rsid w:val="3E9F6F30"/>
    <w:rsid w:val="3EAA4A61"/>
    <w:rsid w:val="3EB15D19"/>
    <w:rsid w:val="3EC055F9"/>
    <w:rsid w:val="3EDA6521"/>
    <w:rsid w:val="3EDD1EBA"/>
    <w:rsid w:val="3EE70C90"/>
    <w:rsid w:val="3EEC26FA"/>
    <w:rsid w:val="3F075F90"/>
    <w:rsid w:val="3F150D29"/>
    <w:rsid w:val="3F1D497D"/>
    <w:rsid w:val="3F550817"/>
    <w:rsid w:val="3F6D179D"/>
    <w:rsid w:val="3F7D2146"/>
    <w:rsid w:val="3FD15AB4"/>
    <w:rsid w:val="3FD32420"/>
    <w:rsid w:val="3FD50448"/>
    <w:rsid w:val="3FF27501"/>
    <w:rsid w:val="3FFD6B41"/>
    <w:rsid w:val="400973E0"/>
    <w:rsid w:val="400C4114"/>
    <w:rsid w:val="403B14AF"/>
    <w:rsid w:val="405657C2"/>
    <w:rsid w:val="405A6D94"/>
    <w:rsid w:val="406F4B82"/>
    <w:rsid w:val="40861B6C"/>
    <w:rsid w:val="408F082D"/>
    <w:rsid w:val="409A17EE"/>
    <w:rsid w:val="40A01B63"/>
    <w:rsid w:val="40AA058E"/>
    <w:rsid w:val="40AB3C40"/>
    <w:rsid w:val="40B75FD2"/>
    <w:rsid w:val="40D579C9"/>
    <w:rsid w:val="40E12A1F"/>
    <w:rsid w:val="40E439A9"/>
    <w:rsid w:val="40E67C51"/>
    <w:rsid w:val="40EB6AAE"/>
    <w:rsid w:val="40F003C4"/>
    <w:rsid w:val="40F46D1A"/>
    <w:rsid w:val="40FD45EA"/>
    <w:rsid w:val="411A1543"/>
    <w:rsid w:val="412642C5"/>
    <w:rsid w:val="412F2B1D"/>
    <w:rsid w:val="41377F7D"/>
    <w:rsid w:val="41436921"/>
    <w:rsid w:val="41490123"/>
    <w:rsid w:val="41566655"/>
    <w:rsid w:val="415E7F28"/>
    <w:rsid w:val="415F7A29"/>
    <w:rsid w:val="419F3018"/>
    <w:rsid w:val="41A86E19"/>
    <w:rsid w:val="41B15F81"/>
    <w:rsid w:val="41C77B19"/>
    <w:rsid w:val="41D73092"/>
    <w:rsid w:val="41DE664A"/>
    <w:rsid w:val="41E30C21"/>
    <w:rsid w:val="41F320F5"/>
    <w:rsid w:val="41F55F03"/>
    <w:rsid w:val="41F8631F"/>
    <w:rsid w:val="42093594"/>
    <w:rsid w:val="421C037B"/>
    <w:rsid w:val="421E6935"/>
    <w:rsid w:val="42510572"/>
    <w:rsid w:val="425E23D5"/>
    <w:rsid w:val="4267663F"/>
    <w:rsid w:val="426A7073"/>
    <w:rsid w:val="426D634C"/>
    <w:rsid w:val="42721CA0"/>
    <w:rsid w:val="4284535F"/>
    <w:rsid w:val="42A17224"/>
    <w:rsid w:val="42B1003A"/>
    <w:rsid w:val="42B531B4"/>
    <w:rsid w:val="42B85710"/>
    <w:rsid w:val="42BD1C67"/>
    <w:rsid w:val="42D477EF"/>
    <w:rsid w:val="42E163F2"/>
    <w:rsid w:val="42E665AE"/>
    <w:rsid w:val="42E67EAC"/>
    <w:rsid w:val="42EF638F"/>
    <w:rsid w:val="43033043"/>
    <w:rsid w:val="43130C7C"/>
    <w:rsid w:val="4338437A"/>
    <w:rsid w:val="434F15AD"/>
    <w:rsid w:val="43521CEB"/>
    <w:rsid w:val="4358477E"/>
    <w:rsid w:val="43804A29"/>
    <w:rsid w:val="438B57CB"/>
    <w:rsid w:val="438F6A7B"/>
    <w:rsid w:val="439C7F9A"/>
    <w:rsid w:val="439E2535"/>
    <w:rsid w:val="43B56B4C"/>
    <w:rsid w:val="43C37ACE"/>
    <w:rsid w:val="43E4263E"/>
    <w:rsid w:val="43F55C1C"/>
    <w:rsid w:val="43F72EE5"/>
    <w:rsid w:val="440D7784"/>
    <w:rsid w:val="44103433"/>
    <w:rsid w:val="441445A5"/>
    <w:rsid w:val="441F5DEA"/>
    <w:rsid w:val="44224F14"/>
    <w:rsid w:val="443E38DF"/>
    <w:rsid w:val="44501A81"/>
    <w:rsid w:val="44512004"/>
    <w:rsid w:val="445E4032"/>
    <w:rsid w:val="44795771"/>
    <w:rsid w:val="447D0C3A"/>
    <w:rsid w:val="44894F93"/>
    <w:rsid w:val="44973C5C"/>
    <w:rsid w:val="44A1408B"/>
    <w:rsid w:val="44B90C71"/>
    <w:rsid w:val="44D8192C"/>
    <w:rsid w:val="44E91C03"/>
    <w:rsid w:val="44EC107E"/>
    <w:rsid w:val="44FA1224"/>
    <w:rsid w:val="45132AAF"/>
    <w:rsid w:val="451C5E07"/>
    <w:rsid w:val="4550160D"/>
    <w:rsid w:val="45581B00"/>
    <w:rsid w:val="455F266A"/>
    <w:rsid w:val="456C63E9"/>
    <w:rsid w:val="45770F09"/>
    <w:rsid w:val="459D6A7C"/>
    <w:rsid w:val="45C02D3F"/>
    <w:rsid w:val="45D461A0"/>
    <w:rsid w:val="45DC645D"/>
    <w:rsid w:val="45E36925"/>
    <w:rsid w:val="46295FF8"/>
    <w:rsid w:val="462F56C6"/>
    <w:rsid w:val="463B61CC"/>
    <w:rsid w:val="4642004E"/>
    <w:rsid w:val="46432FE7"/>
    <w:rsid w:val="464767E1"/>
    <w:rsid w:val="46530A1A"/>
    <w:rsid w:val="465328DE"/>
    <w:rsid w:val="465743E0"/>
    <w:rsid w:val="46595E92"/>
    <w:rsid w:val="46626110"/>
    <w:rsid w:val="46672CBC"/>
    <w:rsid w:val="46697221"/>
    <w:rsid w:val="466B4A66"/>
    <w:rsid w:val="466C06C8"/>
    <w:rsid w:val="4674757D"/>
    <w:rsid w:val="467A5CCC"/>
    <w:rsid w:val="467F36F7"/>
    <w:rsid w:val="468A5D44"/>
    <w:rsid w:val="469B6F6E"/>
    <w:rsid w:val="469E3730"/>
    <w:rsid w:val="46A27E61"/>
    <w:rsid w:val="46AC3A67"/>
    <w:rsid w:val="46B5409B"/>
    <w:rsid w:val="46BB07EA"/>
    <w:rsid w:val="46C8001F"/>
    <w:rsid w:val="46D02A05"/>
    <w:rsid w:val="46D30747"/>
    <w:rsid w:val="47020D45"/>
    <w:rsid w:val="470A0AB6"/>
    <w:rsid w:val="470E08E8"/>
    <w:rsid w:val="47372A84"/>
    <w:rsid w:val="473A298F"/>
    <w:rsid w:val="47442A81"/>
    <w:rsid w:val="47531124"/>
    <w:rsid w:val="47636D0D"/>
    <w:rsid w:val="4768030F"/>
    <w:rsid w:val="47707D4D"/>
    <w:rsid w:val="47903D85"/>
    <w:rsid w:val="479156C5"/>
    <w:rsid w:val="47A51128"/>
    <w:rsid w:val="47AA76FA"/>
    <w:rsid w:val="47B076B0"/>
    <w:rsid w:val="47C86264"/>
    <w:rsid w:val="47D569CF"/>
    <w:rsid w:val="481D53D0"/>
    <w:rsid w:val="48330C5E"/>
    <w:rsid w:val="483C46F3"/>
    <w:rsid w:val="4845019B"/>
    <w:rsid w:val="487B2E45"/>
    <w:rsid w:val="48834E50"/>
    <w:rsid w:val="48895562"/>
    <w:rsid w:val="48970462"/>
    <w:rsid w:val="489B1EBD"/>
    <w:rsid w:val="48BC3DE4"/>
    <w:rsid w:val="48C064E2"/>
    <w:rsid w:val="48D969C6"/>
    <w:rsid w:val="49092EE1"/>
    <w:rsid w:val="4922759E"/>
    <w:rsid w:val="492F4738"/>
    <w:rsid w:val="493E75D0"/>
    <w:rsid w:val="49706116"/>
    <w:rsid w:val="498B7E26"/>
    <w:rsid w:val="49A02201"/>
    <w:rsid w:val="49A30A2F"/>
    <w:rsid w:val="49CF3448"/>
    <w:rsid w:val="49D15A52"/>
    <w:rsid w:val="4A067E75"/>
    <w:rsid w:val="4A0D5D1E"/>
    <w:rsid w:val="4A11593B"/>
    <w:rsid w:val="4A193364"/>
    <w:rsid w:val="4A352B3D"/>
    <w:rsid w:val="4A3B47F8"/>
    <w:rsid w:val="4A433A00"/>
    <w:rsid w:val="4A4D1B36"/>
    <w:rsid w:val="4A4D3632"/>
    <w:rsid w:val="4A4F4589"/>
    <w:rsid w:val="4A663F7A"/>
    <w:rsid w:val="4A812113"/>
    <w:rsid w:val="4AA942EE"/>
    <w:rsid w:val="4ABC4D87"/>
    <w:rsid w:val="4ABE076D"/>
    <w:rsid w:val="4AE051E1"/>
    <w:rsid w:val="4AE648A9"/>
    <w:rsid w:val="4AE90040"/>
    <w:rsid w:val="4B195562"/>
    <w:rsid w:val="4B2C6678"/>
    <w:rsid w:val="4B331CDE"/>
    <w:rsid w:val="4B425E9C"/>
    <w:rsid w:val="4B4A7644"/>
    <w:rsid w:val="4B587BD2"/>
    <w:rsid w:val="4B613DA5"/>
    <w:rsid w:val="4B7F7DAA"/>
    <w:rsid w:val="4BAA7FD1"/>
    <w:rsid w:val="4BB87151"/>
    <w:rsid w:val="4BC0539C"/>
    <w:rsid w:val="4BF16188"/>
    <w:rsid w:val="4C196BFC"/>
    <w:rsid w:val="4C1C5CBA"/>
    <w:rsid w:val="4C1D0E6C"/>
    <w:rsid w:val="4C4A5008"/>
    <w:rsid w:val="4C855E76"/>
    <w:rsid w:val="4C8933EE"/>
    <w:rsid w:val="4CA071DE"/>
    <w:rsid w:val="4CA64FF0"/>
    <w:rsid w:val="4CBF0399"/>
    <w:rsid w:val="4CE720BC"/>
    <w:rsid w:val="4CFA3813"/>
    <w:rsid w:val="4D036CA0"/>
    <w:rsid w:val="4D070337"/>
    <w:rsid w:val="4D093A7A"/>
    <w:rsid w:val="4D2842E5"/>
    <w:rsid w:val="4D2A6BE7"/>
    <w:rsid w:val="4D3A4DC4"/>
    <w:rsid w:val="4D3D2F72"/>
    <w:rsid w:val="4D4373FC"/>
    <w:rsid w:val="4D6D2C51"/>
    <w:rsid w:val="4D767E21"/>
    <w:rsid w:val="4D9425D5"/>
    <w:rsid w:val="4D9E7167"/>
    <w:rsid w:val="4DA35D3F"/>
    <w:rsid w:val="4DA60964"/>
    <w:rsid w:val="4DBA7F6B"/>
    <w:rsid w:val="4DBC4213"/>
    <w:rsid w:val="4DCF059F"/>
    <w:rsid w:val="4DF93A16"/>
    <w:rsid w:val="4DFC35B4"/>
    <w:rsid w:val="4DFC6693"/>
    <w:rsid w:val="4E114511"/>
    <w:rsid w:val="4E1C29D4"/>
    <w:rsid w:val="4E1E23D5"/>
    <w:rsid w:val="4E282ED2"/>
    <w:rsid w:val="4E2B2C17"/>
    <w:rsid w:val="4E30236C"/>
    <w:rsid w:val="4E3A0C2A"/>
    <w:rsid w:val="4E3F4D6F"/>
    <w:rsid w:val="4E4D73F8"/>
    <w:rsid w:val="4E5E3CBA"/>
    <w:rsid w:val="4E627958"/>
    <w:rsid w:val="4E66268D"/>
    <w:rsid w:val="4E87110B"/>
    <w:rsid w:val="4E976227"/>
    <w:rsid w:val="4E984750"/>
    <w:rsid w:val="4E9E125C"/>
    <w:rsid w:val="4EA604F0"/>
    <w:rsid w:val="4EA74993"/>
    <w:rsid w:val="4EB64BD7"/>
    <w:rsid w:val="4EBA746F"/>
    <w:rsid w:val="4EC76DE4"/>
    <w:rsid w:val="4ECD37FD"/>
    <w:rsid w:val="4EF5087C"/>
    <w:rsid w:val="4F08493D"/>
    <w:rsid w:val="4F1813ED"/>
    <w:rsid w:val="4F1B2DC3"/>
    <w:rsid w:val="4F1F540F"/>
    <w:rsid w:val="4F2424AA"/>
    <w:rsid w:val="4F68785D"/>
    <w:rsid w:val="4F6D3EA1"/>
    <w:rsid w:val="4F741652"/>
    <w:rsid w:val="4F747B7F"/>
    <w:rsid w:val="4F764338"/>
    <w:rsid w:val="4F7856D9"/>
    <w:rsid w:val="4F875395"/>
    <w:rsid w:val="4F8D44C6"/>
    <w:rsid w:val="4F932E2D"/>
    <w:rsid w:val="4F945770"/>
    <w:rsid w:val="4F9F6ECD"/>
    <w:rsid w:val="4FC21CF0"/>
    <w:rsid w:val="4FC33DA4"/>
    <w:rsid w:val="4FD95965"/>
    <w:rsid w:val="4FE13ED5"/>
    <w:rsid w:val="4FE82220"/>
    <w:rsid w:val="4FEA1862"/>
    <w:rsid w:val="4FEA5D1D"/>
    <w:rsid w:val="503824BB"/>
    <w:rsid w:val="50482DBA"/>
    <w:rsid w:val="50700CC4"/>
    <w:rsid w:val="507E7607"/>
    <w:rsid w:val="509C6E3C"/>
    <w:rsid w:val="50AE4B56"/>
    <w:rsid w:val="50BC224C"/>
    <w:rsid w:val="50BD049E"/>
    <w:rsid w:val="50C138DF"/>
    <w:rsid w:val="50F6750C"/>
    <w:rsid w:val="5100397C"/>
    <w:rsid w:val="5110696E"/>
    <w:rsid w:val="512A5408"/>
    <w:rsid w:val="51343C08"/>
    <w:rsid w:val="514C6C49"/>
    <w:rsid w:val="516D7394"/>
    <w:rsid w:val="51733CA9"/>
    <w:rsid w:val="51765C92"/>
    <w:rsid w:val="519E7D24"/>
    <w:rsid w:val="51A727CC"/>
    <w:rsid w:val="51B15B29"/>
    <w:rsid w:val="51BD627C"/>
    <w:rsid w:val="51D41D38"/>
    <w:rsid w:val="51DE0503"/>
    <w:rsid w:val="51F65A15"/>
    <w:rsid w:val="51FC4D41"/>
    <w:rsid w:val="520E30B5"/>
    <w:rsid w:val="521665C7"/>
    <w:rsid w:val="522B7C46"/>
    <w:rsid w:val="5233695E"/>
    <w:rsid w:val="52416EAD"/>
    <w:rsid w:val="524241CB"/>
    <w:rsid w:val="52446E7C"/>
    <w:rsid w:val="52470466"/>
    <w:rsid w:val="524E22B9"/>
    <w:rsid w:val="525025CC"/>
    <w:rsid w:val="52573B14"/>
    <w:rsid w:val="5261089D"/>
    <w:rsid w:val="52830813"/>
    <w:rsid w:val="52937A37"/>
    <w:rsid w:val="52A64105"/>
    <w:rsid w:val="52B72CCB"/>
    <w:rsid w:val="52C4464F"/>
    <w:rsid w:val="52C97D95"/>
    <w:rsid w:val="52D84032"/>
    <w:rsid w:val="52E77A54"/>
    <w:rsid w:val="52E837CD"/>
    <w:rsid w:val="52F57E63"/>
    <w:rsid w:val="530C748B"/>
    <w:rsid w:val="5314011E"/>
    <w:rsid w:val="531445C2"/>
    <w:rsid w:val="531C0A2B"/>
    <w:rsid w:val="531D66D7"/>
    <w:rsid w:val="5334256E"/>
    <w:rsid w:val="533760A5"/>
    <w:rsid w:val="53425CE9"/>
    <w:rsid w:val="53425E91"/>
    <w:rsid w:val="53685082"/>
    <w:rsid w:val="53703A62"/>
    <w:rsid w:val="537C3BAE"/>
    <w:rsid w:val="53BB401F"/>
    <w:rsid w:val="53C05A92"/>
    <w:rsid w:val="53CA4C80"/>
    <w:rsid w:val="53D915E3"/>
    <w:rsid w:val="53FC048F"/>
    <w:rsid w:val="540A061B"/>
    <w:rsid w:val="54291B9B"/>
    <w:rsid w:val="543C5B7E"/>
    <w:rsid w:val="543F6E56"/>
    <w:rsid w:val="544850B0"/>
    <w:rsid w:val="544F66BB"/>
    <w:rsid w:val="545253A1"/>
    <w:rsid w:val="545509EE"/>
    <w:rsid w:val="545862A5"/>
    <w:rsid w:val="545C7DBB"/>
    <w:rsid w:val="54617393"/>
    <w:rsid w:val="546B6CFE"/>
    <w:rsid w:val="54754B28"/>
    <w:rsid w:val="54A10DB4"/>
    <w:rsid w:val="54A656ED"/>
    <w:rsid w:val="54B53EBC"/>
    <w:rsid w:val="54C3004D"/>
    <w:rsid w:val="54D269AD"/>
    <w:rsid w:val="54D74947"/>
    <w:rsid w:val="54E17B9D"/>
    <w:rsid w:val="54FD693D"/>
    <w:rsid w:val="551440D6"/>
    <w:rsid w:val="551C775D"/>
    <w:rsid w:val="55222FC6"/>
    <w:rsid w:val="55306960"/>
    <w:rsid w:val="556308D6"/>
    <w:rsid w:val="558F6181"/>
    <w:rsid w:val="559E4C0F"/>
    <w:rsid w:val="55A02DC4"/>
    <w:rsid w:val="55A37DB3"/>
    <w:rsid w:val="55AF3DDC"/>
    <w:rsid w:val="55C2227B"/>
    <w:rsid w:val="55D97806"/>
    <w:rsid w:val="55E80984"/>
    <w:rsid w:val="55EE10FA"/>
    <w:rsid w:val="56091A90"/>
    <w:rsid w:val="560A28C1"/>
    <w:rsid w:val="560E7607"/>
    <w:rsid w:val="56167FEC"/>
    <w:rsid w:val="561717F2"/>
    <w:rsid w:val="561B6ABF"/>
    <w:rsid w:val="561F5B57"/>
    <w:rsid w:val="56334F4E"/>
    <w:rsid w:val="56344877"/>
    <w:rsid w:val="563823D7"/>
    <w:rsid w:val="56400DBA"/>
    <w:rsid w:val="56535401"/>
    <w:rsid w:val="56717F72"/>
    <w:rsid w:val="56774D2F"/>
    <w:rsid w:val="567C6706"/>
    <w:rsid w:val="5681131D"/>
    <w:rsid w:val="56925B4B"/>
    <w:rsid w:val="56AB2B47"/>
    <w:rsid w:val="56AB31C3"/>
    <w:rsid w:val="56B539C6"/>
    <w:rsid w:val="56B9715F"/>
    <w:rsid w:val="56D71B8E"/>
    <w:rsid w:val="56D85357"/>
    <w:rsid w:val="56F23E09"/>
    <w:rsid w:val="57030BD5"/>
    <w:rsid w:val="572529A2"/>
    <w:rsid w:val="572E7161"/>
    <w:rsid w:val="57331797"/>
    <w:rsid w:val="57342CDC"/>
    <w:rsid w:val="57477BC8"/>
    <w:rsid w:val="57650F48"/>
    <w:rsid w:val="577C3B06"/>
    <w:rsid w:val="57AB75C9"/>
    <w:rsid w:val="57AE09B5"/>
    <w:rsid w:val="57AE1946"/>
    <w:rsid w:val="57B20514"/>
    <w:rsid w:val="57BC60A9"/>
    <w:rsid w:val="57D20CDB"/>
    <w:rsid w:val="57FF75EE"/>
    <w:rsid w:val="580619A4"/>
    <w:rsid w:val="5819010E"/>
    <w:rsid w:val="582610E3"/>
    <w:rsid w:val="583152CE"/>
    <w:rsid w:val="583C2C84"/>
    <w:rsid w:val="583C70FC"/>
    <w:rsid w:val="583D1EC5"/>
    <w:rsid w:val="58891284"/>
    <w:rsid w:val="58906465"/>
    <w:rsid w:val="589A4E10"/>
    <w:rsid w:val="58A41681"/>
    <w:rsid w:val="58A84210"/>
    <w:rsid w:val="58D35292"/>
    <w:rsid w:val="58D804DB"/>
    <w:rsid w:val="58EF7663"/>
    <w:rsid w:val="59081510"/>
    <w:rsid w:val="590A3999"/>
    <w:rsid w:val="590D5A85"/>
    <w:rsid w:val="59131DE0"/>
    <w:rsid w:val="59176E47"/>
    <w:rsid w:val="5919690B"/>
    <w:rsid w:val="592B46A9"/>
    <w:rsid w:val="593B1EE8"/>
    <w:rsid w:val="59571CC4"/>
    <w:rsid w:val="595E1E26"/>
    <w:rsid w:val="595F18C0"/>
    <w:rsid w:val="596361E3"/>
    <w:rsid w:val="596516D3"/>
    <w:rsid w:val="598D2C70"/>
    <w:rsid w:val="59AF64C3"/>
    <w:rsid w:val="59CE5EA5"/>
    <w:rsid w:val="59D7504E"/>
    <w:rsid w:val="59DB3743"/>
    <w:rsid w:val="59E376F2"/>
    <w:rsid w:val="59F840DE"/>
    <w:rsid w:val="5A1C4892"/>
    <w:rsid w:val="5A1E2D29"/>
    <w:rsid w:val="5A2055FA"/>
    <w:rsid w:val="5A244D2F"/>
    <w:rsid w:val="5A421ACB"/>
    <w:rsid w:val="5A5B6274"/>
    <w:rsid w:val="5A6E0A5B"/>
    <w:rsid w:val="5A85561B"/>
    <w:rsid w:val="5A9C1D5C"/>
    <w:rsid w:val="5AAB580B"/>
    <w:rsid w:val="5AB5009D"/>
    <w:rsid w:val="5ABE7082"/>
    <w:rsid w:val="5AC149CA"/>
    <w:rsid w:val="5AC32B55"/>
    <w:rsid w:val="5ACC0B97"/>
    <w:rsid w:val="5B0171D9"/>
    <w:rsid w:val="5B081EB8"/>
    <w:rsid w:val="5B2D56A9"/>
    <w:rsid w:val="5B563001"/>
    <w:rsid w:val="5B576B13"/>
    <w:rsid w:val="5B5C2AAA"/>
    <w:rsid w:val="5B6B31C1"/>
    <w:rsid w:val="5B8B52EA"/>
    <w:rsid w:val="5BA60360"/>
    <w:rsid w:val="5BA916ED"/>
    <w:rsid w:val="5BB6648A"/>
    <w:rsid w:val="5BC82D7C"/>
    <w:rsid w:val="5BD75334"/>
    <w:rsid w:val="5BED6CFD"/>
    <w:rsid w:val="5BF0442C"/>
    <w:rsid w:val="5C125A72"/>
    <w:rsid w:val="5C15389E"/>
    <w:rsid w:val="5C154597"/>
    <w:rsid w:val="5C3040FF"/>
    <w:rsid w:val="5C34135F"/>
    <w:rsid w:val="5C565202"/>
    <w:rsid w:val="5C600284"/>
    <w:rsid w:val="5C8F6A67"/>
    <w:rsid w:val="5C9D7F68"/>
    <w:rsid w:val="5CA535CD"/>
    <w:rsid w:val="5CB16421"/>
    <w:rsid w:val="5CD51D08"/>
    <w:rsid w:val="5CDC6A66"/>
    <w:rsid w:val="5CEE3073"/>
    <w:rsid w:val="5CEE5E83"/>
    <w:rsid w:val="5CF45FA6"/>
    <w:rsid w:val="5CF532F5"/>
    <w:rsid w:val="5D077DB8"/>
    <w:rsid w:val="5D2E313A"/>
    <w:rsid w:val="5D762C15"/>
    <w:rsid w:val="5D7C705D"/>
    <w:rsid w:val="5D903914"/>
    <w:rsid w:val="5D9D364C"/>
    <w:rsid w:val="5DA30A1C"/>
    <w:rsid w:val="5DA41482"/>
    <w:rsid w:val="5DC10DE0"/>
    <w:rsid w:val="5DCE71F3"/>
    <w:rsid w:val="5DD2144A"/>
    <w:rsid w:val="5DD50F61"/>
    <w:rsid w:val="5DEB6B62"/>
    <w:rsid w:val="5DF03B0E"/>
    <w:rsid w:val="5DF87B73"/>
    <w:rsid w:val="5DFA4F59"/>
    <w:rsid w:val="5DFF5F33"/>
    <w:rsid w:val="5E0827FA"/>
    <w:rsid w:val="5E093EBB"/>
    <w:rsid w:val="5E1B2CA8"/>
    <w:rsid w:val="5E280F21"/>
    <w:rsid w:val="5E2C27BF"/>
    <w:rsid w:val="5E321D37"/>
    <w:rsid w:val="5E515854"/>
    <w:rsid w:val="5E5B02C2"/>
    <w:rsid w:val="5E7805D5"/>
    <w:rsid w:val="5E7B2440"/>
    <w:rsid w:val="5E7C635E"/>
    <w:rsid w:val="5E86320C"/>
    <w:rsid w:val="5EC70E5B"/>
    <w:rsid w:val="5ED25107"/>
    <w:rsid w:val="5ED94217"/>
    <w:rsid w:val="5EEC29F0"/>
    <w:rsid w:val="5F0757AD"/>
    <w:rsid w:val="5F1A3805"/>
    <w:rsid w:val="5F1C1C0F"/>
    <w:rsid w:val="5F2D4A41"/>
    <w:rsid w:val="5F3F5B07"/>
    <w:rsid w:val="5F5101AF"/>
    <w:rsid w:val="5F546943"/>
    <w:rsid w:val="5F671A45"/>
    <w:rsid w:val="5F73441E"/>
    <w:rsid w:val="5F7469DC"/>
    <w:rsid w:val="5F7D75F7"/>
    <w:rsid w:val="5F7E167B"/>
    <w:rsid w:val="5F8D5EC0"/>
    <w:rsid w:val="5F8E3D72"/>
    <w:rsid w:val="5F9A4E21"/>
    <w:rsid w:val="5FAE24D6"/>
    <w:rsid w:val="5FB009D6"/>
    <w:rsid w:val="5FBE3D35"/>
    <w:rsid w:val="5FCB425A"/>
    <w:rsid w:val="5FF43DE4"/>
    <w:rsid w:val="5FFF3080"/>
    <w:rsid w:val="60030A85"/>
    <w:rsid w:val="600F35B7"/>
    <w:rsid w:val="60104B28"/>
    <w:rsid w:val="601260A9"/>
    <w:rsid w:val="6029789A"/>
    <w:rsid w:val="602A5328"/>
    <w:rsid w:val="60480467"/>
    <w:rsid w:val="605F2D1F"/>
    <w:rsid w:val="60611EAF"/>
    <w:rsid w:val="60AA6270"/>
    <w:rsid w:val="60AD0C00"/>
    <w:rsid w:val="60AE1BB1"/>
    <w:rsid w:val="60B71441"/>
    <w:rsid w:val="60C85BEE"/>
    <w:rsid w:val="60F7176F"/>
    <w:rsid w:val="6105554A"/>
    <w:rsid w:val="61196019"/>
    <w:rsid w:val="61306A6A"/>
    <w:rsid w:val="613F6527"/>
    <w:rsid w:val="614747B8"/>
    <w:rsid w:val="615522BB"/>
    <w:rsid w:val="61563175"/>
    <w:rsid w:val="61601E60"/>
    <w:rsid w:val="616109D2"/>
    <w:rsid w:val="61660A05"/>
    <w:rsid w:val="61CA2A1B"/>
    <w:rsid w:val="61E0223F"/>
    <w:rsid w:val="61E92FBD"/>
    <w:rsid w:val="61F168B1"/>
    <w:rsid w:val="62131246"/>
    <w:rsid w:val="621771F3"/>
    <w:rsid w:val="62191E82"/>
    <w:rsid w:val="622A34B7"/>
    <w:rsid w:val="622F4B23"/>
    <w:rsid w:val="6235129D"/>
    <w:rsid w:val="62555A59"/>
    <w:rsid w:val="6256448E"/>
    <w:rsid w:val="62626330"/>
    <w:rsid w:val="626672E5"/>
    <w:rsid w:val="62705A6B"/>
    <w:rsid w:val="627806C9"/>
    <w:rsid w:val="628232F6"/>
    <w:rsid w:val="628C1A7E"/>
    <w:rsid w:val="62AF7E63"/>
    <w:rsid w:val="62B96DB9"/>
    <w:rsid w:val="62E96ED1"/>
    <w:rsid w:val="62EB592F"/>
    <w:rsid w:val="62EB797D"/>
    <w:rsid w:val="62EF111F"/>
    <w:rsid w:val="63027F93"/>
    <w:rsid w:val="63141DD0"/>
    <w:rsid w:val="631B1054"/>
    <w:rsid w:val="632A4445"/>
    <w:rsid w:val="6350587A"/>
    <w:rsid w:val="635E33D6"/>
    <w:rsid w:val="637C7D45"/>
    <w:rsid w:val="639F1D63"/>
    <w:rsid w:val="63BF6533"/>
    <w:rsid w:val="63C66E6D"/>
    <w:rsid w:val="63DA66A3"/>
    <w:rsid w:val="63E40EAA"/>
    <w:rsid w:val="63EF49BB"/>
    <w:rsid w:val="63F2156D"/>
    <w:rsid w:val="64116167"/>
    <w:rsid w:val="6422093A"/>
    <w:rsid w:val="64254502"/>
    <w:rsid w:val="64262252"/>
    <w:rsid w:val="643B38A3"/>
    <w:rsid w:val="643D4406"/>
    <w:rsid w:val="645057B1"/>
    <w:rsid w:val="645202DB"/>
    <w:rsid w:val="64B11C70"/>
    <w:rsid w:val="64C1044A"/>
    <w:rsid w:val="64DD2A65"/>
    <w:rsid w:val="64F925A8"/>
    <w:rsid w:val="64FD3A71"/>
    <w:rsid w:val="65077AE2"/>
    <w:rsid w:val="650852D4"/>
    <w:rsid w:val="650D5F7B"/>
    <w:rsid w:val="651027B1"/>
    <w:rsid w:val="651B3C45"/>
    <w:rsid w:val="653A5AB1"/>
    <w:rsid w:val="655D7BCF"/>
    <w:rsid w:val="656911DB"/>
    <w:rsid w:val="65764C68"/>
    <w:rsid w:val="6577172C"/>
    <w:rsid w:val="657C3F13"/>
    <w:rsid w:val="657D5FF6"/>
    <w:rsid w:val="65867CFA"/>
    <w:rsid w:val="65AB50A5"/>
    <w:rsid w:val="65AC4443"/>
    <w:rsid w:val="65AD2AB9"/>
    <w:rsid w:val="65B447AD"/>
    <w:rsid w:val="65D615AC"/>
    <w:rsid w:val="65EB7404"/>
    <w:rsid w:val="660202AA"/>
    <w:rsid w:val="661D2914"/>
    <w:rsid w:val="66356A8B"/>
    <w:rsid w:val="66410A4F"/>
    <w:rsid w:val="66490F7C"/>
    <w:rsid w:val="66522FDF"/>
    <w:rsid w:val="66620F89"/>
    <w:rsid w:val="66636F9A"/>
    <w:rsid w:val="666A5AF3"/>
    <w:rsid w:val="666F593F"/>
    <w:rsid w:val="667E2838"/>
    <w:rsid w:val="6692162D"/>
    <w:rsid w:val="66985D66"/>
    <w:rsid w:val="669C60B2"/>
    <w:rsid w:val="669D49F0"/>
    <w:rsid w:val="66AB26EF"/>
    <w:rsid w:val="66D67567"/>
    <w:rsid w:val="66DE0D17"/>
    <w:rsid w:val="670A7696"/>
    <w:rsid w:val="670B21AF"/>
    <w:rsid w:val="67134B04"/>
    <w:rsid w:val="673244E6"/>
    <w:rsid w:val="6748602A"/>
    <w:rsid w:val="67736E2A"/>
    <w:rsid w:val="679C796F"/>
    <w:rsid w:val="67B53825"/>
    <w:rsid w:val="67B7628A"/>
    <w:rsid w:val="67BA0E3C"/>
    <w:rsid w:val="67BB4BD8"/>
    <w:rsid w:val="67BD26DA"/>
    <w:rsid w:val="67DE72F8"/>
    <w:rsid w:val="67FB7CA2"/>
    <w:rsid w:val="68137DC3"/>
    <w:rsid w:val="68160354"/>
    <w:rsid w:val="68182006"/>
    <w:rsid w:val="68183467"/>
    <w:rsid w:val="68255AF2"/>
    <w:rsid w:val="68322606"/>
    <w:rsid w:val="68481055"/>
    <w:rsid w:val="68553965"/>
    <w:rsid w:val="68557F0C"/>
    <w:rsid w:val="685748DD"/>
    <w:rsid w:val="6870599E"/>
    <w:rsid w:val="687963C4"/>
    <w:rsid w:val="687A239E"/>
    <w:rsid w:val="68875DBB"/>
    <w:rsid w:val="68A13DAA"/>
    <w:rsid w:val="68A5361C"/>
    <w:rsid w:val="68AD11B6"/>
    <w:rsid w:val="68B7537B"/>
    <w:rsid w:val="68BB130F"/>
    <w:rsid w:val="68C8676F"/>
    <w:rsid w:val="68CE17CF"/>
    <w:rsid w:val="68F5459C"/>
    <w:rsid w:val="68F95994"/>
    <w:rsid w:val="69026F3E"/>
    <w:rsid w:val="690E6DDB"/>
    <w:rsid w:val="691E189E"/>
    <w:rsid w:val="691E3449"/>
    <w:rsid w:val="694305D1"/>
    <w:rsid w:val="69541E7D"/>
    <w:rsid w:val="695A71B9"/>
    <w:rsid w:val="696753D8"/>
    <w:rsid w:val="69786CDB"/>
    <w:rsid w:val="69813E16"/>
    <w:rsid w:val="6985451A"/>
    <w:rsid w:val="698C2CAC"/>
    <w:rsid w:val="69A70F6A"/>
    <w:rsid w:val="69B8584F"/>
    <w:rsid w:val="69C51D1A"/>
    <w:rsid w:val="69DD2703"/>
    <w:rsid w:val="69DF49D5"/>
    <w:rsid w:val="69E93C5A"/>
    <w:rsid w:val="6A1011E7"/>
    <w:rsid w:val="6A18009C"/>
    <w:rsid w:val="6A1B71B1"/>
    <w:rsid w:val="6A4F319F"/>
    <w:rsid w:val="6A504B53"/>
    <w:rsid w:val="6A682DD1"/>
    <w:rsid w:val="6A7671E1"/>
    <w:rsid w:val="6A77474D"/>
    <w:rsid w:val="6A7D739B"/>
    <w:rsid w:val="6A842BCE"/>
    <w:rsid w:val="6A896156"/>
    <w:rsid w:val="6A9339A0"/>
    <w:rsid w:val="6A9736B6"/>
    <w:rsid w:val="6AAD4C88"/>
    <w:rsid w:val="6AB13B78"/>
    <w:rsid w:val="6ABA5627"/>
    <w:rsid w:val="6ABF6769"/>
    <w:rsid w:val="6ACE5687"/>
    <w:rsid w:val="6AD3032F"/>
    <w:rsid w:val="6AD32DEA"/>
    <w:rsid w:val="6B0024C4"/>
    <w:rsid w:val="6B020051"/>
    <w:rsid w:val="6B0C6E7F"/>
    <w:rsid w:val="6B1B7E43"/>
    <w:rsid w:val="6B20001B"/>
    <w:rsid w:val="6B214F1F"/>
    <w:rsid w:val="6B224EA6"/>
    <w:rsid w:val="6B264A3A"/>
    <w:rsid w:val="6B2C6AC8"/>
    <w:rsid w:val="6B35036A"/>
    <w:rsid w:val="6B361121"/>
    <w:rsid w:val="6B5F343C"/>
    <w:rsid w:val="6B685C68"/>
    <w:rsid w:val="6B720809"/>
    <w:rsid w:val="6B8D74E9"/>
    <w:rsid w:val="6B9507EE"/>
    <w:rsid w:val="6BA404A2"/>
    <w:rsid w:val="6BAE1BED"/>
    <w:rsid w:val="6BE139FC"/>
    <w:rsid w:val="6BEA7759"/>
    <w:rsid w:val="6BFC56F1"/>
    <w:rsid w:val="6C044257"/>
    <w:rsid w:val="6C262B80"/>
    <w:rsid w:val="6C296590"/>
    <w:rsid w:val="6C2D4405"/>
    <w:rsid w:val="6C313D7D"/>
    <w:rsid w:val="6C3A43FB"/>
    <w:rsid w:val="6C4533AC"/>
    <w:rsid w:val="6C662CA6"/>
    <w:rsid w:val="6C7517D5"/>
    <w:rsid w:val="6C754784"/>
    <w:rsid w:val="6CA0580D"/>
    <w:rsid w:val="6CEA2358"/>
    <w:rsid w:val="6CF5158B"/>
    <w:rsid w:val="6CFB4D33"/>
    <w:rsid w:val="6D226F28"/>
    <w:rsid w:val="6D2839BA"/>
    <w:rsid w:val="6D2A32A5"/>
    <w:rsid w:val="6D2F0A1B"/>
    <w:rsid w:val="6D413DAD"/>
    <w:rsid w:val="6D4E6E9A"/>
    <w:rsid w:val="6D60154F"/>
    <w:rsid w:val="6D7A3E55"/>
    <w:rsid w:val="6D894635"/>
    <w:rsid w:val="6D9F6B40"/>
    <w:rsid w:val="6DB84F93"/>
    <w:rsid w:val="6DCB3F49"/>
    <w:rsid w:val="6DCF1F98"/>
    <w:rsid w:val="6DD00F79"/>
    <w:rsid w:val="6DED1766"/>
    <w:rsid w:val="6DED7F0C"/>
    <w:rsid w:val="6DF972F7"/>
    <w:rsid w:val="6DFD7132"/>
    <w:rsid w:val="6DFE57FA"/>
    <w:rsid w:val="6E13574A"/>
    <w:rsid w:val="6E267E6E"/>
    <w:rsid w:val="6E446496"/>
    <w:rsid w:val="6E510921"/>
    <w:rsid w:val="6E5D4C17"/>
    <w:rsid w:val="6E5E70A4"/>
    <w:rsid w:val="6E6052F9"/>
    <w:rsid w:val="6E6A798D"/>
    <w:rsid w:val="6E7262B3"/>
    <w:rsid w:val="6E7D2BC3"/>
    <w:rsid w:val="6E822E3D"/>
    <w:rsid w:val="6E9A000B"/>
    <w:rsid w:val="6EA52BAD"/>
    <w:rsid w:val="6EAA5A9F"/>
    <w:rsid w:val="6F0220DF"/>
    <w:rsid w:val="6F4F3169"/>
    <w:rsid w:val="6F5C57BE"/>
    <w:rsid w:val="6F5C6C7D"/>
    <w:rsid w:val="6F5E4ED3"/>
    <w:rsid w:val="6F78298A"/>
    <w:rsid w:val="6F8A5598"/>
    <w:rsid w:val="6F8F0AD8"/>
    <w:rsid w:val="6F9D6CCA"/>
    <w:rsid w:val="6FA04DBB"/>
    <w:rsid w:val="6FAF69EB"/>
    <w:rsid w:val="6FB011A5"/>
    <w:rsid w:val="6FBF4CD2"/>
    <w:rsid w:val="6FC87CDC"/>
    <w:rsid w:val="6FDE3B35"/>
    <w:rsid w:val="6FF670D1"/>
    <w:rsid w:val="70205EFC"/>
    <w:rsid w:val="70367A83"/>
    <w:rsid w:val="705D2CAC"/>
    <w:rsid w:val="706D2320"/>
    <w:rsid w:val="707211D2"/>
    <w:rsid w:val="70A7151A"/>
    <w:rsid w:val="70A90024"/>
    <w:rsid w:val="70B47F55"/>
    <w:rsid w:val="70BC5C25"/>
    <w:rsid w:val="70E92792"/>
    <w:rsid w:val="70ED2DDD"/>
    <w:rsid w:val="70EF1904"/>
    <w:rsid w:val="7121017E"/>
    <w:rsid w:val="712C1DCE"/>
    <w:rsid w:val="712F289B"/>
    <w:rsid w:val="713B510F"/>
    <w:rsid w:val="713D370A"/>
    <w:rsid w:val="71520337"/>
    <w:rsid w:val="715C072B"/>
    <w:rsid w:val="715C2F64"/>
    <w:rsid w:val="71744BE1"/>
    <w:rsid w:val="71807D98"/>
    <w:rsid w:val="718B4C44"/>
    <w:rsid w:val="718E53E9"/>
    <w:rsid w:val="719542D9"/>
    <w:rsid w:val="71A32941"/>
    <w:rsid w:val="71A33A58"/>
    <w:rsid w:val="71AC2E7D"/>
    <w:rsid w:val="71B52674"/>
    <w:rsid w:val="71BC1C54"/>
    <w:rsid w:val="71C034F3"/>
    <w:rsid w:val="71D05742"/>
    <w:rsid w:val="71D41E8B"/>
    <w:rsid w:val="71E02DC1"/>
    <w:rsid w:val="71F20EB7"/>
    <w:rsid w:val="720A7028"/>
    <w:rsid w:val="720E677B"/>
    <w:rsid w:val="72132C7F"/>
    <w:rsid w:val="72153F4F"/>
    <w:rsid w:val="72230284"/>
    <w:rsid w:val="723E28F2"/>
    <w:rsid w:val="72435ED2"/>
    <w:rsid w:val="725801A0"/>
    <w:rsid w:val="725974A3"/>
    <w:rsid w:val="726619C5"/>
    <w:rsid w:val="727644F9"/>
    <w:rsid w:val="727E1940"/>
    <w:rsid w:val="7282492C"/>
    <w:rsid w:val="728905CB"/>
    <w:rsid w:val="728949D1"/>
    <w:rsid w:val="728B1D53"/>
    <w:rsid w:val="728D4703"/>
    <w:rsid w:val="72965F01"/>
    <w:rsid w:val="72A63CA5"/>
    <w:rsid w:val="72B51D35"/>
    <w:rsid w:val="72C65C4D"/>
    <w:rsid w:val="72CD5FBF"/>
    <w:rsid w:val="72E52579"/>
    <w:rsid w:val="72EE44CB"/>
    <w:rsid w:val="72F07E08"/>
    <w:rsid w:val="72F11ABF"/>
    <w:rsid w:val="72F96FD4"/>
    <w:rsid w:val="73204D67"/>
    <w:rsid w:val="73260797"/>
    <w:rsid w:val="73280E0A"/>
    <w:rsid w:val="7354185C"/>
    <w:rsid w:val="736605E6"/>
    <w:rsid w:val="73674CB4"/>
    <w:rsid w:val="737427E7"/>
    <w:rsid w:val="73962B79"/>
    <w:rsid w:val="739651D2"/>
    <w:rsid w:val="73AE797A"/>
    <w:rsid w:val="73B40E35"/>
    <w:rsid w:val="73BF77DA"/>
    <w:rsid w:val="73C70AC7"/>
    <w:rsid w:val="73C970FC"/>
    <w:rsid w:val="73E060CE"/>
    <w:rsid w:val="74065409"/>
    <w:rsid w:val="74093AE9"/>
    <w:rsid w:val="740F250F"/>
    <w:rsid w:val="741217A6"/>
    <w:rsid w:val="742A0AB7"/>
    <w:rsid w:val="744C64EB"/>
    <w:rsid w:val="745229A8"/>
    <w:rsid w:val="74691B52"/>
    <w:rsid w:val="7478008B"/>
    <w:rsid w:val="74856C75"/>
    <w:rsid w:val="74AC2DDF"/>
    <w:rsid w:val="74AD3E6F"/>
    <w:rsid w:val="74C77C22"/>
    <w:rsid w:val="74D32653"/>
    <w:rsid w:val="74D472B5"/>
    <w:rsid w:val="74DD0860"/>
    <w:rsid w:val="74FB2A94"/>
    <w:rsid w:val="750615ED"/>
    <w:rsid w:val="751C4F54"/>
    <w:rsid w:val="756A0965"/>
    <w:rsid w:val="75734B30"/>
    <w:rsid w:val="75831F8E"/>
    <w:rsid w:val="75A14266"/>
    <w:rsid w:val="75B94E29"/>
    <w:rsid w:val="75C477C3"/>
    <w:rsid w:val="75C80365"/>
    <w:rsid w:val="75C97294"/>
    <w:rsid w:val="75CC4636"/>
    <w:rsid w:val="75F540A8"/>
    <w:rsid w:val="75FB5154"/>
    <w:rsid w:val="760B77D5"/>
    <w:rsid w:val="761A7BD2"/>
    <w:rsid w:val="761C5F12"/>
    <w:rsid w:val="762070B4"/>
    <w:rsid w:val="763B05F0"/>
    <w:rsid w:val="763E70DC"/>
    <w:rsid w:val="76566596"/>
    <w:rsid w:val="765B7F46"/>
    <w:rsid w:val="765E6B9E"/>
    <w:rsid w:val="76762767"/>
    <w:rsid w:val="76942960"/>
    <w:rsid w:val="76A97EFA"/>
    <w:rsid w:val="76CA39B4"/>
    <w:rsid w:val="76D3406D"/>
    <w:rsid w:val="77000B4C"/>
    <w:rsid w:val="7707454E"/>
    <w:rsid w:val="77224625"/>
    <w:rsid w:val="7730111A"/>
    <w:rsid w:val="773A3D47"/>
    <w:rsid w:val="77437822"/>
    <w:rsid w:val="774502FB"/>
    <w:rsid w:val="77617526"/>
    <w:rsid w:val="776810F2"/>
    <w:rsid w:val="77690189"/>
    <w:rsid w:val="77774661"/>
    <w:rsid w:val="778825D2"/>
    <w:rsid w:val="778B1DFE"/>
    <w:rsid w:val="77A60777"/>
    <w:rsid w:val="77AA0631"/>
    <w:rsid w:val="77AD299D"/>
    <w:rsid w:val="77BC29AE"/>
    <w:rsid w:val="77C974EA"/>
    <w:rsid w:val="77D959A0"/>
    <w:rsid w:val="77E65C7D"/>
    <w:rsid w:val="77E912C9"/>
    <w:rsid w:val="77F60C91"/>
    <w:rsid w:val="77F95106"/>
    <w:rsid w:val="78434CCE"/>
    <w:rsid w:val="785D5FFA"/>
    <w:rsid w:val="7868426D"/>
    <w:rsid w:val="786E38ED"/>
    <w:rsid w:val="787401BD"/>
    <w:rsid w:val="787D213D"/>
    <w:rsid w:val="78873022"/>
    <w:rsid w:val="788B09C4"/>
    <w:rsid w:val="788B5900"/>
    <w:rsid w:val="788E7143"/>
    <w:rsid w:val="789F5E32"/>
    <w:rsid w:val="78AC47D1"/>
    <w:rsid w:val="78B44E1F"/>
    <w:rsid w:val="78DF7B5C"/>
    <w:rsid w:val="78E8040D"/>
    <w:rsid w:val="78EA1EAD"/>
    <w:rsid w:val="790036E1"/>
    <w:rsid w:val="791A0185"/>
    <w:rsid w:val="7928340C"/>
    <w:rsid w:val="79346574"/>
    <w:rsid w:val="79355C2B"/>
    <w:rsid w:val="79366790"/>
    <w:rsid w:val="79563988"/>
    <w:rsid w:val="796450AB"/>
    <w:rsid w:val="797E7E30"/>
    <w:rsid w:val="79816FEE"/>
    <w:rsid w:val="79986828"/>
    <w:rsid w:val="799C46C5"/>
    <w:rsid w:val="799C5655"/>
    <w:rsid w:val="79AC0800"/>
    <w:rsid w:val="79B71AB4"/>
    <w:rsid w:val="79BC120E"/>
    <w:rsid w:val="79CE4F1A"/>
    <w:rsid w:val="79E77C9D"/>
    <w:rsid w:val="79EB37FE"/>
    <w:rsid w:val="79FC7092"/>
    <w:rsid w:val="7A026DB8"/>
    <w:rsid w:val="7A3902E6"/>
    <w:rsid w:val="7A4D7A4C"/>
    <w:rsid w:val="7A5926D7"/>
    <w:rsid w:val="7A5E4263"/>
    <w:rsid w:val="7A660D48"/>
    <w:rsid w:val="7A8772A3"/>
    <w:rsid w:val="7A947354"/>
    <w:rsid w:val="7A985FAE"/>
    <w:rsid w:val="7A9D64D7"/>
    <w:rsid w:val="7AA02A63"/>
    <w:rsid w:val="7AE07C8F"/>
    <w:rsid w:val="7AE64F8C"/>
    <w:rsid w:val="7AE94C16"/>
    <w:rsid w:val="7AF31536"/>
    <w:rsid w:val="7B045ED3"/>
    <w:rsid w:val="7B205002"/>
    <w:rsid w:val="7B314FE0"/>
    <w:rsid w:val="7B4C0811"/>
    <w:rsid w:val="7B600DE5"/>
    <w:rsid w:val="7B8E01BE"/>
    <w:rsid w:val="7B9559F0"/>
    <w:rsid w:val="7BE5557A"/>
    <w:rsid w:val="7C06305E"/>
    <w:rsid w:val="7C1D61AE"/>
    <w:rsid w:val="7C2215C7"/>
    <w:rsid w:val="7C26489A"/>
    <w:rsid w:val="7C284C32"/>
    <w:rsid w:val="7C324388"/>
    <w:rsid w:val="7C5B09E8"/>
    <w:rsid w:val="7C5B6BD6"/>
    <w:rsid w:val="7C5F7DAC"/>
    <w:rsid w:val="7C7A5D60"/>
    <w:rsid w:val="7C7C26A4"/>
    <w:rsid w:val="7C826FCD"/>
    <w:rsid w:val="7C9166BF"/>
    <w:rsid w:val="7C9E7A01"/>
    <w:rsid w:val="7CB41EB1"/>
    <w:rsid w:val="7CFA3D23"/>
    <w:rsid w:val="7D0270B5"/>
    <w:rsid w:val="7D2B19EF"/>
    <w:rsid w:val="7D405911"/>
    <w:rsid w:val="7D454FA5"/>
    <w:rsid w:val="7D5B797B"/>
    <w:rsid w:val="7D764944"/>
    <w:rsid w:val="7D7A2AF2"/>
    <w:rsid w:val="7DA3506D"/>
    <w:rsid w:val="7DAB6A7C"/>
    <w:rsid w:val="7DB9757F"/>
    <w:rsid w:val="7DDD542C"/>
    <w:rsid w:val="7DFB3D09"/>
    <w:rsid w:val="7E0E3838"/>
    <w:rsid w:val="7E167D92"/>
    <w:rsid w:val="7E215844"/>
    <w:rsid w:val="7E3314F0"/>
    <w:rsid w:val="7E503B78"/>
    <w:rsid w:val="7E520CE5"/>
    <w:rsid w:val="7E5356EF"/>
    <w:rsid w:val="7E562E8C"/>
    <w:rsid w:val="7E5E656D"/>
    <w:rsid w:val="7E861620"/>
    <w:rsid w:val="7E9C2141"/>
    <w:rsid w:val="7EA168A4"/>
    <w:rsid w:val="7EC14E70"/>
    <w:rsid w:val="7ECD724F"/>
    <w:rsid w:val="7ED30FF3"/>
    <w:rsid w:val="7EFB0260"/>
    <w:rsid w:val="7F047CBB"/>
    <w:rsid w:val="7F233313"/>
    <w:rsid w:val="7F320591"/>
    <w:rsid w:val="7F38179C"/>
    <w:rsid w:val="7F42706A"/>
    <w:rsid w:val="7F520505"/>
    <w:rsid w:val="7F855470"/>
    <w:rsid w:val="7F9E6EAA"/>
    <w:rsid w:val="7FAF6F46"/>
    <w:rsid w:val="7FC672E0"/>
    <w:rsid w:val="7FCC5B94"/>
    <w:rsid w:val="7FE04EA5"/>
    <w:rsid w:val="7FE66CB0"/>
    <w:rsid w:val="7FF6731A"/>
    <w:rsid w:val="7FFA3CDD"/>
    <w:rsid w:val="7FFA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6"/>
    <w:autoRedefine/>
    <w:qFormat/>
    <w:uiPriority w:val="9"/>
    <w:pPr>
      <w:keepNext/>
      <w:keepLines/>
      <w:spacing w:before="340" w:after="330" w:line="576" w:lineRule="auto"/>
      <w:jc w:val="left"/>
      <w:outlineLvl w:val="0"/>
    </w:pPr>
    <w:rPr>
      <w:b/>
      <w:bCs/>
      <w:kern w:val="44"/>
      <w:sz w:val="28"/>
      <w:szCs w:val="44"/>
    </w:rPr>
  </w:style>
  <w:style w:type="paragraph" w:styleId="7">
    <w:name w:val="heading 2"/>
    <w:basedOn w:val="1"/>
    <w:next w:val="4"/>
    <w:link w:val="67"/>
    <w:autoRedefine/>
    <w:qFormat/>
    <w:uiPriority w:val="9"/>
    <w:pPr>
      <w:keepNext/>
      <w:keepLines/>
      <w:spacing w:before="260" w:after="260" w:line="413" w:lineRule="auto"/>
      <w:jc w:val="left"/>
      <w:outlineLvl w:val="1"/>
    </w:pPr>
    <w:rPr>
      <w:rFonts w:ascii="Arial" w:hAnsi="Arial" w:eastAsia="黑体"/>
      <w:bCs/>
      <w:kern w:val="0"/>
      <w:sz w:val="28"/>
      <w:szCs w:val="32"/>
    </w:rPr>
  </w:style>
  <w:style w:type="paragraph" w:styleId="8">
    <w:name w:val="heading 3"/>
    <w:basedOn w:val="1"/>
    <w:next w:val="1"/>
    <w:link w:val="68"/>
    <w:autoRedefine/>
    <w:qFormat/>
    <w:uiPriority w:val="0"/>
    <w:pPr>
      <w:keepNext/>
      <w:keepLines/>
      <w:spacing w:before="260" w:after="260" w:line="413" w:lineRule="auto"/>
      <w:ind w:firstLine="200" w:firstLineChars="200"/>
      <w:outlineLvl w:val="2"/>
    </w:pPr>
    <w:rPr>
      <w:bCs/>
      <w:kern w:val="0"/>
      <w:sz w:val="24"/>
      <w:szCs w:val="32"/>
    </w:rPr>
  </w:style>
  <w:style w:type="paragraph" w:styleId="9">
    <w:name w:val="heading 4"/>
    <w:basedOn w:val="1"/>
    <w:next w:val="1"/>
    <w:link w:val="69"/>
    <w:autoRedefine/>
    <w:qFormat/>
    <w:uiPriority w:val="0"/>
    <w:pPr>
      <w:keepNext/>
      <w:tabs>
        <w:tab w:val="left" w:pos="840"/>
      </w:tabs>
      <w:outlineLvl w:val="3"/>
    </w:pPr>
    <w:rPr>
      <w:rFonts w:ascii="华文中宋" w:hAnsi="华文中宋" w:eastAsia="华文中宋"/>
      <w:b/>
      <w:bCs/>
      <w:kern w:val="0"/>
      <w:sz w:val="28"/>
      <w:szCs w:val="20"/>
    </w:rPr>
  </w:style>
  <w:style w:type="paragraph" w:styleId="10">
    <w:name w:val="heading 5"/>
    <w:basedOn w:val="1"/>
    <w:next w:val="4"/>
    <w:link w:val="70"/>
    <w:autoRedefine/>
    <w:qFormat/>
    <w:uiPriority w:val="0"/>
    <w:pPr>
      <w:keepNext/>
      <w:autoSpaceDE w:val="0"/>
      <w:autoSpaceDN w:val="0"/>
      <w:adjustRightInd w:val="0"/>
      <w:spacing w:before="156" w:beforeLines="50" w:after="156" w:afterLines="50"/>
      <w:outlineLvl w:val="4"/>
    </w:pPr>
    <w:rPr>
      <w:rFonts w:ascii="黑体" w:eastAsia="黑体"/>
      <w:b/>
      <w:color w:val="000000"/>
      <w:kern w:val="0"/>
      <w:sz w:val="28"/>
      <w:szCs w:val="20"/>
    </w:rPr>
  </w:style>
  <w:style w:type="paragraph" w:styleId="11">
    <w:name w:val="heading 6"/>
    <w:basedOn w:val="1"/>
    <w:next w:val="1"/>
    <w:link w:val="71"/>
    <w:autoRedefine/>
    <w:qFormat/>
    <w:uiPriority w:val="0"/>
    <w:pPr>
      <w:keepNext/>
      <w:keepLines/>
      <w:spacing w:before="240" w:after="64" w:line="317" w:lineRule="auto"/>
      <w:outlineLvl w:val="5"/>
    </w:pPr>
    <w:rPr>
      <w:rFonts w:ascii="Arial" w:hAnsi="Arial" w:eastAsia="黑体"/>
      <w:b/>
      <w:bCs/>
      <w:kern w:val="0"/>
      <w:sz w:val="24"/>
    </w:rPr>
  </w:style>
  <w:style w:type="paragraph" w:styleId="12">
    <w:name w:val="heading 7"/>
    <w:basedOn w:val="1"/>
    <w:next w:val="1"/>
    <w:link w:val="72"/>
    <w:autoRedefine/>
    <w:qFormat/>
    <w:uiPriority w:val="0"/>
    <w:pPr>
      <w:keepNext/>
      <w:keepLines/>
      <w:spacing w:before="240" w:after="64" w:line="317" w:lineRule="auto"/>
      <w:outlineLvl w:val="6"/>
    </w:pPr>
    <w:rPr>
      <w:b/>
      <w:bCs/>
      <w:kern w:val="0"/>
      <w:sz w:val="24"/>
    </w:rPr>
  </w:style>
  <w:style w:type="paragraph" w:styleId="13">
    <w:name w:val="heading 8"/>
    <w:basedOn w:val="1"/>
    <w:next w:val="1"/>
    <w:link w:val="73"/>
    <w:autoRedefine/>
    <w:qFormat/>
    <w:uiPriority w:val="0"/>
    <w:pPr>
      <w:keepNext/>
      <w:keepLines/>
      <w:spacing w:before="240" w:after="64" w:line="317" w:lineRule="auto"/>
      <w:outlineLvl w:val="7"/>
    </w:pPr>
    <w:rPr>
      <w:rFonts w:ascii="Arial" w:hAnsi="Arial" w:eastAsia="黑体"/>
      <w:kern w:val="0"/>
      <w:sz w:val="24"/>
    </w:rPr>
  </w:style>
  <w:style w:type="paragraph" w:styleId="14">
    <w:name w:val="heading 9"/>
    <w:basedOn w:val="1"/>
    <w:next w:val="1"/>
    <w:link w:val="74"/>
    <w:autoRedefine/>
    <w:qFormat/>
    <w:uiPriority w:val="0"/>
    <w:pPr>
      <w:keepNext/>
      <w:keepLines/>
      <w:spacing w:before="240" w:after="64" w:line="317" w:lineRule="auto"/>
      <w:outlineLvl w:val="8"/>
    </w:pPr>
    <w:rPr>
      <w:rFonts w:ascii="Arial" w:hAnsi="Arial" w:eastAsia="黑体"/>
      <w:kern w:val="0"/>
      <w:sz w:val="20"/>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65"/>
    <w:autoRedefine/>
    <w:qFormat/>
    <w:uiPriority w:val="0"/>
    <w:pPr>
      <w:ind w:firstLine="420" w:firstLineChars="200"/>
    </w:pPr>
  </w:style>
  <w:style w:type="paragraph" w:styleId="3">
    <w:name w:val="Body Text Indent"/>
    <w:basedOn w:val="1"/>
    <w:next w:val="4"/>
    <w:link w:val="63"/>
    <w:autoRedefine/>
    <w:unhideWhenUsed/>
    <w:qFormat/>
    <w:uiPriority w:val="99"/>
    <w:pPr>
      <w:spacing w:after="120"/>
      <w:ind w:left="420" w:leftChars="200"/>
    </w:pPr>
    <w:rPr>
      <w:kern w:val="0"/>
      <w:sz w:val="20"/>
    </w:rPr>
  </w:style>
  <w:style w:type="paragraph" w:styleId="4">
    <w:name w:val="Normal Indent"/>
    <w:basedOn w:val="1"/>
    <w:next w:val="3"/>
    <w:link w:val="64"/>
    <w:autoRedefine/>
    <w:qFormat/>
    <w:uiPriority w:val="0"/>
    <w:pPr>
      <w:ind w:firstLine="420"/>
    </w:pPr>
    <w:rPr>
      <w:rFonts w:ascii="Calibri" w:hAnsi="Calibri"/>
      <w:szCs w:val="22"/>
    </w:rPr>
  </w:style>
  <w:style w:type="paragraph" w:customStyle="1" w:styleId="5">
    <w:name w:val="xl53"/>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styleId="15">
    <w:name w:val="List 3"/>
    <w:basedOn w:val="1"/>
    <w:autoRedefine/>
    <w:qFormat/>
    <w:uiPriority w:val="0"/>
    <w:pPr>
      <w:ind w:left="1260" w:hanging="420"/>
    </w:pPr>
    <w:rPr>
      <w:szCs w:val="20"/>
    </w:rPr>
  </w:style>
  <w:style w:type="paragraph" w:styleId="16">
    <w:name w:val="toc 7"/>
    <w:basedOn w:val="1"/>
    <w:next w:val="1"/>
    <w:autoRedefine/>
    <w:qFormat/>
    <w:uiPriority w:val="0"/>
    <w:pPr>
      <w:ind w:left="2520" w:leftChars="1200"/>
    </w:pPr>
  </w:style>
  <w:style w:type="paragraph" w:styleId="17">
    <w:name w:val="Note Heading"/>
    <w:basedOn w:val="1"/>
    <w:next w:val="1"/>
    <w:link w:val="75"/>
    <w:autoRedefine/>
    <w:qFormat/>
    <w:uiPriority w:val="0"/>
    <w:pPr>
      <w:jc w:val="center"/>
    </w:pPr>
    <w:rPr>
      <w:kern w:val="0"/>
      <w:sz w:val="20"/>
    </w:rPr>
  </w:style>
  <w:style w:type="paragraph" w:styleId="18">
    <w:name w:val="List Bullet 4"/>
    <w:basedOn w:val="1"/>
    <w:autoRedefine/>
    <w:qFormat/>
    <w:uiPriority w:val="0"/>
    <w:pPr>
      <w:tabs>
        <w:tab w:val="left" w:pos="360"/>
      </w:tabs>
      <w:ind w:left="360" w:hanging="360"/>
    </w:pPr>
    <w:rPr>
      <w:szCs w:val="20"/>
    </w:rPr>
  </w:style>
  <w:style w:type="paragraph" w:styleId="19">
    <w:name w:val="List Number"/>
    <w:basedOn w:val="1"/>
    <w:autoRedefine/>
    <w:qFormat/>
    <w:uiPriority w:val="0"/>
    <w:pPr>
      <w:tabs>
        <w:tab w:val="left" w:pos="525"/>
      </w:tabs>
      <w:ind w:left="525" w:hanging="525"/>
    </w:pPr>
    <w:rPr>
      <w:szCs w:val="20"/>
    </w:rPr>
  </w:style>
  <w:style w:type="paragraph" w:styleId="20">
    <w:name w:val="caption"/>
    <w:basedOn w:val="1"/>
    <w:next w:val="1"/>
    <w:autoRedefine/>
    <w:qFormat/>
    <w:uiPriority w:val="0"/>
    <w:pPr>
      <w:adjustRightInd w:val="0"/>
      <w:spacing w:before="152" w:after="160" w:line="360" w:lineRule="atLeast"/>
      <w:jc w:val="left"/>
      <w:textAlignment w:val="baseline"/>
    </w:pPr>
    <w:rPr>
      <w:rFonts w:ascii="Arial" w:hAnsi="Arial" w:eastAsia="黑体"/>
      <w:kern w:val="0"/>
      <w:sz w:val="24"/>
      <w:szCs w:val="20"/>
    </w:rPr>
  </w:style>
  <w:style w:type="paragraph" w:styleId="21">
    <w:name w:val="List Bullet"/>
    <w:basedOn w:val="1"/>
    <w:autoRedefine/>
    <w:qFormat/>
    <w:uiPriority w:val="0"/>
    <w:pPr>
      <w:tabs>
        <w:tab w:val="left" w:pos="360"/>
      </w:tabs>
      <w:ind w:left="360" w:hanging="360"/>
    </w:pPr>
    <w:rPr>
      <w:szCs w:val="20"/>
    </w:rPr>
  </w:style>
  <w:style w:type="paragraph" w:styleId="22">
    <w:name w:val="Document Map"/>
    <w:basedOn w:val="1"/>
    <w:link w:val="76"/>
    <w:autoRedefine/>
    <w:qFormat/>
    <w:uiPriority w:val="0"/>
    <w:pPr>
      <w:shd w:val="clear" w:color="auto" w:fill="000080"/>
    </w:pPr>
    <w:rPr>
      <w:kern w:val="0"/>
      <w:sz w:val="20"/>
    </w:rPr>
  </w:style>
  <w:style w:type="paragraph" w:styleId="23">
    <w:name w:val="annotation text"/>
    <w:basedOn w:val="1"/>
    <w:link w:val="77"/>
    <w:autoRedefine/>
    <w:unhideWhenUsed/>
    <w:qFormat/>
    <w:uiPriority w:val="0"/>
    <w:pPr>
      <w:jc w:val="left"/>
    </w:pPr>
    <w:rPr>
      <w:kern w:val="0"/>
      <w:sz w:val="20"/>
    </w:rPr>
  </w:style>
  <w:style w:type="paragraph" w:styleId="24">
    <w:name w:val="Body Text 3"/>
    <w:basedOn w:val="1"/>
    <w:link w:val="78"/>
    <w:autoRedefine/>
    <w:qFormat/>
    <w:uiPriority w:val="0"/>
    <w:pPr>
      <w:spacing w:after="120"/>
    </w:pPr>
    <w:rPr>
      <w:kern w:val="0"/>
      <w:sz w:val="16"/>
      <w:szCs w:val="16"/>
    </w:rPr>
  </w:style>
  <w:style w:type="paragraph" w:styleId="25">
    <w:name w:val="Body Text"/>
    <w:basedOn w:val="1"/>
    <w:next w:val="26"/>
    <w:link w:val="79"/>
    <w:autoRedefine/>
    <w:unhideWhenUsed/>
    <w:qFormat/>
    <w:uiPriority w:val="0"/>
    <w:pPr>
      <w:spacing w:after="120"/>
    </w:pPr>
    <w:rPr>
      <w:kern w:val="0"/>
      <w:sz w:val="20"/>
    </w:rPr>
  </w:style>
  <w:style w:type="paragraph" w:styleId="26">
    <w:name w:val="Body Text First Indent"/>
    <w:basedOn w:val="25"/>
    <w:next w:val="1"/>
    <w:link w:val="94"/>
    <w:autoRedefine/>
    <w:qFormat/>
    <w:uiPriority w:val="0"/>
    <w:pPr>
      <w:ind w:firstLine="420" w:firstLineChars="100"/>
    </w:pPr>
  </w:style>
  <w:style w:type="paragraph" w:styleId="27">
    <w:name w:val="Block Text"/>
    <w:basedOn w:val="1"/>
    <w:autoRedefine/>
    <w:qFormat/>
    <w:uiPriority w:val="0"/>
    <w:pPr>
      <w:spacing w:line="320" w:lineRule="exact"/>
      <w:ind w:left="1159" w:leftChars="320" w:right="153" w:hanging="487" w:hangingChars="203"/>
    </w:pPr>
    <w:rPr>
      <w:snapToGrid w:val="0"/>
      <w:kern w:val="0"/>
      <w:sz w:val="24"/>
      <w:szCs w:val="20"/>
    </w:rPr>
  </w:style>
  <w:style w:type="paragraph" w:styleId="28">
    <w:name w:val="List Bullet 2"/>
    <w:basedOn w:val="1"/>
    <w:autoRedefine/>
    <w:qFormat/>
    <w:uiPriority w:val="0"/>
    <w:pPr>
      <w:tabs>
        <w:tab w:val="left" w:pos="985"/>
      </w:tabs>
      <w:ind w:left="985" w:hanging="525"/>
    </w:pPr>
    <w:rPr>
      <w:szCs w:val="20"/>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ind w:left="840" w:leftChars="400"/>
    </w:pPr>
  </w:style>
  <w:style w:type="paragraph" w:styleId="31">
    <w:name w:val="Plain Text"/>
    <w:basedOn w:val="1"/>
    <w:link w:val="80"/>
    <w:autoRedefine/>
    <w:qFormat/>
    <w:uiPriority w:val="0"/>
    <w:rPr>
      <w:rFonts w:ascii="宋体" w:hAnsi="Courier New"/>
      <w:kern w:val="0"/>
      <w:sz w:val="20"/>
      <w:szCs w:val="20"/>
    </w:rPr>
  </w:style>
  <w:style w:type="paragraph" w:styleId="32">
    <w:name w:val="toc 8"/>
    <w:basedOn w:val="1"/>
    <w:next w:val="1"/>
    <w:autoRedefine/>
    <w:qFormat/>
    <w:uiPriority w:val="0"/>
    <w:pPr>
      <w:ind w:left="2940" w:leftChars="1400"/>
    </w:pPr>
  </w:style>
  <w:style w:type="paragraph" w:styleId="33">
    <w:name w:val="Date"/>
    <w:basedOn w:val="1"/>
    <w:next w:val="1"/>
    <w:link w:val="81"/>
    <w:autoRedefine/>
    <w:qFormat/>
    <w:uiPriority w:val="0"/>
    <w:rPr>
      <w:rFonts w:ascii="宋体" w:hAnsi="Courier New"/>
      <w:kern w:val="0"/>
      <w:sz w:val="32"/>
      <w:szCs w:val="20"/>
    </w:rPr>
  </w:style>
  <w:style w:type="paragraph" w:styleId="34">
    <w:name w:val="Body Text Indent 2"/>
    <w:basedOn w:val="1"/>
    <w:link w:val="82"/>
    <w:autoRedefine/>
    <w:qFormat/>
    <w:uiPriority w:val="0"/>
    <w:pPr>
      <w:adjustRightInd w:val="0"/>
      <w:snapToGrid w:val="0"/>
      <w:spacing w:line="300" w:lineRule="auto"/>
      <w:ind w:firstLine="630" w:firstLineChars="300"/>
    </w:pPr>
    <w:rPr>
      <w:snapToGrid w:val="0"/>
      <w:kern w:val="0"/>
      <w:sz w:val="20"/>
    </w:rPr>
  </w:style>
  <w:style w:type="paragraph" w:styleId="35">
    <w:name w:val="endnote text"/>
    <w:basedOn w:val="1"/>
    <w:link w:val="83"/>
    <w:autoRedefine/>
    <w:qFormat/>
    <w:uiPriority w:val="0"/>
    <w:pPr>
      <w:adjustRightInd w:val="0"/>
      <w:snapToGrid w:val="0"/>
      <w:spacing w:line="360" w:lineRule="atLeast"/>
      <w:jc w:val="left"/>
      <w:textAlignment w:val="baseline"/>
    </w:pPr>
    <w:rPr>
      <w:kern w:val="0"/>
      <w:sz w:val="24"/>
      <w:szCs w:val="20"/>
    </w:rPr>
  </w:style>
  <w:style w:type="paragraph" w:styleId="36">
    <w:name w:val="Balloon Text"/>
    <w:basedOn w:val="1"/>
    <w:link w:val="84"/>
    <w:autoRedefine/>
    <w:qFormat/>
    <w:uiPriority w:val="0"/>
    <w:rPr>
      <w:kern w:val="0"/>
      <w:sz w:val="18"/>
      <w:szCs w:val="18"/>
    </w:rPr>
  </w:style>
  <w:style w:type="paragraph" w:styleId="37">
    <w:name w:val="footer"/>
    <w:basedOn w:val="1"/>
    <w:link w:val="85"/>
    <w:autoRedefine/>
    <w:qFormat/>
    <w:uiPriority w:val="0"/>
    <w:pPr>
      <w:tabs>
        <w:tab w:val="center" w:pos="4153"/>
        <w:tab w:val="right" w:pos="8306"/>
      </w:tabs>
      <w:snapToGrid w:val="0"/>
      <w:jc w:val="left"/>
    </w:pPr>
    <w:rPr>
      <w:kern w:val="0"/>
      <w:sz w:val="18"/>
      <w:szCs w:val="18"/>
    </w:rPr>
  </w:style>
  <w:style w:type="paragraph" w:styleId="38">
    <w:name w:val="header"/>
    <w:basedOn w:val="1"/>
    <w:link w:val="86"/>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39">
    <w:name w:val="toc 1"/>
    <w:basedOn w:val="1"/>
    <w:next w:val="1"/>
    <w:autoRedefine/>
    <w:qFormat/>
    <w:uiPriority w:val="39"/>
    <w:pPr>
      <w:tabs>
        <w:tab w:val="right" w:leader="dot" w:pos="8296"/>
      </w:tabs>
      <w:spacing w:before="156" w:beforeLines="50" w:after="156" w:afterLines="50"/>
      <w:ind w:firstLine="405" w:firstLineChars="168"/>
    </w:pPr>
    <w:rPr>
      <w:rFonts w:ascii="宋体" w:hAnsi="宋体"/>
      <w:b/>
      <w:kern w:val="0"/>
      <w:sz w:val="24"/>
    </w:rPr>
  </w:style>
  <w:style w:type="paragraph" w:styleId="40">
    <w:name w:val="toc 4"/>
    <w:basedOn w:val="1"/>
    <w:next w:val="1"/>
    <w:autoRedefine/>
    <w:qFormat/>
    <w:uiPriority w:val="0"/>
    <w:pPr>
      <w:jc w:val="center"/>
    </w:pPr>
    <w:rPr>
      <w:rFonts w:eastAsia="黑体"/>
      <w:sz w:val="36"/>
    </w:rPr>
  </w:style>
  <w:style w:type="paragraph" w:styleId="41">
    <w:name w:val="Subtitle"/>
    <w:basedOn w:val="1"/>
    <w:link w:val="87"/>
    <w:autoRedefine/>
    <w:qFormat/>
    <w:uiPriority w:val="0"/>
    <w:pPr>
      <w:adjustRightInd w:val="0"/>
      <w:spacing w:before="120" w:after="120" w:line="240" w:lineRule="atLeast"/>
      <w:jc w:val="center"/>
      <w:textAlignment w:val="baseline"/>
    </w:pPr>
    <w:rPr>
      <w:b/>
      <w:kern w:val="0"/>
      <w:sz w:val="32"/>
      <w:szCs w:val="20"/>
    </w:rPr>
  </w:style>
  <w:style w:type="paragraph" w:styleId="42">
    <w:name w:val="List"/>
    <w:basedOn w:val="1"/>
    <w:autoRedefine/>
    <w:qFormat/>
    <w:uiPriority w:val="0"/>
    <w:pPr>
      <w:autoSpaceDE w:val="0"/>
      <w:autoSpaceDN w:val="0"/>
      <w:adjustRightInd w:val="0"/>
      <w:ind w:left="360" w:hanging="360"/>
      <w:jc w:val="left"/>
    </w:pPr>
    <w:rPr>
      <w:kern w:val="0"/>
      <w:sz w:val="20"/>
      <w:szCs w:val="20"/>
    </w:rPr>
  </w:style>
  <w:style w:type="paragraph" w:styleId="43">
    <w:name w:val="toc 6"/>
    <w:basedOn w:val="1"/>
    <w:next w:val="1"/>
    <w:autoRedefine/>
    <w:qFormat/>
    <w:uiPriority w:val="0"/>
    <w:pPr>
      <w:ind w:left="2100" w:leftChars="1000"/>
    </w:pPr>
  </w:style>
  <w:style w:type="paragraph" w:styleId="44">
    <w:name w:val="Body Text Indent 3"/>
    <w:basedOn w:val="1"/>
    <w:link w:val="88"/>
    <w:autoRedefine/>
    <w:qFormat/>
    <w:uiPriority w:val="0"/>
    <w:pPr>
      <w:ind w:firstLine="420"/>
    </w:pPr>
    <w:rPr>
      <w:kern w:val="0"/>
      <w:sz w:val="32"/>
      <w:szCs w:val="20"/>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89"/>
    <w:autoRedefine/>
    <w:qFormat/>
    <w:uiPriority w:val="0"/>
    <w:rPr>
      <w:rFonts w:ascii="仿宋_GB2312" w:eastAsia="仿宋_GB2312"/>
      <w:kern w:val="0"/>
      <w:sz w:val="30"/>
    </w:rPr>
  </w:style>
  <w:style w:type="paragraph" w:styleId="48">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9">
    <w:name w:val="Normal (Web)"/>
    <w:basedOn w:val="1"/>
    <w:link w:val="91"/>
    <w:autoRedefine/>
    <w:qFormat/>
    <w:uiPriority w:val="0"/>
    <w:pPr>
      <w:widowControl/>
      <w:spacing w:before="100" w:beforeAutospacing="1" w:after="100" w:afterAutospacing="1"/>
      <w:jc w:val="left"/>
    </w:pPr>
    <w:rPr>
      <w:rFonts w:ascii="宋体" w:hAnsi="宋体"/>
      <w:kern w:val="0"/>
      <w:sz w:val="24"/>
    </w:rPr>
  </w:style>
  <w:style w:type="paragraph" w:styleId="50">
    <w:name w:val="index 1"/>
    <w:basedOn w:val="1"/>
    <w:next w:val="1"/>
    <w:autoRedefine/>
    <w:qFormat/>
    <w:uiPriority w:val="0"/>
    <w:pPr>
      <w:jc w:val="center"/>
    </w:pPr>
    <w:rPr>
      <w:rFonts w:ascii="仿宋_GB2312" w:hAnsi="宋体" w:eastAsia="仿宋_GB2312"/>
      <w:sz w:val="30"/>
    </w:rPr>
  </w:style>
  <w:style w:type="paragraph" w:styleId="51">
    <w:name w:val="Title"/>
    <w:basedOn w:val="1"/>
    <w:link w:val="92"/>
    <w:autoRedefine/>
    <w:qFormat/>
    <w:uiPriority w:val="0"/>
    <w:pPr>
      <w:widowControl/>
      <w:overflowPunct w:val="0"/>
      <w:autoSpaceDE w:val="0"/>
      <w:autoSpaceDN w:val="0"/>
      <w:adjustRightInd w:val="0"/>
      <w:jc w:val="center"/>
    </w:pPr>
    <w:rPr>
      <w:b/>
      <w:kern w:val="0"/>
      <w:sz w:val="24"/>
      <w:szCs w:val="20"/>
      <w:lang w:val="en-GB"/>
    </w:rPr>
  </w:style>
  <w:style w:type="paragraph" w:styleId="52">
    <w:name w:val="annotation subject"/>
    <w:basedOn w:val="23"/>
    <w:next w:val="23"/>
    <w:link w:val="93"/>
    <w:autoRedefine/>
    <w:qFormat/>
    <w:uiPriority w:val="0"/>
    <w:rPr>
      <w:b/>
      <w:bCs/>
    </w:rPr>
  </w:style>
  <w:style w:type="table" w:styleId="54">
    <w:name w:val="Table Grid"/>
    <w:basedOn w:val="5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TML Typewriter"/>
    <w:autoRedefine/>
    <w:qFormat/>
    <w:uiPriority w:val="0"/>
    <w:rPr>
      <w:rFonts w:ascii="宋体" w:hAnsi="宋体" w:eastAsia="宋体" w:cs="宋体"/>
      <w:sz w:val="18"/>
      <w:szCs w:val="18"/>
    </w:rPr>
  </w:style>
  <w:style w:type="character" w:styleId="61">
    <w:name w:val="Hyperlink"/>
    <w:autoRedefine/>
    <w:qFormat/>
    <w:uiPriority w:val="99"/>
    <w:rPr>
      <w:color w:val="0000FF"/>
      <w:u w:val="single"/>
    </w:rPr>
  </w:style>
  <w:style w:type="character" w:styleId="62">
    <w:name w:val="annotation reference"/>
    <w:autoRedefine/>
    <w:qFormat/>
    <w:uiPriority w:val="99"/>
    <w:rPr>
      <w:sz w:val="21"/>
      <w:szCs w:val="21"/>
    </w:rPr>
  </w:style>
  <w:style w:type="character" w:customStyle="1" w:styleId="63">
    <w:name w:val="正文文本缩进 字符"/>
    <w:link w:val="3"/>
    <w:autoRedefine/>
    <w:qFormat/>
    <w:uiPriority w:val="99"/>
    <w:rPr>
      <w:rFonts w:ascii="Times New Roman" w:hAnsi="Times New Roman" w:eastAsia="宋体" w:cs="Times New Roman"/>
      <w:szCs w:val="24"/>
    </w:rPr>
  </w:style>
  <w:style w:type="character" w:customStyle="1" w:styleId="64">
    <w:name w:val="正文缩进 字符"/>
    <w:link w:val="4"/>
    <w:autoRedefine/>
    <w:qFormat/>
    <w:uiPriority w:val="0"/>
  </w:style>
  <w:style w:type="character" w:customStyle="1" w:styleId="65">
    <w:name w:val="正文文本首行缩进 2 字符"/>
    <w:link w:val="2"/>
    <w:autoRedefine/>
    <w:qFormat/>
    <w:uiPriority w:val="0"/>
    <w:rPr>
      <w:szCs w:val="24"/>
    </w:rPr>
  </w:style>
  <w:style w:type="character" w:customStyle="1" w:styleId="66">
    <w:name w:val="标题 1 字符"/>
    <w:link w:val="6"/>
    <w:autoRedefine/>
    <w:qFormat/>
    <w:uiPriority w:val="9"/>
    <w:rPr>
      <w:rFonts w:ascii="Times New Roman" w:hAnsi="Times New Roman" w:eastAsia="宋体" w:cs="Times New Roman"/>
      <w:b/>
      <w:bCs/>
      <w:kern w:val="44"/>
      <w:sz w:val="28"/>
      <w:szCs w:val="44"/>
    </w:rPr>
  </w:style>
  <w:style w:type="character" w:customStyle="1" w:styleId="67">
    <w:name w:val="标题 2 字符"/>
    <w:link w:val="7"/>
    <w:autoRedefine/>
    <w:qFormat/>
    <w:uiPriority w:val="9"/>
    <w:rPr>
      <w:rFonts w:ascii="Arial" w:hAnsi="Arial" w:eastAsia="黑体" w:cs="Times New Roman"/>
      <w:bCs/>
      <w:sz w:val="28"/>
      <w:szCs w:val="32"/>
    </w:rPr>
  </w:style>
  <w:style w:type="character" w:customStyle="1" w:styleId="68">
    <w:name w:val="标题 3 字符"/>
    <w:link w:val="8"/>
    <w:autoRedefine/>
    <w:qFormat/>
    <w:uiPriority w:val="0"/>
    <w:rPr>
      <w:rFonts w:ascii="Times New Roman" w:hAnsi="Times New Roman" w:eastAsia="宋体" w:cs="Times New Roman"/>
      <w:bCs/>
      <w:sz w:val="24"/>
      <w:szCs w:val="32"/>
    </w:rPr>
  </w:style>
  <w:style w:type="character" w:customStyle="1" w:styleId="69">
    <w:name w:val="标题 4 字符"/>
    <w:link w:val="9"/>
    <w:autoRedefine/>
    <w:qFormat/>
    <w:uiPriority w:val="0"/>
    <w:rPr>
      <w:rFonts w:ascii="华文中宋" w:hAnsi="华文中宋" w:eastAsia="华文中宋" w:cs="Times New Roman"/>
      <w:b/>
      <w:bCs/>
      <w:sz w:val="28"/>
      <w:szCs w:val="20"/>
    </w:rPr>
  </w:style>
  <w:style w:type="character" w:customStyle="1" w:styleId="70">
    <w:name w:val="标题 5 字符"/>
    <w:link w:val="10"/>
    <w:autoRedefine/>
    <w:qFormat/>
    <w:uiPriority w:val="0"/>
    <w:rPr>
      <w:rFonts w:ascii="黑体" w:hAnsi="Times New Roman" w:eastAsia="黑体" w:cs="Times New Roman"/>
      <w:b/>
      <w:color w:val="000000"/>
      <w:kern w:val="0"/>
      <w:sz w:val="28"/>
      <w:szCs w:val="20"/>
    </w:rPr>
  </w:style>
  <w:style w:type="character" w:customStyle="1" w:styleId="71">
    <w:name w:val="标题 6 字符"/>
    <w:link w:val="11"/>
    <w:autoRedefine/>
    <w:qFormat/>
    <w:uiPriority w:val="0"/>
    <w:rPr>
      <w:rFonts w:ascii="Arial" w:hAnsi="Arial" w:eastAsia="黑体" w:cs="Times New Roman"/>
      <w:b/>
      <w:bCs/>
      <w:sz w:val="24"/>
      <w:szCs w:val="24"/>
    </w:rPr>
  </w:style>
  <w:style w:type="character" w:customStyle="1" w:styleId="72">
    <w:name w:val="标题 7 字符"/>
    <w:link w:val="12"/>
    <w:autoRedefine/>
    <w:qFormat/>
    <w:uiPriority w:val="0"/>
    <w:rPr>
      <w:rFonts w:ascii="Times New Roman" w:hAnsi="Times New Roman" w:eastAsia="宋体" w:cs="Times New Roman"/>
      <w:b/>
      <w:bCs/>
      <w:sz w:val="24"/>
      <w:szCs w:val="24"/>
    </w:rPr>
  </w:style>
  <w:style w:type="character" w:customStyle="1" w:styleId="73">
    <w:name w:val="标题 8 字符"/>
    <w:link w:val="13"/>
    <w:autoRedefine/>
    <w:qFormat/>
    <w:uiPriority w:val="0"/>
    <w:rPr>
      <w:rFonts w:ascii="Arial" w:hAnsi="Arial" w:eastAsia="黑体" w:cs="Times New Roman"/>
      <w:sz w:val="24"/>
      <w:szCs w:val="24"/>
    </w:rPr>
  </w:style>
  <w:style w:type="character" w:customStyle="1" w:styleId="74">
    <w:name w:val="标题 9 字符"/>
    <w:link w:val="14"/>
    <w:autoRedefine/>
    <w:qFormat/>
    <w:uiPriority w:val="0"/>
    <w:rPr>
      <w:rFonts w:ascii="Arial" w:hAnsi="Arial" w:eastAsia="黑体" w:cs="Times New Roman"/>
      <w:szCs w:val="21"/>
    </w:rPr>
  </w:style>
  <w:style w:type="character" w:customStyle="1" w:styleId="75">
    <w:name w:val="注释标题 字符"/>
    <w:link w:val="17"/>
    <w:autoRedefine/>
    <w:qFormat/>
    <w:uiPriority w:val="0"/>
  </w:style>
  <w:style w:type="character" w:customStyle="1" w:styleId="76">
    <w:name w:val="文档结构图 字符"/>
    <w:link w:val="22"/>
    <w:autoRedefine/>
    <w:qFormat/>
    <w:uiPriority w:val="0"/>
    <w:rPr>
      <w:szCs w:val="24"/>
      <w:shd w:val="clear" w:color="auto" w:fill="000080"/>
    </w:rPr>
  </w:style>
  <w:style w:type="character" w:customStyle="1" w:styleId="77">
    <w:name w:val="批注文字 字符"/>
    <w:link w:val="23"/>
    <w:autoRedefine/>
    <w:qFormat/>
    <w:uiPriority w:val="0"/>
    <w:rPr>
      <w:rFonts w:ascii="Times New Roman" w:hAnsi="Times New Roman" w:eastAsia="宋体" w:cs="Times New Roman"/>
      <w:szCs w:val="24"/>
    </w:rPr>
  </w:style>
  <w:style w:type="character" w:customStyle="1" w:styleId="78">
    <w:name w:val="正文文本 3 字符"/>
    <w:link w:val="24"/>
    <w:autoRedefine/>
    <w:qFormat/>
    <w:uiPriority w:val="0"/>
    <w:rPr>
      <w:sz w:val="16"/>
      <w:szCs w:val="16"/>
    </w:rPr>
  </w:style>
  <w:style w:type="character" w:customStyle="1" w:styleId="79">
    <w:name w:val="正文文本 字符"/>
    <w:link w:val="25"/>
    <w:autoRedefine/>
    <w:qFormat/>
    <w:uiPriority w:val="0"/>
    <w:rPr>
      <w:rFonts w:ascii="Times New Roman" w:hAnsi="Times New Roman" w:eastAsia="宋体" w:cs="Times New Roman"/>
      <w:szCs w:val="24"/>
    </w:rPr>
  </w:style>
  <w:style w:type="character" w:customStyle="1" w:styleId="80">
    <w:name w:val="纯文本 字符"/>
    <w:link w:val="31"/>
    <w:autoRedefine/>
    <w:qFormat/>
    <w:uiPriority w:val="0"/>
    <w:rPr>
      <w:rFonts w:ascii="宋体" w:hAnsi="Courier New"/>
    </w:rPr>
  </w:style>
  <w:style w:type="character" w:customStyle="1" w:styleId="81">
    <w:name w:val="日期 字符"/>
    <w:link w:val="33"/>
    <w:autoRedefine/>
    <w:qFormat/>
    <w:uiPriority w:val="0"/>
    <w:rPr>
      <w:rFonts w:ascii="宋体" w:hAnsi="Courier New"/>
      <w:sz w:val="32"/>
    </w:rPr>
  </w:style>
  <w:style w:type="character" w:customStyle="1" w:styleId="82">
    <w:name w:val="正文文本缩进 2 字符"/>
    <w:link w:val="34"/>
    <w:autoRedefine/>
    <w:qFormat/>
    <w:uiPriority w:val="0"/>
    <w:rPr>
      <w:snapToGrid w:val="0"/>
      <w:szCs w:val="24"/>
    </w:rPr>
  </w:style>
  <w:style w:type="character" w:customStyle="1" w:styleId="83">
    <w:name w:val="尾注文本 字符"/>
    <w:link w:val="35"/>
    <w:autoRedefine/>
    <w:qFormat/>
    <w:uiPriority w:val="0"/>
    <w:rPr>
      <w:sz w:val="24"/>
    </w:rPr>
  </w:style>
  <w:style w:type="character" w:customStyle="1" w:styleId="84">
    <w:name w:val="批注框文本 字符"/>
    <w:link w:val="36"/>
    <w:autoRedefine/>
    <w:qFormat/>
    <w:uiPriority w:val="0"/>
    <w:rPr>
      <w:sz w:val="18"/>
      <w:szCs w:val="18"/>
    </w:rPr>
  </w:style>
  <w:style w:type="character" w:customStyle="1" w:styleId="85">
    <w:name w:val="页脚 字符"/>
    <w:link w:val="37"/>
    <w:autoRedefine/>
    <w:qFormat/>
    <w:uiPriority w:val="0"/>
    <w:rPr>
      <w:sz w:val="18"/>
      <w:szCs w:val="18"/>
    </w:rPr>
  </w:style>
  <w:style w:type="character" w:customStyle="1" w:styleId="86">
    <w:name w:val="页眉 字符"/>
    <w:link w:val="38"/>
    <w:autoRedefine/>
    <w:qFormat/>
    <w:uiPriority w:val="0"/>
    <w:rPr>
      <w:sz w:val="18"/>
      <w:szCs w:val="18"/>
    </w:rPr>
  </w:style>
  <w:style w:type="character" w:customStyle="1" w:styleId="87">
    <w:name w:val="副标题 字符"/>
    <w:link w:val="41"/>
    <w:autoRedefine/>
    <w:qFormat/>
    <w:uiPriority w:val="0"/>
    <w:rPr>
      <w:b/>
      <w:sz w:val="32"/>
    </w:rPr>
  </w:style>
  <w:style w:type="character" w:customStyle="1" w:styleId="88">
    <w:name w:val="正文文本缩进 3 字符"/>
    <w:link w:val="44"/>
    <w:autoRedefine/>
    <w:qFormat/>
    <w:uiPriority w:val="0"/>
    <w:rPr>
      <w:sz w:val="32"/>
    </w:rPr>
  </w:style>
  <w:style w:type="character" w:customStyle="1" w:styleId="89">
    <w:name w:val="正文文本 2 字符"/>
    <w:link w:val="47"/>
    <w:autoRedefine/>
    <w:qFormat/>
    <w:uiPriority w:val="0"/>
    <w:rPr>
      <w:rFonts w:ascii="仿宋_GB2312" w:eastAsia="仿宋_GB2312"/>
      <w:sz w:val="30"/>
      <w:szCs w:val="24"/>
    </w:rPr>
  </w:style>
  <w:style w:type="character" w:customStyle="1" w:styleId="90">
    <w:name w:val="HTML 预设格式 字符"/>
    <w:link w:val="48"/>
    <w:autoRedefine/>
    <w:qFormat/>
    <w:uiPriority w:val="0"/>
    <w:rPr>
      <w:rFonts w:ascii="Arial Unicode MS" w:hAnsi="Arial Unicode MS" w:eastAsia="Arial Unicode MS" w:cs="Arial Unicode MS"/>
      <w:color w:val="000000"/>
    </w:rPr>
  </w:style>
  <w:style w:type="character" w:customStyle="1" w:styleId="91">
    <w:name w:val="普通(网站) 字符"/>
    <w:link w:val="49"/>
    <w:autoRedefine/>
    <w:qFormat/>
    <w:uiPriority w:val="0"/>
    <w:rPr>
      <w:rFonts w:ascii="宋体" w:hAnsi="宋体" w:cs="宋体"/>
      <w:sz w:val="24"/>
      <w:szCs w:val="24"/>
    </w:rPr>
  </w:style>
  <w:style w:type="character" w:customStyle="1" w:styleId="92">
    <w:name w:val="标题 字符"/>
    <w:link w:val="51"/>
    <w:autoRedefine/>
    <w:qFormat/>
    <w:uiPriority w:val="0"/>
    <w:rPr>
      <w:b/>
      <w:sz w:val="24"/>
      <w:lang w:val="en-GB"/>
    </w:rPr>
  </w:style>
  <w:style w:type="character" w:customStyle="1" w:styleId="93">
    <w:name w:val="批注主题 字符"/>
    <w:link w:val="52"/>
    <w:autoRedefine/>
    <w:qFormat/>
    <w:uiPriority w:val="0"/>
    <w:rPr>
      <w:b/>
      <w:bCs/>
      <w:szCs w:val="24"/>
    </w:rPr>
  </w:style>
  <w:style w:type="character" w:customStyle="1" w:styleId="94">
    <w:name w:val="正文文本首行缩进 字符"/>
    <w:link w:val="26"/>
    <w:autoRedefine/>
    <w:qFormat/>
    <w:uiPriority w:val="0"/>
    <w:rPr>
      <w:szCs w:val="24"/>
    </w:rPr>
  </w:style>
  <w:style w:type="paragraph" w:customStyle="1" w:styleId="9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6">
    <w:name w:val="表格文字"/>
    <w:basedOn w:val="1"/>
    <w:next w:val="25"/>
    <w:autoRedefine/>
    <w:qFormat/>
    <w:uiPriority w:val="0"/>
    <w:pPr>
      <w:adjustRightInd w:val="0"/>
      <w:snapToGrid w:val="0"/>
      <w:spacing w:line="240" w:lineRule="exact"/>
    </w:pPr>
    <w:rPr>
      <w:szCs w:val="20"/>
    </w:rPr>
  </w:style>
  <w:style w:type="character" w:customStyle="1" w:styleId="97">
    <w:name w:val="日期 Char1"/>
    <w:autoRedefine/>
    <w:semiHidden/>
    <w:qFormat/>
    <w:uiPriority w:val="99"/>
    <w:rPr>
      <w:rFonts w:ascii="Times New Roman" w:hAnsi="Times New Roman" w:eastAsia="宋体" w:cs="Times New Roman"/>
      <w:szCs w:val="24"/>
    </w:rPr>
  </w:style>
  <w:style w:type="character" w:customStyle="1" w:styleId="98">
    <w:name w:val="Char Char18"/>
    <w:autoRedefine/>
    <w:qFormat/>
    <w:uiPriority w:val="0"/>
    <w:rPr>
      <w:rFonts w:ascii="宋体" w:eastAsia="宋体"/>
      <w:kern w:val="2"/>
      <w:sz w:val="24"/>
      <w:lang w:val="en-US" w:eastAsia="zh-CN" w:bidi="ar-SA"/>
    </w:rPr>
  </w:style>
  <w:style w:type="character" w:customStyle="1" w:styleId="99">
    <w:name w:val="Char Char10"/>
    <w:autoRedefine/>
    <w:qFormat/>
    <w:uiPriority w:val="0"/>
    <w:rPr>
      <w:rFonts w:ascii="宋体" w:hAnsi="Courier New" w:eastAsia="宋体"/>
      <w:kern w:val="2"/>
      <w:sz w:val="28"/>
      <w:lang w:val="en-US" w:eastAsia="zh-CN" w:bidi="ar-SA"/>
    </w:rPr>
  </w:style>
  <w:style w:type="character" w:customStyle="1" w:styleId="100">
    <w:name w:val="Char Char2"/>
    <w:autoRedefine/>
    <w:qFormat/>
    <w:uiPriority w:val="0"/>
    <w:rPr>
      <w:rFonts w:ascii="宋体" w:hAnsi="宋体" w:eastAsia="宋体"/>
      <w:snapToGrid w:val="0"/>
      <w:sz w:val="24"/>
      <w:lang w:val="en-US" w:eastAsia="zh-CN" w:bidi="ar-SA"/>
    </w:rPr>
  </w:style>
  <w:style w:type="character" w:customStyle="1" w:styleId="101">
    <w:name w:val="表头 Char"/>
    <w:link w:val="102"/>
    <w:autoRedefine/>
    <w:qFormat/>
    <w:uiPriority w:val="0"/>
    <w:rPr>
      <w:rFonts w:ascii="黑体" w:hAnsi="宋体" w:eastAsia="黑体"/>
      <w:b/>
      <w:sz w:val="24"/>
    </w:rPr>
  </w:style>
  <w:style w:type="paragraph" w:customStyle="1" w:styleId="102">
    <w:name w:val="表头"/>
    <w:basedOn w:val="1"/>
    <w:link w:val="101"/>
    <w:autoRedefine/>
    <w:qFormat/>
    <w:uiPriority w:val="0"/>
    <w:pPr>
      <w:spacing w:line="360" w:lineRule="auto"/>
      <w:jc w:val="center"/>
    </w:pPr>
    <w:rPr>
      <w:rFonts w:ascii="黑体" w:hAnsi="宋体" w:eastAsia="黑体"/>
      <w:b/>
      <w:kern w:val="0"/>
      <w:sz w:val="24"/>
      <w:szCs w:val="20"/>
    </w:rPr>
  </w:style>
  <w:style w:type="character" w:customStyle="1" w:styleId="103">
    <w:name w:val="标题 Char1"/>
    <w:autoRedefine/>
    <w:qFormat/>
    <w:uiPriority w:val="10"/>
    <w:rPr>
      <w:rFonts w:ascii="Cambria" w:hAnsi="Cambria" w:eastAsia="宋体" w:cs="Times New Roman"/>
      <w:b/>
      <w:bCs/>
      <w:sz w:val="32"/>
      <w:szCs w:val="32"/>
    </w:rPr>
  </w:style>
  <w:style w:type="character" w:customStyle="1" w:styleId="104">
    <w:name w:val="样式 样式 黑体 二号 + 小三 加粗"/>
    <w:autoRedefine/>
    <w:qFormat/>
    <w:uiPriority w:val="0"/>
    <w:rPr>
      <w:rFonts w:ascii="Arial" w:hAnsi="Arial" w:eastAsia="黑体"/>
      <w:bCs/>
      <w:sz w:val="30"/>
    </w:rPr>
  </w:style>
  <w:style w:type="character" w:customStyle="1" w:styleId="105">
    <w:name w:val="正文文本缩进 2 Char1"/>
    <w:autoRedefine/>
    <w:semiHidden/>
    <w:qFormat/>
    <w:uiPriority w:val="99"/>
    <w:rPr>
      <w:rFonts w:ascii="Times New Roman" w:hAnsi="Times New Roman" w:eastAsia="宋体" w:cs="Times New Roman"/>
      <w:szCs w:val="24"/>
    </w:rPr>
  </w:style>
  <w:style w:type="character" w:customStyle="1" w:styleId="106">
    <w:name w:val="Char Char7"/>
    <w:autoRedefine/>
    <w:qFormat/>
    <w:uiPriority w:val="0"/>
    <w:rPr>
      <w:rFonts w:eastAsia="宋体"/>
      <w:kern w:val="2"/>
      <w:sz w:val="18"/>
      <w:szCs w:val="18"/>
      <w:lang w:val="en-US" w:eastAsia="zh-CN" w:bidi="ar-SA"/>
    </w:rPr>
  </w:style>
  <w:style w:type="character" w:customStyle="1" w:styleId="107">
    <w:name w:val="unnamed11"/>
    <w:autoRedefine/>
    <w:qFormat/>
    <w:uiPriority w:val="0"/>
    <w:rPr>
      <w:rFonts w:ascii="宋体" w:hAnsi="宋体"/>
      <w:b/>
      <w:szCs w:val="21"/>
    </w:rPr>
  </w:style>
  <w:style w:type="character" w:customStyle="1" w:styleId="108">
    <w:name w:val="不明显参考1"/>
    <w:autoRedefine/>
    <w:qFormat/>
    <w:uiPriority w:val="31"/>
    <w:rPr>
      <w:smallCaps/>
      <w:color w:val="C0504D"/>
      <w:u w:val="single"/>
    </w:rPr>
  </w:style>
  <w:style w:type="character" w:customStyle="1" w:styleId="109">
    <w:name w:val="样式 黑体 二号"/>
    <w:autoRedefine/>
    <w:qFormat/>
    <w:uiPriority w:val="0"/>
    <w:rPr>
      <w:rFonts w:ascii="Arial" w:hAnsi="Arial" w:eastAsia="黑体"/>
      <w:sz w:val="44"/>
    </w:rPr>
  </w:style>
  <w:style w:type="character" w:customStyle="1" w:styleId="110">
    <w:name w:val="12black1"/>
    <w:autoRedefine/>
    <w:qFormat/>
    <w:uiPriority w:val="0"/>
    <w:rPr>
      <w:color w:val="000000"/>
      <w:sz w:val="24"/>
      <w:szCs w:val="24"/>
      <w:u w:val="none"/>
    </w:rPr>
  </w:style>
  <w:style w:type="character" w:customStyle="1" w:styleId="111">
    <w:name w:val="HTML 预设格式 Char1"/>
    <w:autoRedefine/>
    <w:semiHidden/>
    <w:qFormat/>
    <w:uiPriority w:val="99"/>
    <w:rPr>
      <w:rFonts w:ascii="Courier New" w:hAnsi="Courier New" w:eastAsia="宋体" w:cs="Courier New"/>
      <w:sz w:val="20"/>
      <w:szCs w:val="20"/>
    </w:rPr>
  </w:style>
  <w:style w:type="character" w:customStyle="1" w:styleId="112">
    <w:name w:val="正文缩进 Char1"/>
    <w:autoRedefine/>
    <w:qFormat/>
    <w:uiPriority w:val="0"/>
    <w:rPr>
      <w:kern w:val="2"/>
      <w:sz w:val="21"/>
    </w:rPr>
  </w:style>
  <w:style w:type="character" w:customStyle="1" w:styleId="113">
    <w:name w:val="正文文本缩进 3 Char1"/>
    <w:autoRedefine/>
    <w:semiHidden/>
    <w:qFormat/>
    <w:uiPriority w:val="99"/>
    <w:rPr>
      <w:rFonts w:ascii="Times New Roman" w:hAnsi="Times New Roman" w:eastAsia="宋体" w:cs="Times New Roman"/>
      <w:sz w:val="16"/>
      <w:szCs w:val="16"/>
    </w:rPr>
  </w:style>
  <w:style w:type="character" w:customStyle="1" w:styleId="114">
    <w:name w:val="point_normal1"/>
    <w:autoRedefine/>
    <w:qFormat/>
    <w:uiPriority w:val="0"/>
    <w:rPr>
      <w:rFonts w:hint="default" w:ascii="Arial" w:hAnsi="Arial" w:cs="Arial"/>
      <w:sz w:val="18"/>
      <w:szCs w:val="18"/>
    </w:rPr>
  </w:style>
  <w:style w:type="character" w:customStyle="1" w:styleId="115">
    <w:name w:val="Char Char9"/>
    <w:autoRedefine/>
    <w:qFormat/>
    <w:uiPriority w:val="0"/>
    <w:rPr>
      <w:rFonts w:ascii="Arial" w:hAnsi="Arial" w:eastAsia="宋体"/>
      <w:sz w:val="24"/>
      <w:lang w:val="en-US" w:eastAsia="zh-CN" w:bidi="ar-SA"/>
    </w:rPr>
  </w:style>
  <w:style w:type="character" w:customStyle="1" w:styleId="116">
    <w:name w:val="Char Char3"/>
    <w:autoRedefine/>
    <w:qFormat/>
    <w:uiPriority w:val="0"/>
    <w:rPr>
      <w:rFonts w:eastAsia="宋体"/>
      <w:kern w:val="2"/>
      <w:sz w:val="18"/>
      <w:lang w:val="en-US" w:eastAsia="zh-CN" w:bidi="ar-SA"/>
    </w:rPr>
  </w:style>
  <w:style w:type="character" w:customStyle="1" w:styleId="117">
    <w:name w:val="正文一级标题 Char"/>
    <w:autoRedefine/>
    <w:qFormat/>
    <w:uiPriority w:val="0"/>
    <w:rPr>
      <w:rFonts w:eastAsia="宋体"/>
      <w:b/>
      <w:bCs/>
      <w:kern w:val="44"/>
      <w:sz w:val="44"/>
      <w:szCs w:val="44"/>
      <w:lang w:val="en-US" w:eastAsia="zh-CN" w:bidi="ar-SA"/>
    </w:rPr>
  </w:style>
  <w:style w:type="character" w:customStyle="1" w:styleId="118">
    <w:name w:val="DeltaView Insertion"/>
    <w:autoRedefine/>
    <w:qFormat/>
    <w:uiPriority w:val="99"/>
    <w:rPr>
      <w:color w:val="0000FF"/>
      <w:spacing w:val="0"/>
      <w:u w:val="double"/>
    </w:rPr>
  </w:style>
  <w:style w:type="character" w:customStyle="1" w:styleId="119">
    <w:name w:val="明显参考1"/>
    <w:autoRedefine/>
    <w:qFormat/>
    <w:uiPriority w:val="32"/>
    <w:rPr>
      <w:b/>
      <w:bCs/>
      <w:smallCaps/>
      <w:color w:val="C0504D"/>
      <w:spacing w:val="5"/>
      <w:u w:val="single"/>
    </w:rPr>
  </w:style>
  <w:style w:type="character" w:customStyle="1" w:styleId="120">
    <w:name w:val="Char Char13"/>
    <w:autoRedefine/>
    <w:qFormat/>
    <w:uiPriority w:val="0"/>
    <w:rPr>
      <w:rFonts w:eastAsia="宋体"/>
      <w:kern w:val="2"/>
      <w:sz w:val="28"/>
      <w:lang w:val="en-US" w:eastAsia="zh-CN" w:bidi="ar-SA"/>
    </w:rPr>
  </w:style>
  <w:style w:type="character" w:customStyle="1" w:styleId="121">
    <w:name w:val="Char Char21"/>
    <w:autoRedefine/>
    <w:qFormat/>
    <w:uiPriority w:val="0"/>
    <w:rPr>
      <w:rFonts w:ascii="宋体" w:hAnsi="Arial"/>
      <w:kern w:val="2"/>
      <w:sz w:val="24"/>
    </w:rPr>
  </w:style>
  <w:style w:type="character" w:customStyle="1" w:styleId="122">
    <w:name w:val="text21"/>
    <w:basedOn w:val="55"/>
    <w:autoRedefine/>
    <w:qFormat/>
    <w:uiPriority w:val="0"/>
  </w:style>
  <w:style w:type="character" w:customStyle="1" w:styleId="123">
    <w:name w:val="页脚 Char2"/>
    <w:autoRedefine/>
    <w:semiHidden/>
    <w:qFormat/>
    <w:uiPriority w:val="99"/>
    <w:rPr>
      <w:rFonts w:ascii="Times New Roman" w:hAnsi="Times New Roman" w:eastAsia="宋体" w:cs="Times New Roman"/>
      <w:sz w:val="18"/>
      <w:szCs w:val="18"/>
    </w:rPr>
  </w:style>
  <w:style w:type="character" w:customStyle="1" w:styleId="124">
    <w:name w:val="apple-converted-space"/>
    <w:autoRedefine/>
    <w:qFormat/>
    <w:uiPriority w:val="0"/>
  </w:style>
  <w:style w:type="character" w:customStyle="1" w:styleId="125">
    <w:name w:val="页脚 Char1"/>
    <w:autoRedefine/>
    <w:qFormat/>
    <w:uiPriority w:val="0"/>
    <w:rPr>
      <w:rFonts w:ascii="Arial" w:hAnsi="Arial"/>
      <w:spacing w:val="10"/>
      <w:kern w:val="2"/>
      <w:sz w:val="18"/>
    </w:rPr>
  </w:style>
  <w:style w:type="character" w:customStyle="1" w:styleId="126">
    <w:name w:val="Char Char5"/>
    <w:autoRedefine/>
    <w:qFormat/>
    <w:uiPriority w:val="0"/>
    <w:rPr>
      <w:rFonts w:ascii="宋体" w:eastAsia="宋体"/>
      <w:sz w:val="18"/>
      <w:szCs w:val="18"/>
      <w:lang w:val="en-US" w:eastAsia="zh-CN" w:bidi="ar-SA"/>
    </w:rPr>
  </w:style>
  <w:style w:type="character" w:customStyle="1" w:styleId="127">
    <w:name w:val="副标题 Char1"/>
    <w:autoRedefine/>
    <w:qFormat/>
    <w:uiPriority w:val="11"/>
    <w:rPr>
      <w:rFonts w:ascii="Cambria" w:hAnsi="Cambria" w:eastAsia="宋体" w:cs="Times New Roman"/>
      <w:b/>
      <w:bCs/>
      <w:kern w:val="28"/>
      <w:sz w:val="32"/>
      <w:szCs w:val="32"/>
    </w:rPr>
  </w:style>
  <w:style w:type="character" w:customStyle="1" w:styleId="128">
    <w:name w:val="纯文本 Char2"/>
    <w:autoRedefine/>
    <w:semiHidden/>
    <w:qFormat/>
    <w:uiPriority w:val="99"/>
    <w:rPr>
      <w:rFonts w:ascii="宋体" w:hAnsi="Courier New" w:eastAsia="宋体" w:cs="Courier New"/>
      <w:szCs w:val="21"/>
    </w:rPr>
  </w:style>
  <w:style w:type="character" w:customStyle="1" w:styleId="129">
    <w:name w:val="正文首行缩进 Char2"/>
    <w:basedOn w:val="79"/>
    <w:autoRedefine/>
    <w:semiHidden/>
    <w:qFormat/>
    <w:uiPriority w:val="99"/>
    <w:rPr>
      <w:rFonts w:ascii="Times New Roman" w:hAnsi="Times New Roman" w:eastAsia="宋体" w:cs="Times New Roman"/>
      <w:szCs w:val="24"/>
    </w:rPr>
  </w:style>
  <w:style w:type="character" w:customStyle="1" w:styleId="130">
    <w:name w:val="正文文本 2 Char1"/>
    <w:autoRedefine/>
    <w:semiHidden/>
    <w:qFormat/>
    <w:uiPriority w:val="99"/>
    <w:rPr>
      <w:rFonts w:ascii="Times New Roman" w:hAnsi="Times New Roman" w:eastAsia="宋体" w:cs="Times New Roman"/>
      <w:szCs w:val="24"/>
    </w:rPr>
  </w:style>
  <w:style w:type="character" w:customStyle="1" w:styleId="131">
    <w:name w:val="正文首行缩进 2 Char1"/>
    <w:basedOn w:val="63"/>
    <w:autoRedefine/>
    <w:semiHidden/>
    <w:qFormat/>
    <w:uiPriority w:val="99"/>
    <w:rPr>
      <w:rFonts w:ascii="Times New Roman" w:hAnsi="Times New Roman" w:eastAsia="宋体" w:cs="Times New Roman"/>
      <w:szCs w:val="24"/>
    </w:rPr>
  </w:style>
  <w:style w:type="character" w:customStyle="1" w:styleId="132">
    <w:name w:val="批注框文本 Char1"/>
    <w:autoRedefine/>
    <w:semiHidden/>
    <w:qFormat/>
    <w:uiPriority w:val="99"/>
    <w:rPr>
      <w:rFonts w:ascii="Times New Roman" w:hAnsi="Times New Roman" w:eastAsia="宋体" w:cs="Times New Roman"/>
      <w:sz w:val="18"/>
      <w:szCs w:val="18"/>
    </w:rPr>
  </w:style>
  <w:style w:type="character" w:customStyle="1" w:styleId="133">
    <w:name w:val="尾注文本 Char2"/>
    <w:autoRedefine/>
    <w:semiHidden/>
    <w:qFormat/>
    <w:uiPriority w:val="99"/>
    <w:rPr>
      <w:rFonts w:ascii="Times New Roman" w:hAnsi="Times New Roman" w:eastAsia="宋体" w:cs="Times New Roman"/>
      <w:szCs w:val="24"/>
    </w:rPr>
  </w:style>
  <w:style w:type="character" w:customStyle="1" w:styleId="134">
    <w:name w:val="style181"/>
    <w:autoRedefine/>
    <w:qFormat/>
    <w:uiPriority w:val="0"/>
    <w:rPr>
      <w:color w:val="FF6600"/>
    </w:rPr>
  </w:style>
  <w:style w:type="character" w:customStyle="1" w:styleId="135">
    <w:name w:val="Char Char8"/>
    <w:autoRedefine/>
    <w:qFormat/>
    <w:uiPriority w:val="0"/>
    <w:rPr>
      <w:rFonts w:ascii="Arial" w:hAnsi="Arial" w:eastAsia="宋体"/>
      <w:kern w:val="2"/>
      <w:sz w:val="21"/>
      <w:lang w:val="en-US" w:eastAsia="zh-CN" w:bidi="ar-SA"/>
    </w:rPr>
  </w:style>
  <w:style w:type="character" w:customStyle="1" w:styleId="136">
    <w:name w:val="文档结构图 Char1"/>
    <w:autoRedefine/>
    <w:semiHidden/>
    <w:qFormat/>
    <w:uiPriority w:val="99"/>
    <w:rPr>
      <w:rFonts w:ascii="宋体" w:hAnsi="Times New Roman" w:eastAsia="宋体" w:cs="Times New Roman"/>
      <w:sz w:val="18"/>
      <w:szCs w:val="18"/>
    </w:rPr>
  </w:style>
  <w:style w:type="character" w:customStyle="1" w:styleId="137">
    <w:name w:val="正文文本 Char1"/>
    <w:autoRedefine/>
    <w:qFormat/>
    <w:uiPriority w:val="0"/>
    <w:rPr>
      <w:kern w:val="2"/>
      <w:sz w:val="21"/>
      <w:szCs w:val="24"/>
    </w:rPr>
  </w:style>
  <w:style w:type="character" w:customStyle="1" w:styleId="138">
    <w:name w:val="纯文本 Char1"/>
    <w:autoRedefine/>
    <w:qFormat/>
    <w:uiPriority w:val="99"/>
    <w:rPr>
      <w:rFonts w:ascii="宋体" w:hAnsi="Courier New"/>
      <w:kern w:val="2"/>
      <w:sz w:val="28"/>
    </w:rPr>
  </w:style>
  <w:style w:type="character" w:customStyle="1" w:styleId="139">
    <w:name w:val="正文文本 Char"/>
    <w:autoRedefine/>
    <w:qFormat/>
    <w:uiPriority w:val="0"/>
    <w:rPr>
      <w:rFonts w:ascii="楷体_GB2312" w:hAnsi="Arial" w:eastAsia="楷体_GB2312"/>
      <w:kern w:val="2"/>
      <w:sz w:val="28"/>
      <w:lang w:val="en-US" w:eastAsia="zh-CN" w:bidi="ar-SA"/>
    </w:rPr>
  </w:style>
  <w:style w:type="character" w:customStyle="1" w:styleId="140">
    <w:name w:val="彩色列表 - 强调文字颜色 1字符"/>
    <w:link w:val="141"/>
    <w:autoRedefine/>
    <w:qFormat/>
    <w:locked/>
    <w:uiPriority w:val="34"/>
    <w:rPr>
      <w:rFonts w:ascii="Times New Roman" w:hAnsi="Times New Roman"/>
      <w:kern w:val="2"/>
      <w:sz w:val="21"/>
      <w:szCs w:val="24"/>
    </w:rPr>
  </w:style>
  <w:style w:type="paragraph" w:customStyle="1" w:styleId="141">
    <w:name w:val="彩色列表 - 强调文字颜色 11"/>
    <w:basedOn w:val="1"/>
    <w:link w:val="140"/>
    <w:autoRedefine/>
    <w:qFormat/>
    <w:uiPriority w:val="34"/>
    <w:pPr>
      <w:ind w:firstLine="420" w:firstLineChars="200"/>
    </w:pPr>
  </w:style>
  <w:style w:type="character" w:customStyle="1" w:styleId="142">
    <w:name w:val="para_small"/>
    <w:basedOn w:val="55"/>
    <w:autoRedefine/>
    <w:qFormat/>
    <w:uiPriority w:val="0"/>
  </w:style>
  <w:style w:type="character" w:customStyle="1" w:styleId="143">
    <w:name w:val="ca-71"/>
    <w:autoRedefine/>
    <w:qFormat/>
    <w:uiPriority w:val="0"/>
    <w:rPr>
      <w:rFonts w:hint="eastAsia" w:ascii="宋体" w:hAnsi="宋体" w:eastAsia="宋体"/>
      <w:color w:val="000000"/>
      <w:sz w:val="24"/>
      <w:szCs w:val="24"/>
    </w:rPr>
  </w:style>
  <w:style w:type="character" w:customStyle="1" w:styleId="144">
    <w:name w:val="p1501"/>
    <w:autoRedefine/>
    <w:qFormat/>
    <w:uiPriority w:val="0"/>
    <w:rPr>
      <w:rFonts w:hint="default" w:ascii="Verdana" w:hAnsi="Verdana"/>
      <w:sz w:val="20"/>
      <w:szCs w:val="20"/>
    </w:rPr>
  </w:style>
  <w:style w:type="character" w:customStyle="1" w:styleId="145">
    <w:name w:val="c lh15"/>
    <w:basedOn w:val="55"/>
    <w:autoRedefine/>
    <w:qFormat/>
    <w:uiPriority w:val="0"/>
  </w:style>
  <w:style w:type="character" w:customStyle="1" w:styleId="146">
    <w:name w:val="正文文本缩进 Char"/>
    <w:autoRedefine/>
    <w:qFormat/>
    <w:uiPriority w:val="0"/>
    <w:rPr>
      <w:rFonts w:eastAsia="宋体"/>
      <w:kern w:val="2"/>
      <w:sz w:val="32"/>
      <w:szCs w:val="24"/>
      <w:lang w:val="en-US" w:eastAsia="zh-CN" w:bidi="ar-SA"/>
    </w:rPr>
  </w:style>
  <w:style w:type="character" w:customStyle="1" w:styleId="147">
    <w:name w:val="huei12b1"/>
    <w:autoRedefine/>
    <w:qFormat/>
    <w:uiPriority w:val="0"/>
    <w:rPr>
      <w:b/>
      <w:bCs/>
      <w:color w:val="333333"/>
      <w:sz w:val="18"/>
      <w:szCs w:val="18"/>
    </w:rPr>
  </w:style>
  <w:style w:type="character" w:customStyle="1" w:styleId="148">
    <w:name w:val="标题样式2 Char Char"/>
    <w:link w:val="149"/>
    <w:autoRedefine/>
    <w:qFormat/>
    <w:uiPriority w:val="0"/>
    <w:rPr>
      <w:rFonts w:ascii="宋体" w:hAnsi="宋体"/>
      <w:b/>
      <w:color w:val="000000"/>
      <w:sz w:val="28"/>
      <w:szCs w:val="24"/>
    </w:rPr>
  </w:style>
  <w:style w:type="paragraph" w:customStyle="1" w:styleId="149">
    <w:name w:val="标题样式2"/>
    <w:basedOn w:val="1"/>
    <w:link w:val="148"/>
    <w:autoRedefine/>
    <w:qFormat/>
    <w:uiPriority w:val="0"/>
    <w:pPr>
      <w:spacing w:before="240" w:line="360" w:lineRule="auto"/>
      <w:ind w:firstLine="561" w:firstLineChars="200"/>
    </w:pPr>
    <w:rPr>
      <w:rFonts w:ascii="宋体" w:hAnsi="宋体"/>
      <w:b/>
      <w:color w:val="000000"/>
      <w:kern w:val="0"/>
      <w:sz w:val="28"/>
    </w:rPr>
  </w:style>
  <w:style w:type="character" w:customStyle="1" w:styleId="150">
    <w:name w:val="尾注文本 Char1"/>
    <w:autoRedefine/>
    <w:qFormat/>
    <w:uiPriority w:val="0"/>
    <w:rPr>
      <w:kern w:val="2"/>
      <w:sz w:val="21"/>
      <w:szCs w:val="24"/>
    </w:rPr>
  </w:style>
  <w:style w:type="character" w:customStyle="1" w:styleId="151">
    <w:name w:val="一级条标题 Char Char"/>
    <w:link w:val="152"/>
    <w:autoRedefine/>
    <w:qFormat/>
    <w:uiPriority w:val="0"/>
    <w:rPr>
      <w:rFonts w:eastAsia="黑体"/>
      <w:kern w:val="2"/>
      <w:sz w:val="21"/>
      <w:szCs w:val="22"/>
      <w:lang w:val="en-US" w:eastAsia="zh-CN" w:bidi="ar-SA"/>
    </w:rPr>
  </w:style>
  <w:style w:type="paragraph" w:customStyle="1" w:styleId="152">
    <w:name w:val="一级条标题"/>
    <w:next w:val="1"/>
    <w:link w:val="151"/>
    <w:autoRedefine/>
    <w:qFormat/>
    <w:uiPriority w:val="0"/>
    <w:pPr>
      <w:outlineLvl w:val="2"/>
    </w:pPr>
    <w:rPr>
      <w:rFonts w:ascii="Times New Roman" w:hAnsi="Times New Roman" w:eastAsia="黑体" w:cs="Times New Roman"/>
      <w:kern w:val="2"/>
      <w:sz w:val="21"/>
      <w:szCs w:val="22"/>
      <w:lang w:val="en-US" w:eastAsia="zh-CN" w:bidi="ar-SA"/>
    </w:rPr>
  </w:style>
  <w:style w:type="character" w:customStyle="1" w:styleId="153">
    <w:name w:val="Char Char"/>
    <w:autoRedefine/>
    <w:qFormat/>
    <w:uiPriority w:val="0"/>
    <w:rPr>
      <w:rFonts w:eastAsia="宋体"/>
      <w:b/>
      <w:bCs/>
      <w:kern w:val="2"/>
      <w:sz w:val="28"/>
      <w:szCs w:val="32"/>
      <w:lang w:val="en-US" w:eastAsia="zh-CN" w:bidi="ar-SA"/>
    </w:rPr>
  </w:style>
  <w:style w:type="character" w:customStyle="1" w:styleId="154">
    <w:name w:val="注释标题 Char1"/>
    <w:autoRedefine/>
    <w:semiHidden/>
    <w:qFormat/>
    <w:uiPriority w:val="99"/>
    <w:rPr>
      <w:rFonts w:ascii="Times New Roman" w:hAnsi="Times New Roman" w:eastAsia="宋体" w:cs="Times New Roman"/>
      <w:szCs w:val="24"/>
    </w:rPr>
  </w:style>
  <w:style w:type="character" w:customStyle="1" w:styleId="155">
    <w:name w:val="Char Char17"/>
    <w:autoRedefine/>
    <w:qFormat/>
    <w:uiPriority w:val="0"/>
    <w:rPr>
      <w:rFonts w:ascii="Arial" w:hAnsi="Arial" w:eastAsia="楷体"/>
      <w:b/>
      <w:w w:val="90"/>
      <w:kern w:val="2"/>
      <w:sz w:val="18"/>
      <w:lang w:val="en-US" w:eastAsia="zh-CN" w:bidi="ar-SA"/>
    </w:rPr>
  </w:style>
  <w:style w:type="character" w:customStyle="1" w:styleId="156">
    <w:name w:val="p12"/>
    <w:basedOn w:val="55"/>
    <w:autoRedefine/>
    <w:qFormat/>
    <w:uiPriority w:val="0"/>
  </w:style>
  <w:style w:type="character" w:customStyle="1" w:styleId="157">
    <w:name w:val="正文文本 3 Char1"/>
    <w:autoRedefine/>
    <w:semiHidden/>
    <w:qFormat/>
    <w:uiPriority w:val="99"/>
    <w:rPr>
      <w:rFonts w:ascii="Times New Roman" w:hAnsi="Times New Roman" w:eastAsia="宋体" w:cs="Times New Roman"/>
      <w:sz w:val="16"/>
      <w:szCs w:val="16"/>
    </w:rPr>
  </w:style>
  <w:style w:type="character" w:customStyle="1" w:styleId="158">
    <w:name w:val="Char Char12"/>
    <w:autoRedefine/>
    <w:qFormat/>
    <w:uiPriority w:val="0"/>
    <w:rPr>
      <w:rFonts w:eastAsia="宋体"/>
      <w:kern w:val="2"/>
      <w:sz w:val="28"/>
      <w:lang w:val="en-US" w:eastAsia="zh-CN" w:bidi="ar-SA"/>
    </w:rPr>
  </w:style>
  <w:style w:type="character" w:customStyle="1" w:styleId="159">
    <w:name w:val="Char Char19"/>
    <w:autoRedefine/>
    <w:qFormat/>
    <w:uiPriority w:val="0"/>
    <w:rPr>
      <w:rFonts w:eastAsia="宋体"/>
      <w:b/>
      <w:bCs/>
      <w:kern w:val="44"/>
      <w:sz w:val="44"/>
      <w:szCs w:val="44"/>
      <w:lang w:val="en-US" w:eastAsia="zh-CN" w:bidi="ar-SA"/>
    </w:rPr>
  </w:style>
  <w:style w:type="character" w:customStyle="1" w:styleId="160">
    <w:name w:val="批注文字 Char"/>
    <w:autoRedefine/>
    <w:qFormat/>
    <w:uiPriority w:val="0"/>
    <w:rPr>
      <w:rFonts w:eastAsia="宋体"/>
      <w:kern w:val="2"/>
      <w:sz w:val="21"/>
      <w:szCs w:val="24"/>
      <w:lang w:val="en-US" w:eastAsia="zh-CN" w:bidi="ar-SA"/>
    </w:rPr>
  </w:style>
  <w:style w:type="character" w:customStyle="1" w:styleId="161">
    <w:name w:val="Char Char15"/>
    <w:autoRedefine/>
    <w:qFormat/>
    <w:uiPriority w:val="0"/>
    <w:rPr>
      <w:rFonts w:ascii="Arial" w:hAnsi="Arial" w:eastAsia="楷体_GB2312"/>
      <w:b/>
      <w:kern w:val="2"/>
      <w:sz w:val="21"/>
      <w:lang w:val="en-US" w:eastAsia="zh-CN" w:bidi="ar-SA"/>
    </w:rPr>
  </w:style>
  <w:style w:type="character" w:customStyle="1" w:styleId="162">
    <w:name w:val="Char Char11"/>
    <w:autoRedefine/>
    <w:qFormat/>
    <w:uiPriority w:val="0"/>
    <w:rPr>
      <w:rFonts w:eastAsia="宋体"/>
      <w:sz w:val="18"/>
      <w:szCs w:val="18"/>
      <w:lang w:val="en-US" w:eastAsia="zh-CN" w:bidi="ar-SA"/>
    </w:rPr>
  </w:style>
  <w:style w:type="character" w:customStyle="1" w:styleId="163">
    <w:name w:val="Char Char4"/>
    <w:autoRedefine/>
    <w:qFormat/>
    <w:uiPriority w:val="0"/>
    <w:rPr>
      <w:rFonts w:eastAsia="宋体"/>
      <w:kern w:val="2"/>
      <w:sz w:val="18"/>
      <w:szCs w:val="18"/>
      <w:lang w:val="en-US" w:eastAsia="zh-CN" w:bidi="ar-SA"/>
    </w:rPr>
  </w:style>
  <w:style w:type="character" w:customStyle="1" w:styleId="164">
    <w:name w:val="grame"/>
    <w:basedOn w:val="55"/>
    <w:autoRedefine/>
    <w:qFormat/>
    <w:uiPriority w:val="0"/>
  </w:style>
  <w:style w:type="character" w:customStyle="1" w:styleId="165">
    <w:name w:val="Char Char6"/>
    <w:autoRedefine/>
    <w:qFormat/>
    <w:uiPriority w:val="0"/>
    <w:rPr>
      <w:rFonts w:ascii="Arial" w:hAnsi="Arial" w:eastAsia="宋体"/>
      <w:spacing w:val="10"/>
      <w:kern w:val="2"/>
      <w:sz w:val="24"/>
      <w:lang w:val="en-US" w:eastAsia="zh-CN" w:bidi="ar-SA"/>
    </w:rPr>
  </w:style>
  <w:style w:type="character" w:customStyle="1" w:styleId="166">
    <w:name w:val="样式 表格文字居中 + Times New Roman Char"/>
    <w:autoRedefine/>
    <w:qFormat/>
    <w:uiPriority w:val="0"/>
    <w:rPr>
      <w:rFonts w:ascii="宋体" w:hAnsi="宋体" w:eastAsia="宋体" w:cs="Arial Unicode MS"/>
      <w:bCs/>
      <w:snapToGrid w:val="0"/>
      <w:color w:val="000000"/>
      <w:spacing w:val="-6"/>
      <w:sz w:val="21"/>
      <w:szCs w:val="21"/>
      <w:lang w:val="en-US" w:eastAsia="zh-CN" w:bidi="ar-SA"/>
    </w:rPr>
  </w:style>
  <w:style w:type="character" w:customStyle="1" w:styleId="167">
    <w:name w:val="标题 1 Char Char"/>
    <w:autoRedefine/>
    <w:qFormat/>
    <w:uiPriority w:val="0"/>
    <w:rPr>
      <w:rFonts w:ascii="黑体" w:hAnsi="宋体" w:eastAsia="黑体"/>
      <w:sz w:val="28"/>
      <w:szCs w:val="28"/>
    </w:rPr>
  </w:style>
  <w:style w:type="character" w:customStyle="1" w:styleId="168">
    <w:name w:val="Char Char14"/>
    <w:autoRedefine/>
    <w:qFormat/>
    <w:uiPriority w:val="0"/>
    <w:rPr>
      <w:rFonts w:eastAsia="宋体"/>
      <w:kern w:val="2"/>
      <w:sz w:val="28"/>
      <w:lang w:val="en-US" w:eastAsia="zh-CN" w:bidi="ar-SA"/>
    </w:rPr>
  </w:style>
  <w:style w:type="character" w:customStyle="1" w:styleId="169">
    <w:name w:val="font01"/>
    <w:basedOn w:val="55"/>
    <w:autoRedefine/>
    <w:qFormat/>
    <w:uiPriority w:val="0"/>
    <w:rPr>
      <w:rFonts w:hint="eastAsia" w:ascii="宋体" w:hAnsi="宋体" w:eastAsia="宋体" w:cs="宋体"/>
      <w:color w:val="000000"/>
      <w:sz w:val="20"/>
      <w:szCs w:val="20"/>
      <w:u w:val="none"/>
    </w:rPr>
  </w:style>
  <w:style w:type="character" w:customStyle="1" w:styleId="170">
    <w:name w:val="blue"/>
    <w:basedOn w:val="55"/>
    <w:autoRedefine/>
    <w:qFormat/>
    <w:uiPriority w:val="0"/>
  </w:style>
  <w:style w:type="character" w:customStyle="1" w:styleId="171">
    <w:name w:val="Char Char16"/>
    <w:autoRedefine/>
    <w:qFormat/>
    <w:uiPriority w:val="0"/>
    <w:rPr>
      <w:rFonts w:ascii="Arial" w:hAnsi="Arial" w:eastAsia="楷体_GB2312"/>
      <w:b/>
      <w:kern w:val="2"/>
      <w:sz w:val="21"/>
      <w:lang w:val="en-US" w:eastAsia="zh-CN" w:bidi="ar-SA"/>
    </w:rPr>
  </w:style>
  <w:style w:type="character" w:customStyle="1" w:styleId="172">
    <w:name w:val="页眉 Char1"/>
    <w:autoRedefine/>
    <w:semiHidden/>
    <w:qFormat/>
    <w:uiPriority w:val="99"/>
    <w:rPr>
      <w:rFonts w:ascii="Times New Roman" w:hAnsi="Times New Roman" w:eastAsia="宋体" w:cs="Times New Roman"/>
      <w:sz w:val="18"/>
      <w:szCs w:val="18"/>
    </w:rPr>
  </w:style>
  <w:style w:type="character" w:customStyle="1" w:styleId="173">
    <w:name w:val="正文首行缩进 Char1"/>
    <w:basedOn w:val="137"/>
    <w:autoRedefine/>
    <w:qFormat/>
    <w:uiPriority w:val="0"/>
    <w:rPr>
      <w:kern w:val="2"/>
      <w:sz w:val="21"/>
      <w:szCs w:val="24"/>
    </w:rPr>
  </w:style>
  <w:style w:type="character" w:customStyle="1" w:styleId="174">
    <w:name w:val="批注主题 Char1"/>
    <w:autoRedefine/>
    <w:semiHidden/>
    <w:qFormat/>
    <w:uiPriority w:val="99"/>
    <w:rPr>
      <w:rFonts w:ascii="Times New Roman" w:hAnsi="Times New Roman" w:eastAsia="宋体" w:cs="Times New Roman"/>
      <w:b/>
      <w:bCs/>
      <w:szCs w:val="24"/>
    </w:rPr>
  </w:style>
  <w:style w:type="character" w:customStyle="1" w:styleId="175">
    <w:name w:val="f1"/>
    <w:basedOn w:val="55"/>
    <w:autoRedefine/>
    <w:qFormat/>
    <w:uiPriority w:val="0"/>
  </w:style>
  <w:style w:type="character" w:customStyle="1" w:styleId="176">
    <w:name w:val="style1"/>
    <w:basedOn w:val="55"/>
    <w:autoRedefine/>
    <w:qFormat/>
    <w:uiPriority w:val="0"/>
  </w:style>
  <w:style w:type="character" w:customStyle="1" w:styleId="177">
    <w:name w:val="unnamed1"/>
    <w:autoRedefine/>
    <w:qFormat/>
    <w:uiPriority w:val="0"/>
    <w:rPr>
      <w:rFonts w:ascii="Arial" w:hAnsi="Arial" w:eastAsia="黑体"/>
      <w:sz w:val="24"/>
    </w:rPr>
  </w:style>
  <w:style w:type="character" w:customStyle="1" w:styleId="178">
    <w:name w:val="节 Char Char"/>
    <w:autoRedefine/>
    <w:qFormat/>
    <w:uiPriority w:val="0"/>
    <w:rPr>
      <w:rFonts w:ascii="宋体" w:hAnsi="Arial" w:eastAsia="宋体"/>
      <w:kern w:val="2"/>
      <w:sz w:val="24"/>
      <w:lang w:val="en-US" w:eastAsia="zh-CN" w:bidi="ar-SA"/>
    </w:rPr>
  </w:style>
  <w:style w:type="paragraph" w:customStyle="1" w:styleId="179">
    <w:name w:val="CM119"/>
    <w:basedOn w:val="95"/>
    <w:next w:val="95"/>
    <w:autoRedefine/>
    <w:qFormat/>
    <w:uiPriority w:val="0"/>
    <w:pPr>
      <w:spacing w:after="245"/>
    </w:pPr>
    <w:rPr>
      <w:rFonts w:ascii="宋体" w:eastAsia="宋体" w:cs="Times New Roman"/>
      <w:color w:val="auto"/>
    </w:rPr>
  </w:style>
  <w:style w:type="paragraph" w:customStyle="1" w:styleId="180">
    <w:name w:val="Char1 Char Char Char Char Char Char Char Char Char"/>
    <w:basedOn w:val="1"/>
    <w:autoRedefine/>
    <w:qFormat/>
    <w:uiPriority w:val="0"/>
    <w:rPr>
      <w:sz w:val="24"/>
    </w:rPr>
  </w:style>
  <w:style w:type="paragraph" w:customStyle="1" w:styleId="181">
    <w:name w:val="丁华标题3"/>
    <w:basedOn w:val="182"/>
    <w:next w:val="183"/>
    <w:autoRedefine/>
    <w:qFormat/>
    <w:uiPriority w:val="0"/>
    <w:pPr>
      <w:tabs>
        <w:tab w:val="left" w:pos="1004"/>
        <w:tab w:val="left" w:pos="1470"/>
        <w:tab w:val="left" w:pos="1980"/>
      </w:tabs>
      <w:spacing w:after="0"/>
      <w:ind w:left="1980" w:hanging="420"/>
      <w:outlineLvl w:val="2"/>
    </w:pPr>
    <w:rPr>
      <w:sz w:val="24"/>
    </w:rPr>
  </w:style>
  <w:style w:type="paragraph" w:customStyle="1" w:styleId="182">
    <w:name w:val="丁华标题2"/>
    <w:basedOn w:val="7"/>
    <w:next w:val="183"/>
    <w:autoRedefine/>
    <w:qFormat/>
    <w:uiPriority w:val="0"/>
    <w:pPr>
      <w:tabs>
        <w:tab w:val="left" w:pos="1004"/>
      </w:tabs>
      <w:spacing w:before="120" w:after="120"/>
      <w:ind w:left="567" w:hanging="283"/>
    </w:pPr>
    <w:rPr>
      <w:bCs w:val="0"/>
      <w:szCs w:val="20"/>
    </w:rPr>
  </w:style>
  <w:style w:type="paragraph" w:customStyle="1" w:styleId="183">
    <w:name w:val="丁华正文"/>
    <w:basedOn w:val="44"/>
    <w:autoRedefine/>
    <w:qFormat/>
    <w:uiPriority w:val="0"/>
    <w:pPr>
      <w:adjustRightInd w:val="0"/>
      <w:snapToGrid w:val="0"/>
      <w:spacing w:line="360" w:lineRule="auto"/>
      <w:ind w:firstLine="510"/>
    </w:pPr>
    <w:rPr>
      <w:sz w:val="24"/>
      <w:szCs w:val="16"/>
    </w:rPr>
  </w:style>
  <w:style w:type="paragraph" w:customStyle="1" w:styleId="184">
    <w:name w:val="Char Char Char Char Char Char Char"/>
    <w:basedOn w:val="1"/>
    <w:autoRedefine/>
    <w:qFormat/>
    <w:uiPriority w:val="0"/>
  </w:style>
  <w:style w:type="paragraph" w:customStyle="1" w:styleId="185">
    <w:name w:val="样式10"/>
    <w:basedOn w:val="1"/>
    <w:next w:val="1"/>
    <w:autoRedefine/>
    <w:qFormat/>
    <w:uiPriority w:val="0"/>
    <w:pPr>
      <w:widowControl/>
      <w:autoSpaceDE w:val="0"/>
      <w:autoSpaceDN w:val="0"/>
      <w:snapToGrid w:val="0"/>
      <w:textAlignment w:val="bottom"/>
    </w:pPr>
    <w:rPr>
      <w:rFonts w:ascii="宋体" w:hAnsi="Arial Narrow"/>
      <w:color w:val="000000"/>
      <w:szCs w:val="20"/>
    </w:rPr>
  </w:style>
  <w:style w:type="paragraph" w:customStyle="1" w:styleId="186">
    <w:name w:val="Char Char Char Char Char Char"/>
    <w:basedOn w:val="1"/>
    <w:autoRedefine/>
    <w:qFormat/>
    <w:uiPriority w:val="0"/>
  </w:style>
  <w:style w:type="paragraph" w:customStyle="1" w:styleId="187">
    <w:name w:val="小标"/>
    <w:basedOn w:val="1"/>
    <w:autoRedefine/>
    <w:qFormat/>
    <w:uiPriority w:val="0"/>
    <w:rPr>
      <w:rFonts w:hint="eastAsia" w:ascii="黑体" w:eastAsia="黑体"/>
      <w:spacing w:val="20"/>
      <w:szCs w:val="20"/>
    </w:rPr>
  </w:style>
  <w:style w:type="paragraph" w:customStyle="1" w:styleId="1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89">
    <w:name w:val="2 Char"/>
    <w:basedOn w:val="1"/>
    <w:autoRedefine/>
    <w:qFormat/>
    <w:uiPriority w:val="0"/>
    <w:pPr>
      <w:snapToGrid w:val="0"/>
    </w:pPr>
    <w:rPr>
      <w:rFonts w:ascii="Arial" w:hAnsi="Arial"/>
      <w:szCs w:val="21"/>
    </w:rPr>
  </w:style>
  <w:style w:type="paragraph" w:customStyle="1" w:styleId="190">
    <w:name w:val="CM31"/>
    <w:basedOn w:val="95"/>
    <w:next w:val="95"/>
    <w:autoRedefine/>
    <w:qFormat/>
    <w:uiPriority w:val="0"/>
    <w:pPr>
      <w:spacing w:line="273" w:lineRule="atLeast"/>
    </w:pPr>
    <w:rPr>
      <w:rFonts w:ascii="宋体" w:eastAsia="宋体" w:cs="Times New Roman"/>
      <w:color w:val="auto"/>
    </w:rPr>
  </w:style>
  <w:style w:type="paragraph" w:customStyle="1" w:styleId="191">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92">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93">
    <w:name w:val="Char"/>
    <w:basedOn w:val="1"/>
    <w:autoRedefine/>
    <w:qFormat/>
    <w:uiPriority w:val="0"/>
    <w:pPr>
      <w:tabs>
        <w:tab w:val="left" w:pos="360"/>
      </w:tabs>
    </w:pPr>
    <w:rPr>
      <w:sz w:val="24"/>
    </w:rPr>
  </w:style>
  <w:style w:type="paragraph" w:customStyle="1" w:styleId="194">
    <w:name w:val="Char2"/>
    <w:basedOn w:val="1"/>
    <w:autoRedefine/>
    <w:qFormat/>
    <w:uiPriority w:val="0"/>
  </w:style>
  <w:style w:type="paragraph" w:customStyle="1" w:styleId="195">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7">
    <w:name w:val="00表头"/>
    <w:basedOn w:val="34"/>
    <w:autoRedefine/>
    <w:qFormat/>
    <w:uiPriority w:val="0"/>
    <w:pPr>
      <w:adjustRightInd/>
      <w:snapToGrid/>
      <w:spacing w:line="480" w:lineRule="exact"/>
      <w:ind w:firstLine="0" w:firstLineChars="0"/>
      <w:jc w:val="center"/>
    </w:pPr>
    <w:rPr>
      <w:rFonts w:ascii="宋体" w:hAnsi="宋体"/>
      <w:b/>
      <w:snapToGrid/>
      <w:color w:val="800000"/>
      <w:kern w:val="2"/>
      <w:sz w:val="24"/>
    </w:rPr>
  </w:style>
  <w:style w:type="paragraph" w:customStyle="1" w:styleId="198">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99">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00">
    <w:name w:val="Bullet 5"/>
    <w:basedOn w:val="1"/>
    <w:next w:val="1"/>
    <w:autoRedefine/>
    <w:qFormat/>
    <w:uiPriority w:val="0"/>
    <w:pPr>
      <w:widowControl/>
      <w:tabs>
        <w:tab w:val="left" w:pos="1440"/>
      </w:tabs>
      <w:ind w:left="5041" w:hanging="360"/>
      <w:jc w:val="left"/>
    </w:pPr>
    <w:rPr>
      <w:rFonts w:ascii="Arial" w:hAnsi="Arial"/>
      <w:kern w:val="0"/>
      <w:sz w:val="20"/>
      <w:szCs w:val="20"/>
      <w:lang w:eastAsia="en-US"/>
    </w:rPr>
  </w:style>
  <w:style w:type="paragraph" w:customStyle="1" w:styleId="201">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02">
    <w:name w:val="报价正文"/>
    <w:basedOn w:val="1"/>
    <w:autoRedefine/>
    <w:qFormat/>
    <w:uiPriority w:val="0"/>
    <w:pPr>
      <w:adjustRightInd w:val="0"/>
      <w:snapToGrid w:val="0"/>
      <w:jc w:val="center"/>
    </w:pPr>
    <w:rPr>
      <w:snapToGrid w:val="0"/>
      <w:sz w:val="24"/>
      <w:szCs w:val="20"/>
    </w:rPr>
  </w:style>
  <w:style w:type="paragraph" w:customStyle="1" w:styleId="203">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4"/>
    </w:rPr>
  </w:style>
  <w:style w:type="paragraph" w:customStyle="1" w:styleId="205">
    <w:name w:val="Char11"/>
    <w:basedOn w:val="1"/>
    <w:autoRedefine/>
    <w:qFormat/>
    <w:uiPriority w:val="0"/>
    <w:rPr>
      <w:rFonts w:ascii="Tahoma" w:hAnsi="Tahoma"/>
      <w:sz w:val="24"/>
      <w:szCs w:val="20"/>
    </w:rPr>
  </w:style>
  <w:style w:type="paragraph" w:customStyle="1" w:styleId="206">
    <w:name w:val="带符号正文（缩进）"/>
    <w:autoRedefine/>
    <w:qFormat/>
    <w:uiPriority w:val="0"/>
    <w:pPr>
      <w:tabs>
        <w:tab w:val="left" w:pos="595"/>
      </w:tabs>
      <w:spacing w:before="100" w:beforeAutospacing="1" w:after="100" w:afterAutospacing="1" w:line="360" w:lineRule="auto"/>
      <w:ind w:left="849" w:leftChars="200" w:hanging="369"/>
    </w:pPr>
    <w:rPr>
      <w:rFonts w:ascii="Times New Roman" w:hAnsi="Times New Roman" w:eastAsia="宋体" w:cs="Times New Roman"/>
      <w:sz w:val="24"/>
      <w:lang w:val="en-US" w:eastAsia="zh-CN" w:bidi="ar-SA"/>
    </w:rPr>
  </w:style>
  <w:style w:type="paragraph" w:customStyle="1" w:styleId="20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08">
    <w:name w:val="Char1"/>
    <w:basedOn w:val="1"/>
    <w:autoRedefine/>
    <w:qFormat/>
    <w:uiPriority w:val="0"/>
    <w:pPr>
      <w:adjustRightInd w:val="0"/>
      <w:spacing w:line="360" w:lineRule="auto"/>
    </w:pPr>
    <w:rPr>
      <w:kern w:val="0"/>
      <w:sz w:val="24"/>
      <w:szCs w:val="20"/>
    </w:rPr>
  </w:style>
  <w:style w:type="paragraph" w:customStyle="1" w:styleId="209">
    <w:name w:val="样式 XXXX + 首行缩进:  2 字符"/>
    <w:basedOn w:val="210"/>
    <w:autoRedefine/>
    <w:qFormat/>
    <w:uiPriority w:val="0"/>
    <w:pPr>
      <w:ind w:left="270" w:firstLine="150" w:firstLineChars="150"/>
    </w:pPr>
    <w:rPr>
      <w:rFonts w:cs="宋体"/>
      <w:szCs w:val="20"/>
    </w:rPr>
  </w:style>
  <w:style w:type="paragraph" w:customStyle="1" w:styleId="210">
    <w:name w:val="XXXX"/>
    <w:basedOn w:val="1"/>
    <w:autoRedefine/>
    <w:qFormat/>
    <w:uiPriority w:val="0"/>
    <w:pPr>
      <w:ind w:left="567" w:leftChars="270" w:firstLine="420" w:firstLineChars="200"/>
    </w:pPr>
    <w:rPr>
      <w:sz w:val="24"/>
    </w:rPr>
  </w:style>
  <w:style w:type="paragraph" w:customStyle="1" w:styleId="211">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21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213">
    <w:name w:val="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4">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215">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216">
    <w:name w:val="正文报告"/>
    <w:basedOn w:val="1"/>
    <w:autoRedefine/>
    <w:qFormat/>
    <w:uiPriority w:val="0"/>
    <w:pPr>
      <w:tabs>
        <w:tab w:val="left" w:pos="510"/>
      </w:tabs>
      <w:adjustRightInd w:val="0"/>
      <w:spacing w:line="460" w:lineRule="exact"/>
      <w:ind w:firstLine="482"/>
      <w:textAlignment w:val="baseline"/>
    </w:pPr>
    <w:rPr>
      <w:kern w:val="0"/>
      <w:sz w:val="24"/>
      <w:szCs w:val="20"/>
    </w:rPr>
  </w:style>
  <w:style w:type="paragraph" w:customStyle="1" w:styleId="217">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21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19">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220">
    <w:name w:val="Char Char Char1 Char Char Char Char Char Char"/>
    <w:basedOn w:val="1"/>
    <w:autoRedefine/>
    <w:qFormat/>
    <w:uiPriority w:val="0"/>
    <w:rPr>
      <w:sz w:val="24"/>
    </w:rPr>
  </w:style>
  <w:style w:type="paragraph" w:customStyle="1" w:styleId="22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2">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223">
    <w:name w:val="表格文字居中"/>
    <w:basedOn w:val="1"/>
    <w:next w:val="26"/>
    <w:autoRedefine/>
    <w:qFormat/>
    <w:uiPriority w:val="0"/>
    <w:pPr>
      <w:keepNext/>
      <w:tabs>
        <w:tab w:val="left" w:pos="628"/>
        <w:tab w:val="left" w:pos="1727"/>
        <w:tab w:val="left" w:pos="1884"/>
      </w:tabs>
      <w:adjustRightInd w:val="0"/>
      <w:snapToGrid w:val="0"/>
      <w:spacing w:before="10" w:beforeLines="10" w:after="100" w:afterAutospacing="1"/>
      <w:jc w:val="center"/>
    </w:pPr>
    <w:rPr>
      <w:rFonts w:ascii="宋体" w:hAnsi="宋体" w:cs="Arial"/>
      <w:bCs/>
      <w:color w:val="000000"/>
      <w:kern w:val="0"/>
      <w:sz w:val="24"/>
      <w:szCs w:val="21"/>
    </w:rPr>
  </w:style>
  <w:style w:type="paragraph" w:customStyle="1" w:styleId="224">
    <w:name w:val="font1"/>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25">
    <w:name w:val="_Style 60"/>
    <w:basedOn w:val="1"/>
    <w:next w:val="1"/>
    <w:autoRedefine/>
    <w:qFormat/>
    <w:uiPriority w:val="0"/>
    <w:pPr>
      <w:widowControl/>
      <w:spacing w:line="360" w:lineRule="auto"/>
      <w:jc w:val="left"/>
    </w:pPr>
    <w:rPr>
      <w:szCs w:val="20"/>
    </w:rPr>
  </w:style>
  <w:style w:type="paragraph" w:customStyle="1" w:styleId="226">
    <w:name w:val="Plain Text1"/>
    <w:basedOn w:val="1"/>
    <w:autoRedefine/>
    <w:qFormat/>
    <w:uiPriority w:val="0"/>
    <w:pPr>
      <w:adjustRightInd w:val="0"/>
      <w:spacing w:line="312" w:lineRule="atLeast"/>
      <w:textAlignment w:val="baseline"/>
    </w:pPr>
    <w:rPr>
      <w:rFonts w:ascii="宋体" w:hAnsi="Courier New"/>
      <w:kern w:val="0"/>
      <w:szCs w:val="20"/>
    </w:rPr>
  </w:style>
  <w:style w:type="paragraph" w:customStyle="1" w:styleId="227">
    <w:name w:val="CM55"/>
    <w:basedOn w:val="95"/>
    <w:next w:val="95"/>
    <w:autoRedefine/>
    <w:qFormat/>
    <w:uiPriority w:val="0"/>
    <w:pPr>
      <w:spacing w:line="273" w:lineRule="atLeast"/>
    </w:pPr>
    <w:rPr>
      <w:rFonts w:ascii="宋体" w:eastAsia="宋体" w:cs="Times New Roman"/>
      <w:color w:val="auto"/>
    </w:rPr>
  </w:style>
  <w:style w:type="paragraph" w:customStyle="1" w:styleId="228">
    <w:name w:val="CM28"/>
    <w:basedOn w:val="95"/>
    <w:next w:val="95"/>
    <w:autoRedefine/>
    <w:qFormat/>
    <w:uiPriority w:val="0"/>
    <w:pPr>
      <w:spacing w:line="273" w:lineRule="atLeast"/>
    </w:pPr>
    <w:rPr>
      <w:rFonts w:ascii="宋体" w:eastAsia="宋体" w:cs="Times New Roman"/>
      <w:color w:val="auto"/>
    </w:rPr>
  </w:style>
  <w:style w:type="paragraph" w:customStyle="1" w:styleId="229">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230">
    <w:name w:val="表内序号"/>
    <w:basedOn w:val="1"/>
    <w:autoRedefine/>
    <w:qFormat/>
    <w:uiPriority w:val="0"/>
    <w:pPr>
      <w:widowControl/>
      <w:tabs>
        <w:tab w:val="left" w:pos="1620"/>
      </w:tabs>
      <w:adjustRightInd w:val="0"/>
      <w:snapToGrid w:val="0"/>
      <w:spacing w:line="360" w:lineRule="auto"/>
      <w:jc w:val="left"/>
    </w:pPr>
    <w:rPr>
      <w:kern w:val="0"/>
      <w:sz w:val="24"/>
      <w:szCs w:val="20"/>
    </w:rPr>
  </w:style>
  <w:style w:type="paragraph" w:customStyle="1" w:styleId="231">
    <w:name w:val="调研内容"/>
    <w:basedOn w:val="1"/>
    <w:autoRedefine/>
    <w:qFormat/>
    <w:uiPriority w:val="0"/>
    <w:pPr>
      <w:spacing w:line="360" w:lineRule="auto"/>
    </w:pPr>
    <w:rPr>
      <w:szCs w:val="20"/>
    </w:rPr>
  </w:style>
  <w:style w:type="paragraph" w:customStyle="1" w:styleId="232">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33">
    <w:name w:val="标书正文"/>
    <w:basedOn w:val="25"/>
    <w:autoRedefine/>
    <w:qFormat/>
    <w:uiPriority w:val="0"/>
  </w:style>
  <w:style w:type="paragraph" w:customStyle="1" w:styleId="23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5">
    <w:name w:val="表格内容"/>
    <w:basedOn w:val="6"/>
    <w:next w:val="236"/>
    <w:autoRedefine/>
    <w:qFormat/>
    <w:uiPriority w:val="0"/>
    <w:pPr>
      <w:spacing w:before="0" w:after="0" w:line="240" w:lineRule="auto"/>
      <w:jc w:val="center"/>
      <w:outlineLvl w:val="9"/>
    </w:pPr>
    <w:rPr>
      <w:rFonts w:ascii="Arial" w:hAnsi="Arial"/>
      <w:b w:val="0"/>
      <w:kern w:val="0"/>
      <w:sz w:val="22"/>
    </w:rPr>
  </w:style>
  <w:style w:type="paragraph" w:customStyle="1" w:styleId="23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237">
    <w:name w:val="纯文本1"/>
    <w:basedOn w:val="1"/>
    <w:autoRedefine/>
    <w:qFormat/>
    <w:uiPriority w:val="0"/>
    <w:pPr>
      <w:spacing w:beforeLines="50" w:afterLines="50" w:line="400" w:lineRule="exact"/>
    </w:pPr>
    <w:rPr>
      <w:rFonts w:ascii="宋体" w:hAnsi="Courier New"/>
      <w:sz w:val="24"/>
    </w:rPr>
  </w:style>
  <w:style w:type="paragraph" w:customStyle="1" w:styleId="238">
    <w:name w:val="xl8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39">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0">
    <w:name w:val="xl94"/>
    <w:basedOn w:val="1"/>
    <w:autoRedefine/>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41">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242">
    <w:name w:val="Char Char Char"/>
    <w:basedOn w:val="1"/>
    <w:autoRedefine/>
    <w:qFormat/>
    <w:uiPriority w:val="0"/>
    <w:rPr>
      <w:rFonts w:ascii="Tahoma" w:hAnsi="Tahoma"/>
      <w:sz w:val="24"/>
      <w:szCs w:val="20"/>
    </w:rPr>
  </w:style>
  <w:style w:type="paragraph" w:customStyle="1" w:styleId="243">
    <w:name w:val="列表编号 3 New"/>
    <w:basedOn w:val="1"/>
    <w:autoRedefine/>
    <w:qFormat/>
    <w:uiPriority w:val="0"/>
    <w:pPr>
      <w:widowControl/>
      <w:tabs>
        <w:tab w:val="left" w:pos="482"/>
      </w:tabs>
      <w:spacing w:afterLines="50"/>
      <w:jc w:val="left"/>
    </w:pPr>
    <w:rPr>
      <w:kern w:val="0"/>
      <w:sz w:val="24"/>
      <w:szCs w:val="20"/>
    </w:rPr>
  </w:style>
  <w:style w:type="paragraph" w:customStyle="1" w:styleId="24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24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46">
    <w:name w:val="段落2"/>
    <w:basedOn w:val="1"/>
    <w:autoRedefine/>
    <w:qFormat/>
    <w:uiPriority w:val="0"/>
    <w:pPr>
      <w:adjustRightInd w:val="0"/>
      <w:spacing w:line="400" w:lineRule="atLeast"/>
      <w:ind w:firstLine="454"/>
      <w:jc w:val="left"/>
      <w:textAlignment w:val="baseline"/>
    </w:pPr>
    <w:rPr>
      <w:kern w:val="0"/>
      <w:sz w:val="28"/>
      <w:szCs w:val="20"/>
    </w:rPr>
  </w:style>
  <w:style w:type="paragraph" w:customStyle="1" w:styleId="24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248">
    <w:name w:val="彩色底纹 - 强调文字颜色 12"/>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9">
    <w:name w:val="Bullet 3"/>
    <w:basedOn w:val="1"/>
    <w:next w:val="1"/>
    <w:autoRedefine/>
    <w:qFormat/>
    <w:uiPriority w:val="0"/>
    <w:pPr>
      <w:widowControl/>
      <w:tabs>
        <w:tab w:val="left" w:pos="1440"/>
      </w:tabs>
      <w:ind w:left="3600" w:hanging="420"/>
      <w:jc w:val="left"/>
    </w:pPr>
    <w:rPr>
      <w:rFonts w:ascii="Arial" w:hAnsi="Arial"/>
      <w:kern w:val="0"/>
      <w:sz w:val="20"/>
      <w:szCs w:val="20"/>
      <w:lang w:eastAsia="en-US"/>
    </w:rPr>
  </w:style>
  <w:style w:type="paragraph" w:customStyle="1" w:styleId="25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51">
    <w:name w:val="PI"/>
    <w:basedOn w:val="1"/>
    <w:next w:val="50"/>
    <w:autoRedefine/>
    <w:qFormat/>
    <w:uiPriority w:val="0"/>
    <w:pPr>
      <w:pBdr>
        <w:top w:val="single" w:color="auto" w:sz="12" w:space="0"/>
      </w:pBdr>
      <w:adjustRightInd w:val="0"/>
      <w:spacing w:before="360" w:after="240" w:line="360" w:lineRule="atLeast"/>
      <w:ind w:firstLine="482"/>
      <w:jc w:val="left"/>
      <w:textAlignment w:val="baseline"/>
    </w:pPr>
    <w:rPr>
      <w:b/>
      <w:i/>
      <w:kern w:val="0"/>
      <w:sz w:val="26"/>
      <w:szCs w:val="20"/>
    </w:rPr>
  </w:style>
  <w:style w:type="paragraph" w:customStyle="1" w:styleId="252">
    <w:name w:val="Char Char Char Char"/>
    <w:basedOn w:val="1"/>
    <w:autoRedefine/>
    <w:qFormat/>
    <w:uiPriority w:val="0"/>
    <w:rPr>
      <w:rFonts w:ascii="Tahoma" w:hAnsi="Tahoma" w:cs="Tahoma"/>
      <w:sz w:val="24"/>
    </w:rPr>
  </w:style>
  <w:style w:type="paragraph" w:customStyle="1" w:styleId="253">
    <w:name w:val="Char Char Char Char Char Char Char Char Char Char Char Char Char Char Char Char Char Char Char Char Char Char Char Char"/>
    <w:basedOn w:val="1"/>
    <w:autoRedefine/>
    <w:qFormat/>
    <w:uiPriority w:val="0"/>
  </w:style>
  <w:style w:type="paragraph" w:customStyle="1" w:styleId="254">
    <w:name w:val="Bullet 4"/>
    <w:basedOn w:val="1"/>
    <w:next w:val="1"/>
    <w:autoRedefine/>
    <w:qFormat/>
    <w:uiPriority w:val="0"/>
    <w:pPr>
      <w:widowControl/>
      <w:tabs>
        <w:tab w:val="left" w:pos="1440"/>
      </w:tabs>
      <w:ind w:left="4320" w:hanging="567"/>
      <w:jc w:val="left"/>
    </w:pPr>
    <w:rPr>
      <w:rFonts w:ascii="Arial" w:hAnsi="Arial"/>
      <w:kern w:val="0"/>
      <w:sz w:val="20"/>
      <w:szCs w:val="20"/>
      <w:lang w:eastAsia="en-US"/>
    </w:rPr>
  </w:style>
  <w:style w:type="paragraph" w:customStyle="1" w:styleId="25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256">
    <w:name w:val="Bullets L1"/>
    <w:basedOn w:val="1"/>
    <w:autoRedefine/>
    <w:qFormat/>
    <w:uiPriority w:val="0"/>
    <w:pPr>
      <w:widowControl/>
      <w:tabs>
        <w:tab w:val="left" w:pos="720"/>
      </w:tabs>
      <w:spacing w:before="60" w:after="60"/>
      <w:ind w:left="720" w:hanging="720"/>
      <w:jc w:val="left"/>
    </w:pPr>
    <w:rPr>
      <w:rFonts w:ascii="Arial" w:hAnsi="Arial"/>
      <w:kern w:val="0"/>
      <w:sz w:val="20"/>
      <w:szCs w:val="20"/>
    </w:rPr>
  </w:style>
  <w:style w:type="paragraph" w:customStyle="1" w:styleId="257">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58">
    <w:name w:val="p10"/>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59">
    <w:name w:val="图文文字"/>
    <w:basedOn w:val="1"/>
    <w:autoRedefine/>
    <w:qFormat/>
    <w:uiPriority w:val="0"/>
    <w:pPr>
      <w:spacing w:before="100" w:after="100" w:line="360" w:lineRule="auto"/>
    </w:pPr>
    <w:rPr>
      <w:rFonts w:ascii="Arial" w:hAnsi="Arial"/>
      <w:position w:val="4"/>
      <w:sz w:val="24"/>
      <w:szCs w:val="20"/>
    </w:rPr>
  </w:style>
  <w:style w:type="paragraph" w:customStyle="1" w:styleId="26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61">
    <w:name w:val="书籍标题1"/>
    <w:basedOn w:val="1"/>
    <w:next w:val="1"/>
    <w:autoRedefine/>
    <w:qFormat/>
    <w:uiPriority w:val="0"/>
    <w:pPr>
      <w:pageBreakBefore/>
      <w:widowControl/>
      <w:tabs>
        <w:tab w:val="left" w:pos="1500"/>
      </w:tabs>
      <w:spacing w:before="624" w:beforeLines="200" w:after="624" w:afterLines="200"/>
      <w:ind w:hanging="720"/>
      <w:jc w:val="center"/>
      <w:outlineLvl w:val="0"/>
    </w:pPr>
    <w:rPr>
      <w:rFonts w:eastAsia="黑体"/>
      <w:b/>
      <w:bCs/>
      <w:spacing w:val="20"/>
      <w:kern w:val="44"/>
      <w:sz w:val="44"/>
      <w:szCs w:val="20"/>
    </w:rPr>
  </w:style>
  <w:style w:type="paragraph" w:customStyle="1" w:styleId="26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3">
    <w:name w:val="p9"/>
    <w:basedOn w:val="1"/>
    <w:autoRedefine/>
    <w:qFormat/>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 w:type="paragraph" w:customStyle="1" w:styleId="264">
    <w:name w:val="Char Char Char Char1"/>
    <w:basedOn w:val="1"/>
    <w:autoRedefine/>
    <w:qFormat/>
    <w:uiPriority w:val="0"/>
    <w:rPr>
      <w:szCs w:val="21"/>
    </w:rPr>
  </w:style>
  <w:style w:type="paragraph" w:customStyle="1" w:styleId="265">
    <w:name w:val="Char1 Char Char Char Char Char Char Char Char Char Char Char Char"/>
    <w:basedOn w:val="1"/>
    <w:autoRedefine/>
    <w:qFormat/>
    <w:uiPriority w:val="0"/>
    <w:rPr>
      <w:sz w:val="24"/>
    </w:rPr>
  </w:style>
  <w:style w:type="paragraph" w:customStyle="1" w:styleId="26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26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68">
    <w:name w:val="样式 标题 3 + 宋体 行距: 1.5 倍行距"/>
    <w:basedOn w:val="8"/>
    <w:autoRedefine/>
    <w:qFormat/>
    <w:uiPriority w:val="0"/>
    <w:pPr>
      <w:keepNext w:val="0"/>
      <w:keepLines w:val="0"/>
      <w:widowControl/>
      <w:spacing w:before="0" w:after="200" w:line="360" w:lineRule="auto"/>
      <w:ind w:left="180" w:firstLine="0" w:firstLineChars="0"/>
      <w:jc w:val="left"/>
    </w:pPr>
    <w:rPr>
      <w:rFonts w:ascii="宋体" w:hAnsi="宋体"/>
      <w:bCs w:val="0"/>
      <w:sz w:val="21"/>
      <w:szCs w:val="20"/>
      <w:lang w:val="en-GB"/>
    </w:rPr>
  </w:style>
  <w:style w:type="paragraph" w:customStyle="1" w:styleId="269">
    <w:name w:val="样式 题注 + 首行缩进:  2 字符2"/>
    <w:basedOn w:val="20"/>
    <w:autoRedefine/>
    <w:qFormat/>
    <w:uiPriority w:val="0"/>
    <w:pPr>
      <w:keepNext/>
      <w:snapToGrid w:val="0"/>
      <w:spacing w:before="0" w:after="0" w:line="240" w:lineRule="auto"/>
      <w:jc w:val="center"/>
      <w:textAlignment w:val="auto"/>
    </w:pPr>
    <w:rPr>
      <w:rFonts w:ascii="黑体" w:hAnsi="宋体"/>
      <w:kern w:val="2"/>
    </w:rPr>
  </w:style>
  <w:style w:type="paragraph" w:customStyle="1" w:styleId="270">
    <w:name w:val="正文一级"/>
    <w:basedOn w:val="1"/>
    <w:autoRedefine/>
    <w:qFormat/>
    <w:uiPriority w:val="0"/>
    <w:pPr>
      <w:widowControl/>
      <w:autoSpaceDE w:val="0"/>
      <w:autoSpaceDN w:val="0"/>
      <w:adjustRightInd w:val="0"/>
      <w:spacing w:before="120" w:beforeLines="50" w:after="120" w:line="360" w:lineRule="auto"/>
      <w:ind w:left="567" w:right="-11"/>
    </w:pPr>
    <w:rPr>
      <w:rFonts w:ascii="宋体" w:hAnsi="CG Times"/>
      <w:kern w:val="0"/>
      <w:sz w:val="24"/>
      <w:szCs w:val="20"/>
    </w:rPr>
  </w:style>
  <w:style w:type="paragraph" w:customStyle="1" w:styleId="271">
    <w:name w:val="Default Paragraph Char Char Char Char"/>
    <w:basedOn w:val="1"/>
    <w:next w:val="1"/>
    <w:autoRedefine/>
    <w:qFormat/>
    <w:uiPriority w:val="0"/>
    <w:pPr>
      <w:widowControl/>
      <w:spacing w:line="360" w:lineRule="auto"/>
      <w:jc w:val="left"/>
    </w:pPr>
  </w:style>
  <w:style w:type="paragraph" w:customStyle="1" w:styleId="272">
    <w:name w:val="样式 左侧:  1.27 厘米 段前: 6 磅 段后: 7.8 磅"/>
    <w:basedOn w:val="1"/>
    <w:qFormat/>
    <w:uiPriority w:val="0"/>
    <w:pPr>
      <w:spacing w:before="120" w:after="156"/>
      <w:ind w:left="720"/>
    </w:pPr>
    <w:rPr>
      <w:rFonts w:cs="宋体"/>
      <w:sz w:val="24"/>
      <w:szCs w:val="20"/>
    </w:rPr>
  </w:style>
  <w:style w:type="paragraph" w:customStyle="1" w:styleId="273">
    <w:name w:val="论文正文"/>
    <w:basedOn w:val="34"/>
    <w:autoRedefine/>
    <w:qFormat/>
    <w:uiPriority w:val="0"/>
    <w:pPr>
      <w:adjustRightInd/>
      <w:snapToGrid/>
      <w:spacing w:line="360" w:lineRule="auto"/>
      <w:ind w:firstLine="200" w:firstLineChars="200"/>
      <w:jc w:val="left"/>
    </w:pPr>
    <w:rPr>
      <w:rFonts w:eastAsia="仿宋_GB2312"/>
      <w:snapToGrid/>
      <w:kern w:val="2"/>
      <w:sz w:val="28"/>
    </w:rPr>
  </w:style>
  <w:style w:type="paragraph" w:customStyle="1" w:styleId="274">
    <w:name w:val="标准段落"/>
    <w:basedOn w:val="1"/>
    <w:autoRedefine/>
    <w:qFormat/>
    <w:uiPriority w:val="0"/>
    <w:pPr>
      <w:adjustRightInd w:val="0"/>
      <w:spacing w:line="400" w:lineRule="atLeast"/>
      <w:textAlignment w:val="baseline"/>
    </w:pPr>
    <w:rPr>
      <w:rFonts w:ascii="宋体"/>
      <w:kern w:val="0"/>
      <w:sz w:val="24"/>
      <w:szCs w:val="20"/>
    </w:rPr>
  </w:style>
  <w:style w:type="paragraph" w:customStyle="1" w:styleId="275">
    <w:name w:val="不缩进"/>
    <w:basedOn w:val="1"/>
    <w:autoRedefine/>
    <w:qFormat/>
    <w:uiPriority w:val="0"/>
    <w:pPr>
      <w:adjustRightInd w:val="0"/>
      <w:snapToGrid w:val="0"/>
      <w:spacing w:line="300" w:lineRule="auto"/>
      <w:jc w:val="center"/>
    </w:pPr>
    <w:rPr>
      <w:rFonts w:ascii="宋体" w:hAnsi="宋体"/>
      <w:color w:val="000000"/>
      <w:sz w:val="24"/>
    </w:rPr>
  </w:style>
  <w:style w:type="paragraph" w:customStyle="1" w:styleId="27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277">
    <w:name w:val="_Style 30"/>
    <w:basedOn w:val="1"/>
    <w:next w:val="1"/>
    <w:autoRedefine/>
    <w:qFormat/>
    <w:uiPriority w:val="0"/>
    <w:pPr>
      <w:widowControl/>
      <w:spacing w:line="360" w:lineRule="auto"/>
      <w:jc w:val="left"/>
    </w:pPr>
  </w:style>
  <w:style w:type="paragraph" w:customStyle="1" w:styleId="278">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79">
    <w:name w:val="表内文字"/>
    <w:basedOn w:val="1"/>
    <w:autoRedefine/>
    <w:qFormat/>
    <w:uiPriority w:val="0"/>
    <w:pPr>
      <w:widowControl/>
      <w:adjustRightInd w:val="0"/>
      <w:snapToGrid w:val="0"/>
      <w:spacing w:before="40" w:after="40" w:line="320" w:lineRule="exact"/>
      <w:jc w:val="center"/>
    </w:pPr>
    <w:rPr>
      <w:rFonts w:ascii="宋体" w:hAnsi="宋体"/>
      <w:szCs w:val="20"/>
    </w:rPr>
  </w:style>
  <w:style w:type="paragraph" w:customStyle="1" w:styleId="280">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81">
    <w:name w:val="Char Char Char1"/>
    <w:basedOn w:val="1"/>
    <w:autoRedefine/>
    <w:qFormat/>
    <w:uiPriority w:val="0"/>
    <w:rPr>
      <w:rFonts w:ascii="Tahoma" w:hAnsi="Tahoma"/>
      <w:sz w:val="24"/>
      <w:szCs w:val="20"/>
    </w:rPr>
  </w:style>
  <w:style w:type="paragraph" w:customStyle="1" w:styleId="282">
    <w:name w:val="Normal1"/>
    <w:autoRedefine/>
    <w:qFormat/>
    <w:uiPriority w:val="0"/>
    <w:pPr>
      <w:widowControl w:val="0"/>
      <w:adjustRightInd w:val="0"/>
      <w:spacing w:line="307" w:lineRule="atLeast"/>
      <w:jc w:val="both"/>
      <w:textAlignment w:val="baseline"/>
    </w:pPr>
    <w:rPr>
      <w:rFonts w:ascii="宋体" w:hAnsi="Times New Roman" w:eastAsia="宋体" w:cs="Times New Roman"/>
      <w:sz w:val="18"/>
      <w:lang w:val="en-US" w:eastAsia="zh-CN" w:bidi="ar-SA"/>
    </w:rPr>
  </w:style>
  <w:style w:type="paragraph" w:customStyle="1" w:styleId="283">
    <w:name w:val="中等深浅网格 2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样式3"/>
    <w:basedOn w:val="31"/>
    <w:autoRedefine/>
    <w:qFormat/>
    <w:uiPriority w:val="0"/>
    <w:pPr>
      <w:spacing w:line="0" w:lineRule="atLeast"/>
      <w:outlineLvl w:val="0"/>
    </w:pPr>
    <w:rPr>
      <w:sz w:val="28"/>
    </w:rPr>
  </w:style>
  <w:style w:type="paragraph" w:customStyle="1" w:styleId="285">
    <w:name w:val="表格侧编号"/>
    <w:next w:val="1"/>
    <w:autoRedefine/>
    <w:qFormat/>
    <w:uiPriority w:val="0"/>
    <w:pPr>
      <w:widowControl w:val="0"/>
      <w:adjustRightInd w:val="0"/>
      <w:spacing w:before="120"/>
      <w:jc w:val="center"/>
      <w:textAlignment w:val="baseline"/>
    </w:pPr>
    <w:rPr>
      <w:rFonts w:ascii="宋体" w:hAnsi="Times New Roman" w:eastAsia="宋体" w:cs="Times New Roman"/>
      <w:sz w:val="24"/>
      <w:lang w:val="en-US" w:eastAsia="zh-CN" w:bidi="ar-SA"/>
    </w:rPr>
  </w:style>
  <w:style w:type="paragraph" w:customStyle="1" w:styleId="286">
    <w:name w:val="Section VII Header2"/>
    <w:basedOn w:val="6"/>
    <w:autoRedefine/>
    <w:qFormat/>
    <w:uiPriority w:val="0"/>
    <w:pPr>
      <w:keepNext w:val="0"/>
      <w:keepLines w:val="0"/>
      <w:widowControl/>
      <w:tabs>
        <w:tab w:val="right" w:pos="9000"/>
      </w:tabs>
      <w:spacing w:before="120" w:after="120" w:line="260" w:lineRule="exact"/>
      <w:ind w:right="12"/>
      <w:jc w:val="center"/>
      <w:outlineLvl w:val="9"/>
    </w:pPr>
    <w:rPr>
      <w:rFonts w:ascii="宋体" w:hAnsi="宋体" w:cs="Arial"/>
      <w:kern w:val="0"/>
      <w:sz w:val="24"/>
      <w:szCs w:val="20"/>
    </w:rPr>
  </w:style>
  <w:style w:type="paragraph" w:customStyle="1" w:styleId="2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288">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289">
    <w:name w:val="CM54"/>
    <w:basedOn w:val="95"/>
    <w:next w:val="95"/>
    <w:autoRedefine/>
    <w:qFormat/>
    <w:uiPriority w:val="0"/>
    <w:pPr>
      <w:spacing w:line="273" w:lineRule="atLeast"/>
    </w:pPr>
    <w:rPr>
      <w:rFonts w:ascii="宋体" w:eastAsia="宋体" w:cs="Times New Roman"/>
      <w:color w:val="auto"/>
    </w:rPr>
  </w:style>
  <w:style w:type="paragraph" w:customStyle="1" w:styleId="290">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291">
    <w:name w:val="样式 标题 4 + 黑色"/>
    <w:basedOn w:val="9"/>
    <w:autoRedefine/>
    <w:qFormat/>
    <w:uiPriority w:val="0"/>
    <w:pPr>
      <w:keepNext w:val="0"/>
      <w:widowControl/>
      <w:spacing w:after="200" w:line="360" w:lineRule="auto"/>
      <w:ind w:left="1980"/>
      <w:jc w:val="left"/>
    </w:pPr>
    <w:rPr>
      <w:rFonts w:ascii="Times New Roman" w:hAnsi="Times New Roman" w:eastAsia="宋体"/>
      <w:b w:val="0"/>
      <w:bCs w:val="0"/>
      <w:color w:val="000000"/>
      <w:sz w:val="21"/>
      <w:lang w:val="en-GB"/>
    </w:rPr>
  </w:style>
  <w:style w:type="paragraph" w:customStyle="1" w:styleId="292">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3">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94">
    <w:name w:val="Char Char Char1 Char"/>
    <w:basedOn w:val="1"/>
    <w:autoRedefine/>
    <w:qFormat/>
    <w:uiPriority w:val="0"/>
  </w:style>
  <w:style w:type="paragraph" w:customStyle="1" w:styleId="2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96">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297">
    <w:name w:val="XXX"/>
    <w:basedOn w:val="1"/>
    <w:autoRedefine/>
    <w:qFormat/>
    <w:uiPriority w:val="0"/>
    <w:pPr>
      <w:ind w:firstLine="250" w:firstLineChars="250"/>
    </w:pPr>
    <w:rPr>
      <w:sz w:val="24"/>
    </w:rPr>
  </w:style>
  <w:style w:type="paragraph" w:customStyle="1" w:styleId="29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99">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1">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302">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03">
    <w:name w:val="Char Char Char Char Char Char Char Char Char Char Char Char Char"/>
    <w:basedOn w:val="1"/>
    <w:qFormat/>
    <w:uiPriority w:val="0"/>
    <w:rPr>
      <w:rFonts w:ascii="Tahoma" w:hAnsi="Tahoma"/>
      <w:sz w:val="24"/>
      <w:szCs w:val="20"/>
    </w:rPr>
  </w:style>
  <w:style w:type="paragraph" w:customStyle="1" w:styleId="304">
    <w:name w:val="样式5"/>
    <w:basedOn w:val="6"/>
    <w:autoRedefine/>
    <w:qFormat/>
    <w:uiPriority w:val="0"/>
    <w:pPr>
      <w:adjustRightInd w:val="0"/>
      <w:snapToGrid w:val="0"/>
      <w:spacing w:before="0" w:after="0" w:line="360" w:lineRule="auto"/>
      <w:jc w:val="center"/>
    </w:pPr>
    <w:rPr>
      <w:rFonts w:ascii="Garamond" w:hAnsi="Garamond" w:eastAsia="黑体"/>
      <w:bCs w:val="0"/>
      <w:sz w:val="24"/>
      <w:szCs w:val="20"/>
      <w14:shadow w14:blurRad="50800" w14:dist="38100" w14:dir="2700000" w14:sx="100000" w14:sy="100000" w14:kx="0" w14:ky="0" w14:algn="tl">
        <w14:srgbClr w14:val="000000">
          <w14:alpha w14:val="60000"/>
        </w14:srgbClr>
      </w14:shadow>
    </w:rPr>
  </w:style>
  <w:style w:type="paragraph" w:customStyle="1" w:styleId="305">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06">
    <w:name w:val="样式4"/>
    <w:basedOn w:val="6"/>
    <w:autoRedefine/>
    <w:qFormat/>
    <w:uiPriority w:val="0"/>
    <w:pPr>
      <w:adjustRightInd w:val="0"/>
      <w:snapToGrid w:val="0"/>
      <w:spacing w:before="0" w:after="0" w:line="360" w:lineRule="auto"/>
      <w:jc w:val="center"/>
    </w:pPr>
    <w:rPr>
      <w:rFonts w:ascii="宋体" w:hAnsi="Garamond" w:eastAsia="黑体"/>
      <w:b w:val="0"/>
      <w:bCs w:val="0"/>
      <w:sz w:val="32"/>
      <w:szCs w:val="32"/>
      <w14:shadow w14:blurRad="50800" w14:dist="38100" w14:dir="2700000" w14:sx="100000" w14:sy="100000" w14:kx="0" w14:ky="0" w14:algn="tl">
        <w14:srgbClr w14:val="000000">
          <w14:alpha w14:val="60000"/>
        </w14:srgbClr>
      </w14:shadow>
    </w:rPr>
  </w:style>
  <w:style w:type="paragraph" w:customStyle="1" w:styleId="307">
    <w:name w:val="KK"/>
    <w:basedOn w:val="209"/>
    <w:autoRedefine/>
    <w:qFormat/>
    <w:uiPriority w:val="0"/>
    <w:pPr>
      <w:ind w:firstLine="50" w:firstLineChars="50"/>
    </w:pPr>
  </w:style>
  <w:style w:type="paragraph" w:customStyle="1" w:styleId="308">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309">
    <w:name w:val="段落"/>
    <w:basedOn w:val="1"/>
    <w:autoRedefine/>
    <w:qFormat/>
    <w:uiPriority w:val="0"/>
    <w:pPr>
      <w:spacing w:line="460" w:lineRule="exact"/>
      <w:ind w:firstLine="480"/>
    </w:pPr>
    <w:rPr>
      <w:sz w:val="24"/>
      <w:szCs w:val="20"/>
    </w:rPr>
  </w:style>
  <w:style w:type="paragraph" w:customStyle="1" w:styleId="310">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311">
    <w:name w:val="CM17"/>
    <w:basedOn w:val="95"/>
    <w:next w:val="95"/>
    <w:autoRedefine/>
    <w:qFormat/>
    <w:uiPriority w:val="0"/>
    <w:pPr>
      <w:spacing w:line="273" w:lineRule="atLeast"/>
    </w:pPr>
    <w:rPr>
      <w:rFonts w:ascii="宋体" w:eastAsia="宋体" w:cs="Times New Roman"/>
      <w:color w:val="auto"/>
    </w:rPr>
  </w:style>
  <w:style w:type="paragraph" w:customStyle="1" w:styleId="312">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13">
    <w:name w:val="!Texte courant"/>
    <w:autoRedefine/>
    <w:qFormat/>
    <w:uiPriority w:val="0"/>
    <w:pPr>
      <w:spacing w:before="120" w:line="280" w:lineRule="atLeast"/>
      <w:jc w:val="both"/>
    </w:pPr>
    <w:rPr>
      <w:rFonts w:ascii="Times New Roman" w:hAnsi="Times New Roman" w:eastAsia="宋体" w:cs="Times New Roman"/>
      <w:sz w:val="24"/>
      <w:lang w:val="fr-FR" w:eastAsia="en-US" w:bidi="ar-SA"/>
    </w:rPr>
  </w:style>
  <w:style w:type="paragraph" w:customStyle="1" w:styleId="314">
    <w:name w:val="二级条标题"/>
    <w:basedOn w:val="1"/>
    <w:next w:val="1"/>
    <w:autoRedefine/>
    <w:qFormat/>
    <w:uiPriority w:val="0"/>
    <w:pPr>
      <w:widowControl/>
      <w:jc w:val="left"/>
      <w:outlineLvl w:val="3"/>
    </w:pPr>
    <w:rPr>
      <w:rFonts w:eastAsia="黑体"/>
      <w:kern w:val="0"/>
      <w:szCs w:val="20"/>
    </w:rPr>
  </w:style>
  <w:style w:type="paragraph" w:customStyle="1" w:styleId="315">
    <w:name w:val="CM6"/>
    <w:basedOn w:val="95"/>
    <w:next w:val="95"/>
    <w:autoRedefine/>
    <w:qFormat/>
    <w:uiPriority w:val="0"/>
    <w:pPr>
      <w:spacing w:line="273" w:lineRule="atLeast"/>
    </w:pPr>
    <w:rPr>
      <w:rFonts w:ascii="宋体" w:eastAsia="宋体" w:cs="Times New Roman"/>
      <w:color w:val="auto"/>
    </w:rPr>
  </w:style>
  <w:style w:type="paragraph" w:customStyle="1" w:styleId="316">
    <w:name w:val="表格1"/>
    <w:basedOn w:val="1"/>
    <w:autoRedefine/>
    <w:qFormat/>
    <w:uiPriority w:val="0"/>
    <w:pPr>
      <w:adjustRightInd w:val="0"/>
      <w:textAlignment w:val="baseline"/>
    </w:pPr>
    <w:rPr>
      <w:rFonts w:ascii="宋体"/>
      <w:kern w:val="24"/>
      <w:szCs w:val="21"/>
    </w:rPr>
  </w:style>
  <w:style w:type="paragraph" w:customStyle="1" w:styleId="317">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318">
    <w:name w:val="样式 标题 3 + (中文) 黑体 小四 非加粗 段前: 7.8 磅 段后: 0 磅 行距: 固定值 20 磅"/>
    <w:basedOn w:val="8"/>
    <w:autoRedefine/>
    <w:qFormat/>
    <w:uiPriority w:val="0"/>
    <w:pPr>
      <w:spacing w:before="0" w:after="0" w:line="400" w:lineRule="exact"/>
      <w:ind w:firstLine="0" w:firstLineChars="0"/>
    </w:pPr>
    <w:rPr>
      <w:rFonts w:eastAsia="黑体" w:cs="宋体"/>
      <w:bCs w:val="0"/>
      <w:szCs w:val="20"/>
    </w:rPr>
  </w:style>
  <w:style w:type="paragraph" w:customStyle="1" w:styleId="319">
    <w:name w:val="标题3"/>
    <w:basedOn w:val="8"/>
    <w:next w:val="8"/>
    <w:autoRedefine/>
    <w:qFormat/>
    <w:uiPriority w:val="0"/>
    <w:pPr>
      <w:keepNext w:val="0"/>
      <w:keepLines w:val="0"/>
      <w:kinsoku w:val="0"/>
      <w:overflowPunct w:val="0"/>
      <w:topLinePunct/>
      <w:autoSpaceDE w:val="0"/>
      <w:autoSpaceDN w:val="0"/>
      <w:adjustRightInd w:val="0"/>
      <w:spacing w:before="0" w:after="0" w:line="360" w:lineRule="auto"/>
      <w:ind w:left="30" w:firstLine="0" w:firstLineChars="0"/>
      <w:jc w:val="left"/>
    </w:pPr>
    <w:rPr>
      <w:bCs w:val="0"/>
      <w:sz w:val="28"/>
      <w:szCs w:val="28"/>
    </w:rPr>
  </w:style>
  <w:style w:type="paragraph" w:customStyle="1" w:styleId="320">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321">
    <w:name w:val="CM4"/>
    <w:basedOn w:val="95"/>
    <w:next w:val="95"/>
    <w:autoRedefine/>
    <w:qFormat/>
    <w:uiPriority w:val="0"/>
    <w:pPr>
      <w:spacing w:line="273" w:lineRule="atLeast"/>
    </w:pPr>
    <w:rPr>
      <w:rFonts w:ascii="宋体" w:eastAsia="宋体" w:cs="Times New Roman"/>
      <w:color w:val="auto"/>
    </w:rPr>
  </w:style>
  <w:style w:type="paragraph" w:customStyle="1" w:styleId="322">
    <w:name w:val="Objective"/>
    <w:basedOn w:val="1"/>
    <w:next w:val="25"/>
    <w:autoRedefine/>
    <w:qFormat/>
    <w:uiPriority w:val="0"/>
    <w:pPr>
      <w:widowControl/>
      <w:spacing w:before="220" w:after="220" w:line="220" w:lineRule="atLeast"/>
      <w:jc w:val="left"/>
    </w:pPr>
    <w:rPr>
      <w:kern w:val="0"/>
      <w:sz w:val="24"/>
      <w:szCs w:val="20"/>
    </w:rPr>
  </w:style>
  <w:style w:type="paragraph" w:customStyle="1" w:styleId="323">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4">
    <w:name w:val="Table Paragraph"/>
    <w:basedOn w:val="1"/>
    <w:autoRedefine/>
    <w:qFormat/>
    <w:uiPriority w:val="1"/>
    <w:rPr>
      <w:rFonts w:ascii="宋体" w:hAnsi="宋体" w:cs="宋体"/>
      <w:lang w:val="zh-CN" w:bidi="zh-CN"/>
    </w:rPr>
  </w:style>
  <w:style w:type="paragraph" w:customStyle="1" w:styleId="32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27">
    <w:name w:val="图表标题"/>
    <w:basedOn w:val="1"/>
    <w:autoRedefine/>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328">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329">
    <w:name w:val="font11"/>
    <w:basedOn w:val="1"/>
    <w:autoRedefine/>
    <w:qFormat/>
    <w:uiPriority w:val="0"/>
    <w:pPr>
      <w:widowControl/>
      <w:spacing w:before="100" w:beforeAutospacing="1" w:after="100" w:afterAutospacing="1"/>
      <w:jc w:val="left"/>
    </w:pPr>
    <w:rPr>
      <w:color w:val="FF0000"/>
      <w:kern w:val="0"/>
      <w:sz w:val="28"/>
      <w:szCs w:val="28"/>
    </w:rPr>
  </w:style>
  <w:style w:type="paragraph" w:customStyle="1" w:styleId="330">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331">
    <w:name w:val="目录标题"/>
    <w:basedOn w:val="6"/>
    <w:next w:val="1"/>
    <w:autoRedefine/>
    <w:qFormat/>
    <w:uiPriority w:val="0"/>
    <w:pPr>
      <w:widowControl/>
      <w:spacing w:before="480" w:after="0" w:line="276" w:lineRule="auto"/>
      <w:outlineLvl w:val="9"/>
    </w:pPr>
    <w:rPr>
      <w:rFonts w:ascii="Cambria" w:hAnsi="Cambria"/>
      <w:color w:val="365F91"/>
      <w:kern w:val="0"/>
      <w:szCs w:val="28"/>
    </w:rPr>
  </w:style>
  <w:style w:type="paragraph" w:customStyle="1" w:styleId="332">
    <w:name w:val="Item Step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333">
    <w:name w:val="默认段落字体 Para Char Char Char Char"/>
    <w:basedOn w:val="1"/>
    <w:autoRedefine/>
    <w:qFormat/>
    <w:uiPriority w:val="0"/>
    <w:rPr>
      <w:szCs w:val="20"/>
    </w:rPr>
  </w:style>
  <w:style w:type="paragraph" w:customStyle="1" w:styleId="334">
    <w:name w:val="默认段落字体 Para Char Char Char Char Char Char Char Char Char1 Char"/>
    <w:basedOn w:val="1"/>
    <w:autoRedefine/>
    <w:qFormat/>
    <w:uiPriority w:val="0"/>
    <w:rPr>
      <w:rFonts w:ascii="Tahoma" w:hAnsi="Tahoma"/>
      <w:sz w:val="24"/>
      <w:szCs w:val="20"/>
    </w:rPr>
  </w:style>
  <w:style w:type="paragraph" w:customStyle="1" w:styleId="335">
    <w:name w:val="Heading3(1.)"/>
    <w:basedOn w:val="1"/>
    <w:autoRedefine/>
    <w:qFormat/>
    <w:uiPriority w:val="0"/>
    <w:pPr>
      <w:keepLines/>
      <w:framePr w:hSpace="180" w:vSpace="180" w:wrap="around" w:vAnchor="margin" w:hAnchor="text" w:y="1"/>
      <w:widowControl/>
      <w:tabs>
        <w:tab w:val="left" w:pos="1440"/>
      </w:tabs>
      <w:ind w:left="990"/>
      <w:jc w:val="left"/>
    </w:pPr>
    <w:rPr>
      <w:kern w:val="0"/>
      <w:sz w:val="20"/>
      <w:szCs w:val="20"/>
    </w:rPr>
  </w:style>
  <w:style w:type="paragraph" w:customStyle="1" w:styleId="336">
    <w:name w:val="样式2"/>
    <w:basedOn w:val="7"/>
    <w:autoRedefine/>
    <w:qFormat/>
    <w:uiPriority w:val="0"/>
    <w:rPr>
      <w:rFonts w:eastAsia="楷体_GB2312"/>
    </w:rPr>
  </w:style>
  <w:style w:type="paragraph" w:customStyle="1" w:styleId="337">
    <w:name w:val="a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3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340">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341">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42">
    <w:name w:val="列出段落1"/>
    <w:basedOn w:val="1"/>
    <w:autoRedefine/>
    <w:qFormat/>
    <w:uiPriority w:val="0"/>
    <w:pPr>
      <w:ind w:firstLine="420" w:firstLineChars="200"/>
    </w:pPr>
    <w:rPr>
      <w:rFonts w:ascii="Calibri" w:hAnsi="Calibri"/>
      <w:szCs w:val="22"/>
    </w:rPr>
  </w:style>
  <w:style w:type="paragraph" w:customStyle="1" w:styleId="343">
    <w:name w:val="CM21"/>
    <w:basedOn w:val="95"/>
    <w:next w:val="95"/>
    <w:autoRedefine/>
    <w:qFormat/>
    <w:uiPriority w:val="0"/>
    <w:pPr>
      <w:spacing w:line="273" w:lineRule="atLeast"/>
    </w:pPr>
    <w:rPr>
      <w:rFonts w:ascii="宋体" w:eastAsia="宋体" w:cs="Times New Roman"/>
      <w:color w:val="auto"/>
    </w:rPr>
  </w:style>
  <w:style w:type="paragraph" w:customStyle="1" w:styleId="344">
    <w:name w:val="样式 表格文字居中 + Times New Roman"/>
    <w:basedOn w:val="223"/>
    <w:autoRedefine/>
    <w:qFormat/>
    <w:uiPriority w:val="0"/>
    <w:pPr>
      <w:keepNext w:val="0"/>
      <w:widowControl/>
      <w:tabs>
        <w:tab w:val="clear" w:pos="628"/>
        <w:tab w:val="clear" w:pos="1727"/>
        <w:tab w:val="clear" w:pos="1884"/>
      </w:tabs>
      <w:spacing w:before="0" w:beforeLines="0" w:after="0" w:afterAutospacing="0"/>
    </w:pPr>
    <w:rPr>
      <w:rFonts w:cs="Times New Roman"/>
      <w:bCs w:val="0"/>
      <w:snapToGrid w:val="0"/>
      <w:color w:val="auto"/>
      <w:kern w:val="21"/>
      <w:sz w:val="21"/>
    </w:rPr>
  </w:style>
  <w:style w:type="paragraph" w:customStyle="1" w:styleId="345">
    <w:name w:val="Bullet 1"/>
    <w:basedOn w:val="1"/>
    <w:next w:val="1"/>
    <w:autoRedefine/>
    <w:qFormat/>
    <w:uiPriority w:val="0"/>
    <w:pPr>
      <w:widowControl/>
      <w:tabs>
        <w:tab w:val="left" w:pos="720"/>
      </w:tabs>
      <w:ind w:left="720" w:hanging="720"/>
      <w:jc w:val="left"/>
    </w:pPr>
    <w:rPr>
      <w:rFonts w:ascii="Arial" w:hAnsi="Arial"/>
      <w:kern w:val="0"/>
      <w:sz w:val="20"/>
      <w:szCs w:val="20"/>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47">
    <w:name w:val="标题2"/>
    <w:basedOn w:val="7"/>
    <w:autoRedefine/>
    <w:qFormat/>
    <w:uiPriority w:val="0"/>
    <w:pPr>
      <w:tabs>
        <w:tab w:val="left" w:pos="567"/>
      </w:tabs>
      <w:adjustRightInd w:val="0"/>
      <w:spacing w:before="0" w:after="0" w:line="360" w:lineRule="auto"/>
      <w:ind w:left="735" w:hanging="375"/>
      <w:jc w:val="both"/>
      <w:textAlignment w:val="baseline"/>
    </w:pPr>
    <w:rPr>
      <w:rFonts w:ascii="Times New Roman" w:hAnsi="Times New Roman" w:eastAsia="宋体"/>
      <w:bCs w:val="0"/>
      <w:sz w:val="24"/>
      <w:szCs w:val="20"/>
    </w:rPr>
  </w:style>
  <w:style w:type="paragraph" w:customStyle="1" w:styleId="34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49">
    <w:name w:val="正文2"/>
    <w:autoRedefine/>
    <w:qFormat/>
    <w:uiPriority w:val="0"/>
    <w:pPr>
      <w:tabs>
        <w:tab w:val="right" w:pos="1474"/>
      </w:tabs>
      <w:spacing w:line="360" w:lineRule="auto"/>
      <w:ind w:left="825" w:hanging="525"/>
    </w:pPr>
    <w:rPr>
      <w:rFonts w:ascii="Times New Roman" w:hAnsi="Times New Roman" w:eastAsia="宋体" w:cs="Times New Roman"/>
      <w:sz w:val="24"/>
      <w:lang w:val="en-US" w:eastAsia="zh-CN" w:bidi="ar-SA"/>
    </w:rPr>
  </w:style>
  <w:style w:type="paragraph" w:customStyle="1" w:styleId="350">
    <w:name w:val="Char Char Char1 Char Char Char Char Char Char Char Char Char Char Char Char Char"/>
    <w:basedOn w:val="1"/>
    <w:autoRedefine/>
    <w:qFormat/>
    <w:uiPriority w:val="0"/>
    <w:pPr>
      <w:tabs>
        <w:tab w:val="left" w:pos="420"/>
      </w:tabs>
      <w:ind w:left="420" w:hanging="420"/>
    </w:pPr>
    <w:rPr>
      <w:sz w:val="24"/>
    </w:rPr>
  </w:style>
  <w:style w:type="paragraph" w:customStyle="1" w:styleId="351">
    <w:name w:val="模板正文缩进"/>
    <w:basedOn w:val="1"/>
    <w:autoRedefine/>
    <w:qFormat/>
    <w:uiPriority w:val="0"/>
    <w:pPr>
      <w:spacing w:before="93" w:after="93" w:line="360" w:lineRule="auto"/>
    </w:pPr>
    <w:rPr>
      <w:rFonts w:ascii="宋体" w:hAnsi="宋体"/>
      <w:kern w:val="0"/>
      <w:sz w:val="24"/>
      <w:szCs w:val="20"/>
    </w:rPr>
  </w:style>
  <w:style w:type="paragraph" w:customStyle="1" w:styleId="352">
    <w:name w:val="DAS正文"/>
    <w:basedOn w:val="1"/>
    <w:autoRedefine/>
    <w:qFormat/>
    <w:uiPriority w:val="0"/>
    <w:pPr>
      <w:spacing w:line="360" w:lineRule="auto"/>
      <w:ind w:right="181" w:firstLine="480" w:firstLineChars="200"/>
    </w:pPr>
    <w:rPr>
      <w:rFonts w:ascii="Verdana" w:hAnsi="Verdana"/>
      <w:sz w:val="24"/>
    </w:rPr>
  </w:style>
  <w:style w:type="paragraph" w:customStyle="1" w:styleId="353">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35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355">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56">
    <w:name w:val="Heading4(a.)"/>
    <w:basedOn w:val="335"/>
    <w:autoRedefine/>
    <w:qFormat/>
    <w:uiPriority w:val="0"/>
    <w:pPr>
      <w:framePr w:wrap="around"/>
      <w:tabs>
        <w:tab w:val="left" w:pos="1800"/>
        <w:tab w:val="clear" w:pos="1440"/>
      </w:tabs>
      <w:ind w:left="1440"/>
    </w:pPr>
  </w:style>
  <w:style w:type="paragraph" w:customStyle="1" w:styleId="357">
    <w:name w:val="样式 样式 宋体 四号 行距: 最小值 12 磅 首行缩进:  1.92 字符 + 首行缩进:  1.92 字符"/>
    <w:basedOn w:val="1"/>
    <w:autoRedefine/>
    <w:qFormat/>
    <w:uiPriority w:val="0"/>
    <w:pPr>
      <w:spacing w:line="360" w:lineRule="auto"/>
    </w:pPr>
    <w:rPr>
      <w:rFonts w:ascii="宋体" w:hAnsi="宋体"/>
      <w:sz w:val="24"/>
      <w:szCs w:val="20"/>
    </w:rPr>
  </w:style>
  <w:style w:type="paragraph" w:customStyle="1" w:styleId="358">
    <w:name w:val="Body text|1"/>
    <w:basedOn w:val="1"/>
    <w:autoRedefine/>
    <w:qFormat/>
    <w:uiPriority w:val="0"/>
    <w:rPr>
      <w:rFonts w:ascii="宋体" w:hAnsi="宋体" w:cs="宋体"/>
      <w:sz w:val="20"/>
      <w:szCs w:val="20"/>
      <w:lang w:val="zh-TW" w:eastAsia="zh-TW" w:bidi="zh-TW"/>
    </w:rPr>
  </w:style>
  <w:style w:type="paragraph" w:customStyle="1" w:styleId="359">
    <w:name w:val="Bullet 2"/>
    <w:basedOn w:val="1"/>
    <w:next w:val="1"/>
    <w:autoRedefine/>
    <w:qFormat/>
    <w:uiPriority w:val="0"/>
    <w:pPr>
      <w:widowControl/>
      <w:tabs>
        <w:tab w:val="left" w:pos="1320"/>
        <w:tab w:val="left" w:pos="1440"/>
      </w:tabs>
      <w:ind w:left="2880" w:hanging="525"/>
      <w:jc w:val="left"/>
    </w:pPr>
    <w:rPr>
      <w:rFonts w:ascii="Arial" w:hAnsi="Arial"/>
      <w:kern w:val="0"/>
      <w:sz w:val="20"/>
      <w:szCs w:val="20"/>
      <w:lang w:eastAsia="en-US"/>
    </w:rPr>
  </w:style>
  <w:style w:type="paragraph" w:customStyle="1" w:styleId="360">
    <w:name w:val="标3"/>
    <w:basedOn w:val="1"/>
    <w:autoRedefine/>
    <w:qFormat/>
    <w:uiPriority w:val="0"/>
    <w:pPr>
      <w:tabs>
        <w:tab w:val="left" w:pos="985"/>
      </w:tabs>
      <w:adjustRightInd w:val="0"/>
      <w:snapToGrid w:val="0"/>
      <w:spacing w:before="50"/>
      <w:ind w:left="985" w:hanging="525"/>
      <w:outlineLvl w:val="2"/>
    </w:pPr>
    <w:rPr>
      <w:rFonts w:ascii="Arial Narrow" w:hAnsi="Arial Narrow" w:eastAsia="仿宋_GB2312"/>
      <w:sz w:val="28"/>
      <w:szCs w:val="20"/>
    </w:rPr>
  </w:style>
  <w:style w:type="paragraph" w:customStyle="1" w:styleId="361">
    <w:name w:val="Date1"/>
    <w:basedOn w:val="1"/>
    <w:next w:val="1"/>
    <w:autoRedefine/>
    <w:qFormat/>
    <w:uiPriority w:val="0"/>
    <w:pPr>
      <w:adjustRightInd w:val="0"/>
      <w:textAlignment w:val="baseline"/>
    </w:pPr>
    <w:rPr>
      <w:sz w:val="28"/>
      <w:szCs w:val="20"/>
    </w:rPr>
  </w:style>
  <w:style w:type="paragraph" w:customStyle="1" w:styleId="362">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63">
    <w:name w:val="标题5"/>
    <w:basedOn w:val="1"/>
    <w:next w:val="26"/>
    <w:autoRedefine/>
    <w:qFormat/>
    <w:uiPriority w:val="0"/>
    <w:pPr>
      <w:adjustRightInd w:val="0"/>
      <w:snapToGrid w:val="0"/>
      <w:spacing w:line="360" w:lineRule="auto"/>
    </w:pPr>
    <w:rPr>
      <w:sz w:val="24"/>
    </w:rPr>
  </w:style>
  <w:style w:type="paragraph" w:customStyle="1" w:styleId="364">
    <w:name w:val="Body Text 21"/>
    <w:basedOn w:val="1"/>
    <w:autoRedefine/>
    <w:qFormat/>
    <w:uiPriority w:val="0"/>
    <w:pPr>
      <w:adjustRightInd w:val="0"/>
      <w:spacing w:line="360" w:lineRule="auto"/>
      <w:ind w:firstLine="525"/>
      <w:textAlignment w:val="baseline"/>
    </w:pPr>
    <w:rPr>
      <w:rFonts w:ascii="宋体"/>
      <w:sz w:val="24"/>
      <w:szCs w:val="20"/>
    </w:rPr>
  </w:style>
  <w:style w:type="paragraph" w:customStyle="1" w:styleId="365">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366">
    <w:name w:val="Balloon Text1"/>
    <w:basedOn w:val="1"/>
    <w:autoRedefine/>
    <w:qFormat/>
    <w:uiPriority w:val="0"/>
    <w:rPr>
      <w:rFonts w:ascii="Tahoma" w:hAnsi="Tahoma" w:cs="Tahoma"/>
      <w:sz w:val="16"/>
      <w:szCs w:val="16"/>
    </w:rPr>
  </w:style>
  <w:style w:type="paragraph" w:customStyle="1" w:styleId="3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68">
    <w:name w:val="Char12"/>
    <w:basedOn w:val="1"/>
    <w:autoRedefine/>
    <w:qFormat/>
    <w:uiPriority w:val="0"/>
    <w:pPr>
      <w:spacing w:line="360" w:lineRule="auto"/>
    </w:pPr>
    <w:rPr>
      <w:rFonts w:ascii="宋体" w:hAnsi="宋体"/>
      <w:b/>
      <w:szCs w:val="21"/>
    </w:rPr>
  </w:style>
  <w:style w:type="paragraph" w:customStyle="1" w:styleId="369">
    <w:name w:val="List Paragraph1"/>
    <w:autoRedefine/>
    <w:qFormat/>
    <w:uiPriority w:val="99"/>
    <w:pPr>
      <w:ind w:firstLine="420" w:firstLineChars="200"/>
    </w:pPr>
    <w:rPr>
      <w:rFonts w:ascii="Times New Roman" w:hAnsi="Times New Roman" w:eastAsia="宋体" w:cs="Times New Roman"/>
      <w:lang w:val="en-US" w:eastAsia="zh-CN" w:bidi="ar-SA"/>
    </w:rPr>
  </w:style>
  <w:style w:type="paragraph" w:customStyle="1" w:styleId="370">
    <w:name w:val="样式 标题 1 + 首行缩进:  2 字符"/>
    <w:basedOn w:val="6"/>
    <w:autoRedefine/>
    <w:qFormat/>
    <w:uiPriority w:val="0"/>
    <w:pPr>
      <w:spacing w:before="120" w:after="120" w:line="540" w:lineRule="exact"/>
    </w:pPr>
    <w:rPr>
      <w:rFonts w:cs="宋体"/>
      <w:szCs w:val="20"/>
    </w:rPr>
  </w:style>
  <w:style w:type="paragraph" w:customStyle="1" w:styleId="37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372">
    <w:name w:val="Char Char1 Char"/>
    <w:basedOn w:val="1"/>
    <w:autoRedefine/>
    <w:qFormat/>
    <w:uiPriority w:val="0"/>
  </w:style>
  <w:style w:type="paragraph" w:customStyle="1" w:styleId="373">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374">
    <w:name w:val="CM22"/>
    <w:basedOn w:val="95"/>
    <w:next w:val="95"/>
    <w:autoRedefine/>
    <w:qFormat/>
    <w:uiPriority w:val="0"/>
    <w:pPr>
      <w:spacing w:line="273" w:lineRule="atLeast"/>
    </w:pPr>
    <w:rPr>
      <w:rFonts w:ascii="宋体" w:eastAsia="宋体" w:cs="Times New Roman"/>
      <w:color w:val="auto"/>
    </w:rPr>
  </w:style>
  <w:style w:type="paragraph" w:customStyle="1" w:styleId="375">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376">
    <w:name w:val="样式 KK + 左侧:  2.7 字符 首行缩进:  0.5 字符"/>
    <w:basedOn w:val="307"/>
    <w:autoRedefine/>
    <w:qFormat/>
    <w:uiPriority w:val="0"/>
    <w:pPr>
      <w:ind w:firstLine="0" w:firstLineChars="0"/>
    </w:pPr>
  </w:style>
  <w:style w:type="paragraph" w:customStyle="1" w:styleId="377">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378">
    <w:name w:val="正文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379">
    <w:name w:val="正文缩进2"/>
    <w:basedOn w:val="1"/>
    <w:qFormat/>
    <w:uiPriority w:val="0"/>
    <w:pPr>
      <w:adjustRightInd w:val="0"/>
      <w:spacing w:line="312" w:lineRule="atLeast"/>
      <w:ind w:firstLine="420"/>
      <w:textAlignment w:val="baseline"/>
    </w:pPr>
    <w:rPr>
      <w:rFonts w:ascii="宋体" w:eastAsia="Times New Roman"/>
    </w:rPr>
  </w:style>
  <w:style w:type="paragraph" w:customStyle="1" w:styleId="380">
    <w:name w:val="普通 (Web)"/>
    <w:basedOn w:val="1"/>
    <w:qFormat/>
    <w:uiPriority w:val="0"/>
    <w:pPr>
      <w:widowControl/>
      <w:spacing w:before="100" w:after="100"/>
      <w:jc w:val="left"/>
    </w:pPr>
    <w:rPr>
      <w:rFonts w:ascii="宋体" w:hAnsi="宋体"/>
      <w:kern w:val="0"/>
      <w:sz w:val="24"/>
      <w:szCs w:val="20"/>
    </w:rPr>
  </w:style>
  <w:style w:type="paragraph" w:customStyle="1" w:styleId="381">
    <w:name w:val="Char21"/>
    <w:basedOn w:val="1"/>
    <w:autoRedefine/>
    <w:qFormat/>
    <w:uiPriority w:val="0"/>
    <w:pPr>
      <w:tabs>
        <w:tab w:val="left" w:pos="425"/>
      </w:tabs>
      <w:ind w:left="425" w:hanging="425"/>
    </w:pPr>
    <w:rPr>
      <w:sz w:val="24"/>
    </w:rPr>
  </w:style>
  <w:style w:type="paragraph" w:customStyle="1" w:styleId="3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383">
    <w:name w:val="正文1"/>
    <w:autoRedefine/>
    <w:qFormat/>
    <w:uiPriority w:val="0"/>
    <w:pPr>
      <w:widowControl w:val="0"/>
      <w:adjustRightInd w:val="0"/>
      <w:spacing w:line="307" w:lineRule="atLeast"/>
      <w:jc w:val="both"/>
      <w:textAlignment w:val="baseline"/>
    </w:pPr>
    <w:rPr>
      <w:rFonts w:ascii="宋体" w:hAnsi="Times New Roman" w:eastAsia="宋体" w:cs="Times New Roman"/>
      <w:sz w:val="18"/>
      <w:lang w:val="en-US" w:eastAsia="zh-CN" w:bidi="ar-SA"/>
    </w:rPr>
  </w:style>
  <w:style w:type="paragraph" w:customStyle="1" w:styleId="384">
    <w:name w:val="丁华标题1"/>
    <w:basedOn w:val="6"/>
    <w:next w:val="183"/>
    <w:qFormat/>
    <w:uiPriority w:val="0"/>
    <w:pPr>
      <w:tabs>
        <w:tab w:val="left" w:pos="567"/>
      </w:tabs>
      <w:spacing w:before="600" w:after="120"/>
      <w:ind w:left="567" w:hanging="567"/>
    </w:pPr>
    <w:rPr>
      <w:rFonts w:eastAsia="黑体"/>
      <w:b w:val="0"/>
      <w:bCs w:val="0"/>
      <w:sz w:val="32"/>
      <w:szCs w:val="20"/>
    </w:rPr>
  </w:style>
  <w:style w:type="paragraph" w:customStyle="1" w:styleId="385">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386">
    <w:name w:val="样式 标题 2 + Times New Roman 四号 非加粗 段前: 5 磅 段后: 0 磅 行距: 固定值 20..."/>
    <w:basedOn w:val="7"/>
    <w:qFormat/>
    <w:uiPriority w:val="0"/>
    <w:pPr>
      <w:spacing w:before="100" w:after="0" w:line="400" w:lineRule="exact"/>
      <w:jc w:val="both"/>
    </w:pPr>
    <w:rPr>
      <w:rFonts w:ascii="Times New Roman" w:hAnsi="Times New Roman" w:cs="宋体"/>
      <w:bCs w:val="0"/>
      <w:szCs w:val="20"/>
    </w:rPr>
  </w:style>
  <w:style w:type="paragraph" w:customStyle="1" w:styleId="38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388">
    <w:name w:val="XXXXX"/>
    <w:basedOn w:val="297"/>
    <w:autoRedefine/>
    <w:qFormat/>
    <w:uiPriority w:val="0"/>
    <w:pPr>
      <w:ind w:firstLine="200" w:firstLineChars="200"/>
    </w:pPr>
  </w:style>
  <w:style w:type="paragraph" w:customStyle="1" w:styleId="389">
    <w:name w:val="CM5"/>
    <w:basedOn w:val="95"/>
    <w:next w:val="95"/>
    <w:autoRedefine/>
    <w:qFormat/>
    <w:uiPriority w:val="0"/>
    <w:pPr>
      <w:spacing w:line="273" w:lineRule="atLeast"/>
    </w:pPr>
    <w:rPr>
      <w:rFonts w:ascii="宋体" w:eastAsia="宋体" w:cs="Times New Roman"/>
      <w:color w:val="auto"/>
    </w:rPr>
  </w:style>
  <w:style w:type="paragraph" w:customStyle="1" w:styleId="390">
    <w:name w:val="Char Char Char Char Char Char Char1"/>
    <w:basedOn w:val="1"/>
    <w:qFormat/>
    <w:uiPriority w:val="0"/>
  </w:style>
  <w:style w:type="paragraph" w:customStyle="1" w:styleId="391">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39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styleId="393">
    <w:name w:val="List Paragraph"/>
    <w:basedOn w:val="1"/>
    <w:autoRedefine/>
    <w:qFormat/>
    <w:uiPriority w:val="1"/>
    <w:pPr>
      <w:ind w:left="518" w:firstLine="420"/>
    </w:pPr>
    <w:rPr>
      <w:rFonts w:ascii="宋体" w:hAnsi="宋体" w:cs="宋体"/>
      <w:lang w:val="zh-CN" w:bidi="zh-CN"/>
    </w:rPr>
  </w:style>
  <w:style w:type="paragraph" w:customStyle="1" w:styleId="394">
    <w:name w:val="默认段落字体 Para Char"/>
    <w:basedOn w:val="1"/>
    <w:qFormat/>
    <w:uiPriority w:val="0"/>
    <w:rPr>
      <w:sz w:val="24"/>
    </w:rPr>
  </w:style>
  <w:style w:type="paragraph" w:customStyle="1" w:styleId="395">
    <w:name w:val="1"/>
    <w:basedOn w:val="1"/>
    <w:next w:val="31"/>
    <w:autoRedefine/>
    <w:qFormat/>
    <w:uiPriority w:val="0"/>
    <w:rPr>
      <w:rFonts w:ascii="宋体" w:hAnsi="Courier New"/>
      <w:szCs w:val="20"/>
    </w:rPr>
  </w:style>
  <w:style w:type="paragraph" w:customStyle="1" w:styleId="396">
    <w:name w:val="Char Char2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7">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398">
    <w:name w:val="默认段落字体 Para Char Char Char1 Char"/>
    <w:basedOn w:val="1"/>
    <w:autoRedefine/>
    <w:qFormat/>
    <w:uiPriority w:val="0"/>
    <w:pPr>
      <w:spacing w:line="360" w:lineRule="auto"/>
      <w:ind w:firstLine="200" w:firstLineChars="200"/>
    </w:pPr>
    <w:rPr>
      <w:rFonts w:ascii="宋体" w:hAnsi="宋体" w:cs="宋体"/>
      <w:sz w:val="24"/>
    </w:rPr>
  </w:style>
  <w:style w:type="paragraph" w:customStyle="1" w:styleId="399">
    <w:name w:val="报告正文"/>
    <w:basedOn w:val="1"/>
    <w:qFormat/>
    <w:uiPriority w:val="0"/>
    <w:pPr>
      <w:adjustRightInd w:val="0"/>
      <w:snapToGrid w:val="0"/>
      <w:spacing w:line="288" w:lineRule="auto"/>
      <w:ind w:left="3060" w:leftChars="1700"/>
    </w:pPr>
    <w:rPr>
      <w:rFonts w:ascii="华文细黑" w:hAnsi="华文细黑" w:eastAsia="华文细黑" w:cs="宋体"/>
      <w:szCs w:val="20"/>
    </w:rPr>
  </w:style>
  <w:style w:type="paragraph" w:customStyle="1" w:styleId="4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401">
    <w:name w:val="List Paragraph2"/>
    <w:basedOn w:val="1"/>
    <w:autoRedefine/>
    <w:qFormat/>
    <w:uiPriority w:val="0"/>
    <w:pPr>
      <w:ind w:firstLine="420" w:firstLineChars="200"/>
    </w:pPr>
    <w:rPr>
      <w:rFonts w:ascii="Calibri" w:hAnsi="Calibri"/>
      <w:szCs w:val="21"/>
    </w:rPr>
  </w:style>
  <w:style w:type="paragraph" w:customStyle="1" w:styleId="402">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4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404">
    <w:name w:val="表标题"/>
    <w:basedOn w:val="19"/>
    <w:autoRedefine/>
    <w:qFormat/>
    <w:uiPriority w:val="0"/>
    <w:pPr>
      <w:tabs>
        <w:tab w:val="clear" w:pos="525"/>
      </w:tabs>
      <w:ind w:left="0" w:firstLine="0"/>
      <w:jc w:val="center"/>
    </w:pPr>
  </w:style>
  <w:style w:type="paragraph" w:customStyle="1" w:styleId="405">
    <w:name w:val="_Style 1"/>
    <w:autoRedefine/>
    <w:qFormat/>
    <w:uiPriority w:val="0"/>
    <w:rPr>
      <w:rFonts w:ascii="Calibri" w:hAnsi="Calibri" w:eastAsia="宋体" w:cs="Times New Roman"/>
      <w:kern w:val="2"/>
      <w:sz w:val="28"/>
      <w:szCs w:val="22"/>
      <w:lang w:val="en-US" w:eastAsia="zh-CN" w:bidi="ar-SA"/>
    </w:rPr>
  </w:style>
  <w:style w:type="table" w:customStyle="1" w:styleId="406">
    <w:name w:val="中等深浅网格 31"/>
    <w:basedOn w:val="53"/>
    <w:autoRedefine/>
    <w:qFormat/>
    <w:uiPriority w:val="60"/>
    <w:rPr>
      <w:rFonts w:ascii="Calibri" w:hAnsi="Calibri"/>
      <w:color w:val="000000"/>
      <w:kern w:val="2"/>
      <w:sz w:val="21"/>
      <w:szCs w:val="22"/>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407">
    <w:name w:val="首行缩进"/>
    <w:basedOn w:val="1"/>
    <w:qFormat/>
    <w:uiPriority w:val="0"/>
    <w:pPr>
      <w:spacing w:line="360" w:lineRule="auto"/>
      <w:ind w:firstLine="480" w:firstLineChars="200"/>
    </w:pPr>
    <w:rPr>
      <w:sz w:val="24"/>
      <w:lang w:val="zh-CN"/>
    </w:rPr>
  </w:style>
  <w:style w:type="paragraph" w:customStyle="1" w:styleId="408">
    <w:name w:val="纯文本_0_0"/>
    <w:basedOn w:val="1"/>
    <w:qFormat/>
    <w:uiPriority w:val="0"/>
    <w:rPr>
      <w:rFonts w:ascii="宋体" w:hAnsi="Courier New"/>
      <w:szCs w:val="21"/>
    </w:rPr>
  </w:style>
  <w:style w:type="paragraph" w:customStyle="1" w:styleId="40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1299</Words>
  <Characters>1496</Characters>
  <Lines>253</Lines>
  <Paragraphs>71</Paragraphs>
  <TotalTime>0</TotalTime>
  <ScaleCrop>false</ScaleCrop>
  <LinksUpToDate>false</LinksUpToDate>
  <CharactersWithSpaces>1578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2015-08-25T06:55:00Z</dcterms:created>
  <dc:creator>s</dc:creator>
  <cp:lastModifiedBy>浦发拍卖</cp:lastModifiedBy>
  <cp:lastPrinted>2024-09-26T06:39:00Z</cp:lastPrinted>
  <dcterms:modified xsi:type="dcterms:W3CDTF">2024-11-21T02:30:45Z</dcterms:modified>
  <dc:title>磋商文件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2014622556</vt:r8>
  </property>
  <property fmtid="{D5CDD505-2E9C-101B-9397-08002B2CF9AE}" pid="3" name="KSOProductBuildVer">
    <vt:lpwstr>2052-12.1.0.18608</vt:lpwstr>
  </property>
  <property fmtid="{D5CDD505-2E9C-101B-9397-08002B2CF9AE}" pid="4" name="ICV">
    <vt:lpwstr>9BD3724647FC4EC2BA7D3FF85D9D3A83_13</vt:lpwstr>
  </property>
</Properties>
</file>