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33690">
      <w:pPr>
        <w:spacing w:line="360" w:lineRule="auto"/>
        <w:ind w:left="210" w:leftChars="100"/>
        <w:jc w:val="center"/>
        <w:rPr>
          <w:rFonts w:hint="eastAsia" w:ascii="宋体" w:hAnsi="宋体" w:cs="宋体"/>
          <w:color w:val="auto"/>
          <w:w w:val="80"/>
          <w:sz w:val="52"/>
          <w:szCs w:val="52"/>
          <w:highlight w:val="none"/>
          <w:lang w:bidi="th-TH"/>
        </w:rPr>
      </w:pPr>
      <w:bookmarkStart w:id="0" w:name="_Hlk49184772"/>
    </w:p>
    <w:p w14:paraId="2A8F5502">
      <w:pPr>
        <w:pStyle w:val="43"/>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cs="宋体"/>
          <w:color w:val="auto"/>
          <w:highlight w:val="none"/>
        </w:rPr>
      </w:pPr>
    </w:p>
    <w:p w14:paraId="093BD6DD">
      <w:pPr>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val="en-US" w:eastAsia="zh-CN"/>
        </w:rPr>
        <w:t>浦江县交投贸易有限公司2024年-2025年石灰岩采购项目</w:t>
      </w:r>
    </w:p>
    <w:p w14:paraId="2C4BDC95">
      <w:pPr>
        <w:rPr>
          <w:rFonts w:hint="eastAsia" w:ascii="宋体" w:hAnsi="宋体" w:cs="宋体"/>
          <w:b/>
          <w:bCs/>
          <w:color w:val="auto"/>
          <w:sz w:val="48"/>
          <w:szCs w:val="48"/>
          <w:highlight w:val="none"/>
          <w:lang w:eastAsia="zh-CN"/>
        </w:rPr>
      </w:pPr>
    </w:p>
    <w:p w14:paraId="18EEA17E">
      <w:pPr>
        <w:spacing w:line="360" w:lineRule="auto"/>
        <w:jc w:val="center"/>
        <w:rPr>
          <w:rFonts w:hint="eastAsia" w:ascii="宋体" w:hAnsi="宋体" w:cs="宋体"/>
          <w:color w:val="auto"/>
          <w:spacing w:val="40"/>
          <w:w w:val="80"/>
          <w:sz w:val="96"/>
          <w:szCs w:val="96"/>
          <w:highlight w:val="none"/>
          <w:lang w:bidi="th-TH"/>
        </w:rPr>
      </w:pPr>
    </w:p>
    <w:p w14:paraId="6AEED119">
      <w:pPr>
        <w:spacing w:line="360" w:lineRule="auto"/>
        <w:jc w:val="center"/>
        <w:rPr>
          <w:rFonts w:hint="eastAsia" w:ascii="宋体" w:hAnsi="宋体" w:cs="宋体"/>
          <w:b/>
          <w:color w:val="auto"/>
          <w:szCs w:val="84"/>
          <w:highlight w:val="none"/>
        </w:rPr>
      </w:pPr>
      <w:bookmarkStart w:id="1" w:name="OLE_LINK7"/>
      <w:r>
        <w:rPr>
          <w:rFonts w:hint="eastAsia" w:ascii="宋体" w:hAnsi="宋体" w:cs="宋体"/>
          <w:color w:val="auto"/>
          <w:spacing w:val="40"/>
          <w:w w:val="80"/>
          <w:sz w:val="96"/>
          <w:szCs w:val="96"/>
          <w:highlight w:val="none"/>
          <w:lang w:bidi="th-TH"/>
        </w:rPr>
        <w:t>公开招标采购文件</w:t>
      </w:r>
    </w:p>
    <w:bookmarkEnd w:id="1"/>
    <w:p w14:paraId="301686BD">
      <w:pPr>
        <w:jc w:val="center"/>
        <w:rPr>
          <w:rFonts w:hint="eastAsia" w:ascii="宋体" w:hAnsi="宋体" w:cs="宋体"/>
          <w:b/>
          <w:color w:val="auto"/>
          <w:szCs w:val="84"/>
          <w:highlight w:val="none"/>
        </w:rPr>
      </w:pPr>
    </w:p>
    <w:p w14:paraId="31CF8499">
      <w:pPr>
        <w:spacing w:line="360" w:lineRule="auto"/>
        <w:jc w:val="center"/>
        <w:outlineLvl w:val="0"/>
        <w:rPr>
          <w:rFonts w:hint="default" w:ascii="宋体" w:hAnsi="宋体" w:eastAsia="宋体" w:cs="宋体"/>
          <w:b/>
          <w:bCs/>
          <w:color w:val="auto"/>
          <w:w w:val="80"/>
          <w:sz w:val="36"/>
          <w:szCs w:val="36"/>
          <w:highlight w:val="none"/>
          <w:lang w:val="en-US" w:eastAsia="zh-CN" w:bidi="th-TH"/>
        </w:rPr>
      </w:pPr>
      <w:bookmarkStart w:id="2" w:name="_Toc27182"/>
      <w:bookmarkStart w:id="3" w:name="_Toc9066"/>
      <w:r>
        <w:rPr>
          <w:rFonts w:hint="eastAsia" w:ascii="宋体" w:hAnsi="宋体" w:cs="宋体"/>
          <w:b/>
          <w:bCs/>
          <w:color w:val="auto"/>
          <w:w w:val="80"/>
          <w:sz w:val="36"/>
          <w:szCs w:val="36"/>
          <w:highlight w:val="none"/>
          <w:lang w:bidi="th-TH"/>
        </w:rPr>
        <w:t>项目编号：</w:t>
      </w:r>
      <w:bookmarkEnd w:id="2"/>
      <w:bookmarkEnd w:id="3"/>
      <w:r>
        <w:rPr>
          <w:rFonts w:hint="eastAsia" w:ascii="宋体" w:hAnsi="宋体" w:cs="宋体"/>
          <w:b/>
          <w:bCs/>
          <w:color w:val="auto"/>
          <w:w w:val="80"/>
          <w:sz w:val="36"/>
          <w:szCs w:val="36"/>
          <w:highlight w:val="none"/>
          <w:lang w:eastAsia="zh-CN" w:bidi="th-TH"/>
        </w:rPr>
        <w:t>PJCQGK(JTMY)2024-1030</w:t>
      </w:r>
      <w:r>
        <w:rPr>
          <w:rFonts w:hint="eastAsia" w:ascii="宋体" w:hAnsi="宋体" w:cs="宋体"/>
          <w:b/>
          <w:bCs/>
          <w:color w:val="auto"/>
          <w:w w:val="80"/>
          <w:sz w:val="36"/>
          <w:szCs w:val="36"/>
          <w:highlight w:val="none"/>
          <w:lang w:val="en-US" w:eastAsia="zh-CN" w:bidi="th-TH"/>
        </w:rPr>
        <w:t xml:space="preserve"> </w:t>
      </w:r>
    </w:p>
    <w:p w14:paraId="2F80D79F">
      <w:pPr>
        <w:pStyle w:val="27"/>
        <w:ind w:left="5250"/>
        <w:rPr>
          <w:rFonts w:hint="eastAsia" w:ascii="宋体" w:hAnsi="宋体" w:cs="宋体"/>
          <w:color w:val="auto"/>
          <w:szCs w:val="28"/>
          <w:highlight w:val="none"/>
        </w:rPr>
      </w:pPr>
      <w:r>
        <w:rPr>
          <w:rFonts w:hint="eastAsia" w:ascii="宋体" w:hAnsi="宋体" w:cs="宋体"/>
          <w:color w:val="auto"/>
          <w:highlight w:val="none"/>
        </w:rPr>
        <w:t xml:space="preserve">      </w:t>
      </w:r>
    </w:p>
    <w:p w14:paraId="6D7C966B">
      <w:pPr>
        <w:rPr>
          <w:rFonts w:hint="eastAsia" w:ascii="宋体" w:hAnsi="宋体" w:cs="宋体"/>
          <w:b/>
          <w:color w:val="auto"/>
          <w:highlight w:val="none"/>
        </w:rPr>
      </w:pPr>
    </w:p>
    <w:p w14:paraId="67654BEA">
      <w:pPr>
        <w:rPr>
          <w:rFonts w:hint="eastAsia" w:ascii="宋体" w:hAnsi="宋体" w:cs="宋体"/>
          <w:b/>
          <w:color w:val="auto"/>
          <w:highlight w:val="none"/>
        </w:rPr>
      </w:pPr>
    </w:p>
    <w:p w14:paraId="7048183C">
      <w:pPr>
        <w:pStyle w:val="20"/>
        <w:rPr>
          <w:rFonts w:hint="eastAsia" w:ascii="宋体" w:hAnsi="宋体" w:cs="宋体"/>
          <w:b/>
          <w:color w:val="auto"/>
          <w:highlight w:val="none"/>
        </w:rPr>
      </w:pPr>
    </w:p>
    <w:p w14:paraId="7B565817">
      <w:pPr>
        <w:pStyle w:val="20"/>
        <w:rPr>
          <w:rFonts w:hint="eastAsia" w:ascii="宋体" w:hAnsi="宋体" w:cs="宋体"/>
          <w:b/>
          <w:color w:val="auto"/>
          <w:highlight w:val="none"/>
        </w:rPr>
      </w:pPr>
    </w:p>
    <w:p w14:paraId="7E9214F4">
      <w:pPr>
        <w:pStyle w:val="43"/>
        <w:rPr>
          <w:rFonts w:hint="eastAsia"/>
          <w:color w:val="auto"/>
          <w:highlight w:val="none"/>
        </w:rPr>
      </w:pPr>
    </w:p>
    <w:p w14:paraId="1CE25667">
      <w:pPr>
        <w:rPr>
          <w:rFonts w:hint="eastAsia" w:ascii="宋体" w:hAnsi="宋体" w:cs="宋体"/>
          <w:b/>
          <w:color w:val="auto"/>
          <w:highlight w:val="none"/>
        </w:rPr>
      </w:pPr>
    </w:p>
    <w:p w14:paraId="61D95746">
      <w:pPr>
        <w:rPr>
          <w:rFonts w:hint="eastAsia" w:ascii="宋体" w:hAnsi="宋体" w:cs="宋体"/>
          <w:b/>
          <w:color w:val="auto"/>
          <w:highlight w:val="none"/>
        </w:rPr>
      </w:pPr>
    </w:p>
    <w:tbl>
      <w:tblPr>
        <w:tblStyle w:val="46"/>
        <w:tblW w:w="0" w:type="auto"/>
        <w:jc w:val="center"/>
        <w:tblLayout w:type="fixed"/>
        <w:tblCellMar>
          <w:top w:w="0" w:type="dxa"/>
          <w:left w:w="108" w:type="dxa"/>
          <w:bottom w:w="0" w:type="dxa"/>
          <w:right w:w="108" w:type="dxa"/>
        </w:tblCellMar>
      </w:tblPr>
      <w:tblGrid>
        <w:gridCol w:w="2032"/>
        <w:gridCol w:w="308"/>
        <w:gridCol w:w="4782"/>
      </w:tblGrid>
      <w:tr w14:paraId="42D4F10D">
        <w:tblPrEx>
          <w:tblCellMar>
            <w:top w:w="0" w:type="dxa"/>
            <w:left w:w="108" w:type="dxa"/>
            <w:bottom w:w="0" w:type="dxa"/>
            <w:right w:w="108" w:type="dxa"/>
          </w:tblCellMar>
        </w:tblPrEx>
        <w:trPr>
          <w:trHeight w:val="680" w:hRule="atLeast"/>
          <w:jc w:val="center"/>
        </w:trPr>
        <w:tc>
          <w:tcPr>
            <w:tcW w:w="2032" w:type="dxa"/>
            <w:noWrap w:val="0"/>
            <w:vAlign w:val="center"/>
          </w:tcPr>
          <w:p w14:paraId="7C97EA10">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采购人</w:t>
            </w:r>
          </w:p>
        </w:tc>
        <w:tc>
          <w:tcPr>
            <w:tcW w:w="308" w:type="dxa"/>
            <w:noWrap w:val="0"/>
            <w:vAlign w:val="center"/>
          </w:tcPr>
          <w:p w14:paraId="2DF4F1D7">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782" w:type="dxa"/>
            <w:noWrap w:val="0"/>
            <w:vAlign w:val="center"/>
          </w:tcPr>
          <w:p w14:paraId="3628D7F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浦江县交投贸易有限公司</w:t>
            </w:r>
          </w:p>
        </w:tc>
      </w:tr>
      <w:tr w14:paraId="667529D4">
        <w:tblPrEx>
          <w:tblCellMar>
            <w:top w:w="0" w:type="dxa"/>
            <w:left w:w="108" w:type="dxa"/>
            <w:bottom w:w="0" w:type="dxa"/>
            <w:right w:w="108" w:type="dxa"/>
          </w:tblCellMar>
        </w:tblPrEx>
        <w:trPr>
          <w:trHeight w:val="297" w:hRule="atLeast"/>
          <w:jc w:val="center"/>
        </w:trPr>
        <w:tc>
          <w:tcPr>
            <w:tcW w:w="2032" w:type="dxa"/>
            <w:noWrap w:val="0"/>
            <w:vAlign w:val="center"/>
          </w:tcPr>
          <w:p w14:paraId="1ED3FC5B">
            <w:pPr>
              <w:snapToGrid w:val="0"/>
              <w:jc w:val="distribute"/>
              <w:rPr>
                <w:rFonts w:hint="eastAsia" w:ascii="宋体" w:hAnsi="宋体" w:cs="宋体"/>
                <w:color w:val="auto"/>
                <w:szCs w:val="21"/>
                <w:highlight w:val="none"/>
              </w:rPr>
            </w:pPr>
          </w:p>
        </w:tc>
        <w:tc>
          <w:tcPr>
            <w:tcW w:w="308" w:type="dxa"/>
            <w:noWrap w:val="0"/>
            <w:vAlign w:val="center"/>
          </w:tcPr>
          <w:p w14:paraId="5C7B255B">
            <w:pPr>
              <w:snapToGrid w:val="0"/>
              <w:jc w:val="distribute"/>
              <w:rPr>
                <w:rFonts w:hint="eastAsia" w:ascii="宋体" w:hAnsi="宋体" w:cs="宋体"/>
                <w:color w:val="auto"/>
                <w:szCs w:val="21"/>
                <w:highlight w:val="none"/>
              </w:rPr>
            </w:pPr>
          </w:p>
        </w:tc>
        <w:tc>
          <w:tcPr>
            <w:tcW w:w="4782" w:type="dxa"/>
            <w:noWrap w:val="0"/>
            <w:vAlign w:val="center"/>
          </w:tcPr>
          <w:p w14:paraId="22E44C39">
            <w:pPr>
              <w:snapToGrid w:val="0"/>
              <w:jc w:val="distribute"/>
              <w:rPr>
                <w:rFonts w:hint="eastAsia" w:ascii="宋体" w:hAnsi="宋体" w:cs="宋体"/>
                <w:color w:val="auto"/>
                <w:szCs w:val="21"/>
                <w:highlight w:val="none"/>
              </w:rPr>
            </w:pPr>
          </w:p>
        </w:tc>
      </w:tr>
      <w:tr w14:paraId="6DFBE92A">
        <w:tblPrEx>
          <w:tblCellMar>
            <w:top w:w="0" w:type="dxa"/>
            <w:left w:w="108" w:type="dxa"/>
            <w:bottom w:w="0" w:type="dxa"/>
            <w:right w:w="108" w:type="dxa"/>
          </w:tblCellMar>
        </w:tblPrEx>
        <w:trPr>
          <w:trHeight w:val="680" w:hRule="atLeast"/>
          <w:jc w:val="center"/>
        </w:trPr>
        <w:tc>
          <w:tcPr>
            <w:tcW w:w="2032" w:type="dxa"/>
            <w:noWrap w:val="0"/>
            <w:vAlign w:val="center"/>
          </w:tcPr>
          <w:p w14:paraId="57A512D8">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308" w:type="dxa"/>
            <w:noWrap w:val="0"/>
            <w:vAlign w:val="center"/>
          </w:tcPr>
          <w:p w14:paraId="32187E78">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782" w:type="dxa"/>
            <w:noWrap w:val="0"/>
            <w:vAlign w:val="center"/>
          </w:tcPr>
          <w:p w14:paraId="4F34C793">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浦江县产权交易有限公司</w:t>
            </w:r>
          </w:p>
        </w:tc>
      </w:tr>
      <w:tr w14:paraId="61973546">
        <w:tblPrEx>
          <w:tblCellMar>
            <w:top w:w="0" w:type="dxa"/>
            <w:left w:w="108" w:type="dxa"/>
            <w:bottom w:w="0" w:type="dxa"/>
            <w:right w:w="108" w:type="dxa"/>
          </w:tblCellMar>
        </w:tblPrEx>
        <w:trPr>
          <w:trHeight w:val="680" w:hRule="atLeast"/>
          <w:jc w:val="center"/>
        </w:trPr>
        <w:tc>
          <w:tcPr>
            <w:tcW w:w="7122" w:type="dxa"/>
            <w:gridSpan w:val="3"/>
            <w:noWrap w:val="0"/>
            <w:vAlign w:val="bottom"/>
          </w:tcPr>
          <w:p w14:paraId="78E6C9EE">
            <w:pPr>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10</w:t>
            </w:r>
            <w:r>
              <w:rPr>
                <w:rFonts w:hint="eastAsia" w:ascii="宋体" w:hAnsi="宋体" w:cs="宋体"/>
                <w:color w:val="auto"/>
                <w:sz w:val="30"/>
                <w:szCs w:val="30"/>
                <w:highlight w:val="none"/>
              </w:rPr>
              <w:t>月</w:t>
            </w:r>
          </w:p>
        </w:tc>
      </w:tr>
    </w:tbl>
    <w:p w14:paraId="4E6F9794">
      <w:pPr>
        <w:pStyle w:val="25"/>
        <w:jc w:val="center"/>
        <w:rPr>
          <w:rFonts w:hint="eastAsia" w:ascii="宋体" w:hAnsi="宋体" w:eastAsia="宋体" w:cs="宋体"/>
          <w:b/>
          <w:color w:val="auto"/>
          <w:sz w:val="28"/>
          <w:szCs w:val="28"/>
          <w:highlight w:val="none"/>
        </w:rPr>
        <w:sectPr>
          <w:footerReference r:id="rId3" w:type="first"/>
          <w:pgSz w:w="11906" w:h="16838"/>
          <w:pgMar w:top="1418" w:right="1588" w:bottom="1418" w:left="1588" w:header="851" w:footer="992" w:gutter="0"/>
          <w:pgNumType w:start="0"/>
          <w:cols w:space="720" w:num="1"/>
          <w:docGrid w:type="lines" w:linePitch="312" w:charSpace="0"/>
        </w:sectPr>
      </w:pPr>
    </w:p>
    <w:p w14:paraId="7CD64C9E">
      <w:pPr>
        <w:pStyle w:val="25"/>
        <w:jc w:val="center"/>
        <w:rPr>
          <w:rFonts w:hint="eastAsia" w:ascii="宋体" w:hAnsi="宋体" w:eastAsia="宋体" w:cs="宋体"/>
          <w:b/>
          <w:color w:val="auto"/>
          <w:sz w:val="28"/>
          <w:szCs w:val="28"/>
          <w:highlight w:val="none"/>
        </w:rPr>
      </w:pPr>
    </w:p>
    <w:p w14:paraId="39396D38">
      <w:pPr>
        <w:pStyle w:val="25"/>
        <w:jc w:val="center"/>
        <w:rPr>
          <w:rFonts w:hint="eastAsia" w:ascii="宋体" w:hAnsi="宋体" w:eastAsia="宋体" w:cs="宋体"/>
          <w:b/>
          <w:color w:val="auto"/>
          <w:sz w:val="28"/>
          <w:szCs w:val="28"/>
          <w:highlight w:val="none"/>
        </w:rPr>
      </w:pPr>
    </w:p>
    <w:p w14:paraId="3393FF56">
      <w:pPr>
        <w:pStyle w:val="25"/>
        <w:jc w:val="center"/>
        <w:rPr>
          <w:rFonts w:hint="eastAsia" w:ascii="宋体" w:hAnsi="宋体" w:eastAsia="宋体" w:cs="宋体"/>
          <w:b/>
          <w:color w:val="auto"/>
          <w:sz w:val="28"/>
          <w:szCs w:val="28"/>
          <w:highlight w:val="none"/>
        </w:rPr>
      </w:pPr>
    </w:p>
    <w:p w14:paraId="6C42CFF7">
      <w:pPr>
        <w:pStyle w:val="25"/>
        <w:jc w:val="center"/>
        <w:rPr>
          <w:rFonts w:hint="eastAsia" w:ascii="宋体" w:hAnsi="宋体" w:eastAsia="宋体" w:cs="宋体"/>
          <w:b/>
          <w:color w:val="auto"/>
          <w:sz w:val="28"/>
          <w:szCs w:val="28"/>
          <w:highlight w:val="none"/>
        </w:rPr>
      </w:pPr>
    </w:p>
    <w:p w14:paraId="22805FE8">
      <w:pPr>
        <w:pStyle w:val="25"/>
        <w:jc w:val="center"/>
        <w:rPr>
          <w:rFonts w:hint="eastAsia" w:ascii="宋体" w:hAnsi="宋体" w:eastAsia="宋体" w:cs="宋体"/>
          <w:b/>
          <w:color w:val="auto"/>
          <w:sz w:val="28"/>
          <w:szCs w:val="28"/>
          <w:highlight w:val="none"/>
        </w:rPr>
      </w:pPr>
    </w:p>
    <w:p w14:paraId="53049F1B">
      <w:pPr>
        <w:pStyle w:val="25"/>
        <w:jc w:val="center"/>
        <w:rPr>
          <w:rFonts w:hint="eastAsia" w:ascii="宋体" w:hAnsi="宋体" w:eastAsia="宋体" w:cs="宋体"/>
          <w:b/>
          <w:color w:val="auto"/>
          <w:sz w:val="28"/>
          <w:szCs w:val="28"/>
          <w:highlight w:val="none"/>
        </w:rPr>
      </w:pPr>
    </w:p>
    <w:p w14:paraId="73892E78">
      <w:pPr>
        <w:pStyle w:val="25"/>
        <w:jc w:val="center"/>
        <w:rPr>
          <w:rFonts w:hint="eastAsia" w:ascii="宋体" w:hAnsi="宋体" w:eastAsia="宋体" w:cs="宋体"/>
          <w:b/>
          <w:color w:val="auto"/>
          <w:sz w:val="28"/>
          <w:szCs w:val="28"/>
          <w:highlight w:val="none"/>
        </w:rPr>
      </w:pPr>
    </w:p>
    <w:p w14:paraId="06650F5E">
      <w:pPr>
        <w:pStyle w:val="25"/>
        <w:jc w:val="center"/>
        <w:rPr>
          <w:rFonts w:hint="eastAsia" w:ascii="宋体" w:hAnsi="宋体" w:eastAsia="宋体" w:cs="宋体"/>
          <w:b/>
          <w:color w:val="auto"/>
          <w:sz w:val="28"/>
          <w:szCs w:val="28"/>
          <w:highlight w:val="none"/>
        </w:rPr>
      </w:pPr>
    </w:p>
    <w:p w14:paraId="000AB84F">
      <w:pPr>
        <w:pStyle w:val="25"/>
        <w:jc w:val="center"/>
        <w:rPr>
          <w:rFonts w:hint="eastAsia" w:ascii="宋体" w:hAnsi="宋体" w:eastAsia="宋体" w:cs="宋体"/>
          <w:b/>
          <w:color w:val="auto"/>
          <w:sz w:val="28"/>
          <w:szCs w:val="28"/>
          <w:highlight w:val="none"/>
        </w:rPr>
      </w:pPr>
    </w:p>
    <w:p w14:paraId="40E767B9">
      <w:pPr>
        <w:pStyle w:val="25"/>
        <w:jc w:val="center"/>
        <w:rPr>
          <w:rFonts w:hint="eastAsia" w:ascii="宋体" w:hAnsi="宋体" w:eastAsia="宋体" w:cs="宋体"/>
          <w:b/>
          <w:color w:val="auto"/>
          <w:sz w:val="28"/>
          <w:szCs w:val="28"/>
          <w:highlight w:val="none"/>
        </w:rPr>
      </w:pPr>
    </w:p>
    <w:p w14:paraId="32B0DA97">
      <w:pPr>
        <w:pStyle w:val="25"/>
        <w:jc w:val="center"/>
        <w:rPr>
          <w:rFonts w:hint="eastAsia" w:ascii="宋体" w:hAnsi="宋体" w:eastAsia="宋体" w:cs="宋体"/>
          <w:b/>
          <w:color w:val="auto"/>
          <w:sz w:val="28"/>
          <w:szCs w:val="28"/>
          <w:highlight w:val="none"/>
        </w:rPr>
      </w:pPr>
    </w:p>
    <w:p w14:paraId="01768068">
      <w:pPr>
        <w:pStyle w:val="25"/>
        <w:jc w:val="center"/>
        <w:rPr>
          <w:rFonts w:hint="eastAsia" w:ascii="宋体" w:hAnsi="宋体" w:eastAsia="宋体" w:cs="宋体"/>
          <w:b/>
          <w:color w:val="auto"/>
          <w:sz w:val="28"/>
          <w:szCs w:val="28"/>
          <w:highlight w:val="none"/>
        </w:rPr>
      </w:pPr>
    </w:p>
    <w:p w14:paraId="6D7484AA">
      <w:pPr>
        <w:pStyle w:val="25"/>
        <w:jc w:val="center"/>
        <w:rPr>
          <w:rFonts w:hint="eastAsia" w:ascii="宋体" w:hAnsi="宋体" w:eastAsia="宋体" w:cs="宋体"/>
          <w:b/>
          <w:color w:val="auto"/>
          <w:sz w:val="28"/>
          <w:szCs w:val="28"/>
          <w:highlight w:val="none"/>
        </w:rPr>
      </w:pPr>
    </w:p>
    <w:p w14:paraId="4F0E0455">
      <w:pPr>
        <w:pStyle w:val="25"/>
        <w:jc w:val="center"/>
        <w:rPr>
          <w:rFonts w:hint="eastAsia" w:ascii="宋体" w:hAnsi="宋体" w:eastAsia="宋体" w:cs="宋体"/>
          <w:b/>
          <w:color w:val="auto"/>
          <w:sz w:val="28"/>
          <w:szCs w:val="28"/>
          <w:highlight w:val="none"/>
        </w:rPr>
      </w:pPr>
    </w:p>
    <w:p w14:paraId="05FFF08B">
      <w:pPr>
        <w:pStyle w:val="25"/>
        <w:jc w:val="center"/>
        <w:rPr>
          <w:rFonts w:hint="eastAsia" w:ascii="宋体" w:hAnsi="宋体" w:eastAsia="宋体" w:cs="宋体"/>
          <w:b/>
          <w:color w:val="auto"/>
          <w:sz w:val="28"/>
          <w:szCs w:val="28"/>
          <w:highlight w:val="none"/>
        </w:rPr>
      </w:pPr>
    </w:p>
    <w:p w14:paraId="553575F5">
      <w:pPr>
        <w:pStyle w:val="25"/>
        <w:jc w:val="center"/>
        <w:rPr>
          <w:rFonts w:hint="eastAsia" w:ascii="宋体" w:hAnsi="宋体" w:eastAsia="宋体" w:cs="宋体"/>
          <w:b/>
          <w:color w:val="auto"/>
          <w:sz w:val="28"/>
          <w:szCs w:val="28"/>
          <w:highlight w:val="none"/>
        </w:rPr>
      </w:pPr>
    </w:p>
    <w:p w14:paraId="1149DDE3">
      <w:pPr>
        <w:pStyle w:val="25"/>
        <w:jc w:val="center"/>
        <w:rPr>
          <w:rFonts w:hint="eastAsia" w:ascii="宋体" w:hAnsi="宋体" w:eastAsia="宋体" w:cs="宋体"/>
          <w:b/>
          <w:color w:val="auto"/>
          <w:sz w:val="28"/>
          <w:szCs w:val="28"/>
          <w:highlight w:val="none"/>
        </w:rPr>
      </w:pPr>
    </w:p>
    <w:p w14:paraId="42477C23">
      <w:pPr>
        <w:pStyle w:val="25"/>
        <w:jc w:val="center"/>
        <w:rPr>
          <w:rFonts w:hint="eastAsia" w:ascii="宋体" w:hAnsi="宋体" w:eastAsia="宋体" w:cs="宋体"/>
          <w:b/>
          <w:color w:val="auto"/>
          <w:sz w:val="28"/>
          <w:szCs w:val="28"/>
          <w:highlight w:val="none"/>
        </w:rPr>
      </w:pPr>
    </w:p>
    <w:p w14:paraId="52F0A39B">
      <w:pPr>
        <w:pStyle w:val="25"/>
        <w:jc w:val="center"/>
        <w:rPr>
          <w:rFonts w:hint="eastAsia" w:ascii="宋体" w:hAnsi="宋体" w:eastAsia="宋体" w:cs="宋体"/>
          <w:b/>
          <w:color w:val="auto"/>
          <w:sz w:val="28"/>
          <w:szCs w:val="28"/>
          <w:highlight w:val="none"/>
        </w:rPr>
      </w:pPr>
    </w:p>
    <w:p w14:paraId="00C9DF5F">
      <w:pPr>
        <w:pStyle w:val="25"/>
        <w:jc w:val="center"/>
        <w:rPr>
          <w:rFonts w:hint="eastAsia" w:ascii="宋体" w:hAnsi="宋体" w:eastAsia="宋体" w:cs="宋体"/>
          <w:b/>
          <w:color w:val="auto"/>
          <w:sz w:val="28"/>
          <w:szCs w:val="28"/>
          <w:highlight w:val="none"/>
        </w:rPr>
      </w:pPr>
    </w:p>
    <w:p w14:paraId="5037B2E6">
      <w:pPr>
        <w:pStyle w:val="25"/>
        <w:jc w:val="center"/>
        <w:rPr>
          <w:rFonts w:hint="eastAsia" w:ascii="宋体" w:hAnsi="宋体" w:eastAsia="宋体" w:cs="宋体"/>
          <w:b/>
          <w:color w:val="auto"/>
          <w:sz w:val="28"/>
          <w:szCs w:val="28"/>
          <w:highlight w:val="none"/>
        </w:rPr>
      </w:pPr>
    </w:p>
    <w:p w14:paraId="380F3B2A">
      <w:pPr>
        <w:pStyle w:val="25"/>
        <w:jc w:val="center"/>
        <w:rPr>
          <w:rFonts w:hint="eastAsia" w:ascii="宋体" w:hAnsi="宋体" w:eastAsia="宋体" w:cs="宋体"/>
          <w:b/>
          <w:color w:val="auto"/>
          <w:sz w:val="28"/>
          <w:szCs w:val="28"/>
          <w:highlight w:val="none"/>
        </w:rPr>
      </w:pPr>
    </w:p>
    <w:p w14:paraId="1016A285">
      <w:pPr>
        <w:pStyle w:val="25"/>
        <w:jc w:val="center"/>
        <w:rPr>
          <w:rFonts w:hint="eastAsia" w:ascii="宋体" w:hAnsi="宋体" w:eastAsia="宋体" w:cs="宋体"/>
          <w:b/>
          <w:color w:val="auto"/>
          <w:sz w:val="32"/>
          <w:szCs w:val="32"/>
          <w:highlight w:val="none"/>
        </w:rPr>
        <w:sectPr>
          <w:footerReference r:id="rId5" w:type="first"/>
          <w:footerReference r:id="rId4" w:type="default"/>
          <w:pgSz w:w="11906" w:h="16838"/>
          <w:pgMar w:top="1418" w:right="1588" w:bottom="1418" w:left="1588" w:header="851" w:footer="992" w:gutter="0"/>
          <w:pgNumType w:start="1"/>
          <w:cols w:space="720" w:num="1"/>
          <w:titlePg/>
          <w:docGrid w:type="lines" w:linePitch="312" w:charSpace="0"/>
        </w:sectPr>
      </w:pPr>
    </w:p>
    <w:sdt>
      <w:sdtPr>
        <w:rPr>
          <w:rFonts w:hint="eastAsia" w:ascii="宋体" w:hAnsi="宋体" w:eastAsia="宋体" w:cs="宋体"/>
          <w:b/>
          <w:color w:val="auto"/>
          <w:sz w:val="36"/>
          <w:szCs w:val="36"/>
          <w:highlight w:val="none"/>
          <w:lang w:val="en-US" w:eastAsia="zh-CN"/>
        </w:rPr>
        <w:id w:val="147457255"/>
        <w15:color w:val="DBDBDB"/>
        <w:docPartObj>
          <w:docPartGallery w:val="Table of Contents"/>
          <w:docPartUnique/>
        </w:docPartObj>
      </w:sdtPr>
      <w:sdtEndPr>
        <w:rPr>
          <w:rFonts w:hint="eastAsia" w:ascii="宋体" w:hAnsi="宋体" w:eastAsia="宋体" w:cs="宋体"/>
          <w:b/>
          <w:color w:val="auto"/>
          <w:kern w:val="2"/>
          <w:sz w:val="30"/>
          <w:szCs w:val="30"/>
          <w:highlight w:val="none"/>
          <w:lang w:val="en-US" w:eastAsia="zh-CN" w:bidi="ar-SA"/>
        </w:rPr>
      </w:sdtEndPr>
      <w:sdtContent>
        <w:p w14:paraId="33F8FF5D">
          <w:pPr>
            <w:pStyle w:val="25"/>
            <w:jc w:val="center"/>
            <w:rPr>
              <w:rFonts w:hint="eastAsia" w:ascii="宋体" w:hAnsi="宋体" w:eastAsia="宋体" w:cs="宋体"/>
              <w:b/>
              <w:color w:val="auto"/>
              <w:sz w:val="36"/>
              <w:szCs w:val="36"/>
              <w:highlight w:val="none"/>
            </w:rPr>
          </w:pPr>
          <w:bookmarkStart w:id="4" w:name="_Toc7590"/>
          <w:bookmarkStart w:id="5" w:name="_Toc242012824"/>
          <w:bookmarkStart w:id="6" w:name="_Toc19650"/>
          <w:bookmarkStart w:id="7" w:name="_Toc18250"/>
          <w:bookmarkStart w:id="8" w:name="_Toc29659"/>
          <w:bookmarkStart w:id="9" w:name="_Toc13838"/>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7A9443A">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1A303B6D">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_Toc7477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rPr>
            <w:t xml:space="preserve">第一部分 </w:t>
          </w:r>
          <w:r>
            <w:rPr>
              <w:rFonts w:hint="eastAsia" w:ascii="宋体" w:hAnsi="宋体" w:eastAsia="宋体" w:cs="宋体"/>
              <w:color w:val="auto"/>
              <w:sz w:val="30"/>
              <w:szCs w:val="30"/>
              <w:highlight w:val="none"/>
            </w:rPr>
            <w:t>公开招标公告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_Toc7477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5B5412E2">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_Toc28834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sz w:val="30"/>
              <w:szCs w:val="30"/>
            </w:rPr>
            <w:t xml:space="preserve">第二部分 </w:t>
          </w:r>
          <w:r>
            <w:rPr>
              <w:rFonts w:hint="eastAsia" w:ascii="宋体" w:hAnsi="宋体" w:eastAsia="宋体" w:cs="宋体"/>
              <w:bCs/>
              <w:color w:val="auto"/>
              <w:sz w:val="30"/>
              <w:szCs w:val="30"/>
              <w:highlight w:val="none"/>
            </w:rPr>
            <w:t>投标须知</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_Toc28834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29980650">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_Toc11605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第三部分 招标内容及需求</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_Toc11605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25</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6C0E4242">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_Toc32388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第四部分  合同条款</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_Toc32388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28</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1DA3329D">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_Toc2707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第五部分  评标办法（最低评标价法）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_Toc2707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43</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28C88D46">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_Toc26433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第六部分  投标文件格式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_Toc26433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45</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60534AEF">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_Toc3989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2"/>
              <w:sz w:val="30"/>
              <w:szCs w:val="30"/>
              <w:lang w:val="en-US" w:eastAsia="zh-CN" w:bidi="ar-SA"/>
            </w:rPr>
            <w:t xml:space="preserve">第七部分 </w:t>
          </w:r>
          <w:r>
            <w:rPr>
              <w:rFonts w:hint="eastAsia" w:ascii="宋体" w:hAnsi="宋体" w:eastAsia="宋体" w:cs="宋体"/>
              <w:color w:val="auto"/>
              <w:kern w:val="2"/>
              <w:sz w:val="30"/>
              <w:szCs w:val="30"/>
              <w:highlight w:val="none"/>
              <w:lang w:val="en-US" w:eastAsia="zh-CN" w:bidi="ar-SA"/>
            </w:rPr>
            <w:t>其它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_Toc3989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41A3CE10">
          <w:pPr>
            <w:spacing w:line="360" w:lineRule="auto"/>
            <w:jc w:val="center"/>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fldChar w:fldCharType="end"/>
          </w:r>
        </w:p>
      </w:sdtContent>
    </w:sdt>
    <w:p w14:paraId="67D3FC02">
      <w:pPr>
        <w:spacing w:line="360" w:lineRule="auto"/>
        <w:jc w:val="center"/>
        <w:rPr>
          <w:rFonts w:hint="eastAsia" w:ascii="宋体" w:hAnsi="宋体" w:eastAsia="宋体" w:cs="宋体"/>
          <w:color w:val="auto"/>
          <w:kern w:val="2"/>
          <w:sz w:val="21"/>
          <w:szCs w:val="28"/>
          <w:highlight w:val="none"/>
          <w:lang w:val="en-US" w:eastAsia="zh-CN" w:bidi="ar-SA"/>
        </w:rPr>
        <w:sectPr>
          <w:footerReference r:id="rId7" w:type="first"/>
          <w:footerReference r:id="rId6" w:type="default"/>
          <w:pgSz w:w="11906" w:h="16838"/>
          <w:pgMar w:top="1418" w:right="1588" w:bottom="1418" w:left="1588" w:header="851" w:footer="992" w:gutter="0"/>
          <w:pgNumType w:fmt="decimal" w:start="1"/>
          <w:cols w:space="720" w:num="1"/>
          <w:docGrid w:type="lines" w:linePitch="312" w:charSpace="0"/>
        </w:sectPr>
      </w:pPr>
      <w:bookmarkStart w:id="275" w:name="_GoBack"/>
      <w:bookmarkEnd w:id="275"/>
    </w:p>
    <w:p w14:paraId="3F3CB180">
      <w:pPr>
        <w:pStyle w:val="2"/>
        <w:numPr>
          <w:ilvl w:val="0"/>
          <w:numId w:val="1"/>
        </w:numPr>
        <w:bidi w:val="0"/>
        <w:rPr>
          <w:rFonts w:hint="eastAsia"/>
          <w:color w:val="auto"/>
          <w:highlight w:val="none"/>
        </w:rPr>
      </w:pPr>
      <w:bookmarkStart w:id="10" w:name="_Toc14805"/>
      <w:r>
        <w:rPr>
          <w:rFonts w:hint="eastAsia"/>
          <w:color w:val="auto"/>
          <w:highlight w:val="none"/>
        </w:rPr>
        <w:t xml:space="preserve"> </w:t>
      </w:r>
      <w:bookmarkStart w:id="11" w:name="_Toc7477"/>
      <w:r>
        <w:rPr>
          <w:rFonts w:hint="eastAsia"/>
          <w:color w:val="auto"/>
          <w:highlight w:val="none"/>
        </w:rPr>
        <w:t>公开招标公告</w:t>
      </w:r>
      <w:bookmarkEnd w:id="10"/>
      <w:bookmarkEnd w:id="11"/>
    </w:p>
    <w:p w14:paraId="1B70E679">
      <w:pPr>
        <w:numPr>
          <w:ilvl w:val="0"/>
          <w:numId w:val="0"/>
        </w:numPr>
        <w:rPr>
          <w:rFonts w:hint="eastAsia"/>
          <w:color w:val="auto"/>
          <w:highlight w:val="none"/>
        </w:rPr>
      </w:pP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14E6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00" w:type="pct"/>
            <w:noWrap w:val="0"/>
            <w:vAlign w:val="center"/>
          </w:tcPr>
          <w:p w14:paraId="401F8D3E">
            <w:pPr>
              <w:widowControl/>
              <w:adjustRightInd w:val="0"/>
              <w:snapToGrid w:val="0"/>
              <w:spacing w:line="380" w:lineRule="exact"/>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14:paraId="3638B739">
            <w:pPr>
              <w:widowControl/>
              <w:adjustRightInd w:val="0"/>
              <w:snapToGrid w:val="0"/>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浦江县交投贸易有限公司2024年-2025年石灰岩采购项目</w:t>
            </w:r>
            <w:r>
              <w:rPr>
                <w:rFonts w:hint="eastAsia" w:ascii="宋体" w:hAnsi="宋体" w:cs="宋体"/>
                <w:b/>
                <w:bCs/>
                <w:color w:val="auto"/>
                <w:sz w:val="24"/>
                <w:highlight w:val="none"/>
              </w:rPr>
              <w:t>的潜在投标人应在</w:t>
            </w:r>
            <w:r>
              <w:rPr>
                <w:rFonts w:hint="eastAsia" w:ascii="宋体" w:hAnsi="宋体" w:cs="宋体"/>
                <w:b/>
                <w:bCs/>
                <w:color w:val="auto"/>
                <w:sz w:val="24"/>
                <w:highlight w:val="none"/>
                <w:lang w:eastAsia="zh-CN"/>
              </w:rPr>
              <w:t>乐采云平台（www.lecaiyun.com）</w:t>
            </w:r>
            <w:r>
              <w:rPr>
                <w:rFonts w:hint="eastAsia" w:ascii="宋体" w:hAnsi="宋体" w:cs="宋体"/>
                <w:b/>
                <w:bCs/>
                <w:color w:val="auto"/>
                <w:sz w:val="24"/>
                <w:highlight w:val="none"/>
              </w:rPr>
              <w:t>获取（下载）招标文件，并于</w:t>
            </w:r>
            <w:r>
              <w:rPr>
                <w:rFonts w:hint="eastAsia" w:ascii="宋体" w:hAnsi="宋体" w:cs="宋体"/>
                <w:b/>
                <w:bCs/>
                <w:color w:val="auto"/>
                <w:sz w:val="24"/>
                <w:highlight w:val="none"/>
                <w:lang w:eastAsia="zh-CN"/>
              </w:rPr>
              <w:t>2024年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21</w:t>
            </w:r>
            <w:r>
              <w:rPr>
                <w:rFonts w:hint="eastAsia" w:ascii="宋体" w:hAnsi="宋体" w:cs="宋体"/>
                <w:b/>
                <w:bCs/>
                <w:color w:val="auto"/>
                <w:sz w:val="24"/>
                <w:highlight w:val="none"/>
                <w:lang w:eastAsia="zh-CN"/>
              </w:rPr>
              <w:t>日14</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30</w:t>
            </w:r>
            <w:r>
              <w:rPr>
                <w:rFonts w:hint="eastAsia" w:ascii="宋体" w:hAnsi="宋体" w:cs="宋体"/>
                <w:b/>
                <w:bCs/>
                <w:color w:val="auto"/>
                <w:sz w:val="24"/>
                <w:highlight w:val="none"/>
              </w:rPr>
              <w:t>（北京时间）前递交（上传）投标文件。  </w:t>
            </w:r>
          </w:p>
        </w:tc>
      </w:tr>
    </w:tbl>
    <w:p w14:paraId="14C58EEF">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一、项目基本情况</w:t>
      </w:r>
    </w:p>
    <w:p w14:paraId="7FB6A843">
      <w:pPr>
        <w:widowControl/>
        <w:adjustRightInd w:val="0"/>
        <w:snapToGrid w:val="0"/>
        <w:spacing w:line="3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 xml:space="preserve">PJCQGK(JTMY)2024-1030 </w:t>
      </w:r>
    </w:p>
    <w:p w14:paraId="75F49961">
      <w:pPr>
        <w:widowControl/>
        <w:adjustRightInd w:val="0"/>
        <w:snapToGrid w:val="0"/>
        <w:spacing w:line="380" w:lineRule="exact"/>
        <w:ind w:left="479" w:leftChars="228"/>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浦江县交投贸易有限公司2024年-2025年石灰岩采购项目</w:t>
      </w:r>
    </w:p>
    <w:p w14:paraId="071BA2BD">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29900000</w:t>
      </w:r>
    </w:p>
    <w:p w14:paraId="6A3BE769">
      <w:pPr>
        <w:widowControl/>
        <w:adjustRightInd w:val="0"/>
        <w:snapToGrid w:val="0"/>
        <w:spacing w:line="38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最高限价（元）：</w:t>
      </w:r>
      <w:r>
        <w:rPr>
          <w:rFonts w:hint="eastAsia" w:ascii="宋体" w:hAnsi="宋体" w:cs="宋体"/>
          <w:color w:val="auto"/>
          <w:sz w:val="24"/>
          <w:highlight w:val="none"/>
          <w:lang w:val="en-US" w:eastAsia="zh-CN"/>
        </w:rPr>
        <w:t>29900000</w:t>
      </w:r>
    </w:p>
    <w:p w14:paraId="66BF3EFF">
      <w:pPr>
        <w:widowControl/>
        <w:adjustRightInd w:val="0"/>
        <w:snapToGrid w:val="0"/>
        <w:spacing w:line="380" w:lineRule="exact"/>
        <w:ind w:left="479" w:leftChars="228"/>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标项名称: </w:t>
      </w:r>
      <w:r>
        <w:rPr>
          <w:rFonts w:hint="eastAsia" w:ascii="宋体" w:hAnsi="宋体" w:cs="宋体"/>
          <w:color w:val="auto"/>
          <w:kern w:val="0"/>
          <w:sz w:val="24"/>
          <w:highlight w:val="none"/>
          <w:lang w:eastAsia="zh-CN"/>
        </w:rPr>
        <w:t>浦江县交投贸易有限公司2024年-2025年石灰岩采购项目</w:t>
      </w:r>
    </w:p>
    <w:p w14:paraId="1BE43488">
      <w:pPr>
        <w:widowControl/>
        <w:adjustRightInd w:val="0"/>
        <w:snapToGrid w:val="0"/>
        <w:spacing w:line="380" w:lineRule="exact"/>
        <w:ind w:left="479" w:leftChars="228"/>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数量: </w:t>
      </w:r>
      <w:r>
        <w:rPr>
          <w:rFonts w:hint="eastAsia" w:ascii="宋体" w:hAnsi="宋体" w:cs="宋体"/>
          <w:color w:val="auto"/>
          <w:kern w:val="0"/>
          <w:sz w:val="24"/>
          <w:highlight w:val="none"/>
          <w:lang w:val="en-US" w:eastAsia="zh-CN"/>
        </w:rPr>
        <w:t>260000吨</w:t>
      </w:r>
    </w:p>
    <w:p w14:paraId="0C4D8F0C">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29900000</w:t>
      </w:r>
    </w:p>
    <w:p w14:paraId="147759B7">
      <w:pPr>
        <w:widowControl/>
        <w:adjustRightInd w:val="0"/>
        <w:snapToGrid w:val="0"/>
        <w:spacing w:line="380" w:lineRule="exact"/>
        <w:ind w:left="479" w:leftChars="228"/>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简要规格描述或项目基本概况介绍、用途：</w:t>
      </w:r>
      <w:r>
        <w:rPr>
          <w:rFonts w:hint="eastAsia" w:ascii="宋体" w:hAnsi="宋体" w:cs="宋体"/>
          <w:color w:val="auto"/>
          <w:kern w:val="0"/>
          <w:sz w:val="24"/>
          <w:highlight w:val="none"/>
          <w:lang w:eastAsia="zh-CN"/>
        </w:rPr>
        <w:t>包括石灰岩供货，具体详见采购文件的第三部分《招标内容及需求》。</w:t>
      </w:r>
    </w:p>
    <w:p w14:paraId="64C732D2">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14:paraId="5C4FCD7E">
      <w:pPr>
        <w:widowControl/>
        <w:adjustRightInd w:val="0"/>
        <w:snapToGrid w:val="0"/>
        <w:spacing w:line="380" w:lineRule="exact"/>
        <w:ind w:left="479" w:leftChars="228"/>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合同履行期限：自合同签订之日起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p w14:paraId="5B707701">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sz w:val="24"/>
          <w:highlight w:val="none"/>
        </w:rPr>
        <w:t>（否）接受联合体</w:t>
      </w:r>
      <w:r>
        <w:rPr>
          <w:rFonts w:hint="eastAsia" w:ascii="宋体" w:hAnsi="宋体" w:cs="宋体"/>
          <w:color w:val="auto"/>
          <w:kern w:val="0"/>
          <w:sz w:val="24"/>
          <w:highlight w:val="none"/>
        </w:rPr>
        <w:t>投标。</w:t>
      </w:r>
    </w:p>
    <w:p w14:paraId="4B952AC3">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二、申请人的资格要求</w:t>
      </w:r>
    </w:p>
    <w:p w14:paraId="18A190C2">
      <w:pPr>
        <w:widowControl/>
        <w:spacing w:line="380" w:lineRule="exact"/>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50DE71">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2.落实政府采购政策需满足的资格要求：无；</w:t>
      </w:r>
    </w:p>
    <w:p w14:paraId="78A36E08">
      <w:pPr>
        <w:widowControl/>
        <w:adjustRightInd w:val="0"/>
        <w:snapToGrid w:val="0"/>
        <w:spacing w:line="380" w:lineRule="exact"/>
        <w:ind w:firstLine="480" w:firstLineChars="200"/>
        <w:jc w:val="left"/>
        <w:rPr>
          <w:rFonts w:hint="eastAsia" w:ascii="宋体" w:hAnsi="宋体" w:cs="宋体"/>
          <w:i/>
          <w:iCs/>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eastAsia="zh-CN"/>
        </w:rPr>
        <w:t>无</w:t>
      </w:r>
      <w:r>
        <w:rPr>
          <w:rFonts w:hint="eastAsia" w:ascii="宋体" w:hAnsi="宋体" w:eastAsia="宋体" w:cs="宋体"/>
          <w:color w:val="auto"/>
          <w:kern w:val="0"/>
          <w:sz w:val="24"/>
          <w:highlight w:val="none"/>
        </w:rPr>
        <w:t>。 </w:t>
      </w:r>
      <w:r>
        <w:rPr>
          <w:rFonts w:hint="eastAsia" w:ascii="宋体" w:hAnsi="宋体" w:cs="宋体"/>
          <w:i/>
          <w:iCs/>
          <w:color w:val="auto"/>
          <w:kern w:val="0"/>
          <w:sz w:val="24"/>
          <w:highlight w:val="none"/>
        </w:rPr>
        <w:t xml:space="preserve">   </w:t>
      </w:r>
    </w:p>
    <w:p w14:paraId="6AFAB6B4">
      <w:pPr>
        <w:widowControl/>
        <w:spacing w:line="38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p>
    <w:p w14:paraId="020F8059">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时间：/至</w:t>
      </w:r>
      <w:r>
        <w:rPr>
          <w:rFonts w:hint="eastAsia" w:ascii="宋体" w:hAnsi="宋体" w:cs="宋体"/>
          <w:b w:val="0"/>
          <w:bCs w:val="0"/>
          <w:color w:val="auto"/>
          <w:sz w:val="24"/>
          <w:highlight w:val="none"/>
          <w:lang w:eastAsia="zh-CN"/>
        </w:rPr>
        <w:t>2024年</w:t>
      </w:r>
      <w:r>
        <w:rPr>
          <w:rFonts w:hint="eastAsia" w:ascii="宋体" w:hAnsi="宋体" w:cs="宋体"/>
          <w:b w:val="0"/>
          <w:bCs w:val="0"/>
          <w:color w:val="auto"/>
          <w:sz w:val="24"/>
          <w:highlight w:val="none"/>
          <w:lang w:val="en-US" w:eastAsia="zh-CN"/>
        </w:rPr>
        <w:t>11月21日</w:t>
      </w:r>
      <w:r>
        <w:rPr>
          <w:rFonts w:hint="eastAsia" w:ascii="宋体" w:hAnsi="宋体" w:cs="宋体"/>
          <w:b w:val="0"/>
          <w:bCs w:val="0"/>
          <w:color w:val="auto"/>
          <w:kern w:val="0"/>
          <w:sz w:val="24"/>
          <w:highlight w:val="none"/>
        </w:rPr>
        <w:t>，每天上午00:00至12:00，下午12:00至23:59（北京时间，线上获取法定节假日均可，线下获取文件法定节假日除外）。</w:t>
      </w:r>
    </w:p>
    <w:p w14:paraId="4989A4DD">
      <w:pPr>
        <w:widowControl/>
        <w:spacing w:line="380" w:lineRule="exact"/>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地点（网址）：</w:t>
      </w:r>
      <w:r>
        <w:rPr>
          <w:rFonts w:hint="eastAsia" w:ascii="宋体" w:hAnsi="宋体" w:cs="宋体"/>
          <w:b w:val="0"/>
          <w:bCs w:val="0"/>
          <w:color w:val="auto"/>
          <w:kern w:val="0"/>
          <w:sz w:val="24"/>
          <w:highlight w:val="none"/>
          <w:lang w:eastAsia="zh-CN"/>
        </w:rPr>
        <w:t>乐采云平台（www.lecaiyun.com）</w:t>
      </w:r>
    </w:p>
    <w:p w14:paraId="159745AD">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方式：自行下载</w:t>
      </w:r>
    </w:p>
    <w:p w14:paraId="63D26CC6">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售价（元）：0 </w:t>
      </w:r>
    </w:p>
    <w:p w14:paraId="51398F5F">
      <w:pPr>
        <w:snapToGrid w:val="0"/>
        <w:spacing w:line="34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四、投标保证金</w:t>
      </w:r>
    </w:p>
    <w:p w14:paraId="584573C4">
      <w:pPr>
        <w:snapToGrid w:val="0"/>
        <w:spacing w:line="340" w:lineRule="exact"/>
        <w:ind w:firstLine="480" w:firstLineChars="200"/>
        <w:rPr>
          <w:rFonts w:hint="eastAsia" w:ascii="宋体" w:hAnsi="宋体" w:cs="Arial"/>
          <w:b w:val="0"/>
          <w:bCs w:val="0"/>
          <w:color w:val="auto"/>
          <w:sz w:val="24"/>
          <w:highlight w:val="none"/>
        </w:rPr>
      </w:pPr>
      <w:r>
        <w:rPr>
          <w:rFonts w:hint="eastAsia" w:ascii="宋体" w:hAnsi="宋体" w:cs="Arial"/>
          <w:b w:val="0"/>
          <w:bCs w:val="0"/>
          <w:color w:val="auto"/>
          <w:sz w:val="24"/>
          <w:highlight w:val="none"/>
        </w:rPr>
        <w:t>投标保证金人民币：</w:t>
      </w:r>
      <w:r>
        <w:rPr>
          <w:rFonts w:hint="eastAsia" w:ascii="宋体" w:hAnsi="宋体" w:cs="Arial"/>
          <w:b w:val="0"/>
          <w:bCs w:val="0"/>
          <w:color w:val="auto"/>
          <w:sz w:val="24"/>
          <w:highlight w:val="none"/>
          <w:u w:val="single"/>
          <w:lang w:eastAsia="zh-CN"/>
        </w:rPr>
        <w:t>590000元</w:t>
      </w:r>
      <w:r>
        <w:rPr>
          <w:rFonts w:hint="eastAsia" w:ascii="宋体" w:hAnsi="宋体" w:cs="Arial"/>
          <w:b w:val="0"/>
          <w:bCs w:val="0"/>
          <w:color w:val="auto"/>
          <w:sz w:val="24"/>
          <w:highlight w:val="none"/>
        </w:rPr>
        <w:t>。</w:t>
      </w:r>
    </w:p>
    <w:p w14:paraId="15747783">
      <w:pPr>
        <w:snapToGrid w:val="0"/>
        <w:spacing w:line="340" w:lineRule="exact"/>
        <w:ind w:firstLine="480" w:firstLineChars="200"/>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t>投标人必须在</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11月21日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30时</w:t>
      </w:r>
      <w:r>
        <w:rPr>
          <w:rFonts w:hint="eastAsia" w:ascii="宋体" w:hAnsi="宋体" w:cs="宋体"/>
          <w:color w:val="auto"/>
          <w:kern w:val="0"/>
          <w:sz w:val="24"/>
          <w:highlight w:val="none"/>
        </w:rPr>
        <w:t>（时间）前将投标保证金以银行电汇、转账、</w:t>
      </w:r>
      <w:r>
        <w:rPr>
          <w:rFonts w:hint="eastAsia" w:ascii="宋体" w:hAnsi="宋体" w:cs="宋体"/>
          <w:color w:val="auto"/>
          <w:sz w:val="24"/>
          <w:highlight w:val="none"/>
          <w:lang w:eastAsia="zh-CN"/>
        </w:rPr>
        <w:t>保函</w:t>
      </w:r>
      <w:r>
        <w:rPr>
          <w:rFonts w:hint="eastAsia" w:ascii="宋体" w:hAnsi="宋体" w:cs="宋体"/>
          <w:color w:val="auto"/>
          <w:kern w:val="0"/>
          <w:sz w:val="24"/>
          <w:highlight w:val="none"/>
        </w:rPr>
        <w:t>等形式以投标供应商为缴款单位，交至：</w:t>
      </w:r>
    </w:p>
    <w:p w14:paraId="6D2FF32E">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14:paraId="65F0CF1D">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14:paraId="78B876CE">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p w14:paraId="0FEC926D">
      <w:pPr>
        <w:pStyle w:val="44"/>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注：</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lang w:eastAsia="zh-CN"/>
        </w:rPr>
        <w:t>投标</w:t>
      </w:r>
      <w:r>
        <w:rPr>
          <w:rFonts w:hint="eastAsia" w:ascii="宋体" w:hAnsi="宋体" w:eastAsia="宋体" w:cs="宋体"/>
          <w:b/>
          <w:bCs/>
          <w:color w:val="auto"/>
          <w:sz w:val="24"/>
          <w:highlight w:val="none"/>
          <w:u w:val="single"/>
        </w:rPr>
        <w:t>保证金汇入时请在“用途或附言”中注明“</w:t>
      </w:r>
      <w:r>
        <w:rPr>
          <w:rFonts w:hint="eastAsia" w:ascii="宋体" w:hAnsi="宋体" w:eastAsia="宋体" w:cs="宋体"/>
          <w:b/>
          <w:bCs/>
          <w:color w:val="auto"/>
          <w:sz w:val="24"/>
          <w:highlight w:val="none"/>
          <w:u w:val="single"/>
          <w:lang w:eastAsia="zh-CN"/>
        </w:rPr>
        <w:t>石灰岩采购</w:t>
      </w:r>
      <w:r>
        <w:rPr>
          <w:rFonts w:hint="eastAsia" w:ascii="宋体" w:hAnsi="宋体" w:eastAsia="宋体" w:cs="宋体"/>
          <w:b/>
          <w:bCs/>
          <w:color w:val="auto"/>
          <w:sz w:val="24"/>
          <w:highlight w:val="none"/>
          <w:u w:val="single"/>
        </w:rPr>
        <w:t>”保证金。</w:t>
      </w:r>
    </w:p>
    <w:p w14:paraId="49C4128B">
      <w:pPr>
        <w:keepNext w:val="0"/>
        <w:keepLines w:val="0"/>
        <w:pageBreakBefore w:val="0"/>
        <w:widowControl/>
        <w:numPr>
          <w:ilvl w:val="0"/>
          <w:numId w:val="2"/>
        </w:numPr>
        <w:kinsoku/>
        <w:wordWrap/>
        <w:overflowPunct/>
        <w:topLinePunct w:val="0"/>
        <w:autoSpaceDE/>
        <w:autoSpaceDN/>
        <w:bidi w:val="0"/>
        <w:spacing w:line="380" w:lineRule="exact"/>
        <w:ind w:firstLine="482" w:firstLineChars="200"/>
        <w:textAlignment w:val="auto"/>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如使用保函形式的，保函应在4个月内保持有效；被保险人（受益人）为采购代理机构或采购人。</w:t>
      </w:r>
    </w:p>
    <w:p w14:paraId="7DE8CFD6">
      <w:pPr>
        <w:keepNext w:val="0"/>
        <w:keepLines w:val="0"/>
        <w:pageBreakBefore w:val="0"/>
        <w:widowControl/>
        <w:numPr>
          <w:ilvl w:val="0"/>
          <w:numId w:val="0"/>
        </w:numPr>
        <w:kinsoku/>
        <w:wordWrap/>
        <w:overflowPunct/>
        <w:topLinePunct w:val="0"/>
        <w:autoSpaceDE/>
        <w:autoSpaceDN/>
        <w:bidi w:val="0"/>
        <w:spacing w:line="38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五、提交投标文件截止时间、开标时间和地点</w:t>
      </w:r>
    </w:p>
    <w:p w14:paraId="2D28FFFB">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提交投标文件截止时间：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11月21日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14:paraId="0C7D7A0F">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投标地点（网址）：</w:t>
      </w:r>
      <w:r>
        <w:rPr>
          <w:rFonts w:hint="eastAsia" w:ascii="宋体" w:hAnsi="宋体" w:cs="宋体"/>
          <w:color w:val="auto"/>
          <w:kern w:val="0"/>
          <w:sz w:val="24"/>
          <w:highlight w:val="none"/>
          <w:u w:val="single"/>
        </w:rPr>
        <w:t>请登录</w:t>
      </w:r>
      <w:r>
        <w:rPr>
          <w:rFonts w:hint="eastAsia" w:ascii="宋体" w:hAnsi="宋体" w:cs="宋体"/>
          <w:color w:val="auto"/>
          <w:kern w:val="0"/>
          <w:sz w:val="24"/>
          <w:highlight w:val="none"/>
          <w:u w:val="single"/>
          <w:lang w:eastAsia="zh-CN"/>
        </w:rPr>
        <w:t>乐采云</w:t>
      </w:r>
      <w:r>
        <w:rPr>
          <w:rFonts w:hint="eastAsia" w:ascii="宋体" w:hAnsi="宋体" w:cs="宋体"/>
          <w:color w:val="auto"/>
          <w:kern w:val="0"/>
          <w:sz w:val="24"/>
          <w:highlight w:val="none"/>
          <w:u w:val="single"/>
        </w:rPr>
        <w:t>投标客户端投标</w:t>
      </w:r>
    </w:p>
    <w:p w14:paraId="4587244C">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11月21日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14:paraId="43F2A6A5">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开标地点（网址）：</w:t>
      </w:r>
      <w:r>
        <w:rPr>
          <w:rFonts w:hint="eastAsia" w:ascii="宋体" w:hAnsi="宋体" w:cs="宋体"/>
          <w:color w:val="auto"/>
          <w:kern w:val="0"/>
          <w:sz w:val="24"/>
          <w:highlight w:val="none"/>
          <w:u w:val="single"/>
        </w:rPr>
        <w:t>浦江县人民东路83号金华市公共资源交易中心浦江县分中心</w:t>
      </w:r>
    </w:p>
    <w:p w14:paraId="120A2238">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六、公告期限</w:t>
      </w:r>
    </w:p>
    <w:p w14:paraId="3A03CD97">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783040C">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七、其他补充事宜</w:t>
      </w:r>
    </w:p>
    <w:p w14:paraId="2A8DEB45">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14:paraId="7BD3ADB1">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14:paraId="13536A74">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3.其他事项</w:t>
      </w:r>
    </w:p>
    <w:p w14:paraId="1C504EA9">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（1）本项目非专门面向中小企业采购的项目。</w:t>
      </w:r>
    </w:p>
    <w:p w14:paraId="48D5C9E3">
      <w:pPr>
        <w:widowControl/>
        <w:spacing w:line="380" w:lineRule="exact"/>
        <w:ind w:firstLine="3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）本项目采取电子招投标，电子招投标有关事项说明：</w:t>
      </w:r>
    </w:p>
    <w:p w14:paraId="0F73D8B9">
      <w:pPr>
        <w:keepNext w:val="0"/>
        <w:keepLines w:val="0"/>
        <w:pageBreakBefore w:val="0"/>
        <w:widowControl/>
        <w:kinsoku/>
        <w:wordWrap/>
        <w:overflowPunct/>
        <w:topLinePunct w:val="0"/>
        <w:autoSpaceDE/>
        <w:autoSpaceDN/>
        <w:bidi w:val="0"/>
        <w:spacing w:line="360" w:lineRule="exact"/>
        <w:ind w:firstLine="38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A.首次参加投标的单位通过“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入驻中心</w:t>
      </w:r>
      <w:r>
        <w:rPr>
          <w:rFonts w:hint="eastAsia" w:ascii="宋体" w:hAnsi="宋体" w:cs="宋体"/>
          <w:color w:val="auto"/>
          <w:kern w:val="0"/>
          <w:sz w:val="24"/>
          <w:highlight w:val="none"/>
        </w:rPr>
        <w:t>”进行账户注册，注册完毕待审核成功成为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供应商后方可登录获取，注册咨询电话：</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。因未注册入库造成无法投标或投标失败等后果由供应商自行承担。</w:t>
      </w:r>
    </w:p>
    <w:p w14:paraId="198E5AC9">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B.投标人须申领CA，相关操作可参考“浙江政府采购网-下载专区-电子交易客户端-CA驱动和申领流程”。</w:t>
      </w:r>
      <w:r>
        <w:rPr>
          <w:rFonts w:hint="eastAsia" w:ascii="宋体" w:hAnsi="宋体" w:cs="宋体"/>
          <w:b/>
          <w:bCs/>
          <w:color w:val="auto"/>
          <w:kern w:val="0"/>
          <w:sz w:val="24"/>
          <w:highlight w:val="none"/>
        </w:rPr>
        <w:t>CA数字证书办理预计一周左右，建议各投标人抓紧时间办理</w:t>
      </w:r>
      <w:r>
        <w:rPr>
          <w:rFonts w:hint="eastAsia" w:ascii="宋体" w:hAnsi="宋体" w:cs="宋体"/>
          <w:color w:val="auto"/>
          <w:kern w:val="0"/>
          <w:sz w:val="24"/>
          <w:highlight w:val="none"/>
        </w:rPr>
        <w:t>。因未办理CA数字证书造成无法投标或投标失败等后果由供应商自行承担。</w:t>
      </w:r>
    </w:p>
    <w:p w14:paraId="630BCACB">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C.投标人使用账号或CA登录</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）进入</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系统“项目采购”模块“获取采购文件”菜单中选择项目，网上获取采购文件。通过本公告下方“游客，浏览采购文件”下载的采购文件仅供浏览。</w:t>
      </w:r>
    </w:p>
    <w:p w14:paraId="62ACE9C8">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D.本项目通过“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）”实行电子投标，不接受纸质投标文件，投标人须安装客户端软件，并按照采购文件和电子交易平台的要求制作投标文件。</w:t>
      </w:r>
    </w:p>
    <w:p w14:paraId="36EF9A69">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客户端软件下载方式：投标人可通过“乐采云-投标客户端”进行下载</w:t>
      </w:r>
      <w:r>
        <w:rPr>
          <w:rFonts w:hint="eastAsia" w:ascii="宋体" w:hAnsi="宋体" w:cs="宋体"/>
          <w:color w:val="auto"/>
          <w:kern w:val="0"/>
          <w:sz w:val="24"/>
          <w:highlight w:val="none"/>
          <w:lang w:eastAsia="zh-CN"/>
        </w:rPr>
        <w:t>。</w:t>
      </w:r>
    </w:p>
    <w:p w14:paraId="00E0A01D">
      <w:pPr>
        <w:snapToGrid w:val="0"/>
        <w:ind w:firstLine="420"/>
        <w:rPr>
          <w:rFonts w:hint="eastAsia"/>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凡对本次</w:t>
      </w:r>
      <w:r>
        <w:rPr>
          <w:rFonts w:hint="eastAsia"/>
          <w:b/>
          <w:color w:val="auto"/>
          <w:sz w:val="24"/>
          <w:highlight w:val="none"/>
          <w:lang w:eastAsia="zh-CN"/>
        </w:rPr>
        <w:t>采购</w:t>
      </w:r>
      <w:r>
        <w:rPr>
          <w:rFonts w:hint="eastAsia"/>
          <w:b/>
          <w:color w:val="auto"/>
          <w:sz w:val="24"/>
          <w:highlight w:val="none"/>
        </w:rPr>
        <w:t>提出询问、质疑、投诉，请按以下方式联系</w:t>
      </w:r>
    </w:p>
    <w:p w14:paraId="6A966383">
      <w:pPr>
        <w:widowControl/>
        <w:adjustRightInd w:val="0"/>
        <w:snapToGrid w:val="0"/>
        <w:ind w:firstLine="361" w:firstLineChars="150"/>
        <w:jc w:val="left"/>
        <w:rPr>
          <w:b/>
          <w:bCs/>
          <w:color w:val="auto"/>
          <w:sz w:val="24"/>
          <w:szCs w:val="20"/>
          <w:highlight w:val="none"/>
        </w:rPr>
      </w:pPr>
      <w:r>
        <w:rPr>
          <w:b/>
          <w:bCs/>
          <w:color w:val="auto"/>
          <w:sz w:val="24"/>
          <w:szCs w:val="20"/>
          <w:highlight w:val="none"/>
        </w:rPr>
        <w:t>1.采购人信息</w:t>
      </w:r>
      <w:r>
        <w:rPr>
          <w:rFonts w:hint="eastAsia"/>
          <w:b/>
          <w:bCs/>
          <w:color w:val="auto"/>
          <w:sz w:val="24"/>
          <w:szCs w:val="20"/>
          <w:highlight w:val="none"/>
        </w:rPr>
        <w:t>：</w:t>
      </w:r>
    </w:p>
    <w:p w14:paraId="1CFE703F">
      <w:pPr>
        <w:widowControl/>
        <w:adjustRightInd w:val="0"/>
        <w:snapToGrid w:val="0"/>
        <w:jc w:val="left"/>
        <w:rPr>
          <w:rFonts w:hint="eastAsia" w:ascii="宋体" w:hAnsi="宋体" w:cs="宋体"/>
          <w:color w:val="auto"/>
          <w:sz w:val="24"/>
          <w:highlight w:val="none"/>
        </w:rPr>
      </w:pPr>
      <w:r>
        <w:rPr>
          <w:color w:val="auto"/>
          <w:sz w:val="24"/>
          <w:szCs w:val="20"/>
          <w:highlight w:val="none"/>
        </w:rPr>
        <w:t>   </w:t>
      </w:r>
      <w:r>
        <w:rPr>
          <w:rFonts w:hint="eastAsia" w:ascii="宋体" w:hAnsi="宋体" w:cs="宋体"/>
          <w:color w:val="auto"/>
          <w:sz w:val="24"/>
          <w:highlight w:val="none"/>
        </w:rPr>
        <w:t xml:space="preserve"> </w:t>
      </w:r>
      <w:r>
        <w:rPr>
          <w:color w:val="auto"/>
          <w:sz w:val="24"/>
          <w:szCs w:val="20"/>
          <w:highlight w:val="none"/>
        </w:rPr>
        <w:t> </w:t>
      </w:r>
      <w:r>
        <w:rPr>
          <w:rFonts w:hint="eastAsia" w:ascii="宋体" w:hAnsi="宋体" w:cs="宋体"/>
          <w:color w:val="auto"/>
          <w:sz w:val="24"/>
          <w:highlight w:val="none"/>
        </w:rPr>
        <w:t>名   称：</w:t>
      </w:r>
      <w:r>
        <w:rPr>
          <w:rFonts w:hint="eastAsia" w:ascii="宋体" w:hAnsi="宋体" w:cs="宋体"/>
          <w:color w:val="auto"/>
          <w:kern w:val="0"/>
          <w:sz w:val="24"/>
          <w:highlight w:val="none"/>
          <w:lang w:eastAsia="zh-CN"/>
        </w:rPr>
        <w:t>浦江县交投贸易有限公司</w:t>
      </w:r>
      <w:r>
        <w:rPr>
          <w:rFonts w:hint="eastAsia" w:ascii="宋体" w:hAnsi="宋体" w:cs="宋体"/>
          <w:color w:val="auto"/>
          <w:kern w:val="0"/>
          <w:sz w:val="24"/>
          <w:highlight w:val="none"/>
        </w:rPr>
        <w:t xml:space="preserve"> </w:t>
      </w:r>
    </w:p>
    <w:p w14:paraId="11B04AC5">
      <w:pPr>
        <w:widowControl/>
        <w:adjustRightInd w:val="0"/>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地   址：浙江省浦江县浦阳街道江滨中路26号</w:t>
      </w:r>
      <w:r>
        <w:rPr>
          <w:rFonts w:hint="eastAsia" w:ascii="宋体" w:hAnsi="宋体" w:cs="宋体"/>
          <w:color w:val="auto"/>
          <w:kern w:val="0"/>
          <w:sz w:val="24"/>
          <w:highlight w:val="none"/>
          <w:lang w:val="en-US" w:eastAsia="zh-CN"/>
        </w:rPr>
        <w:t xml:space="preserve"> </w:t>
      </w:r>
    </w:p>
    <w:p w14:paraId="3154CEBA">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项目联系人（询问）：</w:t>
      </w:r>
      <w:r>
        <w:rPr>
          <w:rFonts w:hint="eastAsia" w:ascii="宋体" w:hAnsi="宋体" w:cs="宋体"/>
          <w:color w:val="auto"/>
          <w:sz w:val="24"/>
          <w:highlight w:val="none"/>
          <w:lang w:val="en-US" w:eastAsia="zh-CN"/>
        </w:rPr>
        <w:t>郑坚祥</w:t>
      </w:r>
    </w:p>
    <w:p w14:paraId="6ACD6AA2">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项目联系方式（询问）：13</w:t>
      </w:r>
      <w:r>
        <w:rPr>
          <w:rFonts w:hint="eastAsia" w:ascii="宋体" w:hAnsi="宋体" w:cs="宋体"/>
          <w:color w:val="auto"/>
          <w:sz w:val="24"/>
          <w:highlight w:val="none"/>
          <w:lang w:val="en-US" w:eastAsia="zh-CN"/>
        </w:rPr>
        <w:t>626891017</w:t>
      </w:r>
    </w:p>
    <w:p w14:paraId="437414AE">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质疑联系人：</w:t>
      </w:r>
      <w:r>
        <w:rPr>
          <w:rFonts w:hint="eastAsia" w:ascii="宋体" w:hAnsi="宋体" w:cs="宋体"/>
          <w:color w:val="auto"/>
          <w:sz w:val="24"/>
          <w:highlight w:val="none"/>
          <w:lang w:val="en-US" w:eastAsia="zh-CN"/>
        </w:rPr>
        <w:t xml:space="preserve"> 顾德胜</w:t>
      </w:r>
    </w:p>
    <w:p w14:paraId="028638AB">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质疑联系方式：18</w:t>
      </w:r>
      <w:r>
        <w:rPr>
          <w:rFonts w:hint="eastAsia" w:ascii="宋体" w:hAnsi="宋体" w:cs="宋体"/>
          <w:color w:val="auto"/>
          <w:sz w:val="24"/>
          <w:highlight w:val="none"/>
          <w:lang w:val="en-US" w:eastAsia="zh-CN"/>
        </w:rPr>
        <w:t xml:space="preserve">266952223 </w:t>
      </w:r>
    </w:p>
    <w:p w14:paraId="495594E8">
      <w:pPr>
        <w:widowControl/>
        <w:adjustRightInd w:val="0"/>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404BC779">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w:t>
      </w:r>
    </w:p>
    <w:p w14:paraId="2B234110">
      <w:pPr>
        <w:widowControl/>
        <w:adjustRightInd w:val="0"/>
        <w:snapToGrid w:val="0"/>
        <w:jc w:val="left"/>
        <w:rPr>
          <w:color w:val="auto"/>
          <w:sz w:val="24"/>
          <w:szCs w:val="20"/>
          <w:highlight w:val="none"/>
        </w:rPr>
      </w:pPr>
      <w:r>
        <w:rPr>
          <w:color w:val="auto"/>
          <w:sz w:val="24"/>
          <w:szCs w:val="20"/>
          <w:highlight w:val="none"/>
        </w:rPr>
        <w:t>   </w:t>
      </w:r>
      <w:r>
        <w:rPr>
          <w:b/>
          <w:bCs/>
          <w:color w:val="auto"/>
          <w:sz w:val="24"/>
          <w:szCs w:val="20"/>
          <w:highlight w:val="none"/>
        </w:rPr>
        <w:t xml:space="preserve"> 2.采购代理机构信息</w:t>
      </w:r>
      <w:r>
        <w:rPr>
          <w:rFonts w:hint="eastAsia"/>
          <w:b/>
          <w:bCs/>
          <w:color w:val="auto"/>
          <w:sz w:val="24"/>
          <w:szCs w:val="20"/>
          <w:highlight w:val="none"/>
        </w:rPr>
        <w:t>：</w:t>
      </w:r>
    </w:p>
    <w:p w14:paraId="0D7DC008">
      <w:pPr>
        <w:widowControl/>
        <w:adjustRightInd w:val="0"/>
        <w:snapToGrid w:val="0"/>
        <w:ind w:firstLine="360"/>
        <w:jc w:val="left"/>
        <w:rPr>
          <w:rFonts w:hint="eastAsia" w:ascii="宋体" w:hAnsi="宋体" w:cs="宋体"/>
          <w:color w:val="auto"/>
          <w:kern w:val="0"/>
          <w:sz w:val="24"/>
          <w:highlight w:val="none"/>
        </w:rPr>
      </w:pPr>
      <w:r>
        <w:rPr>
          <w:color w:val="auto"/>
          <w:sz w:val="24"/>
          <w:szCs w:val="20"/>
          <w:highlight w:val="none"/>
        </w:rPr>
        <w:t>名    称：</w:t>
      </w:r>
      <w:r>
        <w:rPr>
          <w:rFonts w:hint="eastAsia" w:ascii="宋体" w:hAnsi="宋体" w:cs="宋体"/>
          <w:color w:val="auto"/>
          <w:kern w:val="0"/>
          <w:sz w:val="24"/>
          <w:highlight w:val="none"/>
        </w:rPr>
        <w:t>浦江县产权交易有限公司</w:t>
      </w:r>
    </w:p>
    <w:p w14:paraId="38922B92">
      <w:pPr>
        <w:widowControl/>
        <w:adjustRightInd w:val="0"/>
        <w:snapToGrid w:val="0"/>
        <w:ind w:firstLine="360"/>
        <w:jc w:val="left"/>
        <w:rPr>
          <w:color w:val="auto"/>
          <w:sz w:val="24"/>
          <w:szCs w:val="20"/>
          <w:highlight w:val="none"/>
        </w:rPr>
      </w:pPr>
      <w:r>
        <w:rPr>
          <w:color w:val="auto"/>
          <w:sz w:val="24"/>
          <w:szCs w:val="20"/>
          <w:highlight w:val="none"/>
        </w:rPr>
        <w:t>地    址：</w:t>
      </w:r>
      <w:r>
        <w:rPr>
          <w:rFonts w:hint="eastAsia" w:ascii="宋体" w:hAnsi="宋体" w:cs="宋体"/>
          <w:color w:val="auto"/>
          <w:kern w:val="0"/>
          <w:sz w:val="24"/>
          <w:highlight w:val="none"/>
        </w:rPr>
        <w:t>浦江县中山北路169号中山大厦10楼</w:t>
      </w:r>
      <w:r>
        <w:rPr>
          <w:color w:val="auto"/>
          <w:sz w:val="24"/>
          <w:szCs w:val="20"/>
          <w:highlight w:val="none"/>
        </w:rPr>
        <w:t> </w:t>
      </w:r>
    </w:p>
    <w:p w14:paraId="7F0E2592">
      <w:pPr>
        <w:widowControl/>
        <w:adjustRightInd w:val="0"/>
        <w:snapToGrid w:val="0"/>
        <w:jc w:val="left"/>
        <w:rPr>
          <w:rFonts w:hint="eastAsia" w:eastAsia="宋体"/>
          <w:color w:val="auto"/>
          <w:sz w:val="24"/>
          <w:szCs w:val="20"/>
          <w:highlight w:val="none"/>
          <w:lang w:val="en-US" w:eastAsia="zh-CN"/>
        </w:rPr>
      </w:pPr>
      <w:r>
        <w:rPr>
          <w:color w:val="auto"/>
          <w:sz w:val="24"/>
          <w:szCs w:val="20"/>
          <w:highlight w:val="none"/>
        </w:rPr>
        <w:t>    项目联系人（询问）：</w:t>
      </w:r>
      <w:r>
        <w:rPr>
          <w:rFonts w:hint="eastAsia"/>
          <w:color w:val="auto"/>
          <w:sz w:val="24"/>
          <w:szCs w:val="20"/>
          <w:highlight w:val="none"/>
          <w:lang w:eastAsia="zh-CN"/>
        </w:rPr>
        <w:t>黄琳</w:t>
      </w:r>
    </w:p>
    <w:p w14:paraId="42C80D9B">
      <w:pPr>
        <w:widowControl/>
        <w:adjustRightInd w:val="0"/>
        <w:snapToGrid w:val="0"/>
        <w:jc w:val="left"/>
        <w:rPr>
          <w:rFonts w:hint="default" w:eastAsia="宋体"/>
          <w:color w:val="auto"/>
          <w:sz w:val="24"/>
          <w:szCs w:val="20"/>
          <w:highlight w:val="none"/>
          <w:lang w:val="en-US" w:eastAsia="zh-CN"/>
        </w:rPr>
      </w:pPr>
      <w:r>
        <w:rPr>
          <w:color w:val="auto"/>
          <w:sz w:val="24"/>
          <w:szCs w:val="20"/>
          <w:highlight w:val="none"/>
        </w:rPr>
        <w:t>    项目联系方式（询问）：</w:t>
      </w:r>
      <w:r>
        <w:rPr>
          <w:rFonts w:hint="eastAsia"/>
          <w:color w:val="auto"/>
          <w:sz w:val="24"/>
          <w:szCs w:val="20"/>
          <w:highlight w:val="none"/>
        </w:rPr>
        <w:t>0579-84182015</w:t>
      </w:r>
    </w:p>
    <w:p w14:paraId="06A8A9F6">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质疑联系人：</w:t>
      </w:r>
      <w:r>
        <w:rPr>
          <w:rFonts w:hint="eastAsia"/>
          <w:color w:val="auto"/>
          <w:sz w:val="24"/>
          <w:szCs w:val="20"/>
          <w:highlight w:val="none"/>
          <w:lang w:eastAsia="zh-CN"/>
        </w:rPr>
        <w:t>冯美玲</w:t>
      </w:r>
    </w:p>
    <w:p w14:paraId="381DA849">
      <w:pPr>
        <w:widowControl/>
        <w:adjustRightInd w:val="0"/>
        <w:snapToGrid w:val="0"/>
        <w:jc w:val="left"/>
        <w:rPr>
          <w:color w:val="auto"/>
          <w:sz w:val="24"/>
          <w:szCs w:val="20"/>
          <w:highlight w:val="none"/>
        </w:rPr>
      </w:pPr>
      <w:r>
        <w:rPr>
          <w:color w:val="auto"/>
          <w:sz w:val="24"/>
          <w:szCs w:val="20"/>
          <w:highlight w:val="none"/>
        </w:rPr>
        <w:t>    质疑联系方式：</w:t>
      </w:r>
      <w:r>
        <w:rPr>
          <w:rFonts w:hint="eastAsia"/>
          <w:color w:val="auto"/>
          <w:sz w:val="24"/>
          <w:szCs w:val="20"/>
          <w:highlight w:val="none"/>
        </w:rPr>
        <w:t>0579-84182015</w:t>
      </w:r>
    </w:p>
    <w:p w14:paraId="30E3EAC4">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w:t>
      </w:r>
    </w:p>
    <w:p w14:paraId="53C2882C">
      <w:pPr>
        <w:widowControl/>
        <w:adjustRightInd w:val="0"/>
        <w:snapToGrid w:val="0"/>
        <w:jc w:val="left"/>
        <w:rPr>
          <w:color w:val="auto"/>
          <w:sz w:val="24"/>
          <w:szCs w:val="20"/>
          <w:highlight w:val="none"/>
        </w:rPr>
      </w:pPr>
      <w:r>
        <w:rPr>
          <w:b/>
          <w:bCs/>
          <w:color w:val="auto"/>
          <w:sz w:val="24"/>
          <w:szCs w:val="20"/>
          <w:highlight w:val="none"/>
        </w:rPr>
        <w:t>    3. 监督管理部门：</w:t>
      </w:r>
    </w:p>
    <w:p w14:paraId="5BF8DAB0">
      <w:pPr>
        <w:widowControl/>
        <w:adjustRightInd w:val="0"/>
        <w:snapToGrid w:val="0"/>
        <w:jc w:val="left"/>
        <w:rPr>
          <w:color w:val="auto"/>
          <w:sz w:val="24"/>
          <w:szCs w:val="20"/>
          <w:highlight w:val="none"/>
        </w:rPr>
      </w:pPr>
      <w:r>
        <w:rPr>
          <w:color w:val="auto"/>
          <w:sz w:val="24"/>
          <w:szCs w:val="20"/>
          <w:highlight w:val="none"/>
        </w:rPr>
        <w:t>    名    称：</w:t>
      </w:r>
      <w:r>
        <w:rPr>
          <w:rFonts w:hint="eastAsia"/>
          <w:color w:val="auto"/>
          <w:sz w:val="24"/>
          <w:szCs w:val="20"/>
          <w:highlight w:val="none"/>
        </w:rPr>
        <w:t>浦江县人民政府国有资产监督管理办公室</w:t>
      </w:r>
      <w:r>
        <w:rPr>
          <w:color w:val="auto"/>
          <w:sz w:val="24"/>
          <w:szCs w:val="20"/>
          <w:highlight w:val="none"/>
        </w:rPr>
        <w:t> </w:t>
      </w:r>
    </w:p>
    <w:p w14:paraId="03BB2C2C">
      <w:pPr>
        <w:widowControl/>
        <w:adjustRightInd w:val="0"/>
        <w:snapToGrid w:val="0"/>
        <w:jc w:val="left"/>
        <w:rPr>
          <w:color w:val="auto"/>
          <w:sz w:val="24"/>
          <w:szCs w:val="20"/>
          <w:highlight w:val="none"/>
        </w:rPr>
      </w:pPr>
      <w:r>
        <w:rPr>
          <w:color w:val="auto"/>
          <w:sz w:val="24"/>
          <w:szCs w:val="20"/>
          <w:highlight w:val="none"/>
        </w:rPr>
        <w:t>    地    址：</w:t>
      </w:r>
      <w:r>
        <w:rPr>
          <w:rFonts w:hint="eastAsia"/>
          <w:color w:val="auto"/>
          <w:sz w:val="24"/>
          <w:szCs w:val="20"/>
          <w:highlight w:val="none"/>
        </w:rPr>
        <w:t>浦江县东山路76号</w:t>
      </w:r>
      <w:r>
        <w:rPr>
          <w:color w:val="auto"/>
          <w:sz w:val="24"/>
          <w:szCs w:val="20"/>
          <w:highlight w:val="none"/>
        </w:rPr>
        <w:t> </w:t>
      </w:r>
    </w:p>
    <w:p w14:paraId="2C3221FF">
      <w:pPr>
        <w:widowControl/>
        <w:adjustRightInd w:val="0"/>
        <w:snapToGrid w:val="0"/>
        <w:ind w:firstLine="360"/>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联系人：</w:t>
      </w:r>
      <w:r>
        <w:rPr>
          <w:rFonts w:hint="eastAsia" w:ascii="Times New Roman" w:hAnsi="Times New Roman" w:eastAsia="宋体" w:cs="Times New Roman"/>
          <w:color w:val="auto"/>
          <w:sz w:val="24"/>
          <w:szCs w:val="20"/>
          <w:highlight w:val="none"/>
        </w:rPr>
        <w:t>张建伟</w:t>
      </w:r>
      <w:r>
        <w:rPr>
          <w:rFonts w:ascii="Times New Roman" w:hAnsi="Times New Roman" w:eastAsia="宋体" w:cs="Times New Roman"/>
          <w:color w:val="auto"/>
          <w:sz w:val="24"/>
          <w:szCs w:val="20"/>
          <w:highlight w:val="none"/>
        </w:rPr>
        <w:t> </w:t>
      </w:r>
    </w:p>
    <w:p w14:paraId="4F7DCE9D">
      <w:pPr>
        <w:widowControl/>
        <w:adjustRightInd w:val="0"/>
        <w:snapToGrid w:val="0"/>
        <w:ind w:firstLine="360"/>
        <w:jc w:val="left"/>
        <w:rPr>
          <w:rFonts w:hint="eastAsia"/>
          <w:color w:val="auto"/>
          <w:sz w:val="24"/>
          <w:szCs w:val="20"/>
          <w:highlight w:val="none"/>
        </w:rPr>
      </w:pPr>
      <w:r>
        <w:rPr>
          <w:rFonts w:ascii="Times New Roman" w:hAnsi="Times New Roman" w:eastAsia="宋体" w:cs="Times New Roman"/>
          <w:color w:val="auto"/>
          <w:sz w:val="24"/>
          <w:szCs w:val="20"/>
          <w:highlight w:val="none"/>
        </w:rPr>
        <w:t>监督投诉</w:t>
      </w:r>
      <w:r>
        <w:rPr>
          <w:color w:val="auto"/>
          <w:sz w:val="24"/>
          <w:szCs w:val="20"/>
          <w:highlight w:val="none"/>
        </w:rPr>
        <w:t>电话：</w:t>
      </w:r>
      <w:r>
        <w:rPr>
          <w:rFonts w:hint="eastAsia"/>
          <w:color w:val="auto"/>
          <w:sz w:val="24"/>
          <w:szCs w:val="20"/>
          <w:highlight w:val="none"/>
        </w:rPr>
        <w:t xml:space="preserve">0579-84107702                          </w:t>
      </w:r>
    </w:p>
    <w:p w14:paraId="2B0B9C86">
      <w:pPr>
        <w:spacing w:line="380" w:lineRule="exact"/>
        <w:ind w:firstLine="657" w:firstLineChars="274"/>
        <w:jc w:val="left"/>
        <w:outlineLvl w:val="9"/>
        <w:rPr>
          <w:rFonts w:hint="eastAsia" w:ascii="宋体" w:hAnsi="宋体" w:cs="宋体"/>
          <w:color w:val="auto"/>
          <w:kern w:val="0"/>
          <w:sz w:val="24"/>
          <w:highlight w:val="none"/>
        </w:rPr>
      </w:pPr>
      <w:bookmarkStart w:id="12" w:name="_Toc27432"/>
      <w:bookmarkStart w:id="13" w:name="_Toc19440"/>
      <w:bookmarkStart w:id="14" w:name="_Toc913"/>
      <w:bookmarkStart w:id="15" w:name="_Toc13735"/>
      <w:bookmarkStart w:id="16" w:name="_Toc7484"/>
      <w:bookmarkStart w:id="17" w:name="_Toc18423"/>
      <w:bookmarkStart w:id="18" w:name="_Toc14241"/>
    </w:p>
    <w:p w14:paraId="3D0CB7C5">
      <w:pPr>
        <w:spacing w:line="380" w:lineRule="exact"/>
        <w:ind w:firstLine="657" w:firstLineChars="274"/>
        <w:jc w:val="left"/>
        <w:outlineLvl w:val="9"/>
        <w:rPr>
          <w:rFonts w:hint="eastAsia" w:ascii="宋体" w:hAnsi="宋体" w:cs="宋体"/>
          <w:color w:val="auto"/>
          <w:kern w:val="0"/>
          <w:sz w:val="24"/>
          <w:highlight w:val="none"/>
        </w:rPr>
      </w:pPr>
      <w:r>
        <w:rPr>
          <w:rFonts w:hint="eastAsia" w:ascii="宋体" w:hAnsi="宋体" w:cs="宋体"/>
          <w:color w:val="auto"/>
          <w:sz w:val="24"/>
          <w:highlight w:val="none"/>
        </w:rPr>
        <w:t xml:space="preserve">                                    </w:t>
      </w:r>
    </w:p>
    <w:p w14:paraId="045E7D2F">
      <w:pPr>
        <w:spacing w:line="380" w:lineRule="exact"/>
        <w:ind w:firstLine="657" w:firstLineChars="274"/>
        <w:jc w:val="both"/>
        <w:outlineLvl w:val="0"/>
        <w:rPr>
          <w:rFonts w:hint="eastAsia" w:ascii="宋体" w:hAnsi="宋体" w:cs="宋体"/>
          <w:color w:val="auto"/>
          <w:kern w:val="0"/>
          <w:sz w:val="24"/>
          <w:highlight w:val="none"/>
        </w:rPr>
      </w:pPr>
      <w:bookmarkStart w:id="19" w:name="_Toc11187"/>
      <w:bookmarkStart w:id="20" w:name="_Toc18037"/>
      <w:bookmarkStart w:id="21" w:name="_Toc14696"/>
      <w:bookmarkStart w:id="22" w:name="_Toc12071"/>
      <w:bookmarkStart w:id="23" w:name="_Toc5617"/>
      <w:bookmarkStart w:id="24" w:name="_Toc19328"/>
      <w:bookmarkStart w:id="25" w:name="_Toc26934"/>
      <w:bookmarkStart w:id="26" w:name="_Toc9168"/>
      <w:bookmarkStart w:id="27" w:name="_Toc18892"/>
      <w:bookmarkStart w:id="28" w:name="_Toc22895"/>
      <w:bookmarkStart w:id="29" w:name="_Toc12085"/>
      <w:r>
        <w:rPr>
          <w:rFonts w:hint="eastAsia" w:ascii="宋体" w:hAnsi="宋体" w:cs="宋体"/>
          <w:color w:val="auto"/>
          <w:kern w:val="0"/>
          <w:sz w:val="24"/>
          <w:highlight w:val="none"/>
        </w:rPr>
        <w:t>若对项目采购电子交易系统操作有疑问，可登录</w:t>
      </w:r>
      <w:r>
        <w:rPr>
          <w:rFonts w:hint="eastAsia" w:ascii="宋体" w:hAnsi="宋体" w:cs="宋体"/>
          <w:color w:val="auto"/>
          <w:kern w:val="0"/>
          <w:sz w:val="24"/>
          <w:highlight w:val="none"/>
          <w:lang w:eastAsia="zh-CN"/>
        </w:rPr>
        <w:t>乐采云</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宋体" w:hAnsi="宋体" w:cs="宋体"/>
          <w:color w:val="auto"/>
          <w:kern w:val="0"/>
          <w:sz w:val="24"/>
          <w:highlight w:val="none"/>
        </w:rPr>
        <w:t>（https://</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服务热线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获取热线服务帮助。</w:t>
      </w:r>
      <w:bookmarkEnd w:id="28"/>
      <w:bookmarkEnd w:id="29"/>
    </w:p>
    <w:p w14:paraId="320C018F">
      <w:pPr>
        <w:adjustRightInd w:val="0"/>
        <w:snapToGrid w:val="0"/>
        <w:spacing w:line="380" w:lineRule="exact"/>
        <w:ind w:firstLine="470" w:firstLineChars="196"/>
        <w:rPr>
          <w:rFonts w:hint="eastAsia" w:ascii="宋体" w:hAnsi="宋体" w:cs="宋体"/>
          <w:color w:val="auto"/>
          <w:sz w:val="24"/>
          <w:highlight w:val="none"/>
        </w:rPr>
      </w:pPr>
      <w:r>
        <w:rPr>
          <w:rFonts w:hint="eastAsia" w:ascii="宋体" w:hAnsi="宋体" w:cs="宋体"/>
          <w:color w:val="auto"/>
          <w:kern w:val="0"/>
          <w:sz w:val="24"/>
          <w:highlight w:val="none"/>
        </w:rPr>
        <w:t xml:space="preserve"> </w:t>
      </w:r>
      <w:bookmarkStart w:id="30" w:name="_Toc9249"/>
      <w:bookmarkStart w:id="31" w:name="_Toc15793"/>
      <w:bookmarkStart w:id="32" w:name="_Toc8213"/>
      <w:r>
        <w:rPr>
          <w:rFonts w:hint="eastAsia" w:ascii="宋体" w:hAnsi="宋体" w:cs="宋体"/>
          <w:color w:val="auto"/>
          <w:kern w:val="0"/>
          <w:sz w:val="24"/>
          <w:highlight w:val="none"/>
        </w:rPr>
        <w:t>CA问题联系电话（人工）：汇信CA 400-888-4636；天谷CA 400-087-8198。</w:t>
      </w:r>
      <w:bookmarkEnd w:id="30"/>
      <w:bookmarkEnd w:id="31"/>
      <w:bookmarkEnd w:id="32"/>
      <w:r>
        <w:rPr>
          <w:rFonts w:hint="eastAsia" w:ascii="宋体" w:hAnsi="宋体" w:cs="宋体"/>
          <w:color w:val="auto"/>
          <w:sz w:val="24"/>
          <w:highlight w:val="none"/>
        </w:rPr>
        <w:t xml:space="preserve">                       </w:t>
      </w:r>
    </w:p>
    <w:p w14:paraId="212CE3E8">
      <w:pPr>
        <w:pStyle w:val="137"/>
        <w:rPr>
          <w:rFonts w:hint="eastAsia"/>
          <w:color w:val="auto"/>
          <w:highlight w:val="none"/>
        </w:rPr>
      </w:pPr>
    </w:p>
    <w:p w14:paraId="651A476D">
      <w:pPr>
        <w:pStyle w:val="137"/>
        <w:rPr>
          <w:rFonts w:hint="eastAsia"/>
          <w:color w:val="auto"/>
          <w:highlight w:val="none"/>
        </w:rPr>
      </w:pPr>
    </w:p>
    <w:p w14:paraId="47232307">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p>
    <w:p w14:paraId="4F4915C2">
      <w:pPr>
        <w:widowControl/>
        <w:tabs>
          <w:tab w:val="left" w:pos="8647"/>
        </w:tabs>
        <w:adjustRightInd w:val="0"/>
        <w:snapToGrid w:val="0"/>
        <w:spacing w:line="360" w:lineRule="auto"/>
        <w:ind w:right="-59"/>
        <w:jc w:val="both"/>
        <w:rPr>
          <w:rFonts w:hint="eastAsia" w:ascii="宋体" w:hAnsi="宋体" w:cs="宋体"/>
          <w:b/>
          <w:color w:val="auto"/>
          <w:sz w:val="30"/>
          <w:szCs w:val="30"/>
          <w:highlight w:val="none"/>
        </w:rPr>
      </w:pPr>
    </w:p>
    <w:p w14:paraId="7A85E140">
      <w:pPr>
        <w:pStyle w:val="44"/>
        <w:rPr>
          <w:rFonts w:hint="eastAsia" w:ascii="宋体" w:hAnsi="宋体" w:cs="宋体"/>
          <w:b/>
          <w:color w:val="auto"/>
          <w:sz w:val="30"/>
          <w:szCs w:val="30"/>
          <w:highlight w:val="none"/>
        </w:rPr>
      </w:pPr>
    </w:p>
    <w:p w14:paraId="40423933">
      <w:pPr>
        <w:bidi w:val="0"/>
        <w:rPr>
          <w:rFonts w:hint="eastAsia"/>
          <w:color w:val="auto"/>
          <w:highlight w:val="none"/>
        </w:rPr>
      </w:pPr>
    </w:p>
    <w:p w14:paraId="554BBB37">
      <w:pPr>
        <w:pStyle w:val="44"/>
        <w:rPr>
          <w:rFonts w:hint="eastAsia"/>
          <w:color w:val="auto"/>
          <w:highlight w:val="none"/>
        </w:rPr>
      </w:pPr>
    </w:p>
    <w:p w14:paraId="60559800">
      <w:pPr>
        <w:widowControl/>
        <w:tabs>
          <w:tab w:val="left" w:pos="8647"/>
        </w:tabs>
        <w:adjustRightInd w:val="0"/>
        <w:snapToGrid w:val="0"/>
        <w:spacing w:line="360" w:lineRule="auto"/>
        <w:ind w:right="-59"/>
        <w:jc w:val="both"/>
        <w:rPr>
          <w:rFonts w:hint="eastAsia"/>
          <w:color w:val="auto"/>
          <w:highlight w:val="none"/>
        </w:rPr>
      </w:pPr>
    </w:p>
    <w:p w14:paraId="1C0839FA">
      <w:pPr>
        <w:widowControl/>
        <w:tabs>
          <w:tab w:val="left" w:pos="8647"/>
        </w:tabs>
        <w:adjustRightInd w:val="0"/>
        <w:snapToGrid w:val="0"/>
        <w:spacing w:line="360" w:lineRule="auto"/>
        <w:ind w:right="-59"/>
        <w:jc w:val="both"/>
        <w:rPr>
          <w:rFonts w:hint="eastAsia"/>
          <w:color w:val="auto"/>
          <w:highlight w:val="none"/>
        </w:rPr>
      </w:pPr>
    </w:p>
    <w:p w14:paraId="000D5B01">
      <w:pPr>
        <w:widowControl/>
        <w:tabs>
          <w:tab w:val="left" w:pos="8647"/>
        </w:tabs>
        <w:adjustRightInd w:val="0"/>
        <w:snapToGrid w:val="0"/>
        <w:spacing w:line="360" w:lineRule="auto"/>
        <w:ind w:right="-59"/>
        <w:jc w:val="both"/>
        <w:rPr>
          <w:rFonts w:hint="eastAsia"/>
          <w:color w:val="auto"/>
          <w:highlight w:val="none"/>
        </w:rPr>
      </w:pPr>
    </w:p>
    <w:p w14:paraId="211ACDF7">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 附 表</w:t>
      </w:r>
    </w:p>
    <w:tbl>
      <w:tblPr>
        <w:tblStyle w:val="4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14:paraId="77646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trPr>
        <w:tc>
          <w:tcPr>
            <w:tcW w:w="773" w:type="dxa"/>
            <w:noWrap w:val="0"/>
            <w:vAlign w:val="center"/>
          </w:tcPr>
          <w:p w14:paraId="09B9F535">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735" w:type="dxa"/>
            <w:noWrap w:val="0"/>
            <w:vAlign w:val="center"/>
          </w:tcPr>
          <w:p w14:paraId="517A6F9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   目</w:t>
            </w:r>
          </w:p>
        </w:tc>
        <w:tc>
          <w:tcPr>
            <w:tcW w:w="6874" w:type="dxa"/>
            <w:noWrap w:val="0"/>
            <w:vAlign w:val="center"/>
          </w:tcPr>
          <w:p w14:paraId="266CE24F">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2D28B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73" w:type="dxa"/>
            <w:noWrap w:val="0"/>
            <w:vAlign w:val="center"/>
          </w:tcPr>
          <w:p w14:paraId="2C893F3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35" w:type="dxa"/>
            <w:noWrap w:val="0"/>
            <w:vAlign w:val="center"/>
          </w:tcPr>
          <w:p w14:paraId="3110B22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874" w:type="dxa"/>
            <w:noWrap w:val="0"/>
            <w:vAlign w:val="center"/>
          </w:tcPr>
          <w:p w14:paraId="2EE2BF51">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浦江县交投贸易有限公司2024年-2025年石灰岩采购项目</w:t>
            </w:r>
          </w:p>
        </w:tc>
      </w:tr>
      <w:tr w14:paraId="68612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773" w:type="dxa"/>
            <w:noWrap w:val="0"/>
            <w:vAlign w:val="center"/>
          </w:tcPr>
          <w:p w14:paraId="58609BA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35" w:type="dxa"/>
            <w:noWrap w:val="0"/>
            <w:vAlign w:val="center"/>
          </w:tcPr>
          <w:p w14:paraId="4DC9F2CC">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实施地点</w:t>
            </w:r>
          </w:p>
        </w:tc>
        <w:tc>
          <w:tcPr>
            <w:tcW w:w="6874" w:type="dxa"/>
            <w:noWrap w:val="0"/>
            <w:vAlign w:val="center"/>
          </w:tcPr>
          <w:p w14:paraId="0391D51B">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trike/>
                <w:snapToGrid w:val="0"/>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采购人指定地点</w:t>
            </w:r>
          </w:p>
        </w:tc>
      </w:tr>
      <w:tr w14:paraId="49A02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73" w:type="dxa"/>
            <w:noWrap w:val="0"/>
            <w:vAlign w:val="center"/>
          </w:tcPr>
          <w:p w14:paraId="543FD5E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35" w:type="dxa"/>
            <w:noWrap w:val="0"/>
            <w:vAlign w:val="center"/>
          </w:tcPr>
          <w:p w14:paraId="3A4B902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6874" w:type="dxa"/>
            <w:noWrap w:val="0"/>
            <w:vAlign w:val="center"/>
          </w:tcPr>
          <w:p w14:paraId="1D7AC3E6">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eastAsia="zh-CN"/>
              </w:rPr>
              <w:t>PJCQGK(JTMY)2024-1030</w:t>
            </w:r>
          </w:p>
        </w:tc>
      </w:tr>
      <w:tr w14:paraId="61251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73" w:type="dxa"/>
            <w:noWrap w:val="0"/>
            <w:vAlign w:val="center"/>
          </w:tcPr>
          <w:p w14:paraId="6A81CE0B">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735" w:type="dxa"/>
            <w:noWrap w:val="0"/>
            <w:vAlign w:val="center"/>
          </w:tcPr>
          <w:p w14:paraId="77CD52F7">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874" w:type="dxa"/>
            <w:noWrap w:val="0"/>
            <w:vAlign w:val="center"/>
          </w:tcPr>
          <w:p w14:paraId="7F09977E">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公开招标</w:t>
            </w:r>
          </w:p>
        </w:tc>
      </w:tr>
      <w:tr w14:paraId="5A029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773" w:type="dxa"/>
            <w:noWrap w:val="0"/>
            <w:vAlign w:val="center"/>
          </w:tcPr>
          <w:p w14:paraId="392364F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735" w:type="dxa"/>
            <w:noWrap w:val="0"/>
            <w:vAlign w:val="center"/>
          </w:tcPr>
          <w:p w14:paraId="4C1504A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6874" w:type="dxa"/>
            <w:noWrap w:val="0"/>
            <w:vAlign w:val="center"/>
          </w:tcPr>
          <w:p w14:paraId="7AAE25F4">
            <w:pPr>
              <w:keepNext w:val="0"/>
              <w:keepLines w:val="0"/>
              <w:pageBreakBefore w:val="0"/>
              <w:widowControl/>
              <w:kinsoku/>
              <w:wordWrap/>
              <w:overflowPunct/>
              <w:topLinePunct w:val="0"/>
              <w:autoSpaceDE/>
              <w:autoSpaceDN/>
              <w:bidi w:val="0"/>
              <w:adjustRightInd w:val="0"/>
              <w:snapToGrid w:val="0"/>
              <w:spacing w:line="400" w:lineRule="exact"/>
              <w:ind w:left="0" w:right="0" w:righ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包括石灰岩供货等，具体详见采购文件的第三部分《招标内容及需求》。</w:t>
            </w:r>
          </w:p>
        </w:tc>
      </w:tr>
      <w:tr w14:paraId="58F95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773" w:type="dxa"/>
            <w:noWrap w:val="0"/>
            <w:vAlign w:val="center"/>
          </w:tcPr>
          <w:p w14:paraId="7C2A6B3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735" w:type="dxa"/>
            <w:noWrap w:val="0"/>
            <w:vAlign w:val="center"/>
          </w:tcPr>
          <w:p w14:paraId="729FE862">
            <w:pPr>
              <w:keepNext w:val="0"/>
              <w:keepLines w:val="0"/>
              <w:pageBreakBefore w:val="0"/>
              <w:widowControl/>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合同履行期限</w:t>
            </w:r>
          </w:p>
        </w:tc>
        <w:tc>
          <w:tcPr>
            <w:tcW w:w="6874" w:type="dxa"/>
            <w:noWrap w:val="0"/>
            <w:vAlign w:val="center"/>
          </w:tcPr>
          <w:p w14:paraId="45D64A79">
            <w:pPr>
              <w:widowControl/>
              <w:adjustRightInd w:val="0"/>
              <w:snapToGrid w:val="0"/>
              <w:spacing w:line="380" w:lineRule="exact"/>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tc>
      </w:tr>
      <w:tr w14:paraId="43D82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73" w:type="dxa"/>
            <w:noWrap w:val="0"/>
            <w:vAlign w:val="center"/>
          </w:tcPr>
          <w:p w14:paraId="075699B9">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735" w:type="dxa"/>
            <w:noWrap w:val="0"/>
            <w:vAlign w:val="center"/>
          </w:tcPr>
          <w:p w14:paraId="3DF87C98">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874" w:type="dxa"/>
            <w:noWrap w:val="0"/>
            <w:vAlign w:val="center"/>
          </w:tcPr>
          <w:p w14:paraId="13F403BC">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自筹</w:t>
            </w:r>
          </w:p>
        </w:tc>
      </w:tr>
      <w:tr w14:paraId="03A44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773" w:type="dxa"/>
            <w:noWrap w:val="0"/>
            <w:vAlign w:val="center"/>
          </w:tcPr>
          <w:p w14:paraId="0C6846F6">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735" w:type="dxa"/>
            <w:noWrap w:val="0"/>
            <w:vAlign w:val="center"/>
          </w:tcPr>
          <w:p w14:paraId="3E5B8A87">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▲采购预算</w:t>
            </w:r>
          </w:p>
        </w:tc>
        <w:tc>
          <w:tcPr>
            <w:tcW w:w="6874" w:type="dxa"/>
            <w:noWrap w:val="0"/>
            <w:vAlign w:val="center"/>
          </w:tcPr>
          <w:p w14:paraId="10F1152A">
            <w:pPr>
              <w:keepNext w:val="0"/>
              <w:keepLines w:val="0"/>
              <w:pageBreakBefore w:val="0"/>
              <w:widowControl w:val="0"/>
              <w:numPr>
                <w:ilvl w:val="0"/>
                <w:numId w:val="0"/>
              </w:numPr>
              <w:kinsoku/>
              <w:wordWrap/>
              <w:overflowPunct/>
              <w:topLinePunct w:val="0"/>
              <w:autoSpaceDE/>
              <w:autoSpaceDN/>
              <w:bidi w:val="0"/>
              <w:adjustRightInd/>
              <w:spacing w:line="400" w:lineRule="exact"/>
              <w:ind w:left="0" w:right="0" w:rightChars="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本项目采购预算为人民币</w:t>
            </w:r>
            <w:r>
              <w:rPr>
                <w:rFonts w:hint="eastAsia" w:asciiTheme="minorEastAsia" w:hAnsiTheme="minorEastAsia" w:eastAsiaTheme="minorEastAsia" w:cstheme="minorEastAsia"/>
                <w:b/>
                <w:bCs/>
                <w:color w:val="auto"/>
                <w:kern w:val="0"/>
                <w:sz w:val="24"/>
                <w:szCs w:val="24"/>
                <w:highlight w:val="none"/>
                <w:lang w:val="en-US" w:eastAsia="zh-CN"/>
              </w:rPr>
              <w:t>29900000元</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超过预算的报价均作无效标处理。</w:t>
            </w:r>
          </w:p>
        </w:tc>
      </w:tr>
      <w:tr w14:paraId="78483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773" w:type="dxa"/>
            <w:noWrap w:val="0"/>
            <w:vAlign w:val="center"/>
          </w:tcPr>
          <w:p w14:paraId="4D67D972">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735" w:type="dxa"/>
            <w:noWrap w:val="0"/>
            <w:vAlign w:val="center"/>
          </w:tcPr>
          <w:p w14:paraId="214AA931">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资格审查方式</w:t>
            </w:r>
          </w:p>
        </w:tc>
        <w:tc>
          <w:tcPr>
            <w:tcW w:w="6874" w:type="dxa"/>
            <w:noWrap w:val="0"/>
            <w:vAlign w:val="center"/>
          </w:tcPr>
          <w:p w14:paraId="33595517">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w:t>
            </w:r>
          </w:p>
          <w:p w14:paraId="13F92880">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资格后审是指在开标后由采购人或采购代理机构代表根据采购文件的规定对投标人进行资格审查，资格后审不合格的投标人，其投标作无效标处理。</w:t>
            </w:r>
          </w:p>
        </w:tc>
      </w:tr>
      <w:tr w14:paraId="308D9F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773" w:type="dxa"/>
            <w:noWrap w:val="0"/>
            <w:vAlign w:val="center"/>
          </w:tcPr>
          <w:p w14:paraId="3673AF5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735" w:type="dxa"/>
            <w:noWrap w:val="0"/>
            <w:vAlign w:val="center"/>
          </w:tcPr>
          <w:p w14:paraId="38E5610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874" w:type="dxa"/>
            <w:noWrap w:val="0"/>
            <w:vAlign w:val="center"/>
          </w:tcPr>
          <w:p w14:paraId="1A15B5A5">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w:t>
            </w:r>
            <w:r>
              <w:rPr>
                <w:rFonts w:hint="eastAsia" w:asciiTheme="minorEastAsia" w:hAnsiTheme="minorEastAsia" w:eastAsiaTheme="minorEastAsia" w:cstheme="minorEastAsia"/>
                <w:color w:val="auto"/>
                <w:sz w:val="24"/>
                <w:szCs w:val="24"/>
                <w:highlight w:val="none"/>
                <w:lang w:eastAsia="zh-CN"/>
              </w:rPr>
              <w:t>590000元</w:t>
            </w:r>
            <w:r>
              <w:rPr>
                <w:rFonts w:hint="eastAsia" w:asciiTheme="minorEastAsia" w:hAnsiTheme="minorEastAsia" w:eastAsiaTheme="minorEastAsia" w:cstheme="minorEastAsia"/>
                <w:color w:val="auto"/>
                <w:sz w:val="24"/>
                <w:szCs w:val="24"/>
                <w:highlight w:val="none"/>
              </w:rPr>
              <w:t>,应按《公开招标公告》第四条规定交纳。</w:t>
            </w:r>
          </w:p>
        </w:tc>
      </w:tr>
      <w:tr w14:paraId="6B0DF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73" w:type="dxa"/>
            <w:noWrap w:val="0"/>
            <w:vAlign w:val="center"/>
          </w:tcPr>
          <w:p w14:paraId="5CE0CB2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735" w:type="dxa"/>
            <w:noWrap w:val="0"/>
            <w:vAlign w:val="center"/>
          </w:tcPr>
          <w:p w14:paraId="42DE0A8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踏勘现场</w:t>
            </w:r>
          </w:p>
        </w:tc>
        <w:tc>
          <w:tcPr>
            <w:tcW w:w="6874" w:type="dxa"/>
            <w:noWrap w:val="0"/>
            <w:vAlign w:val="center"/>
          </w:tcPr>
          <w:p w14:paraId="25839F18">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无</w:t>
            </w:r>
          </w:p>
        </w:tc>
      </w:tr>
      <w:tr w14:paraId="28858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773" w:type="dxa"/>
            <w:noWrap w:val="0"/>
            <w:vAlign w:val="center"/>
          </w:tcPr>
          <w:p w14:paraId="71A1493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735" w:type="dxa"/>
            <w:noWrap w:val="0"/>
            <w:vAlign w:val="center"/>
          </w:tcPr>
          <w:p w14:paraId="06B2470C">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答疑与澄清</w:t>
            </w:r>
          </w:p>
        </w:tc>
        <w:tc>
          <w:tcPr>
            <w:tcW w:w="6874" w:type="dxa"/>
            <w:noWrap w:val="0"/>
            <w:vAlign w:val="center"/>
          </w:tcPr>
          <w:p w14:paraId="009A4ED0">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Theme="minorEastAsia" w:hAnsiTheme="minorEastAsia" w:eastAsiaTheme="minorEastAsia" w:cstheme="minorEastAsia"/>
                <w:color w:val="auto"/>
                <w:kern w:val="0"/>
                <w:sz w:val="24"/>
                <w:szCs w:val="24"/>
                <w:highlight w:val="none"/>
                <w:lang w:eastAsia="zh-CN"/>
              </w:rPr>
              <w:t>第一部分公开招标公告</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八、凡对本次采购提出询问、质疑、投诉</w:t>
            </w:r>
            <w:r>
              <w:rPr>
                <w:rFonts w:hint="eastAsia" w:asciiTheme="minorEastAsia" w:hAnsiTheme="minorEastAsia" w:eastAsiaTheme="minorEastAsia" w:cstheme="minorEastAsia"/>
                <w:color w:val="auto"/>
                <w:kern w:val="0"/>
                <w:sz w:val="24"/>
                <w:szCs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14:paraId="058AC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trPr>
        <w:tc>
          <w:tcPr>
            <w:tcW w:w="773" w:type="dxa"/>
            <w:noWrap w:val="0"/>
            <w:vAlign w:val="center"/>
          </w:tcPr>
          <w:p w14:paraId="37CA952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735" w:type="dxa"/>
            <w:noWrap w:val="0"/>
            <w:vAlign w:val="center"/>
          </w:tcPr>
          <w:p w14:paraId="63EAFFF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投标文件形式</w:t>
            </w:r>
          </w:p>
        </w:tc>
        <w:tc>
          <w:tcPr>
            <w:tcW w:w="6874" w:type="dxa"/>
            <w:noWrap w:val="0"/>
            <w:vAlign w:val="center"/>
          </w:tcPr>
          <w:p w14:paraId="0F2E8EC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电子投标文件包括“电子加密投标文件”和“备份投标文件”，在投标文件编制完成后同时生成。</w:t>
            </w:r>
          </w:p>
          <w:p w14:paraId="6A257231">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1.“电子加密投标文件”是指通过“</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电子交易客户端”完成投标文件编制后生成并加密的数据电文形式的投标文件。</w:t>
            </w:r>
          </w:p>
          <w:p w14:paraId="424F7AE4">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2.“备份投标文件”是指与“电子加密投标文件”同时生成的数据电文形式的电子文件（备份标书，用于投标人标书解密异常时应急使用），其他方式编制的备份投标文件视为无效备份投标文件。</w:t>
            </w:r>
          </w:p>
          <w:p w14:paraId="322FE3CA">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注：备份投标文件的提交不作强制要求。</w:t>
            </w:r>
          </w:p>
        </w:tc>
      </w:tr>
      <w:tr w14:paraId="39D80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trPr>
        <w:tc>
          <w:tcPr>
            <w:tcW w:w="773" w:type="dxa"/>
            <w:noWrap w:val="0"/>
            <w:vAlign w:val="center"/>
          </w:tcPr>
          <w:p w14:paraId="55CA8B2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735" w:type="dxa"/>
            <w:noWrap w:val="0"/>
            <w:vAlign w:val="center"/>
          </w:tcPr>
          <w:p w14:paraId="268ED016">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874" w:type="dxa"/>
            <w:noWrap w:val="0"/>
            <w:vAlign w:val="center"/>
          </w:tcPr>
          <w:p w14:paraId="0AC9A23A">
            <w:pPr>
              <w:keepNext w:val="0"/>
              <w:keepLines w:val="0"/>
              <w:pageBreakBefore w:val="0"/>
              <w:widowControl w:val="0"/>
              <w:numPr>
                <w:ilvl w:val="0"/>
                <w:numId w:val="3"/>
              </w:numPr>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一份电子加密标书（后缀格式为.jmbs），一份备份标书文件（后缀格式为.bfbs）。</w:t>
            </w:r>
          </w:p>
          <w:p w14:paraId="3051EABB">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每份电子投标文件应包括资格投标文件、商务技术投标文件及报价投标文件三部分内容。</w:t>
            </w:r>
          </w:p>
          <w:p w14:paraId="1D01CFAB">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2.如中标，中标人需根据采购人要求提供与电子投标文件一致的纸质投标文件至少</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份。</w:t>
            </w:r>
          </w:p>
        </w:tc>
      </w:tr>
      <w:tr w14:paraId="51CDD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86" w:hRule="atLeast"/>
        </w:trPr>
        <w:tc>
          <w:tcPr>
            <w:tcW w:w="773" w:type="dxa"/>
            <w:vMerge w:val="restart"/>
            <w:noWrap w:val="0"/>
            <w:vAlign w:val="center"/>
          </w:tcPr>
          <w:p w14:paraId="0711282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p>
        </w:tc>
        <w:tc>
          <w:tcPr>
            <w:tcW w:w="1735" w:type="dxa"/>
            <w:vMerge w:val="restart"/>
            <w:noWrap w:val="0"/>
            <w:vAlign w:val="center"/>
          </w:tcPr>
          <w:p w14:paraId="13CE70B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投标文件的上传和递交</w:t>
            </w:r>
          </w:p>
        </w:tc>
        <w:tc>
          <w:tcPr>
            <w:tcW w:w="6874" w:type="dxa"/>
            <w:noWrap w:val="0"/>
            <w:vAlign w:val="center"/>
          </w:tcPr>
          <w:p w14:paraId="46D076AA">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1.电子加密投标文件：投标文件制作完成并生成加密标书，在投标截止时间前，投标人需将加密的投标文件上传至</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平台，在开标时间开始后30分钟内（以电子交易平台设定的时间为准），</w:t>
            </w:r>
            <w:r>
              <w:rPr>
                <w:rFonts w:hint="eastAsia" w:asciiTheme="minorEastAsia" w:hAnsiTheme="minorEastAsia" w:eastAsiaTheme="minorEastAsia" w:cstheme="minorEastAsia"/>
                <w:color w:val="auto"/>
                <w:kern w:val="0"/>
                <w:sz w:val="24"/>
                <w:szCs w:val="24"/>
                <w:highlight w:val="none"/>
              </w:rPr>
              <w:t>登录“</w:t>
            </w:r>
            <w:r>
              <w:rPr>
                <w:rFonts w:hint="eastAsia" w:asciiTheme="minorEastAsia" w:hAnsiTheme="minorEastAsia" w:eastAsiaTheme="minorEastAsia" w:cstheme="minorEastAsia"/>
                <w:color w:val="auto"/>
                <w:kern w:val="0"/>
                <w:sz w:val="24"/>
                <w:szCs w:val="24"/>
                <w:highlight w:val="none"/>
                <w:lang w:eastAsia="zh-CN"/>
              </w:rPr>
              <w:t>乐采云</w:t>
            </w:r>
            <w:r>
              <w:rPr>
                <w:rFonts w:hint="eastAsia" w:asciiTheme="minorEastAsia" w:hAnsiTheme="minorEastAsia" w:eastAsiaTheme="minorEastAsia" w:cstheme="minorEastAsia"/>
                <w:color w:val="auto"/>
                <w:kern w:val="0"/>
                <w:sz w:val="24"/>
                <w:szCs w:val="24"/>
                <w:highlight w:val="none"/>
              </w:rPr>
              <w:t>-项目采购-开标评标”功能进行</w:t>
            </w:r>
            <w:r>
              <w:rPr>
                <w:rFonts w:hint="eastAsia" w:asciiTheme="minorEastAsia" w:hAnsiTheme="minorEastAsia" w:eastAsiaTheme="minorEastAsia" w:cstheme="minorEastAsia"/>
                <w:color w:val="auto"/>
                <w:sz w:val="24"/>
                <w:szCs w:val="24"/>
                <w:highlight w:val="none"/>
              </w:rPr>
              <w:t>解密投标文件</w:t>
            </w:r>
            <w:r>
              <w:rPr>
                <w:rFonts w:hint="eastAsia" w:asciiTheme="minorEastAsia" w:hAnsiTheme="minorEastAsia" w:eastAsiaTheme="minorEastAsia" w:cstheme="minorEastAsia"/>
                <w:color w:val="auto"/>
                <w:kern w:val="0"/>
                <w:sz w:val="24"/>
                <w:szCs w:val="24"/>
                <w:highlight w:val="none"/>
              </w:rPr>
              <w:t>（为防止解密失败，建议采用制作投标文件的电脑进行解密）</w:t>
            </w:r>
            <w:r>
              <w:rPr>
                <w:rFonts w:hint="eastAsia" w:asciiTheme="minorEastAsia" w:hAnsiTheme="minorEastAsia" w:eastAsiaTheme="minorEastAsia" w:cstheme="minorEastAsia"/>
                <w:color w:val="auto"/>
                <w:sz w:val="24"/>
                <w:szCs w:val="24"/>
                <w:highlight w:val="none"/>
              </w:rPr>
              <w:t>。</w:t>
            </w:r>
          </w:p>
          <w:p w14:paraId="3C2C4A1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a.投标人在投标截止时间前未能成功上传或未按要求上传电子加密投标文件的，作投标无效处理。</w:t>
            </w:r>
          </w:p>
          <w:p w14:paraId="4AE196E5">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b.投标人成功上传电子加密投标文件后，可自行打印投标文件接收回执。</w:t>
            </w:r>
          </w:p>
        </w:tc>
      </w:tr>
      <w:tr w14:paraId="45FB5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trPr>
        <w:tc>
          <w:tcPr>
            <w:tcW w:w="773" w:type="dxa"/>
            <w:vMerge w:val="continue"/>
            <w:noWrap w:val="0"/>
            <w:vAlign w:val="center"/>
          </w:tcPr>
          <w:p w14:paraId="5083AAE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1735" w:type="dxa"/>
            <w:vMerge w:val="continue"/>
            <w:noWrap w:val="0"/>
            <w:vAlign w:val="center"/>
          </w:tcPr>
          <w:p w14:paraId="76FB22E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6874" w:type="dxa"/>
            <w:noWrap w:val="0"/>
            <w:vAlign w:val="center"/>
          </w:tcPr>
          <w:p w14:paraId="0B98E283">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14:paraId="4180434E">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14:paraId="5BB763F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b.通过“</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”成功上传递交的“电子加密投标文件”已按时解密的，“备份投标文件”自动失效。</w:t>
            </w:r>
          </w:p>
          <w:p w14:paraId="58FDBFD9">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tc>
      </w:tr>
      <w:tr w14:paraId="0B869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0" w:hRule="atLeast"/>
        </w:trPr>
        <w:tc>
          <w:tcPr>
            <w:tcW w:w="773" w:type="dxa"/>
            <w:vMerge w:val="continue"/>
            <w:noWrap w:val="0"/>
            <w:vAlign w:val="center"/>
          </w:tcPr>
          <w:p w14:paraId="17AEA580">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1735" w:type="dxa"/>
            <w:vMerge w:val="continue"/>
            <w:noWrap w:val="0"/>
            <w:vAlign w:val="center"/>
          </w:tcPr>
          <w:p w14:paraId="75B37B4B">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6874" w:type="dxa"/>
            <w:noWrap w:val="0"/>
            <w:vAlign w:val="center"/>
          </w:tcPr>
          <w:p w14:paraId="198C4593">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3.电子加密投标文件的解密和异常情况处理：</w:t>
            </w:r>
          </w:p>
          <w:p w14:paraId="768A2C26">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a.开标后，各投标人代表应当在限定时间内自行完成“电子加密投标文件”的在线解密。</w:t>
            </w:r>
          </w:p>
          <w:p w14:paraId="6BBB2A86">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解密完成的时间根据投标人的网速、硬件环境、投标文件的大小而不同，开标后请投标人尽量提前启动解密，否则将可能未按时解密。</w:t>
            </w:r>
          </w:p>
          <w:p w14:paraId="707B534C">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kern w:val="0"/>
                <w:sz w:val="24"/>
                <w:szCs w:val="24"/>
                <w:highlight w:val="none"/>
              </w:rPr>
              <w:t>投标文件的制作和解密应使用同一个CA，否则将可能解密失败。</w:t>
            </w:r>
          </w:p>
          <w:p w14:paraId="4D745677">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c.通过“</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”成功上传递交的“电子加密投标文件”无法按时解密的，投标人如按规定递交了“备份投标文件”的，以“备份投标文件”为依据（由采购组织机构按“</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”操作规范将“备份投标文件”上传至“</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”，上传成功后，“电子加密投标文件”自动失效），否则视为投标文件撤回。</w:t>
            </w:r>
          </w:p>
          <w:p w14:paraId="4F5591D4">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d.投标截止时间前，投标人仅递交了“备份投标文件”而未将“电子加密投标文件”成功上传至“</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”的，投标无效。</w:t>
            </w:r>
          </w:p>
          <w:p w14:paraId="1132EB39">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注：因备份投标文件无法正常打开或正常显示等所引起的一切后果，由投标人自行承担。</w:t>
            </w:r>
          </w:p>
        </w:tc>
      </w:tr>
      <w:tr w14:paraId="0702C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trPr>
        <w:tc>
          <w:tcPr>
            <w:tcW w:w="773" w:type="dxa"/>
            <w:noWrap w:val="0"/>
            <w:vAlign w:val="center"/>
          </w:tcPr>
          <w:p w14:paraId="3F225013">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735" w:type="dxa"/>
            <w:noWrap w:val="0"/>
            <w:vAlign w:val="center"/>
          </w:tcPr>
          <w:p w14:paraId="08D5505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投标文件、流程文件签章</w:t>
            </w:r>
          </w:p>
        </w:tc>
        <w:tc>
          <w:tcPr>
            <w:tcW w:w="6874" w:type="dxa"/>
            <w:noWrap w:val="0"/>
            <w:vAlign w:val="center"/>
          </w:tcPr>
          <w:p w14:paraId="05850EEC">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kern w:val="0"/>
                <w:sz w:val="24"/>
                <w:szCs w:val="24"/>
                <w:highlight w:val="none"/>
              </w:rPr>
              <w:t>加密</w:t>
            </w:r>
            <w:r>
              <w:rPr>
                <w:rFonts w:hint="eastAsia" w:asciiTheme="minorEastAsia" w:hAnsiTheme="minorEastAsia" w:eastAsiaTheme="minorEastAsia" w:cstheme="minorEastAsia"/>
                <w:color w:val="auto"/>
                <w:sz w:val="24"/>
                <w:szCs w:val="24"/>
                <w:highlight w:val="none"/>
              </w:rPr>
              <w:t>投标文件必须有电子签章；</w:t>
            </w:r>
          </w:p>
          <w:p w14:paraId="4FC354F2">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开标后，相关信息记录确认、澄清说明、回复等内容以电子签章</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签章后上传相关文件，均认可；</w:t>
            </w:r>
          </w:p>
          <w:p w14:paraId="65CC3B17">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系统平台有新的操作流程的，按其规定。</w:t>
            </w:r>
          </w:p>
        </w:tc>
      </w:tr>
      <w:tr w14:paraId="74509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73" w:type="dxa"/>
            <w:noWrap w:val="0"/>
            <w:vAlign w:val="center"/>
          </w:tcPr>
          <w:p w14:paraId="6F10B320">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w:t>
            </w:r>
          </w:p>
        </w:tc>
        <w:tc>
          <w:tcPr>
            <w:tcW w:w="1735" w:type="dxa"/>
            <w:noWrap w:val="0"/>
            <w:vAlign w:val="center"/>
          </w:tcPr>
          <w:p w14:paraId="64D9601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评标办法</w:t>
            </w:r>
          </w:p>
        </w:tc>
        <w:tc>
          <w:tcPr>
            <w:tcW w:w="6874" w:type="dxa"/>
            <w:noWrap w:val="0"/>
            <w:vAlign w:val="center"/>
          </w:tcPr>
          <w:p w14:paraId="5D58420F">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w:t>
            </w:r>
            <w:r>
              <w:rPr>
                <w:rFonts w:hint="eastAsia" w:asciiTheme="minorEastAsia" w:hAnsiTheme="minorEastAsia" w:eastAsiaTheme="minorEastAsia" w:cstheme="minorEastAsia"/>
                <w:color w:val="auto"/>
                <w:sz w:val="24"/>
                <w:szCs w:val="24"/>
                <w:highlight w:val="none"/>
                <w:lang w:eastAsia="zh-CN"/>
              </w:rPr>
              <w:t>评标价法</w:t>
            </w:r>
            <w:r>
              <w:rPr>
                <w:rFonts w:hint="eastAsia" w:asciiTheme="minorEastAsia" w:hAnsiTheme="minorEastAsia" w:eastAsiaTheme="minorEastAsia" w:cstheme="minorEastAsia"/>
                <w:color w:val="auto"/>
                <w:sz w:val="24"/>
                <w:szCs w:val="24"/>
                <w:highlight w:val="none"/>
              </w:rPr>
              <w:t>，具体标准见第</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lang w:val="en-US" w:eastAsia="zh-CN"/>
              </w:rPr>
              <w:t>部分</w:t>
            </w:r>
            <w:r>
              <w:rPr>
                <w:rFonts w:hint="eastAsia" w:asciiTheme="minorEastAsia" w:hAnsiTheme="minorEastAsia" w:eastAsiaTheme="minorEastAsia" w:cstheme="minorEastAsia"/>
                <w:color w:val="auto"/>
                <w:sz w:val="24"/>
                <w:szCs w:val="24"/>
                <w:highlight w:val="none"/>
              </w:rPr>
              <w:t>内容</w:t>
            </w:r>
          </w:p>
        </w:tc>
      </w:tr>
      <w:tr w14:paraId="7934A1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773" w:type="dxa"/>
            <w:noWrap w:val="0"/>
            <w:vAlign w:val="center"/>
          </w:tcPr>
          <w:p w14:paraId="660DD8A7">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18</w:t>
            </w:r>
          </w:p>
        </w:tc>
        <w:tc>
          <w:tcPr>
            <w:tcW w:w="1735" w:type="dxa"/>
            <w:noWrap w:val="0"/>
            <w:vAlign w:val="center"/>
          </w:tcPr>
          <w:p w14:paraId="655747DD">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6874" w:type="dxa"/>
            <w:noWrap w:val="0"/>
            <w:vAlign w:val="center"/>
          </w:tcPr>
          <w:p w14:paraId="2EA0D85A">
            <w:pPr>
              <w:keepNext w:val="0"/>
              <w:keepLines w:val="0"/>
              <w:pageBreakBefore w:val="0"/>
              <w:widowControl w:val="0"/>
              <w:kinsoku/>
              <w:wordWrap/>
              <w:overflowPunct/>
              <w:topLinePunct w:val="0"/>
              <w:autoSpaceDE/>
              <w:autoSpaceDN/>
              <w:bidi w:val="0"/>
              <w:adjustRightInd w:val="0"/>
              <w:snapToGrid w:val="0"/>
              <w:spacing w:line="360" w:lineRule="exact"/>
              <w:ind w:left="0" w:right="0" w:rightChars="0" w:hanging="16" w:hangingChars="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single"/>
                <w:lang w:eastAsia="zh-CN"/>
              </w:rPr>
              <w:t>2024年</w:t>
            </w:r>
            <w:r>
              <w:rPr>
                <w:rFonts w:hint="eastAsia" w:asciiTheme="minorEastAsia" w:hAnsiTheme="minorEastAsia" w:eastAsiaTheme="minorEastAsia" w:cstheme="minorEastAsia"/>
                <w:b w:val="0"/>
                <w:bCs w:val="0"/>
                <w:color w:val="auto"/>
                <w:sz w:val="24"/>
                <w:szCs w:val="24"/>
                <w:highlight w:val="none"/>
                <w:u w:val="single"/>
                <w:lang w:val="en-US" w:eastAsia="zh-CN"/>
              </w:rPr>
              <w:t>11月21日</w:t>
            </w:r>
            <w:r>
              <w:rPr>
                <w:rFonts w:hint="eastAsia" w:asciiTheme="minorEastAsia" w:hAnsiTheme="minorEastAsia" w:eastAsiaTheme="minorEastAsia" w:cstheme="minorEastAsia"/>
                <w:b w:val="0"/>
                <w:bCs w:val="0"/>
                <w:color w:val="auto"/>
                <w:sz w:val="24"/>
                <w:szCs w:val="24"/>
                <w:highlight w:val="none"/>
                <w:u w:val="single"/>
                <w:lang w:eastAsia="zh-CN"/>
              </w:rPr>
              <w:t>14</w:t>
            </w:r>
            <w:r>
              <w:rPr>
                <w:rFonts w:hint="eastAsia" w:asciiTheme="minorEastAsia" w:hAnsiTheme="minorEastAsia" w:eastAsiaTheme="minorEastAsia" w:cstheme="minorEastAsia"/>
                <w:b w:val="0"/>
                <w:bCs w:val="0"/>
                <w:color w:val="auto"/>
                <w:sz w:val="24"/>
                <w:szCs w:val="24"/>
                <w:highlight w:val="none"/>
                <w:u w:val="single"/>
                <w:lang w:val="en-US" w:eastAsia="zh-CN"/>
              </w:rPr>
              <w:t>:</w:t>
            </w:r>
            <w:r>
              <w:rPr>
                <w:rFonts w:hint="eastAsia" w:asciiTheme="minorEastAsia" w:hAnsiTheme="minorEastAsia" w:eastAsiaTheme="minorEastAsia" w:cstheme="minorEastAsia"/>
                <w:b w:val="0"/>
                <w:bCs w:val="0"/>
                <w:color w:val="auto"/>
                <w:sz w:val="24"/>
                <w:szCs w:val="24"/>
                <w:highlight w:val="none"/>
                <w:u w:val="single"/>
                <w:lang w:eastAsia="zh-CN"/>
              </w:rPr>
              <w:t>30</w:t>
            </w:r>
            <w:r>
              <w:rPr>
                <w:rFonts w:hint="eastAsia" w:asciiTheme="minorEastAsia" w:hAnsiTheme="minorEastAsia" w:eastAsiaTheme="minorEastAsia" w:cstheme="minorEastAsia"/>
                <w:color w:val="auto"/>
                <w:kern w:val="0"/>
                <w:sz w:val="24"/>
                <w:szCs w:val="24"/>
                <w:highlight w:val="none"/>
              </w:rPr>
              <w:t>（北京时间）</w:t>
            </w:r>
          </w:p>
        </w:tc>
      </w:tr>
      <w:tr w14:paraId="28AC4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773" w:type="dxa"/>
            <w:noWrap w:val="0"/>
            <w:vAlign w:val="center"/>
          </w:tcPr>
          <w:p w14:paraId="64FFC3F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19</w:t>
            </w:r>
          </w:p>
        </w:tc>
        <w:tc>
          <w:tcPr>
            <w:tcW w:w="1735" w:type="dxa"/>
            <w:noWrap w:val="0"/>
            <w:vAlign w:val="center"/>
          </w:tcPr>
          <w:p w14:paraId="6C0A5CAE">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开标程序</w:t>
            </w:r>
          </w:p>
        </w:tc>
        <w:tc>
          <w:tcPr>
            <w:tcW w:w="6874" w:type="dxa"/>
            <w:noWrap w:val="0"/>
            <w:vAlign w:val="center"/>
          </w:tcPr>
          <w:p w14:paraId="706D0ADA">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详见第二部分  投标须知“20.3 开评标程序”</w:t>
            </w:r>
          </w:p>
        </w:tc>
      </w:tr>
      <w:tr w14:paraId="0E735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773" w:type="dxa"/>
            <w:noWrap w:val="0"/>
            <w:vAlign w:val="center"/>
          </w:tcPr>
          <w:p w14:paraId="5BB4821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20</w:t>
            </w:r>
          </w:p>
        </w:tc>
        <w:tc>
          <w:tcPr>
            <w:tcW w:w="1735" w:type="dxa"/>
            <w:noWrap w:val="0"/>
            <w:vAlign w:val="center"/>
          </w:tcPr>
          <w:p w14:paraId="71416E6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tc>
        <w:tc>
          <w:tcPr>
            <w:tcW w:w="6874" w:type="dxa"/>
            <w:noWrap w:val="0"/>
            <w:vAlign w:val="center"/>
          </w:tcPr>
          <w:p w14:paraId="5917E8E0">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详见第二部分  投标须知“20.3 开评标程序”</w:t>
            </w:r>
          </w:p>
        </w:tc>
      </w:tr>
      <w:tr w14:paraId="5974D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73" w:type="dxa"/>
            <w:noWrap w:val="0"/>
            <w:vAlign w:val="center"/>
          </w:tcPr>
          <w:p w14:paraId="0B51A097">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21</w:t>
            </w:r>
          </w:p>
        </w:tc>
        <w:tc>
          <w:tcPr>
            <w:tcW w:w="1735" w:type="dxa"/>
            <w:noWrap w:val="0"/>
            <w:vAlign w:val="center"/>
          </w:tcPr>
          <w:p w14:paraId="5599327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874" w:type="dxa"/>
            <w:noWrap w:val="0"/>
            <w:vAlign w:val="center"/>
          </w:tcPr>
          <w:p w14:paraId="059433A3">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投标截止日后</w:t>
            </w:r>
            <w:r>
              <w:rPr>
                <w:rFonts w:hint="eastAsia" w:asciiTheme="minorEastAsia" w:hAnsiTheme="minorEastAsia" w:eastAsiaTheme="minorEastAsia" w:cstheme="minorEastAsia"/>
                <w:b/>
                <w:bCs/>
                <w:color w:val="auto"/>
                <w:sz w:val="24"/>
                <w:szCs w:val="24"/>
                <w:highlight w:val="none"/>
              </w:rPr>
              <w:t>90天</w:t>
            </w:r>
            <w:r>
              <w:rPr>
                <w:rFonts w:hint="eastAsia" w:asciiTheme="minorEastAsia" w:hAnsiTheme="minorEastAsia" w:eastAsiaTheme="minorEastAsia" w:cstheme="minorEastAsia"/>
                <w:color w:val="auto"/>
                <w:sz w:val="24"/>
                <w:szCs w:val="24"/>
                <w:highlight w:val="none"/>
              </w:rPr>
              <w:t>内有效，不足有效期的，其投标视为无效标。</w:t>
            </w:r>
          </w:p>
        </w:tc>
      </w:tr>
      <w:tr w14:paraId="60C56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8" w:hRule="atLeast"/>
        </w:trPr>
        <w:tc>
          <w:tcPr>
            <w:tcW w:w="773" w:type="dxa"/>
            <w:noWrap w:val="0"/>
            <w:vAlign w:val="center"/>
          </w:tcPr>
          <w:p w14:paraId="1AB7047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22</w:t>
            </w:r>
          </w:p>
        </w:tc>
        <w:tc>
          <w:tcPr>
            <w:tcW w:w="1735" w:type="dxa"/>
            <w:noWrap w:val="0"/>
            <w:vAlign w:val="center"/>
          </w:tcPr>
          <w:p w14:paraId="4DCF1226">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p w14:paraId="756BE5E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退还</w:t>
            </w:r>
          </w:p>
        </w:tc>
        <w:tc>
          <w:tcPr>
            <w:tcW w:w="6874" w:type="dxa"/>
            <w:noWrap w:val="0"/>
            <w:vAlign w:val="center"/>
          </w:tcPr>
          <w:p w14:paraId="31D7EE6E">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投标保证金采用</w:t>
            </w:r>
            <w:r>
              <w:rPr>
                <w:rFonts w:hint="eastAsia" w:asciiTheme="minorEastAsia" w:hAnsiTheme="minorEastAsia" w:eastAsiaTheme="minorEastAsia" w:cstheme="minorEastAsia"/>
                <w:color w:val="auto"/>
                <w:sz w:val="24"/>
                <w:szCs w:val="24"/>
                <w:highlight w:val="none"/>
              </w:rPr>
              <w:t>银行电汇、转账</w:t>
            </w:r>
            <w:r>
              <w:rPr>
                <w:rFonts w:hint="eastAsia" w:asciiTheme="minorEastAsia" w:hAnsiTheme="minorEastAsia" w:eastAsiaTheme="minorEastAsia" w:cstheme="minorEastAsia"/>
                <w:color w:val="auto"/>
                <w:sz w:val="24"/>
                <w:szCs w:val="24"/>
                <w:highlight w:val="none"/>
                <w:lang w:eastAsia="zh-CN"/>
              </w:rPr>
              <w:t>形式的，</w:t>
            </w:r>
            <w:r>
              <w:rPr>
                <w:rFonts w:hint="eastAsia" w:asciiTheme="minorEastAsia" w:hAnsiTheme="minorEastAsia" w:eastAsiaTheme="minorEastAsia" w:cstheme="minorEastAsia"/>
                <w:color w:val="auto"/>
                <w:sz w:val="24"/>
                <w:szCs w:val="24"/>
                <w:highlight w:val="none"/>
              </w:rPr>
              <w:t>除招标文件规定不予退还保证金的情形外，中标通知书发出后5个工作日内退还未中标供应商的投标保证金，投标人提供本单位开户银行及账号后，本</w:t>
            </w:r>
            <w:r>
              <w:rPr>
                <w:rFonts w:hint="eastAsia" w:asciiTheme="minorEastAsia" w:hAnsiTheme="minorEastAsia" w:eastAsiaTheme="minorEastAsia" w:cstheme="minorEastAsia"/>
                <w:color w:val="auto"/>
                <w:kern w:val="0"/>
                <w:sz w:val="24"/>
                <w:szCs w:val="24"/>
                <w:highlight w:val="none"/>
              </w:rPr>
              <w:t>采购代理机构</w:t>
            </w:r>
            <w:r>
              <w:rPr>
                <w:rFonts w:hint="eastAsia" w:asciiTheme="minorEastAsia" w:hAnsiTheme="minorEastAsia" w:eastAsiaTheme="minorEastAsia" w:cstheme="minorEastAsia"/>
                <w:color w:val="auto"/>
                <w:sz w:val="24"/>
                <w:szCs w:val="24"/>
                <w:highlight w:val="none"/>
              </w:rPr>
              <w:t>以电汇或转账方式退还投标保证金；在采购合同签订后5个工作日内退还中标供应商的投标保证金。</w:t>
            </w:r>
          </w:p>
        </w:tc>
      </w:tr>
      <w:tr w14:paraId="3D2BD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5" w:hRule="atLeast"/>
        </w:trPr>
        <w:tc>
          <w:tcPr>
            <w:tcW w:w="773" w:type="dxa"/>
            <w:noWrap w:val="0"/>
            <w:vAlign w:val="center"/>
          </w:tcPr>
          <w:p w14:paraId="4A94457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23</w:t>
            </w:r>
          </w:p>
        </w:tc>
        <w:tc>
          <w:tcPr>
            <w:tcW w:w="1735" w:type="dxa"/>
            <w:noWrap w:val="0"/>
            <w:vAlign w:val="center"/>
          </w:tcPr>
          <w:p w14:paraId="0B93E7E4">
            <w:pPr>
              <w:keepNext w:val="0"/>
              <w:keepLines w:val="0"/>
              <w:pageBreakBefore w:val="0"/>
              <w:widowControl w:val="0"/>
              <w:kinsoku/>
              <w:wordWrap/>
              <w:overflowPunct/>
              <w:topLinePunct w:val="0"/>
              <w:autoSpaceDE/>
              <w:autoSpaceDN/>
              <w:bidi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874" w:type="dxa"/>
            <w:noWrap w:val="0"/>
            <w:vAlign w:val="center"/>
          </w:tcPr>
          <w:p w14:paraId="750B1B9B">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履约担保的金额：</w:t>
            </w:r>
            <w:r>
              <w:rPr>
                <w:rFonts w:hint="eastAsia" w:asciiTheme="minorEastAsia" w:hAnsiTheme="minorEastAsia" w:eastAsiaTheme="minorEastAsia" w:cstheme="minorEastAsia"/>
                <w:snapToGrid w:val="0"/>
                <w:color w:val="auto"/>
                <w:kern w:val="0"/>
                <w:sz w:val="24"/>
                <w:szCs w:val="24"/>
                <w:highlight w:val="none"/>
                <w:lang w:eastAsia="zh-CN"/>
              </w:rPr>
              <w:t>中标价的</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lang w:eastAsia="zh-CN"/>
              </w:rPr>
              <w:t>（不计息）。</w:t>
            </w:r>
          </w:p>
          <w:p w14:paraId="144C258A">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履约担保的形式：现金、支票、汇票、本票或者金融机构、保险公司、担保机构出具的保函（见函即付）/保险</w:t>
            </w:r>
          </w:p>
          <w:p w14:paraId="5395FB39">
            <w:pPr>
              <w:keepNext w:val="0"/>
              <w:keepLines w:val="0"/>
              <w:pageBreakBefore w:val="0"/>
              <w:widowControl w:val="0"/>
              <w:kinsoku/>
              <w:wordWrap/>
              <w:overflowPunct/>
              <w:topLinePunct w:val="0"/>
              <w:autoSpaceDE/>
              <w:autoSpaceDN/>
              <w:bidi w:val="0"/>
              <w:snapToGrid w:val="0"/>
              <w:spacing w:line="380" w:lineRule="exact"/>
              <w:ind w:left="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sym w:font="Wingdings" w:char="00A8"/>
            </w:r>
            <w:r>
              <w:rPr>
                <w:rFonts w:hint="eastAsia" w:asciiTheme="minorEastAsia" w:hAnsiTheme="minorEastAsia" w:eastAsiaTheme="minorEastAsia" w:cstheme="minorEastAsia"/>
                <w:color w:val="auto"/>
                <w:sz w:val="24"/>
                <w:szCs w:val="24"/>
                <w:highlight w:val="none"/>
                <w:lang w:val="en-US" w:eastAsia="zh-CN"/>
              </w:rPr>
              <w:t>履约担保形式为现金（账户另行通知），履约保证金待合同期满视履约情况到采购人处办理履约保证金的退还手续（不计息）；</w:t>
            </w:r>
          </w:p>
          <w:p w14:paraId="3990306A">
            <w:pPr>
              <w:keepNext w:val="0"/>
              <w:keepLines w:val="0"/>
              <w:pageBreakBefore w:val="0"/>
              <w:widowControl w:val="0"/>
              <w:kinsoku/>
              <w:wordWrap/>
              <w:overflowPunct/>
              <w:topLinePunct w:val="0"/>
              <w:autoSpaceDE/>
              <w:autoSpaceDN/>
              <w:bidi w:val="0"/>
              <w:snapToGrid w:val="0"/>
              <w:spacing w:line="380" w:lineRule="exact"/>
              <w:ind w:left="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sym w:font="Wingdings" w:char="00A8"/>
            </w:r>
            <w:r>
              <w:rPr>
                <w:rFonts w:hint="eastAsia" w:asciiTheme="minorEastAsia" w:hAnsiTheme="minorEastAsia" w:eastAsiaTheme="minorEastAsia" w:cstheme="minorEastAsia"/>
                <w:color w:val="auto"/>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14:paraId="03C3B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7" w:hRule="atLeast"/>
        </w:trPr>
        <w:tc>
          <w:tcPr>
            <w:tcW w:w="773" w:type="dxa"/>
            <w:noWrap w:val="0"/>
            <w:vAlign w:val="center"/>
          </w:tcPr>
          <w:p w14:paraId="55D3CB2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24</w:t>
            </w:r>
          </w:p>
        </w:tc>
        <w:tc>
          <w:tcPr>
            <w:tcW w:w="1735" w:type="dxa"/>
            <w:noWrap w:val="0"/>
            <w:vAlign w:val="center"/>
          </w:tcPr>
          <w:p w14:paraId="0E8CB2DF">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询标澄清</w:t>
            </w:r>
          </w:p>
        </w:tc>
        <w:tc>
          <w:tcPr>
            <w:tcW w:w="6874" w:type="dxa"/>
            <w:noWrap w:val="0"/>
            <w:vAlign w:val="center"/>
          </w:tcPr>
          <w:p w14:paraId="3B62C548">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本项目不要求投标人到开标现场开标，但投标人应派法定代表人或委托代理人准时在线出席电子开标会议，随时关注开标进度。如在评标过程</w:t>
            </w:r>
            <w:r>
              <w:rPr>
                <w:rFonts w:hint="eastAsia" w:asciiTheme="minorEastAsia" w:hAnsiTheme="minorEastAsia" w:eastAsiaTheme="minorEastAsia" w:cstheme="minorEastAsia"/>
                <w:color w:val="auto"/>
                <w:sz w:val="24"/>
                <w:szCs w:val="24"/>
                <w:highlight w:val="none"/>
              </w:rPr>
              <w:t>中，</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Theme="minorEastAsia" w:hAnsiTheme="minorEastAsia" w:eastAsiaTheme="minorEastAsia" w:cstheme="minorEastAsia"/>
                <w:color w:val="auto"/>
                <w:kern w:val="0"/>
                <w:sz w:val="24"/>
                <w:szCs w:val="24"/>
                <w:highlight w:val="none"/>
              </w:rPr>
              <w:t>投标人未按招标文件要求派代表参加电子开标会议的，视同认可开标结果，事后不得对开标过程及开标结果提出质疑。</w:t>
            </w:r>
          </w:p>
        </w:tc>
      </w:tr>
      <w:tr w14:paraId="00F82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773" w:type="dxa"/>
            <w:noWrap w:val="0"/>
            <w:vAlign w:val="center"/>
          </w:tcPr>
          <w:p w14:paraId="739A28E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25</w:t>
            </w:r>
          </w:p>
        </w:tc>
        <w:tc>
          <w:tcPr>
            <w:tcW w:w="1735" w:type="dxa"/>
            <w:noWrap w:val="0"/>
            <w:vAlign w:val="center"/>
          </w:tcPr>
          <w:p w14:paraId="08B61F45">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公告发布媒体</w:t>
            </w:r>
          </w:p>
        </w:tc>
        <w:tc>
          <w:tcPr>
            <w:tcW w:w="6874" w:type="dxa"/>
            <w:noWrap w:val="0"/>
            <w:vAlign w:val="center"/>
          </w:tcPr>
          <w:p w14:paraId="72E67C55">
            <w:pPr>
              <w:pStyle w:val="25"/>
              <w:keepNext w:val="0"/>
              <w:keepLines w:val="0"/>
              <w:pageBreakBefore w:val="0"/>
              <w:widowControl w:val="0"/>
              <w:tabs>
                <w:tab w:val="left" w:pos="900"/>
              </w:tabs>
              <w:kinsoku/>
              <w:wordWrap/>
              <w:overflowPunct/>
              <w:topLinePunct w:val="0"/>
              <w:autoSpaceDE/>
              <w:autoSpaceDN/>
              <w:bidi w:val="0"/>
              <w:adjustRightInd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浙江政府采购网。</w:t>
            </w:r>
          </w:p>
        </w:tc>
      </w:tr>
      <w:tr w14:paraId="3A30B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5" w:hRule="atLeast"/>
        </w:trPr>
        <w:tc>
          <w:tcPr>
            <w:tcW w:w="773" w:type="dxa"/>
            <w:noWrap w:val="0"/>
            <w:vAlign w:val="center"/>
          </w:tcPr>
          <w:p w14:paraId="4027B2C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26</w:t>
            </w:r>
          </w:p>
        </w:tc>
        <w:tc>
          <w:tcPr>
            <w:tcW w:w="1735" w:type="dxa"/>
            <w:noWrap w:val="0"/>
            <w:vAlign w:val="center"/>
          </w:tcPr>
          <w:p w14:paraId="5F9F7B68">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中标通知书</w:t>
            </w:r>
          </w:p>
        </w:tc>
        <w:tc>
          <w:tcPr>
            <w:tcW w:w="6874" w:type="dxa"/>
            <w:noWrap w:val="0"/>
            <w:vAlign w:val="center"/>
          </w:tcPr>
          <w:p w14:paraId="434B8B42">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发出中标结果公告的同时，招标人与招标代理机构共同向中标单位发出中标通知书。</w:t>
            </w:r>
          </w:p>
        </w:tc>
      </w:tr>
      <w:tr w14:paraId="56BE7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1" w:hRule="atLeast"/>
        </w:trPr>
        <w:tc>
          <w:tcPr>
            <w:tcW w:w="773" w:type="dxa"/>
            <w:noWrap w:val="0"/>
            <w:vAlign w:val="center"/>
          </w:tcPr>
          <w:p w14:paraId="4A26EB3F">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27</w:t>
            </w:r>
          </w:p>
        </w:tc>
        <w:tc>
          <w:tcPr>
            <w:tcW w:w="1735" w:type="dxa"/>
            <w:noWrap w:val="0"/>
            <w:vAlign w:val="center"/>
          </w:tcPr>
          <w:p w14:paraId="6D5B8E92">
            <w:pPr>
              <w:keepNext w:val="0"/>
              <w:keepLines w:val="0"/>
              <w:pageBreakBefore w:val="0"/>
              <w:widowControl w:val="0"/>
              <w:kinsoku/>
              <w:wordWrap/>
              <w:overflowPunct/>
              <w:topLinePunct w:val="0"/>
              <w:autoSpaceDE/>
              <w:autoSpaceDN/>
              <w:bidi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w:t>
            </w:r>
          </w:p>
        </w:tc>
        <w:tc>
          <w:tcPr>
            <w:tcW w:w="6874" w:type="dxa"/>
            <w:noWrap w:val="0"/>
            <w:vAlign w:val="center"/>
          </w:tcPr>
          <w:p w14:paraId="1C81CE09">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根据《中华人民共和国政府采购法》第五十二条、《中华人民共和国政府采购法实施条例》第五十三条、《政府采购质疑和投诉办法》的规定：</w:t>
            </w:r>
          </w:p>
          <w:p w14:paraId="2B28B731">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投标人认为采购（招标）文件、采购过程、中标或者成交结果使自己的</w:t>
            </w:r>
            <w:r>
              <w:rPr>
                <w:rFonts w:hint="eastAsia" w:asciiTheme="minorEastAsia" w:hAnsiTheme="minorEastAsia" w:eastAsiaTheme="minorEastAsia" w:cstheme="minorEastAsia"/>
                <w:color w:val="auto"/>
                <w:kern w:val="0"/>
                <w:sz w:val="24"/>
                <w:szCs w:val="24"/>
                <w:highlight w:val="none"/>
              </w:rPr>
              <w:t>合法</w:t>
            </w:r>
            <w:r>
              <w:rPr>
                <w:rFonts w:hint="eastAsia" w:asciiTheme="minorEastAsia" w:hAnsiTheme="minorEastAsia" w:eastAsiaTheme="minorEastAsia" w:cstheme="minorEastAsia"/>
                <w:snapToGrid w:val="0"/>
                <w:color w:val="auto"/>
                <w:kern w:val="0"/>
                <w:sz w:val="24"/>
                <w:szCs w:val="24"/>
                <w:highlight w:val="none"/>
              </w:rPr>
              <w:t>权益受到损害的，</w:t>
            </w:r>
            <w:r>
              <w:rPr>
                <w:rFonts w:hint="eastAsia" w:asciiTheme="minorEastAsia" w:hAnsiTheme="minorEastAsia" w:eastAsiaTheme="minorEastAsia" w:cstheme="minorEastAsia"/>
                <w:color w:val="auto"/>
                <w:kern w:val="0"/>
                <w:sz w:val="24"/>
                <w:szCs w:val="24"/>
                <w:highlight w:val="none"/>
              </w:rPr>
              <w:t>应当</w:t>
            </w:r>
            <w:r>
              <w:rPr>
                <w:rFonts w:hint="eastAsia" w:asciiTheme="minorEastAsia" w:hAnsiTheme="minorEastAsia" w:eastAsiaTheme="minorEastAsia" w:cstheme="minorEastAsia"/>
                <w:snapToGrid w:val="0"/>
                <w:color w:val="auto"/>
                <w:kern w:val="0"/>
                <w:sz w:val="24"/>
                <w:szCs w:val="24"/>
                <w:highlight w:val="none"/>
              </w:rPr>
              <w:t>在知道或者应知其权益受到损害之日起7个工作日内，以书面形式向采购人、采购代理机构提出质疑</w:t>
            </w:r>
            <w:r>
              <w:rPr>
                <w:rFonts w:hint="eastAsia" w:asciiTheme="minorEastAsia" w:hAnsiTheme="minorEastAsia" w:eastAsiaTheme="minorEastAsia" w:cstheme="minorEastAsia"/>
                <w:color w:val="auto"/>
                <w:kern w:val="0"/>
                <w:sz w:val="24"/>
                <w:szCs w:val="24"/>
                <w:highlight w:val="none"/>
              </w:rPr>
              <w:t>；逾期提出的，采购组织机构可以不予受理、答复。</w:t>
            </w:r>
          </w:p>
          <w:p w14:paraId="52422AF3">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b/>
                <w:bCs/>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本项目要求投标人在法定质疑期内一次性提出针对同一采购程序环节的质疑。</w:t>
            </w:r>
          </w:p>
        </w:tc>
      </w:tr>
      <w:tr w14:paraId="00D9F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trPr>
        <w:tc>
          <w:tcPr>
            <w:tcW w:w="773" w:type="dxa"/>
            <w:noWrap w:val="0"/>
            <w:vAlign w:val="center"/>
          </w:tcPr>
          <w:p w14:paraId="3EBBA9AE">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28</w:t>
            </w:r>
          </w:p>
        </w:tc>
        <w:tc>
          <w:tcPr>
            <w:tcW w:w="1735" w:type="dxa"/>
            <w:noWrap w:val="0"/>
            <w:vAlign w:val="center"/>
          </w:tcPr>
          <w:p w14:paraId="700D570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w:t>
            </w:r>
          </w:p>
        </w:tc>
        <w:tc>
          <w:tcPr>
            <w:tcW w:w="6874" w:type="dxa"/>
            <w:noWrap w:val="0"/>
            <w:vAlign w:val="center"/>
          </w:tcPr>
          <w:p w14:paraId="4155C761">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中华人民共和国政府采购法》第五十五条的规定，质疑投标人对采购人、采购代理机构的答复不满意或者采购人、采购代理机构未在规定的时间内作出答复的，可以在答复期满后十五个工作日内向监督管理部门投诉。</w:t>
            </w:r>
          </w:p>
          <w:p w14:paraId="65EA771A">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以联合体形式参加采购活动的，其投诉应当由组成联合体的所有投标人共同提出（本项目不适用）。</w:t>
            </w:r>
          </w:p>
        </w:tc>
      </w:tr>
      <w:tr w14:paraId="65BE69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trPr>
        <w:tc>
          <w:tcPr>
            <w:tcW w:w="773" w:type="dxa"/>
            <w:noWrap w:val="0"/>
            <w:vAlign w:val="center"/>
          </w:tcPr>
          <w:p w14:paraId="60601B63">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p>
        </w:tc>
        <w:tc>
          <w:tcPr>
            <w:tcW w:w="1735" w:type="dxa"/>
            <w:noWrap w:val="0"/>
            <w:vAlign w:val="center"/>
          </w:tcPr>
          <w:p w14:paraId="78E8B40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特别说明</w:t>
            </w:r>
          </w:p>
        </w:tc>
        <w:tc>
          <w:tcPr>
            <w:tcW w:w="6874" w:type="dxa"/>
            <w:noWrap w:val="0"/>
            <w:vAlign w:val="center"/>
          </w:tcPr>
          <w:p w14:paraId="2B31313B">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Theme="minorEastAsia" w:hAnsiTheme="minorEastAsia" w:eastAsiaTheme="minorEastAsia" w:cstheme="minorEastAsia"/>
                <w:color w:val="auto"/>
                <w:kern w:val="0"/>
                <w:sz w:val="24"/>
                <w:szCs w:val="24"/>
                <w:highlight w:val="none"/>
              </w:rPr>
              <w:t>招标内容及需求</w:t>
            </w:r>
            <w:r>
              <w:rPr>
                <w:rFonts w:hint="eastAsia" w:asciiTheme="minorEastAsia" w:hAnsiTheme="minorEastAsia" w:eastAsiaTheme="minorEastAsia" w:cstheme="minorEastAsia"/>
                <w:snapToGrid w:val="0"/>
                <w:color w:val="auto"/>
                <w:kern w:val="0"/>
                <w:sz w:val="24"/>
                <w:szCs w:val="24"/>
                <w:highlight w:val="none"/>
              </w:rPr>
              <w:t>、第四部分合同条款等各项内容进行确认，如有偏离，应如实填写响应偏离表。</w:t>
            </w:r>
          </w:p>
          <w:p w14:paraId="76A498C5">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6FA10DE0">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（3）质疑、投诉人未按前列序号第2</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rPr>
              <w:t>、2</w:t>
            </w:r>
            <w:r>
              <w:rPr>
                <w:rFonts w:hint="eastAsia" w:asciiTheme="minorEastAsia" w:hAnsiTheme="minorEastAsia" w:eastAsiaTheme="minorEastAsia" w:cstheme="minorEastAsia"/>
                <w:snapToGrid w:val="0"/>
                <w:color w:val="auto"/>
                <w:kern w:val="0"/>
                <w:sz w:val="24"/>
                <w:szCs w:val="24"/>
                <w:highlight w:val="none"/>
                <w:lang w:val="en-US" w:eastAsia="zh-CN"/>
              </w:rPr>
              <w:t>8</w:t>
            </w:r>
            <w:r>
              <w:rPr>
                <w:rFonts w:hint="eastAsia" w:asciiTheme="minorEastAsia" w:hAnsiTheme="minorEastAsia" w:eastAsiaTheme="minorEastAsia" w:cstheme="minorEastAsia"/>
                <w:snapToGrid w:val="0"/>
                <w:color w:val="auto"/>
                <w:kern w:val="0"/>
                <w:sz w:val="24"/>
                <w:szCs w:val="24"/>
                <w:highlight w:val="none"/>
              </w:rPr>
              <w:t>条规定进行质疑、投诉（申诉）、举报等，均属于扰乱政府采购市场不良行为。</w:t>
            </w:r>
          </w:p>
          <w:p w14:paraId="065F49EB">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B3146F3">
            <w:pPr>
              <w:pStyle w:val="25"/>
              <w:keepNext w:val="0"/>
              <w:keepLines w:val="0"/>
              <w:pageBreakBefore w:val="0"/>
              <w:tabs>
                <w:tab w:val="left" w:pos="900"/>
              </w:tabs>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（5）采购文件中凡标注“▲”的条款均为实质性要求，不响应的投标文件将作无效标处理。</w:t>
            </w:r>
          </w:p>
        </w:tc>
      </w:tr>
      <w:tr w14:paraId="02077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trPr>
        <w:tc>
          <w:tcPr>
            <w:tcW w:w="773" w:type="dxa"/>
            <w:noWrap w:val="0"/>
            <w:vAlign w:val="center"/>
          </w:tcPr>
          <w:p w14:paraId="451A242C">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p>
        </w:tc>
        <w:tc>
          <w:tcPr>
            <w:tcW w:w="1735" w:type="dxa"/>
            <w:noWrap w:val="0"/>
            <w:vAlign w:val="center"/>
          </w:tcPr>
          <w:p w14:paraId="1103E100">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代理服务费用</w:t>
            </w:r>
          </w:p>
        </w:tc>
        <w:tc>
          <w:tcPr>
            <w:tcW w:w="6874" w:type="dxa"/>
            <w:noWrap w:val="0"/>
            <w:vAlign w:val="center"/>
          </w:tcPr>
          <w:p w14:paraId="648CA2CD">
            <w:pPr>
              <w:keepNext w:val="0"/>
              <w:keepLines w:val="0"/>
              <w:pageBreakBefore w:val="0"/>
              <w:widowControl w:val="0"/>
              <w:kinsoku/>
              <w:wordWrap/>
              <w:overflowPunct/>
              <w:topLinePunct w:val="0"/>
              <w:autoSpaceDE/>
              <w:autoSpaceDN/>
              <w:bidi w:val="0"/>
              <w:adjustRightInd/>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本项目招标代理费</w:t>
            </w:r>
            <w:r>
              <w:rPr>
                <w:rFonts w:hint="eastAsia" w:asciiTheme="minorEastAsia" w:hAnsiTheme="minorEastAsia" w:eastAsiaTheme="minorEastAsia" w:cstheme="minorEastAsia"/>
                <w:b/>
                <w:bCs/>
                <w:color w:val="auto"/>
                <w:sz w:val="24"/>
                <w:szCs w:val="24"/>
                <w:highlight w:val="none"/>
                <w:lang w:eastAsia="zh-CN"/>
              </w:rPr>
              <w:t>参照</w:t>
            </w:r>
            <w:r>
              <w:rPr>
                <w:rFonts w:hint="eastAsia" w:asciiTheme="minorEastAsia" w:hAnsiTheme="minorEastAsia" w:eastAsiaTheme="minorEastAsia" w:cstheme="minorEastAsia"/>
                <w:b/>
                <w:bCs/>
                <w:color w:val="auto"/>
                <w:sz w:val="24"/>
                <w:szCs w:val="24"/>
                <w:highlight w:val="none"/>
              </w:rPr>
              <w:t>国家财政部、国家计委、国家物价局（2002）1980号文件规定的标准收费80%计取（标准收费附后，类型为货物招标）</w:t>
            </w:r>
            <w:r>
              <w:rPr>
                <w:rFonts w:hint="eastAsia" w:asciiTheme="minorEastAsia" w:hAnsiTheme="minorEastAsia" w:eastAsiaTheme="minorEastAsia" w:cstheme="minorEastAsia"/>
                <w:color w:val="auto"/>
                <w:sz w:val="24"/>
                <w:szCs w:val="24"/>
                <w:highlight w:val="none"/>
              </w:rPr>
              <w:t>。由中标人在合同签订前支付给招标代理机构，请各投标人将上述费用自行考虑进投标报价中。</w:t>
            </w:r>
          </w:p>
          <w:p w14:paraId="361BDDF0">
            <w:pPr>
              <w:keepNext w:val="0"/>
              <w:keepLines w:val="0"/>
              <w:pageBreakBefore w:val="0"/>
              <w:widowControl w:val="0"/>
              <w:kinsoku/>
              <w:wordWrap/>
              <w:overflowPunct/>
              <w:topLinePunct w:val="0"/>
              <w:autoSpaceDE/>
              <w:autoSpaceDN/>
              <w:bidi w:val="0"/>
              <w:adjustRightInd/>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投标人以银行电汇、转账等形式交至：</w:t>
            </w:r>
          </w:p>
          <w:p w14:paraId="58F277C6">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开户银行：中国工商银行股份有限公司浦江广场支行</w:t>
            </w:r>
          </w:p>
          <w:p w14:paraId="021818AA">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开户名称：浦江县产权交易有限公司</w:t>
            </w:r>
          </w:p>
          <w:p w14:paraId="354282D6">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账</w:t>
            </w:r>
            <w:r>
              <w:rPr>
                <w:rFonts w:hint="eastAsia" w:asciiTheme="minorEastAsia" w:hAnsiTheme="minorEastAsia" w:eastAsiaTheme="minorEastAsia" w:cstheme="minorEastAsia"/>
                <w:color w:val="auto"/>
                <w:sz w:val="24"/>
                <w:szCs w:val="24"/>
                <w:highlight w:val="none"/>
              </w:rPr>
              <w:t xml:space="preserve">    号：1208070509000033875</w:t>
            </w:r>
          </w:p>
          <w:p w14:paraId="215815C3">
            <w:pPr>
              <w:pStyle w:val="17"/>
              <w:keepNext w:val="0"/>
              <w:keepLines w:val="0"/>
              <w:pageBreakBefore w:val="0"/>
              <w:widowControl w:val="0"/>
              <w:kinsoku/>
              <w:wordWrap/>
              <w:overflowPunct/>
              <w:topLinePunct w:val="0"/>
              <w:autoSpaceDE/>
              <w:autoSpaceDN/>
              <w:bidi w:val="0"/>
              <w:spacing w:before="0" w:line="380" w:lineRule="exact"/>
              <w:ind w:left="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注：招标代理费低于2000元的，按2000元计取。</w:t>
            </w:r>
          </w:p>
        </w:tc>
      </w:tr>
      <w:tr w14:paraId="7E0E6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773" w:type="dxa"/>
            <w:noWrap w:val="0"/>
            <w:vAlign w:val="center"/>
          </w:tcPr>
          <w:p w14:paraId="71038303">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p>
        </w:tc>
        <w:tc>
          <w:tcPr>
            <w:tcW w:w="1735" w:type="dxa"/>
            <w:noWrap w:val="0"/>
            <w:vAlign w:val="center"/>
          </w:tcPr>
          <w:p w14:paraId="0CF58BB2">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解释</w:t>
            </w:r>
          </w:p>
        </w:tc>
        <w:tc>
          <w:tcPr>
            <w:tcW w:w="6874" w:type="dxa"/>
            <w:noWrap w:val="0"/>
            <w:vAlign w:val="center"/>
          </w:tcPr>
          <w:p w14:paraId="1F5C365E">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本招标文件的解释权属于招标采购单位。</w:t>
            </w:r>
          </w:p>
        </w:tc>
      </w:tr>
      <w:tr w14:paraId="61E1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6" w:hRule="atLeast"/>
        </w:trPr>
        <w:tc>
          <w:tcPr>
            <w:tcW w:w="773" w:type="dxa"/>
            <w:noWrap w:val="0"/>
            <w:vAlign w:val="center"/>
          </w:tcPr>
          <w:p w14:paraId="57FC7D7D">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32</w:t>
            </w:r>
          </w:p>
        </w:tc>
        <w:tc>
          <w:tcPr>
            <w:tcW w:w="1735" w:type="dxa"/>
            <w:noWrap w:val="0"/>
            <w:vAlign w:val="center"/>
          </w:tcPr>
          <w:p w14:paraId="6C582EDD">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本项目关于节能产品、环境标志产品的政府采购的政策规定</w:t>
            </w:r>
          </w:p>
        </w:tc>
        <w:tc>
          <w:tcPr>
            <w:tcW w:w="6874" w:type="dxa"/>
            <w:noWrap w:val="0"/>
            <w:vAlign w:val="center"/>
          </w:tcPr>
          <w:p w14:paraId="63CB7F7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节能产品、环境标志产品的强制采购政策</w:t>
            </w:r>
          </w:p>
          <w:p w14:paraId="5ABF06F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E0358C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节能产品、环境标志产品的优先采购政策</w:t>
            </w:r>
          </w:p>
          <w:p w14:paraId="260BB49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BCF9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73" w:type="dxa"/>
            <w:noWrap w:val="0"/>
            <w:vAlign w:val="center"/>
          </w:tcPr>
          <w:p w14:paraId="787C82D4">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33</w:t>
            </w:r>
          </w:p>
        </w:tc>
        <w:tc>
          <w:tcPr>
            <w:tcW w:w="1735" w:type="dxa"/>
            <w:noWrap w:val="0"/>
            <w:vAlign w:val="center"/>
          </w:tcPr>
          <w:p w14:paraId="4460D699">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信用记录查询</w:t>
            </w:r>
          </w:p>
        </w:tc>
        <w:tc>
          <w:tcPr>
            <w:tcW w:w="6874" w:type="dxa"/>
            <w:noWrap w:val="0"/>
            <w:vAlign w:val="center"/>
          </w:tcPr>
          <w:p w14:paraId="78A12592">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根据《关于在政府采购活动中查询及使用信用记录有关问题的通知》财库[2016]125号的规定：</w:t>
            </w:r>
          </w:p>
          <w:p w14:paraId="0948FBD4">
            <w:pPr>
              <w:keepNext w:val="0"/>
              <w:keepLines w:val="0"/>
              <w:pageBreakBefore w:val="0"/>
              <w:numPr>
                <w:ilvl w:val="0"/>
                <w:numId w:val="5"/>
              </w:numPr>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查询渠道：“信用中国”网站(www.creditchina.gov.cn)、中国政府采购网(www.ccgp.gov.cn)渠道查询</w:t>
            </w:r>
          </w:p>
          <w:p w14:paraId="046425B3">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2、截止时间：投标截止时间前。</w:t>
            </w:r>
          </w:p>
          <w:p w14:paraId="0B743894">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3、查询记录和证据留存的具体方式：</w:t>
            </w:r>
            <w:r>
              <w:rPr>
                <w:rFonts w:hint="eastAsia" w:asciiTheme="minorEastAsia" w:hAnsiTheme="minorEastAsia" w:eastAsiaTheme="minorEastAsia" w:cstheme="minorEastAsia"/>
                <w:color w:val="auto"/>
                <w:kern w:val="0"/>
                <w:sz w:val="24"/>
                <w:szCs w:val="24"/>
                <w:highlight w:val="none"/>
              </w:rPr>
              <w:t>采购代理机构</w:t>
            </w:r>
            <w:r>
              <w:rPr>
                <w:rFonts w:hint="eastAsia" w:asciiTheme="minorEastAsia" w:hAnsiTheme="minorEastAsia" w:eastAsiaTheme="minorEastAsia" w:cstheme="minorEastAsia"/>
                <w:snapToGrid w:val="0"/>
                <w:color w:val="auto"/>
                <w:kern w:val="0"/>
                <w:sz w:val="24"/>
                <w:szCs w:val="24"/>
                <w:highlight w:val="none"/>
              </w:rPr>
              <w:t>开标当天查询投标人的信用记录，</w:t>
            </w:r>
            <w:r>
              <w:rPr>
                <w:rFonts w:hint="eastAsia" w:asciiTheme="minorEastAsia" w:hAnsiTheme="minorEastAsia" w:eastAsiaTheme="minorEastAsia" w:cstheme="minorEastAsia"/>
                <w:color w:val="auto"/>
                <w:kern w:val="0"/>
                <w:sz w:val="24"/>
                <w:szCs w:val="24"/>
                <w:highlight w:val="none"/>
              </w:rPr>
              <w:t>查询结果经确认后与采购文件一起存档。</w:t>
            </w:r>
          </w:p>
          <w:p w14:paraId="605577E2">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4、使用规则：经查询列入失信被执行人名单、重大税收违法案件当事人名单、政府采购严重违法失信行为记录名单的投标人的投标文件将被拒绝。</w:t>
            </w:r>
          </w:p>
        </w:tc>
      </w:tr>
    </w:tbl>
    <w:p w14:paraId="740A0B0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注：以上内容如有变化将另行书面通知。如通知其中某一内容发生变化，其余未提及的将不作变动。</w:t>
      </w:r>
    </w:p>
    <w:p w14:paraId="0CC5CD53">
      <w:pPr>
        <w:pStyle w:val="44"/>
        <w:rPr>
          <w:rFonts w:hint="eastAsia"/>
          <w:color w:val="auto"/>
          <w:highlight w:val="none"/>
        </w:rPr>
      </w:pPr>
    </w:p>
    <w:p w14:paraId="4263EE5D">
      <w:pPr>
        <w:pStyle w:val="2"/>
        <w:numPr>
          <w:ilvl w:val="0"/>
          <w:numId w:val="6"/>
        </w:numPr>
        <w:bidi w:val="0"/>
        <w:rPr>
          <w:rFonts w:hint="eastAsia"/>
          <w:b/>
          <w:bCs/>
          <w:color w:val="auto"/>
          <w:highlight w:val="none"/>
        </w:rPr>
      </w:pPr>
      <w:bookmarkStart w:id="33" w:name="_Toc2187"/>
      <w:bookmarkStart w:id="34" w:name="_Toc10395"/>
      <w:bookmarkStart w:id="35" w:name="_Toc13822"/>
      <w:bookmarkStart w:id="36" w:name="_Toc23944"/>
      <w:bookmarkStart w:id="37" w:name="_Toc9627"/>
      <w:bookmarkStart w:id="38" w:name="_Toc29426"/>
      <w:bookmarkStart w:id="39" w:name="_Toc28834"/>
      <w:bookmarkStart w:id="40" w:name="_Hlk526933024"/>
      <w:r>
        <w:rPr>
          <w:rFonts w:hint="eastAsia"/>
          <w:b/>
          <w:bCs/>
          <w:color w:val="auto"/>
          <w:highlight w:val="none"/>
        </w:rPr>
        <w:t>投标须知</w:t>
      </w:r>
      <w:bookmarkEnd w:id="33"/>
      <w:bookmarkEnd w:id="34"/>
      <w:bookmarkEnd w:id="35"/>
      <w:bookmarkEnd w:id="36"/>
      <w:bookmarkEnd w:id="37"/>
      <w:bookmarkEnd w:id="38"/>
      <w:bookmarkEnd w:id="39"/>
    </w:p>
    <w:p w14:paraId="40F86B36">
      <w:pPr>
        <w:pageBreakBefore w:val="0"/>
        <w:kinsoku/>
        <w:wordWrap/>
        <w:overflowPunct/>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  则</w:t>
      </w:r>
    </w:p>
    <w:bookmarkEnd w:id="40"/>
    <w:p w14:paraId="780100F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1、适用范围</w:t>
      </w:r>
    </w:p>
    <w:p w14:paraId="4AA5F08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 本采购文件仅适用于本次招标项目。</w:t>
      </w:r>
    </w:p>
    <w:p w14:paraId="308AB73F">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 本项目采购方式为公开招标。</w:t>
      </w:r>
    </w:p>
    <w:p w14:paraId="01017C5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 投标须知为采购文件的通用条款，如通用条款与前附表、招标内容及需求、合同条款等特定条款不一致的，请按特定条款执行。</w:t>
      </w:r>
    </w:p>
    <w:p w14:paraId="2C851020">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2、定义</w:t>
      </w:r>
    </w:p>
    <w:p w14:paraId="4AF54F10">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2.1“采购人”系指</w:t>
      </w:r>
      <w:r>
        <w:rPr>
          <w:rFonts w:hint="eastAsia" w:ascii="宋体" w:hAnsi="宋体" w:eastAsia="宋体" w:cs="宋体"/>
          <w:snapToGrid w:val="0"/>
          <w:color w:val="auto"/>
          <w:kern w:val="0"/>
          <w:sz w:val="24"/>
          <w:szCs w:val="24"/>
          <w:highlight w:val="none"/>
          <w:lang w:eastAsia="zh-CN"/>
        </w:rPr>
        <w:t>浦江县交投贸易有限公司</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0225253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2.2“采购代理机构”系指浦江县产权交易有限公司</w:t>
      </w:r>
      <w:r>
        <w:rPr>
          <w:rFonts w:hint="eastAsia" w:ascii="宋体" w:hAnsi="宋体" w:eastAsia="宋体" w:cs="宋体"/>
          <w:color w:val="auto"/>
          <w:sz w:val="24"/>
          <w:szCs w:val="24"/>
          <w:highlight w:val="none"/>
        </w:rPr>
        <w:t>（合同中的鉴证方）</w:t>
      </w:r>
      <w:r>
        <w:rPr>
          <w:rFonts w:hint="eastAsia" w:ascii="宋体" w:hAnsi="宋体" w:eastAsia="宋体" w:cs="宋体"/>
          <w:snapToGrid w:val="0"/>
          <w:color w:val="auto"/>
          <w:kern w:val="0"/>
          <w:sz w:val="24"/>
          <w:szCs w:val="24"/>
          <w:highlight w:val="none"/>
        </w:rPr>
        <w:t>。</w:t>
      </w:r>
    </w:p>
    <w:p w14:paraId="26E6795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2.3“监督管理部门”系指</w:t>
      </w:r>
      <w:r>
        <w:rPr>
          <w:rFonts w:hint="eastAsia" w:ascii="宋体" w:hAnsi="宋体" w:eastAsia="宋体" w:cs="宋体"/>
          <w:color w:val="auto"/>
          <w:kern w:val="0"/>
          <w:sz w:val="24"/>
          <w:szCs w:val="24"/>
          <w:highlight w:val="none"/>
        </w:rPr>
        <w:t>浦江县人民政府国有资产监督管理办公室</w:t>
      </w:r>
      <w:r>
        <w:rPr>
          <w:rFonts w:hint="eastAsia" w:ascii="宋体" w:hAnsi="宋体" w:eastAsia="宋体" w:cs="宋体"/>
          <w:snapToGrid w:val="0"/>
          <w:color w:val="auto"/>
          <w:kern w:val="0"/>
          <w:sz w:val="24"/>
          <w:szCs w:val="24"/>
          <w:highlight w:val="none"/>
        </w:rPr>
        <w:t>。</w:t>
      </w:r>
    </w:p>
    <w:p w14:paraId="547C8C3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2.4“投标人”系指响应本次招标，参加本次投标的独立法人。</w:t>
      </w:r>
    </w:p>
    <w:p w14:paraId="2CC60D6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2.5“产品”系指供方按招标文件规定，须向采购人提供的一切</w:t>
      </w:r>
      <w:r>
        <w:rPr>
          <w:rFonts w:hint="eastAsia" w:ascii="宋体" w:hAnsi="宋体" w:eastAsia="宋体" w:cs="宋体"/>
          <w:snapToGrid w:val="0"/>
          <w:color w:val="auto"/>
          <w:kern w:val="0"/>
          <w:sz w:val="24"/>
          <w:szCs w:val="24"/>
          <w:highlight w:val="none"/>
          <w:lang w:eastAsia="zh-CN"/>
        </w:rPr>
        <w:t>货物</w:t>
      </w:r>
      <w:r>
        <w:rPr>
          <w:rFonts w:hint="eastAsia" w:ascii="宋体" w:hAnsi="宋体" w:eastAsia="宋体" w:cs="宋体"/>
          <w:snapToGrid w:val="0"/>
          <w:color w:val="auto"/>
          <w:kern w:val="0"/>
          <w:sz w:val="24"/>
          <w:szCs w:val="24"/>
          <w:highlight w:val="none"/>
        </w:rPr>
        <w:t>、保险、税金、备品备件、工具、手册</w:t>
      </w:r>
      <w:r>
        <w:rPr>
          <w:rFonts w:hint="eastAsia" w:ascii="宋体" w:hAnsi="宋体" w:eastAsia="宋体" w:cs="宋体"/>
          <w:snapToGrid w:val="0"/>
          <w:color w:val="auto"/>
          <w:kern w:val="0"/>
          <w:sz w:val="24"/>
          <w:szCs w:val="24"/>
          <w:highlight w:val="none"/>
          <w:lang w:eastAsia="zh-CN"/>
        </w:rPr>
        <w:t>及其他有关</w:t>
      </w:r>
      <w:r>
        <w:rPr>
          <w:rFonts w:hint="eastAsia" w:ascii="宋体" w:hAnsi="宋体" w:eastAsia="宋体" w:cs="宋体"/>
          <w:snapToGrid w:val="0"/>
          <w:color w:val="auto"/>
          <w:kern w:val="0"/>
          <w:sz w:val="24"/>
          <w:szCs w:val="24"/>
          <w:highlight w:val="none"/>
        </w:rPr>
        <w:t>技术资料和材料。</w:t>
      </w:r>
    </w:p>
    <w:p w14:paraId="46F0D85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2.6“服务”系指采购文件或合同规定投标人须承担的服务以及其他类似的义务。</w:t>
      </w:r>
    </w:p>
    <w:p w14:paraId="1F58B6E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2.7“实质性条款”系指采购文件条款前标注“▲”标识的条款。</w:t>
      </w:r>
    </w:p>
    <w:p w14:paraId="13085D6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2.8官方指定网站公示的内容视为书面告知。</w:t>
      </w:r>
    </w:p>
    <w:p w14:paraId="4A49950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3、合格的投标人及合格的投标货物和服务</w:t>
      </w:r>
    </w:p>
    <w:p w14:paraId="22DE703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3.1合格的投标人，详见</w:t>
      </w:r>
      <w:r>
        <w:rPr>
          <w:rFonts w:hint="eastAsia" w:ascii="宋体" w:hAnsi="宋体" w:eastAsia="宋体" w:cs="宋体"/>
          <w:snapToGrid w:val="0"/>
          <w:color w:val="auto"/>
          <w:kern w:val="0"/>
          <w:sz w:val="24"/>
          <w:szCs w:val="24"/>
          <w:highlight w:val="none"/>
          <w:lang w:eastAsia="zh-CN"/>
        </w:rPr>
        <w:t>公开招标</w:t>
      </w:r>
      <w:r>
        <w:rPr>
          <w:rFonts w:hint="eastAsia" w:ascii="宋体" w:hAnsi="宋体" w:eastAsia="宋体" w:cs="宋体"/>
          <w:snapToGrid w:val="0"/>
          <w:color w:val="auto"/>
          <w:kern w:val="0"/>
          <w:sz w:val="24"/>
          <w:szCs w:val="24"/>
          <w:highlight w:val="none"/>
        </w:rPr>
        <w:t>公告第二条规定的投标人必须具备的资格条件并经采购人或采购代理机构审查通过的。</w:t>
      </w:r>
    </w:p>
    <w:p w14:paraId="25781CD0">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3.2对</w:t>
      </w:r>
      <w:r>
        <w:rPr>
          <w:rFonts w:hint="eastAsia" w:ascii="宋体" w:hAnsi="宋体" w:eastAsia="宋体" w:cs="宋体"/>
          <w:b/>
          <w:bCs/>
          <w:color w:val="auto"/>
          <w:kern w:val="0"/>
          <w:sz w:val="24"/>
          <w:szCs w:val="24"/>
          <w:highlight w:val="none"/>
        </w:rPr>
        <w:t>投标人、采购人员及相关人员</w:t>
      </w:r>
      <w:r>
        <w:rPr>
          <w:rFonts w:hint="eastAsia" w:ascii="宋体" w:hAnsi="宋体" w:eastAsia="宋体" w:cs="宋体"/>
          <w:b/>
          <w:bCs/>
          <w:snapToGrid w:val="0"/>
          <w:color w:val="auto"/>
          <w:kern w:val="0"/>
          <w:sz w:val="24"/>
          <w:szCs w:val="24"/>
          <w:highlight w:val="none"/>
        </w:rPr>
        <w:t>的限制</w:t>
      </w:r>
    </w:p>
    <w:p w14:paraId="19A885D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3.2.1单位负责人（指法定代表人或者法律、行政法规规定代表单位行使职权的主要负责人）为同一人或者存在直接控股、管理关系的，</w:t>
      </w:r>
      <w:r>
        <w:rPr>
          <w:rFonts w:hint="eastAsia" w:ascii="宋体" w:hAnsi="宋体" w:eastAsia="宋体" w:cs="宋体"/>
          <w:color w:val="auto"/>
          <w:kern w:val="0"/>
          <w:sz w:val="24"/>
          <w:szCs w:val="24"/>
          <w:highlight w:val="none"/>
        </w:rPr>
        <w:t>不得同时</w:t>
      </w:r>
      <w:r>
        <w:rPr>
          <w:rFonts w:hint="eastAsia" w:ascii="宋体" w:hAnsi="宋体" w:eastAsia="宋体" w:cs="宋体"/>
          <w:snapToGrid w:val="0"/>
          <w:color w:val="auto"/>
          <w:kern w:val="0"/>
          <w:sz w:val="24"/>
          <w:szCs w:val="24"/>
          <w:highlight w:val="none"/>
        </w:rPr>
        <w:t>参加同一合同项下的采购活动。违反本条规定的，相关投标均无效；</w:t>
      </w:r>
    </w:p>
    <w:p w14:paraId="15CD8E5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3.2.2为本项目提供过整体设计、规范编制或者项目管理、监理、检测等服务的投标人，不得再参加该采购项目的其他采购活动；</w:t>
      </w:r>
    </w:p>
    <w:p w14:paraId="2A69DFA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3.2.3</w:t>
      </w:r>
      <w:r>
        <w:rPr>
          <w:rFonts w:hint="eastAsia" w:ascii="宋体" w:hAnsi="宋体" w:eastAsia="宋体" w:cs="宋体"/>
          <w:color w:val="auto"/>
          <w:kern w:val="0"/>
          <w:sz w:val="24"/>
          <w:szCs w:val="24"/>
          <w:highlight w:val="none"/>
        </w:rPr>
        <w:t>列入失信被执行人、重大税收违法案件当事人名单、政府采购严重违法失信行为记录名单及</w:t>
      </w:r>
      <w:r>
        <w:rPr>
          <w:rFonts w:hint="eastAsia" w:ascii="宋体" w:hAnsi="宋体" w:eastAsia="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不符合《中华人民共和国政府采购法》第二十二条规定条件的（联合体形式投标的，联合体成员存在不良信用记录，视同联合体存在不良信用记录）；</w:t>
      </w:r>
    </w:p>
    <w:p w14:paraId="0764BAB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3.2.4以联合体形式参加采购活动的，联合体各方不得再单独参加或者与其他投标人另外组成联合体参加同一合同项下的采购活动（本项目不适用）；</w:t>
      </w:r>
    </w:p>
    <w:p w14:paraId="611C61B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3.2.5为证明投标人拥有的业绩、荣誉、知识产权、项目案例等而在投标文件中提供的证明材料必须为投标人自身所有。不同法人、其他组织的资料与投标人无关。</w:t>
      </w:r>
    </w:p>
    <w:p w14:paraId="63AE682E">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3.2.6在采购活动中，采购人员及相关人员与投标人有下列利害关系之一的，应当回避：</w:t>
      </w:r>
    </w:p>
    <w:p w14:paraId="00A1DF4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（一）参加采购活动前3年内与投标人存在劳动关系；</w:t>
      </w:r>
    </w:p>
    <w:p w14:paraId="27EA68B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（二）参加采购活动前3年内担任投标人的董事、监事；</w:t>
      </w:r>
    </w:p>
    <w:p w14:paraId="038DAC9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（三）参加采购活动前3年内是投标人的控股股东或者实际控制人；</w:t>
      </w:r>
    </w:p>
    <w:p w14:paraId="48E5ED96">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（四）与投标人的法定代表人或者负责人有夫妻、直系血亲、三代以内旁系血亲或者近姻亲关系；</w:t>
      </w:r>
    </w:p>
    <w:p w14:paraId="25103C66">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（五）与投标人有其他可能影响采购活动公平、公正进行的关系。</w:t>
      </w:r>
    </w:p>
    <w:p w14:paraId="6612FA3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76968EDD">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4、相关说明</w:t>
      </w:r>
    </w:p>
    <w:p w14:paraId="36A39AD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 投标费用</w:t>
      </w:r>
    </w:p>
    <w:p w14:paraId="51D9180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投标人应承担其参加投标所涉及的一切费用，不管投标结果如何，采购人对这些费用不负任何责任。</w:t>
      </w:r>
    </w:p>
    <w:p w14:paraId="10B55322">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 投标人应仔细阅读采购文件的所有内容，按照采购文件的要求提交投标文件。投标文件应对采购文件的要求作出实质性响应，并对所提供的全部资料的真实性承担法律责任。</w:t>
      </w:r>
    </w:p>
    <w:p w14:paraId="6AEC7CD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4.3采购项目需要公开的有关信息，包括招标公告、招标文件澄清或修改公告、中标结果公告等通知，采购代理机构将通过指定信息发布媒体公开。</w:t>
      </w:r>
    </w:p>
    <w:p w14:paraId="205725E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4.4投标人在参与本项目电子交易活动期间，请及时关注指定信息发布媒体的相关信息，投标人因没有及时关注而未能如期获取相关信息，是投标人的风险，采购人或者采购代理机构对此不承担任何责任。</w:t>
      </w:r>
    </w:p>
    <w:p w14:paraId="7BD2CFAE">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4.5投标人投标所使用的资格、信誉、荣誉、业绩与企业认证必须为本法人所拥有。投标人投标所使用的采购项目实施人员必须为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员工。</w:t>
      </w:r>
    </w:p>
    <w:p w14:paraId="10BC51B7">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报价相同的，由采购人或者采购人委托评标委员会按照采购文件规定的方式确定一个参加评标的投标人，采购文件未规定的采取随机抽取方式确定，其他投标无效。</w:t>
      </w:r>
    </w:p>
    <w:p w14:paraId="459ABFDF">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4E5DF05">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非单一产品采购项目，采购人应当根据采购项目技术构成、产品价格比重等合理确定核心产品，并在采购文件中载明。多家投标人提供的核心产品品牌相同的，按前两款规定处理。</w:t>
      </w:r>
    </w:p>
    <w:p w14:paraId="6F162690">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本项目的核心产品为：</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w:t>
      </w:r>
    </w:p>
    <w:p w14:paraId="23280F40">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4.7投标人在投标活动中提供任何虚假材料，其投标无效，并报监管部门查处；中标后发现的，根据《</w:t>
      </w:r>
      <w:r>
        <w:rPr>
          <w:rFonts w:hint="eastAsia" w:ascii="宋体" w:hAnsi="宋体" w:eastAsia="宋体" w:cs="宋体"/>
          <w:bCs/>
          <w:color w:val="auto"/>
          <w:kern w:val="0"/>
          <w:sz w:val="24"/>
          <w:szCs w:val="24"/>
          <w:highlight w:val="none"/>
        </w:rPr>
        <w:t>浙江省政府采购投标人注册及诚信管理暂行办法的通知》规定进行处罚；</w:t>
      </w:r>
      <w:r>
        <w:rPr>
          <w:rFonts w:hint="eastAsia" w:ascii="宋体" w:hAnsi="宋体" w:eastAsia="宋体" w:cs="宋体"/>
          <w:color w:val="auto"/>
          <w:sz w:val="24"/>
          <w:szCs w:val="24"/>
          <w:highlight w:val="none"/>
        </w:rPr>
        <w:t>还将依照《中华人民共和国消费者权益保护法》第55条之规定由中标人双倍赔偿采购人，且民事赔偿并不免除违法投标人的行政与刑事责任。</w:t>
      </w:r>
    </w:p>
    <w:p w14:paraId="6B1CCCBE">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41" w:name="_Toc240450078"/>
      <w:bookmarkStart w:id="42" w:name="_Toc251566651"/>
      <w:bookmarkStart w:id="43" w:name="_Toc11667"/>
      <w:bookmarkStart w:id="44" w:name="_Toc3732"/>
      <w:bookmarkStart w:id="45" w:name="_Toc27862"/>
      <w:bookmarkStart w:id="46" w:name="_Toc4863"/>
      <w:bookmarkStart w:id="47" w:name="_Toc24045"/>
      <w:bookmarkStart w:id="48" w:name="_Toc20242"/>
      <w:bookmarkStart w:id="49" w:name="_Toc25632"/>
      <w:bookmarkStart w:id="50" w:name="_Toc3391"/>
      <w:bookmarkStart w:id="51" w:name="_Toc21972"/>
      <w:bookmarkStart w:id="52" w:name="_Toc22670"/>
      <w:bookmarkStart w:id="53" w:name="_Toc30831"/>
      <w:bookmarkStart w:id="54" w:name="_Toc29979"/>
      <w:bookmarkStart w:id="55" w:name="_Toc7840"/>
      <w:bookmarkStart w:id="56" w:name="_Toc2589"/>
      <w:r>
        <w:rPr>
          <w:rFonts w:hint="eastAsia" w:ascii="宋体" w:hAnsi="宋体" w:eastAsia="宋体" w:cs="宋体"/>
          <w:color w:val="auto"/>
          <w:sz w:val="24"/>
          <w:szCs w:val="24"/>
          <w:highlight w:val="none"/>
        </w:rPr>
        <w:t>二、</w:t>
      </w:r>
      <w:bookmarkEnd w:id="41"/>
      <w:bookmarkEnd w:id="42"/>
      <w:r>
        <w:rPr>
          <w:rFonts w:hint="eastAsia" w:ascii="宋体" w:hAnsi="宋体" w:eastAsia="宋体" w:cs="宋体"/>
          <w:color w:val="auto"/>
          <w:sz w:val="24"/>
          <w:szCs w:val="24"/>
          <w:highlight w:val="none"/>
        </w:rPr>
        <w:t>采购文件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A3FF80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5、采购文件构成</w:t>
      </w:r>
    </w:p>
    <w:p w14:paraId="107F28F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 本采购文件包括目录所示内容及所有按本须知第6条发出的补充资料。</w:t>
      </w:r>
    </w:p>
    <w:p w14:paraId="594FAD7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5.2 除上述所列内容外，采购人和采购代理机构的任何工作人员对投标人所作的任何口头解释、介绍、答复，只能供投标人参考，对采购人、采购代理机构和投标人无任何约束力。</w:t>
      </w:r>
    </w:p>
    <w:p w14:paraId="3CE2ADE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5.3 采购文件是招标过程进行的有效依据，也是中标后签订合同的依据，对双方均具有约束力，凡不遵守采购文件规定或对采购文件的实质性内容不响应的，将可能被拒绝或以无效标处理。</w:t>
      </w:r>
    </w:p>
    <w:p w14:paraId="550808F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 本采购文件由采购人或采购代理机构依据相关法律、法规、规章、省市规定</w:t>
      </w:r>
      <w:r>
        <w:rPr>
          <w:rFonts w:hint="eastAsia" w:ascii="宋体" w:hAnsi="宋体" w:eastAsia="宋体" w:cs="宋体"/>
          <w:snapToGrid w:val="0"/>
          <w:color w:val="auto"/>
          <w:kern w:val="0"/>
          <w:sz w:val="24"/>
          <w:szCs w:val="24"/>
          <w:highlight w:val="none"/>
          <w:lang w:eastAsia="zh-CN"/>
        </w:rPr>
        <w:t>等</w:t>
      </w:r>
      <w:r>
        <w:rPr>
          <w:rFonts w:hint="eastAsia" w:ascii="宋体" w:hAnsi="宋体" w:eastAsia="宋体" w:cs="宋体"/>
          <w:snapToGrid w:val="0"/>
          <w:color w:val="auto"/>
          <w:kern w:val="0"/>
          <w:sz w:val="24"/>
          <w:szCs w:val="24"/>
          <w:highlight w:val="none"/>
        </w:rPr>
        <w:t>进行解释。</w:t>
      </w:r>
    </w:p>
    <w:p w14:paraId="3393AC54">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6、采购文件的澄清</w:t>
      </w:r>
    </w:p>
    <w:p w14:paraId="60E6F39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eastAsia="宋体" w:cs="宋体"/>
          <w:snapToGrid w:val="0"/>
          <w:color w:val="auto"/>
          <w:kern w:val="0"/>
          <w:sz w:val="24"/>
          <w:szCs w:val="24"/>
          <w:highlight w:val="none"/>
          <w:lang w:eastAsia="zh-CN"/>
        </w:rPr>
        <w:t>第一部分公开招标公告</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八、凡对本次采购提出询问、质疑、投诉</w:t>
      </w:r>
      <w:r>
        <w:rPr>
          <w:rFonts w:hint="eastAsia" w:ascii="宋体" w:hAnsi="宋体" w:eastAsia="宋体" w:cs="宋体"/>
          <w:snapToGrid w:val="0"/>
          <w:color w:val="auto"/>
          <w:kern w:val="0"/>
          <w:sz w:val="24"/>
          <w:szCs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14:paraId="03D9979E">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6.2采购代理机构必须以书面形式答复投标人要求澄清的问题，并将不包含问题来源的答复书面通知所有购买招标文件的投标人；除书面答复以外的其他澄清方式及澄清内容均无效。</w:t>
      </w:r>
    </w:p>
    <w:p w14:paraId="6686828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6.3招标文件澄清、答复、修改、补充的内容为招标文件的组成部分。当招标文件与招标文件的答复、澄清、修改、补充通知就同一内容的表述不一致时，以最后发出的书面文件为准。</w:t>
      </w:r>
    </w:p>
    <w:p w14:paraId="59560EE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6.4招标文件的澄清、答复、修改或补充都应该通过本代理机构以法定形式发布，采购人非通过本机构，不得擅自澄清、答复、修改或补充招标文件。</w:t>
      </w:r>
    </w:p>
    <w:p w14:paraId="5E02C126">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57" w:name="_Toc13635"/>
      <w:bookmarkStart w:id="58" w:name="_Toc240450079"/>
      <w:bookmarkStart w:id="59" w:name="_Toc31368"/>
      <w:bookmarkStart w:id="60" w:name="_Toc251566652"/>
      <w:bookmarkStart w:id="61" w:name="_Toc6547"/>
      <w:bookmarkStart w:id="62" w:name="_Toc3309"/>
      <w:bookmarkStart w:id="63" w:name="_Toc31143"/>
      <w:bookmarkStart w:id="64" w:name="_Toc28338"/>
      <w:bookmarkStart w:id="65" w:name="_Toc7625"/>
      <w:bookmarkStart w:id="66" w:name="_Toc22881"/>
      <w:bookmarkStart w:id="67" w:name="_Toc15408"/>
      <w:bookmarkStart w:id="68" w:name="_Toc1530"/>
      <w:bookmarkStart w:id="69" w:name="_Toc23869"/>
      <w:bookmarkStart w:id="70" w:name="_Toc7760"/>
      <w:bookmarkStart w:id="71" w:name="_Toc25637"/>
      <w:bookmarkStart w:id="72" w:name="_Toc20226"/>
      <w:r>
        <w:rPr>
          <w:rFonts w:hint="eastAsia" w:ascii="宋体" w:hAnsi="宋体" w:eastAsia="宋体" w:cs="宋体"/>
          <w:color w:val="auto"/>
          <w:sz w:val="24"/>
          <w:szCs w:val="24"/>
          <w:highlight w:val="none"/>
        </w:rPr>
        <w:t>三、投标文件的编制</w:t>
      </w:r>
      <w:bookmarkEnd w:id="57"/>
      <w:bookmarkEnd w:id="58"/>
      <w:bookmarkEnd w:id="59"/>
      <w:bookmarkEnd w:id="60"/>
      <w:bookmarkEnd w:id="61"/>
      <w:bookmarkEnd w:id="62"/>
      <w:r>
        <w:rPr>
          <w:rFonts w:hint="eastAsia" w:ascii="宋体" w:hAnsi="宋体" w:eastAsia="宋体" w:cs="宋体"/>
          <w:color w:val="auto"/>
          <w:sz w:val="24"/>
          <w:szCs w:val="24"/>
          <w:highlight w:val="none"/>
        </w:rPr>
        <w:t>要求</w:t>
      </w:r>
      <w:bookmarkEnd w:id="63"/>
      <w:bookmarkEnd w:id="64"/>
      <w:bookmarkEnd w:id="65"/>
      <w:bookmarkEnd w:id="66"/>
      <w:bookmarkEnd w:id="67"/>
      <w:bookmarkEnd w:id="68"/>
      <w:bookmarkEnd w:id="69"/>
      <w:bookmarkEnd w:id="70"/>
      <w:bookmarkEnd w:id="71"/>
      <w:bookmarkEnd w:id="72"/>
    </w:p>
    <w:p w14:paraId="1DCEA2D9">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7、投标文件的编制要求</w:t>
      </w:r>
    </w:p>
    <w:p w14:paraId="5186D77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14:paraId="0EC54B2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7.2投标人应准确设置评审关联点</w:t>
      </w:r>
      <w:r>
        <w:rPr>
          <w:rFonts w:hint="eastAsia" w:ascii="宋体" w:hAnsi="宋体" w:eastAsia="宋体" w:cs="宋体"/>
          <w:snapToGrid w:val="0"/>
          <w:color w:val="auto"/>
          <w:kern w:val="0"/>
          <w:sz w:val="24"/>
          <w:szCs w:val="24"/>
          <w:highlight w:val="none"/>
        </w:rPr>
        <w:t>，以便评标委员会在评标时，点击评分项，可直接定位到该评分项内容</w:t>
      </w:r>
      <w:r>
        <w:rPr>
          <w:rFonts w:hint="eastAsia" w:ascii="宋体" w:hAnsi="宋体" w:eastAsia="宋体" w:cs="宋体"/>
          <w:color w:val="auto"/>
          <w:kern w:val="0"/>
          <w:sz w:val="24"/>
          <w:szCs w:val="24"/>
          <w:highlight w:val="none"/>
        </w:rPr>
        <w:t>。未设置或设置错误导致投标文件被误读、漏读或者</w:t>
      </w:r>
      <w:r>
        <w:rPr>
          <w:rFonts w:hint="eastAsia" w:ascii="宋体" w:hAnsi="宋体" w:eastAsia="宋体" w:cs="宋体"/>
          <w:snapToGrid w:val="0"/>
          <w:color w:val="auto"/>
          <w:kern w:val="0"/>
          <w:sz w:val="24"/>
          <w:szCs w:val="24"/>
          <w:highlight w:val="none"/>
        </w:rPr>
        <w:t>在按采购文件规定的部分查找不到相关内容的，是投标人的责任</w:t>
      </w:r>
      <w:r>
        <w:rPr>
          <w:rFonts w:hint="eastAsia" w:ascii="宋体" w:hAnsi="宋体" w:eastAsia="宋体" w:cs="宋体"/>
          <w:color w:val="auto"/>
          <w:kern w:val="0"/>
          <w:sz w:val="24"/>
          <w:szCs w:val="24"/>
          <w:highlight w:val="none"/>
        </w:rPr>
        <w:t>。</w:t>
      </w:r>
    </w:p>
    <w:p w14:paraId="016A927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7.3投标文件所提供的相关材料的尺寸和清晰度应该能够在电脑上被阅读、识别和判断。投标文件内容无法阅读、识别和判断的，视为未提供。</w:t>
      </w:r>
    </w:p>
    <w:p w14:paraId="47F3C9E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7.4</w:t>
      </w:r>
      <w:r>
        <w:rPr>
          <w:rFonts w:hint="eastAsia" w:ascii="宋体" w:hAnsi="宋体" w:eastAsia="宋体" w:cs="宋体"/>
          <w:snapToGrid w:val="0"/>
          <w:color w:val="auto"/>
          <w:kern w:val="0"/>
          <w:sz w:val="24"/>
          <w:szCs w:val="24"/>
          <w:highlight w:val="none"/>
        </w:rPr>
        <w:t>如对采购文件的某项要求，投标人的投标文件未能提供相应的内容与其对应。则由此产生的评分影响由投标人自行承担。</w:t>
      </w:r>
    </w:p>
    <w:p w14:paraId="10E672D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7.5投标人编制投标文件过程中，资格文件和商务技术文件部分不得出现本项目投标报价，如因投标人原因提前泄露投标报价，是投标人的责任。</w:t>
      </w:r>
    </w:p>
    <w:p w14:paraId="695C33FD">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8、投标文件的语言、计量单位、形式及效力</w:t>
      </w:r>
    </w:p>
    <w:p w14:paraId="7D6E7488">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8.1语言及计量单位</w:t>
      </w:r>
    </w:p>
    <w:p w14:paraId="5AA5B33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19BAA7E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8.1.2 除采购文件另有规定外，投标文件所使用的计量单位，均须采用中华人民共和国法定计量单位，否则视同未响应。</w:t>
      </w:r>
    </w:p>
    <w:p w14:paraId="69B2BF14">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8.2投标文件的形式和效力</w:t>
      </w:r>
    </w:p>
    <w:p w14:paraId="5EAEC9DF">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8.2.1投标文件为电子投标文件，电子投标文件按“</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投标人项目采购-电子招投标操作指南”及本采购文件要求制作、加密传输。</w:t>
      </w:r>
    </w:p>
    <w:p w14:paraId="65B7CF57">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8.2.2投标文件未在投标截止时间前完成传输的，视为未按时递交投标文件；投标文件未按时解密，视为投标文件撤回。</w:t>
      </w:r>
    </w:p>
    <w:p w14:paraId="6BC052BF">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9、投标文件构成</w:t>
      </w:r>
    </w:p>
    <w:p w14:paraId="3E48B72D">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投标人向采购人递交的投标文件均由</w:t>
      </w:r>
      <w:r>
        <w:rPr>
          <w:rFonts w:hint="eastAsia" w:ascii="宋体" w:hAnsi="宋体" w:eastAsia="宋体" w:cs="宋体"/>
          <w:b/>
          <w:bCs/>
          <w:snapToGrid w:val="0"/>
          <w:color w:val="auto"/>
          <w:kern w:val="0"/>
          <w:sz w:val="24"/>
          <w:szCs w:val="24"/>
          <w:highlight w:val="none"/>
        </w:rPr>
        <w:t>资格投标文件、商务技术投标文件、报价投标文件</w:t>
      </w:r>
      <w:r>
        <w:rPr>
          <w:rFonts w:hint="eastAsia" w:ascii="宋体" w:hAnsi="宋体" w:eastAsia="宋体" w:cs="宋体"/>
          <w:snapToGrid w:val="0"/>
          <w:color w:val="auto"/>
          <w:kern w:val="0"/>
          <w:sz w:val="24"/>
          <w:szCs w:val="24"/>
          <w:highlight w:val="none"/>
        </w:rPr>
        <w:t>组成，具体内容如下：</w:t>
      </w:r>
    </w:p>
    <w:p w14:paraId="129F2AF2">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9.1资格投标文件</w:t>
      </w:r>
    </w:p>
    <w:p w14:paraId="773CF4E4">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1D116458">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9.2 商务技术投标文件</w:t>
      </w:r>
    </w:p>
    <w:p w14:paraId="150859B3">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34433F11">
      <w:pPr>
        <w:keepNext w:val="0"/>
        <w:keepLines w:val="0"/>
        <w:pageBreakBefore w:val="0"/>
        <w:widowControl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9.3报价投标文件</w:t>
      </w:r>
    </w:p>
    <w:p w14:paraId="13C76BC1">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674E13AB">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注：电子投标文件中所有加盖公章均采用CA签章。</w:t>
      </w:r>
    </w:p>
    <w:p w14:paraId="681A868C">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10、投标函</w:t>
      </w:r>
    </w:p>
    <w:p w14:paraId="6D089718">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 投标人应完整地填写采购文件中提供的投标函和投标相关附件。</w:t>
      </w:r>
    </w:p>
    <w:p w14:paraId="46B5764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 投标文件应当对采购文件中有关投标有效期、采购需求等实质性内容作出响应。投标人在满足采购文件实质性要求的基础上，可以提出比采购文件要求更有利于采购人的承诺。</w:t>
      </w:r>
    </w:p>
    <w:p w14:paraId="368AB5F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11、投标报价</w:t>
      </w:r>
    </w:p>
    <w:p w14:paraId="1E89D391">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11.1投标报价是履行合同的最终价格，</w:t>
      </w:r>
      <w:r>
        <w:rPr>
          <w:rFonts w:hint="eastAsia" w:ascii="宋体" w:hAnsi="宋体" w:eastAsia="宋体" w:cs="宋体"/>
          <w:b w:val="0"/>
          <w:bCs w:val="0"/>
          <w:color w:val="auto"/>
          <w:kern w:val="2"/>
          <w:sz w:val="24"/>
          <w:szCs w:val="24"/>
          <w:highlight w:val="none"/>
          <w:lang w:val="en-US" w:eastAsia="zh-CN" w:bidi="ar-SA"/>
        </w:rPr>
        <w:t>应包括货款、标准附件、备品备件（含满足使用要求的所有配件）、包装、制造、运输、二次搬运费、装卸、保险、管理费、利润、规费、税金、货到就位以及安装、工期、安全、文明施工、调试、培训、保修、验收监测、购买及制作标书费、招标代理费等其他一切税费，如有漏项，视同已包含在整个项目中，合同总价和单价不做调整。合同价款结算时中标人须开具增值税专用发票。</w:t>
      </w:r>
    </w:p>
    <w:p w14:paraId="6AF91C8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完成本项目所涉及的一切费用由投标人承担。费用清单需详细列明，不详细的部分采购人有权按最好效果、最高标准执行。</w:t>
      </w:r>
    </w:p>
    <w:p w14:paraId="575CC49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11.2</w:t>
      </w:r>
      <w:r>
        <w:rPr>
          <w:rFonts w:hint="eastAsia" w:ascii="宋体" w:hAnsi="宋体" w:eastAsia="宋体" w:cs="宋体"/>
          <w:snapToGrid w:val="0"/>
          <w:color w:val="auto"/>
          <w:kern w:val="0"/>
          <w:sz w:val="24"/>
          <w:szCs w:val="24"/>
          <w:highlight w:val="none"/>
        </w:rPr>
        <w:t>投标人应认真计算可能发生的各相关费用并计入报价内，在项目实施过程中不得藉此要求增加任何费用，并不得出现选择性的报价。</w:t>
      </w:r>
    </w:p>
    <w:p w14:paraId="582B7CC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11.3本项目只允许一次报价，不允许以开标后调整的报价作为评标的依据（但按本采购文件投标须知投标文件错误的修正并经评标委员会认定或经投标人确认同意的除外）。</w:t>
      </w:r>
    </w:p>
    <w:p w14:paraId="1DD8BEB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11.4其它需在报价中考虑的因素：</w:t>
      </w:r>
    </w:p>
    <w:p w14:paraId="6888755B">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1）</w:t>
      </w:r>
      <w:r>
        <w:rPr>
          <w:rFonts w:hint="eastAsia" w:ascii="宋体" w:hAnsi="宋体" w:eastAsia="宋体" w:cs="宋体"/>
          <w:b/>
          <w:snapToGrid w:val="0"/>
          <w:color w:val="auto"/>
          <w:kern w:val="0"/>
          <w:sz w:val="24"/>
          <w:szCs w:val="24"/>
          <w:highlight w:val="none"/>
        </w:rPr>
        <w:t>招标内容及需求中明确的需投标人承担的费用均应含在投标总价中；</w:t>
      </w:r>
    </w:p>
    <w:p w14:paraId="4EAC87A6">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采购文件未明示但投标人认为可能产生的潜在费用支出均需自行考虑并计入投</w:t>
      </w:r>
    </w:p>
    <w:p w14:paraId="6351172B">
      <w:pPr>
        <w:pageBreakBefore w:val="0"/>
        <w:numPr>
          <w:ilvl w:val="0"/>
          <w:numId w:val="0"/>
        </w:numPr>
        <w:tabs>
          <w:tab w:val="left" w:pos="993"/>
        </w:tabs>
        <w:kinsoku/>
        <w:wordWrap/>
        <w:overflowPunct/>
        <w:topLinePunct w:val="0"/>
        <w:bidi w:val="0"/>
        <w:adjustRightInd w:val="0"/>
        <w:snapToGrid w:val="0"/>
        <w:spacing w:line="40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rPr>
        <w:t>标总价中；</w:t>
      </w:r>
    </w:p>
    <w:p w14:paraId="6D220BA8">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0C52817C">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12、投标货币</w:t>
      </w:r>
    </w:p>
    <w:p w14:paraId="35DF8EC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投标人用人民币报价。</w:t>
      </w:r>
    </w:p>
    <w:p w14:paraId="21EF2372">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13、投标保证金</w:t>
      </w:r>
    </w:p>
    <w:p w14:paraId="3849923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13.1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590000元</w:t>
      </w:r>
      <w:r>
        <w:rPr>
          <w:rFonts w:hint="eastAsia" w:ascii="宋体" w:hAnsi="宋体" w:eastAsia="宋体" w:cs="宋体"/>
          <w:color w:val="auto"/>
          <w:sz w:val="24"/>
          <w:szCs w:val="24"/>
          <w:highlight w:val="none"/>
        </w:rPr>
        <w:t>,应按《公开招标公告》第四条规定交纳。</w:t>
      </w:r>
    </w:p>
    <w:p w14:paraId="25F596DB">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13.2 保证金形式：</w:t>
      </w:r>
      <w:r>
        <w:rPr>
          <w:rFonts w:hint="eastAsia" w:ascii="宋体" w:hAnsi="宋体" w:eastAsia="宋体" w:cs="宋体"/>
          <w:color w:val="auto"/>
          <w:sz w:val="24"/>
          <w:szCs w:val="24"/>
          <w:highlight w:val="none"/>
          <w:u w:val="single"/>
        </w:rPr>
        <w:t>银行电汇、转账</w:t>
      </w:r>
      <w:r>
        <w:rPr>
          <w:rFonts w:hint="eastAsia" w:ascii="宋体" w:hAnsi="宋体" w:eastAsia="宋体" w:cs="宋体"/>
          <w:color w:val="auto"/>
          <w:sz w:val="24"/>
          <w:szCs w:val="24"/>
          <w:highlight w:val="none"/>
          <w:u w:val="single"/>
          <w:lang w:eastAsia="zh-CN"/>
        </w:rPr>
        <w:t>、保函</w:t>
      </w:r>
    </w:p>
    <w:p w14:paraId="24F74D98">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13.3未中标人的投标保证金在中标通知书发出后5个工作日内，本</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以电汇或转账方式退还投标保证金；</w:t>
      </w:r>
    </w:p>
    <w:p w14:paraId="5752E7F7">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rPr>
        <w:t>的投标保证金在采购合同签订后5个工作日内，本</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以电汇或转账方式退还投标保证金；</w:t>
      </w:r>
    </w:p>
    <w:p w14:paraId="73248C71">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13.5保证金不计息。</w:t>
      </w:r>
    </w:p>
    <w:p w14:paraId="60EAEA3A">
      <w:pPr>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snapToGrid w:val="0"/>
          <w:color w:val="auto"/>
          <w:kern w:val="0"/>
          <w:sz w:val="24"/>
          <w:szCs w:val="24"/>
          <w:highlight w:val="none"/>
        </w:rPr>
        <w:t>13.6</w:t>
      </w:r>
      <w:r>
        <w:rPr>
          <w:rFonts w:hint="eastAsia" w:ascii="宋体" w:hAnsi="宋体" w:eastAsia="宋体" w:cs="宋体"/>
          <w:b/>
          <w:color w:val="auto"/>
          <w:sz w:val="24"/>
          <w:szCs w:val="24"/>
          <w:highlight w:val="none"/>
        </w:rPr>
        <w:t>投标人有下列情形之一的，投标保证金将不予退还：</w:t>
      </w:r>
    </w:p>
    <w:p w14:paraId="79D18E52">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13.6.1投标人在投标有效期内撤回投标文件的；</w:t>
      </w:r>
    </w:p>
    <w:p w14:paraId="7C523B4D">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13.6.2未按规定提交履约保证金的；</w:t>
      </w:r>
    </w:p>
    <w:p w14:paraId="5982C8A5">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13.6.3投标人在投标过程中弄虚作假，提供虚假材料的；</w:t>
      </w:r>
    </w:p>
    <w:p w14:paraId="78BFA638">
      <w:pPr>
        <w:pageBreakBefore w:val="0"/>
        <w:kinsoku/>
        <w:wordWrap/>
        <w:overflowPunct/>
        <w:topLinePunct w:val="0"/>
        <w:bidi w:val="0"/>
        <w:snapToGrid w:val="0"/>
        <w:spacing w:line="400" w:lineRule="exact"/>
        <w:ind w:left="0" w:leftChars="0"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13.6.4中标人无正当理由不与采购人签订合同的；</w:t>
      </w:r>
    </w:p>
    <w:p w14:paraId="34D17972">
      <w:pPr>
        <w:pageBreakBefore w:val="0"/>
        <w:kinsoku/>
        <w:wordWrap/>
        <w:overflowPunct/>
        <w:topLinePunct w:val="0"/>
        <w:bidi w:val="0"/>
        <w:snapToGrid w:val="0"/>
        <w:spacing w:line="400" w:lineRule="exact"/>
        <w:ind w:left="0" w:leftChars="0"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13.6.5</w:t>
      </w:r>
      <w:r>
        <w:rPr>
          <w:rFonts w:hint="eastAsia" w:ascii="宋体" w:hAnsi="宋体" w:eastAsia="宋体" w:cs="宋体"/>
          <w:bCs/>
          <w:color w:val="auto"/>
          <w:sz w:val="24"/>
          <w:szCs w:val="24"/>
          <w:highlight w:val="none"/>
        </w:rPr>
        <w:t>将中标项目转让给他人或者在投标文件中未说明且未经招标采购单位同意，将中标项目分包给他人的；</w:t>
      </w:r>
    </w:p>
    <w:p w14:paraId="116DB2DC">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13.6.6拒绝履行合同义务的；</w:t>
      </w:r>
    </w:p>
    <w:p w14:paraId="3BE1E5A0">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13.6.7其他严重扰乱招投标程序的。</w:t>
      </w:r>
    </w:p>
    <w:p w14:paraId="3CCB66A4">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14、投标有效期</w:t>
      </w:r>
    </w:p>
    <w:p w14:paraId="53D7BE4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 投标文件在开标之日起90个日历天内有效。</w:t>
      </w:r>
    </w:p>
    <w:p w14:paraId="07D8CB1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009E275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14.3 中标人的投标文件自开标之日起至合同履行完毕止均应保持有效。</w:t>
      </w:r>
    </w:p>
    <w:p w14:paraId="7BC8EF10">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15、投标文件的式样</w:t>
      </w:r>
    </w:p>
    <w:p w14:paraId="1BAEEFD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 投标人通过“</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”平台制作电子投标文件，投标文件制作详见“投标人-政府采购项目电子交易操作指南”。</w:t>
      </w:r>
    </w:p>
    <w:p w14:paraId="70E3550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15.2 投标文件是电子投标文件，包括“电子加密投标文件”和“备份投标文件”，在投标文件编制完成后同时生成。</w:t>
      </w:r>
    </w:p>
    <w:p w14:paraId="2B8933C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（1）“电子加密投标文件”是指通过“</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电子交易客户端”完成投标文件编制后生成并加密的数据电文形式的投标文件。</w:t>
      </w:r>
    </w:p>
    <w:p w14:paraId="0C4AE00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（2）“备份投标文件”是指与“电子加密投标文件”同时生成的数据电文形式的电子文件（备份标书，用于投标人标书解密异常时应急使用），其他方式编制的备份投标文件视为无效备份投标文件。</w:t>
      </w:r>
    </w:p>
    <w:p w14:paraId="3797C7E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（3）一份电子加密标书（后缀格式为.jmbs），一份备份标书文件（后缀格式为.bfbs）</w:t>
      </w:r>
    </w:p>
    <w:p w14:paraId="5B53F05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（4）每份电子投标文件应包括资格投标文件、商务技术投标文件、报价投标文件三部分内容。</w:t>
      </w:r>
    </w:p>
    <w:p w14:paraId="7C872DC2">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73" w:name="_Toc16919"/>
      <w:bookmarkStart w:id="74" w:name="_Toc26484"/>
      <w:bookmarkStart w:id="75" w:name="_Toc240450080"/>
      <w:bookmarkStart w:id="76" w:name="_Toc20807"/>
      <w:bookmarkStart w:id="77" w:name="_Toc12754"/>
      <w:bookmarkStart w:id="78" w:name="_Toc20353"/>
      <w:bookmarkStart w:id="79" w:name="_Toc1575"/>
      <w:bookmarkStart w:id="80" w:name="_Toc3215"/>
      <w:bookmarkStart w:id="81" w:name="_Toc11108"/>
      <w:bookmarkStart w:id="82" w:name="_Toc26095"/>
      <w:bookmarkStart w:id="83" w:name="_Toc13781"/>
      <w:bookmarkStart w:id="84" w:name="_Toc7693"/>
      <w:bookmarkStart w:id="85" w:name="_Toc28870"/>
      <w:bookmarkStart w:id="86" w:name="_Toc14098"/>
      <w:bookmarkStart w:id="87" w:name="_Toc22768"/>
      <w:bookmarkStart w:id="88" w:name="_Toc251566653"/>
      <w:bookmarkStart w:id="89" w:name="_Toc3239"/>
      <w:r>
        <w:rPr>
          <w:rFonts w:hint="eastAsia" w:ascii="宋体" w:hAnsi="宋体" w:eastAsia="宋体" w:cs="宋体"/>
          <w:color w:val="auto"/>
          <w:sz w:val="24"/>
          <w:szCs w:val="24"/>
          <w:highlight w:val="none"/>
        </w:rPr>
        <w:t>四、投标文件的递交</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43CA6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16、投标文件的递交</w:t>
      </w:r>
    </w:p>
    <w:p w14:paraId="6E5EA6A1">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电子加密投标文件：投标文件制作完成并生成加密标书，在投标截止时间前，投标人需将加密的投标文件上传至</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平台，在开标时间开始后30分钟内（以电子交易平台设定的时间为准），登录“</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-项目采购-开标评标”功能进行解密投标文件（为防止解密失败，建议采用制作投标文件的电脑进行解密）。</w:t>
      </w:r>
    </w:p>
    <w:p w14:paraId="390ECC16">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a.投标人在投标截止时间前未能成功上传或未按要求上传电子加密投标文件的，作投标无效处理。</w:t>
      </w:r>
    </w:p>
    <w:p w14:paraId="69CF3F94">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b.投标人成功上传电子加密投标文件后，可自行打印投标文件接收回执。</w:t>
      </w:r>
    </w:p>
    <w:p w14:paraId="4AF6B0D4">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14:paraId="22550AA8">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14:paraId="55E52F50">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”成功上传递交的“电子加密投标文件”已按时解密的，“备份投标文件”自动失效。</w:t>
      </w:r>
    </w:p>
    <w:p w14:paraId="0C4AA131">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p w14:paraId="685E1BB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17、投标截止期</w:t>
      </w:r>
    </w:p>
    <w:p w14:paraId="0808954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17.1 投标人应按前附表规定的日期、时间和方式上传/递交投标文件。</w:t>
      </w:r>
    </w:p>
    <w:p w14:paraId="0720A2F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17.2 采购人可以按本须知第6条规定，通过修改采购文件适当延长投标截止日期。在此情况下，采购人与投标人受投标截止期制约的所有权利和义务均应延长至新的截止期。</w:t>
      </w:r>
    </w:p>
    <w:p w14:paraId="2461510F">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18、迟交的投标文件</w:t>
      </w:r>
    </w:p>
    <w:p w14:paraId="2168FD9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投标截止时间后收到的任何投标文件，采购人将不予接收。</w:t>
      </w:r>
    </w:p>
    <w:p w14:paraId="2C1AABB2">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19、投标文件的修改与撤回</w:t>
      </w:r>
    </w:p>
    <w:p w14:paraId="625AF10D">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19.1 投标人在递交投标文件后，在规定的投标截止时间前，</w:t>
      </w:r>
      <w:r>
        <w:rPr>
          <w:rFonts w:hint="eastAsia" w:ascii="宋体" w:hAnsi="宋体" w:eastAsia="宋体" w:cs="宋体"/>
          <w:color w:val="auto"/>
          <w:sz w:val="24"/>
          <w:szCs w:val="24"/>
          <w:highlight w:val="none"/>
        </w:rPr>
        <w:t>可以补充、修改或者撤回电子加密投标文件。补充或者修改电子加密投标文件的，应当先行撤回原文件，补充、修改后重新传输递交。投标截止时间前未完成传输的，视为投标文件撤回，投标无效。</w:t>
      </w:r>
    </w:p>
    <w:p w14:paraId="7883736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19.2 在投标截止期之后，投标人不得对其投标作任何修改。</w:t>
      </w:r>
    </w:p>
    <w:p w14:paraId="43573C6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19.3 从投标截止期至投标人在投标函格式中确定的投标有效期期满这段时间内，投标人不得撤回其投标。</w:t>
      </w:r>
    </w:p>
    <w:p w14:paraId="0A903E85">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90" w:name="_Toc24492"/>
      <w:bookmarkStart w:id="91" w:name="_Toc240450081"/>
      <w:bookmarkStart w:id="92" w:name="_Toc4741"/>
      <w:bookmarkStart w:id="93" w:name="_Toc9592"/>
      <w:bookmarkStart w:id="94" w:name="_Toc10409"/>
      <w:bookmarkStart w:id="95" w:name="_Toc30685"/>
      <w:bookmarkStart w:id="96" w:name="_Toc32738"/>
      <w:bookmarkStart w:id="97" w:name="_Toc31224"/>
      <w:bookmarkStart w:id="98" w:name="_Toc208"/>
      <w:bookmarkStart w:id="99" w:name="_Toc12982"/>
      <w:bookmarkStart w:id="100" w:name="_Toc14566"/>
      <w:bookmarkStart w:id="101" w:name="_Toc18527"/>
      <w:bookmarkStart w:id="102" w:name="_Toc2206"/>
      <w:bookmarkStart w:id="103" w:name="_Toc13578"/>
      <w:bookmarkStart w:id="104" w:name="_Toc251566654"/>
      <w:bookmarkStart w:id="105" w:name="_Toc20041"/>
      <w:bookmarkStart w:id="106" w:name="_Toc27389"/>
      <w:r>
        <w:rPr>
          <w:rFonts w:hint="eastAsia" w:ascii="宋体" w:hAnsi="宋体" w:eastAsia="宋体" w:cs="宋体"/>
          <w:color w:val="auto"/>
          <w:sz w:val="24"/>
          <w:szCs w:val="24"/>
          <w:highlight w:val="none"/>
        </w:rPr>
        <w:t>五、开标与评标</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7D975A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20、开标</w:t>
      </w:r>
    </w:p>
    <w:p w14:paraId="6545E16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20.1 采购人将于前附表规定的时间和地点公开开标。若采购人按本须知第6条规定，通过修改采购文件更改了开标时间和地点的，以后者为准。</w:t>
      </w:r>
    </w:p>
    <w:p w14:paraId="5390262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20.2开评标期间，投标人代表应在线操作，并关注</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有关信息公布、澄清等情况。投标人代表不参加开标程序的，事后不得对采购相关人员、开标过程和开标结果提出异议。</w:t>
      </w:r>
    </w:p>
    <w:p w14:paraId="4371A22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20.3 开评标程序</w:t>
      </w:r>
    </w:p>
    <w:p w14:paraId="5AB7F49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”，并成功解密后，“电子加密投标文件”自动失效；</w:t>
      </w:r>
    </w:p>
    <w:p w14:paraId="437507D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（2）结束解密后，投标人通过邮件形式将经授权代表签署的《采购活动现场确认声明书》（格式见采购文件第七部分，采购文件最后一页内容）扫描件发至代理机构经办人邮箱（邮箱地址：</w:t>
      </w:r>
      <w:r>
        <w:rPr>
          <w:rStyle w:val="53"/>
          <w:rFonts w:hint="eastAsia" w:ascii="宋体" w:hAnsi="宋体" w:eastAsia="宋体" w:cs="宋体"/>
          <w:color w:val="auto"/>
          <w:sz w:val="24"/>
          <w:szCs w:val="24"/>
          <w:highlight w:val="none"/>
        </w:rPr>
        <w:t>524416712</w:t>
      </w:r>
      <w:r>
        <w:rPr>
          <w:rFonts w:hint="eastAsia" w:ascii="宋体" w:hAnsi="宋体" w:eastAsia="宋体" w:cs="宋体"/>
          <w:color w:val="auto"/>
          <w:sz w:val="24"/>
          <w:szCs w:val="24"/>
          <w:highlight w:val="none"/>
        </w:rPr>
        <w:t>@qq.com）；</w:t>
      </w:r>
    </w:p>
    <w:p w14:paraId="0FCB455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（3）采购代理机构点击【开启标书信息】，开启投标文件成功后进入资格性审查阶段；</w:t>
      </w:r>
    </w:p>
    <w:p w14:paraId="018D510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采购人或采购代理机构将依据法律法规和本须知第9.1条规定对投标人的基本资格条件、特定资格条件进行审查。</w:t>
      </w:r>
    </w:p>
    <w:p w14:paraId="23E2C1F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投标人未按照采购文件投标须知9.1条要求提供与基本资格条件、特定资格条件相应的有效资格材料的，视为投标人不具备采购文件中规定的资格要求，其资格审查不通过。</w:t>
      </w:r>
    </w:p>
    <w:p w14:paraId="5F62A17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（4）符合性检查。依据采购文件的规定，从投标文件的有效性、完整性和对采购文件的响应程度进行审查，以确定是否对采购文件的实质性要求</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响应。具体审查内容见投标须知22条“无效投标的认定”。</w:t>
      </w:r>
    </w:p>
    <w:p w14:paraId="6419416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评标委员会决定投标文件的响应性只根据投标文件本身的内容，而不寻求外部证据。</w:t>
      </w:r>
    </w:p>
    <w:p w14:paraId="1C6A885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如果投标文件没有实质上响应采购文件的要求，评标委员会将判定无效，投标人不得通过修改或撤销不合要求的偏离或保留而使其投标成为实质性响应的投标。</w:t>
      </w:r>
    </w:p>
    <w:p w14:paraId="3F73B70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（5）开启资格审查、符合性审查通过的投标人的商务技术文件进入商务技术评审；</w:t>
      </w:r>
    </w:p>
    <w:p w14:paraId="7819D12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评标委员会按采购文件中规定的评标方法和标准，对资格性检查和符合性检查合格的投标文件进行技术商务审核、讨论及评议。</w:t>
      </w:r>
    </w:p>
    <w:p w14:paraId="0829692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（6）商务技术评审结束后，举行开标程序第二阶段会议。首先通过在线平台公布符合性审查、商务技术评审无效投标人名称及理由；公布经商务技术评审后有效投标人的名单。</w:t>
      </w:r>
    </w:p>
    <w:p w14:paraId="41C5B28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14:paraId="4714C61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（8）按采购文件中规定的评标方法和标准，对投标人进行排序，并推荐中标候选人。</w:t>
      </w:r>
    </w:p>
    <w:p w14:paraId="10E272F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（9）编写评标报告</w:t>
      </w:r>
      <w:r>
        <w:rPr>
          <w:rFonts w:hint="eastAsia" w:ascii="宋体" w:hAnsi="宋体" w:eastAsia="宋体" w:cs="宋体"/>
          <w:bCs/>
          <w:color w:val="auto"/>
          <w:sz w:val="24"/>
          <w:szCs w:val="24"/>
          <w:highlight w:val="none"/>
        </w:rPr>
        <w:t>。</w:t>
      </w:r>
    </w:p>
    <w:p w14:paraId="69256D2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（10）评审结束后，投标人可通过在线平台查看评审结果、排名情况等。</w:t>
      </w:r>
    </w:p>
    <w:p w14:paraId="10EC872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注：①如遇“</w:t>
      </w:r>
      <w:r>
        <w:rPr>
          <w:rFonts w:hint="eastAsia" w:ascii="宋体" w:hAnsi="宋体" w:eastAsia="宋体" w:cs="宋体"/>
          <w:b/>
          <w:bCs/>
          <w:color w:val="auto"/>
          <w:sz w:val="24"/>
          <w:szCs w:val="24"/>
          <w:highlight w:val="none"/>
          <w:lang w:eastAsia="zh-CN"/>
        </w:rPr>
        <w:t>乐采云平台</w:t>
      </w:r>
      <w:r>
        <w:rPr>
          <w:rFonts w:hint="eastAsia" w:ascii="宋体" w:hAnsi="宋体" w:eastAsia="宋体" w:cs="宋体"/>
          <w:b/>
          <w:bCs/>
          <w:color w:val="auto"/>
          <w:sz w:val="24"/>
          <w:szCs w:val="24"/>
          <w:highlight w:val="none"/>
        </w:rPr>
        <w:t>”电子化开标或评审程序调整的，或者</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系统提供数据电文交互功能的，按其规定执行。</w:t>
      </w:r>
    </w:p>
    <w:p w14:paraId="30B1289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②除邮件交互外，如</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平台提供信息发布、澄清说明、数据交换等操作方式的，或者</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系统平台有新的操作流程的，按其规定。</w:t>
      </w:r>
    </w:p>
    <w:p w14:paraId="3110CA0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21、评标</w:t>
      </w:r>
    </w:p>
    <w:p w14:paraId="33FED6C4">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 评标组织</w:t>
      </w:r>
    </w:p>
    <w:p w14:paraId="2282B7B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本项目评标委员会由采购人代表和评审专家组成，成员人数为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或以上单数，其中评审专家不得少于成员总数的三分之二。</w:t>
      </w:r>
    </w:p>
    <w:p w14:paraId="58F80714">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21.2评标纪律</w:t>
      </w:r>
    </w:p>
    <w:p w14:paraId="34C282B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本次评标工作将在严格保密的情况下进行，评标委员会成员名单在定标前将保密。</w:t>
      </w:r>
    </w:p>
    <w:p w14:paraId="543EE6B7">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21.3评标办法</w:t>
      </w:r>
    </w:p>
    <w:p w14:paraId="003B078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采用最低</w:t>
      </w:r>
      <w:r>
        <w:rPr>
          <w:rFonts w:hint="eastAsia" w:ascii="宋体" w:hAnsi="宋体" w:eastAsia="宋体" w:cs="宋体"/>
          <w:color w:val="auto"/>
          <w:sz w:val="24"/>
          <w:szCs w:val="24"/>
          <w:highlight w:val="none"/>
          <w:lang w:eastAsia="zh-CN"/>
        </w:rPr>
        <w:t>评标价法</w:t>
      </w:r>
      <w:r>
        <w:rPr>
          <w:rFonts w:hint="eastAsia" w:ascii="宋体" w:hAnsi="宋体" w:eastAsia="宋体" w:cs="宋体"/>
          <w:color w:val="auto"/>
          <w:sz w:val="24"/>
          <w:szCs w:val="24"/>
          <w:highlight w:val="none"/>
        </w:rPr>
        <w:t>，详见采购文件第五部分“评标办法”。</w:t>
      </w:r>
    </w:p>
    <w:p w14:paraId="6CD0BC19">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21.4 澄清有关问题</w:t>
      </w:r>
    </w:p>
    <w:p w14:paraId="49C7D31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73A6980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投标人的澄清、说明或者补正应当由法定代表人或其授权的代表签字（或加盖公章）后扫描上传提交。</w:t>
      </w:r>
    </w:p>
    <w:p w14:paraId="7B49FD6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授权代表对澄清、说明或者补正内容未签字确认的，将自行承担由此可能导致的对其不利的评审结果，评标委员会按少数服从多数原则对相关内容进行评判。</w:t>
      </w:r>
    </w:p>
    <w:p w14:paraId="2503CF62">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21.5修正原则</w:t>
      </w:r>
    </w:p>
    <w:p w14:paraId="7F01E78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投标文件报价出现前后不一致的，按照下列规定修正：</w:t>
      </w:r>
    </w:p>
    <w:p w14:paraId="050D133A">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投标文件中开标一览表内容与投标文件中相应内容不一致的，以开标一览表为准；</w:t>
      </w:r>
    </w:p>
    <w:p w14:paraId="3A0BE245">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291CA3DC">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单价金额小数点或者百分比有明显错位的，以开标一览表的总价为准，并修改单价；</w:t>
      </w:r>
    </w:p>
    <w:p w14:paraId="3B4A0856">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总价金额与按单价汇总金额不一致的，以单价金额计算结果为准。</w:t>
      </w:r>
    </w:p>
    <w:p w14:paraId="4DB4CD0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68C5B5A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22、无效投标的认定</w:t>
      </w:r>
    </w:p>
    <w:p w14:paraId="1779EB8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1121113">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22.1资格审查（资格审查由采购人或采购代理机构审查）时，如发现下列情形的，投标文件将被视为无效：</w:t>
      </w:r>
    </w:p>
    <w:p w14:paraId="6DA848FE">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资格审查文件不全的或者不符合采购文件标明的资格要求的或不符合相应法律法规规定的。</w:t>
      </w:r>
    </w:p>
    <w:p w14:paraId="1BDCDD84">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未按采购文件中要求签署、盖章的</w:t>
      </w:r>
      <w:r>
        <w:rPr>
          <w:rFonts w:hint="eastAsia" w:ascii="宋体" w:hAnsi="宋体" w:eastAsia="宋体" w:cs="宋体"/>
          <w:bCs/>
          <w:snapToGrid w:val="0"/>
          <w:color w:val="auto"/>
          <w:kern w:val="0"/>
          <w:sz w:val="24"/>
          <w:szCs w:val="24"/>
          <w:highlight w:val="none"/>
          <w:lang w:eastAsia="zh-CN"/>
        </w:rPr>
        <w:t>；</w:t>
      </w:r>
    </w:p>
    <w:p w14:paraId="2D0281C6">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sz w:val="24"/>
          <w:szCs w:val="24"/>
          <w:highlight w:val="none"/>
        </w:rPr>
        <w:t>未按照招标文件的规定提交投标保证金的</w:t>
      </w:r>
      <w:r>
        <w:rPr>
          <w:rFonts w:hint="eastAsia" w:ascii="宋体" w:hAnsi="宋体" w:eastAsia="宋体" w:cs="宋体"/>
          <w:bCs/>
          <w:snapToGrid w:val="0"/>
          <w:color w:val="auto"/>
          <w:kern w:val="0"/>
          <w:sz w:val="24"/>
          <w:szCs w:val="24"/>
          <w:highlight w:val="none"/>
        </w:rPr>
        <w:t>；</w:t>
      </w:r>
    </w:p>
    <w:p w14:paraId="6516B79D">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22.2</w:t>
      </w:r>
      <w:r>
        <w:rPr>
          <w:rFonts w:hint="eastAsia" w:ascii="宋体" w:hAnsi="宋体" w:eastAsia="宋体" w:cs="宋体"/>
          <w:b/>
          <w:bCs/>
          <w:color w:val="auto"/>
          <w:sz w:val="24"/>
          <w:szCs w:val="24"/>
          <w:highlight w:val="none"/>
        </w:rPr>
        <w:t>在</w:t>
      </w:r>
      <w:r>
        <w:rPr>
          <w:rFonts w:hint="eastAsia" w:ascii="宋体" w:hAnsi="宋体" w:eastAsia="宋体" w:cs="宋体"/>
          <w:b/>
          <w:color w:val="auto"/>
          <w:sz w:val="24"/>
          <w:szCs w:val="24"/>
          <w:highlight w:val="none"/>
        </w:rPr>
        <w:t>符合性审查、商务技术、报价评审等时，如发现下列情形之一的，投标文件将被视为无效：</w:t>
      </w:r>
    </w:p>
    <w:p w14:paraId="4333B770">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22.2.1符合性审查</w:t>
      </w:r>
    </w:p>
    <w:p w14:paraId="75C14117">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投标文件中法定代表人授权书所载内容与本项目内容有异的或者法定代表人授权书未按照采购文件要求签署、盖章的；</w:t>
      </w:r>
    </w:p>
    <w:p w14:paraId="5B3A4A8E">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投标文件内容弄虚作假的；</w:t>
      </w:r>
    </w:p>
    <w:p w14:paraId="5571AFAC">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未按采购文件中要求签署、盖章的；</w:t>
      </w:r>
    </w:p>
    <w:p w14:paraId="40C106E0">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投标文件的实质性内容未使用中文表述、意思表述不明确、前后矛盾或者使用计量单位不符合招标文件要求的（经评标委员会认定并允许其当场更正的笔误除外）。</w:t>
      </w:r>
    </w:p>
    <w:p w14:paraId="7FC8470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8</w:t>
      </w:r>
      <w:r>
        <w:rPr>
          <w:rFonts w:hint="eastAsia" w:ascii="宋体" w:hAnsi="宋体" w:eastAsia="宋体" w:cs="宋体"/>
          <w:bCs/>
          <w:snapToGrid w:val="0"/>
          <w:color w:val="auto"/>
          <w:kern w:val="0"/>
          <w:sz w:val="24"/>
          <w:szCs w:val="24"/>
          <w:highlight w:val="none"/>
        </w:rPr>
        <w:t>）存在法律、法规规定及采购文件规定的其它无效情形的。</w:t>
      </w:r>
    </w:p>
    <w:p w14:paraId="158E0CCF">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22.2.2商务技术审查</w:t>
      </w:r>
    </w:p>
    <w:p w14:paraId="6B66635A">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9</w:t>
      </w:r>
      <w:r>
        <w:rPr>
          <w:rFonts w:hint="eastAsia" w:ascii="宋体" w:hAnsi="宋体" w:eastAsia="宋体" w:cs="宋体"/>
          <w:bCs/>
          <w:snapToGrid w:val="0"/>
          <w:color w:val="auto"/>
          <w:kern w:val="0"/>
          <w:sz w:val="24"/>
          <w:szCs w:val="24"/>
          <w:highlight w:val="none"/>
        </w:rPr>
        <w:t>）投标有效期、交货时间、质保期</w:t>
      </w:r>
      <w:r>
        <w:rPr>
          <w:rFonts w:hint="eastAsia" w:ascii="宋体" w:hAnsi="宋体" w:eastAsia="宋体" w:cs="宋体"/>
          <w:bCs/>
          <w:snapToGrid w:val="0"/>
          <w:color w:val="auto"/>
          <w:kern w:val="0"/>
          <w:sz w:val="24"/>
          <w:szCs w:val="24"/>
          <w:highlight w:val="none"/>
          <w:lang w:eastAsia="zh-CN"/>
        </w:rPr>
        <w:t>、付款方式</w:t>
      </w:r>
      <w:r>
        <w:rPr>
          <w:rFonts w:hint="eastAsia" w:ascii="宋体" w:hAnsi="宋体" w:eastAsia="宋体" w:cs="宋体"/>
          <w:bCs/>
          <w:snapToGrid w:val="0"/>
          <w:color w:val="auto"/>
          <w:kern w:val="0"/>
          <w:sz w:val="24"/>
          <w:szCs w:val="24"/>
          <w:highlight w:val="none"/>
        </w:rPr>
        <w:t>等条款不能满足采购文件要求的；</w:t>
      </w:r>
    </w:p>
    <w:p w14:paraId="635143E4">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10</w:t>
      </w:r>
      <w:r>
        <w:rPr>
          <w:rFonts w:hint="eastAsia" w:ascii="宋体" w:hAnsi="宋体" w:eastAsia="宋体" w:cs="宋体"/>
          <w:bCs/>
          <w:snapToGrid w:val="0"/>
          <w:color w:val="auto"/>
          <w:kern w:val="0"/>
          <w:sz w:val="24"/>
          <w:szCs w:val="24"/>
          <w:highlight w:val="none"/>
        </w:rPr>
        <w:t>）投标文件缺少实质性内容或实质性内容不能满足采购文件要求的；</w:t>
      </w:r>
    </w:p>
    <w:p w14:paraId="7F22711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11</w:t>
      </w:r>
      <w:r>
        <w:rPr>
          <w:rFonts w:hint="eastAsia" w:ascii="宋体" w:hAnsi="宋体" w:eastAsia="宋体" w:cs="宋体"/>
          <w:bCs/>
          <w:snapToGrid w:val="0"/>
          <w:color w:val="auto"/>
          <w:kern w:val="0"/>
          <w:sz w:val="24"/>
          <w:szCs w:val="24"/>
          <w:highlight w:val="none"/>
        </w:rPr>
        <w:t>）在技术商务标中出现投标报价的；</w:t>
      </w:r>
    </w:p>
    <w:p w14:paraId="37737741">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）明显不符合招标文件要求的规格型号、质量标准，或者与招标文件中标“▲”的技术指标、主要功能项目发生实质性偏离的；</w:t>
      </w:r>
    </w:p>
    <w:p w14:paraId="0319E914">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）允许偏离的技术、性能指标或者辅助功能项目发生负偏离，评委认为偏离整个项目所要达到的主要功能需求的；</w:t>
      </w:r>
    </w:p>
    <w:p w14:paraId="40A2D343">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4</w:t>
      </w:r>
      <w:r>
        <w:rPr>
          <w:rFonts w:hint="eastAsia" w:ascii="宋体" w:hAnsi="宋体" w:eastAsia="宋体" w:cs="宋体"/>
          <w:bCs/>
          <w:snapToGrid w:val="0"/>
          <w:color w:val="auto"/>
          <w:kern w:val="0"/>
          <w:sz w:val="24"/>
          <w:szCs w:val="24"/>
          <w:highlight w:val="none"/>
        </w:rPr>
        <w:t>）技术标投标规格、数量等与招标需求中规格、数量等不一致的；</w:t>
      </w:r>
    </w:p>
    <w:p w14:paraId="240C203B">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rPr>
        <w:t>）投标技术方案不明确，存在一个或一个以上备选（替代）投标方案的；</w:t>
      </w:r>
    </w:p>
    <w:p w14:paraId="7ABF53AC">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rPr>
        <w:t>）投标货物的技术规范、技术标准明显不符合国家强制性要求的。</w:t>
      </w:r>
    </w:p>
    <w:p w14:paraId="0EDDE97E">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rPr>
        <w:t>）存在法律、法规规定及采购文件规定的其它无效情形的。</w:t>
      </w:r>
    </w:p>
    <w:p w14:paraId="211CF7AA">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22.2.3报价审查</w:t>
      </w:r>
    </w:p>
    <w:p w14:paraId="041B04B6">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8</w:t>
      </w:r>
      <w:r>
        <w:rPr>
          <w:rFonts w:hint="eastAsia" w:ascii="宋体" w:hAnsi="宋体" w:eastAsia="宋体" w:cs="宋体"/>
          <w:bCs/>
          <w:snapToGrid w:val="0"/>
          <w:color w:val="auto"/>
          <w:kern w:val="0"/>
          <w:sz w:val="24"/>
          <w:szCs w:val="24"/>
          <w:highlight w:val="none"/>
        </w:rPr>
        <w:t>）开标一览表投标报价为零的（包括投标文件中标明：免费或赠予）或其报价（大写）无法按正常书写方式进行报价唱标的或无投标报价的；</w:t>
      </w:r>
    </w:p>
    <w:p w14:paraId="7417FC6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9</w:t>
      </w:r>
      <w:r>
        <w:rPr>
          <w:rFonts w:hint="eastAsia" w:ascii="宋体" w:hAnsi="宋体" w:eastAsia="宋体" w:cs="宋体"/>
          <w:bCs/>
          <w:snapToGrid w:val="0"/>
          <w:color w:val="auto"/>
          <w:kern w:val="0"/>
          <w:sz w:val="24"/>
          <w:szCs w:val="24"/>
          <w:highlight w:val="none"/>
        </w:rPr>
        <w:t>）投标人提交两份或多份内容不同的报价投标文件，或在一份报价投标文件中对同一内容报有两个或多个报价，且未声明哪一个为最终报价的；</w:t>
      </w:r>
    </w:p>
    <w:p w14:paraId="50FA2447">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20</w:t>
      </w:r>
      <w:r>
        <w:rPr>
          <w:rFonts w:hint="eastAsia" w:ascii="宋体" w:hAnsi="宋体" w:eastAsia="宋体" w:cs="宋体"/>
          <w:bCs/>
          <w:snapToGrid w:val="0"/>
          <w:color w:val="auto"/>
          <w:kern w:val="0"/>
          <w:sz w:val="24"/>
          <w:szCs w:val="24"/>
          <w:highlight w:val="none"/>
        </w:rPr>
        <w:t>）投标人的报价明显低于其他通过符合性审查投标人的报价，有可能影响产品质量或者不能诚信履约，且未能按评标委员会要求在合理的时间内提供书面说明及相关证明材料以证明其报价合理性的；</w:t>
      </w:r>
    </w:p>
    <w:p w14:paraId="5BF6CE28">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21</w:t>
      </w:r>
      <w:r>
        <w:rPr>
          <w:rFonts w:hint="eastAsia" w:ascii="宋体" w:hAnsi="宋体" w:eastAsia="宋体" w:cs="宋体"/>
          <w:bCs/>
          <w:snapToGrid w:val="0"/>
          <w:color w:val="auto"/>
          <w:kern w:val="0"/>
          <w:sz w:val="24"/>
          <w:szCs w:val="24"/>
          <w:highlight w:val="none"/>
        </w:rPr>
        <w:t>）投标报价未包含全部采购内容或超过采购文件中规定的</w:t>
      </w:r>
      <w:r>
        <w:rPr>
          <w:rFonts w:hint="eastAsia" w:ascii="宋体" w:hAnsi="宋体" w:eastAsia="宋体" w:cs="宋体"/>
          <w:bCs/>
          <w:snapToGrid w:val="0"/>
          <w:color w:val="auto"/>
          <w:kern w:val="0"/>
          <w:sz w:val="24"/>
          <w:szCs w:val="24"/>
          <w:highlight w:val="none"/>
          <w:lang w:eastAsia="zh-CN"/>
        </w:rPr>
        <w:t>最高限价</w:t>
      </w:r>
      <w:r>
        <w:rPr>
          <w:rFonts w:hint="eastAsia" w:ascii="宋体" w:hAnsi="宋体" w:eastAsia="宋体" w:cs="宋体"/>
          <w:bCs/>
          <w:snapToGrid w:val="0"/>
          <w:color w:val="auto"/>
          <w:kern w:val="0"/>
          <w:sz w:val="24"/>
          <w:szCs w:val="24"/>
          <w:highlight w:val="none"/>
        </w:rPr>
        <w:t>金额的。</w:t>
      </w:r>
    </w:p>
    <w:p w14:paraId="7E488A15">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）存在法律</w:t>
      </w:r>
      <w:r>
        <w:rPr>
          <w:rFonts w:hint="eastAsia" w:ascii="宋体" w:hAnsi="宋体" w:eastAsia="宋体" w:cs="宋体"/>
          <w:color w:val="auto"/>
          <w:sz w:val="24"/>
          <w:szCs w:val="24"/>
          <w:highlight w:val="none"/>
        </w:rPr>
        <w:t>、法规规定及采购文件规定的其它无效情形的。</w:t>
      </w:r>
    </w:p>
    <w:p w14:paraId="2648D06C">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22.3有下列情形之一的，视为投标人串通投标，其投标无效：</w:t>
      </w:r>
    </w:p>
    <w:p w14:paraId="7CAC9399">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（1）不同投标人的投标文件由同一单位或者个人编制；</w:t>
      </w:r>
    </w:p>
    <w:p w14:paraId="218824B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（2）不同投标人委托同一单位或者个人办理投标事宜；</w:t>
      </w:r>
    </w:p>
    <w:p w14:paraId="6B1711A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（3）不同投标人的投标文件载明的项目管理成员或者联系人员为同一人；</w:t>
      </w:r>
    </w:p>
    <w:p w14:paraId="26CB0F5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（4）不同投标人的投标文件异常一致或者投标报价呈规律性差异；</w:t>
      </w:r>
    </w:p>
    <w:p w14:paraId="7DEF1CD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（5）不同投标人的投标文件相互混装。</w:t>
      </w:r>
    </w:p>
    <w:p w14:paraId="205F182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23、废标</w:t>
      </w:r>
    </w:p>
    <w:p w14:paraId="75312B8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23.1出现下列情形之一的，应予以废标：</w:t>
      </w:r>
    </w:p>
    <w:p w14:paraId="514D320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（1）符合专业条件的投标人或者对采购文件</w:t>
      </w:r>
      <w:r>
        <w:rPr>
          <w:rFonts w:hint="eastAsia" w:ascii="宋体" w:hAnsi="宋体" w:eastAsia="宋体" w:cs="宋体"/>
          <w:snapToGrid w:val="0"/>
          <w:color w:val="auto"/>
          <w:kern w:val="0"/>
          <w:sz w:val="24"/>
          <w:szCs w:val="24"/>
          <w:highlight w:val="none"/>
          <w:lang w:eastAsia="zh-CN"/>
        </w:rPr>
        <w:t>做</w:t>
      </w:r>
      <w:r>
        <w:rPr>
          <w:rFonts w:hint="eastAsia" w:ascii="宋体" w:hAnsi="宋体" w:eastAsia="宋体" w:cs="宋体"/>
          <w:snapToGrid w:val="0"/>
          <w:color w:val="auto"/>
          <w:kern w:val="0"/>
          <w:sz w:val="24"/>
          <w:szCs w:val="24"/>
          <w:highlight w:val="none"/>
        </w:rPr>
        <w:t>实质响应的投标人不足三家的；</w:t>
      </w:r>
    </w:p>
    <w:p w14:paraId="639737C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（2）出现影响采购公正的违法、违规行为的；</w:t>
      </w:r>
    </w:p>
    <w:p w14:paraId="60B441E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（3）所有投标人的报价均超过了采购</w:t>
      </w:r>
      <w:r>
        <w:rPr>
          <w:rFonts w:hint="eastAsia" w:ascii="宋体" w:hAnsi="宋体" w:eastAsia="宋体" w:cs="宋体"/>
          <w:snapToGrid w:val="0"/>
          <w:color w:val="auto"/>
          <w:kern w:val="0"/>
          <w:sz w:val="24"/>
          <w:szCs w:val="24"/>
          <w:highlight w:val="none"/>
          <w:lang w:eastAsia="zh-CN"/>
        </w:rPr>
        <w:t>最高限价</w:t>
      </w:r>
      <w:r>
        <w:rPr>
          <w:rFonts w:hint="eastAsia" w:ascii="宋体" w:hAnsi="宋体" w:eastAsia="宋体" w:cs="宋体"/>
          <w:snapToGrid w:val="0"/>
          <w:color w:val="auto"/>
          <w:kern w:val="0"/>
          <w:sz w:val="24"/>
          <w:szCs w:val="24"/>
          <w:highlight w:val="none"/>
        </w:rPr>
        <w:t>，采购人不能支付的；</w:t>
      </w:r>
    </w:p>
    <w:p w14:paraId="56140F5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（4）因重大变故，采购任务取消的。</w:t>
      </w:r>
    </w:p>
    <w:p w14:paraId="338D487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23.2采购过程中出现以下情形，导致电子交易平台无法正常运行，或者无法保证电子交易的公平、公正和安全时，采购组织机构可中止电子交易活动：</w:t>
      </w:r>
    </w:p>
    <w:p w14:paraId="29FAFD1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（1）电子交易平台发生故障而无法登录访问的； </w:t>
      </w:r>
    </w:p>
    <w:p w14:paraId="6606806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（2）电子交易平台应用或数据库出现错误，不能进行正常操作的；</w:t>
      </w:r>
    </w:p>
    <w:p w14:paraId="7903DD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（3）电子交易平台发现严重安全漏洞，有潜在泄密危险的；</w:t>
      </w:r>
    </w:p>
    <w:p w14:paraId="56F2A18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（4）病毒发作导致不能进行正常操作的； </w:t>
      </w:r>
    </w:p>
    <w:p w14:paraId="196CBEC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（5）其他无法保证电子交易的公平、公正和安全的情况。</w:t>
      </w:r>
    </w:p>
    <w:p w14:paraId="4BB5C0A9">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D086BA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23.3 废标后，采购人应当将废标理由通知所有投标人并重新组织招标；或者经主管部门批准，采取其他方式组织采购。</w:t>
      </w:r>
    </w:p>
    <w:p w14:paraId="2DEFCEF2">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107" w:name="_Toc19398"/>
      <w:bookmarkStart w:id="108" w:name="_Toc1968"/>
      <w:bookmarkStart w:id="109" w:name="_Toc240450082"/>
      <w:bookmarkStart w:id="110" w:name="_Toc26186"/>
      <w:bookmarkStart w:id="111" w:name="_Toc251566655"/>
      <w:bookmarkStart w:id="112" w:name="_Toc5143"/>
      <w:bookmarkStart w:id="113" w:name="_Toc23386"/>
      <w:bookmarkStart w:id="114" w:name="_Toc32681"/>
      <w:bookmarkStart w:id="115" w:name="_Toc14237"/>
      <w:bookmarkStart w:id="116" w:name="_Toc13677"/>
      <w:bookmarkStart w:id="117" w:name="_Toc9328"/>
      <w:bookmarkStart w:id="118" w:name="_Toc23728"/>
      <w:bookmarkStart w:id="119" w:name="_Toc4397"/>
      <w:bookmarkStart w:id="120" w:name="_Toc7306"/>
      <w:bookmarkStart w:id="121" w:name="_Toc9041"/>
      <w:bookmarkStart w:id="122" w:name="_Toc27447"/>
      <w:r>
        <w:rPr>
          <w:rFonts w:hint="eastAsia" w:ascii="宋体" w:hAnsi="宋体" w:eastAsia="宋体" w:cs="宋体"/>
          <w:color w:val="auto"/>
          <w:sz w:val="24"/>
          <w:szCs w:val="24"/>
          <w:highlight w:val="none"/>
        </w:rPr>
        <w:t>六、确定中标人及授予合同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A27438">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24、中标人的确定</w:t>
      </w:r>
    </w:p>
    <w:p w14:paraId="0155A4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24.1 采购代理机构应当自评标结束之日起2个工作日内将评标报告送交采购人。</w:t>
      </w:r>
    </w:p>
    <w:p w14:paraId="5000CD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14:paraId="5C44F75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采购人在收到评标报告5个工作日内未按评标报告推荐的中标候选人顺序确定1名中标人，又不能说明合法理由的，视同按评标报告推荐的顺序确定排名第一的中标候选人为中标人。</w:t>
      </w:r>
    </w:p>
    <w:p w14:paraId="68FD697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采购人或者采购代理机构应当自中标人确定之日起2个工作日内，在浙江政府采购网上公告中标结果，采购文件应当随中标结果同时公告。</w:t>
      </w:r>
    </w:p>
    <w:p w14:paraId="571BC76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中标结果公告内容应当包括采购人及其委托的采购代理机构的名称、地址、联系方式，项目名称和项目编号，中标人名称、地址和中标金额，中标公告期限以及评审专家名单。</w:t>
      </w:r>
    </w:p>
    <w:p w14:paraId="4992DBC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中标结果公告期限为1个工作日。</w:t>
      </w:r>
    </w:p>
    <w:p w14:paraId="634F58B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14:paraId="7E9F41AC">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24.2 除国务院财政部门规定的情形外，采购人、采购代理机构不得以任何理由组织重新评审。采购人、采购代理机构按照规定组织重新评审的，应当书面报告监督管理部门。</w:t>
      </w:r>
    </w:p>
    <w:p w14:paraId="57A7BAB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24.3中标通知书发出后，采购人不得违法改变中标结果，中标人无正当理由不得放弃中标。 </w:t>
      </w:r>
    </w:p>
    <w:p w14:paraId="2A908359">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24.4中标人应为</w:t>
      </w:r>
      <w:r>
        <w:rPr>
          <w:rFonts w:hint="eastAsia" w:ascii="宋体" w:hAnsi="宋体" w:eastAsia="宋体" w:cs="宋体"/>
          <w:b/>
          <w:snapToGrid w:val="0"/>
          <w:color w:val="auto"/>
          <w:kern w:val="0"/>
          <w:sz w:val="24"/>
          <w:szCs w:val="24"/>
          <w:highlight w:val="none"/>
          <w:lang w:eastAsia="zh-CN"/>
        </w:rPr>
        <w:t>乐采云</w:t>
      </w:r>
      <w:r>
        <w:rPr>
          <w:rFonts w:hint="eastAsia" w:ascii="宋体" w:hAnsi="宋体" w:eastAsia="宋体" w:cs="宋体"/>
          <w:b/>
          <w:snapToGrid w:val="0"/>
          <w:color w:val="auto"/>
          <w:kern w:val="0"/>
          <w:sz w:val="24"/>
          <w:szCs w:val="24"/>
          <w:highlight w:val="none"/>
        </w:rPr>
        <w:t>注册投标人，如尚未注册，必须在投标截止前按照《浙江省政府采购投标人注册及诚信管理暂行办法》（浙财采监字［2009］28号）的相关规定，及时办理更新或投标人注册事项。</w:t>
      </w:r>
    </w:p>
    <w:p w14:paraId="6E2910E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25、合同授予</w:t>
      </w:r>
    </w:p>
    <w:p w14:paraId="4E7AB9C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25.1 本项目的合同将授予按本须知第24.1款所确定的中标人。</w:t>
      </w:r>
    </w:p>
    <w:p w14:paraId="509B171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25.2 中标或者中标人拒绝与采购人签订合同的，采购人可以按照评审报告推荐的中标候选人名单排序，确定下一候选人为中标人，也可以重新开展采购活动。</w:t>
      </w:r>
    </w:p>
    <w:p w14:paraId="6542E71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26、签订合同</w:t>
      </w:r>
    </w:p>
    <w:p w14:paraId="6FEF625C">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14:paraId="3311B423">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如中标人为联合体的，由联合体成员各方法定代表人或其授权代表与采购人代表签订</w:t>
      </w:r>
    </w:p>
    <w:p w14:paraId="6AC61141">
      <w:pPr>
        <w:pageBreakBefore w:val="0"/>
        <w:kinsoku/>
        <w:wordWrap/>
        <w:overflowPunct/>
        <w:topLinePunct w:val="0"/>
        <w:bidi w:val="0"/>
        <w:adjustRightInd w:val="0"/>
        <w:snapToGrid w:val="0"/>
        <w:spacing w:line="400" w:lineRule="exact"/>
        <w:ind w:left="0" w:left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合同（本项目不适用）。</w:t>
      </w:r>
    </w:p>
    <w:p w14:paraId="00F491A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14:paraId="3EF07033">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26.3 采购文件、中标人的投标文件及投标修改文件、评标过程中有关澄清文件及经投标人法定代表人或授权代表签字确认的询标回复和承诺及中标通知书均作为合同组成部分。</w:t>
      </w:r>
    </w:p>
    <w:p w14:paraId="3B71BE0C">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27、履约保证金</w:t>
      </w:r>
    </w:p>
    <w:p w14:paraId="6A700D2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履约担保的金额：</w:t>
      </w:r>
      <w:r>
        <w:rPr>
          <w:rFonts w:hint="eastAsia" w:ascii="宋体" w:hAnsi="宋体" w:eastAsia="宋体" w:cs="宋体"/>
          <w:snapToGrid w:val="0"/>
          <w:color w:val="auto"/>
          <w:kern w:val="0"/>
          <w:sz w:val="24"/>
          <w:szCs w:val="24"/>
          <w:highlight w:val="none"/>
          <w:lang w:eastAsia="zh-CN"/>
        </w:rPr>
        <w:t>中标价的</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eastAsia="zh-CN"/>
        </w:rPr>
        <w:t>（不计息）。</w:t>
      </w:r>
    </w:p>
    <w:p w14:paraId="5037DD3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履约担保的形式：现金、支票、汇票、本票或者金融机构、保险公司、担保机构出具的保函（见函即付）/保险</w:t>
      </w:r>
    </w:p>
    <w:p w14:paraId="1680C5A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sym w:font="Wingdings" w:char="00A8"/>
      </w:r>
      <w:r>
        <w:rPr>
          <w:rFonts w:hint="eastAsia" w:ascii="宋体" w:hAnsi="宋体" w:eastAsia="宋体" w:cs="宋体"/>
          <w:snapToGrid w:val="0"/>
          <w:color w:val="auto"/>
          <w:kern w:val="0"/>
          <w:sz w:val="24"/>
          <w:szCs w:val="24"/>
          <w:highlight w:val="none"/>
          <w:lang w:val="en-US" w:eastAsia="zh-CN"/>
        </w:rPr>
        <w:t>履约担保形式为现金（账户另行通知），履约保证金待合同期满视履约情况到采购人处办理履约保证金的退还手续（不计息）；</w:t>
      </w:r>
    </w:p>
    <w:p w14:paraId="4004F9B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sym w:font="Wingdings" w:char="00A8"/>
      </w:r>
      <w:r>
        <w:rPr>
          <w:rFonts w:hint="eastAsia" w:ascii="宋体" w:hAnsi="宋体" w:eastAsia="宋体" w:cs="宋体"/>
          <w:snapToGrid w:val="0"/>
          <w:color w:val="auto"/>
          <w:kern w:val="0"/>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ascii="宋体" w:hAnsi="宋体" w:eastAsia="宋体" w:cs="宋体"/>
          <w:color w:val="auto"/>
          <w:sz w:val="24"/>
          <w:szCs w:val="24"/>
          <w:highlight w:val="none"/>
          <w:lang w:val="en-US" w:eastAsia="zh-CN"/>
        </w:rPr>
        <w:t xml:space="preserve"> </w:t>
      </w:r>
    </w:p>
    <w:p w14:paraId="0FCE0AE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28、质疑与投诉</w:t>
      </w:r>
    </w:p>
    <w:p w14:paraId="307422C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14:paraId="235BB3B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0A2F920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28.1投标人询问</w:t>
      </w:r>
    </w:p>
    <w:p w14:paraId="53A094C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投标人对采购活动事项有疑问的，可以向采购机构提出询问，采购人或者采购代理机构应当在3个工作日内对投标人依法提出的询问作出答复，但答复的内容不得涉及商业秘密。</w:t>
      </w:r>
    </w:p>
    <w:p w14:paraId="676F407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28.2投标人质疑</w:t>
      </w:r>
    </w:p>
    <w:p w14:paraId="0A2299E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28.2.1投标人认为采购（招标）文件、采购过程、中标或者成交结果使自己的</w:t>
      </w:r>
      <w:r>
        <w:rPr>
          <w:rFonts w:hint="eastAsia" w:ascii="宋体" w:hAnsi="宋体" w:eastAsia="宋体" w:cs="宋体"/>
          <w:color w:val="auto"/>
          <w:kern w:val="0"/>
          <w:sz w:val="24"/>
          <w:szCs w:val="24"/>
          <w:highlight w:val="none"/>
        </w:rPr>
        <w:t>合法</w:t>
      </w:r>
      <w:r>
        <w:rPr>
          <w:rFonts w:hint="eastAsia" w:ascii="宋体" w:hAnsi="宋体" w:eastAsia="宋体" w:cs="宋体"/>
          <w:snapToGrid w:val="0"/>
          <w:color w:val="auto"/>
          <w:kern w:val="0"/>
          <w:sz w:val="24"/>
          <w:szCs w:val="24"/>
          <w:highlight w:val="none"/>
        </w:rPr>
        <w:t>权益受到损害的，</w:t>
      </w:r>
      <w:r>
        <w:rPr>
          <w:rFonts w:hint="eastAsia" w:ascii="宋体" w:hAnsi="宋体" w:eastAsia="宋体" w:cs="宋体"/>
          <w:color w:val="auto"/>
          <w:kern w:val="0"/>
          <w:sz w:val="24"/>
          <w:szCs w:val="24"/>
          <w:highlight w:val="none"/>
        </w:rPr>
        <w:t>应当</w:t>
      </w:r>
      <w:r>
        <w:rPr>
          <w:rFonts w:hint="eastAsia" w:ascii="宋体" w:hAnsi="宋体" w:eastAsia="宋体" w:cs="宋体"/>
          <w:snapToGrid w:val="0"/>
          <w:color w:val="auto"/>
          <w:kern w:val="0"/>
          <w:sz w:val="24"/>
          <w:szCs w:val="24"/>
          <w:highlight w:val="none"/>
        </w:rPr>
        <w:t>在知道或者应知其权益受到损害之日起7个工作日内，以书面形式向采购人、采购代理机构提出质疑</w:t>
      </w:r>
      <w:r>
        <w:rPr>
          <w:rFonts w:hint="eastAsia" w:ascii="宋体" w:hAnsi="宋体" w:eastAsia="宋体" w:cs="宋体"/>
          <w:color w:val="auto"/>
          <w:kern w:val="0"/>
          <w:sz w:val="24"/>
          <w:szCs w:val="24"/>
          <w:highlight w:val="none"/>
        </w:rPr>
        <w:t>；逾期提出的，采购组织机构可以不予受理、答复。</w:t>
      </w:r>
    </w:p>
    <w:p w14:paraId="54D9134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本项目要求投标人在法定质疑期内一次性提出针对同一采购程序环节的质疑。</w:t>
      </w:r>
    </w:p>
    <w:p w14:paraId="1611EA0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28.2.2提出质疑的投标人（以下简称质疑人）应当是参与所质疑项目采购活动的投标人。</w:t>
      </w:r>
    </w:p>
    <w:p w14:paraId="7FAEA4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潜在投标人已依法获取其可质疑的采购文件的，可以对该文件提出质疑。对采购文件提出质疑的，应当在获取采购文件或者采购文件公告期限届满之日起7个工作日内提出。</w:t>
      </w:r>
    </w:p>
    <w:p w14:paraId="7108F21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28.2.3投标人提出质疑应当提交质疑函和必要的证明材料。质疑函应当包括下列内容：</w:t>
      </w:r>
    </w:p>
    <w:p w14:paraId="76BC13A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（一）投标人的姓名或者名称、地址、邮编、联系人及联系电话；</w:t>
      </w:r>
    </w:p>
    <w:p w14:paraId="63FB65E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7486E22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6B1572B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565F32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5CA3D5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70C15B9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投标人为自然人的，应当由本人签字；投标人为法人或者其他组织的，应当由法定代表人、主要负责人，或者其授权代表签字或者盖章，并加盖公章。</w:t>
      </w:r>
    </w:p>
    <w:p w14:paraId="1B3499A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28.2.4采购人、采购代理机构在收到法定质疑期内发出的质疑函后7个工作日内作出答复，并以书面形式通知质疑人和其他有关投标人。质疑答复的内容不得涉及商业秘密。</w:t>
      </w:r>
    </w:p>
    <w:p w14:paraId="7D03F75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28.3投标人投诉</w:t>
      </w:r>
    </w:p>
    <w:p w14:paraId="685094D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质疑投标人对采购人、采购代理机构的答复不满意或者采购人、采购代理机构未在规定的时间内作出答复的，可以在答复期满后十五个工作日内向监督管理部门投诉。</w:t>
      </w:r>
    </w:p>
    <w:p w14:paraId="543135E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29、采购结束</w:t>
      </w:r>
    </w:p>
    <w:p w14:paraId="326BCE0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29.1中标人与采购人签订合同生效后即为采购结束。</w:t>
      </w:r>
    </w:p>
    <w:p w14:paraId="0C948C3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29.2本项目的投标文件不予退回。</w:t>
      </w:r>
    </w:p>
    <w:p w14:paraId="79CBBE85">
      <w:pPr>
        <w:pageBreakBefore w:val="0"/>
        <w:kinsoku/>
        <w:wordWrap/>
        <w:overflowPunct/>
        <w:topLinePunct w:val="0"/>
        <w:bidi w:val="0"/>
        <w:spacing w:line="400" w:lineRule="exact"/>
        <w:rPr>
          <w:rFonts w:hint="eastAsia"/>
          <w:color w:val="auto"/>
          <w:highlight w:val="none"/>
        </w:rPr>
      </w:pPr>
      <w:bookmarkStart w:id="123" w:name="_Toc13762"/>
      <w:r>
        <w:rPr>
          <w:rFonts w:hint="eastAsia"/>
          <w:color w:val="auto"/>
          <w:highlight w:val="none"/>
        </w:rPr>
        <w:br w:type="page"/>
      </w:r>
    </w:p>
    <w:p w14:paraId="1AD61C0F">
      <w:pPr>
        <w:pStyle w:val="2"/>
        <w:bidi w:val="0"/>
        <w:rPr>
          <w:rFonts w:hint="eastAsia"/>
          <w:color w:val="auto"/>
          <w:highlight w:val="none"/>
        </w:rPr>
      </w:pPr>
      <w:bookmarkStart w:id="124" w:name="_Toc11605"/>
      <w:r>
        <w:rPr>
          <w:rFonts w:hint="eastAsia"/>
          <w:color w:val="auto"/>
          <w:highlight w:val="none"/>
        </w:rPr>
        <w:t xml:space="preserve">第三部分 </w:t>
      </w:r>
      <w:bookmarkStart w:id="125" w:name="_Toc32072"/>
      <w:bookmarkStart w:id="126" w:name="_Toc3320"/>
      <w:bookmarkStart w:id="127" w:name="_Toc26399"/>
      <w:r>
        <w:rPr>
          <w:rFonts w:hint="eastAsia"/>
          <w:color w:val="auto"/>
          <w:highlight w:val="none"/>
        </w:rPr>
        <w:t>招标内容及需求</w:t>
      </w:r>
      <w:bookmarkEnd w:id="123"/>
      <w:bookmarkEnd w:id="124"/>
      <w:bookmarkEnd w:id="125"/>
      <w:bookmarkEnd w:id="126"/>
      <w:bookmarkEnd w:id="127"/>
    </w:p>
    <w:p w14:paraId="5D5304BF">
      <w:pPr>
        <w:spacing w:before="156" w:beforeLines="50" w:after="156" w:afterLines="50"/>
        <w:ind w:firstLine="472" w:firstLineChars="196"/>
        <w:jc w:val="center"/>
        <w:outlineLvl w:val="2"/>
        <w:rPr>
          <w:rFonts w:hint="eastAsia" w:eastAsia="宋体" w:cs="宋体"/>
          <w:b/>
          <w:bCs/>
          <w:color w:val="auto"/>
          <w:kern w:val="0"/>
          <w:sz w:val="24"/>
          <w:highlight w:val="none"/>
        </w:rPr>
      </w:pPr>
      <w:bookmarkStart w:id="128" w:name="_Toc20612"/>
      <w:r>
        <w:rPr>
          <w:rFonts w:hint="eastAsia" w:eastAsia="宋体" w:cs="宋体"/>
          <w:b/>
          <w:bCs/>
          <w:color w:val="auto"/>
          <w:kern w:val="0"/>
          <w:sz w:val="24"/>
          <w:highlight w:val="none"/>
        </w:rPr>
        <w:t>（</w:t>
      </w:r>
      <w:r>
        <w:rPr>
          <w:rFonts w:hint="eastAsia" w:ascii="黑体" w:hAnsi="宋体" w:eastAsia="黑体" w:cs="宋体"/>
          <w:color w:val="auto"/>
          <w:kern w:val="0"/>
          <w:sz w:val="24"/>
          <w:highlight w:val="none"/>
        </w:rPr>
        <w:t>▲条款为实质性响应条款，必须满足，否则作无效标处理</w:t>
      </w:r>
      <w:r>
        <w:rPr>
          <w:rFonts w:hint="eastAsia" w:eastAsia="宋体" w:cs="宋体"/>
          <w:b/>
          <w:bCs/>
          <w:color w:val="auto"/>
          <w:kern w:val="0"/>
          <w:sz w:val="24"/>
          <w:highlight w:val="none"/>
        </w:rPr>
        <w:t>）</w:t>
      </w:r>
    </w:p>
    <w:p w14:paraId="40B1610B">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szCs w:val="24"/>
          <w:highlight w:val="none"/>
        </w:rPr>
        <w:t>货物清单一览表</w:t>
      </w:r>
    </w:p>
    <w:tbl>
      <w:tblPr>
        <w:tblStyle w:val="46"/>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2"/>
        <w:gridCol w:w="3570"/>
        <w:gridCol w:w="1293"/>
        <w:gridCol w:w="1950"/>
        <w:gridCol w:w="1549"/>
      </w:tblGrid>
      <w:tr w14:paraId="38B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noWrap w:val="0"/>
            <w:vAlign w:val="center"/>
          </w:tcPr>
          <w:p w14:paraId="4764CF6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szCs w:val="20"/>
                <w:highlight w:val="none"/>
              </w:rPr>
            </w:pPr>
            <w:r>
              <w:rPr>
                <w:rFonts w:hint="eastAsia" w:ascii="宋体" w:hAnsi="宋体" w:cs="Arial"/>
                <w:b/>
                <w:bCs w:val="0"/>
                <w:color w:val="auto"/>
                <w:sz w:val="24"/>
                <w:highlight w:val="none"/>
              </w:rPr>
              <w:t>序号</w:t>
            </w:r>
          </w:p>
        </w:tc>
        <w:tc>
          <w:tcPr>
            <w:tcW w:w="1242" w:type="dxa"/>
            <w:noWrap w:val="0"/>
            <w:vAlign w:val="center"/>
          </w:tcPr>
          <w:p w14:paraId="721D0E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
                <w:bCs w:val="0"/>
                <w:color w:val="auto"/>
                <w:sz w:val="24"/>
                <w:szCs w:val="20"/>
                <w:highlight w:val="none"/>
              </w:rPr>
            </w:pPr>
            <w:r>
              <w:rPr>
                <w:rFonts w:hint="eastAsia"/>
                <w:b/>
                <w:bCs w:val="0"/>
                <w:color w:val="auto"/>
                <w:kern w:val="0"/>
                <w:sz w:val="24"/>
                <w:highlight w:val="none"/>
              </w:rPr>
              <w:t>货物名称</w:t>
            </w:r>
          </w:p>
        </w:tc>
        <w:tc>
          <w:tcPr>
            <w:tcW w:w="3570" w:type="dxa"/>
            <w:noWrap w:val="0"/>
            <w:vAlign w:val="center"/>
          </w:tcPr>
          <w:p w14:paraId="142A80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
                <w:bCs w:val="0"/>
                <w:color w:val="auto"/>
                <w:sz w:val="24"/>
                <w:highlight w:val="none"/>
              </w:rPr>
            </w:pPr>
            <w:r>
              <w:rPr>
                <w:rFonts w:hint="eastAsia"/>
                <w:b/>
                <w:bCs w:val="0"/>
                <w:color w:val="auto"/>
                <w:kern w:val="0"/>
                <w:sz w:val="24"/>
                <w:highlight w:val="none"/>
              </w:rPr>
              <w:t>规格型号</w:t>
            </w:r>
          </w:p>
        </w:tc>
        <w:tc>
          <w:tcPr>
            <w:tcW w:w="1293" w:type="dxa"/>
            <w:noWrap w:val="0"/>
            <w:vAlign w:val="center"/>
          </w:tcPr>
          <w:p w14:paraId="546E902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bCs w:val="0"/>
                <w:color w:val="auto"/>
                <w:sz w:val="24"/>
                <w:highlight w:val="none"/>
              </w:rPr>
            </w:pPr>
            <w:r>
              <w:rPr>
                <w:rFonts w:hint="eastAsia"/>
                <w:b/>
                <w:bCs w:val="0"/>
                <w:color w:val="auto"/>
                <w:sz w:val="24"/>
                <w:highlight w:val="none"/>
              </w:rPr>
              <w:t>数量</w:t>
            </w:r>
          </w:p>
          <w:p w14:paraId="06E34D8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bCs w:val="0"/>
                <w:color w:val="auto"/>
                <w:sz w:val="24"/>
                <w:highlight w:val="none"/>
              </w:rPr>
            </w:pPr>
            <w:r>
              <w:rPr>
                <w:rFonts w:hint="eastAsia"/>
                <w:b/>
                <w:bCs w:val="0"/>
                <w:color w:val="auto"/>
                <w:sz w:val="24"/>
                <w:highlight w:val="none"/>
              </w:rPr>
              <w:t>（吨）</w:t>
            </w:r>
          </w:p>
        </w:tc>
        <w:tc>
          <w:tcPr>
            <w:tcW w:w="1950" w:type="dxa"/>
            <w:noWrap w:val="0"/>
            <w:vAlign w:val="center"/>
          </w:tcPr>
          <w:p w14:paraId="658082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highlight w:val="none"/>
              </w:rPr>
            </w:pPr>
            <w:r>
              <w:rPr>
                <w:rFonts w:hint="eastAsia" w:ascii="宋体" w:hAnsi="宋体" w:cs="Arial"/>
                <w:b/>
                <w:bCs w:val="0"/>
                <w:color w:val="auto"/>
                <w:sz w:val="24"/>
                <w:highlight w:val="none"/>
              </w:rPr>
              <w:t>最高限价</w:t>
            </w:r>
          </w:p>
          <w:p w14:paraId="61D6868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Arial"/>
                <w:b/>
                <w:bCs w:val="0"/>
                <w:color w:val="auto"/>
                <w:sz w:val="24"/>
                <w:highlight w:val="none"/>
                <w:lang w:eastAsia="zh-CN"/>
              </w:rPr>
            </w:pPr>
            <w:r>
              <w:rPr>
                <w:rFonts w:hint="eastAsia" w:ascii="宋体" w:hAnsi="宋体" w:cs="Arial"/>
                <w:b/>
                <w:bCs w:val="0"/>
                <w:color w:val="auto"/>
                <w:sz w:val="24"/>
                <w:highlight w:val="none"/>
                <w:lang w:eastAsia="zh-CN"/>
              </w:rPr>
              <w:t>（</w:t>
            </w:r>
            <w:r>
              <w:rPr>
                <w:rFonts w:hint="eastAsia" w:ascii="宋体" w:hAnsi="宋体" w:eastAsia="宋体" w:cs="宋体"/>
                <w:b/>
                <w:bCs w:val="0"/>
                <w:color w:val="auto"/>
                <w:kern w:val="0"/>
                <w:sz w:val="24"/>
                <w:szCs w:val="24"/>
                <w:highlight w:val="none"/>
              </w:rPr>
              <w:t>含税</w:t>
            </w:r>
            <w:r>
              <w:rPr>
                <w:rFonts w:hint="eastAsia" w:ascii="宋体" w:hAnsi="宋体" w:eastAsia="宋体" w:cs="宋体"/>
                <w:b/>
                <w:bCs w:val="0"/>
                <w:color w:val="auto"/>
                <w:kern w:val="0"/>
                <w:sz w:val="24"/>
                <w:szCs w:val="24"/>
                <w:highlight w:val="none"/>
                <w:lang w:eastAsia="zh-CN"/>
              </w:rPr>
              <w:t>、含运费</w:t>
            </w:r>
            <w:r>
              <w:rPr>
                <w:rFonts w:hint="eastAsia" w:ascii="宋体" w:hAnsi="宋体" w:cs="宋体"/>
                <w:b/>
                <w:bCs w:val="0"/>
                <w:color w:val="auto"/>
                <w:kern w:val="0"/>
                <w:sz w:val="24"/>
                <w:szCs w:val="24"/>
                <w:highlight w:val="none"/>
                <w:lang w:val="en-US" w:eastAsia="zh-CN"/>
              </w:rPr>
              <w:t>,</w:t>
            </w:r>
            <w:r>
              <w:rPr>
                <w:rFonts w:hint="eastAsia" w:ascii="宋体" w:hAnsi="宋体" w:cs="Arial"/>
                <w:b/>
                <w:bCs w:val="0"/>
                <w:color w:val="auto"/>
                <w:sz w:val="24"/>
                <w:highlight w:val="none"/>
              </w:rPr>
              <w:t>元/吨</w:t>
            </w:r>
            <w:r>
              <w:rPr>
                <w:rFonts w:hint="eastAsia" w:ascii="宋体" w:hAnsi="宋体" w:cs="Arial"/>
                <w:b/>
                <w:bCs w:val="0"/>
                <w:color w:val="auto"/>
                <w:sz w:val="24"/>
                <w:highlight w:val="none"/>
                <w:lang w:eastAsia="zh-CN"/>
              </w:rPr>
              <w:t>）</w:t>
            </w:r>
          </w:p>
        </w:tc>
        <w:tc>
          <w:tcPr>
            <w:tcW w:w="1549" w:type="dxa"/>
            <w:noWrap w:val="0"/>
            <w:vAlign w:val="center"/>
          </w:tcPr>
          <w:p w14:paraId="463981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highlight w:val="none"/>
              </w:rPr>
            </w:pPr>
            <w:r>
              <w:rPr>
                <w:rFonts w:hint="eastAsia" w:ascii="宋体" w:hAnsi="宋体" w:cs="Arial"/>
                <w:b/>
                <w:bCs w:val="0"/>
                <w:color w:val="auto"/>
                <w:sz w:val="24"/>
                <w:highlight w:val="none"/>
              </w:rPr>
              <w:t>预算</w:t>
            </w:r>
          </w:p>
          <w:p w14:paraId="21875A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Arial"/>
                <w:b/>
                <w:bCs w:val="0"/>
                <w:color w:val="auto"/>
                <w:sz w:val="24"/>
                <w:highlight w:val="none"/>
                <w:lang w:val="en-US" w:eastAsia="zh-CN"/>
              </w:rPr>
            </w:pPr>
            <w:r>
              <w:rPr>
                <w:rFonts w:hint="eastAsia" w:ascii="宋体" w:hAnsi="宋体" w:cs="Arial"/>
                <w:b/>
                <w:bCs w:val="0"/>
                <w:color w:val="auto"/>
                <w:sz w:val="24"/>
                <w:highlight w:val="none"/>
                <w:lang w:val="en-US" w:eastAsia="zh-CN"/>
              </w:rPr>
              <w:t>(元)</w:t>
            </w:r>
          </w:p>
        </w:tc>
      </w:tr>
      <w:tr w14:paraId="5D4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restart"/>
            <w:noWrap w:val="0"/>
            <w:vAlign w:val="center"/>
          </w:tcPr>
          <w:p w14:paraId="681D65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bookmarkStart w:id="129" w:name="OLE_LINK1" w:colFirst="4" w:colLast="4"/>
            <w:bookmarkStart w:id="130" w:name="OLE_LINK3" w:colFirst="3" w:colLast="3"/>
            <w:r>
              <w:rPr>
                <w:rFonts w:hint="eastAsia" w:ascii="宋体" w:hAnsi="宋体" w:cs="Arial"/>
                <w:bCs/>
                <w:color w:val="auto"/>
                <w:sz w:val="24"/>
                <w:highlight w:val="none"/>
              </w:rPr>
              <w:t>1</w:t>
            </w:r>
          </w:p>
        </w:tc>
        <w:tc>
          <w:tcPr>
            <w:tcW w:w="1242" w:type="dxa"/>
            <w:vMerge w:val="restart"/>
            <w:noWrap w:val="0"/>
            <w:vAlign w:val="center"/>
          </w:tcPr>
          <w:p w14:paraId="58793C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石灰岩</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整形）</w:t>
            </w:r>
          </w:p>
        </w:tc>
        <w:tc>
          <w:tcPr>
            <w:tcW w:w="3570" w:type="dxa"/>
            <w:noWrap w:val="0"/>
            <w:vAlign w:val="center"/>
          </w:tcPr>
          <w:p w14:paraId="16383B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293" w:type="dxa"/>
            <w:noWrap w:val="0"/>
            <w:vAlign w:val="center"/>
          </w:tcPr>
          <w:p w14:paraId="2D1434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55000</w:t>
            </w:r>
          </w:p>
        </w:tc>
        <w:tc>
          <w:tcPr>
            <w:tcW w:w="1950" w:type="dxa"/>
            <w:vMerge w:val="restart"/>
            <w:noWrap w:val="0"/>
            <w:vAlign w:val="center"/>
          </w:tcPr>
          <w:p w14:paraId="09AAB9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115</w:t>
            </w:r>
            <w:r>
              <w:rPr>
                <w:rFonts w:hint="eastAsia" w:ascii="宋体" w:hAnsi="宋体" w:cs="Arial"/>
                <w:bCs/>
                <w:color w:val="auto"/>
                <w:sz w:val="24"/>
                <w:highlight w:val="none"/>
              </w:rPr>
              <w:t>元/吨</w:t>
            </w:r>
          </w:p>
        </w:tc>
        <w:tc>
          <w:tcPr>
            <w:tcW w:w="1549" w:type="dxa"/>
            <w:vMerge w:val="restart"/>
            <w:noWrap w:val="0"/>
            <w:vAlign w:val="center"/>
          </w:tcPr>
          <w:p w14:paraId="133B93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29900000元</w:t>
            </w:r>
          </w:p>
        </w:tc>
      </w:tr>
      <w:tr w14:paraId="552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center"/>
          </w:tcPr>
          <w:p w14:paraId="63F145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1242" w:type="dxa"/>
            <w:vMerge w:val="continue"/>
            <w:noWrap w:val="0"/>
            <w:vAlign w:val="center"/>
          </w:tcPr>
          <w:p w14:paraId="6D7D54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139C35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293" w:type="dxa"/>
            <w:noWrap w:val="0"/>
            <w:vAlign w:val="center"/>
          </w:tcPr>
          <w:p w14:paraId="3E1269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color w:val="auto"/>
                <w:kern w:val="0"/>
                <w:sz w:val="24"/>
                <w:highlight w:val="none"/>
                <w:lang w:val="en-US" w:eastAsia="zh-CN"/>
              </w:rPr>
              <w:t>10000</w:t>
            </w:r>
          </w:p>
        </w:tc>
        <w:tc>
          <w:tcPr>
            <w:tcW w:w="1950" w:type="dxa"/>
            <w:vMerge w:val="continue"/>
            <w:noWrap w:val="0"/>
            <w:vAlign w:val="center"/>
          </w:tcPr>
          <w:p w14:paraId="36B0A44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0A560F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D4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66E623E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55DB00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6A4CC2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293" w:type="dxa"/>
            <w:noWrap w:val="0"/>
            <w:vAlign w:val="center"/>
          </w:tcPr>
          <w:p w14:paraId="35CAED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85000</w:t>
            </w:r>
          </w:p>
        </w:tc>
        <w:tc>
          <w:tcPr>
            <w:tcW w:w="1950" w:type="dxa"/>
            <w:vMerge w:val="continue"/>
            <w:noWrap w:val="0"/>
            <w:vAlign w:val="center"/>
          </w:tcPr>
          <w:p w14:paraId="4B9511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3D6141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4E0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2DDFF7E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bookmarkStart w:id="131" w:name="OLE_LINK4" w:colFirst="3" w:colLast="3"/>
          </w:p>
        </w:tc>
        <w:tc>
          <w:tcPr>
            <w:tcW w:w="1242" w:type="dxa"/>
            <w:vMerge w:val="continue"/>
            <w:noWrap w:val="0"/>
            <w:vAlign w:val="center"/>
          </w:tcPr>
          <w:p w14:paraId="7690A4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07E372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293" w:type="dxa"/>
            <w:noWrap w:val="0"/>
            <w:vAlign w:val="center"/>
          </w:tcPr>
          <w:p w14:paraId="00B7F9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30000</w:t>
            </w:r>
          </w:p>
        </w:tc>
        <w:tc>
          <w:tcPr>
            <w:tcW w:w="1950" w:type="dxa"/>
            <w:vMerge w:val="continue"/>
            <w:noWrap w:val="0"/>
            <w:vAlign w:val="center"/>
          </w:tcPr>
          <w:p w14:paraId="071CFD8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A0D3AB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B4D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4CF982BA">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535440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560268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 xml:space="preserve"> 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293" w:type="dxa"/>
            <w:noWrap w:val="0"/>
            <w:vAlign w:val="center"/>
          </w:tcPr>
          <w:p w14:paraId="6784B0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60000</w:t>
            </w:r>
          </w:p>
        </w:tc>
        <w:tc>
          <w:tcPr>
            <w:tcW w:w="1950" w:type="dxa"/>
            <w:vMerge w:val="continue"/>
            <w:noWrap w:val="0"/>
            <w:vAlign w:val="center"/>
          </w:tcPr>
          <w:p w14:paraId="42EDA78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03A5F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3F10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65B7540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1EBB5C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3D9EBF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Arial"/>
                <w:bCs/>
                <w:color w:val="auto"/>
                <w:sz w:val="24"/>
                <w:highlight w:val="none"/>
              </w:rPr>
            </w:pPr>
            <w:r>
              <w:rPr>
                <w:rFonts w:hint="eastAsia" w:ascii="宋体" w:hAnsi="宋体" w:eastAsia="宋体" w:cs="Arial"/>
                <w:bCs/>
                <w:color w:val="auto"/>
                <w:sz w:val="24"/>
                <w:highlight w:val="none"/>
              </w:rPr>
              <w:t>26.5-32（网规格32*32mm）</w:t>
            </w:r>
          </w:p>
        </w:tc>
        <w:tc>
          <w:tcPr>
            <w:tcW w:w="1293" w:type="dxa"/>
            <w:noWrap w:val="0"/>
            <w:vAlign w:val="center"/>
          </w:tcPr>
          <w:p w14:paraId="37B328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Arial"/>
                <w:bCs/>
                <w:color w:val="auto"/>
                <w:sz w:val="24"/>
                <w:highlight w:val="none"/>
                <w:lang w:val="en-US" w:eastAsia="zh-CN"/>
              </w:rPr>
            </w:pPr>
            <w:r>
              <w:rPr>
                <w:rFonts w:hint="eastAsia" w:ascii="宋体" w:hAnsi="宋体" w:cs="宋体"/>
                <w:bCs/>
                <w:color w:val="auto"/>
                <w:sz w:val="24"/>
                <w:highlight w:val="none"/>
                <w:lang w:val="en-US" w:eastAsia="zh-CN"/>
              </w:rPr>
              <w:t>20000</w:t>
            </w:r>
          </w:p>
        </w:tc>
        <w:tc>
          <w:tcPr>
            <w:tcW w:w="1950" w:type="dxa"/>
            <w:vMerge w:val="continue"/>
            <w:noWrap w:val="0"/>
            <w:vAlign w:val="center"/>
          </w:tcPr>
          <w:p w14:paraId="7C70FA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5226311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bookmarkEnd w:id="129"/>
      <w:bookmarkEnd w:id="130"/>
      <w:bookmarkEnd w:id="131"/>
    </w:tbl>
    <w:p w14:paraId="04F646A1">
      <w:pPr>
        <w:pStyle w:val="44"/>
        <w:spacing w:line="400" w:lineRule="exact"/>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注：具</w:t>
      </w:r>
      <w:r>
        <w:rPr>
          <w:rFonts w:hint="eastAsia" w:ascii="宋体" w:hAnsi="宋体" w:eastAsia="宋体" w:cs="宋体"/>
          <w:b/>
          <w:color w:val="auto"/>
          <w:sz w:val="24"/>
          <w:szCs w:val="24"/>
          <w:highlight w:val="none"/>
        </w:rPr>
        <w:t>体数量以实际供货数量为准。</w:t>
      </w:r>
      <w:r>
        <w:rPr>
          <w:rFonts w:hint="eastAsia" w:ascii="宋体" w:hAnsi="宋体" w:eastAsia="宋体" w:cs="宋体"/>
          <w:color w:val="auto"/>
          <w:sz w:val="24"/>
          <w:szCs w:val="24"/>
          <w:highlight w:val="none"/>
        </w:rPr>
        <w:t xml:space="preserve"> </w:t>
      </w:r>
    </w:p>
    <w:p w14:paraId="2FFBC0A8">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二、技术要求及内容</w:t>
      </w:r>
    </w:p>
    <w:p w14:paraId="2FE761D1">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1、本招标文件所列原材料为</w:t>
      </w:r>
      <w:r>
        <w:rPr>
          <w:rFonts w:hint="eastAsia" w:ascii="宋体" w:hAnsi="宋体" w:cs="宋体"/>
          <w:color w:val="auto"/>
          <w:kern w:val="0"/>
          <w:sz w:val="24"/>
          <w:szCs w:val="24"/>
          <w:highlight w:val="none"/>
          <w:lang w:eastAsia="zh-CN"/>
        </w:rPr>
        <w:t>合同期内</w:t>
      </w:r>
      <w:r>
        <w:rPr>
          <w:rFonts w:hint="eastAsia" w:ascii="宋体" w:hAnsi="宋体" w:eastAsia="宋体" w:cs="宋体"/>
          <w:color w:val="auto"/>
          <w:kern w:val="0"/>
          <w:sz w:val="24"/>
          <w:szCs w:val="24"/>
          <w:highlight w:val="none"/>
        </w:rPr>
        <w:t>市政、公路建设项目所需的</w:t>
      </w:r>
      <w:r>
        <w:rPr>
          <w:rFonts w:hint="eastAsia" w:ascii="宋体" w:hAnsi="宋体" w:cs="宋体"/>
          <w:color w:val="auto"/>
          <w:kern w:val="0"/>
          <w:sz w:val="24"/>
          <w:szCs w:val="24"/>
          <w:highlight w:val="none"/>
          <w:lang w:eastAsia="zh-CN"/>
        </w:rPr>
        <w:t>石灰岩</w:t>
      </w:r>
      <w:r>
        <w:rPr>
          <w:rFonts w:hint="eastAsia" w:ascii="宋体" w:hAnsi="宋体" w:eastAsia="宋体" w:cs="宋体"/>
          <w:color w:val="auto"/>
          <w:kern w:val="0"/>
          <w:sz w:val="24"/>
          <w:szCs w:val="24"/>
          <w:highlight w:val="none"/>
        </w:rPr>
        <w:t>。</w:t>
      </w:r>
    </w:p>
    <w:p w14:paraId="004B01D5">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val="en-US" w:eastAsia="zh-CN"/>
        </w:rPr>
        <w:t>供货期：</w:t>
      </w: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p w14:paraId="5131165D">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2、标准</w:t>
      </w:r>
    </w:p>
    <w:p w14:paraId="1B5789E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所有原材料生产及验收标准必须完全符合所有中华人民共和国的标准及规范。包括（不限于）：石灰岩：《沥青路面施工及验收规范》  GB50092-96</w:t>
      </w:r>
    </w:p>
    <w:p w14:paraId="207CBB58">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eastAsia="zh-CN"/>
        </w:rPr>
        <w:t>技术指标</w:t>
      </w:r>
      <w:r>
        <w:rPr>
          <w:rFonts w:hint="eastAsia" w:ascii="宋体" w:hAnsi="宋体" w:eastAsia="宋体" w:cs="宋体"/>
          <w:b/>
          <w:color w:val="auto"/>
          <w:kern w:val="0"/>
          <w:sz w:val="24"/>
          <w:szCs w:val="24"/>
          <w:highlight w:val="none"/>
        </w:rPr>
        <w:t>要求</w:t>
      </w:r>
    </w:p>
    <w:p w14:paraId="5D94CD3A">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3.1 </w:t>
      </w:r>
      <w:r>
        <w:rPr>
          <w:rFonts w:hint="eastAsia" w:ascii="宋体" w:hAnsi="宋体" w:eastAsia="宋体" w:cs="宋体"/>
          <w:b/>
          <w:color w:val="auto"/>
          <w:kern w:val="0"/>
          <w:sz w:val="24"/>
          <w:szCs w:val="24"/>
          <w:highlight w:val="none"/>
          <w:lang w:eastAsia="zh-CN"/>
        </w:rPr>
        <w:t>技术</w:t>
      </w:r>
      <w:r>
        <w:rPr>
          <w:rFonts w:hint="eastAsia" w:ascii="宋体" w:hAnsi="宋体" w:eastAsia="宋体" w:cs="宋体"/>
          <w:b/>
          <w:color w:val="auto"/>
          <w:kern w:val="0"/>
          <w:sz w:val="24"/>
          <w:szCs w:val="24"/>
          <w:highlight w:val="none"/>
        </w:rPr>
        <w:t>指标</w:t>
      </w:r>
    </w:p>
    <w:p w14:paraId="4F69868F">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w:t>
      </w:r>
      <w:r>
        <w:rPr>
          <w:rFonts w:hint="eastAsia" w:ascii="宋体" w:hAnsi="宋体" w:cs="宋体"/>
          <w:color w:val="auto"/>
          <w:kern w:val="0"/>
          <w:sz w:val="24"/>
          <w:szCs w:val="24"/>
          <w:highlight w:val="none"/>
          <w:lang w:eastAsia="zh-CN"/>
        </w:rPr>
        <w:t>石灰</w:t>
      </w:r>
      <w:r>
        <w:rPr>
          <w:rFonts w:hint="eastAsia" w:ascii="宋体" w:hAnsi="宋体" w:eastAsia="宋体" w:cs="宋体"/>
          <w:color w:val="auto"/>
          <w:kern w:val="0"/>
          <w:sz w:val="24"/>
          <w:szCs w:val="24"/>
          <w:highlight w:val="none"/>
          <w:lang w:eastAsia="zh-CN"/>
        </w:rPr>
        <w:t>岩</w:t>
      </w:r>
      <w:r>
        <w:rPr>
          <w:rFonts w:hint="eastAsia" w:ascii="宋体" w:hAnsi="宋体" w:eastAsia="宋体" w:cs="宋体"/>
          <w:color w:val="auto"/>
          <w:kern w:val="0"/>
          <w:sz w:val="24"/>
          <w:szCs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16-26.5</w:t>
      </w:r>
      <w:r>
        <w:rPr>
          <w:rFonts w:hint="eastAsia" w:ascii="宋体" w:hAnsi="宋体" w:cs="Arial"/>
          <w:bCs/>
          <w:color w:val="auto"/>
          <w:sz w:val="24"/>
          <w:highlight w:val="none"/>
          <w:lang w:eastAsia="zh-CN"/>
        </w:rPr>
        <w:t>、</w:t>
      </w:r>
      <w:r>
        <w:rPr>
          <w:rFonts w:hint="eastAsia" w:ascii="宋体" w:hAnsi="宋体" w:eastAsia="宋体" w:cs="Arial"/>
          <w:bCs/>
          <w:color w:val="auto"/>
          <w:sz w:val="24"/>
          <w:highlight w:val="none"/>
        </w:rPr>
        <w:t>26.5-32</w:t>
      </w:r>
      <w:r>
        <w:rPr>
          <w:rFonts w:hint="eastAsia" w:ascii="宋体" w:hAnsi="宋体" w:eastAsia="宋体" w:cs="宋体"/>
          <w:color w:val="auto"/>
          <w:kern w:val="0"/>
          <w:sz w:val="24"/>
          <w:szCs w:val="24"/>
          <w:highlight w:val="none"/>
        </w:rPr>
        <w:t>）</w:t>
      </w:r>
    </w:p>
    <w:p w14:paraId="3245FE66">
      <w:pPr>
        <w:keepNext w:val="0"/>
        <w:keepLines w:val="0"/>
        <w:pageBreakBefore w:val="0"/>
        <w:widowControl w:val="0"/>
        <w:kinsoku/>
        <w:wordWrap/>
        <w:overflowPunct/>
        <w:topLinePunct w:val="0"/>
        <w:autoSpaceDE/>
        <w:autoSpaceDN/>
        <w:bidi w:val="0"/>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所有石灰岩质量要求必须符合《沥青路面施工及验收规范》GB50092-96要求。</w:t>
      </w:r>
    </w:p>
    <w:p w14:paraId="30536C4A">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3.1.2石灰岩质量要求</w:t>
      </w:r>
    </w:p>
    <w:p w14:paraId="6A2F61FC">
      <w:pPr>
        <w:spacing w:line="400" w:lineRule="exact"/>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石灰岩</w:t>
      </w:r>
      <w:r>
        <w:rPr>
          <w:rFonts w:hint="eastAsia" w:ascii="宋体" w:hAnsi="宋体" w:eastAsia="宋体" w:cs="宋体"/>
          <w:b/>
          <w:bCs/>
          <w:color w:val="auto"/>
          <w:sz w:val="24"/>
          <w:szCs w:val="24"/>
          <w:highlight w:val="none"/>
        </w:rPr>
        <w:t xml:space="preserve">（粗集料） </w:t>
      </w:r>
      <w:r>
        <w:rPr>
          <w:rFonts w:hint="eastAsia" w:ascii="宋体" w:hAnsi="宋体" w:eastAsia="宋体" w:cs="宋体"/>
          <w:b/>
          <w:bCs/>
          <w:color w:val="auto"/>
          <w:sz w:val="24"/>
          <w:szCs w:val="24"/>
          <w:highlight w:val="none"/>
          <w:lang w:eastAsia="zh-CN"/>
        </w:rPr>
        <w:t>技术指标要求</w:t>
      </w:r>
    </w:p>
    <w:p w14:paraId="439654C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kern w:val="0"/>
          <w:sz w:val="24"/>
          <w:highlight w:val="none"/>
        </w:rPr>
      </w:pPr>
    </w:p>
    <w:tbl>
      <w:tblPr>
        <w:tblStyle w:val="46"/>
        <w:tblW w:w="900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gridCol w:w="2341"/>
      </w:tblGrid>
      <w:tr w14:paraId="6755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3A9048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试 验 指 标</w:t>
            </w:r>
          </w:p>
        </w:tc>
        <w:tc>
          <w:tcPr>
            <w:tcW w:w="2341" w:type="dxa"/>
            <w:noWrap w:val="0"/>
            <w:vAlign w:val="top"/>
          </w:tcPr>
          <w:p w14:paraId="5D2EE3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0298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2BA0E7F1">
            <w:pPr>
              <w:spacing w:line="400" w:lineRule="exact"/>
              <w:rPr>
                <w:rFonts w:ascii="宋体" w:hAnsi="宋体" w:cs="宋体"/>
                <w:color w:val="auto"/>
                <w:sz w:val="24"/>
                <w:highlight w:val="none"/>
              </w:rPr>
            </w:pPr>
            <w:r>
              <w:rPr>
                <w:rFonts w:hint="eastAsia" w:ascii="宋体" w:hAnsi="宋体" w:cs="宋体"/>
                <w:color w:val="auto"/>
                <w:sz w:val="24"/>
                <w:highlight w:val="none"/>
              </w:rPr>
              <w:t>石灰岩压碎值                          不大于（%）</w:t>
            </w:r>
          </w:p>
        </w:tc>
        <w:tc>
          <w:tcPr>
            <w:tcW w:w="2341" w:type="dxa"/>
            <w:noWrap w:val="0"/>
            <w:vAlign w:val="top"/>
          </w:tcPr>
          <w:p w14:paraId="7E457A6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24</w:t>
            </w:r>
          </w:p>
        </w:tc>
      </w:tr>
      <w:tr w14:paraId="7DE9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4DED3347">
            <w:pPr>
              <w:spacing w:line="400" w:lineRule="exact"/>
              <w:rPr>
                <w:rFonts w:ascii="宋体" w:hAnsi="宋体" w:cs="宋体"/>
                <w:color w:val="auto"/>
                <w:sz w:val="24"/>
                <w:highlight w:val="none"/>
              </w:rPr>
            </w:pPr>
            <w:r>
              <w:rPr>
                <w:rFonts w:hint="eastAsia" w:ascii="宋体" w:hAnsi="宋体" w:cs="宋体"/>
                <w:color w:val="auto"/>
                <w:sz w:val="24"/>
                <w:highlight w:val="none"/>
              </w:rPr>
              <w:t>洛杉矶磨耗损失                       不大于（%）</w:t>
            </w:r>
          </w:p>
        </w:tc>
        <w:tc>
          <w:tcPr>
            <w:tcW w:w="2341" w:type="dxa"/>
            <w:noWrap w:val="0"/>
            <w:vAlign w:val="top"/>
          </w:tcPr>
          <w:p w14:paraId="6760045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30</w:t>
            </w:r>
          </w:p>
        </w:tc>
      </w:tr>
      <w:tr w14:paraId="1BE6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3CCCB9EB">
            <w:pPr>
              <w:spacing w:line="400" w:lineRule="exact"/>
              <w:rPr>
                <w:rFonts w:ascii="宋体" w:hAnsi="宋体" w:cs="宋体"/>
                <w:color w:val="auto"/>
                <w:sz w:val="24"/>
                <w:highlight w:val="none"/>
              </w:rPr>
            </w:pPr>
            <w:r>
              <w:rPr>
                <w:rFonts w:hint="eastAsia" w:ascii="宋体" w:hAnsi="宋体" w:cs="宋体"/>
                <w:color w:val="auto"/>
                <w:sz w:val="24"/>
                <w:highlight w:val="none"/>
              </w:rPr>
              <w:t>视密度                               不大于（t/m3）</w:t>
            </w:r>
          </w:p>
        </w:tc>
        <w:tc>
          <w:tcPr>
            <w:tcW w:w="2341" w:type="dxa"/>
            <w:noWrap w:val="0"/>
            <w:vAlign w:val="top"/>
          </w:tcPr>
          <w:p w14:paraId="33954D2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2.50</w:t>
            </w:r>
          </w:p>
        </w:tc>
      </w:tr>
      <w:tr w14:paraId="7419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EBF5030">
            <w:pPr>
              <w:spacing w:line="400" w:lineRule="exact"/>
              <w:rPr>
                <w:rFonts w:ascii="宋体" w:hAnsi="宋体" w:cs="宋体"/>
                <w:color w:val="auto"/>
                <w:sz w:val="24"/>
                <w:highlight w:val="none"/>
              </w:rPr>
            </w:pPr>
            <w:r>
              <w:rPr>
                <w:rFonts w:hint="eastAsia" w:ascii="宋体" w:hAnsi="宋体" w:cs="宋体"/>
                <w:color w:val="auto"/>
                <w:sz w:val="24"/>
                <w:highlight w:val="none"/>
              </w:rPr>
              <w:t>吸水率                               不大于（%）</w:t>
            </w:r>
          </w:p>
        </w:tc>
        <w:tc>
          <w:tcPr>
            <w:tcW w:w="2341" w:type="dxa"/>
            <w:noWrap w:val="0"/>
            <w:vAlign w:val="top"/>
          </w:tcPr>
          <w:p w14:paraId="7496195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r>
      <w:tr w14:paraId="07D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FFC7B36">
            <w:pPr>
              <w:spacing w:line="400" w:lineRule="exact"/>
              <w:rPr>
                <w:rFonts w:ascii="宋体" w:hAnsi="宋体" w:cs="宋体"/>
                <w:color w:val="auto"/>
                <w:sz w:val="24"/>
                <w:highlight w:val="none"/>
              </w:rPr>
            </w:pPr>
            <w:r>
              <w:rPr>
                <w:rFonts w:hint="eastAsia" w:ascii="宋体" w:hAnsi="宋体" w:cs="宋体"/>
                <w:color w:val="auto"/>
                <w:sz w:val="24"/>
                <w:highlight w:val="none"/>
              </w:rPr>
              <w:t>对沥青的粘附性                       不小于</w:t>
            </w:r>
          </w:p>
        </w:tc>
        <w:tc>
          <w:tcPr>
            <w:tcW w:w="2341" w:type="dxa"/>
            <w:noWrap w:val="0"/>
            <w:vAlign w:val="top"/>
          </w:tcPr>
          <w:p w14:paraId="75E89AF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4级</w:t>
            </w:r>
          </w:p>
        </w:tc>
      </w:tr>
      <w:tr w14:paraId="6CD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6DF52D73">
            <w:pPr>
              <w:spacing w:line="400" w:lineRule="exact"/>
              <w:rPr>
                <w:rFonts w:ascii="宋体" w:hAnsi="宋体" w:cs="宋体"/>
                <w:color w:val="auto"/>
                <w:sz w:val="24"/>
                <w:highlight w:val="none"/>
              </w:rPr>
            </w:pPr>
            <w:r>
              <w:rPr>
                <w:rFonts w:hint="eastAsia" w:ascii="宋体" w:hAnsi="宋体" w:cs="宋体"/>
                <w:color w:val="auto"/>
                <w:sz w:val="24"/>
                <w:highlight w:val="none"/>
              </w:rPr>
              <w:t>坚固性                               不大于（%）</w:t>
            </w:r>
          </w:p>
        </w:tc>
        <w:tc>
          <w:tcPr>
            <w:tcW w:w="2341" w:type="dxa"/>
            <w:noWrap w:val="0"/>
            <w:vAlign w:val="top"/>
          </w:tcPr>
          <w:p w14:paraId="4CB28F4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r>
      <w:tr w14:paraId="672E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5702153D">
            <w:pPr>
              <w:spacing w:line="400" w:lineRule="exact"/>
              <w:rPr>
                <w:rFonts w:ascii="宋体" w:hAnsi="宋体" w:cs="宋体"/>
                <w:color w:val="auto"/>
                <w:sz w:val="24"/>
                <w:highlight w:val="none"/>
              </w:rPr>
            </w:pPr>
            <w:r>
              <w:rPr>
                <w:rFonts w:hint="eastAsia" w:ascii="宋体" w:hAnsi="宋体" w:cs="宋体"/>
                <w:color w:val="auto"/>
                <w:sz w:val="24"/>
                <w:highlight w:val="none"/>
              </w:rPr>
              <w:t>细长扁平颗粒含量                     不大于（%）</w:t>
            </w:r>
          </w:p>
        </w:tc>
        <w:tc>
          <w:tcPr>
            <w:tcW w:w="2341" w:type="dxa"/>
            <w:noWrap w:val="0"/>
            <w:vAlign w:val="top"/>
          </w:tcPr>
          <w:p w14:paraId="3F4C6D0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r>
      <w:tr w14:paraId="5DEE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5130F23">
            <w:pPr>
              <w:spacing w:line="400" w:lineRule="exact"/>
              <w:rPr>
                <w:rFonts w:ascii="宋体" w:hAnsi="宋体" w:cs="宋体"/>
                <w:color w:val="auto"/>
                <w:sz w:val="24"/>
                <w:highlight w:val="none"/>
              </w:rPr>
            </w:pPr>
            <w:r>
              <w:rPr>
                <w:rFonts w:hint="eastAsia" w:ascii="宋体" w:hAnsi="宋体" w:cs="宋体"/>
                <w:color w:val="auto"/>
                <w:sz w:val="24"/>
                <w:highlight w:val="none"/>
              </w:rPr>
              <w:t>水洗法＜0.075mm颗粒含量              不大于（%）</w:t>
            </w:r>
          </w:p>
        </w:tc>
        <w:tc>
          <w:tcPr>
            <w:tcW w:w="2341" w:type="dxa"/>
            <w:noWrap w:val="0"/>
            <w:vAlign w:val="top"/>
          </w:tcPr>
          <w:p w14:paraId="4AD1BBD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r>
      <w:tr w14:paraId="2D5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6DA97A7">
            <w:pPr>
              <w:spacing w:line="400" w:lineRule="exact"/>
              <w:rPr>
                <w:rFonts w:ascii="宋体" w:hAnsi="宋体" w:cs="宋体"/>
                <w:color w:val="auto"/>
                <w:sz w:val="24"/>
                <w:highlight w:val="none"/>
              </w:rPr>
            </w:pPr>
            <w:r>
              <w:rPr>
                <w:rFonts w:hint="eastAsia" w:ascii="宋体" w:hAnsi="宋体" w:cs="宋体"/>
                <w:color w:val="auto"/>
                <w:sz w:val="24"/>
                <w:highlight w:val="none"/>
              </w:rPr>
              <w:t>软石含量                              不大于（%）</w:t>
            </w:r>
          </w:p>
        </w:tc>
        <w:tc>
          <w:tcPr>
            <w:tcW w:w="2341" w:type="dxa"/>
            <w:noWrap w:val="0"/>
            <w:vAlign w:val="top"/>
          </w:tcPr>
          <w:p w14:paraId="6DED5F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r>
      <w:tr w14:paraId="3C67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6ABA7B55">
            <w:pPr>
              <w:spacing w:line="400" w:lineRule="exact"/>
              <w:rPr>
                <w:rFonts w:ascii="宋体" w:hAnsi="宋体" w:cs="宋体"/>
                <w:color w:val="auto"/>
                <w:sz w:val="24"/>
                <w:highlight w:val="none"/>
              </w:rPr>
            </w:pPr>
            <w:r>
              <w:rPr>
                <w:rFonts w:hint="eastAsia" w:ascii="宋体" w:hAnsi="宋体" w:cs="宋体"/>
                <w:color w:val="auto"/>
                <w:sz w:val="24"/>
                <w:highlight w:val="none"/>
              </w:rPr>
              <w:t>石灰岩磨光值                          不小于（BPN）</w:t>
            </w:r>
          </w:p>
        </w:tc>
        <w:tc>
          <w:tcPr>
            <w:tcW w:w="2341" w:type="dxa"/>
            <w:noWrap w:val="0"/>
            <w:vAlign w:val="top"/>
          </w:tcPr>
          <w:p w14:paraId="452AC51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42</w:t>
            </w:r>
          </w:p>
        </w:tc>
      </w:tr>
      <w:tr w14:paraId="4A86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2CD36DF">
            <w:pPr>
              <w:spacing w:line="400" w:lineRule="exact"/>
              <w:rPr>
                <w:rFonts w:ascii="宋体" w:hAnsi="宋体" w:cs="宋体"/>
                <w:color w:val="auto"/>
                <w:sz w:val="24"/>
                <w:highlight w:val="none"/>
              </w:rPr>
            </w:pPr>
            <w:r>
              <w:rPr>
                <w:rFonts w:hint="eastAsia" w:ascii="宋体" w:hAnsi="宋体" w:cs="宋体"/>
                <w:color w:val="auto"/>
                <w:sz w:val="24"/>
                <w:highlight w:val="none"/>
              </w:rPr>
              <w:t>石灰岩冲击值                          不大于（%）</w:t>
            </w:r>
          </w:p>
        </w:tc>
        <w:tc>
          <w:tcPr>
            <w:tcW w:w="2341" w:type="dxa"/>
            <w:noWrap w:val="0"/>
            <w:vAlign w:val="top"/>
          </w:tcPr>
          <w:p w14:paraId="2192499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28</w:t>
            </w:r>
          </w:p>
        </w:tc>
      </w:tr>
    </w:tbl>
    <w:p w14:paraId="1AC240A9">
      <w:pPr>
        <w:rPr>
          <w:rFonts w:hint="eastAsia" w:ascii="宋体" w:hAnsi="宋体" w:eastAsia="宋体" w:cs="宋体"/>
          <w:color w:val="auto"/>
          <w:sz w:val="24"/>
          <w:szCs w:val="24"/>
          <w:highlight w:val="none"/>
        </w:rPr>
      </w:pPr>
    </w:p>
    <w:p w14:paraId="60BA01D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注：①坚固性试验可根据需要进行；</w:t>
      </w:r>
    </w:p>
    <w:p w14:paraId="09262B6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②当粗集料用于高速公路、一级公路和城市快速路、主干道时，多孔</w:t>
      </w:r>
      <w:r>
        <w:rPr>
          <w:rFonts w:hint="eastAsia" w:ascii="宋体" w:hAnsi="宋体" w:cs="宋体"/>
          <w:color w:val="auto"/>
          <w:sz w:val="24"/>
          <w:highlight w:val="none"/>
          <w:lang w:eastAsia="zh-CN"/>
        </w:rPr>
        <w:t>石灰岩</w:t>
      </w:r>
      <w:r>
        <w:rPr>
          <w:rFonts w:hint="eastAsia" w:ascii="宋体" w:hAnsi="宋体" w:eastAsia="宋体" w:cs="宋体"/>
          <w:color w:val="auto"/>
          <w:sz w:val="24"/>
          <w:highlight w:val="none"/>
        </w:rPr>
        <w:t>的视密度可放宽至2.45t/m3，吸水率可放宽至3%，并得到主管部门的批准；</w:t>
      </w:r>
    </w:p>
    <w:p w14:paraId="4315229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③石灰岩磨光值是为高速公路、一级公路和城市快速路、主干道的表层抗滑需要而试验的指标，石灰岩冲击值可根据需要进行。其他公路与城市道路如需要时，可提出相应的指标；</w:t>
      </w:r>
    </w:p>
    <w:p w14:paraId="1503AE0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④钢渣的游离氧化钙的含量不应大于3%，浸水后的膨胀率不应大于2%。</w:t>
      </w:r>
    </w:p>
    <w:p w14:paraId="0CFE1F4E">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石灰岩细集料质量要求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1"/>
        <w:gridCol w:w="2693"/>
      </w:tblGrid>
      <w:tr w14:paraId="17AC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321" w:type="dxa"/>
            <w:noWrap w:val="0"/>
            <w:vAlign w:val="center"/>
          </w:tcPr>
          <w:p w14:paraId="33CA7A4B">
            <w:pPr>
              <w:tabs>
                <w:tab w:val="left" w:pos="1665"/>
              </w:tabs>
              <w:spacing w:line="400" w:lineRule="exact"/>
              <w:jc w:val="center"/>
              <w:rPr>
                <w:rFonts w:ascii="宋体" w:hAnsi="宋体" w:cs="宋体"/>
                <w:color w:val="auto"/>
                <w:sz w:val="24"/>
                <w:highlight w:val="none"/>
              </w:rPr>
            </w:pPr>
            <w:r>
              <w:rPr>
                <w:rFonts w:hint="eastAsia" w:ascii="宋体" w:hAnsi="宋体" w:cs="宋体"/>
                <w:color w:val="auto"/>
                <w:sz w:val="24"/>
                <w:highlight w:val="none"/>
              </w:rPr>
              <w:t>试  验  指  标</w:t>
            </w:r>
          </w:p>
        </w:tc>
        <w:tc>
          <w:tcPr>
            <w:tcW w:w="2693" w:type="dxa"/>
            <w:noWrap w:val="0"/>
            <w:vAlign w:val="center"/>
          </w:tcPr>
          <w:p w14:paraId="084E671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6F3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noWrap w:val="0"/>
            <w:vAlign w:val="top"/>
          </w:tcPr>
          <w:p w14:paraId="4EA6E65F">
            <w:pPr>
              <w:spacing w:line="400" w:lineRule="exact"/>
              <w:rPr>
                <w:rFonts w:ascii="宋体" w:hAnsi="宋体" w:cs="宋体"/>
                <w:color w:val="auto"/>
                <w:sz w:val="24"/>
                <w:highlight w:val="none"/>
              </w:rPr>
            </w:pPr>
            <w:r>
              <w:rPr>
                <w:rFonts w:hint="eastAsia" w:ascii="宋体" w:hAnsi="宋体" w:cs="宋体"/>
                <w:color w:val="auto"/>
                <w:sz w:val="24"/>
                <w:highlight w:val="none"/>
              </w:rPr>
              <w:t>视密度                           不小于（t/m3）</w:t>
            </w:r>
          </w:p>
        </w:tc>
        <w:tc>
          <w:tcPr>
            <w:tcW w:w="2693" w:type="dxa"/>
            <w:noWrap w:val="0"/>
            <w:vAlign w:val="top"/>
          </w:tcPr>
          <w:p w14:paraId="0B57DEB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2.50</w:t>
            </w:r>
          </w:p>
        </w:tc>
      </w:tr>
      <w:tr w14:paraId="65B8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noWrap w:val="0"/>
            <w:vAlign w:val="top"/>
          </w:tcPr>
          <w:p w14:paraId="25CC1B78">
            <w:pPr>
              <w:spacing w:line="400" w:lineRule="exact"/>
              <w:rPr>
                <w:rFonts w:ascii="宋体" w:hAnsi="宋体" w:cs="宋体"/>
                <w:color w:val="auto"/>
                <w:sz w:val="24"/>
                <w:highlight w:val="none"/>
              </w:rPr>
            </w:pPr>
            <w:r>
              <w:rPr>
                <w:rFonts w:hint="eastAsia" w:ascii="宋体" w:hAnsi="宋体" w:cs="宋体"/>
                <w:color w:val="auto"/>
                <w:sz w:val="24"/>
                <w:highlight w:val="none"/>
              </w:rPr>
              <w:t>坚固性（＞0.3mm部分）             不大于（%）</w:t>
            </w:r>
          </w:p>
        </w:tc>
        <w:tc>
          <w:tcPr>
            <w:tcW w:w="2693" w:type="dxa"/>
            <w:noWrap w:val="0"/>
            <w:vAlign w:val="top"/>
          </w:tcPr>
          <w:p w14:paraId="57ED63A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r>
      <w:tr w14:paraId="01B2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noWrap w:val="0"/>
            <w:vAlign w:val="top"/>
          </w:tcPr>
          <w:p w14:paraId="03B9358D">
            <w:pPr>
              <w:spacing w:line="400" w:lineRule="exact"/>
              <w:rPr>
                <w:rFonts w:ascii="宋体" w:hAnsi="宋体" w:cs="宋体"/>
                <w:color w:val="auto"/>
                <w:sz w:val="24"/>
                <w:highlight w:val="none"/>
              </w:rPr>
            </w:pPr>
            <w:r>
              <w:rPr>
                <w:rFonts w:hint="eastAsia" w:ascii="宋体" w:hAnsi="宋体" w:cs="宋体"/>
                <w:color w:val="auto"/>
                <w:sz w:val="24"/>
                <w:highlight w:val="none"/>
              </w:rPr>
              <w:t>砂当量                             不小于（%）</w:t>
            </w:r>
          </w:p>
        </w:tc>
        <w:tc>
          <w:tcPr>
            <w:tcW w:w="2693" w:type="dxa"/>
            <w:noWrap w:val="0"/>
            <w:vAlign w:val="top"/>
          </w:tcPr>
          <w:p w14:paraId="76816FA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60</w:t>
            </w:r>
          </w:p>
        </w:tc>
      </w:tr>
    </w:tbl>
    <w:p w14:paraId="30C2AEF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注：①坚固性试验可根据需要进行；</w:t>
      </w:r>
    </w:p>
    <w:p w14:paraId="7623B1B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②当进行砂当量试验有困难时，也可用水洗法测定小于0.075mm部分的含量（仅适用于天然砂），对高速公路、一级公路城市快速路、主干路要求该含量不大于3%，对其他公路与城市道路要求该含量不大于5%。</w:t>
      </w:r>
    </w:p>
    <w:p w14:paraId="453A0C76">
      <w:pPr>
        <w:pStyle w:val="44"/>
        <w:spacing w:line="400" w:lineRule="exact"/>
        <w:rPr>
          <w:rFonts w:hint="eastAsia" w:ascii="宋体" w:hAnsi="宋体" w:eastAsia="宋体" w:cs="宋体"/>
          <w:color w:val="auto"/>
          <w:sz w:val="24"/>
          <w:szCs w:val="24"/>
          <w:highlight w:val="none"/>
        </w:rPr>
      </w:pPr>
      <w:bookmarkStart w:id="132" w:name="OLE_LINK6"/>
      <w:r>
        <w:rPr>
          <w:rFonts w:hint="eastAsia" w:ascii="宋体" w:hAnsi="宋体" w:eastAsia="宋体" w:cs="宋体"/>
          <w:color w:val="auto"/>
          <w:sz w:val="24"/>
          <w:szCs w:val="24"/>
          <w:highlight w:val="none"/>
        </w:rPr>
        <w:t>▲</w:t>
      </w:r>
      <w:bookmarkEnd w:id="132"/>
      <w:r>
        <w:rPr>
          <w:rFonts w:hint="eastAsia" w:ascii="宋体" w:hAnsi="宋体" w:eastAsia="宋体" w:cs="宋体"/>
          <w:color w:val="auto"/>
          <w:sz w:val="24"/>
          <w:szCs w:val="24"/>
          <w:highlight w:val="none"/>
        </w:rPr>
        <w:t>3.2原材料在进料前应在有资质的试验室至少做一次试验，确保合格后，方可使用。并在供货时向业主提交相关检验报告单。</w:t>
      </w:r>
    </w:p>
    <w:p w14:paraId="2672CF96">
      <w:pPr>
        <w:pStyle w:val="44"/>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4、供货要求</w:t>
      </w:r>
    </w:p>
    <w:p w14:paraId="28020466">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4.1供货</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需要送货，并须有采购人当场验收。供货地点：采购人指定地点。</w:t>
      </w:r>
    </w:p>
    <w:p w14:paraId="79D39FC0">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▲4.2提供</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的矿源必须100%由采购人认可，且</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质量满足采购人的生产要求。若到新石矿进料，须提前以书面形式告知采购人，并经采购人确认同意后方可进料。</w:t>
      </w:r>
    </w:p>
    <w:p w14:paraId="50606E05">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▲4.3本项目实施过程中引起的安全责任事故均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中标单位承担。</w:t>
      </w:r>
    </w:p>
    <w:p w14:paraId="76AF80CC">
      <w:pPr>
        <w:pStyle w:val="44"/>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w:t>
      </w:r>
    </w:p>
    <w:p w14:paraId="3992F25C">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5.1材料运达到货地点后，由采购人</w:t>
      </w:r>
      <w:r>
        <w:rPr>
          <w:rFonts w:hint="eastAsia" w:ascii="宋体" w:hAnsi="宋体" w:eastAsia="宋体" w:cs="宋体"/>
          <w:color w:val="auto"/>
          <w:sz w:val="24"/>
          <w:szCs w:val="24"/>
          <w:highlight w:val="none"/>
          <w:lang w:eastAsia="zh-CN"/>
        </w:rPr>
        <w:t>过磅</w:t>
      </w:r>
      <w:r>
        <w:rPr>
          <w:rFonts w:hint="eastAsia" w:ascii="宋体" w:hAnsi="宋体" w:eastAsia="宋体" w:cs="宋体"/>
          <w:color w:val="auto"/>
          <w:sz w:val="24"/>
          <w:szCs w:val="24"/>
          <w:highlight w:val="none"/>
        </w:rPr>
        <w:t>接货。如因包装或运输不当造成材料质量下降或缺损等，中标人承担责任。</w:t>
      </w:r>
    </w:p>
    <w:p w14:paraId="4D578049">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w:t>
      </w:r>
    </w:p>
    <w:p w14:paraId="34DD8A7E">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在供货期间如采购人发现产品存在质量疑问时，中标人须和采购人一起在公开、公正的情况下按现行规范对存在疑问的产品进行取样、封存，并委托由采购人指定的试验检测单位进行检验，试验费用由中标人承担。</w:t>
      </w:r>
    </w:p>
    <w:p w14:paraId="51C0D46B">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5.4中标人所提供产品的试验费用由中标人承担，相应材料的抽验频率按有关国家标准、行业标准确定。材料抽查频率如下：每批次随机抽检。</w:t>
      </w:r>
    </w:p>
    <w:p w14:paraId="6EDC382C">
      <w:pPr>
        <w:pStyle w:val="44"/>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6、付款方式：</w:t>
      </w:r>
      <w:r>
        <w:rPr>
          <w:rFonts w:hint="eastAsia" w:ascii="宋体" w:hAnsi="宋体" w:eastAsia="宋体" w:cs="宋体"/>
          <w:color w:val="auto"/>
          <w:sz w:val="24"/>
          <w:szCs w:val="24"/>
          <w:highlight w:val="none"/>
          <w:u w:val="single"/>
          <w:lang w:val="en-US" w:eastAsia="zh-CN"/>
        </w:rPr>
        <w:t>每月24日对账结算，以双方签字盖章的结算单为付款依据，次月月底支付上月总货款的70%，每月剩余货款待合同到期后6个月内全款无息付清，乙方应开具13%的增值税专用发票。</w:t>
      </w:r>
      <w:r>
        <w:rPr>
          <w:rFonts w:hint="eastAsia" w:ascii="宋体" w:hAnsi="宋体" w:eastAsia="宋体" w:cs="宋体"/>
          <w:color w:val="auto"/>
          <w:sz w:val="24"/>
          <w:szCs w:val="24"/>
          <w:highlight w:val="none"/>
          <w:u w:val="none"/>
          <w:lang w:val="en-US" w:eastAsia="zh-CN"/>
        </w:rPr>
        <w:t xml:space="preserve"> </w:t>
      </w:r>
    </w:p>
    <w:p w14:paraId="2C22B2C5">
      <w:pPr>
        <w:rPr>
          <w:rFonts w:hint="eastAsia"/>
          <w:color w:val="auto"/>
          <w:sz w:val="32"/>
          <w:szCs w:val="32"/>
          <w:highlight w:val="none"/>
        </w:rPr>
      </w:pPr>
      <w:r>
        <w:rPr>
          <w:rFonts w:hint="eastAsia"/>
          <w:color w:val="auto"/>
          <w:sz w:val="32"/>
          <w:szCs w:val="32"/>
          <w:highlight w:val="none"/>
        </w:rPr>
        <w:br w:type="page"/>
      </w:r>
    </w:p>
    <w:p w14:paraId="200CDD7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2"/>
          <w:szCs w:val="32"/>
          <w:highlight w:val="none"/>
        </w:rPr>
      </w:pPr>
      <w:bookmarkStart w:id="133" w:name="_Toc32388"/>
      <w:r>
        <w:rPr>
          <w:rFonts w:hint="eastAsia"/>
          <w:color w:val="auto"/>
          <w:sz w:val="32"/>
          <w:szCs w:val="32"/>
          <w:highlight w:val="none"/>
        </w:rPr>
        <w:t>第四部分  合同条款</w:t>
      </w:r>
      <w:bookmarkEnd w:id="4"/>
      <w:bookmarkEnd w:id="5"/>
      <w:bookmarkEnd w:id="6"/>
      <w:bookmarkEnd w:id="7"/>
      <w:bookmarkEnd w:id="8"/>
      <w:bookmarkEnd w:id="9"/>
      <w:bookmarkEnd w:id="128"/>
      <w:bookmarkEnd w:id="133"/>
    </w:p>
    <w:p w14:paraId="1D3E8846">
      <w:pPr>
        <w:widowControl w:val="0"/>
        <w:numPr>
          <w:ilvl w:val="0"/>
          <w:numId w:val="0"/>
        </w:numPr>
        <w:spacing w:after="0" w:afterLines="0"/>
        <w:ind w:leftChars="0"/>
        <w:jc w:val="center"/>
        <w:rPr>
          <w:rFonts w:hint="eastAsia" w:ascii="宋体" w:hAnsi="宋体" w:eastAsia="宋体" w:cs="宋体"/>
          <w:b/>
          <w:bCs/>
          <w:color w:val="auto"/>
          <w:spacing w:val="-20"/>
          <w:kern w:val="44"/>
          <w:sz w:val="32"/>
          <w:szCs w:val="32"/>
          <w:highlight w:val="none"/>
          <w:lang w:val="en-US" w:eastAsia="zh-CN" w:bidi="ar-SA"/>
        </w:rPr>
      </w:pPr>
      <w:bookmarkStart w:id="134" w:name="_Toc23822"/>
      <w:bookmarkStart w:id="135" w:name="_Toc249760790"/>
      <w:bookmarkStart w:id="136" w:name="_Toc251566661"/>
      <w:bookmarkStart w:id="137" w:name="_Toc5202"/>
      <w:bookmarkStart w:id="138" w:name="_Toc14349"/>
      <w:bookmarkStart w:id="139" w:name="_Toc31852"/>
      <w:r>
        <w:rPr>
          <w:rFonts w:hint="eastAsia" w:ascii="宋体" w:hAnsi="宋体" w:eastAsia="宋体" w:cs="宋体"/>
          <w:b/>
          <w:bCs/>
          <w:color w:val="auto"/>
          <w:spacing w:val="-20"/>
          <w:kern w:val="44"/>
          <w:sz w:val="32"/>
          <w:szCs w:val="32"/>
          <w:highlight w:val="none"/>
          <w:lang w:val="en-US" w:eastAsia="zh-CN" w:bidi="ar-SA"/>
        </w:rPr>
        <w:t>采购货物买卖合同</w:t>
      </w:r>
    </w:p>
    <w:p w14:paraId="7B8E95F7">
      <w:pPr>
        <w:rPr>
          <w:rFonts w:ascii="宋体" w:hAnsi="宋体" w:eastAsia="宋体" w:cs="宋体"/>
          <w:b/>
          <w:bCs/>
          <w:color w:val="auto"/>
          <w:spacing w:val="-20"/>
          <w:kern w:val="44"/>
          <w:sz w:val="40"/>
          <w:szCs w:val="40"/>
          <w:highlight w:val="none"/>
        </w:rPr>
      </w:pPr>
    </w:p>
    <w:p w14:paraId="3A567F07">
      <w:pPr>
        <w:rPr>
          <w:rFonts w:ascii="宋体" w:hAnsi="宋体" w:eastAsia="宋体" w:cs="宋体"/>
          <w:b/>
          <w:bCs/>
          <w:color w:val="auto"/>
          <w:spacing w:val="-20"/>
          <w:kern w:val="44"/>
          <w:sz w:val="40"/>
          <w:szCs w:val="40"/>
          <w:highlight w:val="none"/>
        </w:rPr>
      </w:pPr>
    </w:p>
    <w:p w14:paraId="4D2F7473">
      <w:pPr>
        <w:rPr>
          <w:rFonts w:ascii="宋体" w:hAnsi="宋体" w:eastAsia="宋体" w:cs="宋体"/>
          <w:b/>
          <w:bCs/>
          <w:color w:val="auto"/>
          <w:spacing w:val="-20"/>
          <w:kern w:val="44"/>
          <w:sz w:val="40"/>
          <w:szCs w:val="40"/>
          <w:highlight w:val="none"/>
        </w:rPr>
      </w:pPr>
    </w:p>
    <w:p w14:paraId="0F9CF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项目名称：</w:t>
      </w:r>
      <w:r>
        <w:rPr>
          <w:rFonts w:hint="eastAsia" w:ascii="宋体" w:hAnsi="宋体" w:cs="宋体"/>
          <w:color w:val="auto"/>
          <w:kern w:val="0"/>
          <w:sz w:val="28"/>
          <w:szCs w:val="28"/>
          <w:highlight w:val="none"/>
          <w:u w:val="single"/>
          <w:lang w:eastAsia="zh-CN"/>
        </w:rPr>
        <w:t>浦江县交投贸易有限公司2024年-2025年石灰岩采购项目</w:t>
      </w:r>
    </w:p>
    <w:p w14:paraId="35A678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合同编号：</w:t>
      </w:r>
      <w:r>
        <w:rPr>
          <w:rFonts w:hint="eastAsia" w:ascii="Times New Roman" w:hAnsi="Times New Roman" w:eastAsia="宋体" w:cs="Times New Roman"/>
          <w:color w:val="auto"/>
          <w:sz w:val="28"/>
          <w:szCs w:val="28"/>
          <w:highlight w:val="none"/>
          <w:u w:val="single"/>
        </w:rPr>
        <w:t xml:space="preserve">                             </w:t>
      </w:r>
    </w:p>
    <w:p w14:paraId="4E706B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甲    方：</w:t>
      </w:r>
      <w:r>
        <w:rPr>
          <w:rFonts w:hint="eastAsia" w:cs="Times New Roman"/>
          <w:color w:val="auto"/>
          <w:sz w:val="28"/>
          <w:szCs w:val="28"/>
          <w:highlight w:val="none"/>
          <w:u w:val="single"/>
          <w:lang w:eastAsia="zh-CN"/>
        </w:rPr>
        <w:t>浦江县交投贸易有限公司</w:t>
      </w:r>
      <w:r>
        <w:rPr>
          <w:rFonts w:hint="eastAsia" w:ascii="Times New Roman" w:hAnsi="Times New Roman" w:eastAsia="宋体" w:cs="Times New Roman"/>
          <w:color w:val="auto"/>
          <w:sz w:val="28"/>
          <w:szCs w:val="28"/>
          <w:highlight w:val="none"/>
        </w:rPr>
        <w:t xml:space="preserve"> </w:t>
      </w:r>
    </w:p>
    <w:p w14:paraId="1ABCFA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乙    方：</w:t>
      </w:r>
      <w:r>
        <w:rPr>
          <w:rFonts w:hint="eastAsia" w:ascii="Times New Roman" w:hAnsi="Times New Roman" w:eastAsia="宋体" w:cs="Times New Roman"/>
          <w:color w:val="auto"/>
          <w:sz w:val="28"/>
          <w:szCs w:val="28"/>
          <w:highlight w:val="none"/>
          <w:u w:val="single"/>
        </w:rPr>
        <w:t xml:space="preserve">                             </w:t>
      </w:r>
    </w:p>
    <w:p w14:paraId="283B50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签订时间：</w:t>
      </w:r>
      <w:r>
        <w:rPr>
          <w:rFonts w:hint="eastAsia" w:ascii="Times New Roman" w:hAnsi="Times New Roman" w:eastAsia="宋体" w:cs="Times New Roman"/>
          <w:color w:val="auto"/>
          <w:sz w:val="28"/>
          <w:szCs w:val="28"/>
          <w:highlight w:val="none"/>
          <w:u w:val="single"/>
        </w:rPr>
        <w:t xml:space="preserve">      </w:t>
      </w:r>
      <w:r>
        <w:rPr>
          <w:rFonts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 xml:space="preserve">            </w:t>
      </w:r>
    </w:p>
    <w:p w14:paraId="61EEEE08">
      <w:pPr>
        <w:rPr>
          <w:rFonts w:ascii="Times New Roman" w:hAnsi="Times New Roman" w:eastAsia="宋体" w:cs="Times New Roman"/>
          <w:color w:val="auto"/>
          <w:highlight w:val="none"/>
        </w:rPr>
      </w:pPr>
    </w:p>
    <w:p w14:paraId="200066E1">
      <w:pPr>
        <w:keepNext/>
        <w:keepLines/>
        <w:widowControl w:val="0"/>
        <w:adjustRightInd w:val="0"/>
        <w:snapToGrid w:val="0"/>
        <w:spacing w:before="260" w:beforeLines="0" w:after="260" w:afterLines="0" w:line="400" w:lineRule="exact"/>
        <w:jc w:val="center"/>
        <w:outlineLvl w:val="9"/>
        <w:rPr>
          <w:rFonts w:ascii="黑体" w:hAnsi="黑体" w:eastAsia="黑体" w:cs="Times New Roman"/>
          <w:b/>
          <w:bCs/>
          <w:color w:val="auto"/>
          <w:kern w:val="2"/>
          <w:sz w:val="44"/>
          <w:szCs w:val="44"/>
          <w:highlight w:val="none"/>
          <w:lang w:val="en-US" w:eastAsia="zh-CN" w:bidi="ar-SA"/>
        </w:rPr>
        <w:sectPr>
          <w:headerReference r:id="rId8" w:type="default"/>
          <w:footerReference r:id="rId9" w:type="default"/>
          <w:pgSz w:w="11906" w:h="16838"/>
          <w:pgMar w:top="1474" w:right="1134" w:bottom="1134" w:left="1361" w:header="850"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9C33BF1">
      <w:pPr>
        <w:jc w:val="center"/>
        <w:rPr>
          <w:rFonts w:ascii="Times New Roman" w:hAnsi="Times New Roman" w:eastAsia="黑体" w:cs="Times New Roman"/>
          <w:color w:val="auto"/>
          <w:sz w:val="44"/>
          <w:szCs w:val="44"/>
          <w:highlight w:val="none"/>
        </w:rPr>
      </w:pPr>
      <w:r>
        <w:rPr>
          <w:rFonts w:hint="eastAsia" w:ascii="Times New Roman" w:hAnsi="Times New Roman" w:eastAsia="黑体" w:cs="Times New Roman"/>
          <w:color w:val="auto"/>
          <w:sz w:val="44"/>
          <w:szCs w:val="44"/>
          <w:highlight w:val="none"/>
        </w:rPr>
        <w:t>使</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用</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说</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明</w:t>
      </w:r>
    </w:p>
    <w:p w14:paraId="395C22B0">
      <w:pPr>
        <w:ind w:firstLine="640" w:firstLineChars="200"/>
        <w:rPr>
          <w:rFonts w:ascii="仿宋_GB2312" w:hAnsi="仿宋_GB2312" w:eastAsia="仿宋_GB2312" w:cs="仿宋_GB2312"/>
          <w:color w:val="auto"/>
          <w:sz w:val="32"/>
          <w:szCs w:val="32"/>
          <w:highlight w:val="none"/>
        </w:rPr>
      </w:pPr>
    </w:p>
    <w:p w14:paraId="5466C67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0CE99656">
      <w:pPr>
        <w:rPr>
          <w:rFonts w:hint="eastAsia" w:ascii="Times New Roman" w:hAnsi="Times New Roman" w:eastAsia="黑体" w:cs="Times New Roman"/>
          <w:color w:val="auto"/>
          <w:sz w:val="44"/>
          <w:szCs w:val="44"/>
          <w:highlight w:val="none"/>
        </w:rPr>
      </w:pPr>
      <w:r>
        <w:rPr>
          <w:rFonts w:ascii="Times New Roman" w:hAnsi="Times New Roman" w:eastAsia="黑体" w:cs="Times New Roman"/>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2.本合同标准文本为采购货物买卖合同编制提供参考，可以结合采购项目具体情况，对文本做必要的调整修订后使用。</w:t>
      </w:r>
    </w:p>
    <w:p w14:paraId="5B5482A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11A609D6">
      <w:pPr>
        <w:widowControl/>
        <w:jc w:val="left"/>
        <w:rPr>
          <w:rFonts w:eastAsia="黑体"/>
          <w:color w:val="auto"/>
          <w:sz w:val="44"/>
          <w:szCs w:val="44"/>
          <w:highlight w:val="none"/>
        </w:rPr>
        <w:sectPr>
          <w:pgSz w:w="11906" w:h="16838"/>
          <w:pgMar w:top="1440" w:right="1800" w:bottom="1440" w:left="1800" w:header="851" w:footer="992" w:gutter="0"/>
          <w:pgNumType w:fmt="decimal"/>
          <w:cols w:space="720" w:num="1"/>
          <w:docGrid w:type="lines" w:linePitch="312" w:charSpace="0"/>
        </w:sectPr>
      </w:pPr>
    </w:p>
    <w:p w14:paraId="7A6E63D0">
      <w:pPr>
        <w:keepNext/>
        <w:keepLines/>
        <w:widowControl w:val="0"/>
        <w:adjustRightInd w:val="0"/>
        <w:snapToGrid w:val="0"/>
        <w:spacing w:before="260" w:beforeLines="0" w:after="260" w:after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bookmarkStart w:id="140" w:name="_Toc22209"/>
      <w:r>
        <w:rPr>
          <w:rFonts w:hint="eastAsia" w:ascii="黑体" w:hAnsi="黑体" w:eastAsia="黑体" w:cs="Times New Roman"/>
          <w:b w:val="0"/>
          <w:bCs w:val="0"/>
          <w:color w:val="auto"/>
          <w:kern w:val="2"/>
          <w:sz w:val="28"/>
          <w:szCs w:val="28"/>
          <w:highlight w:val="none"/>
          <w:lang w:val="en-US" w:eastAsia="zh-CN" w:bidi="ar-SA"/>
        </w:rPr>
        <w:t xml:space="preserve">第一节 </w:t>
      </w:r>
      <w:r>
        <w:rPr>
          <w:rFonts w:hint="eastAsia" w:ascii="黑体" w:hAnsi="华文中宋" w:eastAsia="黑体" w:cs="Times New Roman"/>
          <w:b w:val="0"/>
          <w:bCs w:val="0"/>
          <w:color w:val="auto"/>
          <w:kern w:val="2"/>
          <w:sz w:val="28"/>
          <w:szCs w:val="28"/>
          <w:highlight w:val="none"/>
          <w:lang w:val="en-US" w:eastAsia="zh-CN" w:bidi="ar-SA"/>
        </w:rPr>
        <w:t>采购合同协议书</w:t>
      </w:r>
      <w:bookmarkEnd w:id="140"/>
    </w:p>
    <w:p w14:paraId="432045D3">
      <w:pPr>
        <w:keepNext w:val="0"/>
        <w:keepLines w:val="0"/>
        <w:pageBreakBefore w:val="0"/>
        <w:kinsoku/>
        <w:wordWrap/>
        <w:overflowPunct/>
        <w:topLinePunct w:val="0"/>
        <w:bidi w:val="0"/>
        <w:adjustRightInd w:val="0"/>
        <w:snapToGrid w:val="0"/>
        <w:spacing w:before="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cs="宋体"/>
          <w:color w:val="auto"/>
          <w:sz w:val="24"/>
          <w:highlight w:val="none"/>
          <w:u w:val="single"/>
          <w:lang w:eastAsia="zh-CN"/>
        </w:rPr>
        <w:t>浦江县交投贸易有限公司</w:t>
      </w:r>
      <w:r>
        <w:rPr>
          <w:rFonts w:hint="eastAsia" w:ascii="宋体" w:hAnsi="宋体" w:eastAsia="宋体" w:cs="宋体"/>
          <w:color w:val="auto"/>
          <w:sz w:val="24"/>
          <w:szCs w:val="24"/>
          <w:highlight w:val="none"/>
        </w:rPr>
        <w:t>（采购人）</w:t>
      </w:r>
    </w:p>
    <w:p w14:paraId="38C83E7A">
      <w:pPr>
        <w:keepNext w:val="0"/>
        <w:keepLines w:val="0"/>
        <w:pageBreakBefore w:val="0"/>
        <w:kinsoku/>
        <w:wordWrap/>
        <w:overflowPunct/>
        <w:topLinePunct w:val="0"/>
        <w:bidi w:val="0"/>
        <w:adjustRightInd w:val="0"/>
        <w:snapToGrid w:val="0"/>
        <w:spacing w:before="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w:t>
      </w:r>
    </w:p>
    <w:p w14:paraId="40B1B41E">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p>
    <w:p w14:paraId="5036885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依据《中华人民共和国民法典》、《中华人民共和国政府采购法》等有关的法律法规，以及</w:t>
      </w:r>
      <w:r>
        <w:rPr>
          <w:rFonts w:hint="eastAsia" w:ascii="宋体" w:hAnsi="宋体" w:eastAsia="宋体" w:cs="宋体"/>
          <w:i w:val="0"/>
          <w:iCs w:val="0"/>
          <w:color w:val="auto"/>
          <w:kern w:val="2"/>
          <w:sz w:val="24"/>
          <w:szCs w:val="24"/>
          <w:highlight w:val="none"/>
          <w:u w:val="none"/>
          <w:lang w:val="en-US" w:eastAsia="zh-CN" w:bidi="ar-SA"/>
        </w:rPr>
        <w:t>本采购项目</w:t>
      </w:r>
      <w:r>
        <w:rPr>
          <w:rFonts w:hint="eastAsia" w:ascii="宋体" w:hAnsi="宋体" w:eastAsia="宋体" w:cs="宋体"/>
          <w:color w:val="auto"/>
          <w:kern w:val="2"/>
          <w:sz w:val="24"/>
          <w:szCs w:val="24"/>
          <w:highlight w:val="none"/>
          <w:lang w:val="en-US" w:eastAsia="zh-CN" w:bidi="ar-SA"/>
        </w:rPr>
        <w:t xml:space="preserve">的招标/谈判文件等采购文件、乙方的《投标（响应）文件》及《中标（成交）通知书》，甲乙双方同意签订本合同。具体情况及要求如下：     </w:t>
      </w:r>
    </w:p>
    <w:p w14:paraId="01142002">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515EF6C5">
      <w:pPr>
        <w:keepNext w:val="0"/>
        <w:keepLines w:val="0"/>
        <w:pageBreakBefore w:val="0"/>
        <w:widowControl w:val="0"/>
        <w:numPr>
          <w:ilvl w:val="0"/>
          <w:numId w:val="10"/>
        </w:numPr>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采购项目名称：</w:t>
      </w:r>
      <w:r>
        <w:rPr>
          <w:rFonts w:hint="eastAsia" w:ascii="宋体" w:hAnsi="宋体" w:cs="宋体"/>
          <w:color w:val="auto"/>
          <w:sz w:val="24"/>
          <w:highlight w:val="none"/>
          <w:u w:val="single"/>
          <w:lang w:eastAsia="zh-CN"/>
        </w:rPr>
        <w:t>浦江县交投贸易有限公司2024年-2025年石灰岩采购项目</w:t>
      </w:r>
    </w:p>
    <w:p w14:paraId="16A0B9AA">
      <w:pPr>
        <w:keepNext w:val="0"/>
        <w:keepLines w:val="0"/>
        <w:pageBreakBefore w:val="0"/>
        <w:widowControl w:val="0"/>
        <w:numPr>
          <w:ilvl w:val="0"/>
          <w:numId w:val="0"/>
        </w:numPr>
        <w:tabs>
          <w:tab w:val="left" w:pos="999"/>
        </w:tabs>
        <w:kinsoku/>
        <w:wordWrap/>
        <w:overflowPunct/>
        <w:topLinePunct w:val="0"/>
        <w:bidi w:val="0"/>
        <w:adjustRightInd w:val="0"/>
        <w:snapToGrid w:val="0"/>
        <w:spacing w:line="400" w:lineRule="exact"/>
        <w:ind w:left="0" w:leftChars="0" w:firstLine="0" w:firstLineChars="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 xml:space="preserve">         采购项目编号：</w:t>
      </w:r>
      <w:r>
        <w:rPr>
          <w:rFonts w:hint="eastAsia" w:ascii="宋体" w:hAnsi="宋体" w:eastAsia="宋体" w:cs="宋体"/>
          <w:color w:val="auto"/>
          <w:kern w:val="2"/>
          <w:sz w:val="24"/>
          <w:szCs w:val="24"/>
          <w:highlight w:val="none"/>
          <w:u w:val="single"/>
          <w:lang w:val="en-US" w:eastAsia="zh-CN" w:bidi="ar-SA"/>
        </w:rPr>
        <w:t xml:space="preserve">                                          </w:t>
      </w:r>
    </w:p>
    <w:p w14:paraId="58E0A584">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（2）项目内容：</w:t>
      </w:r>
    </w:p>
    <w:p w14:paraId="50FA6346">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规格型号：</w:t>
      </w:r>
    </w:p>
    <w:tbl>
      <w:tblPr>
        <w:tblStyle w:val="4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00"/>
        <w:gridCol w:w="3905"/>
        <w:gridCol w:w="1830"/>
        <w:gridCol w:w="1830"/>
      </w:tblGrid>
      <w:tr w14:paraId="5BE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14:paraId="4684D746">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500" w:type="dxa"/>
            <w:noWrap w:val="0"/>
            <w:vAlign w:val="center"/>
          </w:tcPr>
          <w:p w14:paraId="4D87D61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货物名称</w:t>
            </w:r>
          </w:p>
        </w:tc>
        <w:tc>
          <w:tcPr>
            <w:tcW w:w="3905" w:type="dxa"/>
            <w:noWrap w:val="0"/>
            <w:vAlign w:val="center"/>
          </w:tcPr>
          <w:p w14:paraId="74CE71D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规格型号</w:t>
            </w:r>
          </w:p>
        </w:tc>
        <w:tc>
          <w:tcPr>
            <w:tcW w:w="1830" w:type="dxa"/>
            <w:noWrap w:val="0"/>
            <w:vAlign w:val="center"/>
          </w:tcPr>
          <w:p w14:paraId="1245C2F3">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780B2BC8">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830" w:type="dxa"/>
            <w:noWrap w:val="0"/>
            <w:vAlign w:val="center"/>
          </w:tcPr>
          <w:p w14:paraId="52338A13">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中标单价</w:t>
            </w:r>
          </w:p>
          <w:p w14:paraId="000D1E5F">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（元</w:t>
            </w:r>
            <w:r>
              <w:rPr>
                <w:rFonts w:hint="eastAsia" w:ascii="宋体" w:hAnsi="宋体" w:cs="宋体"/>
                <w:color w:val="auto"/>
                <w:sz w:val="24"/>
                <w:szCs w:val="24"/>
                <w:highlight w:val="none"/>
                <w:lang w:val="en-US" w:eastAsia="zh-CN"/>
              </w:rPr>
              <w:t>/吨</w:t>
            </w:r>
            <w:r>
              <w:rPr>
                <w:rFonts w:hint="eastAsia" w:ascii="宋体" w:hAnsi="宋体" w:cs="宋体"/>
                <w:color w:val="auto"/>
                <w:sz w:val="24"/>
                <w:szCs w:val="24"/>
                <w:highlight w:val="none"/>
                <w:lang w:eastAsia="zh-CN"/>
              </w:rPr>
              <w:t>）</w:t>
            </w:r>
          </w:p>
        </w:tc>
      </w:tr>
      <w:tr w14:paraId="46C6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restart"/>
            <w:noWrap w:val="0"/>
            <w:vAlign w:val="center"/>
          </w:tcPr>
          <w:p w14:paraId="23B7D15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00" w:type="dxa"/>
            <w:vMerge w:val="restart"/>
            <w:noWrap w:val="0"/>
            <w:vAlign w:val="center"/>
          </w:tcPr>
          <w:p w14:paraId="400666B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石灰岩</w:t>
            </w:r>
          </w:p>
          <w:p w14:paraId="1C42908C">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整形）</w:t>
            </w:r>
          </w:p>
        </w:tc>
        <w:tc>
          <w:tcPr>
            <w:tcW w:w="3905" w:type="dxa"/>
            <w:noWrap w:val="0"/>
            <w:vAlign w:val="center"/>
          </w:tcPr>
          <w:p w14:paraId="489B148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830" w:type="dxa"/>
            <w:noWrap w:val="0"/>
            <w:vAlign w:val="center"/>
          </w:tcPr>
          <w:p w14:paraId="1C129E0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55000</w:t>
            </w:r>
          </w:p>
        </w:tc>
        <w:tc>
          <w:tcPr>
            <w:tcW w:w="1830" w:type="dxa"/>
            <w:vMerge w:val="restart"/>
            <w:noWrap w:val="0"/>
            <w:vAlign w:val="center"/>
          </w:tcPr>
          <w:p w14:paraId="7A0C430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kern w:val="0"/>
                <w:sz w:val="24"/>
                <w:highlight w:val="none"/>
                <w:lang w:val="en-US" w:eastAsia="zh-CN"/>
              </w:rPr>
            </w:pPr>
          </w:p>
        </w:tc>
      </w:tr>
      <w:tr w14:paraId="28B8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center"/>
          </w:tcPr>
          <w:p w14:paraId="7C8C21F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5AC9CED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09CCBBD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830" w:type="dxa"/>
            <w:noWrap w:val="0"/>
            <w:vAlign w:val="center"/>
          </w:tcPr>
          <w:p w14:paraId="1C9B1F3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10000</w:t>
            </w:r>
          </w:p>
        </w:tc>
        <w:tc>
          <w:tcPr>
            <w:tcW w:w="1830" w:type="dxa"/>
            <w:vMerge w:val="continue"/>
            <w:noWrap w:val="0"/>
            <w:vAlign w:val="center"/>
          </w:tcPr>
          <w:p w14:paraId="4430129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kern w:val="0"/>
                <w:sz w:val="24"/>
                <w:highlight w:val="none"/>
                <w:lang w:val="en-US" w:eastAsia="zh-CN"/>
              </w:rPr>
            </w:pPr>
          </w:p>
        </w:tc>
      </w:tr>
      <w:tr w14:paraId="7A3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center"/>
          </w:tcPr>
          <w:p w14:paraId="758227F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016B579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66D84CD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830" w:type="dxa"/>
            <w:noWrap w:val="0"/>
            <w:vAlign w:val="center"/>
          </w:tcPr>
          <w:p w14:paraId="510F6FA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85000</w:t>
            </w:r>
          </w:p>
        </w:tc>
        <w:tc>
          <w:tcPr>
            <w:tcW w:w="1830" w:type="dxa"/>
            <w:vMerge w:val="continue"/>
            <w:noWrap w:val="0"/>
            <w:vAlign w:val="center"/>
          </w:tcPr>
          <w:p w14:paraId="5BBB23D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6E10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4D502DCF">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15CFDA7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604388A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830" w:type="dxa"/>
            <w:noWrap w:val="0"/>
            <w:vAlign w:val="center"/>
          </w:tcPr>
          <w:p w14:paraId="1F830AF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30000</w:t>
            </w:r>
          </w:p>
        </w:tc>
        <w:tc>
          <w:tcPr>
            <w:tcW w:w="1830" w:type="dxa"/>
            <w:vMerge w:val="continue"/>
            <w:noWrap w:val="0"/>
            <w:vAlign w:val="center"/>
          </w:tcPr>
          <w:p w14:paraId="7EC11AE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11BE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6757E8FE">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454D216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3934530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830" w:type="dxa"/>
            <w:noWrap w:val="0"/>
            <w:vAlign w:val="center"/>
          </w:tcPr>
          <w:p w14:paraId="68A78E9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60000</w:t>
            </w:r>
          </w:p>
        </w:tc>
        <w:tc>
          <w:tcPr>
            <w:tcW w:w="1830" w:type="dxa"/>
            <w:vMerge w:val="continue"/>
            <w:noWrap w:val="0"/>
            <w:vAlign w:val="center"/>
          </w:tcPr>
          <w:p w14:paraId="69B0EF7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002E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64528FBF">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6EF00FE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572AAF5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Arial"/>
                <w:bCs/>
                <w:color w:val="auto"/>
                <w:sz w:val="24"/>
                <w:highlight w:val="none"/>
              </w:rPr>
              <w:t>26.5-32（网规格32*32mm）</w:t>
            </w:r>
          </w:p>
        </w:tc>
        <w:tc>
          <w:tcPr>
            <w:tcW w:w="1830" w:type="dxa"/>
            <w:noWrap w:val="0"/>
            <w:vAlign w:val="center"/>
          </w:tcPr>
          <w:p w14:paraId="2F49EE6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20000</w:t>
            </w:r>
          </w:p>
        </w:tc>
        <w:tc>
          <w:tcPr>
            <w:tcW w:w="1830" w:type="dxa"/>
            <w:vMerge w:val="continue"/>
            <w:noWrap w:val="0"/>
            <w:vAlign w:val="center"/>
          </w:tcPr>
          <w:p w14:paraId="725AA4C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5CA1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1" w:type="dxa"/>
            <w:gridSpan w:val="3"/>
            <w:noWrap w:val="0"/>
            <w:vAlign w:val="center"/>
          </w:tcPr>
          <w:p w14:paraId="56B8CA8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1830" w:type="dxa"/>
            <w:noWrap w:val="0"/>
            <w:vAlign w:val="center"/>
          </w:tcPr>
          <w:p w14:paraId="5B694998">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260000</w:t>
            </w:r>
          </w:p>
        </w:tc>
        <w:tc>
          <w:tcPr>
            <w:tcW w:w="1830" w:type="dxa"/>
            <w:noWrap w:val="0"/>
            <w:vAlign w:val="center"/>
          </w:tcPr>
          <w:p w14:paraId="677B8E1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szCs w:val="24"/>
                <w:highlight w:val="none"/>
                <w:lang w:val="en-US" w:eastAsia="zh-CN"/>
              </w:rPr>
            </w:pPr>
          </w:p>
        </w:tc>
      </w:tr>
    </w:tbl>
    <w:p w14:paraId="63DD99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采购标的的技术要求、商务要求具体见</w:t>
      </w:r>
      <w:r>
        <w:rPr>
          <w:rFonts w:hint="eastAsia" w:ascii="宋体" w:hAnsi="宋体" w:cs="宋体"/>
          <w:color w:val="auto"/>
          <w:sz w:val="24"/>
          <w:szCs w:val="24"/>
          <w:highlight w:val="none"/>
          <w:u w:val="none"/>
          <w:lang w:val="en-US" w:eastAsia="zh-CN"/>
        </w:rPr>
        <w:t>采购文件及</w:t>
      </w:r>
      <w:r>
        <w:rPr>
          <w:rFonts w:hint="eastAsia" w:ascii="宋体" w:hAnsi="宋体" w:eastAsia="宋体" w:cs="宋体"/>
          <w:color w:val="auto"/>
          <w:sz w:val="24"/>
          <w:szCs w:val="24"/>
          <w:highlight w:val="none"/>
          <w:u w:val="none"/>
          <w:lang w:val="en-US" w:eastAsia="zh-CN"/>
        </w:rPr>
        <w:t>投标文件</w:t>
      </w:r>
      <w:r>
        <w:rPr>
          <w:rFonts w:hint="eastAsia" w:ascii="宋体" w:hAnsi="宋体" w:cs="宋体"/>
          <w:color w:val="auto"/>
          <w:sz w:val="24"/>
          <w:szCs w:val="24"/>
          <w:highlight w:val="none"/>
          <w:u w:val="none"/>
          <w:lang w:val="en-US" w:eastAsia="zh-CN"/>
        </w:rPr>
        <w:t>。</w:t>
      </w:r>
    </w:p>
    <w:p w14:paraId="33AE3054">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eastAsia="宋体" w:cs="宋体"/>
          <w:iCs w:val="0"/>
          <w:color w:val="auto"/>
          <w:sz w:val="24"/>
          <w:szCs w:val="24"/>
          <w:highlight w:val="none"/>
          <w:lang w:val="en-US" w:eastAsia="zh-CN" w:bidi="ar-SA"/>
        </w:rPr>
      </w:pPr>
      <w:r>
        <w:rPr>
          <w:rFonts w:hint="eastAsia" w:ascii="宋体" w:hAnsi="宋体" w:eastAsia="宋体" w:cs="宋体"/>
          <w:iCs w:val="0"/>
          <w:color w:val="auto"/>
          <w:sz w:val="24"/>
          <w:szCs w:val="24"/>
          <w:highlight w:val="none"/>
          <w:lang w:val="en-US" w:eastAsia="zh-CN" w:bidi="ar-SA"/>
        </w:rPr>
        <w:t>（3）采购方式：</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公开招标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邀请招标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竞争性谈判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竞争性磋商</w:t>
      </w:r>
    </w:p>
    <w:p w14:paraId="5C11D003">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eastAsia="宋体" w:cs="宋体"/>
          <w:iCs w:val="0"/>
          <w:color w:val="auto"/>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bidi="ar-SA"/>
        </w:rPr>
        <w:t xml:space="preserve">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询价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单一来源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框架协议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其他：</w:t>
      </w:r>
      <w:r>
        <w:rPr>
          <w:rFonts w:hint="eastAsia" w:ascii="宋体" w:hAnsi="宋体" w:eastAsia="宋体" w:cs="宋体"/>
          <w:iCs w:val="0"/>
          <w:color w:val="auto"/>
          <w:sz w:val="24"/>
          <w:szCs w:val="24"/>
          <w:highlight w:val="none"/>
          <w:u w:val="single"/>
          <w:lang w:val="en-US" w:eastAsia="zh-CN" w:bidi="ar-SA"/>
        </w:rPr>
        <w:t xml:space="preserve">          </w:t>
      </w:r>
    </w:p>
    <w:p w14:paraId="36413432">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firstLine="240" w:firstLineChars="100"/>
        <w:textAlignment w:val="auto"/>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（4）</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67D9C2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本合同是否为专门面向中小企业的采购合同（中小企业预留合同）：</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4586FA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若本项目不专门面向中小企业采购，是否给予小微企业评审优惠：</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2BD35919">
      <w:pPr>
        <w:keepNext w:val="0"/>
        <w:keepLines w:val="0"/>
        <w:pageBreakBefore w:val="0"/>
        <w:kinsoku/>
        <w:wordWrap/>
        <w:overflowPunct/>
        <w:topLinePunct w:val="0"/>
        <w:bidi w:val="0"/>
        <w:adjustRightInd w:val="0"/>
        <w:snapToGrid w:val="0"/>
        <w:spacing w:line="400" w:lineRule="exact"/>
        <w:ind w:leftChars="0" w:firstLine="1080" w:firstLineChars="45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中标（成交）采购标的制造商是否为残疾人福利性单位：</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4B1C5200">
      <w:pPr>
        <w:keepNext w:val="0"/>
        <w:keepLines w:val="0"/>
        <w:pageBreakBefore w:val="0"/>
        <w:kinsoku/>
        <w:wordWrap/>
        <w:overflowPunct/>
        <w:topLinePunct w:val="0"/>
        <w:bidi w:val="0"/>
        <w:adjustRightInd w:val="0"/>
        <w:snapToGrid w:val="0"/>
        <w:spacing w:line="400" w:lineRule="exact"/>
        <w:ind w:leftChars="0" w:firstLine="1080" w:firstLineChars="4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中标</w:t>
      </w:r>
      <w:r>
        <w:rPr>
          <w:rFonts w:hint="eastAsia" w:ascii="宋体" w:hAnsi="宋体" w:eastAsia="宋体" w:cs="宋体"/>
          <w:color w:val="auto"/>
          <w:sz w:val="24"/>
          <w:szCs w:val="24"/>
          <w:highlight w:val="none"/>
          <w:lang w:val="en-US" w:eastAsia="zh-CN"/>
        </w:rPr>
        <w:t>（成交）采购标的制造商是否为监狱企业：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142B396">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762D23A">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A35622B">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5CBC713F">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3BB9DCB">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2446F6F1">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45D7CC31">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7C6F8235">
      <w:pPr>
        <w:keepNext w:val="0"/>
        <w:keepLines w:val="0"/>
        <w:pageBreakBefore w:val="0"/>
        <w:numPr>
          <w:ilvl w:val="0"/>
          <w:numId w:val="0"/>
        </w:numPr>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（6）中标（成交）供应商是否为外商投资企业：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2C9E185">
      <w:pPr>
        <w:keepNext w:val="0"/>
        <w:keepLines w:val="0"/>
        <w:pageBreakBefore w:val="0"/>
        <w:tabs>
          <w:tab w:val="left" w:pos="1340"/>
        </w:tabs>
        <w:kinsoku/>
        <w:wordWrap/>
        <w:overflowPunct/>
        <w:topLinePunct w:val="0"/>
        <w:autoSpaceDE w:val="0"/>
        <w:autoSpaceDN w:val="0"/>
        <w:bidi w:val="0"/>
        <w:adjustRightInd w:val="0"/>
        <w:spacing w:line="400" w:lineRule="exact"/>
        <w:ind w:leftChars="0" w:firstLine="480" w:firstLineChars="200"/>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bidi="ar-SA"/>
        </w:rPr>
        <w:t xml:space="preserve">     外商投资企业类型：</w:t>
      </w:r>
      <w:r>
        <w:rPr>
          <w:rFonts w:hint="eastAsia" w:ascii="宋体" w:hAnsi="宋体" w:eastAsia="宋体" w:cs="宋体"/>
          <w:iCs/>
          <w:color w:val="auto"/>
          <w:sz w:val="24"/>
          <w:szCs w:val="24"/>
          <w:highlight w:val="none"/>
          <w:lang w:val="en-US" w:eastAsia="zh-CN" w:bidi="ar-SA"/>
        </w:rPr>
        <w:sym w:font="Wingdings" w:char="00A8"/>
      </w:r>
      <w:r>
        <w:rPr>
          <w:rFonts w:hint="eastAsia" w:ascii="宋体" w:hAnsi="宋体" w:eastAsia="宋体" w:cs="宋体"/>
          <w:color w:val="auto"/>
          <w:sz w:val="24"/>
          <w:szCs w:val="24"/>
          <w:highlight w:val="none"/>
          <w:u w:val="none"/>
          <w:lang w:val="en-US" w:eastAsia="zh-CN" w:bidi="ar-SA"/>
        </w:rPr>
        <w:t xml:space="preserve">全部由外国投资者投资  </w:t>
      </w:r>
      <w:r>
        <w:rPr>
          <w:rFonts w:hint="eastAsia" w:ascii="宋体" w:hAnsi="宋体" w:eastAsia="宋体" w:cs="宋体"/>
          <w:iCs/>
          <w:color w:val="auto"/>
          <w:sz w:val="24"/>
          <w:szCs w:val="24"/>
          <w:highlight w:val="none"/>
          <w:lang w:val="en-US" w:eastAsia="zh-CN" w:bidi="ar-SA"/>
        </w:rPr>
        <w:sym w:font="Wingdings" w:char="00A8"/>
      </w:r>
      <w:r>
        <w:rPr>
          <w:rFonts w:hint="eastAsia" w:ascii="宋体" w:hAnsi="宋体" w:eastAsia="宋体" w:cs="宋体"/>
          <w:iCs/>
          <w:color w:val="auto"/>
          <w:sz w:val="24"/>
          <w:szCs w:val="24"/>
          <w:highlight w:val="none"/>
          <w:lang w:val="en-US" w:eastAsia="zh-CN" w:bidi="ar-SA"/>
        </w:rPr>
        <w:t>部分由外国投资者投资</w:t>
      </w:r>
    </w:p>
    <w:p w14:paraId="08AEF3AB">
      <w:pPr>
        <w:keepNext w:val="0"/>
        <w:keepLines w:val="0"/>
        <w:pageBreakBefore w:val="0"/>
        <w:numPr>
          <w:ilvl w:val="0"/>
          <w:numId w:val="0"/>
        </w:numPr>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（7）是否涉及进口产品：</w:t>
      </w:r>
    </w:p>
    <w:p w14:paraId="384100C1">
      <w:pPr>
        <w:keepNext w:val="0"/>
        <w:keepLines w:val="0"/>
        <w:pageBreakBefore w:val="0"/>
        <w:numPr>
          <w:ilvl w:val="0"/>
          <w:numId w:val="0"/>
        </w:numPr>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2F2297CE">
      <w:pPr>
        <w:keepNext w:val="0"/>
        <w:keepLines w:val="0"/>
        <w:pageBreakBefore w:val="0"/>
        <w:numPr>
          <w:ilvl w:val="0"/>
          <w:numId w:val="0"/>
        </w:numPr>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2519F35E">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7E06A278">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（8）是否涉及节能产品：</w:t>
      </w:r>
    </w:p>
    <w:p w14:paraId="7E28F100">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6C0F2BD">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B73C92F">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077E5ED">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10EA2B57">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4B06E770">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08B4D013">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40828E0C">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firstLine="0" w:firstLineChars="0"/>
        <w:textAlignment w:val="auto"/>
        <w:rPr>
          <w:rFonts w:hint="eastAsia" w:ascii="宋体" w:hAnsi="宋体" w:eastAsia="宋体" w:cs="宋体"/>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是否涉及绿色产品：</w:t>
      </w:r>
      <w:r>
        <w:rPr>
          <w:rFonts w:hint="eastAsia" w:ascii="宋体" w:hAnsi="宋体" w:eastAsia="宋体" w:cs="宋体"/>
          <w:iCs w:val="0"/>
          <w:color w:val="auto"/>
          <w:kern w:val="2"/>
          <w:sz w:val="24"/>
          <w:szCs w:val="24"/>
          <w:highlight w:val="none"/>
          <w:u w:val="none"/>
          <w:lang w:val="en-US" w:eastAsia="zh-CN" w:bidi="ar-SA"/>
        </w:rPr>
        <w:t xml:space="preserve"> </w:t>
      </w:r>
    </w:p>
    <w:p w14:paraId="25D42B07">
      <w:pPr>
        <w:keepNext w:val="0"/>
        <w:keepLines w:val="0"/>
        <w:pageBreakBefore w:val="0"/>
        <w:kinsoku/>
        <w:wordWrap/>
        <w:overflowPunct/>
        <w:topLinePunct w:val="0"/>
        <w:autoSpaceDE w:val="0"/>
        <w:autoSpaceDN w:val="0"/>
        <w:bidi w:val="0"/>
        <w:adjustRightInd w:val="0"/>
        <w:spacing w:line="400" w:lineRule="exact"/>
        <w:ind w:leftChars="0" w:firstLine="420" w:firstLineChars="0"/>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iCs w:val="0"/>
          <w:color w:val="auto"/>
          <w:kern w:val="2"/>
          <w:sz w:val="24"/>
          <w:szCs w:val="24"/>
          <w:highlight w:val="none"/>
          <w:u w:val="none"/>
          <w:lang w:val="en-US" w:eastAsia="zh-CN" w:bidi="ar-SA"/>
        </w:rPr>
        <w:t xml:space="preserve">     </w:t>
      </w:r>
      <w:r>
        <w:rPr>
          <w:rFonts w:hint="eastAsia" w:ascii="宋体" w:hAnsi="宋体" w:eastAsia="宋体" w:cs="宋体"/>
          <w:iCs w:val="0"/>
          <w:color w:val="auto"/>
          <w:kern w:val="2"/>
          <w:sz w:val="24"/>
          <w:szCs w:val="24"/>
          <w:highlight w:val="none"/>
          <w:u w:val="none"/>
          <w:lang w:val="en-US" w:eastAsia="zh-CN" w:bidi="ar-SA"/>
        </w:rPr>
        <w:sym w:font="Wingdings" w:char="00A8"/>
      </w:r>
      <w:r>
        <w:rPr>
          <w:rFonts w:hint="eastAsia" w:ascii="宋体" w:hAnsi="宋体" w:eastAsia="宋体" w:cs="宋体"/>
          <w:iCs w:val="0"/>
          <w:color w:val="auto"/>
          <w:kern w:val="2"/>
          <w:sz w:val="24"/>
          <w:szCs w:val="24"/>
          <w:highlight w:val="none"/>
          <w:u w:val="none"/>
          <w:lang w:val="en-US" w:eastAsia="zh-CN" w:bidi="ar-SA"/>
        </w:rPr>
        <w:t>是，绿色产品政府采购相关政策确定的底级品目名称：</w:t>
      </w:r>
      <w:r>
        <w:rPr>
          <w:rFonts w:hint="eastAsia" w:ascii="宋体" w:hAnsi="宋体" w:eastAsia="宋体" w:cs="宋体"/>
          <w:color w:val="auto"/>
          <w:sz w:val="24"/>
          <w:szCs w:val="24"/>
          <w:highlight w:val="none"/>
          <w:u w:val="single"/>
          <w:lang w:val="en-US" w:eastAsia="zh-CN" w:bidi="ar-SA"/>
        </w:rPr>
        <w:t xml:space="preserve">         </w:t>
      </w:r>
    </w:p>
    <w:p w14:paraId="0C5B15AF">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1BFB3190">
      <w:pPr>
        <w:keepNext w:val="0"/>
        <w:keepLines w:val="0"/>
        <w:pageBreakBefore w:val="0"/>
        <w:kinsoku/>
        <w:wordWrap/>
        <w:overflowPunct/>
        <w:topLinePunct w:val="0"/>
        <w:autoSpaceDE w:val="0"/>
        <w:autoSpaceDN w:val="0"/>
        <w:bidi w:val="0"/>
        <w:adjustRightInd w:val="0"/>
        <w:spacing w:line="400" w:lineRule="exact"/>
        <w:ind w:leftChars="0" w:firstLine="420" w:firstLineChars="0"/>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iCs w:val="0"/>
          <w:color w:val="auto"/>
          <w:kern w:val="2"/>
          <w:sz w:val="24"/>
          <w:szCs w:val="24"/>
          <w:highlight w:val="none"/>
          <w:u w:val="none"/>
          <w:lang w:val="en-US" w:eastAsia="zh-CN" w:bidi="ar-SA"/>
        </w:rPr>
        <w:t xml:space="preserve">     </w:t>
      </w:r>
      <w:r>
        <w:rPr>
          <w:rFonts w:hint="eastAsia" w:ascii="宋体" w:hAnsi="宋体" w:eastAsia="宋体" w:cs="宋体"/>
          <w:iCs w:val="0"/>
          <w:color w:val="auto"/>
          <w:kern w:val="2"/>
          <w:sz w:val="24"/>
          <w:szCs w:val="24"/>
          <w:highlight w:val="none"/>
          <w:u w:val="none"/>
          <w:lang w:val="en-US" w:eastAsia="zh-CN" w:bidi="ar-SA"/>
        </w:rPr>
        <w:sym w:font="Wingdings" w:char="00A8"/>
      </w:r>
      <w:r>
        <w:rPr>
          <w:rFonts w:hint="eastAsia" w:ascii="宋体" w:hAnsi="宋体" w:eastAsia="宋体" w:cs="宋体"/>
          <w:iCs w:val="0"/>
          <w:color w:val="auto"/>
          <w:kern w:val="2"/>
          <w:sz w:val="24"/>
          <w:szCs w:val="24"/>
          <w:highlight w:val="none"/>
          <w:u w:val="none"/>
          <w:lang w:val="en-US" w:eastAsia="zh-CN" w:bidi="ar-SA"/>
        </w:rPr>
        <w:t>否</w:t>
      </w:r>
    </w:p>
    <w:p w14:paraId="0C7E3DEA">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40348D7A">
      <w:pPr>
        <w:keepNext w:val="0"/>
        <w:keepLines w:val="0"/>
        <w:pageBreakBefore w:val="0"/>
        <w:widowControl w:val="0"/>
        <w:kinsoku/>
        <w:wordWrap/>
        <w:overflowPunct/>
        <w:topLinePunct w:val="0"/>
        <w:bidi w:val="0"/>
        <w:spacing w:line="400" w:lineRule="exact"/>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（1）本合同金额为（大写）：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元）人民币。</w:t>
      </w:r>
    </w:p>
    <w:p w14:paraId="7DDB89D8">
      <w:pPr>
        <w:widowControl w:val="0"/>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（2）付款方式：（按项目实际勾选填写）：</w:t>
      </w:r>
    </w:p>
    <w:p w14:paraId="3BD21982">
      <w:pPr>
        <w:adjustRightInd w:val="0"/>
        <w:snapToGrid w:val="0"/>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1528D59B">
      <w:pPr>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lang w:val="en-US" w:eastAsia="zh-CN"/>
        </w:rPr>
        <w:t>每月24日对账结算，以双方签字盖</w:t>
      </w:r>
      <w:bookmarkStart w:id="141" w:name="OLE_LINK24"/>
      <w:r>
        <w:rPr>
          <w:rFonts w:hint="eastAsia" w:ascii="宋体" w:hAnsi="宋体" w:eastAsia="宋体" w:cs="宋体"/>
          <w:color w:val="auto"/>
          <w:sz w:val="24"/>
          <w:szCs w:val="24"/>
          <w:highlight w:val="none"/>
          <w:u w:val="single"/>
          <w:lang w:val="en-US" w:eastAsia="zh-CN"/>
        </w:rPr>
        <w:t>章的结算单为付款依据，次月月底支付上月总货款的70%，每月剩余货款</w:t>
      </w:r>
      <w:r>
        <w:rPr>
          <w:rFonts w:hint="eastAsia" w:ascii="宋体" w:hAnsi="宋体" w:cs="宋体"/>
          <w:color w:val="auto"/>
          <w:sz w:val="24"/>
          <w:szCs w:val="24"/>
          <w:highlight w:val="none"/>
          <w:u w:val="single"/>
          <w:lang w:val="en-US" w:eastAsia="zh-CN"/>
        </w:rPr>
        <w:t>待</w:t>
      </w:r>
      <w:r>
        <w:rPr>
          <w:rFonts w:hint="eastAsia" w:ascii="宋体" w:hAnsi="宋体" w:eastAsia="宋体" w:cs="宋体"/>
          <w:color w:val="auto"/>
          <w:sz w:val="24"/>
          <w:szCs w:val="24"/>
          <w:highlight w:val="none"/>
          <w:u w:val="single"/>
          <w:lang w:val="en-US" w:eastAsia="zh-CN"/>
        </w:rPr>
        <w:t>合同到期后6个月内全款无息付清</w:t>
      </w:r>
      <w:bookmarkEnd w:id="141"/>
      <w:r>
        <w:rPr>
          <w:rFonts w:hint="eastAsia" w:ascii="宋体" w:hAnsi="宋体" w:eastAsia="宋体" w:cs="宋体"/>
          <w:color w:val="auto"/>
          <w:sz w:val="24"/>
          <w:szCs w:val="24"/>
          <w:highlight w:val="none"/>
          <w:u w:val="single"/>
          <w:lang w:val="en-US" w:eastAsia="zh-CN"/>
        </w:rPr>
        <w:t>，乙方应开具13%的增值税专用发票。</w:t>
      </w:r>
      <w:r>
        <w:rPr>
          <w:rFonts w:hint="eastAsia" w:ascii="宋体" w:hAnsi="宋体" w:eastAsia="宋体" w:cs="宋体"/>
          <w:color w:val="auto"/>
          <w:sz w:val="24"/>
          <w:szCs w:val="24"/>
          <w:highlight w:val="none"/>
          <w:u w:val="none"/>
          <w:lang w:val="en-US" w:eastAsia="zh-CN"/>
        </w:rPr>
        <w:t xml:space="preserve">   </w:t>
      </w:r>
    </w:p>
    <w:p w14:paraId="011A62CF">
      <w:pPr>
        <w:adjustRightInd w:val="0"/>
        <w:snapToGrid w:val="0"/>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46D70EC9">
      <w:pPr>
        <w:adjustRightInd w:val="0"/>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97D1420">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3E6ED33C">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 xml:space="preserve"> </w:t>
      </w:r>
    </w:p>
    <w:p w14:paraId="7F9B235A">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BE76932">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（3）履约担保的金额：</w:t>
      </w:r>
      <w:r>
        <w:rPr>
          <w:rFonts w:hint="eastAsia" w:ascii="宋体" w:hAnsi="宋体" w:eastAsia="宋体" w:cs="宋体"/>
          <w:bCs/>
          <w:color w:val="auto"/>
          <w:sz w:val="24"/>
          <w:szCs w:val="24"/>
          <w:highlight w:val="none"/>
          <w:lang w:eastAsia="zh-CN"/>
        </w:rPr>
        <w:t>中标价的</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（不计息）。</w:t>
      </w:r>
    </w:p>
    <w:p w14:paraId="543B1DA7">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履约担保的形式：现金、支票、汇票、本票或者金融机构、保险公司、担保机构出具的保函（见函即付）/保险</w:t>
      </w:r>
    </w:p>
    <w:p w14:paraId="224FA09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sym w:font="Wingdings" w:char="00A8"/>
      </w:r>
      <w:r>
        <w:rPr>
          <w:rFonts w:hint="eastAsia" w:ascii="宋体" w:hAnsi="宋体" w:eastAsia="宋体" w:cs="宋体"/>
          <w:bCs/>
          <w:color w:val="auto"/>
          <w:sz w:val="24"/>
          <w:szCs w:val="24"/>
          <w:highlight w:val="none"/>
          <w:lang w:val="en-US" w:eastAsia="zh-CN"/>
        </w:rPr>
        <w:t>履约担保形式为现金（账户另行通知），履约保证金待合同期满视履约情况到采购人处办理履约保证金的退还手续（不计息）；</w:t>
      </w:r>
    </w:p>
    <w:p w14:paraId="1D87FB22">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sym w:font="Wingdings" w:char="00A8"/>
      </w:r>
      <w:r>
        <w:rPr>
          <w:rFonts w:hint="eastAsia" w:ascii="宋体" w:hAnsi="宋体" w:eastAsia="宋体" w:cs="宋体"/>
          <w:bCs/>
          <w:color w:val="auto"/>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乙方的违约金额无法从支票、汇票、本票或保函/保险出具单位理赔的，甲方有权从合同款中予以直接扣除。</w:t>
      </w:r>
    </w:p>
    <w:p w14:paraId="7D54F915">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合同验收</w:t>
      </w:r>
    </w:p>
    <w:p w14:paraId="7071AD6D">
      <w:pPr>
        <w:numPr>
          <w:ilvl w:val="0"/>
          <w:numId w:val="11"/>
        </w:numPr>
        <w:adjustRightInd w:val="0"/>
        <w:snapToGrid w:val="0"/>
        <w:spacing w:line="40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验收组织方式：</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自行组织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委托第三方组织</w:t>
      </w:r>
    </w:p>
    <w:p w14:paraId="2DB55B92">
      <w:pPr>
        <w:adjustRightInd w:val="0"/>
        <w:snapToGrid w:val="0"/>
        <w:spacing w:line="40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验收主体：</w:t>
      </w:r>
      <w:r>
        <w:rPr>
          <w:rFonts w:hint="eastAsia" w:asciiTheme="minorEastAsia" w:hAnsiTheme="minorEastAsia" w:eastAsiaTheme="minorEastAsia" w:cstheme="minorEastAsia"/>
          <w:bCs/>
          <w:color w:val="auto"/>
          <w:sz w:val="24"/>
          <w:szCs w:val="24"/>
          <w:highlight w:val="none"/>
          <w:u w:val="single"/>
        </w:rPr>
        <w:t xml:space="preserve">                  </w:t>
      </w:r>
    </w:p>
    <w:p w14:paraId="57E7F7C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是否邀请本项目的其他供应商参加验收：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4EA2602">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是否邀请专家参加验收：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0265B5A">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是否邀请服务对象参加验收：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03E4CD16">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是否邀请第三方检测机构参加验收：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02C74FAE">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是否进行抽查检测：</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是，抽查比例：</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55D52798">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是否存在破坏性检测：</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u w:val="single"/>
        </w:rPr>
        <w:t>（应明确对被破坏的检测产品的处理方式）</w:t>
      </w:r>
    </w:p>
    <w:p w14:paraId="1B643EA8">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4B446B5">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验收组织的其他事项：</w:t>
      </w:r>
      <w:r>
        <w:rPr>
          <w:rFonts w:hint="eastAsia" w:asciiTheme="minorEastAsia" w:hAnsiTheme="minorEastAsia" w:eastAsiaTheme="minorEastAsia" w:cstheme="minorEastAsia"/>
          <w:bCs/>
          <w:color w:val="auto"/>
          <w:sz w:val="24"/>
          <w:szCs w:val="24"/>
          <w:highlight w:val="none"/>
          <w:u w:val="single"/>
        </w:rPr>
        <w:t xml:space="preserve">                </w:t>
      </w:r>
    </w:p>
    <w:p w14:paraId="491D8063">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（2）履约验收时间：</w:t>
      </w:r>
      <w:r>
        <w:rPr>
          <w:rFonts w:hint="eastAsia" w:asciiTheme="minorEastAsia" w:hAnsiTheme="minorEastAsia" w:eastAsiaTheme="minorEastAsia" w:cstheme="minorEastAsia"/>
          <w:bCs/>
          <w:color w:val="auto"/>
          <w:sz w:val="24"/>
          <w:szCs w:val="24"/>
          <w:highlight w:val="none"/>
          <w:u w:val="single"/>
        </w:rPr>
        <w:t xml:space="preserve">（计划于何时验收/供应商提出验收申请之日起   日内组织验收） </w:t>
      </w:r>
    </w:p>
    <w:p w14:paraId="1FA18623">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（3）履约验收方式：</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一次性验收         </w:t>
      </w:r>
    </w:p>
    <w:p w14:paraId="02A2FD1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分期/分项验收：</w:t>
      </w:r>
      <w:r>
        <w:rPr>
          <w:rFonts w:hint="eastAsia" w:asciiTheme="minorEastAsia" w:hAnsiTheme="minorEastAsia" w:eastAsiaTheme="minorEastAsia" w:cstheme="minorEastAsia"/>
          <w:bCs/>
          <w:color w:val="auto"/>
          <w:sz w:val="24"/>
          <w:szCs w:val="24"/>
          <w:highlight w:val="none"/>
          <w:u w:val="single"/>
        </w:rPr>
        <w:t xml:space="preserve">                </w:t>
      </w:r>
    </w:p>
    <w:p w14:paraId="5132B67B">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（4）履约验收程序：</w:t>
      </w:r>
      <w:r>
        <w:rPr>
          <w:rFonts w:hint="eastAsia" w:asciiTheme="minorEastAsia" w:hAnsiTheme="minorEastAsia" w:eastAsiaTheme="minorEastAsia" w:cstheme="minorEastAsia"/>
          <w:bCs/>
          <w:color w:val="auto"/>
          <w:sz w:val="24"/>
          <w:szCs w:val="24"/>
          <w:highlight w:val="none"/>
          <w:u w:val="single"/>
        </w:rPr>
        <w:t xml:space="preserve">                                         </w:t>
      </w:r>
    </w:p>
    <w:p w14:paraId="420E329E">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（5）履约验收的内容：</w:t>
      </w:r>
      <w:r>
        <w:rPr>
          <w:rFonts w:hint="eastAsia" w:asciiTheme="minorEastAsia" w:hAnsiTheme="minorEastAsia" w:eastAsiaTheme="minorEastAsia" w:cstheme="minorEastAsia"/>
          <w:bCs/>
          <w:color w:val="auto"/>
          <w:sz w:val="24"/>
          <w:szCs w:val="24"/>
          <w:highlight w:val="none"/>
          <w:u w:val="single"/>
        </w:rPr>
        <w:t xml:space="preserve"> （应当包括每一项技术和商务要求的履约情况，特别是落实政府采购扶持中小企业，支持绿色发展和乡村振兴等政策情况）                                      </w:t>
      </w:r>
    </w:p>
    <w:p w14:paraId="7E0818EF">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（6）履约验收标准：</w:t>
      </w:r>
      <w:r>
        <w:rPr>
          <w:rFonts w:hint="eastAsia" w:asciiTheme="minorEastAsia" w:hAnsiTheme="minorEastAsia" w:eastAsiaTheme="minorEastAsia" w:cstheme="minorEastAsia"/>
          <w:bCs/>
          <w:color w:val="auto"/>
          <w:sz w:val="24"/>
          <w:szCs w:val="24"/>
          <w:highlight w:val="none"/>
          <w:u w:val="single"/>
        </w:rPr>
        <w:t xml:space="preserve">                                         </w:t>
      </w:r>
    </w:p>
    <w:p w14:paraId="74EE3435">
      <w:pPr>
        <w:pStyle w:val="143"/>
        <w:keepNext w:val="0"/>
        <w:keepLines w:val="0"/>
        <w:pageBreakBefore w:val="0"/>
        <w:kinsoku/>
        <w:wordWrap/>
        <w:overflowPunct/>
        <w:topLinePunct w:val="0"/>
        <w:bidi w:val="0"/>
        <w:adjustRightInd w:val="0"/>
        <w:spacing w:line="38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（7）是否以采购活动中供应商提供的样品作为参考：</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59C5FE5B">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（8）履约验收其他事项：</w:t>
      </w:r>
      <w:r>
        <w:rPr>
          <w:rFonts w:hint="eastAsia" w:asciiTheme="minorEastAsia" w:hAnsiTheme="minorEastAsia" w:eastAsiaTheme="minorEastAsia" w:cstheme="minorEastAsia"/>
          <w:bCs/>
          <w:color w:val="auto"/>
          <w:sz w:val="24"/>
          <w:szCs w:val="24"/>
          <w:highlight w:val="none"/>
          <w:u w:val="single"/>
        </w:rPr>
        <w:t xml:space="preserve">      （产权过户登记等）          </w:t>
      </w:r>
    </w:p>
    <w:p w14:paraId="12CB5AE8">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3C220EAF">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3F5F5C9E">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7D85BD9B">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）采购合同专用条款</w:t>
      </w:r>
    </w:p>
    <w:p w14:paraId="5276F43C">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）采购合同通用条款</w:t>
      </w:r>
    </w:p>
    <w:p w14:paraId="1C2886E8">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597B127">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798027C4">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53ED16C4">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6BB780A5">
      <w:pPr>
        <w:keepNext w:val="0"/>
        <w:keepLines w:val="0"/>
        <w:pageBreakBefore w:val="0"/>
        <w:kinsoku/>
        <w:wordWrap/>
        <w:overflowPunct/>
        <w:topLinePunct w:val="0"/>
        <w:autoSpaceDE w:val="0"/>
        <w:autoSpaceDN w:val="0"/>
        <w:bidi w:val="0"/>
        <w:adjustRightInd w:val="0"/>
        <w:spacing w:line="38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bCs w:val="0"/>
          <w:color w:val="auto"/>
          <w:kern w:val="2"/>
          <w:sz w:val="24"/>
          <w:szCs w:val="24"/>
          <w:highlight w:val="none"/>
          <w:lang w:val="en-US" w:eastAsia="zh-CN" w:bidi="ar-SA"/>
        </w:rPr>
        <w:t>国家法律、行政法规和规章制度规定或合同约定的作为合同组成部分的其他文件</w:t>
      </w:r>
    </w:p>
    <w:p w14:paraId="3331ED91">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393D65FC">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5AE39E2D">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8CB89E2">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65CC258D">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372573">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AF17044">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p>
    <w:p w14:paraId="66A656C5">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1A03E224">
      <w:pPr>
        <w:rPr>
          <w:rFonts w:hint="eastAsia" w:ascii="宋体" w:hAnsi="宋体" w:eastAsia="宋体" w:cs="宋体"/>
          <w:color w:val="auto"/>
          <w:sz w:val="24"/>
          <w:szCs w:val="24"/>
          <w:highlight w:val="none"/>
        </w:rPr>
      </w:pPr>
    </w:p>
    <w:tbl>
      <w:tblPr>
        <w:tblStyle w:val="46"/>
        <w:tblW w:w="5200" w:type="pct"/>
        <w:tblInd w:w="-489"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468"/>
        <w:gridCol w:w="2533"/>
        <w:gridCol w:w="2077"/>
        <w:gridCol w:w="2226"/>
      </w:tblGrid>
      <w:tr w14:paraId="197A5F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688" w:type="pct"/>
            <w:gridSpan w:val="2"/>
            <w:tcBorders>
              <w:bottom w:val="single" w:color="auto" w:sz="2" w:space="0"/>
              <w:right w:val="single" w:color="auto" w:sz="2" w:space="0"/>
            </w:tcBorders>
            <w:noWrap w:val="0"/>
            <w:vAlign w:val="center"/>
          </w:tcPr>
          <w:p w14:paraId="04791F9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tc>
        <w:tc>
          <w:tcPr>
            <w:tcW w:w="2311" w:type="pct"/>
            <w:gridSpan w:val="2"/>
            <w:tcBorders>
              <w:left w:val="single" w:color="auto" w:sz="2" w:space="0"/>
              <w:bottom w:val="single" w:color="auto" w:sz="2" w:space="0"/>
            </w:tcBorders>
            <w:noWrap w:val="0"/>
            <w:vAlign w:val="center"/>
          </w:tcPr>
          <w:p w14:paraId="5423BB4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0428D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27" w:type="pct"/>
            <w:tcBorders>
              <w:top w:val="single" w:color="auto" w:sz="2" w:space="0"/>
              <w:bottom w:val="single" w:color="auto" w:sz="2" w:space="0"/>
              <w:right w:val="single" w:color="auto" w:sz="2" w:space="0"/>
            </w:tcBorders>
            <w:noWrap w:val="0"/>
            <w:vAlign w:val="center"/>
          </w:tcPr>
          <w:p w14:paraId="6380138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77FF668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140909BF">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6B26563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1513800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195" w:type="pct"/>
            <w:tcBorders>
              <w:top w:val="single" w:color="auto" w:sz="2" w:space="0"/>
              <w:left w:val="single" w:color="auto" w:sz="2" w:space="0"/>
              <w:bottom w:val="single" w:color="auto" w:sz="2" w:space="0"/>
            </w:tcBorders>
            <w:noWrap w:val="0"/>
            <w:vAlign w:val="center"/>
          </w:tcPr>
          <w:p w14:paraId="4782387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13205C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1327" w:type="pct"/>
            <w:tcBorders>
              <w:top w:val="single" w:color="auto" w:sz="2" w:space="0"/>
              <w:right w:val="single" w:color="auto" w:sz="2" w:space="0"/>
            </w:tcBorders>
            <w:noWrap w:val="0"/>
            <w:vAlign w:val="center"/>
          </w:tcPr>
          <w:p w14:paraId="67E0B44F">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4735087">
            <w:pPr>
              <w:pageBreakBefore w:val="0"/>
              <w:kinsoku/>
              <w:wordWrap/>
              <w:overflowPunct/>
              <w:topLinePunct w:val="0"/>
              <w:bidi w:val="0"/>
              <w:adjustRightInd w:val="0"/>
              <w:snapToGrid w:val="0"/>
              <w:spacing w:line="400" w:lineRule="exact"/>
              <w:ind w:leftChars="0"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p>
          <w:p w14:paraId="0B0D75AF">
            <w:pPr>
              <w:pageBreakBefore w:val="0"/>
              <w:kinsoku/>
              <w:wordWrap/>
              <w:overflowPunct/>
              <w:topLinePunct w:val="0"/>
              <w:bidi w:val="0"/>
              <w:adjustRightInd w:val="0"/>
              <w:snapToGrid w:val="0"/>
              <w:spacing w:line="400" w:lineRule="exact"/>
              <w:ind w:leftChars="0"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1361" w:type="pct"/>
            <w:tcBorders>
              <w:top w:val="single" w:color="auto" w:sz="2" w:space="0"/>
              <w:left w:val="single" w:color="auto" w:sz="2" w:space="0"/>
              <w:right w:val="single" w:color="auto" w:sz="2" w:space="0"/>
            </w:tcBorders>
            <w:noWrap w:val="0"/>
            <w:vAlign w:val="center"/>
          </w:tcPr>
          <w:p w14:paraId="0B7FC28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right w:val="single" w:color="auto" w:sz="2" w:space="0"/>
            </w:tcBorders>
            <w:noWrap w:val="0"/>
            <w:vAlign w:val="center"/>
          </w:tcPr>
          <w:p w14:paraId="4D4E0B5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4EB15D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195" w:type="pct"/>
            <w:tcBorders>
              <w:top w:val="single" w:color="auto" w:sz="2" w:space="0"/>
              <w:left w:val="single" w:color="auto" w:sz="2" w:space="0"/>
              <w:bottom w:val="single" w:color="auto" w:sz="2" w:space="0"/>
            </w:tcBorders>
            <w:noWrap w:val="0"/>
            <w:vAlign w:val="center"/>
          </w:tcPr>
          <w:p w14:paraId="2849918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r>
      <w:tr w14:paraId="21A960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1E21B00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68039D2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B0F08E8">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195" w:type="pct"/>
            <w:tcBorders>
              <w:top w:val="single" w:color="auto" w:sz="2" w:space="0"/>
              <w:left w:val="single" w:color="auto" w:sz="2" w:space="0"/>
              <w:bottom w:val="single" w:color="auto" w:sz="2" w:space="0"/>
            </w:tcBorders>
            <w:noWrap w:val="0"/>
            <w:vAlign w:val="center"/>
          </w:tcPr>
          <w:p w14:paraId="3DC09D4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7A806E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18EA4F2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6C70E53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449B690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195" w:type="pct"/>
            <w:tcBorders>
              <w:top w:val="single" w:color="auto" w:sz="2" w:space="0"/>
              <w:left w:val="single" w:color="auto" w:sz="2" w:space="0"/>
              <w:bottom w:val="single" w:color="auto" w:sz="2" w:space="0"/>
            </w:tcBorders>
            <w:noWrap w:val="0"/>
            <w:vAlign w:val="center"/>
          </w:tcPr>
          <w:p w14:paraId="5036D84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41B5A4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79C80D9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AFDFD3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BCD5B1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195" w:type="pct"/>
            <w:tcBorders>
              <w:top w:val="single" w:color="auto" w:sz="2" w:space="0"/>
              <w:left w:val="single" w:color="auto" w:sz="2" w:space="0"/>
              <w:bottom w:val="single" w:color="auto" w:sz="2" w:space="0"/>
            </w:tcBorders>
            <w:noWrap w:val="0"/>
            <w:vAlign w:val="center"/>
          </w:tcPr>
          <w:p w14:paraId="13E49B5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52528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2429F26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1C41352B">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8B5223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1195" w:type="pct"/>
            <w:tcBorders>
              <w:top w:val="single" w:color="auto" w:sz="2" w:space="0"/>
              <w:left w:val="single" w:color="auto" w:sz="2" w:space="0"/>
              <w:bottom w:val="single" w:color="auto" w:sz="2" w:space="0"/>
            </w:tcBorders>
            <w:noWrap w:val="0"/>
            <w:vAlign w:val="center"/>
          </w:tcPr>
          <w:p w14:paraId="03473C1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71307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5B2B961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27DF3E1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41234B9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195" w:type="pct"/>
            <w:tcBorders>
              <w:top w:val="single" w:color="auto" w:sz="2" w:space="0"/>
              <w:left w:val="single" w:color="auto" w:sz="2" w:space="0"/>
              <w:bottom w:val="single" w:color="auto" w:sz="2" w:space="0"/>
            </w:tcBorders>
            <w:noWrap w:val="0"/>
            <w:vAlign w:val="center"/>
          </w:tcPr>
          <w:p w14:paraId="1377F06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0A1149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337CDEE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3302C94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365F256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195" w:type="pct"/>
            <w:tcBorders>
              <w:top w:val="single" w:color="auto" w:sz="2" w:space="0"/>
              <w:left w:val="single" w:color="auto" w:sz="2" w:space="0"/>
              <w:bottom w:val="single" w:color="auto" w:sz="2" w:space="0"/>
            </w:tcBorders>
            <w:noWrap w:val="0"/>
            <w:vAlign w:val="center"/>
          </w:tcPr>
          <w:p w14:paraId="6E17E15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18096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0B17D4C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57FF2BC6">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2860D4F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195" w:type="pct"/>
            <w:tcBorders>
              <w:top w:val="single" w:color="auto" w:sz="2" w:space="0"/>
              <w:left w:val="single" w:color="auto" w:sz="2" w:space="0"/>
              <w:bottom w:val="single" w:color="auto" w:sz="2" w:space="0"/>
            </w:tcBorders>
            <w:noWrap w:val="0"/>
            <w:vAlign w:val="center"/>
          </w:tcPr>
          <w:p w14:paraId="01CE9FE6">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432C8D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255E16C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8FA5F5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66D1CE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195" w:type="pct"/>
            <w:tcBorders>
              <w:top w:val="single" w:color="auto" w:sz="2" w:space="0"/>
              <w:left w:val="single" w:color="auto" w:sz="2" w:space="0"/>
              <w:bottom w:val="single" w:color="auto" w:sz="2" w:space="0"/>
            </w:tcBorders>
            <w:noWrap w:val="0"/>
            <w:vAlign w:val="center"/>
          </w:tcPr>
          <w:p w14:paraId="536728DE">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52FE68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302152A8">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29E1900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207779D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195" w:type="pct"/>
            <w:tcBorders>
              <w:top w:val="single" w:color="auto" w:sz="2" w:space="0"/>
              <w:left w:val="single" w:color="auto" w:sz="2" w:space="0"/>
              <w:bottom w:val="single" w:color="auto" w:sz="2" w:space="0"/>
            </w:tcBorders>
            <w:noWrap w:val="0"/>
            <w:vAlign w:val="center"/>
          </w:tcPr>
          <w:p w14:paraId="53F6B4C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6170A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04B7FE3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49F7BB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F8BA312">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195" w:type="pct"/>
            <w:tcBorders>
              <w:top w:val="single" w:color="auto" w:sz="2" w:space="0"/>
              <w:left w:val="single" w:color="auto" w:sz="2" w:space="0"/>
              <w:bottom w:val="single" w:color="auto" w:sz="2" w:space="0"/>
            </w:tcBorders>
            <w:noWrap w:val="0"/>
            <w:vAlign w:val="center"/>
          </w:tcPr>
          <w:p w14:paraId="0975C07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662FE7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00" w:type="pct"/>
            <w:gridSpan w:val="4"/>
            <w:tcBorders>
              <w:top w:val="single" w:color="auto" w:sz="2" w:space="0"/>
            </w:tcBorders>
            <w:noWrap w:val="0"/>
            <w:vAlign w:val="center"/>
          </w:tcPr>
          <w:p w14:paraId="132F6B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合同鉴证方:</w:t>
            </w:r>
          </w:p>
          <w:p w14:paraId="5D71C0F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14:paraId="036D8CF6">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z w:val="24"/>
                <w:szCs w:val="24"/>
                <w:highlight w:val="none"/>
              </w:rPr>
              <w:t>鉴证日期:</w:t>
            </w:r>
          </w:p>
        </w:tc>
      </w:tr>
    </w:tbl>
    <w:p w14:paraId="3615D003">
      <w:pPr>
        <w:keepNext/>
        <w:keepLines/>
        <w:widowControl w:val="0"/>
        <w:adjustRightInd w:val="0"/>
        <w:snapToGrid w:val="0"/>
        <w:spacing w:before="156" w:beforeLines="50" w:after="260" w:afterLines="0" w:line="415" w:lineRule="auto"/>
        <w:jc w:val="center"/>
        <w:outlineLvl w:val="1"/>
        <w:rPr>
          <w:rFonts w:ascii="黑体" w:hAnsi="黑体" w:eastAsia="黑体" w:cs="Times New Roman"/>
          <w:b/>
          <w:bCs/>
          <w:color w:val="auto"/>
          <w:kern w:val="2"/>
          <w:sz w:val="28"/>
          <w:szCs w:val="28"/>
          <w:highlight w:val="none"/>
          <w:lang w:val="en-US" w:eastAsia="zh-CN" w:bidi="ar-SA"/>
        </w:rPr>
      </w:pPr>
      <w:r>
        <w:rPr>
          <w:rFonts w:ascii="宋体" w:hAnsi="宋体" w:eastAsia="楷体" w:cs="Times New Roman"/>
          <w:b/>
          <w:bCs/>
          <w:color w:val="auto"/>
          <w:kern w:val="2"/>
          <w:sz w:val="21"/>
          <w:szCs w:val="21"/>
          <w:highlight w:val="none"/>
          <w:u w:val="single"/>
          <w:lang w:val="en-US" w:eastAsia="zh-CN" w:bidi="ar-SA"/>
        </w:rPr>
        <w:br w:type="page"/>
      </w:r>
      <w:bookmarkStart w:id="142" w:name="_Toc27624"/>
      <w:r>
        <w:rPr>
          <w:rFonts w:hint="eastAsia" w:ascii="黑体" w:hAnsi="黑体" w:eastAsia="黑体" w:cs="Times New Roman"/>
          <w:b w:val="0"/>
          <w:bCs w:val="0"/>
          <w:color w:val="auto"/>
          <w:kern w:val="2"/>
          <w:sz w:val="28"/>
          <w:szCs w:val="28"/>
          <w:highlight w:val="none"/>
          <w:lang w:val="en-US" w:eastAsia="zh-CN" w:bidi="ar-SA"/>
        </w:rPr>
        <w:t>第二节 采购合同通用条款</w:t>
      </w:r>
      <w:bookmarkEnd w:id="142"/>
    </w:p>
    <w:p w14:paraId="28A367CB">
      <w:pPr>
        <w:pageBreakBefore w:val="0"/>
        <w:tabs>
          <w:tab w:val="left" w:pos="8820"/>
          <w:tab w:val="left" w:pos="9345"/>
          <w:tab w:val="left" w:pos="9765"/>
        </w:tabs>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051E60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4BB01C9">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w:t>
      </w:r>
      <w:r>
        <w:rPr>
          <w:rFonts w:hint="eastAsia" w:ascii="宋体" w:hAnsi="宋体" w:eastAsia="宋体" w:cs="宋体"/>
          <w:color w:val="auto"/>
          <w:sz w:val="24"/>
          <w:szCs w:val="24"/>
          <w:highlight w:val="none"/>
          <w:lang w:eastAsia="zh-CN"/>
        </w:rPr>
        <w:t>国有企业资金或专项债资金</w:t>
      </w:r>
      <w:r>
        <w:rPr>
          <w:rFonts w:hint="eastAsia" w:ascii="宋体" w:hAnsi="宋体" w:eastAsia="宋体" w:cs="宋体"/>
          <w:color w:val="auto"/>
          <w:sz w:val="24"/>
          <w:szCs w:val="24"/>
          <w:highlight w:val="none"/>
        </w:rPr>
        <w:t>，通过采购</w:t>
      </w:r>
      <w:r>
        <w:rPr>
          <w:rFonts w:hint="eastAsia" w:ascii="宋体" w:hAnsi="宋体" w:eastAsia="宋体" w:cs="宋体"/>
          <w:color w:val="auto"/>
          <w:sz w:val="24"/>
          <w:szCs w:val="24"/>
          <w:highlight w:val="none"/>
          <w:lang w:eastAsia="zh-CN"/>
        </w:rPr>
        <w:t>方式</w:t>
      </w:r>
      <w:r>
        <w:rPr>
          <w:rFonts w:hint="eastAsia" w:ascii="宋体" w:hAnsi="宋体" w:eastAsia="宋体" w:cs="宋体"/>
          <w:color w:val="auto"/>
          <w:sz w:val="24"/>
          <w:szCs w:val="24"/>
          <w:highlight w:val="none"/>
        </w:rPr>
        <w:t>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lang w:eastAsia="zh-CN"/>
        </w:rPr>
        <w:t>国有企业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组织。</w:t>
      </w:r>
    </w:p>
    <w:p w14:paraId="12A9671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98AEC8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F82AF1A">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E19AD90">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25C5E6B6">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71F0AB1">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3C7AF50">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2A62A41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4C2C89DC">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w:t>
      </w:r>
    </w:p>
    <w:p w14:paraId="041120DE">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w:t>
      </w:r>
    </w:p>
    <w:p w14:paraId="673FE72A">
      <w:pPr>
        <w:pageBreakBefore w:val="0"/>
        <w:numPr>
          <w:ilvl w:val="0"/>
          <w:numId w:val="12"/>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8B8CCD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3A9D6C3">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5178CDF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79B58883">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017E454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50F5FAC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F8825E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964867B">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35957C3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153B24E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2CF14D67">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5079620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78B2DEF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1D35CB08">
      <w:pPr>
        <w:pageBreakBefore w:val="0"/>
        <w:widowControl w:val="0"/>
        <w:kinsoku/>
        <w:wordWrap/>
        <w:overflowPunct/>
        <w:topLinePunct w:val="0"/>
        <w:bidi w:val="0"/>
        <w:spacing w:after="0" w:afterLines="0" w:line="400" w:lineRule="exact"/>
        <w:ind w:firstLine="422" w:firstLineChars="176"/>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5.3乙方有权根据合同约定向甲方收取合同价款。</w:t>
      </w:r>
    </w:p>
    <w:p w14:paraId="36D6DC52">
      <w:pPr>
        <w:pageBreakBefore w:val="0"/>
        <w:widowControl w:val="0"/>
        <w:kinsoku/>
        <w:wordWrap/>
        <w:overflowPunct/>
        <w:topLinePunct w:val="0"/>
        <w:bidi w:val="0"/>
        <w:spacing w:after="0" w:afterLines="0" w:line="400" w:lineRule="exact"/>
        <w:ind w:firstLine="422" w:firstLineChars="176"/>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5.4国家法律法规规定及</w:t>
      </w:r>
      <w:r>
        <w:rPr>
          <w:rFonts w:hint="eastAsia" w:ascii="宋体" w:hAnsi="宋体" w:eastAsia="宋体" w:cs="宋体"/>
          <w:b/>
          <w:bCs/>
          <w:color w:val="auto"/>
          <w:kern w:val="2"/>
          <w:sz w:val="24"/>
          <w:szCs w:val="24"/>
          <w:highlight w:val="none"/>
          <w:lang w:val="en-US" w:eastAsia="zh-CN" w:bidi="ar-SA"/>
        </w:rPr>
        <w:t>【采购合同专用条款】</w:t>
      </w:r>
      <w:r>
        <w:rPr>
          <w:rFonts w:hint="eastAsia" w:ascii="宋体" w:hAnsi="宋体" w:eastAsia="宋体" w:cs="宋体"/>
          <w:b w:val="0"/>
          <w:bCs w:val="0"/>
          <w:color w:val="auto"/>
          <w:kern w:val="2"/>
          <w:sz w:val="24"/>
          <w:szCs w:val="24"/>
          <w:highlight w:val="none"/>
          <w:lang w:val="en-US" w:eastAsia="zh-CN" w:bidi="ar-SA"/>
        </w:rPr>
        <w:t>约定应</w:t>
      </w:r>
      <w:r>
        <w:rPr>
          <w:rFonts w:hint="eastAsia" w:ascii="宋体" w:hAnsi="宋体" w:eastAsia="宋体" w:cs="宋体"/>
          <w:color w:val="auto"/>
          <w:kern w:val="2"/>
          <w:sz w:val="24"/>
          <w:szCs w:val="24"/>
          <w:highlight w:val="none"/>
          <w:lang w:val="en-US" w:eastAsia="zh-CN" w:bidi="ar-SA"/>
        </w:rPr>
        <w:t>由乙方承担的其他义务和责任。</w:t>
      </w:r>
    </w:p>
    <w:p w14:paraId="05563C21">
      <w:pPr>
        <w:pageBreakBefore w:val="0"/>
        <w:numPr>
          <w:ilvl w:val="0"/>
          <w:numId w:val="13"/>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281111B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约定顺序履行合同义务；如果没有先后顺序的，应当同时履行。</w:t>
      </w:r>
    </w:p>
    <w:p w14:paraId="4E09B5D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8E6CCD3">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7A50396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46A8D52C">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2E418245">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4E15F1E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4120CFD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22465D0F">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 如因包装、运输问题导致货物损毁、丢失或者品质下降，甲方有权要求降价、换货、拒收部分或整批货物，由此产生的费用和损失，均由乙方承担。</w:t>
      </w:r>
    </w:p>
    <w:p w14:paraId="18049B22">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1EB300A">
      <w:pPr>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 质量标准</w:t>
      </w:r>
    </w:p>
    <w:p w14:paraId="73310AA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2921F07">
      <w:pPr>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（2）采用中华人民共和国法定计量单位。</w:t>
      </w:r>
    </w:p>
    <w:p w14:paraId="044197C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A837B0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E2C12D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6C12F2E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3FA5158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2FA1AD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2100C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73D4FF1E">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1D260D19">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32B63C7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17750F5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3EB1916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2FBA28C6">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0F10D57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43"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43"/>
      <w:r>
        <w:rPr>
          <w:rFonts w:hint="eastAsia" w:ascii="宋体" w:hAnsi="宋体" w:eastAsia="宋体" w:cs="宋体"/>
          <w:color w:val="auto"/>
          <w:sz w:val="24"/>
          <w:szCs w:val="24"/>
          <w:highlight w:val="none"/>
        </w:rPr>
        <w:t>。</w:t>
      </w:r>
    </w:p>
    <w:p w14:paraId="5733FECE">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39A01DF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中约定。</w:t>
      </w:r>
    </w:p>
    <w:p w14:paraId="6DF223FF">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7583E181">
      <w:pPr>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财务管理相关</w:t>
      </w:r>
      <w:r>
        <w:rPr>
          <w:rFonts w:hint="eastAsia" w:ascii="宋体" w:hAnsi="宋体" w:eastAsia="宋体" w:cs="宋体"/>
          <w:color w:val="auto"/>
          <w:sz w:val="24"/>
          <w:szCs w:val="24"/>
          <w:highlight w:val="none"/>
        </w:rPr>
        <w:t>规定执行。</w:t>
      </w:r>
    </w:p>
    <w:p w14:paraId="4ACE2329">
      <w:pPr>
        <w:keepNext/>
        <w:keepLines/>
        <w:pageBreakBefore w:val="0"/>
        <w:widowControl w:val="0"/>
        <w:kinsoku/>
        <w:wordWrap/>
        <w:overflowPunct/>
        <w:topLinePunct w:val="0"/>
        <w:bidi w:val="0"/>
        <w:adjustRightInd w:val="0"/>
        <w:spacing w:before="0" w:beforeLines="0" w:after="0" w:afterLines="0" w:line="400" w:lineRule="exact"/>
        <w:ind w:firstLine="480"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12.2 对于满足合同约定支付条件的，甲方</w:t>
      </w:r>
      <w:r>
        <w:rPr>
          <w:rFonts w:hint="eastAsia" w:ascii="宋体" w:hAnsi="宋体" w:eastAsia="宋体" w:cs="宋体"/>
          <w:b w:val="0"/>
          <w:bCs w:val="0"/>
          <w:i w:val="0"/>
          <w:iCs w:val="0"/>
          <w:caps w:val="0"/>
          <w:color w:val="auto"/>
          <w:spacing w:val="0"/>
          <w:kern w:val="2"/>
          <w:sz w:val="24"/>
          <w:szCs w:val="24"/>
          <w:highlight w:val="none"/>
          <w:shd w:val="clear" w:color="auto" w:fill="auto"/>
          <w:vertAlign w:val="baseline"/>
          <w:lang w:val="en-US" w:eastAsia="zh-CN" w:bidi="ar-SA"/>
        </w:rPr>
        <w:t>应当自收到发票后将资金支付到合同约定的乙方账户</w:t>
      </w:r>
      <w:r>
        <w:rPr>
          <w:rFonts w:hint="eastAsia" w:ascii="宋体" w:hAnsi="宋体" w:eastAsia="宋体" w:cs="宋体"/>
          <w:b w:val="0"/>
          <w:bCs w:val="0"/>
          <w:color w:val="auto"/>
          <w:kern w:val="2"/>
          <w:sz w:val="24"/>
          <w:szCs w:val="24"/>
          <w:highlight w:val="none"/>
          <w:lang w:val="en-US" w:eastAsia="zh-CN" w:bidi="ar-SA"/>
        </w:rPr>
        <w:t>，不得以机构变动、人员更替、政策调整等为由迟延付款，不得将采购文件和合同中未规定的义务作为向乙方付款的条件。具体合同价款支付时间在【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kern w:val="2"/>
          <w:sz w:val="24"/>
          <w:szCs w:val="24"/>
          <w:highlight w:val="none"/>
          <w:lang w:val="en-US" w:eastAsia="zh-CN" w:bidi="ar-SA"/>
        </w:rPr>
        <w:t>采购合同专用条款</w:t>
      </w:r>
      <w:r>
        <w:rPr>
          <w:rFonts w:hint="eastAsia" w:ascii="宋体" w:hAnsi="宋体" w:eastAsia="宋体" w:cs="宋体"/>
          <w:b w:val="0"/>
          <w:bCs w:val="0"/>
          <w:color w:val="auto"/>
          <w:kern w:val="2"/>
          <w:sz w:val="24"/>
          <w:szCs w:val="24"/>
          <w:highlight w:val="none"/>
          <w:lang w:val="en-US" w:eastAsia="zh-CN" w:bidi="ar-SA"/>
        </w:rPr>
        <w:t>】中约定。</w:t>
      </w:r>
    </w:p>
    <w:p w14:paraId="22869B65">
      <w:pPr>
        <w:pageBreakBefore w:val="0"/>
        <w:widowControl w:val="0"/>
        <w:kinsoku/>
        <w:wordWrap/>
        <w:overflowPunct/>
        <w:topLinePunct w:val="0"/>
        <w:bidi w:val="0"/>
        <w:spacing w:after="0" w:afterLines="0"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履约保证金</w:t>
      </w:r>
    </w:p>
    <w:p w14:paraId="0BC18662">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6F336902">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E35AB0C">
      <w:pPr>
        <w:pageBreakBefore w:val="0"/>
        <w:kinsoku/>
        <w:wordWrap/>
        <w:overflowPunct/>
        <w:topLinePunct w:val="0"/>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规定支付。</w:t>
      </w:r>
    </w:p>
    <w:p w14:paraId="35D0C75F">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25CF0CA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F8BCB0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CB34D03">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7342D4E">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054488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34C76807">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（5）依照法律、行政法规的规定或者按照</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约定，货物在有效使用年限届满后应予回收的，乙方负有自行或者委托第三人对货物予以回收的义务；</w:t>
      </w:r>
    </w:p>
    <w:p w14:paraId="6C72619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规定由乙方提供的其他服务。</w:t>
      </w:r>
    </w:p>
    <w:p w14:paraId="5A6D465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FCB0965">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31DDD7D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DBA551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564CFE42">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69BA6A3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C16C81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1FD7F33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BF5CA1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规定的逾期付款利息。</w:t>
      </w:r>
    </w:p>
    <w:p w14:paraId="269BC26C">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规定执行。</w:t>
      </w:r>
    </w:p>
    <w:p w14:paraId="5F7373D4">
      <w:pPr>
        <w:pageBreakBefore w:val="0"/>
        <w:numPr>
          <w:ilvl w:val="0"/>
          <w:numId w:val="14"/>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2C2E77E5">
      <w:pPr>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B5AC317">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0CCCD15">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567EE309">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937CC67">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7D31294F">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C0A308D">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10FF7F37">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6E21DC2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59516EE">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11DE71AD">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16.4 </w:t>
      </w:r>
      <w:r>
        <w:rPr>
          <w:rFonts w:hint="eastAsia" w:ascii="宋体" w:hAnsi="宋体" w:eastAsia="宋体" w:cs="宋体"/>
          <w:color w:val="auto"/>
          <w:kern w:val="2"/>
          <w:sz w:val="24"/>
          <w:szCs w:val="24"/>
          <w:highlight w:val="none"/>
          <w:lang w:val="en-US" w:eastAsia="zh-CN" w:bidi="ar-SA"/>
        </w:rPr>
        <w:t>涉及国家利益、社会公共利益的情形</w:t>
      </w:r>
    </w:p>
    <w:p w14:paraId="7B560510">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采购合同继续履行将损害国家利益和社会公共利益的，双方当事人应当变更、中止或者终止合同。有过错的一方应当承担赔偿责任，双方都有过错的，各自承担相应的责任。</w:t>
      </w:r>
    </w:p>
    <w:p w14:paraId="65BB8F48">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6F9FFB7E">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10D1E22">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9071AE3">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E55F82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4444773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895813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A3197BC">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4B5A1803">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7E697485">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选择仲裁的，应在</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中明确仲裁机构及仲裁地；通过诉讼方式解决的，可以在</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中进一步约定选择与争议有实际联系的地点的人民法院管辖，但管辖法院的约定不得违反级别管辖和专属管辖的规定。</w:t>
      </w:r>
    </w:p>
    <w:p w14:paraId="4942C19E">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如甲乙双方有争议的事项不影响合同其他部分的履行，在争议解决期间，合同其他部分应当继续履行。</w:t>
      </w:r>
    </w:p>
    <w:p w14:paraId="1CAC4BE8">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采购政策</w:t>
      </w:r>
    </w:p>
    <w:p w14:paraId="2401E0E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3BBF282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D82BD42">
      <w:pPr>
        <w:pageBreakBefore w:val="0"/>
        <w:widowControl w:val="0"/>
        <w:kinsoku/>
        <w:wordWrap/>
        <w:overflowPunct/>
        <w:topLinePunct w:val="0"/>
        <w:bidi w:val="0"/>
        <w:spacing w:after="0" w:afterLines="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20.3 要求以联合体形式参加采购活动或者合同分包的，须将联合协议或者分包意向协议作为采购合同的组成部分。</w:t>
      </w:r>
    </w:p>
    <w:p w14:paraId="3BD09519">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12EC1E30">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21.1 本合同的订立、生效、解释、履行及与本合同有关的争议解决，均适用法律、行政法规。</w:t>
      </w:r>
    </w:p>
    <w:p w14:paraId="57C48349">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21.2 本合同条款与法律、行政法规的强制性规定不一致的，双方当事人应按照法律、行政法规的强制性规定修改本合同的相关条款。</w:t>
      </w:r>
    </w:p>
    <w:p w14:paraId="2EA2D3F1">
      <w:pPr>
        <w:pageBreakBefore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330DA76">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22.1 本合同任何一方向对方发出的通知、信件、数据电文等，应当发送至本合同第一部分《采购合同协议书》所约定的通讯地址、联系人、联系电话或电子邮箱。</w:t>
      </w:r>
    </w:p>
    <w:p w14:paraId="4D7D7F17">
      <w:pPr>
        <w:pageBreakBefore w:val="0"/>
        <w:kinsoku/>
        <w:wordWrap/>
        <w:overflowPunct/>
        <w:topLinePunct w:val="0"/>
        <w:autoSpaceDE w:val="0"/>
        <w:autoSpaceDN w:val="0"/>
        <w:bidi w:val="0"/>
        <w:adjustRightInd w:val="0"/>
        <w:spacing w:line="400" w:lineRule="exact"/>
        <w:ind w:firstLine="0" w:firstLine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3C64A1E">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B32346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633640">
      <w:pPr>
        <w:pageBreakBefore w:val="0"/>
        <w:numPr>
          <w:ilvl w:val="0"/>
          <w:numId w:val="15"/>
        </w:numPr>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8ECAF5D">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w:t>
      </w:r>
    </w:p>
    <w:p w14:paraId="4D1DC7BB">
      <w:pPr>
        <w:pageBreakBefore w:val="0"/>
        <w:kinsoku/>
        <w:wordWrap/>
        <w:overflowPunct/>
        <w:topLinePunct w:val="0"/>
        <w:bidi w:val="0"/>
        <w:adjustRightInd w:val="0"/>
        <w:snapToGrid w:val="0"/>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44" w:name="_Toc20313"/>
    </w:p>
    <w:p w14:paraId="15B87831">
      <w:pPr>
        <w:adjustRightInd w:val="0"/>
        <w:snapToGrid w:val="0"/>
        <w:jc w:val="center"/>
        <w:rPr>
          <w:rFonts w:ascii="黑体" w:hAnsi="华文中宋" w:eastAsia="黑体" w:cs="Times New Roman"/>
          <w:b w:val="0"/>
          <w:bCs w:val="0"/>
          <w:color w:val="auto"/>
          <w:sz w:val="28"/>
          <w:szCs w:val="28"/>
          <w:highlight w:val="none"/>
        </w:rPr>
      </w:pPr>
      <w:r>
        <w:rPr>
          <w:rFonts w:hint="eastAsia" w:ascii="黑体" w:hAnsi="华文中宋" w:eastAsia="黑体" w:cs="Times New Roman"/>
          <w:b w:val="0"/>
          <w:bCs w:val="0"/>
          <w:color w:val="auto"/>
          <w:sz w:val="28"/>
          <w:szCs w:val="28"/>
          <w:highlight w:val="none"/>
        </w:rPr>
        <w:br w:type="page"/>
      </w:r>
      <w:r>
        <w:rPr>
          <w:rFonts w:hint="eastAsia" w:ascii="黑体" w:hAnsi="华文中宋" w:eastAsia="黑体" w:cs="Times New Roman"/>
          <w:b w:val="0"/>
          <w:bCs w:val="0"/>
          <w:color w:val="auto"/>
          <w:sz w:val="28"/>
          <w:szCs w:val="28"/>
          <w:highlight w:val="none"/>
        </w:rPr>
        <w:t>第三节 采购合同专用条款</w:t>
      </w:r>
      <w:bookmarkEnd w:id="144"/>
    </w:p>
    <w:tbl>
      <w:tblPr>
        <w:tblStyle w:val="4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F80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415C07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9A68519">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第1.2（</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）项</w:t>
            </w:r>
          </w:p>
        </w:tc>
        <w:tc>
          <w:tcPr>
            <w:tcW w:w="1742" w:type="dxa"/>
            <w:noWrap w:val="0"/>
            <w:vAlign w:val="center"/>
          </w:tcPr>
          <w:p w14:paraId="5E2783DF">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联合体具体要求</w:t>
            </w:r>
          </w:p>
        </w:tc>
        <w:tc>
          <w:tcPr>
            <w:tcW w:w="5170" w:type="dxa"/>
            <w:noWrap w:val="0"/>
            <w:vAlign w:val="center"/>
          </w:tcPr>
          <w:p w14:paraId="11230CF1">
            <w:pPr>
              <w:adjustRightInd w:val="0"/>
              <w:snapToGrid w:val="0"/>
              <w:jc w:val="left"/>
              <w:rPr>
                <w:rFonts w:ascii="宋体" w:hAnsi="宋体" w:eastAsia="宋体" w:cs="Times New Roman"/>
                <w:color w:val="auto"/>
                <w:szCs w:val="21"/>
                <w:highlight w:val="none"/>
              </w:rPr>
            </w:pPr>
          </w:p>
        </w:tc>
      </w:tr>
      <w:tr w14:paraId="135E0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17B2702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15638F1">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第1.2（</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）项</w:t>
            </w:r>
          </w:p>
        </w:tc>
        <w:tc>
          <w:tcPr>
            <w:tcW w:w="1742" w:type="dxa"/>
            <w:noWrap w:val="0"/>
            <w:vAlign w:val="center"/>
          </w:tcPr>
          <w:p w14:paraId="13A28BC2">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其他术语解释</w:t>
            </w:r>
          </w:p>
        </w:tc>
        <w:tc>
          <w:tcPr>
            <w:tcW w:w="5170" w:type="dxa"/>
            <w:noWrap w:val="0"/>
            <w:vAlign w:val="center"/>
          </w:tcPr>
          <w:p w14:paraId="73FB11F4">
            <w:pPr>
              <w:adjustRightInd w:val="0"/>
              <w:snapToGrid w:val="0"/>
              <w:jc w:val="left"/>
              <w:rPr>
                <w:rFonts w:ascii="宋体" w:hAnsi="宋体" w:eastAsia="宋体" w:cs="Times New Roman"/>
                <w:color w:val="auto"/>
                <w:kern w:val="2"/>
                <w:sz w:val="21"/>
                <w:szCs w:val="21"/>
                <w:highlight w:val="none"/>
                <w:lang w:val="en-US" w:eastAsia="zh-CN" w:bidi="ar-SA"/>
              </w:rPr>
            </w:pPr>
          </w:p>
        </w:tc>
      </w:tr>
      <w:tr w14:paraId="7ED23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2A639D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1AF78141">
            <w:pPr>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4.4款</w:t>
            </w:r>
          </w:p>
        </w:tc>
        <w:tc>
          <w:tcPr>
            <w:tcW w:w="1742" w:type="dxa"/>
            <w:noWrap w:val="0"/>
            <w:vAlign w:val="center"/>
          </w:tcPr>
          <w:p w14:paraId="3E6D3319">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履约验收中甲方提出异议或作出说明的期限</w:t>
            </w:r>
          </w:p>
        </w:tc>
        <w:tc>
          <w:tcPr>
            <w:tcW w:w="5170" w:type="dxa"/>
            <w:noWrap w:val="0"/>
            <w:vAlign w:val="center"/>
          </w:tcPr>
          <w:p w14:paraId="693FDA79">
            <w:pPr>
              <w:adjustRightInd w:val="0"/>
              <w:snapToGrid w:val="0"/>
              <w:jc w:val="left"/>
              <w:rPr>
                <w:rFonts w:ascii="宋体" w:hAnsi="宋体" w:eastAsia="宋体" w:cs="Times New Roman"/>
                <w:color w:val="auto"/>
                <w:kern w:val="2"/>
                <w:sz w:val="21"/>
                <w:szCs w:val="21"/>
                <w:highlight w:val="none"/>
                <w:lang w:val="en-US" w:eastAsia="zh-CN" w:bidi="ar-SA"/>
              </w:rPr>
            </w:pPr>
          </w:p>
        </w:tc>
      </w:tr>
      <w:tr w14:paraId="171F63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8C4F71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47F0110">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4.6款</w:t>
            </w:r>
          </w:p>
        </w:tc>
        <w:tc>
          <w:tcPr>
            <w:tcW w:w="1742" w:type="dxa"/>
            <w:noWrap w:val="0"/>
            <w:vAlign w:val="center"/>
          </w:tcPr>
          <w:p w14:paraId="7CCB0648">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约定甲方承担的其他义务和责任</w:t>
            </w:r>
          </w:p>
        </w:tc>
        <w:tc>
          <w:tcPr>
            <w:tcW w:w="5170" w:type="dxa"/>
            <w:noWrap w:val="0"/>
            <w:vAlign w:val="center"/>
          </w:tcPr>
          <w:p w14:paraId="04363E5E">
            <w:pPr>
              <w:numPr>
                <w:ilvl w:val="0"/>
                <w:numId w:val="16"/>
              </w:numPr>
              <w:adjustRightInd w:val="0"/>
              <w:snapToGrid w:val="0"/>
              <w:jc w:val="left"/>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甲方对乙方提交的货物依据招标文件上的技术规格要求和国家有关质量标准进行现场初步验收，外观、说明书符合招标文件技术要求的，给予签收，初步验收不合格的不予签收。</w:t>
            </w:r>
          </w:p>
          <w:p w14:paraId="2DE15AC1">
            <w:pPr>
              <w:numPr>
                <w:ilvl w:val="0"/>
                <w:numId w:val="16"/>
              </w:num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每批材料到现场后，甲方有权自行或委托权威部门实行抽样检测</w:t>
            </w:r>
            <w:r>
              <w:rPr>
                <w:rFonts w:ascii="宋体" w:hAnsi="宋体" w:eastAsia="宋体" w:cs="Times New Roman"/>
                <w:color w:val="auto"/>
                <w:kern w:val="2"/>
                <w:sz w:val="21"/>
                <w:szCs w:val="21"/>
                <w:highlight w:val="none"/>
                <w:lang w:val="en-US" w:eastAsia="zh-CN" w:bidi="ar-SA"/>
              </w:rPr>
              <w:t>，并由其出具质量检测报告。</w:t>
            </w:r>
          </w:p>
        </w:tc>
      </w:tr>
      <w:tr w14:paraId="350AF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8A49D6C">
            <w:pPr>
              <w:adjustRightInd w:val="0"/>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第二节</w:t>
            </w:r>
          </w:p>
          <w:p w14:paraId="3630F327">
            <w:pPr>
              <w:snapToGrid w:val="0"/>
              <w:jc w:val="center"/>
              <w:rPr>
                <w:rFonts w:hint="default" w:ascii="Times New Roman" w:hAnsi="Times New Roman" w:eastAsia="宋体" w:cs="Times New Roman"/>
                <w:color w:val="auto"/>
                <w:highlight w:val="none"/>
                <w:lang w:val="en-US"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5.4款</w:t>
            </w:r>
          </w:p>
        </w:tc>
        <w:tc>
          <w:tcPr>
            <w:tcW w:w="1742" w:type="dxa"/>
            <w:noWrap w:val="0"/>
            <w:vAlign w:val="center"/>
          </w:tcPr>
          <w:p w14:paraId="74867D96">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约定乙方承担的其他义务和责任</w:t>
            </w:r>
          </w:p>
        </w:tc>
        <w:tc>
          <w:tcPr>
            <w:tcW w:w="5170" w:type="dxa"/>
            <w:noWrap w:val="0"/>
            <w:vAlign w:val="center"/>
          </w:tcPr>
          <w:p w14:paraId="1BDB5F09">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1.根据甲方的计划要求，提供石灰岩的矿源必须100%由甲方认可，且石灰岩质量满足甲方的生产要求。若到新石矿进料，须提前以书面形式告知甲方，并经甲方确认同意后方可进料。</w:t>
            </w:r>
          </w:p>
          <w:p w14:paraId="2C18D826">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乙方交货前应对产品作出全面检查和对验收文件进行整理，并列出清单，作为甲方收货验收和使用的技术条件依据，检验的结果应随货物交甲方。</w:t>
            </w:r>
            <w:r>
              <w:rPr>
                <w:rFonts w:hint="eastAsia" w:ascii="宋体" w:hAnsi="宋体" w:eastAsia="宋体" w:cs="Times New Roman"/>
                <w:color w:val="auto"/>
                <w:kern w:val="2"/>
                <w:sz w:val="21"/>
                <w:szCs w:val="21"/>
                <w:highlight w:val="none"/>
                <w:lang w:val="en-US" w:eastAsia="zh-CN" w:bidi="ar-SA"/>
              </w:rPr>
              <w:t>所有原材料运至甲方指定地点，以甲方地磅过磅单为准验收签字。</w:t>
            </w:r>
          </w:p>
        </w:tc>
      </w:tr>
      <w:tr w14:paraId="74AB4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3E87951">
            <w:pPr>
              <w:adjustRightInd w:val="0"/>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第二节</w:t>
            </w:r>
          </w:p>
          <w:p w14:paraId="6CFC92C3">
            <w:pPr>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6.1款</w:t>
            </w:r>
          </w:p>
        </w:tc>
        <w:tc>
          <w:tcPr>
            <w:tcW w:w="1742" w:type="dxa"/>
            <w:noWrap w:val="0"/>
            <w:vAlign w:val="center"/>
          </w:tcPr>
          <w:p w14:paraId="383FAAB5">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履行合同义务的顺序</w:t>
            </w:r>
          </w:p>
        </w:tc>
        <w:tc>
          <w:tcPr>
            <w:tcW w:w="5170" w:type="dxa"/>
            <w:noWrap w:val="0"/>
            <w:vAlign w:val="center"/>
          </w:tcPr>
          <w:p w14:paraId="74F8F43D">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(1)采购合同协议书及其变更、补充协议</w:t>
            </w:r>
          </w:p>
          <w:p w14:paraId="6D44293E">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(2)采购合同专用条款</w:t>
            </w:r>
          </w:p>
          <w:p w14:paraId="236F0472">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(3)采购合同通用条款</w:t>
            </w:r>
          </w:p>
          <w:p w14:paraId="49AE628F">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(4)中标(成交)通知书</w:t>
            </w:r>
          </w:p>
          <w:p w14:paraId="147FBEBB">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(5)投标(响应)文件</w:t>
            </w:r>
          </w:p>
          <w:p w14:paraId="4E2681CC">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(6)采购文件</w:t>
            </w:r>
          </w:p>
          <w:p w14:paraId="5961B1F1">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(7)有关技术文件、图纸(如有)</w:t>
            </w:r>
          </w:p>
          <w:p w14:paraId="140BAA4C">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(8)国家法律、行政法规和规章制度规定或合同约定的作为合同组成部分的其他文件。</w:t>
            </w:r>
          </w:p>
        </w:tc>
      </w:tr>
      <w:tr w14:paraId="6818F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0C61CFD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8D0B4E6">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049465A0">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包装</w:t>
            </w:r>
            <w:r>
              <w:rPr>
                <w:rFonts w:hint="eastAsia" w:ascii="宋体" w:hAnsi="宋体" w:eastAsia="宋体" w:cs="Times New Roman"/>
                <w:color w:val="auto"/>
                <w:szCs w:val="21"/>
                <w:highlight w:val="none"/>
                <w:lang w:eastAsia="zh-CN"/>
              </w:rPr>
              <w:t>特殊要求</w:t>
            </w:r>
          </w:p>
        </w:tc>
        <w:tc>
          <w:tcPr>
            <w:tcW w:w="5170" w:type="dxa"/>
            <w:noWrap w:val="0"/>
            <w:vAlign w:val="center"/>
          </w:tcPr>
          <w:p w14:paraId="7125E927">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符合国家现行规定、要求</w:t>
            </w:r>
          </w:p>
        </w:tc>
      </w:tr>
      <w:tr w14:paraId="2D10D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35EDCCEF">
            <w:pPr>
              <w:adjustRightInd w:val="0"/>
              <w:snapToGrid w:val="0"/>
              <w:jc w:val="center"/>
              <w:rPr>
                <w:rFonts w:hint="eastAsia" w:ascii="宋体" w:hAnsi="宋体" w:eastAsia="宋体" w:cs="Times New Roman"/>
                <w:color w:val="auto"/>
                <w:szCs w:val="21"/>
                <w:highlight w:val="none"/>
              </w:rPr>
            </w:pPr>
          </w:p>
        </w:tc>
        <w:tc>
          <w:tcPr>
            <w:tcW w:w="1742" w:type="dxa"/>
            <w:noWrap w:val="0"/>
            <w:vAlign w:val="center"/>
          </w:tcPr>
          <w:p w14:paraId="164174C5">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指定现场</w:t>
            </w:r>
          </w:p>
        </w:tc>
        <w:tc>
          <w:tcPr>
            <w:tcW w:w="5170" w:type="dxa"/>
            <w:noWrap w:val="0"/>
            <w:vAlign w:val="center"/>
          </w:tcPr>
          <w:p w14:paraId="119BAF1D">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甲方</w:t>
            </w:r>
            <w:r>
              <w:rPr>
                <w:rFonts w:hint="eastAsia" w:ascii="Times New Roman" w:hAnsi="Times New Roman" w:eastAsia="宋体" w:cs="Times New Roman"/>
                <w:color w:val="auto"/>
                <w:highlight w:val="none"/>
              </w:rPr>
              <w:t>指定的交货地点</w:t>
            </w:r>
          </w:p>
        </w:tc>
      </w:tr>
      <w:tr w14:paraId="1BCD2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7844904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1622EC5">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08C973DD">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运输特殊要求</w:t>
            </w:r>
          </w:p>
        </w:tc>
        <w:tc>
          <w:tcPr>
            <w:tcW w:w="5170" w:type="dxa"/>
            <w:noWrap w:val="0"/>
            <w:vAlign w:val="center"/>
          </w:tcPr>
          <w:p w14:paraId="2B34C4E3">
            <w:pPr>
              <w:rPr>
                <w:rFonts w:hint="eastAsia" w:ascii="Times New Roman" w:hAnsi="Times New Roman" w:eastAsia="宋体" w:cs="Times New Roman"/>
                <w:color w:val="auto"/>
                <w:highlight w:val="none"/>
              </w:rPr>
            </w:pPr>
          </w:p>
        </w:tc>
      </w:tr>
      <w:tr w14:paraId="695A8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77F47C6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2B1E4D7">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3A39F22E">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保险要求</w:t>
            </w:r>
          </w:p>
        </w:tc>
        <w:tc>
          <w:tcPr>
            <w:tcW w:w="5170" w:type="dxa"/>
            <w:noWrap w:val="0"/>
            <w:vAlign w:val="center"/>
          </w:tcPr>
          <w:p w14:paraId="2B4E4BB2">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甲方</w:t>
            </w:r>
            <w:r>
              <w:rPr>
                <w:rFonts w:hint="eastAsia" w:ascii="Times New Roman" w:hAnsi="Times New Roman" w:eastAsia="宋体" w:cs="Times New Roman"/>
                <w:color w:val="auto"/>
                <w:highlight w:val="none"/>
              </w:rPr>
              <w:t>可根据项目实施进度提出相应的货物保险要求</w:t>
            </w:r>
          </w:p>
        </w:tc>
      </w:tr>
      <w:tr w14:paraId="2CCFE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noWrap w:val="0"/>
            <w:vAlign w:val="center"/>
          </w:tcPr>
          <w:p w14:paraId="4665A41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E02C44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.2（1）项</w:t>
            </w:r>
          </w:p>
        </w:tc>
        <w:tc>
          <w:tcPr>
            <w:tcW w:w="1742" w:type="dxa"/>
            <w:noWrap w:val="0"/>
            <w:vAlign w:val="center"/>
          </w:tcPr>
          <w:p w14:paraId="1E20D4BC">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质量保证期</w:t>
            </w:r>
          </w:p>
        </w:tc>
        <w:tc>
          <w:tcPr>
            <w:tcW w:w="5170" w:type="dxa"/>
            <w:noWrap w:val="0"/>
            <w:vAlign w:val="center"/>
          </w:tcPr>
          <w:p w14:paraId="224FD364">
            <w:pPr>
              <w:autoSpaceDE w:val="0"/>
              <w:autoSpaceDN w:val="0"/>
              <w:adjustRightInd w:val="0"/>
              <w:snapToGrid w:val="0"/>
              <w:jc w:val="left"/>
              <w:rPr>
                <w:rFonts w:ascii="宋体" w:hAnsi="宋体" w:eastAsia="宋体" w:cs="Times New Roman"/>
                <w:color w:val="auto"/>
                <w:szCs w:val="21"/>
                <w:highlight w:val="none"/>
              </w:rPr>
            </w:pPr>
          </w:p>
        </w:tc>
      </w:tr>
      <w:tr w14:paraId="0492C5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607" w:type="dxa"/>
            <w:noWrap w:val="0"/>
            <w:vAlign w:val="center"/>
          </w:tcPr>
          <w:p w14:paraId="4B62E223">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44977915">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.2（3）项</w:t>
            </w:r>
          </w:p>
        </w:tc>
        <w:tc>
          <w:tcPr>
            <w:tcW w:w="1742" w:type="dxa"/>
            <w:noWrap w:val="0"/>
            <w:vAlign w:val="center"/>
          </w:tcPr>
          <w:p w14:paraId="78B1A1D3">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货物质量缺陷</w:t>
            </w:r>
          </w:p>
          <w:p w14:paraId="787E5BC7">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响应时间</w:t>
            </w:r>
          </w:p>
        </w:tc>
        <w:tc>
          <w:tcPr>
            <w:tcW w:w="5170" w:type="dxa"/>
            <w:noWrap w:val="0"/>
            <w:vAlign w:val="center"/>
          </w:tcPr>
          <w:p w14:paraId="62A99616">
            <w:pPr>
              <w:adjustRightInd w:val="0"/>
              <w:snapToGrid w:val="0"/>
              <w:jc w:val="left"/>
              <w:rPr>
                <w:rFonts w:ascii="宋体" w:hAnsi="宋体" w:eastAsia="宋体" w:cs="Times New Roman"/>
                <w:color w:val="auto"/>
                <w:szCs w:val="21"/>
                <w:highlight w:val="none"/>
              </w:rPr>
            </w:pPr>
          </w:p>
        </w:tc>
      </w:tr>
      <w:tr w14:paraId="00B81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noWrap w:val="0"/>
            <w:vAlign w:val="center"/>
          </w:tcPr>
          <w:p w14:paraId="57DACE0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32AB1FE9">
            <w:pPr>
              <w:autoSpaceDE w:val="0"/>
              <w:autoSpaceDN w:val="0"/>
              <w:adjustRightInd w:val="0"/>
              <w:spacing w:line="400" w:lineRule="exact"/>
              <w:ind w:firstLine="0" w:firstLineChars="0"/>
              <w:jc w:val="center"/>
              <w:rPr>
                <w:rFonts w:hint="default" w:ascii="华文楷体" w:hAnsi="华文楷体" w:eastAsia="华文楷体" w:cs="华文楷体"/>
                <w:color w:val="auto"/>
                <w:sz w:val="22"/>
                <w:szCs w:val="21"/>
                <w:highlight w:val="none"/>
                <w:lang w:val="en-US" w:eastAsia="zh-CN" w:bidi="ar-SA"/>
              </w:rPr>
            </w:pPr>
            <w:r>
              <w:rPr>
                <w:rFonts w:hint="eastAsia" w:ascii="宋体" w:hAnsi="宋体" w:eastAsia="宋体" w:cs="宋体"/>
                <w:color w:val="auto"/>
                <w:sz w:val="22"/>
                <w:szCs w:val="21"/>
                <w:highlight w:val="none"/>
                <w:lang w:val="en-US" w:eastAsia="zh-CN" w:bidi="ar-SA"/>
              </w:rPr>
              <w:t>第11.1款</w:t>
            </w:r>
          </w:p>
        </w:tc>
        <w:tc>
          <w:tcPr>
            <w:tcW w:w="1742" w:type="dxa"/>
            <w:noWrap w:val="0"/>
            <w:vAlign w:val="center"/>
          </w:tcPr>
          <w:p w14:paraId="6BEC25CE">
            <w:pPr>
              <w:adjustRightInd w:val="0"/>
              <w:snapToGrid w:val="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其他应当保密的信息</w:t>
            </w:r>
          </w:p>
        </w:tc>
        <w:tc>
          <w:tcPr>
            <w:tcW w:w="5170" w:type="dxa"/>
            <w:noWrap w:val="0"/>
            <w:vAlign w:val="center"/>
          </w:tcPr>
          <w:p w14:paraId="1443A3C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乙方应按</w:t>
            </w:r>
            <w:r>
              <w:rPr>
                <w:rFonts w:hint="eastAsia" w:ascii="宋体" w:hAnsi="宋体" w:eastAsia="宋体" w:cs="Times New Roman"/>
                <w:color w:val="auto"/>
                <w:szCs w:val="21"/>
                <w:highlight w:val="none"/>
              </w:rPr>
              <w:t>采购文件</w:t>
            </w:r>
            <w:r>
              <w:rPr>
                <w:rFonts w:ascii="宋体" w:hAnsi="宋体" w:eastAsia="宋体" w:cs="Times New Roman"/>
                <w:color w:val="auto"/>
                <w:szCs w:val="21"/>
                <w:highlight w:val="none"/>
              </w:rPr>
              <w:t>规定的时间向甲方提供使用货物的有关技术资料。</w:t>
            </w:r>
          </w:p>
          <w:p w14:paraId="348AA9F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未经</w:t>
            </w:r>
            <w:r>
              <w:rPr>
                <w:rFonts w:ascii="宋体" w:hAnsi="宋体" w:eastAsia="宋体" w:cs="Times New Roman"/>
                <w:color w:val="auto"/>
                <w:szCs w:val="21"/>
                <w:highlight w:val="none"/>
              </w:rPr>
              <w:t>甲方事先书面同意，乙方不得将由甲方提供的有关合同或任何合同条文、规格、计划、图纸、样品或资料提供</w:t>
            </w:r>
            <w:r>
              <w:rPr>
                <w:rFonts w:hint="eastAsia" w:ascii="宋体" w:hAnsi="宋体" w:eastAsia="宋体" w:cs="Times New Roman"/>
                <w:color w:val="auto"/>
                <w:szCs w:val="21"/>
                <w:highlight w:val="none"/>
              </w:rPr>
              <w:t>给予</w:t>
            </w:r>
            <w:r>
              <w:rPr>
                <w:rFonts w:ascii="宋体" w:hAnsi="宋体" w:eastAsia="宋体" w:cs="Times New Roman"/>
                <w:color w:val="auto"/>
                <w:szCs w:val="21"/>
                <w:highlight w:val="none"/>
              </w:rPr>
              <w:t>履行本合同无关的任何其他人。即使向履行本合同有关的人员提供，也应注意保密并限于履行合同的必需范围。</w:t>
            </w:r>
          </w:p>
        </w:tc>
      </w:tr>
      <w:tr w14:paraId="30AD4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377DE972">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039980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.2款</w:t>
            </w:r>
          </w:p>
        </w:tc>
        <w:tc>
          <w:tcPr>
            <w:tcW w:w="1742" w:type="dxa"/>
            <w:noWrap w:val="0"/>
            <w:vAlign w:val="center"/>
          </w:tcPr>
          <w:p w14:paraId="5F55B33F">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合同价款支付</w:t>
            </w:r>
            <w:r>
              <w:rPr>
                <w:rFonts w:hint="eastAsia" w:ascii="宋体" w:hAnsi="宋体" w:eastAsia="宋体" w:cs="Times New Roman"/>
                <w:color w:val="auto"/>
                <w:szCs w:val="21"/>
                <w:highlight w:val="none"/>
                <w:lang w:eastAsia="zh-CN"/>
              </w:rPr>
              <w:t>时间</w:t>
            </w:r>
          </w:p>
        </w:tc>
        <w:tc>
          <w:tcPr>
            <w:tcW w:w="5170" w:type="dxa"/>
            <w:noWrap w:val="0"/>
            <w:vAlign w:val="center"/>
          </w:tcPr>
          <w:p w14:paraId="03CCA774">
            <w:pPr>
              <w:adjustRightInd w:val="0"/>
              <w:snapToGrid w:val="0"/>
              <w:jc w:val="left"/>
              <w:rPr>
                <w:rFonts w:hint="eastAsia" w:ascii="Times New Roman" w:hAnsi="宋体" w:eastAsia="宋体" w:cs="Times New Roman"/>
                <w:color w:val="auto"/>
                <w:highlight w:val="none"/>
                <w:lang w:val="en-US" w:eastAsia="zh-CN"/>
              </w:rPr>
            </w:pPr>
            <w:r>
              <w:rPr>
                <w:rFonts w:hint="eastAsia" w:hAnsi="宋体" w:eastAsia="宋体" w:cs="Times New Roman"/>
                <w:b/>
                <w:bCs/>
                <w:color w:val="auto"/>
                <w:highlight w:val="none"/>
                <w:lang w:val="en-US" w:eastAsia="zh-CN"/>
              </w:rPr>
              <w:t>支付方式：</w:t>
            </w:r>
            <w:r>
              <w:rPr>
                <w:rFonts w:hint="eastAsia" w:hAnsi="宋体" w:eastAsia="宋体" w:cs="Times New Roman"/>
                <w:b w:val="0"/>
                <w:bCs w:val="0"/>
                <w:color w:val="auto"/>
                <w:highlight w:val="none"/>
                <w:lang w:val="en-US" w:eastAsia="zh-CN"/>
              </w:rPr>
              <w:t>每月24日对账结算，以双方签字盖章的结算单为付款依据，次月月底支付上月总货款的70%，每月剩余货款</w:t>
            </w:r>
            <w:r>
              <w:rPr>
                <w:rFonts w:hint="eastAsia" w:hAnsi="宋体" w:cs="Times New Roman"/>
                <w:b w:val="0"/>
                <w:bCs w:val="0"/>
                <w:color w:val="auto"/>
                <w:highlight w:val="none"/>
                <w:lang w:val="en-US" w:eastAsia="zh-CN"/>
              </w:rPr>
              <w:t>待</w:t>
            </w:r>
            <w:r>
              <w:rPr>
                <w:rFonts w:hint="eastAsia" w:hAnsi="宋体" w:eastAsia="宋体" w:cs="Times New Roman"/>
                <w:b w:val="0"/>
                <w:bCs w:val="0"/>
                <w:color w:val="auto"/>
                <w:highlight w:val="none"/>
                <w:lang w:val="en-US" w:eastAsia="zh-CN"/>
              </w:rPr>
              <w:t>合同到期后6个月内全款无息付清，乙方应开具13%的增值税专用发票。</w:t>
            </w:r>
          </w:p>
          <w:p w14:paraId="47E52767">
            <w:pPr>
              <w:adjustRightInd w:val="0"/>
              <w:snapToGrid w:val="0"/>
              <w:jc w:val="left"/>
              <w:rPr>
                <w:rFonts w:ascii="Century Gothic" w:hAnsi="宋体" w:eastAsia="Century Gothic" w:cs="楷体_GB2312"/>
                <w:color w:val="auto"/>
                <w:kern w:val="2"/>
                <w:sz w:val="21"/>
                <w:szCs w:val="21"/>
                <w:highlight w:val="none"/>
                <w:lang w:val="en-US" w:eastAsia="zh-CN" w:bidi="ar-SA"/>
              </w:rPr>
            </w:pPr>
            <w:r>
              <w:rPr>
                <w:rFonts w:hint="eastAsia" w:ascii="Times New Roman" w:hAnsi="宋体" w:eastAsia="宋体" w:cs="Times New Roman"/>
                <w:b/>
                <w:bCs/>
                <w:color w:val="auto"/>
                <w:highlight w:val="none"/>
                <w:lang w:val="en-US" w:eastAsia="zh-CN"/>
              </w:rPr>
              <w:t>结算方式：</w:t>
            </w:r>
            <w:r>
              <w:rPr>
                <w:rFonts w:hint="eastAsia" w:ascii="Times New Roman" w:hAnsi="宋体" w:eastAsia="宋体" w:cs="Times New Roman"/>
                <w:color w:val="auto"/>
                <w:highlight w:val="none"/>
                <w:lang w:val="en-US" w:eastAsia="zh-CN"/>
              </w:rPr>
              <w:t>合同的最终结算金额以实际</w:t>
            </w:r>
            <w:r>
              <w:rPr>
                <w:rFonts w:hint="eastAsia" w:hAnsi="宋体" w:eastAsia="宋体" w:cs="Times New Roman"/>
                <w:color w:val="auto"/>
                <w:highlight w:val="none"/>
                <w:lang w:val="en-US" w:eastAsia="zh-CN"/>
              </w:rPr>
              <w:t>供货吨数</w:t>
            </w:r>
            <w:r>
              <w:rPr>
                <w:rFonts w:hint="eastAsia" w:ascii="Times New Roman" w:hAnsi="宋体" w:eastAsia="宋体" w:cs="Times New Roman"/>
                <w:color w:val="auto"/>
                <w:highlight w:val="none"/>
                <w:lang w:val="en-US" w:eastAsia="zh-CN"/>
              </w:rPr>
              <w:t>乘以</w:t>
            </w:r>
            <w:r>
              <w:rPr>
                <w:rFonts w:hint="eastAsia" w:hAnsi="宋体" w:eastAsia="宋体" w:cs="Times New Roman"/>
                <w:color w:val="auto"/>
                <w:highlight w:val="none"/>
                <w:lang w:val="en-US" w:eastAsia="zh-CN"/>
              </w:rPr>
              <w:t>中标</w:t>
            </w:r>
            <w:r>
              <w:rPr>
                <w:rFonts w:hint="eastAsia" w:ascii="Times New Roman" w:hAnsi="宋体" w:eastAsia="宋体" w:cs="Times New Roman"/>
                <w:color w:val="auto"/>
                <w:highlight w:val="none"/>
                <w:lang w:val="en-US" w:eastAsia="zh-CN"/>
              </w:rPr>
              <w:t>单价进行计算。</w:t>
            </w:r>
          </w:p>
        </w:tc>
      </w:tr>
      <w:tr w14:paraId="40B57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585D5B7B">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E10AC30">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13.2</w:t>
            </w:r>
            <w:r>
              <w:rPr>
                <w:rFonts w:hint="eastAsia" w:ascii="宋体" w:hAnsi="宋体" w:eastAsia="宋体" w:cs="Times New Roman"/>
                <w:color w:val="auto"/>
                <w:szCs w:val="21"/>
                <w:highlight w:val="none"/>
              </w:rPr>
              <w:t>款</w:t>
            </w:r>
          </w:p>
        </w:tc>
        <w:tc>
          <w:tcPr>
            <w:tcW w:w="1742" w:type="dxa"/>
            <w:noWrap w:val="0"/>
            <w:vAlign w:val="center"/>
          </w:tcPr>
          <w:p w14:paraId="55FB0658">
            <w:pPr>
              <w:adjustRightInd w:val="0"/>
              <w:snapToGrid w:val="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履约保证金不予退还的情形</w:t>
            </w:r>
          </w:p>
        </w:tc>
        <w:tc>
          <w:tcPr>
            <w:tcW w:w="5170" w:type="dxa"/>
            <w:noWrap w:val="0"/>
            <w:vAlign w:val="center"/>
          </w:tcPr>
          <w:p w14:paraId="2BCF4EFB">
            <w:pPr>
              <w:adjustRightInd w:val="0"/>
              <w:snapToGrid w:val="0"/>
              <w:jc w:val="left"/>
              <w:rPr>
                <w:rFonts w:ascii="宋体" w:hAnsi="宋体" w:eastAsia="宋体" w:cs="Times New Roman"/>
                <w:color w:val="auto"/>
                <w:kern w:val="2"/>
                <w:sz w:val="21"/>
                <w:szCs w:val="21"/>
                <w:highlight w:val="none"/>
                <w:lang w:val="en-US" w:eastAsia="zh-CN" w:bidi="ar-SA"/>
              </w:rPr>
            </w:pPr>
          </w:p>
        </w:tc>
      </w:tr>
      <w:tr w14:paraId="4BF35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07" w:type="dxa"/>
            <w:noWrap w:val="0"/>
            <w:vAlign w:val="center"/>
          </w:tcPr>
          <w:p w14:paraId="3D1C6ABC">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8820561">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13.3</w:t>
            </w:r>
            <w:r>
              <w:rPr>
                <w:rFonts w:hint="eastAsia" w:ascii="宋体" w:hAnsi="宋体" w:eastAsia="宋体" w:cs="Times New Roman"/>
                <w:color w:val="auto"/>
                <w:szCs w:val="21"/>
                <w:highlight w:val="none"/>
              </w:rPr>
              <w:t>款</w:t>
            </w:r>
          </w:p>
        </w:tc>
        <w:tc>
          <w:tcPr>
            <w:tcW w:w="1742" w:type="dxa"/>
            <w:noWrap w:val="0"/>
            <w:vAlign w:val="center"/>
          </w:tcPr>
          <w:p w14:paraId="55233261">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履约保证金退还时间及</w:t>
            </w:r>
            <w:r>
              <w:rPr>
                <w:rFonts w:hint="eastAsia" w:ascii="宋体" w:hAnsi="宋体" w:eastAsia="宋体" w:cs="Times New Roman"/>
                <w:color w:val="auto"/>
                <w:szCs w:val="21"/>
                <w:highlight w:val="none"/>
                <w:lang w:eastAsia="zh-CN"/>
              </w:rPr>
              <w:t>逾期退还的</w:t>
            </w:r>
            <w:r>
              <w:rPr>
                <w:rFonts w:hint="eastAsia" w:ascii="宋体" w:hAnsi="宋体" w:eastAsia="宋体" w:cs="Times New Roman"/>
                <w:color w:val="auto"/>
                <w:szCs w:val="21"/>
                <w:highlight w:val="none"/>
              </w:rPr>
              <w:t>违约金</w:t>
            </w:r>
          </w:p>
        </w:tc>
        <w:tc>
          <w:tcPr>
            <w:tcW w:w="5170" w:type="dxa"/>
            <w:noWrap w:val="0"/>
            <w:vAlign w:val="center"/>
          </w:tcPr>
          <w:p w14:paraId="395F5312">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履约保证金待合同期满视履约情况到</w:t>
            </w:r>
            <w:r>
              <w:rPr>
                <w:rFonts w:hint="eastAsia" w:ascii="宋体" w:hAnsi="宋体" w:cs="Times New Roman"/>
                <w:color w:val="auto"/>
                <w:kern w:val="2"/>
                <w:sz w:val="21"/>
                <w:szCs w:val="21"/>
                <w:highlight w:val="none"/>
                <w:lang w:val="en-US" w:eastAsia="zh-CN" w:bidi="ar-SA"/>
              </w:rPr>
              <w:t>甲方</w:t>
            </w:r>
            <w:r>
              <w:rPr>
                <w:rFonts w:hint="eastAsia" w:ascii="宋体" w:hAnsi="宋体" w:eastAsia="宋体" w:cs="Times New Roman"/>
                <w:color w:val="auto"/>
                <w:kern w:val="2"/>
                <w:sz w:val="21"/>
                <w:szCs w:val="21"/>
                <w:highlight w:val="none"/>
                <w:lang w:val="en-US" w:eastAsia="zh-CN" w:bidi="ar-SA"/>
              </w:rPr>
              <w:t>处办理履约保证金的退还手续（不计息）。</w:t>
            </w:r>
          </w:p>
        </w:tc>
      </w:tr>
      <w:tr w14:paraId="30194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607" w:type="dxa"/>
            <w:noWrap w:val="0"/>
            <w:vAlign w:val="center"/>
          </w:tcPr>
          <w:p w14:paraId="428261D8">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06895EDD">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）项</w:t>
            </w:r>
          </w:p>
        </w:tc>
        <w:tc>
          <w:tcPr>
            <w:tcW w:w="1742" w:type="dxa"/>
            <w:noWrap w:val="0"/>
            <w:vAlign w:val="center"/>
          </w:tcPr>
          <w:p w14:paraId="5668BDA1">
            <w:pPr>
              <w:adjustRightInd w:val="0"/>
              <w:snapToGrid w:val="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运行监督、维修期限</w:t>
            </w:r>
          </w:p>
        </w:tc>
        <w:tc>
          <w:tcPr>
            <w:tcW w:w="5170" w:type="dxa"/>
            <w:noWrap w:val="0"/>
            <w:vAlign w:val="center"/>
          </w:tcPr>
          <w:p w14:paraId="620465C3">
            <w:pPr>
              <w:adjustRightInd w:val="0"/>
              <w:snapToGrid w:val="0"/>
              <w:jc w:val="left"/>
              <w:rPr>
                <w:rFonts w:ascii="宋体" w:hAnsi="宋体" w:eastAsia="宋体" w:cs="Times New Roman"/>
                <w:color w:val="auto"/>
                <w:szCs w:val="21"/>
                <w:highlight w:val="none"/>
              </w:rPr>
            </w:pPr>
          </w:p>
        </w:tc>
      </w:tr>
      <w:tr w14:paraId="4729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607" w:type="dxa"/>
            <w:noWrap w:val="0"/>
            <w:vAlign w:val="center"/>
          </w:tcPr>
          <w:p w14:paraId="0557BD53">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9A9CE1D">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）项</w:t>
            </w:r>
          </w:p>
        </w:tc>
        <w:tc>
          <w:tcPr>
            <w:tcW w:w="1742" w:type="dxa"/>
            <w:noWrap w:val="0"/>
            <w:vAlign w:val="center"/>
          </w:tcPr>
          <w:p w14:paraId="6072578A">
            <w:pPr>
              <w:adjustRightInd w:val="0"/>
              <w:snapToGrid w:val="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货物回收的约定</w:t>
            </w:r>
          </w:p>
        </w:tc>
        <w:tc>
          <w:tcPr>
            <w:tcW w:w="5170" w:type="dxa"/>
            <w:noWrap w:val="0"/>
            <w:vAlign w:val="center"/>
          </w:tcPr>
          <w:p w14:paraId="0C4C44B5">
            <w:pPr>
              <w:adjustRightInd w:val="0"/>
              <w:snapToGrid w:val="0"/>
              <w:jc w:val="left"/>
              <w:rPr>
                <w:rFonts w:ascii="宋体" w:hAnsi="宋体" w:eastAsia="宋体" w:cs="Times New Roman"/>
                <w:color w:val="auto"/>
                <w:szCs w:val="21"/>
                <w:highlight w:val="none"/>
              </w:rPr>
            </w:pPr>
          </w:p>
        </w:tc>
      </w:tr>
      <w:tr w14:paraId="58118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1607" w:type="dxa"/>
            <w:noWrap w:val="0"/>
            <w:vAlign w:val="center"/>
          </w:tcPr>
          <w:p w14:paraId="22B3F075">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366221D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）项</w:t>
            </w:r>
          </w:p>
        </w:tc>
        <w:tc>
          <w:tcPr>
            <w:tcW w:w="1742" w:type="dxa"/>
            <w:noWrap w:val="0"/>
            <w:vAlign w:val="center"/>
          </w:tcPr>
          <w:p w14:paraId="36996AFB">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乙方提供的其他服务</w:t>
            </w:r>
          </w:p>
        </w:tc>
        <w:tc>
          <w:tcPr>
            <w:tcW w:w="5170" w:type="dxa"/>
            <w:noWrap w:val="0"/>
            <w:vAlign w:val="center"/>
          </w:tcPr>
          <w:p w14:paraId="49D113F5">
            <w:pPr>
              <w:adjustRightInd w:val="0"/>
              <w:snapToGrid w:val="0"/>
              <w:jc w:val="left"/>
              <w:rPr>
                <w:rFonts w:ascii="宋体" w:hAnsi="宋体" w:eastAsia="宋体" w:cs="Times New Roman"/>
                <w:color w:val="auto"/>
                <w:szCs w:val="21"/>
                <w:highlight w:val="none"/>
              </w:rPr>
            </w:pPr>
          </w:p>
        </w:tc>
      </w:tr>
      <w:tr w14:paraId="77FB5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607" w:type="dxa"/>
            <w:noWrap w:val="0"/>
            <w:vAlign w:val="center"/>
          </w:tcPr>
          <w:p w14:paraId="74BF774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36C5EFD0">
            <w:pPr>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1款</w:t>
            </w:r>
          </w:p>
        </w:tc>
        <w:tc>
          <w:tcPr>
            <w:tcW w:w="1742" w:type="dxa"/>
            <w:noWrap w:val="0"/>
            <w:vAlign w:val="center"/>
          </w:tcPr>
          <w:p w14:paraId="0A5CAC30">
            <w:pPr>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修理、重作、更换相关具体规定</w:t>
            </w:r>
          </w:p>
        </w:tc>
        <w:tc>
          <w:tcPr>
            <w:tcW w:w="5170" w:type="dxa"/>
            <w:noWrap w:val="0"/>
            <w:vAlign w:val="center"/>
          </w:tcPr>
          <w:p w14:paraId="6E0D37E7">
            <w:pPr>
              <w:adjustRightInd w:val="0"/>
              <w:snapToGrid w:val="0"/>
              <w:jc w:val="left"/>
              <w:rPr>
                <w:rFonts w:ascii="宋体" w:hAnsi="宋体" w:eastAsia="宋体" w:cs="Times New Roman"/>
                <w:color w:val="auto"/>
                <w:szCs w:val="21"/>
                <w:highlight w:val="none"/>
              </w:rPr>
            </w:pPr>
          </w:p>
        </w:tc>
      </w:tr>
      <w:tr w14:paraId="6E0E7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C535A8C">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E8A1706">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.2（2）项</w:t>
            </w:r>
          </w:p>
        </w:tc>
        <w:tc>
          <w:tcPr>
            <w:tcW w:w="1742" w:type="dxa"/>
            <w:noWrap w:val="0"/>
            <w:vAlign w:val="center"/>
          </w:tcPr>
          <w:p w14:paraId="1F7AC3AD">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迟延交货赔偿费</w:t>
            </w:r>
          </w:p>
        </w:tc>
        <w:tc>
          <w:tcPr>
            <w:tcW w:w="5170" w:type="dxa"/>
            <w:noWrap w:val="0"/>
            <w:vAlign w:val="center"/>
          </w:tcPr>
          <w:p w14:paraId="415BAD5B">
            <w:pPr>
              <w:adjustRightInd w:val="0"/>
              <w:snapToGrid w:val="0"/>
              <w:jc w:val="left"/>
              <w:rPr>
                <w:rFonts w:ascii="Times New Roman" w:hAnsi="宋体" w:eastAsia="宋体" w:cs="Times New Roman"/>
                <w:color w:val="auto"/>
                <w:highlight w:val="none"/>
              </w:rPr>
            </w:pPr>
            <w:r>
              <w:rPr>
                <w:rFonts w:hint="eastAsia" w:ascii="Times New Roman" w:hAnsi="宋体" w:eastAsia="宋体" w:cs="Times New Roman"/>
                <w:color w:val="auto"/>
                <w:highlight w:val="none"/>
              </w:rPr>
              <w:t>1.乙方逾期交货，按逾期交货天数计算向甲方支付违约金，每逾期1天，罚款人民币壹仟元</w:t>
            </w:r>
            <w:r>
              <w:rPr>
                <w:rFonts w:ascii="Times New Roman" w:hAnsi="宋体" w:eastAsia="宋体" w:cs="Times New Roman"/>
                <w:color w:val="auto"/>
                <w:highlight w:val="none"/>
              </w:rPr>
              <w:t>，由甲方从待付货款中扣除。</w:t>
            </w:r>
            <w:r>
              <w:rPr>
                <w:rFonts w:hint="eastAsia" w:ascii="Times New Roman" w:hAnsi="宋体" w:eastAsia="宋体" w:cs="Times New Roman"/>
                <w:color w:val="auto"/>
                <w:highlight w:val="none"/>
              </w:rPr>
              <w:t>逾期交货的违约赔偿达到人民币壹万元时，乙方仍不能交货，甲方</w:t>
            </w:r>
            <w:r>
              <w:rPr>
                <w:rFonts w:hint="eastAsia" w:ascii="Times New Roman" w:hAnsi="宋体" w:eastAsia="宋体" w:cs="Times New Roman"/>
                <w:color w:val="auto"/>
                <w:highlight w:val="none"/>
                <w:lang w:eastAsia="zh-CN"/>
              </w:rPr>
              <w:t>有权</w:t>
            </w:r>
            <w:r>
              <w:rPr>
                <w:rFonts w:hint="eastAsia" w:ascii="Times New Roman" w:hAnsi="宋体" w:eastAsia="宋体" w:cs="Times New Roman"/>
                <w:color w:val="auto"/>
                <w:highlight w:val="none"/>
              </w:rPr>
              <w:t>终止合同</w:t>
            </w:r>
            <w:r>
              <w:rPr>
                <w:rFonts w:ascii="Times New Roman" w:hAnsi="宋体" w:eastAsia="宋体" w:cs="Times New Roman"/>
                <w:color w:val="auto"/>
                <w:highlight w:val="none"/>
              </w:rPr>
              <w:t xml:space="preserve">，如造成甲方损失超过违约金的，超出部分由乙方继续承担赔偿责任。 </w:t>
            </w:r>
          </w:p>
          <w:p w14:paraId="468E2EBC">
            <w:pPr>
              <w:adjustRightInd w:val="0"/>
              <w:snapToGrid w:val="0"/>
              <w:jc w:val="left"/>
              <w:rPr>
                <w:rFonts w:ascii="宋体" w:hAnsi="宋体" w:eastAsia="宋体" w:cs="Times New Roman"/>
                <w:color w:val="auto"/>
                <w:szCs w:val="21"/>
                <w:highlight w:val="none"/>
                <w:u w:val="single"/>
              </w:rPr>
            </w:pPr>
            <w:r>
              <w:rPr>
                <w:rFonts w:hint="eastAsia" w:ascii="Times New Roman" w:hAnsi="宋体" w:eastAsia="宋体" w:cs="Times New Roman"/>
                <w:color w:val="auto"/>
                <w:highlight w:val="none"/>
              </w:rPr>
              <w:t>2.</w:t>
            </w:r>
            <w:r>
              <w:rPr>
                <w:rFonts w:ascii="Times New Roman" w:hAnsi="宋体" w:eastAsia="宋体" w:cs="Times New Roman"/>
                <w:color w:val="auto"/>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14:paraId="12900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4A1FAF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1DD27B8">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3款</w:t>
            </w:r>
          </w:p>
        </w:tc>
        <w:tc>
          <w:tcPr>
            <w:tcW w:w="1742" w:type="dxa"/>
            <w:noWrap w:val="0"/>
            <w:vAlign w:val="center"/>
          </w:tcPr>
          <w:p w14:paraId="4E5AD83C">
            <w:pPr>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逾期付款利息</w:t>
            </w:r>
          </w:p>
        </w:tc>
        <w:tc>
          <w:tcPr>
            <w:tcW w:w="5170" w:type="dxa"/>
            <w:noWrap w:val="0"/>
            <w:vAlign w:val="center"/>
          </w:tcPr>
          <w:p w14:paraId="0ECDE0CD">
            <w:pPr>
              <w:adjustRightInd w:val="0"/>
              <w:snapToGrid w:val="0"/>
              <w:jc w:val="left"/>
              <w:rPr>
                <w:rFonts w:ascii="宋体" w:hAnsi="宋体" w:eastAsia="宋体" w:cs="Times New Roman"/>
                <w:color w:val="auto"/>
                <w:szCs w:val="21"/>
                <w:highlight w:val="none"/>
                <w:u w:val="single"/>
              </w:rPr>
            </w:pPr>
          </w:p>
        </w:tc>
      </w:tr>
      <w:tr w14:paraId="7FA9D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607" w:type="dxa"/>
            <w:tcBorders>
              <w:bottom w:val="single" w:color="auto" w:sz="2" w:space="0"/>
              <w:right w:val="single" w:color="auto" w:sz="2" w:space="0"/>
            </w:tcBorders>
            <w:noWrap w:val="0"/>
            <w:vAlign w:val="center"/>
          </w:tcPr>
          <w:p w14:paraId="531B1B7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0779EF8">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2D93F4C2">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其他违约责任</w:t>
            </w:r>
          </w:p>
        </w:tc>
        <w:tc>
          <w:tcPr>
            <w:tcW w:w="5170" w:type="dxa"/>
            <w:tcBorders>
              <w:left w:val="single" w:color="auto" w:sz="2" w:space="0"/>
              <w:bottom w:val="single" w:color="auto" w:sz="2" w:space="0"/>
            </w:tcBorders>
            <w:noWrap w:val="0"/>
            <w:vAlign w:val="center"/>
          </w:tcPr>
          <w:p w14:paraId="74BB84C0">
            <w:pPr>
              <w:adjustRightInd w:val="0"/>
              <w:snapToGrid w:val="0"/>
              <w:jc w:val="left"/>
              <w:rPr>
                <w:rFonts w:ascii="宋体" w:hAnsi="宋体" w:eastAsia="宋体" w:cs="Times New Roman"/>
                <w:color w:val="auto"/>
                <w:szCs w:val="21"/>
                <w:highlight w:val="none"/>
                <w:u w:val="single"/>
              </w:rPr>
            </w:pPr>
          </w:p>
        </w:tc>
      </w:tr>
      <w:tr w14:paraId="096BE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0A364B99">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63761EC">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269975A0">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1BB2C11E">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 w:val="21"/>
                <w:szCs w:val="21"/>
                <w:highlight w:val="none"/>
              </w:rPr>
            </w:pPr>
            <w:r>
              <w:rPr>
                <w:rFonts w:hint="eastAsia" w:asciiTheme="minorEastAsia" w:hAnsiTheme="minorEastAsia" w:eastAsiaTheme="minorEastAsia" w:cstheme="minorEastAsia"/>
                <w:b w:val="0"/>
                <w:bCs w:val="0"/>
                <w:iCs/>
                <w:color w:val="auto"/>
                <w:sz w:val="21"/>
                <w:szCs w:val="21"/>
                <w:highlight w:val="none"/>
              </w:rPr>
              <w:t>因本合同及合同有关事项发生的争议，按下列第</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u w:val="single"/>
                <w:lang w:eastAsia="zh-CN"/>
              </w:rPr>
              <w:t>（</w:t>
            </w:r>
            <w:r>
              <w:rPr>
                <w:rFonts w:hint="eastAsia" w:asciiTheme="minorEastAsia" w:hAnsiTheme="minorEastAsia" w:eastAsiaTheme="minorEastAsia" w:cstheme="minorEastAsia"/>
                <w:b w:val="0"/>
                <w:bCs w:val="0"/>
                <w:iCs/>
                <w:color w:val="auto"/>
                <w:sz w:val="21"/>
                <w:szCs w:val="21"/>
                <w:highlight w:val="none"/>
                <w:u w:val="single"/>
                <w:lang w:val="en-US" w:eastAsia="zh-CN"/>
              </w:rPr>
              <w:t>2</w:t>
            </w:r>
            <w:r>
              <w:rPr>
                <w:rFonts w:hint="eastAsia" w:asciiTheme="minorEastAsia" w:hAnsiTheme="minorEastAsia" w:eastAsiaTheme="minorEastAsia" w:cstheme="minorEastAsia"/>
                <w:b w:val="0"/>
                <w:bCs w:val="0"/>
                <w:iCs/>
                <w:color w:val="auto"/>
                <w:sz w:val="21"/>
                <w:szCs w:val="21"/>
                <w:highlight w:val="none"/>
                <w:u w:val="single"/>
                <w:lang w:eastAsia="zh-CN"/>
              </w:rPr>
              <w:t>）</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种方式解决：</w:t>
            </w:r>
          </w:p>
          <w:p w14:paraId="071C6D8B">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 w:val="21"/>
                <w:szCs w:val="21"/>
                <w:highlight w:val="none"/>
              </w:rPr>
            </w:pPr>
            <w:r>
              <w:rPr>
                <w:rFonts w:hint="eastAsia" w:asciiTheme="minorEastAsia" w:hAnsiTheme="minorEastAsia" w:eastAsiaTheme="minorEastAsia" w:cstheme="minorEastAsia"/>
                <w:b w:val="0"/>
                <w:bCs w:val="0"/>
                <w:iCs/>
                <w:color w:val="auto"/>
                <w:sz w:val="21"/>
                <w:szCs w:val="21"/>
                <w:highlight w:val="none"/>
              </w:rPr>
              <w:t>（1）向</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仲裁委员会申请仲裁，仲裁地点为</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w:t>
            </w:r>
          </w:p>
          <w:p w14:paraId="7A205C18">
            <w:pPr>
              <w:adjustRightInd w:val="0"/>
              <w:snapToGrid w:val="0"/>
              <w:ind w:firstLine="0" w:firstLineChars="0"/>
              <w:jc w:val="left"/>
              <w:rPr>
                <w:rFonts w:ascii="宋体" w:hAnsi="宋体" w:eastAsia="宋体" w:cs="Times New Roman"/>
                <w:color w:val="auto"/>
                <w:szCs w:val="21"/>
                <w:highlight w:val="none"/>
                <w:u w:val="single"/>
              </w:rPr>
            </w:pPr>
            <w:r>
              <w:rPr>
                <w:rFonts w:hint="eastAsia" w:asciiTheme="minorEastAsia" w:hAnsiTheme="minorEastAsia" w:eastAsiaTheme="minorEastAsia" w:cstheme="minorEastAsia"/>
                <w:b w:val="0"/>
                <w:bCs w:val="0"/>
                <w:iCs/>
                <w:color w:val="auto"/>
                <w:sz w:val="21"/>
                <w:szCs w:val="21"/>
                <w:highlight w:val="none"/>
              </w:rPr>
              <w:t>（2）向</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u w:val="single"/>
                <w:lang w:val="en-US" w:eastAsia="zh-CN"/>
              </w:rPr>
              <w:t>浦江县</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人民法院起诉。</w:t>
            </w:r>
          </w:p>
        </w:tc>
      </w:tr>
      <w:tr w14:paraId="13934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74446682">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2C94D2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第2</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lang w:eastAsia="zh-CN"/>
              </w:rPr>
              <w:t>款</w:t>
            </w:r>
          </w:p>
        </w:tc>
        <w:tc>
          <w:tcPr>
            <w:tcW w:w="1742" w:type="dxa"/>
            <w:noWrap w:val="0"/>
            <w:vAlign w:val="center"/>
          </w:tcPr>
          <w:p w14:paraId="22678298">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lang w:eastAsia="zh-CN"/>
              </w:rPr>
              <w:t>其他专用条款</w:t>
            </w:r>
          </w:p>
        </w:tc>
        <w:tc>
          <w:tcPr>
            <w:tcW w:w="5170" w:type="dxa"/>
            <w:noWrap w:val="0"/>
            <w:vAlign w:val="center"/>
          </w:tcPr>
          <w:p w14:paraId="253A78B0">
            <w:pPr>
              <w:adjustRightInd w:val="0"/>
              <w:snapToGrid w:val="0"/>
              <w:jc w:val="left"/>
              <w:rPr>
                <w:rFonts w:hint="default" w:ascii="宋体" w:hAnsi="宋体" w:eastAsia="宋体" w:cs="Times New Roman"/>
                <w:color w:val="auto"/>
                <w:szCs w:val="21"/>
                <w:highlight w:val="none"/>
                <w:lang w:val="en-US" w:eastAsia="zh-CN"/>
              </w:rPr>
            </w:pPr>
          </w:p>
        </w:tc>
      </w:tr>
    </w:tbl>
    <w:p w14:paraId="568B6E88">
      <w:pPr>
        <w:spacing w:line="480" w:lineRule="exact"/>
        <w:jc w:val="center"/>
        <w:outlineLvl w:val="0"/>
        <w:rPr>
          <w:rStyle w:val="56"/>
          <w:rFonts w:hint="eastAsia"/>
          <w:color w:val="auto"/>
          <w:sz w:val="32"/>
          <w:szCs w:val="32"/>
          <w:highlight w:val="none"/>
        </w:rPr>
      </w:pPr>
      <w:bookmarkStart w:id="145" w:name="OLE_LINK13"/>
      <w:bookmarkEnd w:id="145"/>
      <w:bookmarkStart w:id="146" w:name="_Toc26698"/>
    </w:p>
    <w:p w14:paraId="5527E010">
      <w:pPr>
        <w:spacing w:line="480" w:lineRule="exact"/>
        <w:jc w:val="center"/>
        <w:outlineLvl w:val="0"/>
        <w:rPr>
          <w:rStyle w:val="56"/>
          <w:rFonts w:hint="eastAsia"/>
          <w:color w:val="auto"/>
          <w:sz w:val="32"/>
          <w:szCs w:val="32"/>
          <w:highlight w:val="none"/>
        </w:rPr>
      </w:pPr>
    </w:p>
    <w:p w14:paraId="427D1669">
      <w:pPr>
        <w:spacing w:line="480" w:lineRule="exact"/>
        <w:jc w:val="center"/>
        <w:outlineLvl w:val="0"/>
        <w:rPr>
          <w:rFonts w:hint="eastAsia" w:ascii="宋体" w:hAnsi="宋体" w:eastAsia="宋体" w:cs="宋体"/>
          <w:color w:val="auto"/>
          <w:sz w:val="24"/>
          <w:szCs w:val="24"/>
          <w:highlight w:val="none"/>
        </w:rPr>
      </w:pPr>
      <w:bookmarkStart w:id="147" w:name="_Toc2707"/>
      <w:r>
        <w:rPr>
          <w:rStyle w:val="56"/>
          <w:rFonts w:hint="eastAsia"/>
          <w:color w:val="auto"/>
          <w:sz w:val="32"/>
          <w:szCs w:val="32"/>
          <w:highlight w:val="none"/>
        </w:rPr>
        <w:t xml:space="preserve">第五部分  </w:t>
      </w:r>
      <w:bookmarkEnd w:id="134"/>
      <w:bookmarkEnd w:id="135"/>
      <w:bookmarkEnd w:id="136"/>
      <w:bookmarkEnd w:id="137"/>
      <w:bookmarkEnd w:id="138"/>
      <w:bookmarkEnd w:id="139"/>
      <w:r>
        <w:rPr>
          <w:rStyle w:val="56"/>
          <w:rFonts w:hint="eastAsia"/>
          <w:color w:val="auto"/>
          <w:sz w:val="32"/>
          <w:szCs w:val="32"/>
          <w:highlight w:val="none"/>
        </w:rPr>
        <w:t>评标办法（最低评标价法）</w:t>
      </w:r>
      <w:bookmarkEnd w:id="146"/>
      <w:bookmarkEnd w:id="147"/>
    </w:p>
    <w:p w14:paraId="1C4F518F">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为公正、公平、科学地选择中标人，根据《中华人民共和国招标投标法》等有关法律法规的规定，并结合本项目的实际，制定本办法。</w:t>
      </w:r>
    </w:p>
    <w:p w14:paraId="775CB38E">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48" w:name="_Toc21410"/>
      <w:bookmarkStart w:id="149" w:name="_Toc30949"/>
      <w:bookmarkStart w:id="150" w:name="_Toc23967"/>
      <w:bookmarkStart w:id="151" w:name="_Toc16606"/>
      <w:bookmarkStart w:id="152" w:name="_Toc21062"/>
      <w:bookmarkStart w:id="153" w:name="_Toc28236"/>
      <w:bookmarkStart w:id="154" w:name="_Toc19257"/>
      <w:r>
        <w:rPr>
          <w:rFonts w:hint="eastAsia" w:ascii="宋体" w:hAnsi="宋体" w:eastAsia="宋体" w:cs="宋体"/>
          <w:color w:val="auto"/>
          <w:sz w:val="24"/>
          <w:szCs w:val="24"/>
          <w:highlight w:val="none"/>
        </w:rPr>
        <w:t>一、总则</w:t>
      </w:r>
      <w:bookmarkEnd w:id="148"/>
      <w:bookmarkEnd w:id="149"/>
      <w:bookmarkEnd w:id="150"/>
      <w:bookmarkEnd w:id="151"/>
      <w:bookmarkEnd w:id="152"/>
      <w:bookmarkEnd w:id="153"/>
      <w:bookmarkEnd w:id="154"/>
    </w:p>
    <w:p w14:paraId="2918952A">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snapToGrid w:val="0"/>
          <w:color w:val="auto"/>
          <w:kern w:val="0"/>
          <w:sz w:val="24"/>
          <w:highlight w:val="none"/>
        </w:rPr>
      </w:pPr>
      <w:bookmarkStart w:id="155" w:name="_Toc251566663"/>
      <w:bookmarkStart w:id="156" w:name="_Toc249760792"/>
      <w:r>
        <w:rPr>
          <w:rFonts w:hint="eastAsia" w:ascii="宋体" w:hAnsi="宋体" w:cs="宋体"/>
          <w:snapToGrid w:val="0"/>
          <w:color w:val="auto"/>
          <w:kern w:val="0"/>
          <w:sz w:val="24"/>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0DEA0856">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57" w:name="_Toc1050"/>
      <w:bookmarkStart w:id="158" w:name="_Toc27593"/>
      <w:bookmarkStart w:id="159" w:name="_Toc21873"/>
      <w:bookmarkStart w:id="160" w:name="_Toc22601"/>
      <w:bookmarkStart w:id="161" w:name="_Toc23250"/>
      <w:bookmarkStart w:id="162" w:name="_Toc11305"/>
      <w:bookmarkStart w:id="163" w:name="_Toc27046"/>
      <w:bookmarkStart w:id="164" w:name="_Toc22739"/>
      <w:bookmarkStart w:id="165" w:name="_Toc8152"/>
      <w:bookmarkStart w:id="166" w:name="_Toc8990"/>
      <w:bookmarkStart w:id="167" w:name="_Toc10206"/>
      <w:bookmarkStart w:id="168" w:name="_Toc2930"/>
      <w:r>
        <w:rPr>
          <w:rFonts w:hint="eastAsia" w:ascii="宋体" w:hAnsi="宋体" w:eastAsia="宋体" w:cs="宋体"/>
          <w:color w:val="auto"/>
          <w:sz w:val="24"/>
          <w:szCs w:val="24"/>
          <w:highlight w:val="none"/>
        </w:rPr>
        <w:t>二、评标组织</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5CB0CBC">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rPr>
        <w:t>评标工作由招标采购人负责组织，依法组建由奇数的人员组成的评标委员会，负责对投标文件进行审查、质询、评审等。评标委员会由</w:t>
      </w:r>
      <w:r>
        <w:rPr>
          <w:rFonts w:hint="eastAsia" w:ascii="宋体" w:hAnsi="宋体" w:cs="宋体"/>
          <w:color w:val="auto"/>
          <w:sz w:val="24"/>
          <w:highlight w:val="none"/>
        </w:rPr>
        <w:t>采购人代表和评审专家组成，成员人数为</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人</w:t>
      </w:r>
      <w:r>
        <w:rPr>
          <w:rFonts w:hint="eastAsia" w:ascii="宋体" w:hAnsi="宋体" w:cs="宋体"/>
          <w:color w:val="auto"/>
          <w:sz w:val="24"/>
          <w:highlight w:val="none"/>
        </w:rPr>
        <w:t>或以上单数，其中评审专家不得少于成员总数的三分之二。</w:t>
      </w:r>
    </w:p>
    <w:p w14:paraId="6DE34FD9">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69" w:name="_Toc2781"/>
      <w:bookmarkStart w:id="170" w:name="_Toc21556"/>
      <w:bookmarkStart w:id="171" w:name="_Toc32203"/>
      <w:bookmarkStart w:id="172" w:name="_Toc31345"/>
      <w:bookmarkStart w:id="173" w:name="_Toc12576"/>
      <w:bookmarkStart w:id="174" w:name="_Toc249760793"/>
      <w:bookmarkStart w:id="175" w:name="_Toc251566664"/>
      <w:bookmarkStart w:id="176" w:name="_Toc21151"/>
      <w:bookmarkStart w:id="177" w:name="_Toc1155"/>
      <w:bookmarkStart w:id="178" w:name="_Toc32084"/>
      <w:bookmarkStart w:id="179" w:name="_Toc15352"/>
      <w:bookmarkStart w:id="180" w:name="_Toc14683"/>
      <w:bookmarkStart w:id="181" w:name="_Toc8565"/>
      <w:bookmarkStart w:id="182" w:name="_Toc31081"/>
      <w:r>
        <w:rPr>
          <w:rFonts w:hint="eastAsia" w:ascii="宋体" w:hAnsi="宋体" w:eastAsia="宋体" w:cs="宋体"/>
          <w:color w:val="auto"/>
          <w:sz w:val="24"/>
          <w:szCs w:val="24"/>
          <w:highlight w:val="none"/>
        </w:rPr>
        <w:t>三、评标纪律</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2E21AD5">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1、评标是招标工作的重要环节，评标工作在评标委员会内独立进行。评标委员会将按照评标原则的要求，公正、平等地对待所有投标人。</w:t>
      </w:r>
    </w:p>
    <w:p w14:paraId="3EC3D49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2、所有评标人员应忠于职守、廉洁自律、秉公办事、不徇私情。</w:t>
      </w:r>
    </w:p>
    <w:p w14:paraId="78ED4EC1">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3、评标人员不得接受或参加投标人或与投标有关的单位、组织或个人的有碍公务的宴请、娱乐活动等，不得以任何形式弄虚作假。</w:t>
      </w:r>
    </w:p>
    <w:p w14:paraId="24E900C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4、评标期间，评标人员不得随意出入评标地点、与外界通讯、会客等。</w:t>
      </w:r>
    </w:p>
    <w:p w14:paraId="73EA446D">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5、在投标文件的审查、澄清、评价和比较以及授予合同的过程中，投标人对采购人、采购代理机构人员及评标委员会成员施加影响的任何行为，都将导致被取消投标资格。</w:t>
      </w:r>
    </w:p>
    <w:p w14:paraId="3EF3A6C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217B6A5E">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14:paraId="04B8F29F">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8、评标结束后，各评标人员应将全部资料整理上交采购人，严禁将评标过程中的任何资料带出评标现场向投标人或其他单位提供。</w:t>
      </w:r>
    </w:p>
    <w:p w14:paraId="316E1103">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9、在中标结果公布前应对评标委员会成员名单予以保密。</w:t>
      </w:r>
    </w:p>
    <w:p w14:paraId="45BA8648">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10、评标委员会对各投标人的商业秘密予以保密。</w:t>
      </w:r>
    </w:p>
    <w:p w14:paraId="24D9EF16">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11、评标委员会成员应当客观、公正地履行职责，遵守职业道德，对所提出的评审意见承担个人责任。</w:t>
      </w:r>
    </w:p>
    <w:p w14:paraId="74AFCA89">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12、在整个评标过程中，投标人企图影响招标结果的任何活动，可能导致其投标失败。如有违法行为，将依法追究其法律责任。</w:t>
      </w:r>
    </w:p>
    <w:p w14:paraId="316FB794">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color w:val="auto"/>
          <w:szCs w:val="21"/>
          <w:highlight w:val="none"/>
        </w:rPr>
        <w:br w:type="page"/>
      </w:r>
      <w:bookmarkStart w:id="183" w:name="_Toc1156"/>
      <w:bookmarkStart w:id="184" w:name="_Toc30344"/>
      <w:bookmarkStart w:id="185" w:name="_Toc19809"/>
      <w:bookmarkStart w:id="186" w:name="_Toc21589"/>
      <w:bookmarkStart w:id="187" w:name="_Toc24712"/>
      <w:bookmarkStart w:id="188" w:name="_Toc29525"/>
      <w:bookmarkStart w:id="189" w:name="_Toc251566668"/>
      <w:bookmarkStart w:id="190" w:name="_Toc1306"/>
      <w:bookmarkStart w:id="191" w:name="_Toc31271"/>
      <w:bookmarkStart w:id="192" w:name="_Toc249760797"/>
      <w:bookmarkStart w:id="193" w:name="_Toc14478"/>
      <w:bookmarkStart w:id="194" w:name="_Toc234764855"/>
      <w:bookmarkStart w:id="195" w:name="_Toc6924"/>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评标办法</w:t>
      </w:r>
      <w:bookmarkEnd w:id="183"/>
      <w:bookmarkEnd w:id="184"/>
      <w:bookmarkEnd w:id="185"/>
      <w:bookmarkEnd w:id="186"/>
      <w:bookmarkEnd w:id="187"/>
      <w:bookmarkEnd w:id="188"/>
    </w:p>
    <w:p w14:paraId="488D46EE">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eastAsia="zh-CN"/>
        </w:rPr>
        <w:t>浦江县交投贸易有限公司2024年-2025年石灰岩采购项目</w:t>
      </w:r>
      <w:r>
        <w:rPr>
          <w:rFonts w:hint="eastAsia" w:ascii="宋体" w:hAnsi="宋体" w:eastAsia="宋体" w:cs="宋体"/>
          <w:bCs/>
          <w:color w:val="auto"/>
          <w:sz w:val="24"/>
          <w:szCs w:val="24"/>
          <w:highlight w:val="none"/>
        </w:rPr>
        <w:t>的评标。</w:t>
      </w:r>
    </w:p>
    <w:p w14:paraId="209F12CA">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bookmarkStart w:id="196" w:name="_Toc152045601"/>
      <w:bookmarkStart w:id="197" w:name="_Toc318960027"/>
      <w:bookmarkStart w:id="198" w:name="_Toc144974568"/>
      <w:bookmarkStart w:id="199" w:name="_Toc152042378"/>
      <w:bookmarkStart w:id="200" w:name="_Toc179632619"/>
      <w:r>
        <w:rPr>
          <w:rFonts w:hint="eastAsia" w:ascii="宋体" w:hAnsi="宋体" w:eastAsia="宋体" w:cs="宋体"/>
          <w:color w:val="auto"/>
          <w:sz w:val="24"/>
          <w:szCs w:val="24"/>
          <w:highlight w:val="none"/>
        </w:rPr>
        <w:t>本次评标采用最低评标价法。评标委员会根据本章评标办法规定的顺序进行评审，推荐采购需求、质量和服务均能满足采购文件实质性响应要求，且投标报价最低的投标人为第一中标候选人。如出现投标报价相同情形的，则以抽签方式随机确定成交供应商。如某单位不参加抽签，取消其中标候选人资格，同时按其他有关规定给予相应处罚。</w:t>
      </w:r>
    </w:p>
    <w:p w14:paraId="0F1FF89A">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bookmarkStart w:id="201" w:name="_Toc28407"/>
      <w:bookmarkStart w:id="202" w:name="_Toc29553"/>
      <w:bookmarkStart w:id="203" w:name="_Toc30251"/>
      <w:bookmarkStart w:id="204" w:name="_Toc26424"/>
      <w:bookmarkStart w:id="205" w:name="_Toc11102"/>
      <w:bookmarkStart w:id="206" w:name="_Toc2434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评审</w:t>
      </w:r>
      <w:bookmarkEnd w:id="196"/>
      <w:bookmarkEnd w:id="197"/>
      <w:bookmarkEnd w:id="198"/>
      <w:bookmarkEnd w:id="199"/>
      <w:bookmarkEnd w:id="200"/>
      <w:r>
        <w:rPr>
          <w:rFonts w:hint="eastAsia" w:ascii="宋体" w:hAnsi="宋体" w:eastAsia="宋体" w:cs="宋体"/>
          <w:b/>
          <w:bCs/>
          <w:color w:val="auto"/>
          <w:sz w:val="24"/>
          <w:szCs w:val="24"/>
          <w:highlight w:val="none"/>
        </w:rPr>
        <w:t>程序</w:t>
      </w:r>
      <w:bookmarkEnd w:id="201"/>
      <w:bookmarkEnd w:id="202"/>
      <w:bookmarkEnd w:id="203"/>
      <w:bookmarkEnd w:id="204"/>
      <w:bookmarkEnd w:id="205"/>
      <w:bookmarkEnd w:id="206"/>
    </w:p>
    <w:p w14:paraId="2B3AF0E5">
      <w:pPr>
        <w:keepNext/>
        <w:keepLines/>
        <w:pageBreakBefore w:val="0"/>
        <w:widowControl w:val="0"/>
        <w:kinsoku/>
        <w:wordWrap/>
        <w:overflowPunct/>
        <w:topLinePunct w:val="0"/>
        <w:autoSpaceDE/>
        <w:autoSpaceDN/>
        <w:bidi w:val="0"/>
        <w:spacing w:line="360" w:lineRule="exact"/>
        <w:jc w:val="left"/>
        <w:textAlignment w:val="auto"/>
        <w:outlineLvl w:val="2"/>
        <w:rPr>
          <w:rFonts w:hint="eastAsia" w:ascii="宋体" w:hAnsi="宋体" w:eastAsia="宋体" w:cs="宋体"/>
          <w:color w:val="auto"/>
          <w:sz w:val="24"/>
          <w:szCs w:val="24"/>
          <w:highlight w:val="none"/>
        </w:rPr>
      </w:pPr>
      <w:bookmarkStart w:id="207" w:name="_Toc152045602"/>
      <w:bookmarkStart w:id="208" w:name="_Toc179632620"/>
      <w:bookmarkStart w:id="209" w:name="_Toc144974569"/>
      <w:bookmarkStart w:id="210" w:name="_Toc152042379"/>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初步评审</w:t>
      </w:r>
      <w:bookmarkEnd w:id="207"/>
      <w:bookmarkEnd w:id="208"/>
      <w:bookmarkEnd w:id="209"/>
      <w:bookmarkEnd w:id="210"/>
    </w:p>
    <w:p w14:paraId="7BDAE964">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1.1资格评审</w:t>
      </w:r>
    </w:p>
    <w:p w14:paraId="29C68C89">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招标人将对投标人是否满足采购公告要求的资格条件进行逐项审查。经审查，投标人的资格条件不符合采购文件要求或未按要求提交相关资料的，作无效标处理。</w:t>
      </w:r>
    </w:p>
    <w:p w14:paraId="5C4E1805">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1.2响应性评审</w:t>
      </w:r>
    </w:p>
    <w:p w14:paraId="54EFDEC0">
      <w:pPr>
        <w:pageBreakBefore w:val="0"/>
        <w:widowControl w:val="0"/>
        <w:kinsoku/>
        <w:wordWrap/>
        <w:overflowPunct/>
        <w:topLinePunct w:val="0"/>
        <w:autoSpaceDE/>
        <w:autoSpaceDN/>
        <w:bidi w:val="0"/>
        <w:adjustRightInd w:val="0"/>
        <w:snapToGrid w:val="0"/>
        <w:spacing w:before="120" w:beforeLines="50"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评标委员会将对投标人的投标文件进行响应性评审，投标人存在第</w:t>
      </w:r>
      <w:r>
        <w:rPr>
          <w:rFonts w:hint="eastAsia" w:ascii="宋体" w:hAnsi="宋体" w:eastAsia="宋体" w:cs="宋体"/>
          <w:b w:val="0"/>
          <w:bCs w:val="0"/>
          <w:color w:val="auto"/>
          <w:sz w:val="24"/>
          <w:szCs w:val="24"/>
          <w:highlight w:val="none"/>
          <w:lang w:eastAsia="zh-CN"/>
        </w:rPr>
        <w:t>二部分</w:t>
      </w:r>
      <w:r>
        <w:rPr>
          <w:rFonts w:hint="eastAsia" w:ascii="宋体" w:hAnsi="宋体" w:eastAsia="宋体" w:cs="宋体"/>
          <w:b w:val="0"/>
          <w:bCs w:val="0"/>
          <w:color w:val="auto"/>
          <w:sz w:val="24"/>
          <w:szCs w:val="24"/>
          <w:highlight w:val="none"/>
        </w:rPr>
        <w:t>投标人须知</w:t>
      </w:r>
      <w:r>
        <w:rPr>
          <w:rFonts w:hint="eastAsia" w:ascii="宋体" w:hAnsi="宋体" w:cs="宋体"/>
          <w:b w:val="0"/>
          <w:bCs w:val="0"/>
          <w:color w:val="auto"/>
          <w:sz w:val="24"/>
          <w:highlight w:val="none"/>
        </w:rPr>
        <w:t>22、无效投标的认定</w:t>
      </w:r>
      <w:r>
        <w:rPr>
          <w:rFonts w:hint="eastAsia" w:ascii="宋体" w:hAnsi="宋体" w:eastAsia="宋体" w:cs="宋体"/>
          <w:b w:val="0"/>
          <w:bCs w:val="0"/>
          <w:color w:val="auto"/>
          <w:sz w:val="24"/>
          <w:szCs w:val="24"/>
          <w:highlight w:val="none"/>
        </w:rPr>
        <w:t>的，作无效标处理。</w:t>
      </w:r>
    </w:p>
    <w:p w14:paraId="0A95D0D5">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详细评审</w:t>
      </w:r>
    </w:p>
    <w:p w14:paraId="544C510B">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11" w:name="_Toc144974575"/>
      <w:bookmarkStart w:id="212" w:name="_Toc179632625"/>
      <w:bookmarkStart w:id="213" w:name="_Toc152045607"/>
      <w:bookmarkStart w:id="214" w:name="_Toc152042385"/>
      <w:r>
        <w:rPr>
          <w:rFonts w:hint="eastAsia" w:ascii="宋体" w:hAnsi="宋体" w:eastAsia="宋体" w:cs="宋体"/>
          <w:color w:val="auto"/>
          <w:sz w:val="24"/>
          <w:szCs w:val="24"/>
          <w:highlight w:val="none"/>
        </w:rPr>
        <w:t>2.1投标报价有算术错误的，评标委员会按以下原则对投标报价进行修正，修正的价格经投标人书面确认后具有约束力。投标人不接受修正价格的，作否决投标处理。</w:t>
      </w:r>
    </w:p>
    <w:p w14:paraId="069EE261">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15" w:name="_Toc152042383"/>
      <w:r>
        <w:rPr>
          <w:rFonts w:hint="eastAsia" w:ascii="宋体" w:hAnsi="宋体" w:eastAsia="宋体" w:cs="宋体"/>
          <w:color w:val="auto"/>
          <w:sz w:val="24"/>
          <w:szCs w:val="24"/>
          <w:highlight w:val="none"/>
        </w:rPr>
        <w:t>（1）投标文件中的大写金额与小写金额不一致的，以大写金额为准；</w:t>
      </w:r>
      <w:bookmarkEnd w:id="215"/>
    </w:p>
    <w:p w14:paraId="59D2EDC0">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22C43E4B">
      <w:pPr>
        <w:pStyle w:val="25"/>
        <w:pageBreakBefore w:val="0"/>
        <w:widowControl w:val="0"/>
        <w:numPr>
          <w:ilvl w:val="0"/>
          <w:numId w:val="0"/>
        </w:numPr>
        <w:tabs>
          <w:tab w:val="left" w:pos="630"/>
          <w:tab w:val="left" w:pos="900"/>
        </w:tabs>
        <w:kinsoku/>
        <w:wordWrap/>
        <w:overflowPunct/>
        <w:topLinePunct w:val="0"/>
        <w:autoSpaceDE/>
        <w:autoSpaceDN/>
        <w:bidi w:val="0"/>
        <w:snapToGrid w:val="0"/>
        <w:spacing w:before="0" w:beforeLines="0" w:after="120" w:afterLines="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质量或者不能诚信履约的，有权要求其在评标现场合理的时间内作出书面说明，必要时提交相关证明材料；投标人不能证明其报价合理性的，其投标无效。</w:t>
      </w:r>
    </w:p>
    <w:p w14:paraId="476CFBCC">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color w:val="auto"/>
          <w:sz w:val="24"/>
          <w:szCs w:val="24"/>
          <w:highlight w:val="none"/>
        </w:rPr>
      </w:pPr>
      <w:bookmarkStart w:id="216" w:name="_Toc22027"/>
      <w:bookmarkStart w:id="217" w:name="_Toc20707"/>
      <w:bookmarkStart w:id="218" w:name="_Toc6899"/>
      <w:bookmarkStart w:id="219" w:name="_Toc10410"/>
      <w:bookmarkStart w:id="220" w:name="_Toc29121"/>
      <w:bookmarkStart w:id="221" w:name="_Toc18420"/>
      <w:r>
        <w:rPr>
          <w:rFonts w:hint="eastAsia" w:ascii="宋体" w:hAnsi="宋体" w:eastAsia="宋体" w:cs="宋体"/>
          <w:color w:val="auto"/>
          <w:sz w:val="24"/>
          <w:szCs w:val="24"/>
          <w:highlight w:val="none"/>
        </w:rPr>
        <w:t>3.投标文件的澄清</w:t>
      </w:r>
      <w:bookmarkEnd w:id="211"/>
      <w:r>
        <w:rPr>
          <w:rFonts w:hint="eastAsia" w:ascii="宋体" w:hAnsi="宋体" w:eastAsia="宋体" w:cs="宋体"/>
          <w:color w:val="auto"/>
          <w:sz w:val="24"/>
          <w:szCs w:val="24"/>
          <w:highlight w:val="none"/>
        </w:rPr>
        <w:t>和补正</w:t>
      </w:r>
      <w:bookmarkEnd w:id="212"/>
      <w:bookmarkEnd w:id="213"/>
      <w:bookmarkEnd w:id="214"/>
      <w:bookmarkEnd w:id="216"/>
      <w:bookmarkEnd w:id="217"/>
      <w:bookmarkEnd w:id="218"/>
      <w:bookmarkEnd w:id="219"/>
      <w:bookmarkEnd w:id="220"/>
      <w:bookmarkEnd w:id="221"/>
    </w:p>
    <w:p w14:paraId="3ECE1F24">
      <w:pPr>
        <w:pageBreakBefore w:val="0"/>
        <w:widowControl w:val="0"/>
        <w:kinsoku/>
        <w:wordWrap/>
        <w:overflowPunct/>
        <w:topLinePunct w:val="0"/>
        <w:autoSpaceDE/>
        <w:autoSpaceDN/>
        <w:bidi w:val="0"/>
        <w:spacing w:before="120" w:beforeLines="50" w:after="120" w:afterLines="5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3.1在评标过程中，评标委员会可以书面形式要求投标人对所提交的投标文件中不明确的内容进行书面澄清或说明，或者对细微偏差进行补正。评标委员会不接受投标人主动提出的澄清、说明或补正。</w:t>
      </w:r>
    </w:p>
    <w:p w14:paraId="07A275A4">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澄清、说明和补正不得改变投标文件的实质性内容（算术性错误修正的除外）。投标人的书面澄清、说明和补正属于投标文件的组成部分。</w:t>
      </w:r>
    </w:p>
    <w:p w14:paraId="25197AFD">
      <w:pPr>
        <w:pageBreakBefore w:val="0"/>
        <w:widowControl w:val="0"/>
        <w:kinsoku/>
        <w:wordWrap/>
        <w:overflowPunct/>
        <w:topLinePunct w:val="0"/>
        <w:autoSpaceDE/>
        <w:autoSpaceDN/>
        <w:bidi w:val="0"/>
        <w:spacing w:line="360" w:lineRule="exact"/>
        <w:ind w:firstLine="480" w:firstLineChars="200"/>
        <w:jc w:val="left"/>
        <w:textAlignment w:val="auto"/>
        <w:rPr>
          <w:rFonts w:hint="eastAsia"/>
          <w:color w:val="auto"/>
          <w:sz w:val="44"/>
          <w:szCs w:val="44"/>
          <w:highlight w:val="none"/>
        </w:rPr>
      </w:pPr>
      <w:bookmarkStart w:id="222" w:name="_Toc4913"/>
      <w:bookmarkStart w:id="223" w:name="_Toc30984"/>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评标委员会对投标人提交的澄清、说明或补正有疑问的，可以要求投标人进一步澄清、说明或补正，直至满足评标委员会的要求。</w:t>
      </w:r>
      <w:r>
        <w:rPr>
          <w:rFonts w:hint="eastAsia" w:ascii="宋体" w:hAnsi="宋体" w:eastAsia="宋体" w:cs="宋体"/>
          <w:color w:val="auto"/>
          <w:sz w:val="24"/>
          <w:szCs w:val="24"/>
          <w:highlight w:val="none"/>
        </w:rPr>
        <w:br w:type="page"/>
      </w:r>
    </w:p>
    <w:p w14:paraId="1BA54439">
      <w:pPr>
        <w:pStyle w:val="2"/>
        <w:bidi w:val="0"/>
        <w:jc w:val="center"/>
        <w:rPr>
          <w:rFonts w:hint="eastAsia"/>
          <w:color w:val="auto"/>
          <w:highlight w:val="none"/>
        </w:rPr>
      </w:pPr>
      <w:bookmarkStart w:id="224" w:name="_Toc12750"/>
      <w:bookmarkStart w:id="225" w:name="_Toc26433"/>
      <w:r>
        <w:rPr>
          <w:rFonts w:hint="eastAsia"/>
          <w:color w:val="auto"/>
          <w:highlight w:val="none"/>
        </w:rPr>
        <w:t>第六部分  投标文件格式</w:t>
      </w:r>
      <w:bookmarkEnd w:id="189"/>
      <w:bookmarkEnd w:id="190"/>
      <w:bookmarkEnd w:id="191"/>
      <w:bookmarkEnd w:id="192"/>
      <w:bookmarkEnd w:id="193"/>
      <w:bookmarkEnd w:id="194"/>
      <w:bookmarkEnd w:id="195"/>
      <w:bookmarkEnd w:id="222"/>
      <w:bookmarkEnd w:id="223"/>
      <w:bookmarkEnd w:id="224"/>
      <w:bookmarkEnd w:id="225"/>
    </w:p>
    <w:p w14:paraId="063283AB">
      <w:pPr>
        <w:autoSpaceDE w:val="0"/>
        <w:autoSpaceDN w:val="0"/>
        <w:adjustRightInd w:val="0"/>
        <w:spacing w:line="360" w:lineRule="auto"/>
        <w:ind w:firstLine="480"/>
        <w:rPr>
          <w:rFonts w:hint="eastAsia" w:ascii="宋体" w:hAnsi="宋体" w:cs="宋体"/>
          <w:color w:val="auto"/>
          <w:sz w:val="24"/>
          <w:highlight w:val="none"/>
        </w:rPr>
      </w:pPr>
    </w:p>
    <w:p w14:paraId="2339F357">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1417136">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1．投标文件由投标人根据采购文件要求参照附件格式编制。</w:t>
      </w:r>
    </w:p>
    <w:p w14:paraId="4123C5B7">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2．投标人根据实际情况填写。</w:t>
      </w:r>
    </w:p>
    <w:p w14:paraId="5B947D00">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3．采购文件中没有参考格式的，投标人自行编制。</w:t>
      </w:r>
    </w:p>
    <w:p w14:paraId="2B16CDC3">
      <w:pPr>
        <w:autoSpaceDE w:val="0"/>
        <w:autoSpaceDN w:val="0"/>
        <w:adjustRightInd w:val="0"/>
        <w:rPr>
          <w:rFonts w:hint="eastAsia" w:ascii="宋体" w:hAnsi="宋体" w:cs="宋体"/>
          <w:bCs/>
          <w:color w:val="auto"/>
          <w:highlight w:val="none"/>
        </w:rPr>
      </w:pPr>
      <w:r>
        <w:rPr>
          <w:rFonts w:hint="eastAsia" w:ascii="宋体" w:hAnsi="宋体" w:cs="宋体"/>
          <w:b/>
          <w:bCs/>
          <w:color w:val="auto"/>
          <w:sz w:val="32"/>
          <w:szCs w:val="32"/>
          <w:highlight w:val="none"/>
        </w:rPr>
        <w:br w:type="page"/>
      </w:r>
      <w:bookmarkStart w:id="226" w:name="_Toc15142"/>
      <w:bookmarkStart w:id="227" w:name="_Toc30357"/>
      <w:bookmarkStart w:id="228" w:name="_Toc1647"/>
      <w:bookmarkStart w:id="229" w:name="_Toc27220"/>
      <w:bookmarkStart w:id="230" w:name="_Toc1074"/>
      <w:r>
        <w:rPr>
          <w:rFonts w:hint="eastAsia" w:ascii="宋体" w:hAnsi="宋体" w:cs="宋体"/>
          <w:b/>
          <w:snapToGrid w:val="0"/>
          <w:color w:val="auto"/>
          <w:kern w:val="0"/>
          <w:sz w:val="32"/>
          <w:szCs w:val="32"/>
          <w:highlight w:val="none"/>
        </w:rPr>
        <w:t>一、</w:t>
      </w:r>
      <w:bookmarkEnd w:id="226"/>
      <w:bookmarkEnd w:id="227"/>
      <w:bookmarkEnd w:id="228"/>
      <w:bookmarkEnd w:id="229"/>
      <w:bookmarkEnd w:id="230"/>
      <w:r>
        <w:rPr>
          <w:rFonts w:hint="eastAsia" w:ascii="宋体" w:hAnsi="宋体" w:cs="宋体"/>
          <w:b/>
          <w:color w:val="auto"/>
          <w:sz w:val="32"/>
          <w:szCs w:val="32"/>
          <w:highlight w:val="none"/>
        </w:rPr>
        <w:t>资格投标文件封面格式</w:t>
      </w:r>
    </w:p>
    <w:p w14:paraId="5F3AA748">
      <w:pPr>
        <w:autoSpaceDE w:val="0"/>
        <w:autoSpaceDN w:val="0"/>
        <w:adjustRightInd w:val="0"/>
        <w:rPr>
          <w:rFonts w:hint="eastAsia" w:ascii="宋体" w:hAnsi="宋体" w:cs="宋体"/>
          <w:b/>
          <w:bCs/>
          <w:color w:val="auto"/>
          <w:highlight w:val="none"/>
        </w:rPr>
      </w:pPr>
    </w:p>
    <w:p w14:paraId="010AEBCB">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51FB56A6">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1E5260B2">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7B85FF8D">
      <w:pPr>
        <w:pStyle w:val="25"/>
        <w:rPr>
          <w:rFonts w:hint="eastAsia"/>
          <w:color w:val="auto"/>
          <w:lang w:eastAsia="zh-CN"/>
        </w:rPr>
      </w:pPr>
    </w:p>
    <w:p w14:paraId="1911BFE3">
      <w:pPr>
        <w:pStyle w:val="25"/>
        <w:rPr>
          <w:rFonts w:hint="eastAsia"/>
          <w:color w:val="auto"/>
          <w:lang w:eastAsia="zh-CN"/>
        </w:rPr>
      </w:pPr>
    </w:p>
    <w:p w14:paraId="668D755D">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6FF9826E">
      <w:pPr>
        <w:autoSpaceDE w:val="0"/>
        <w:autoSpaceDN w:val="0"/>
        <w:adjustRightInd w:val="0"/>
        <w:spacing w:line="360" w:lineRule="auto"/>
        <w:jc w:val="center"/>
        <w:rPr>
          <w:rFonts w:hint="eastAsia" w:ascii="宋体" w:hAnsi="宋体" w:cs="宋体"/>
          <w:b/>
          <w:color w:val="auto"/>
          <w:sz w:val="44"/>
          <w:szCs w:val="44"/>
          <w:highlight w:val="none"/>
        </w:rPr>
      </w:pPr>
    </w:p>
    <w:p w14:paraId="192E55A4">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（资格投标文件）</w:t>
      </w:r>
    </w:p>
    <w:p w14:paraId="6FDD47A5">
      <w:pPr>
        <w:autoSpaceDE w:val="0"/>
        <w:autoSpaceDN w:val="0"/>
        <w:adjustRightInd w:val="0"/>
        <w:spacing w:line="360" w:lineRule="auto"/>
        <w:jc w:val="center"/>
        <w:rPr>
          <w:rFonts w:hint="eastAsia" w:ascii="宋体" w:hAnsi="宋体" w:cs="宋体"/>
          <w:b/>
          <w:color w:val="auto"/>
          <w:sz w:val="32"/>
          <w:szCs w:val="32"/>
          <w:highlight w:val="none"/>
        </w:rPr>
      </w:pPr>
    </w:p>
    <w:p w14:paraId="25D3C1D1">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w:t>
      </w:r>
      <w:r>
        <w:rPr>
          <w:rFonts w:hint="eastAsia" w:ascii="宋体" w:hAnsi="宋体" w:cs="宋体"/>
          <w:b/>
          <w:color w:val="auto"/>
          <w:sz w:val="32"/>
          <w:szCs w:val="32"/>
          <w:highlight w:val="none"/>
        </w:rPr>
        <w:t xml:space="preserve">  </w:t>
      </w:r>
    </w:p>
    <w:p w14:paraId="2FAE606B">
      <w:pPr>
        <w:pStyle w:val="44"/>
        <w:ind w:firstLine="480"/>
        <w:rPr>
          <w:rFonts w:hint="eastAsia"/>
          <w:color w:val="auto"/>
          <w:highlight w:val="none"/>
        </w:rPr>
      </w:pPr>
    </w:p>
    <w:p w14:paraId="2B88AF24">
      <w:pPr>
        <w:autoSpaceDE w:val="0"/>
        <w:autoSpaceDN w:val="0"/>
        <w:adjustRightInd w:val="0"/>
        <w:spacing w:line="360" w:lineRule="auto"/>
        <w:rPr>
          <w:rFonts w:hint="eastAsia" w:ascii="宋体" w:hAnsi="宋体" w:cs="宋体"/>
          <w:b/>
          <w:color w:val="auto"/>
          <w:sz w:val="32"/>
          <w:szCs w:val="32"/>
          <w:highlight w:val="none"/>
        </w:rPr>
      </w:pPr>
    </w:p>
    <w:p w14:paraId="06AF5066">
      <w:pPr>
        <w:autoSpaceDE w:val="0"/>
        <w:autoSpaceDN w:val="0"/>
        <w:adjustRightInd w:val="0"/>
        <w:spacing w:line="360" w:lineRule="auto"/>
        <w:rPr>
          <w:rFonts w:hint="eastAsia" w:ascii="宋体" w:hAnsi="宋体" w:cs="宋体"/>
          <w:b/>
          <w:color w:val="auto"/>
          <w:sz w:val="32"/>
          <w:szCs w:val="32"/>
          <w:highlight w:val="none"/>
        </w:rPr>
      </w:pPr>
    </w:p>
    <w:p w14:paraId="20A5AF2E">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14:paraId="048F9429">
      <w:pPr>
        <w:autoSpaceDE w:val="0"/>
        <w:autoSpaceDN w:val="0"/>
        <w:adjustRightInd w:val="0"/>
        <w:spacing w:line="360" w:lineRule="auto"/>
        <w:rPr>
          <w:rFonts w:hint="eastAsia" w:ascii="宋体" w:hAnsi="宋体" w:cs="宋体"/>
          <w:b/>
          <w:color w:val="auto"/>
          <w:sz w:val="32"/>
          <w:szCs w:val="32"/>
          <w:highlight w:val="none"/>
        </w:rPr>
      </w:pPr>
    </w:p>
    <w:p w14:paraId="6F3AA707">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4E66B332">
      <w:pPr>
        <w:autoSpaceDE w:val="0"/>
        <w:autoSpaceDN w:val="0"/>
        <w:adjustRightInd w:val="0"/>
        <w:spacing w:line="360" w:lineRule="auto"/>
        <w:rPr>
          <w:rFonts w:hint="eastAsia" w:ascii="宋体" w:hAnsi="宋体" w:cs="宋体"/>
          <w:b/>
          <w:color w:val="auto"/>
          <w:sz w:val="32"/>
          <w:szCs w:val="32"/>
          <w:highlight w:val="none"/>
        </w:rPr>
      </w:pPr>
    </w:p>
    <w:p w14:paraId="32D510AA">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5534221E">
      <w:pPr>
        <w:pStyle w:val="44"/>
        <w:rPr>
          <w:rFonts w:hint="eastAsia"/>
          <w:color w:val="auto"/>
          <w:highlight w:val="none"/>
        </w:rPr>
      </w:pPr>
    </w:p>
    <w:p w14:paraId="6E903FEC">
      <w:pPr>
        <w:pStyle w:val="44"/>
        <w:rPr>
          <w:rFonts w:hint="eastAsia"/>
          <w:color w:val="auto"/>
          <w:highlight w:val="none"/>
        </w:rPr>
      </w:pPr>
    </w:p>
    <w:p w14:paraId="2CB538AC">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6ABD78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bookmarkStart w:id="231" w:name="_Toc8920"/>
      <w:bookmarkStart w:id="232" w:name="_Toc16631"/>
      <w:bookmarkStart w:id="233" w:name="_Toc3961"/>
      <w:bookmarkStart w:id="234" w:name="_Toc9303"/>
      <w:r>
        <w:rPr>
          <w:rFonts w:hint="eastAsia" w:ascii="宋体" w:hAnsi="宋体" w:eastAsia="宋体" w:cs="宋体"/>
          <w:b/>
          <w:bCs/>
          <w:color w:val="auto"/>
          <w:sz w:val="24"/>
          <w:szCs w:val="24"/>
          <w:highlight w:val="none"/>
        </w:rPr>
        <w:t>1.投标声明书（格式附后）</w:t>
      </w:r>
    </w:p>
    <w:p w14:paraId="1AA513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2.资格承诺函（格式附后）</w:t>
      </w:r>
    </w:p>
    <w:p w14:paraId="4DFD97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3.具有独立承担民事责任能力的说明材料：</w:t>
      </w:r>
    </w:p>
    <w:p w14:paraId="255CB9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投标人须在投标文件中出具符合以下情况的说明材料复印件（五选一）：</w:t>
      </w:r>
    </w:p>
    <w:p w14:paraId="0D2331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①如投标人是企业（包括合伙企业），提供在工商部门注册的有效“企业法人营业执照”或“营业执照”；</w:t>
      </w:r>
    </w:p>
    <w:p w14:paraId="252CAC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②如投标人是事业单位，提供有效的“事业单位法人证书”；</w:t>
      </w:r>
    </w:p>
    <w:p w14:paraId="20BF64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③如投标人是非企业专业服务机构的，提供执业许可证等说明文件；</w:t>
      </w:r>
    </w:p>
    <w:p w14:paraId="085309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④如投标人是个体工商户，提供有效的“个体工商户营业执照”；</w:t>
      </w:r>
    </w:p>
    <w:p w14:paraId="51F5DC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⑤如投标人是自然人，提供有效的自然人身份说明（居民身份证正反面或公安机关出具的临时居民身份证正反面或港澳台胞证或护照）。</w:t>
      </w:r>
    </w:p>
    <w:p w14:paraId="6BAD93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34CBD1C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投标保证金凭证。</w:t>
      </w:r>
    </w:p>
    <w:p w14:paraId="54D8E457">
      <w:pPr>
        <w:pStyle w:val="44"/>
        <w:numPr>
          <w:ilvl w:val="0"/>
          <w:numId w:val="0"/>
        </w:numPr>
        <w:ind w:leftChars="0"/>
        <w:rPr>
          <w:rFonts w:hint="eastAsia"/>
          <w:color w:val="auto"/>
          <w:highlight w:val="none"/>
          <w:lang w:val="en-US" w:eastAsia="zh-CN"/>
        </w:rPr>
      </w:pPr>
    </w:p>
    <w:p w14:paraId="11AC12F4">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14:paraId="56B95223">
      <w:pPr>
        <w:snapToGrid w:val="0"/>
        <w:spacing w:before="50" w:after="120" w:afterLines="50" w:line="400" w:lineRule="exact"/>
        <w:jc w:val="both"/>
        <w:rPr>
          <w:rFonts w:hint="eastAsia" w:hAnsi="宋体" w:cs="宋体"/>
          <w:b/>
          <w:color w:val="auto"/>
          <w:sz w:val="32"/>
          <w:szCs w:val="32"/>
          <w:highlight w:val="none"/>
          <w:u w:val="single"/>
        </w:rPr>
      </w:pPr>
    </w:p>
    <w:p w14:paraId="006861B7">
      <w:pPr>
        <w:snapToGrid w:val="0"/>
        <w:spacing w:before="50" w:after="120" w:afterLines="50" w:line="400" w:lineRule="exact"/>
        <w:jc w:val="center"/>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w:t>
      </w:r>
      <w:r>
        <w:rPr>
          <w:rFonts w:hint="eastAsia" w:hAnsi="宋体" w:cs="宋体"/>
          <w:b/>
          <w:color w:val="auto"/>
          <w:sz w:val="32"/>
          <w:szCs w:val="32"/>
          <w:highlight w:val="none"/>
          <w:u w:val="single"/>
          <w:lang w:eastAsia="zh-CN"/>
        </w:rPr>
        <w:t>分由</w:t>
      </w:r>
      <w:r>
        <w:rPr>
          <w:rFonts w:hint="eastAsia" w:hAnsi="宋体" w:cs="宋体"/>
          <w:b/>
          <w:color w:val="auto"/>
          <w:sz w:val="32"/>
          <w:szCs w:val="32"/>
          <w:highlight w:val="none"/>
          <w:u w:val="single"/>
        </w:rPr>
        <w:t>各投标人规定自行编制</w:t>
      </w:r>
    </w:p>
    <w:p w14:paraId="3B561417">
      <w:pPr>
        <w:snapToGrid w:val="0"/>
        <w:spacing w:line="360" w:lineRule="auto"/>
        <w:jc w:val="center"/>
        <w:rPr>
          <w:rFonts w:hint="eastAsia" w:ascii="宋体" w:hAnsi="宋体" w:cs="宋体"/>
          <w:b/>
          <w:bCs/>
          <w:color w:val="auto"/>
          <w:sz w:val="32"/>
          <w:szCs w:val="32"/>
          <w:highlight w:val="none"/>
        </w:rPr>
      </w:pPr>
    </w:p>
    <w:p w14:paraId="6F44BC0D">
      <w:pPr>
        <w:snapToGrid w:val="0"/>
        <w:spacing w:line="360" w:lineRule="auto"/>
        <w:jc w:val="center"/>
        <w:rPr>
          <w:rFonts w:hint="eastAsia" w:ascii="宋体" w:hAnsi="宋体" w:cs="宋体"/>
          <w:b/>
          <w:bCs/>
          <w:color w:val="auto"/>
          <w:sz w:val="32"/>
          <w:szCs w:val="32"/>
          <w:highlight w:val="none"/>
        </w:rPr>
      </w:pPr>
    </w:p>
    <w:p w14:paraId="70BDE57D">
      <w:pPr>
        <w:snapToGrid w:val="0"/>
        <w:spacing w:line="360" w:lineRule="auto"/>
        <w:jc w:val="center"/>
        <w:rPr>
          <w:rFonts w:hint="eastAsia" w:ascii="宋体" w:hAnsi="宋体" w:cs="宋体"/>
          <w:b/>
          <w:bCs/>
          <w:color w:val="auto"/>
          <w:sz w:val="32"/>
          <w:szCs w:val="32"/>
          <w:highlight w:val="none"/>
        </w:rPr>
      </w:pPr>
    </w:p>
    <w:p w14:paraId="7D4384E0">
      <w:pPr>
        <w:snapToGrid w:val="0"/>
        <w:spacing w:line="360" w:lineRule="auto"/>
        <w:jc w:val="center"/>
        <w:rPr>
          <w:rFonts w:hint="eastAsia" w:ascii="宋体" w:hAnsi="宋体" w:cs="宋体"/>
          <w:b/>
          <w:bCs/>
          <w:color w:val="auto"/>
          <w:sz w:val="32"/>
          <w:szCs w:val="32"/>
          <w:highlight w:val="none"/>
        </w:rPr>
      </w:pPr>
    </w:p>
    <w:p w14:paraId="2349B2A5">
      <w:pPr>
        <w:pStyle w:val="44"/>
        <w:rPr>
          <w:rFonts w:hint="eastAsia" w:ascii="宋体" w:hAnsi="宋体" w:cs="宋体"/>
          <w:b/>
          <w:bCs/>
          <w:color w:val="auto"/>
          <w:sz w:val="32"/>
          <w:szCs w:val="32"/>
          <w:highlight w:val="none"/>
        </w:rPr>
      </w:pPr>
    </w:p>
    <w:p w14:paraId="1E8857D2">
      <w:pPr>
        <w:bidi w:val="0"/>
        <w:rPr>
          <w:rFonts w:hint="eastAsia"/>
          <w:color w:val="auto"/>
          <w:highlight w:val="none"/>
        </w:rPr>
      </w:pPr>
    </w:p>
    <w:p w14:paraId="27C9B0AC">
      <w:pPr>
        <w:snapToGrid w:val="0"/>
        <w:spacing w:before="50" w:after="156" w:afterLines="50" w:line="360" w:lineRule="auto"/>
        <w:jc w:val="left"/>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35416C2B">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14:paraId="2C8553CF">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70FCB803">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F2862">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58A3A6D2">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16CA5E91">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69366BF5">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4CD360D3">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5DC337B9">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691BB5F8">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05D63860">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我们郑重声明：我公司符合采购法规定的参加活动应当具备的条件：具有健全的财务会计制度、依法缴纳税收和社会保障资金、参加本次采购活动之前的三年内，在经营活动中无重大违法活动，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1CE87035">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2A7B1F8A">
      <w:pPr>
        <w:spacing w:line="360" w:lineRule="auto"/>
        <w:rPr>
          <w:rFonts w:hint="eastAsia" w:ascii="宋体" w:hAnsi="宋体" w:eastAsia="宋体" w:cs="宋体"/>
          <w:b/>
          <w:color w:val="auto"/>
          <w:sz w:val="21"/>
          <w:szCs w:val="24"/>
          <w:highlight w:val="none"/>
        </w:rPr>
      </w:pPr>
    </w:p>
    <w:p w14:paraId="7905392D">
      <w:pPr>
        <w:spacing w:line="360" w:lineRule="auto"/>
        <w:rPr>
          <w:rFonts w:hint="eastAsia" w:ascii="宋体" w:hAnsi="宋体" w:eastAsia="宋体" w:cs="宋体"/>
          <w:b/>
          <w:color w:val="auto"/>
          <w:sz w:val="21"/>
          <w:szCs w:val="24"/>
          <w:highlight w:val="none"/>
        </w:rPr>
      </w:pPr>
    </w:p>
    <w:p w14:paraId="7987F188">
      <w:pPr>
        <w:spacing w:line="360" w:lineRule="auto"/>
        <w:rPr>
          <w:rFonts w:hint="eastAsia" w:ascii="宋体" w:hAnsi="宋体" w:eastAsia="宋体" w:cs="宋体"/>
          <w:b/>
          <w:color w:val="auto"/>
          <w:sz w:val="21"/>
          <w:szCs w:val="24"/>
          <w:highlight w:val="none"/>
        </w:rPr>
      </w:pPr>
    </w:p>
    <w:p w14:paraId="624F4B18">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3376E6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013B86C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740D3C46">
      <w:pPr>
        <w:spacing w:line="360" w:lineRule="auto"/>
        <w:rPr>
          <w:rFonts w:hint="eastAsia" w:ascii="宋体" w:hAnsi="宋体" w:eastAsia="宋体" w:cs="宋体"/>
          <w:b/>
          <w:color w:val="auto"/>
          <w:sz w:val="21"/>
          <w:szCs w:val="24"/>
          <w:highlight w:val="none"/>
        </w:rPr>
      </w:pPr>
    </w:p>
    <w:p w14:paraId="2C20B9EA">
      <w:pPr>
        <w:spacing w:line="360" w:lineRule="auto"/>
        <w:rPr>
          <w:rFonts w:hint="eastAsia" w:ascii="宋体" w:hAnsi="宋体" w:eastAsia="宋体" w:cs="宋体"/>
          <w:b/>
          <w:color w:val="auto"/>
          <w:sz w:val="21"/>
          <w:szCs w:val="24"/>
          <w:highlight w:val="none"/>
        </w:rPr>
      </w:pPr>
    </w:p>
    <w:p w14:paraId="6E0C6182">
      <w:pPr>
        <w:spacing w:line="360" w:lineRule="auto"/>
        <w:rPr>
          <w:rFonts w:hint="eastAsia" w:ascii="宋体" w:hAnsi="宋体" w:eastAsia="宋体" w:cs="宋体"/>
          <w:b/>
          <w:color w:val="auto"/>
          <w:sz w:val="21"/>
          <w:szCs w:val="24"/>
          <w:highlight w:val="none"/>
        </w:rPr>
      </w:pPr>
    </w:p>
    <w:p w14:paraId="33FA5CCB">
      <w:pPr>
        <w:spacing w:line="360" w:lineRule="auto"/>
        <w:rPr>
          <w:rFonts w:hint="eastAsia" w:ascii="宋体" w:hAnsi="宋体" w:eastAsia="宋体" w:cs="宋体"/>
          <w:b/>
          <w:color w:val="auto"/>
          <w:sz w:val="21"/>
          <w:szCs w:val="24"/>
          <w:highlight w:val="none"/>
        </w:rPr>
      </w:pPr>
    </w:p>
    <w:p w14:paraId="2BE1AD76">
      <w:pPr>
        <w:spacing w:line="360" w:lineRule="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资格承诺函格式：</w:t>
      </w:r>
    </w:p>
    <w:p w14:paraId="32F9F68B">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725DAE50">
      <w:pPr>
        <w:pStyle w:val="44"/>
        <w:rPr>
          <w:rFonts w:hint="eastAsia"/>
          <w:color w:val="auto"/>
          <w:highlight w:val="none"/>
        </w:rPr>
      </w:pPr>
    </w:p>
    <w:p w14:paraId="445DCBF0">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7BC77736">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活动，郑重承诺：</w:t>
      </w:r>
    </w:p>
    <w:p w14:paraId="0463423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074ACBA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3E9E981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34AA250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3940423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6611722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737B9ED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6BE0299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0547E43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2E22442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3F6453B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0479AEDD">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以上承诺如有虚假或隐瞒，采购人可取消我方任何资格（投标/中标/签订合同），我方对此无任何异议，并愿意承担一切后果和责任。</w:t>
      </w:r>
    </w:p>
    <w:p w14:paraId="50A3AF5F">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14:paraId="2937DD01">
      <w:pPr>
        <w:snapToGrid w:val="0"/>
        <w:spacing w:line="360" w:lineRule="auto"/>
        <w:rPr>
          <w:rFonts w:hint="eastAsia" w:ascii="宋体" w:hAnsi="宋体" w:cs="宋体"/>
          <w:color w:val="auto"/>
          <w:sz w:val="24"/>
          <w:highlight w:val="none"/>
        </w:rPr>
      </w:pPr>
    </w:p>
    <w:p w14:paraId="2B598CC2">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1A1BD6DC">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42B748F3">
      <w:pPr>
        <w:spacing w:line="360" w:lineRule="auto"/>
        <w:rPr>
          <w:rFonts w:hint="eastAsia" w:ascii="宋体" w:hAnsi="宋体" w:eastAsia="宋体" w:cs="宋体"/>
          <w:b/>
          <w:color w:val="auto"/>
          <w:kern w:val="0"/>
          <w:sz w:val="21"/>
          <w:szCs w:val="24"/>
          <w:highlight w:val="none"/>
        </w:rPr>
      </w:pPr>
    </w:p>
    <w:p w14:paraId="363F1CA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highlight w:val="none"/>
        </w:rPr>
        <w:br w:type="page"/>
      </w:r>
    </w:p>
    <w:p w14:paraId="2B5AABC7">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二、商务技术投标文件封面格式</w:t>
      </w:r>
    </w:p>
    <w:p w14:paraId="16BE83F1">
      <w:pPr>
        <w:autoSpaceDE w:val="0"/>
        <w:autoSpaceDN w:val="0"/>
        <w:adjustRightInd w:val="0"/>
        <w:rPr>
          <w:rFonts w:hint="eastAsia" w:ascii="宋体" w:hAnsi="宋体" w:cs="宋体"/>
          <w:b/>
          <w:bCs/>
          <w:color w:val="auto"/>
          <w:highlight w:val="none"/>
        </w:rPr>
      </w:pPr>
    </w:p>
    <w:p w14:paraId="5FF1AF07">
      <w:pPr>
        <w:autoSpaceDE w:val="0"/>
        <w:autoSpaceDN w:val="0"/>
        <w:adjustRightInd w:val="0"/>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2CCBE705">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5716B18B">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51C9CA37">
      <w:pPr>
        <w:spacing w:line="360" w:lineRule="auto"/>
        <w:jc w:val="center"/>
        <w:rPr>
          <w:rFonts w:hint="eastAsia" w:ascii="宋体" w:hAnsi="宋体" w:cs="宋体"/>
          <w:color w:val="auto"/>
          <w:spacing w:val="40"/>
          <w:w w:val="90"/>
          <w:sz w:val="96"/>
          <w:szCs w:val="96"/>
          <w:highlight w:val="none"/>
          <w:lang w:bidi="th-TH"/>
        </w:rPr>
      </w:pPr>
    </w:p>
    <w:p w14:paraId="48AF0542">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6D8BC7AA">
      <w:pPr>
        <w:autoSpaceDE w:val="0"/>
        <w:autoSpaceDN w:val="0"/>
        <w:adjustRightInd w:val="0"/>
        <w:spacing w:line="360" w:lineRule="auto"/>
        <w:jc w:val="center"/>
        <w:rPr>
          <w:rFonts w:hint="eastAsia" w:ascii="宋体" w:hAnsi="宋体" w:cs="宋体"/>
          <w:b/>
          <w:color w:val="auto"/>
          <w:sz w:val="44"/>
          <w:szCs w:val="44"/>
          <w:highlight w:val="none"/>
        </w:rPr>
      </w:pPr>
    </w:p>
    <w:p w14:paraId="7F2BCD90">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14:paraId="5F9A89B6">
      <w:pPr>
        <w:autoSpaceDE w:val="0"/>
        <w:autoSpaceDN w:val="0"/>
        <w:adjustRightInd w:val="0"/>
        <w:spacing w:line="360" w:lineRule="auto"/>
        <w:jc w:val="center"/>
        <w:rPr>
          <w:rFonts w:hint="eastAsia" w:ascii="宋体" w:hAnsi="宋体" w:cs="宋体"/>
          <w:b/>
          <w:color w:val="auto"/>
          <w:sz w:val="32"/>
          <w:szCs w:val="32"/>
          <w:highlight w:val="none"/>
        </w:rPr>
      </w:pPr>
    </w:p>
    <w:p w14:paraId="7A6343AA">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w:t>
      </w:r>
      <w:r>
        <w:rPr>
          <w:rFonts w:hint="eastAsia" w:ascii="宋体" w:hAnsi="宋体" w:cs="宋体"/>
          <w:b/>
          <w:color w:val="auto"/>
          <w:sz w:val="32"/>
          <w:szCs w:val="32"/>
          <w:highlight w:val="none"/>
        </w:rPr>
        <w:t xml:space="preserve"> </w:t>
      </w:r>
    </w:p>
    <w:p w14:paraId="10CEC217">
      <w:pPr>
        <w:autoSpaceDE w:val="0"/>
        <w:autoSpaceDN w:val="0"/>
        <w:adjustRightInd w:val="0"/>
        <w:spacing w:line="360" w:lineRule="auto"/>
        <w:rPr>
          <w:rFonts w:hint="eastAsia" w:ascii="宋体" w:hAnsi="宋体" w:cs="宋体"/>
          <w:b/>
          <w:color w:val="auto"/>
          <w:sz w:val="32"/>
          <w:szCs w:val="32"/>
          <w:highlight w:val="none"/>
        </w:rPr>
      </w:pPr>
    </w:p>
    <w:p w14:paraId="03B7E843">
      <w:pPr>
        <w:autoSpaceDE w:val="0"/>
        <w:autoSpaceDN w:val="0"/>
        <w:adjustRightInd w:val="0"/>
        <w:spacing w:line="360" w:lineRule="auto"/>
        <w:rPr>
          <w:rFonts w:hint="eastAsia" w:ascii="宋体" w:hAnsi="宋体" w:cs="宋体"/>
          <w:b/>
          <w:color w:val="auto"/>
          <w:sz w:val="32"/>
          <w:szCs w:val="32"/>
          <w:highlight w:val="none"/>
        </w:rPr>
      </w:pPr>
    </w:p>
    <w:p w14:paraId="5E1960C4">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14:paraId="7653C9B3">
      <w:pPr>
        <w:autoSpaceDE w:val="0"/>
        <w:autoSpaceDN w:val="0"/>
        <w:adjustRightInd w:val="0"/>
        <w:spacing w:line="360" w:lineRule="auto"/>
        <w:rPr>
          <w:rFonts w:hint="eastAsia" w:ascii="宋体" w:hAnsi="宋体" w:cs="宋体"/>
          <w:b/>
          <w:color w:val="auto"/>
          <w:sz w:val="32"/>
          <w:szCs w:val="32"/>
          <w:highlight w:val="none"/>
        </w:rPr>
      </w:pPr>
    </w:p>
    <w:p w14:paraId="1B8ACAD9">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064FCB3F">
      <w:pPr>
        <w:autoSpaceDE w:val="0"/>
        <w:autoSpaceDN w:val="0"/>
        <w:adjustRightInd w:val="0"/>
        <w:spacing w:line="360" w:lineRule="auto"/>
        <w:rPr>
          <w:rFonts w:hint="eastAsia" w:ascii="宋体" w:hAnsi="宋体" w:cs="宋体"/>
          <w:b/>
          <w:color w:val="auto"/>
          <w:sz w:val="32"/>
          <w:szCs w:val="32"/>
          <w:highlight w:val="none"/>
        </w:rPr>
      </w:pPr>
    </w:p>
    <w:p w14:paraId="4A7BB659">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05B90534">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35" w:name="_Toc25823"/>
      <w:bookmarkStart w:id="236" w:name="_Toc27496"/>
      <w:bookmarkStart w:id="237" w:name="_Toc17018"/>
      <w:bookmarkStart w:id="238" w:name="_Toc16706"/>
      <w:bookmarkStart w:id="239" w:name="_Toc19275"/>
      <w:bookmarkStart w:id="240" w:name="_Toc10695"/>
      <w:bookmarkStart w:id="241" w:name="_Toc1937"/>
      <w:bookmarkStart w:id="242" w:name="_Toc1866"/>
      <w:bookmarkStart w:id="243" w:name="_Toc5445"/>
      <w:bookmarkStart w:id="244" w:name="_Toc11222"/>
      <w:r>
        <w:rPr>
          <w:rFonts w:hint="eastAsia" w:ascii="宋体" w:hAnsi="宋体" w:cs="宋体"/>
          <w:b/>
          <w:bCs/>
          <w:color w:val="auto"/>
          <w:sz w:val="44"/>
          <w:szCs w:val="44"/>
          <w:highlight w:val="none"/>
        </w:rPr>
        <w:t>目  录</w:t>
      </w:r>
      <w:bookmarkEnd w:id="235"/>
      <w:bookmarkEnd w:id="236"/>
      <w:bookmarkEnd w:id="237"/>
      <w:bookmarkEnd w:id="238"/>
      <w:bookmarkEnd w:id="239"/>
      <w:bookmarkEnd w:id="240"/>
      <w:bookmarkEnd w:id="241"/>
      <w:bookmarkEnd w:id="242"/>
      <w:bookmarkEnd w:id="243"/>
      <w:bookmarkEnd w:id="244"/>
    </w:p>
    <w:bookmarkEnd w:id="231"/>
    <w:bookmarkEnd w:id="232"/>
    <w:bookmarkEnd w:id="233"/>
    <w:bookmarkEnd w:id="234"/>
    <w:p w14:paraId="57B9D05A">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14:paraId="62EE5F93">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（1）投标人基本情况表</w:t>
      </w:r>
      <w:r>
        <w:rPr>
          <w:rFonts w:ascii="宋体" w:hAnsi="宋体"/>
          <w:bCs/>
          <w:color w:val="auto"/>
          <w:sz w:val="24"/>
          <w:highlight w:val="none"/>
        </w:rPr>
        <w:t xml:space="preserve"> (格式见附件)</w:t>
      </w:r>
      <w:r>
        <w:rPr>
          <w:rFonts w:hint="eastAsia" w:ascii="宋体" w:hAnsi="宋体"/>
          <w:bCs/>
          <w:color w:val="auto"/>
          <w:sz w:val="24"/>
          <w:highlight w:val="none"/>
        </w:rPr>
        <w:t>；</w:t>
      </w:r>
    </w:p>
    <w:p w14:paraId="104D33A2">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（2）法定代表人资格证明书及法定代表人授权书，同时须附法定代表人和授权委托代表的有效身份证扫描件（法定代表人直接参加投标并对相应文件签字的，只需提供前者）</w:t>
      </w:r>
    </w:p>
    <w:p w14:paraId="5E4BDB1C">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（3）廉政承诺书 (格式见附件)；</w:t>
      </w:r>
    </w:p>
    <w:p w14:paraId="1725BF9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商务响应表（格式见附件）；</w:t>
      </w:r>
    </w:p>
    <w:p w14:paraId="39FE8B92">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）类似业绩合同</w:t>
      </w:r>
      <w:r>
        <w:rPr>
          <w:rFonts w:hint="eastAsia" w:ascii="宋体" w:hAnsi="宋体"/>
          <w:bCs/>
          <w:color w:val="auto"/>
          <w:sz w:val="24"/>
          <w:highlight w:val="none"/>
          <w:lang w:eastAsia="zh-CN"/>
        </w:rPr>
        <w:t>扫描件</w:t>
      </w:r>
      <w:r>
        <w:rPr>
          <w:rFonts w:hint="eastAsia" w:ascii="宋体" w:hAnsi="宋体"/>
          <w:bCs/>
          <w:color w:val="auto"/>
          <w:sz w:val="24"/>
          <w:highlight w:val="none"/>
        </w:rPr>
        <w:t>（</w:t>
      </w:r>
      <w:r>
        <w:rPr>
          <w:rFonts w:hint="eastAsia" w:ascii="宋体" w:hAnsi="宋体"/>
          <w:bCs/>
          <w:color w:val="auto"/>
          <w:sz w:val="24"/>
          <w:highlight w:val="none"/>
          <w:lang w:eastAsia="zh-CN"/>
        </w:rPr>
        <w:t>如有，</w:t>
      </w:r>
      <w:r>
        <w:rPr>
          <w:rFonts w:hint="eastAsia" w:ascii="宋体" w:hAnsi="宋体"/>
          <w:bCs/>
          <w:color w:val="auto"/>
          <w:sz w:val="24"/>
          <w:highlight w:val="none"/>
        </w:rPr>
        <w:t>格式见附件）；</w:t>
      </w:r>
    </w:p>
    <w:p w14:paraId="7D4BDFC5">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color w:val="auto"/>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）供货方案；</w:t>
      </w:r>
    </w:p>
    <w:p w14:paraId="27D93028">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）货物配置清单（均不含报价）；</w:t>
      </w:r>
    </w:p>
    <w:p w14:paraId="6A2783ED">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）技术响应表（格式见附件）；</w:t>
      </w:r>
      <w:r>
        <w:rPr>
          <w:rFonts w:hint="eastAsia" w:ascii="宋体" w:hAnsi="宋体" w:eastAsia="宋体" w:cs="Times New Roman"/>
          <w:bCs/>
          <w:color w:val="auto"/>
          <w:sz w:val="24"/>
          <w:highlight w:val="none"/>
          <w:lang w:val="en-US" w:eastAsia="zh-CN"/>
        </w:rPr>
        <w:t xml:space="preserve"> </w:t>
      </w:r>
    </w:p>
    <w:p w14:paraId="0F6B6D71">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eastAsia="zh-CN"/>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lang w:val="en-US" w:eastAsia="zh-CN"/>
        </w:rPr>
        <w:t>）</w:t>
      </w:r>
      <w:r>
        <w:rPr>
          <w:rFonts w:hint="eastAsia" w:ascii="宋体" w:hAnsi="宋体" w:eastAsia="宋体" w:cs="Times New Roman"/>
          <w:bCs/>
          <w:color w:val="auto"/>
          <w:sz w:val="24"/>
          <w:highlight w:val="none"/>
        </w:rPr>
        <w:t xml:space="preserve">售后服务方案； </w:t>
      </w:r>
    </w:p>
    <w:p w14:paraId="4E75F0D3">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）投标人需要说</w:t>
      </w:r>
      <w:r>
        <w:rPr>
          <w:rFonts w:hint="eastAsia" w:ascii="宋体" w:hAnsi="宋体"/>
          <w:bCs/>
          <w:color w:val="auto"/>
          <w:sz w:val="24"/>
          <w:highlight w:val="none"/>
        </w:rPr>
        <w:t>明的其他资料（对照相应项目评分标准，由投标人自行考虑）。</w:t>
      </w:r>
    </w:p>
    <w:p w14:paraId="7A126F2E">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14:paraId="760EBE2C">
      <w:pPr>
        <w:snapToGrid w:val="0"/>
        <w:spacing w:line="440" w:lineRule="exact"/>
        <w:ind w:firstLine="472" w:firstLineChars="196"/>
        <w:jc w:val="left"/>
        <w:rPr>
          <w:rFonts w:hint="eastAsia" w:hAnsi="宋体" w:cs="宋体"/>
          <w:color w:val="auto"/>
          <w:sz w:val="24"/>
          <w:highlight w:val="none"/>
        </w:rPr>
      </w:pPr>
      <w:r>
        <w:rPr>
          <w:rFonts w:hint="eastAsia" w:hAnsi="宋体" w:cs="宋体"/>
          <w:b/>
          <w:bCs/>
          <w:color w:val="auto"/>
          <w:sz w:val="24"/>
          <w:highlight w:val="none"/>
        </w:rPr>
        <w:t xml:space="preserve">注：投标人应确保资料的真实、有效，一经查实存在弄虚作假行为的，作否决投标处理，同时对其不良行为予以记录，并纳入统一的信用信息平台。  </w:t>
      </w:r>
    </w:p>
    <w:p w14:paraId="21CAF1AD">
      <w:pPr>
        <w:snapToGrid w:val="0"/>
        <w:spacing w:line="440" w:lineRule="exact"/>
        <w:ind w:firstLine="411" w:firstLineChars="196"/>
        <w:jc w:val="left"/>
        <w:rPr>
          <w:rFonts w:hint="eastAsia" w:hAnsi="宋体" w:cs="宋体"/>
          <w:color w:val="auto"/>
          <w:highlight w:val="none"/>
        </w:rPr>
      </w:pPr>
    </w:p>
    <w:p w14:paraId="2D9A5695">
      <w:pPr>
        <w:snapToGrid w:val="0"/>
        <w:spacing w:line="440" w:lineRule="exact"/>
        <w:ind w:firstLine="411" w:firstLineChars="196"/>
        <w:jc w:val="left"/>
        <w:rPr>
          <w:rFonts w:hint="eastAsia" w:hAnsi="宋体" w:cs="宋体"/>
          <w:color w:val="auto"/>
          <w:highlight w:val="none"/>
        </w:rPr>
      </w:pPr>
    </w:p>
    <w:p w14:paraId="41147CFA">
      <w:pPr>
        <w:snapToGrid w:val="0"/>
        <w:spacing w:line="440" w:lineRule="exact"/>
        <w:ind w:firstLine="411" w:firstLineChars="196"/>
        <w:jc w:val="left"/>
        <w:rPr>
          <w:rFonts w:hint="eastAsia" w:hAnsi="宋体" w:cs="宋体"/>
          <w:color w:val="auto"/>
          <w:highlight w:val="none"/>
        </w:rPr>
      </w:pPr>
    </w:p>
    <w:p w14:paraId="6F70D747">
      <w:pPr>
        <w:snapToGrid w:val="0"/>
        <w:spacing w:line="440" w:lineRule="exact"/>
        <w:ind w:firstLine="630" w:firstLineChars="196"/>
        <w:jc w:val="left"/>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附后无格式部分由各投标人根据评标办法规定自行编制</w:t>
      </w:r>
    </w:p>
    <w:p w14:paraId="2FD436F8">
      <w:pPr>
        <w:spacing w:line="240" w:lineRule="atLeast"/>
        <w:jc w:val="center"/>
        <w:rPr>
          <w:rFonts w:hint="eastAsia" w:ascii="宋体" w:hAnsi="宋体" w:cs="宋体"/>
          <w:b/>
          <w:color w:val="auto"/>
          <w:sz w:val="32"/>
          <w:szCs w:val="32"/>
          <w:highlight w:val="none"/>
        </w:rPr>
      </w:pPr>
    </w:p>
    <w:p w14:paraId="07881211">
      <w:pPr>
        <w:spacing w:line="240" w:lineRule="atLeast"/>
        <w:jc w:val="center"/>
        <w:rPr>
          <w:rFonts w:hint="eastAsia" w:ascii="宋体" w:hAnsi="宋体" w:cs="宋体"/>
          <w:b/>
          <w:color w:val="auto"/>
          <w:sz w:val="32"/>
          <w:szCs w:val="32"/>
          <w:highlight w:val="none"/>
        </w:rPr>
      </w:pPr>
    </w:p>
    <w:p w14:paraId="52452152">
      <w:pPr>
        <w:spacing w:line="240" w:lineRule="atLeast"/>
        <w:jc w:val="center"/>
        <w:rPr>
          <w:rFonts w:hint="eastAsia" w:ascii="宋体" w:hAnsi="宋体" w:cs="宋体"/>
          <w:b/>
          <w:color w:val="auto"/>
          <w:sz w:val="32"/>
          <w:szCs w:val="32"/>
          <w:highlight w:val="none"/>
        </w:rPr>
      </w:pPr>
    </w:p>
    <w:p w14:paraId="0EC7945F">
      <w:pPr>
        <w:spacing w:line="240" w:lineRule="atLeast"/>
        <w:jc w:val="center"/>
        <w:rPr>
          <w:rFonts w:hint="eastAsia" w:ascii="宋体" w:hAnsi="宋体" w:cs="宋体"/>
          <w:b/>
          <w:color w:val="auto"/>
          <w:sz w:val="32"/>
          <w:szCs w:val="32"/>
          <w:highlight w:val="none"/>
        </w:rPr>
      </w:pPr>
    </w:p>
    <w:p w14:paraId="58F8D653">
      <w:pPr>
        <w:spacing w:line="240" w:lineRule="atLeast"/>
        <w:jc w:val="center"/>
        <w:rPr>
          <w:rFonts w:hint="eastAsia" w:ascii="宋体" w:hAnsi="宋体" w:cs="宋体"/>
          <w:b/>
          <w:color w:val="auto"/>
          <w:sz w:val="32"/>
          <w:szCs w:val="32"/>
          <w:highlight w:val="none"/>
        </w:rPr>
      </w:pPr>
    </w:p>
    <w:p w14:paraId="598247D6">
      <w:pPr>
        <w:pStyle w:val="44"/>
        <w:rPr>
          <w:rFonts w:hint="eastAsia"/>
          <w:color w:val="auto"/>
          <w:highlight w:val="none"/>
        </w:rPr>
      </w:pPr>
    </w:p>
    <w:p w14:paraId="45AC1190">
      <w:pPr>
        <w:pStyle w:val="44"/>
        <w:rPr>
          <w:rFonts w:hint="eastAsia"/>
          <w:color w:val="auto"/>
          <w:highlight w:val="none"/>
        </w:rPr>
      </w:pPr>
    </w:p>
    <w:p w14:paraId="5675A172">
      <w:pPr>
        <w:pStyle w:val="44"/>
        <w:rPr>
          <w:rFonts w:hint="eastAsia"/>
          <w:color w:val="auto"/>
          <w:highlight w:val="none"/>
        </w:rPr>
      </w:pPr>
    </w:p>
    <w:p w14:paraId="163E6A54">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14:paraId="1A77FB91">
      <w:pPr>
        <w:spacing w:line="240" w:lineRule="atLeast"/>
        <w:ind w:firstLine="2233" w:firstLineChars="695"/>
        <w:rPr>
          <w:rFonts w:hint="eastAsia" w:ascii="宋体" w:hAnsi="宋体" w:cs="宋体"/>
          <w:b/>
          <w:color w:val="auto"/>
          <w:sz w:val="32"/>
          <w:szCs w:val="32"/>
          <w:highlight w:val="none"/>
        </w:rPr>
      </w:pPr>
    </w:p>
    <w:tbl>
      <w:tblPr>
        <w:tblStyle w:val="46"/>
        <w:tblW w:w="0" w:type="auto"/>
        <w:tblInd w:w="0" w:type="dxa"/>
        <w:tblLayout w:type="fixed"/>
        <w:tblCellMar>
          <w:top w:w="0" w:type="dxa"/>
          <w:left w:w="28" w:type="dxa"/>
          <w:bottom w:w="0" w:type="dxa"/>
          <w:right w:w="28" w:type="dxa"/>
        </w:tblCellMar>
      </w:tblPr>
      <w:tblGrid>
        <w:gridCol w:w="2488"/>
        <w:gridCol w:w="2616"/>
        <w:gridCol w:w="1653"/>
        <w:gridCol w:w="2538"/>
      </w:tblGrid>
      <w:tr w14:paraId="06DCA254">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1BB49148">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16D6F86F">
            <w:pPr>
              <w:widowControl/>
              <w:autoSpaceDE w:val="0"/>
              <w:autoSpaceDN w:val="0"/>
              <w:spacing w:line="440" w:lineRule="atLeast"/>
              <w:textAlignment w:val="bottom"/>
              <w:rPr>
                <w:rFonts w:hint="eastAsia" w:ascii="宋体" w:hAnsi="宋体" w:cs="宋体"/>
                <w:color w:val="auto"/>
                <w:sz w:val="24"/>
                <w:highlight w:val="none"/>
              </w:rPr>
            </w:pPr>
          </w:p>
        </w:tc>
      </w:tr>
      <w:tr w14:paraId="76BC5E29">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77E163FB">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36C24A57">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1.等级:            2.证书号:       3.发证单位: </w:t>
            </w:r>
          </w:p>
        </w:tc>
      </w:tr>
      <w:tr w14:paraId="7215CEA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534B689">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04949B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1.编号:            2.营业范围:     3.发照单位: </w:t>
            </w:r>
          </w:p>
        </w:tc>
      </w:tr>
      <w:tr w14:paraId="1B19B83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18B7A03">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14:paraId="1928AAD0">
            <w:pPr>
              <w:widowControl/>
              <w:autoSpaceDE w:val="0"/>
              <w:autoSpaceDN w:val="0"/>
              <w:spacing w:line="440" w:lineRule="atLeast"/>
              <w:textAlignment w:val="bottom"/>
              <w:rPr>
                <w:rFonts w:hint="eastAsia" w:ascii="宋体" w:hAnsi="宋体" w:cs="宋体"/>
                <w:color w:val="auto"/>
                <w:sz w:val="24"/>
                <w:highlight w:val="none"/>
              </w:rPr>
            </w:pPr>
          </w:p>
        </w:tc>
        <w:tc>
          <w:tcPr>
            <w:tcW w:w="1653" w:type="dxa"/>
            <w:tcBorders>
              <w:top w:val="single" w:color="auto" w:sz="6" w:space="0"/>
              <w:left w:val="single" w:color="auto" w:sz="6" w:space="0"/>
              <w:bottom w:val="single" w:color="auto" w:sz="6" w:space="0"/>
              <w:right w:val="single" w:color="auto" w:sz="6" w:space="0"/>
            </w:tcBorders>
            <w:noWrap w:val="0"/>
            <w:vAlign w:val="top"/>
          </w:tcPr>
          <w:p w14:paraId="3AC8D096">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14:paraId="4F6FF754">
            <w:pPr>
              <w:widowControl/>
              <w:autoSpaceDE w:val="0"/>
              <w:autoSpaceDN w:val="0"/>
              <w:spacing w:line="440" w:lineRule="atLeast"/>
              <w:textAlignment w:val="bottom"/>
              <w:rPr>
                <w:rFonts w:hint="eastAsia" w:ascii="宋体" w:hAnsi="宋体" w:cs="宋体"/>
                <w:color w:val="auto"/>
                <w:sz w:val="24"/>
                <w:highlight w:val="none"/>
              </w:rPr>
            </w:pPr>
          </w:p>
        </w:tc>
      </w:tr>
      <w:tr w14:paraId="53330C78">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57DF130">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E48B752">
            <w:pPr>
              <w:widowControl/>
              <w:autoSpaceDE w:val="0"/>
              <w:autoSpaceDN w:val="0"/>
              <w:spacing w:line="440" w:lineRule="atLeast"/>
              <w:textAlignment w:val="bottom"/>
              <w:rPr>
                <w:rFonts w:hint="eastAsia" w:ascii="宋体" w:hAnsi="宋体" w:cs="宋体"/>
                <w:color w:val="auto"/>
                <w:sz w:val="24"/>
                <w:highlight w:val="none"/>
              </w:rPr>
            </w:pPr>
          </w:p>
        </w:tc>
      </w:tr>
      <w:tr w14:paraId="3C6AA1A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4A1A2069">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446425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14:paraId="06E7609D">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72B6E796">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5A87F2F0">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14:paraId="388BC3A1">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14:paraId="4789CA04">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7B47B27B">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地址</w:t>
            </w:r>
          </w:p>
          <w:p w14:paraId="660D4BB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邮编:</w:t>
            </w:r>
          </w:p>
          <w:p w14:paraId="196EA648">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14:paraId="37429A12">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传真:       </w:t>
            </w:r>
          </w:p>
        </w:tc>
      </w:tr>
      <w:tr w14:paraId="723CAAB8">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301E7C5E">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61365EA5">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名称:                      账号:          </w:t>
            </w:r>
          </w:p>
        </w:tc>
      </w:tr>
      <w:tr w14:paraId="25FB7813">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14:paraId="6547D77C">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54758F53">
            <w:pPr>
              <w:widowControl/>
              <w:autoSpaceDE w:val="0"/>
              <w:autoSpaceDN w:val="0"/>
              <w:spacing w:line="440" w:lineRule="atLeast"/>
              <w:textAlignment w:val="bottom"/>
              <w:rPr>
                <w:rFonts w:hint="eastAsia" w:ascii="宋体" w:hAnsi="宋体" w:cs="宋体"/>
                <w:color w:val="auto"/>
                <w:sz w:val="24"/>
                <w:highlight w:val="none"/>
              </w:rPr>
            </w:pPr>
          </w:p>
        </w:tc>
      </w:tr>
      <w:tr w14:paraId="1B447913">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14:paraId="2CAC0A9F">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72199F91">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0AD98E5F">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21EA1C48">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组织机构框图</w:t>
            </w:r>
          </w:p>
          <w:p w14:paraId="422EE28C">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1A7288EB">
            <w:pPr>
              <w:autoSpaceDE w:val="0"/>
              <w:autoSpaceDN w:val="0"/>
              <w:spacing w:line="440" w:lineRule="atLeast"/>
              <w:ind w:left="105"/>
              <w:textAlignment w:val="bottom"/>
              <w:rPr>
                <w:rFonts w:hint="eastAsia" w:ascii="宋体" w:hAnsi="宋体" w:cs="宋体"/>
                <w:color w:val="auto"/>
                <w:sz w:val="24"/>
                <w:highlight w:val="none"/>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95A8A9E">
            <w:pPr>
              <w:widowControl/>
              <w:autoSpaceDE w:val="0"/>
              <w:autoSpaceDN w:val="0"/>
              <w:spacing w:line="440" w:lineRule="atLeast"/>
              <w:textAlignment w:val="bottom"/>
              <w:rPr>
                <w:rFonts w:hint="eastAsia" w:ascii="宋体" w:hAnsi="宋体" w:cs="宋体"/>
                <w:color w:val="auto"/>
                <w:sz w:val="24"/>
                <w:highlight w:val="none"/>
              </w:rPr>
            </w:pPr>
          </w:p>
        </w:tc>
      </w:tr>
    </w:tbl>
    <w:p w14:paraId="4A242CC4">
      <w:pPr>
        <w:spacing w:line="360" w:lineRule="auto"/>
        <w:ind w:left="630" w:hanging="630" w:hangingChars="300"/>
        <w:rPr>
          <w:rFonts w:hint="eastAsia" w:ascii="宋体" w:hAnsi="宋体" w:cs="宋体"/>
          <w:color w:val="auto"/>
          <w:highlight w:val="none"/>
        </w:rPr>
      </w:pPr>
    </w:p>
    <w:p w14:paraId="2198BEE9">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7FA0DB1F">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A0B81FC">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616F7BA7">
      <w:pPr>
        <w:jc w:val="center"/>
        <w:rPr>
          <w:rFonts w:hint="eastAsia" w:ascii="宋体" w:hAnsi="宋体" w:cs="宋体"/>
          <w:b/>
          <w:bCs/>
          <w:snapToGrid w:val="0"/>
          <w:color w:val="auto"/>
          <w:kern w:val="0"/>
          <w:sz w:val="28"/>
          <w:szCs w:val="28"/>
          <w:highlight w:val="none"/>
        </w:rPr>
      </w:pPr>
      <w:r>
        <w:rPr>
          <w:rFonts w:hint="eastAsia" w:ascii="宋体" w:hAnsi="宋体" w:cs="宋体"/>
          <w:b/>
          <w:color w:val="auto"/>
          <w:sz w:val="24"/>
          <w:highlight w:val="none"/>
        </w:rPr>
        <w:br w:type="page"/>
      </w:r>
      <w:r>
        <w:rPr>
          <w:rFonts w:hint="eastAsia" w:ascii="宋体" w:hAnsi="宋体" w:cs="宋体"/>
          <w:b/>
          <w:bCs/>
          <w:snapToGrid w:val="0"/>
          <w:color w:val="auto"/>
          <w:kern w:val="0"/>
          <w:sz w:val="28"/>
          <w:szCs w:val="28"/>
          <w:highlight w:val="none"/>
        </w:rPr>
        <w:t>法定代表人资格证明书</w:t>
      </w:r>
    </w:p>
    <w:p w14:paraId="44425BB2">
      <w:pPr>
        <w:pStyle w:val="10"/>
        <w:spacing w:line="600" w:lineRule="exact"/>
        <w:rPr>
          <w:rFonts w:hint="eastAsia" w:ascii="宋体" w:hAnsi="宋体" w:eastAsia="宋体" w:cs="宋体"/>
          <w:b/>
          <w:bCs/>
          <w:snapToGrid w:val="0"/>
          <w:color w:val="auto"/>
          <w:kern w:val="0"/>
          <w:sz w:val="36"/>
          <w:highlight w:val="none"/>
        </w:rPr>
      </w:pPr>
    </w:p>
    <w:p w14:paraId="7B608FC3">
      <w:pPr>
        <w:pStyle w:val="10"/>
        <w:spacing w:line="60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系</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的法定代表人。身份证号：</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p>
    <w:p w14:paraId="2F8DBE40">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特此证明</w:t>
      </w:r>
    </w:p>
    <w:p w14:paraId="3205BF25">
      <w:pPr>
        <w:pStyle w:val="10"/>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投标人全称（盖电子公章）</w:t>
      </w:r>
    </w:p>
    <w:p w14:paraId="585C646D">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日期：</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14:paraId="5A42F863">
      <w:pPr>
        <w:adjustRightInd w:val="0"/>
        <w:spacing w:line="360" w:lineRule="auto"/>
        <w:rPr>
          <w:rFonts w:hint="eastAsia" w:ascii="宋体" w:hAnsi="宋体" w:cs="宋体"/>
          <w:snapToGrid w:val="0"/>
          <w:color w:val="auto"/>
          <w:kern w:val="0"/>
          <w:sz w:val="24"/>
          <w:highlight w:val="none"/>
        </w:rPr>
      </w:pPr>
    </w:p>
    <w:p w14:paraId="1FCBF6D9">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附：法定代表人身份证扫描件（正反面）</w:t>
      </w:r>
    </w:p>
    <w:p w14:paraId="4C9CA72C">
      <w:pPr>
        <w:adjustRightInd w:val="0"/>
        <w:spacing w:line="360" w:lineRule="auto"/>
        <w:rPr>
          <w:rFonts w:hint="eastAsia" w:ascii="宋体" w:hAnsi="宋体" w:cs="宋体"/>
          <w:snapToGrid w:val="0"/>
          <w:color w:val="auto"/>
          <w:kern w:val="0"/>
          <w:szCs w:val="21"/>
          <w:highlight w:val="none"/>
        </w:rPr>
      </w:pPr>
    </w:p>
    <w:p w14:paraId="0DD2D03C">
      <w:pPr>
        <w:pStyle w:val="20"/>
        <w:rPr>
          <w:rFonts w:hint="eastAsia" w:ascii="宋体" w:hAnsi="宋体" w:cs="宋体"/>
          <w:snapToGrid w:val="0"/>
          <w:color w:val="auto"/>
          <w:kern w:val="0"/>
          <w:szCs w:val="21"/>
          <w:highlight w:val="none"/>
        </w:rPr>
      </w:pPr>
    </w:p>
    <w:p w14:paraId="3FA5E842">
      <w:pPr>
        <w:pStyle w:val="20"/>
        <w:rPr>
          <w:rFonts w:hint="eastAsia" w:ascii="宋体" w:hAnsi="宋体" w:cs="宋体"/>
          <w:snapToGrid w:val="0"/>
          <w:color w:val="auto"/>
          <w:kern w:val="0"/>
          <w:szCs w:val="21"/>
          <w:highlight w:val="none"/>
        </w:rPr>
      </w:pPr>
    </w:p>
    <w:p w14:paraId="43637F0F">
      <w:pPr>
        <w:pStyle w:val="20"/>
        <w:rPr>
          <w:rFonts w:hint="eastAsia" w:ascii="宋体" w:hAnsi="宋体" w:cs="宋体"/>
          <w:snapToGrid w:val="0"/>
          <w:color w:val="auto"/>
          <w:kern w:val="0"/>
          <w:szCs w:val="21"/>
          <w:highlight w:val="none"/>
        </w:rPr>
      </w:pPr>
    </w:p>
    <w:p w14:paraId="4F561CC6">
      <w:pPr>
        <w:pStyle w:val="20"/>
        <w:rPr>
          <w:rFonts w:hint="eastAsia" w:ascii="宋体" w:hAnsi="宋体" w:cs="宋体"/>
          <w:snapToGrid w:val="0"/>
          <w:color w:val="auto"/>
          <w:kern w:val="0"/>
          <w:szCs w:val="21"/>
          <w:highlight w:val="none"/>
        </w:rPr>
      </w:pPr>
    </w:p>
    <w:p w14:paraId="5E4B5F45">
      <w:pPr>
        <w:pStyle w:val="20"/>
        <w:rPr>
          <w:rFonts w:hint="eastAsia" w:ascii="宋体" w:hAnsi="宋体" w:cs="宋体"/>
          <w:snapToGrid w:val="0"/>
          <w:color w:val="auto"/>
          <w:kern w:val="0"/>
          <w:szCs w:val="21"/>
          <w:highlight w:val="none"/>
        </w:rPr>
      </w:pPr>
    </w:p>
    <w:p w14:paraId="02BD1B19">
      <w:pPr>
        <w:pStyle w:val="20"/>
        <w:rPr>
          <w:rFonts w:hint="eastAsia" w:ascii="宋体" w:hAnsi="宋体" w:cs="宋体"/>
          <w:snapToGrid w:val="0"/>
          <w:color w:val="auto"/>
          <w:kern w:val="0"/>
          <w:szCs w:val="21"/>
          <w:highlight w:val="none"/>
        </w:rPr>
      </w:pPr>
    </w:p>
    <w:p w14:paraId="22C5E778">
      <w:pPr>
        <w:pStyle w:val="20"/>
        <w:rPr>
          <w:rFonts w:hint="eastAsia" w:ascii="宋体" w:hAnsi="宋体" w:cs="宋体"/>
          <w:snapToGrid w:val="0"/>
          <w:color w:val="auto"/>
          <w:kern w:val="0"/>
          <w:szCs w:val="21"/>
          <w:highlight w:val="none"/>
        </w:rPr>
      </w:pPr>
    </w:p>
    <w:p w14:paraId="241AE2B2">
      <w:pPr>
        <w:pStyle w:val="20"/>
        <w:rPr>
          <w:rFonts w:hint="eastAsia" w:ascii="宋体" w:hAnsi="宋体" w:cs="宋体"/>
          <w:snapToGrid w:val="0"/>
          <w:color w:val="auto"/>
          <w:kern w:val="0"/>
          <w:szCs w:val="21"/>
          <w:highlight w:val="none"/>
        </w:rPr>
      </w:pPr>
    </w:p>
    <w:p w14:paraId="451D5CE9">
      <w:pPr>
        <w:pStyle w:val="20"/>
        <w:rPr>
          <w:rFonts w:hint="eastAsia" w:ascii="宋体" w:hAnsi="宋体" w:cs="宋体"/>
          <w:snapToGrid w:val="0"/>
          <w:color w:val="auto"/>
          <w:kern w:val="0"/>
          <w:szCs w:val="21"/>
          <w:highlight w:val="none"/>
        </w:rPr>
      </w:pPr>
    </w:p>
    <w:p w14:paraId="16BFEFD7">
      <w:pPr>
        <w:pStyle w:val="20"/>
        <w:rPr>
          <w:rFonts w:hint="eastAsia" w:ascii="宋体" w:hAnsi="宋体" w:cs="宋体"/>
          <w:snapToGrid w:val="0"/>
          <w:color w:val="auto"/>
          <w:kern w:val="0"/>
          <w:szCs w:val="21"/>
          <w:highlight w:val="none"/>
        </w:rPr>
      </w:pPr>
    </w:p>
    <w:p w14:paraId="180EAD86">
      <w:pPr>
        <w:pStyle w:val="20"/>
        <w:rPr>
          <w:rFonts w:hint="eastAsia" w:ascii="宋体" w:hAnsi="宋体" w:cs="宋体"/>
          <w:snapToGrid w:val="0"/>
          <w:color w:val="auto"/>
          <w:kern w:val="0"/>
          <w:szCs w:val="21"/>
          <w:highlight w:val="none"/>
        </w:rPr>
      </w:pPr>
    </w:p>
    <w:p w14:paraId="142C8600">
      <w:pPr>
        <w:pStyle w:val="20"/>
        <w:rPr>
          <w:rFonts w:hint="eastAsia" w:ascii="宋体" w:hAnsi="宋体" w:cs="宋体"/>
          <w:snapToGrid w:val="0"/>
          <w:color w:val="auto"/>
          <w:kern w:val="0"/>
          <w:szCs w:val="21"/>
          <w:highlight w:val="none"/>
        </w:rPr>
      </w:pPr>
    </w:p>
    <w:p w14:paraId="6366F2B3">
      <w:pPr>
        <w:pStyle w:val="20"/>
        <w:rPr>
          <w:rFonts w:hint="eastAsia" w:ascii="宋体" w:hAnsi="宋体" w:cs="宋体"/>
          <w:snapToGrid w:val="0"/>
          <w:color w:val="auto"/>
          <w:kern w:val="0"/>
          <w:szCs w:val="21"/>
          <w:highlight w:val="none"/>
        </w:rPr>
      </w:pPr>
    </w:p>
    <w:p w14:paraId="5DFA60FF">
      <w:pPr>
        <w:pStyle w:val="20"/>
        <w:rPr>
          <w:rFonts w:hint="eastAsia" w:ascii="宋体" w:hAnsi="宋体" w:cs="宋体"/>
          <w:snapToGrid w:val="0"/>
          <w:color w:val="auto"/>
          <w:kern w:val="0"/>
          <w:szCs w:val="21"/>
          <w:highlight w:val="none"/>
        </w:rPr>
      </w:pPr>
    </w:p>
    <w:p w14:paraId="70E5D491">
      <w:pPr>
        <w:pStyle w:val="20"/>
        <w:rPr>
          <w:rFonts w:hint="eastAsia" w:ascii="宋体" w:hAnsi="宋体" w:cs="宋体"/>
          <w:snapToGrid w:val="0"/>
          <w:color w:val="auto"/>
          <w:kern w:val="0"/>
          <w:szCs w:val="21"/>
          <w:highlight w:val="none"/>
        </w:rPr>
      </w:pPr>
    </w:p>
    <w:p w14:paraId="6E53490C">
      <w:pPr>
        <w:pStyle w:val="20"/>
        <w:rPr>
          <w:rFonts w:hint="eastAsia" w:ascii="宋体" w:hAnsi="宋体" w:cs="宋体"/>
          <w:snapToGrid w:val="0"/>
          <w:color w:val="auto"/>
          <w:kern w:val="0"/>
          <w:szCs w:val="21"/>
          <w:highlight w:val="none"/>
        </w:rPr>
      </w:pPr>
    </w:p>
    <w:p w14:paraId="13BEA798">
      <w:pPr>
        <w:pStyle w:val="20"/>
        <w:rPr>
          <w:rFonts w:hint="eastAsia" w:ascii="宋体" w:hAnsi="宋体" w:cs="宋体"/>
          <w:snapToGrid w:val="0"/>
          <w:color w:val="auto"/>
          <w:kern w:val="0"/>
          <w:szCs w:val="21"/>
          <w:highlight w:val="none"/>
        </w:rPr>
      </w:pPr>
    </w:p>
    <w:p w14:paraId="1609919D">
      <w:pPr>
        <w:pStyle w:val="20"/>
        <w:rPr>
          <w:rFonts w:hint="eastAsia" w:ascii="宋体" w:hAnsi="宋体" w:cs="宋体"/>
          <w:snapToGrid w:val="0"/>
          <w:color w:val="auto"/>
          <w:kern w:val="0"/>
          <w:szCs w:val="21"/>
          <w:highlight w:val="none"/>
        </w:rPr>
      </w:pPr>
    </w:p>
    <w:p w14:paraId="2835743A">
      <w:pPr>
        <w:pStyle w:val="20"/>
        <w:rPr>
          <w:rFonts w:hint="eastAsia" w:ascii="宋体" w:hAnsi="宋体" w:cs="宋体"/>
          <w:snapToGrid w:val="0"/>
          <w:color w:val="auto"/>
          <w:kern w:val="0"/>
          <w:szCs w:val="21"/>
          <w:highlight w:val="none"/>
        </w:rPr>
      </w:pPr>
    </w:p>
    <w:p w14:paraId="18D98B4F">
      <w:pPr>
        <w:pStyle w:val="20"/>
        <w:rPr>
          <w:rFonts w:hint="eastAsia" w:ascii="宋体" w:hAnsi="宋体" w:cs="宋体"/>
          <w:snapToGrid w:val="0"/>
          <w:color w:val="auto"/>
          <w:kern w:val="0"/>
          <w:szCs w:val="21"/>
          <w:highlight w:val="none"/>
        </w:rPr>
      </w:pPr>
    </w:p>
    <w:p w14:paraId="408C80CA">
      <w:pPr>
        <w:pStyle w:val="20"/>
        <w:rPr>
          <w:rFonts w:hint="eastAsia" w:ascii="宋体" w:hAnsi="宋体" w:cs="宋体"/>
          <w:snapToGrid w:val="0"/>
          <w:color w:val="auto"/>
          <w:kern w:val="0"/>
          <w:szCs w:val="21"/>
          <w:highlight w:val="none"/>
        </w:rPr>
      </w:pPr>
    </w:p>
    <w:p w14:paraId="482B6223">
      <w:pPr>
        <w:pStyle w:val="20"/>
        <w:rPr>
          <w:rFonts w:hint="eastAsia" w:ascii="宋体" w:hAnsi="宋体" w:cs="宋体"/>
          <w:snapToGrid w:val="0"/>
          <w:color w:val="auto"/>
          <w:kern w:val="0"/>
          <w:szCs w:val="21"/>
          <w:highlight w:val="none"/>
        </w:rPr>
      </w:pPr>
    </w:p>
    <w:p w14:paraId="4C57612E">
      <w:pPr>
        <w:pStyle w:val="20"/>
        <w:rPr>
          <w:rFonts w:hint="eastAsia" w:ascii="宋体" w:hAnsi="宋体" w:cs="宋体"/>
          <w:snapToGrid w:val="0"/>
          <w:color w:val="auto"/>
          <w:kern w:val="0"/>
          <w:szCs w:val="21"/>
          <w:highlight w:val="none"/>
        </w:rPr>
      </w:pPr>
    </w:p>
    <w:p w14:paraId="6ABD724A">
      <w:pPr>
        <w:pStyle w:val="20"/>
        <w:rPr>
          <w:rFonts w:hint="eastAsia" w:ascii="宋体" w:hAnsi="宋体" w:cs="宋体"/>
          <w:snapToGrid w:val="0"/>
          <w:color w:val="auto"/>
          <w:kern w:val="0"/>
          <w:szCs w:val="21"/>
          <w:highlight w:val="none"/>
        </w:rPr>
      </w:pPr>
    </w:p>
    <w:p w14:paraId="13AEE552">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14:paraId="49E02EFE">
      <w:pPr>
        <w:adjustRightInd w:val="0"/>
        <w:spacing w:line="360" w:lineRule="auto"/>
        <w:jc w:val="left"/>
        <w:rPr>
          <w:rFonts w:hint="eastAsia" w:ascii="宋体" w:hAnsi="宋体" w:cs="宋体"/>
          <w:b/>
          <w:snapToGrid w:val="0"/>
          <w:color w:val="auto"/>
          <w:kern w:val="0"/>
          <w:sz w:val="32"/>
          <w:szCs w:val="20"/>
          <w:highlight w:val="none"/>
        </w:rPr>
      </w:pPr>
    </w:p>
    <w:p w14:paraId="6C7C6EE5">
      <w:pPr>
        <w:adjustRightInd w:val="0"/>
        <w:spacing w:line="520" w:lineRule="exact"/>
        <w:ind w:left="4" w:firstLine="520" w:firstLineChars="217"/>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我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（姓名）系</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（投标人名称）的法定代表人，现授权委托</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（姓名）为我公司授权代表，以本公司的名义参加</w:t>
      </w:r>
      <w:r>
        <w:rPr>
          <w:rFonts w:hint="eastAsia" w:ascii="宋体" w:hAnsi="宋体" w:cs="宋体"/>
          <w:snapToGrid w:val="0"/>
          <w:color w:val="auto"/>
          <w:kern w:val="0"/>
          <w:sz w:val="24"/>
          <w:highlight w:val="none"/>
          <w:u w:val="single"/>
        </w:rPr>
        <w:t xml:space="preserve">   （采购人）    </w:t>
      </w:r>
      <w:r>
        <w:rPr>
          <w:rFonts w:hint="eastAsia" w:ascii="宋体" w:hAnsi="宋体" w:cs="宋体"/>
          <w:snapToGrid w:val="0"/>
          <w:color w:val="auto"/>
          <w:kern w:val="0"/>
          <w:sz w:val="24"/>
          <w:highlight w:val="none"/>
        </w:rPr>
        <w:t xml:space="preserve">的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项目的投标活动。授权代表在开标、评标、合同谈判过程中所签署的一切文件和处理与之有关的一切事务，我均予以承认。</w:t>
      </w:r>
    </w:p>
    <w:p w14:paraId="26911340">
      <w:pPr>
        <w:adjustRightIn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授权代表无权转委托。特此委托。</w:t>
      </w:r>
    </w:p>
    <w:p w14:paraId="6BF5C0DB">
      <w:pPr>
        <w:pStyle w:val="2"/>
        <w:outlineLvl w:val="9"/>
        <w:rPr>
          <w:rFonts w:hint="eastAsia" w:ascii="宋体" w:hAnsi="宋体" w:eastAsia="宋体" w:cs="宋体"/>
          <w:color w:val="auto"/>
          <w:highlight w:val="none"/>
        </w:rPr>
      </w:pPr>
    </w:p>
    <w:p w14:paraId="4F761DA2">
      <w:pPr>
        <w:pStyle w:val="10"/>
        <w:spacing w:line="600" w:lineRule="exact"/>
        <w:ind w:firstLine="3674" w:firstLineChars="1531"/>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投标人：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r>
        <w:rPr>
          <w:rFonts w:hint="eastAsia" w:ascii="宋体" w:hAnsi="宋体" w:eastAsia="宋体" w:cs="宋体"/>
          <w:color w:val="auto"/>
          <w:szCs w:val="24"/>
          <w:highlight w:val="none"/>
        </w:rPr>
        <w:t>盖电子公章</w:t>
      </w:r>
      <w:r>
        <w:rPr>
          <w:rFonts w:hint="eastAsia" w:ascii="宋体" w:hAnsi="宋体" w:eastAsia="宋体" w:cs="宋体"/>
          <w:snapToGrid w:val="0"/>
          <w:color w:val="auto"/>
          <w:kern w:val="0"/>
          <w:szCs w:val="24"/>
          <w:highlight w:val="none"/>
        </w:rPr>
        <w:t xml:space="preserve">）  </w:t>
      </w:r>
    </w:p>
    <w:p w14:paraId="78A7EAC4">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14:paraId="18630C87">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法定代表人身份证号码：</w:t>
      </w:r>
      <w:r>
        <w:rPr>
          <w:rFonts w:hint="eastAsia" w:ascii="宋体" w:hAnsi="宋体" w:cs="宋体"/>
          <w:snapToGrid w:val="0"/>
          <w:color w:val="auto"/>
          <w:kern w:val="0"/>
          <w:sz w:val="24"/>
          <w:highlight w:val="none"/>
          <w:u w:val="single"/>
        </w:rPr>
        <w:t xml:space="preserve">              </w:t>
      </w:r>
    </w:p>
    <w:p w14:paraId="0FC5FA68">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14:paraId="1FAF9ACA">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授权代表身份证号码：</w:t>
      </w:r>
      <w:r>
        <w:rPr>
          <w:rFonts w:hint="eastAsia" w:ascii="宋体" w:hAnsi="宋体" w:cs="宋体"/>
          <w:snapToGrid w:val="0"/>
          <w:color w:val="auto"/>
          <w:kern w:val="0"/>
          <w:sz w:val="24"/>
          <w:highlight w:val="none"/>
          <w:u w:val="single"/>
        </w:rPr>
        <w:t xml:space="preserve">              </w:t>
      </w:r>
    </w:p>
    <w:p w14:paraId="40189313">
      <w:pPr>
        <w:autoSpaceDE w:val="0"/>
        <w:autoSpaceDN w:val="0"/>
        <w:adjustRightInd w:val="0"/>
        <w:spacing w:line="520" w:lineRule="exact"/>
        <w:ind w:right="420"/>
        <w:rPr>
          <w:rFonts w:hint="eastAsia" w:ascii="宋体" w:hAnsi="宋体" w:cs="宋体"/>
          <w:snapToGrid w:val="0"/>
          <w:color w:val="auto"/>
          <w:kern w:val="0"/>
          <w:sz w:val="24"/>
          <w:highlight w:val="none"/>
        </w:rPr>
      </w:pPr>
    </w:p>
    <w:p w14:paraId="2AFEBC78">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年    月    日</w:t>
      </w:r>
    </w:p>
    <w:p w14:paraId="3D59B982">
      <w:pPr>
        <w:autoSpaceDE w:val="0"/>
        <w:autoSpaceDN w:val="0"/>
        <w:adjustRightInd w:val="0"/>
        <w:snapToGrid w:val="0"/>
        <w:spacing w:line="360" w:lineRule="auto"/>
        <w:ind w:right="42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附：授权代表的身份证扫描件（正反面）</w:t>
      </w:r>
    </w:p>
    <w:p w14:paraId="1E88D4C2">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 w:val="32"/>
          <w:szCs w:val="32"/>
          <w:highlight w:val="none"/>
        </w:rPr>
        <w:t xml:space="preserve">廉 政 承 </w:t>
      </w:r>
      <w:bookmarkStart w:id="245" w:name="OLE_LINK10"/>
      <w:r>
        <w:rPr>
          <w:rFonts w:hint="eastAsia" w:ascii="宋体" w:hAnsi="宋体" w:cs="宋体"/>
          <w:b/>
          <w:bCs/>
          <w:color w:val="auto"/>
          <w:sz w:val="32"/>
          <w:szCs w:val="32"/>
          <w:highlight w:val="none"/>
        </w:rPr>
        <w:t>诺 书</w:t>
      </w:r>
    </w:p>
    <w:p w14:paraId="1FD10185">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snapToGrid w:val="0"/>
          <w:color w:val="auto"/>
          <w:kern w:val="0"/>
          <w:sz w:val="24"/>
          <w:highlight w:val="none"/>
          <w:u w:val="single"/>
          <w:lang w:eastAsia="zh-CN"/>
        </w:rPr>
        <w:t>浦江县交投贸易有限公司</w:t>
      </w:r>
      <w:r>
        <w:rPr>
          <w:rFonts w:hint="eastAsia" w:ascii="宋体" w:hAnsi="宋体" w:cs="宋体"/>
          <w:bCs/>
          <w:color w:val="auto"/>
          <w:sz w:val="24"/>
          <w:highlight w:val="none"/>
        </w:rPr>
        <w:t>：</w:t>
      </w:r>
    </w:p>
    <w:p w14:paraId="3D5CBF46">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我单位响应你单位项目招标要求参加应标。在这次应标过程中和中标后，我们将严格遵守国家法律法规规定要求，并郑重承诺：</w:t>
      </w:r>
    </w:p>
    <w:p w14:paraId="305BFBFC">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一、不向项目有关人员及部门赠送礼金礼物、有价证券、回扣以及中介费、介绍费、咨询费等好处费；</w:t>
      </w:r>
    </w:p>
    <w:p w14:paraId="682296C4">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二、不为项目有关人员及部门报销应由你方单位或个人支付的费用；</w:t>
      </w:r>
    </w:p>
    <w:p w14:paraId="3323F63E">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三、不向项目有关人员及部门提供有可能影响公正执行公务的宴请和健身娱乐等活动；</w:t>
      </w:r>
    </w:p>
    <w:p w14:paraId="7C4C00D8">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四、不为项目有关人员及部门出国（境）、旅游等提供方便；</w:t>
      </w:r>
    </w:p>
    <w:p w14:paraId="4E929232">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五、不为项目有关人员个人装修住房、婚丧嫁娶、配偶子女工作安排等提供好处； </w:t>
      </w:r>
    </w:p>
    <w:p w14:paraId="548B1F2E">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六、严格遵守采购法、合同法等法律，诚实守信，合法经营，坚决抵制各种违法违纪行为。</w:t>
      </w:r>
    </w:p>
    <w:p w14:paraId="4EBC8D9A">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14:paraId="7D223356">
      <w:pPr>
        <w:autoSpaceDE w:val="0"/>
        <w:autoSpaceDN w:val="0"/>
        <w:adjustRightInd w:val="0"/>
        <w:spacing w:line="360" w:lineRule="auto"/>
        <w:rPr>
          <w:rFonts w:hint="eastAsia" w:ascii="宋体" w:hAnsi="宋体" w:cs="宋体"/>
          <w:bCs/>
          <w:color w:val="auto"/>
          <w:sz w:val="24"/>
          <w:highlight w:val="none"/>
        </w:rPr>
      </w:pPr>
    </w:p>
    <w:p w14:paraId="494F6223">
      <w:pPr>
        <w:autoSpaceDE w:val="0"/>
        <w:autoSpaceDN w:val="0"/>
        <w:adjustRightInd w:val="0"/>
        <w:spacing w:line="360" w:lineRule="auto"/>
        <w:rPr>
          <w:rFonts w:hint="eastAsia" w:ascii="宋体" w:hAnsi="宋体" w:cs="宋体"/>
          <w:bCs/>
          <w:color w:val="auto"/>
          <w:sz w:val="24"/>
          <w:highlight w:val="none"/>
        </w:rPr>
      </w:pPr>
    </w:p>
    <w:p w14:paraId="604FE84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4DDB5FD4">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32684A1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446BD685">
      <w:pPr>
        <w:pStyle w:val="25"/>
        <w:tabs>
          <w:tab w:val="left" w:pos="900"/>
        </w:tabs>
        <w:snapToGrid w:val="0"/>
        <w:spacing w:before="120" w:after="120"/>
        <w:jc w:val="center"/>
        <w:rPr>
          <w:rFonts w:hint="eastAsia" w:ascii="宋体" w:hAnsi="宋体" w:cs="宋体"/>
          <w:b/>
          <w:color w:val="auto"/>
          <w:sz w:val="24"/>
          <w:highlight w:val="none"/>
        </w:rPr>
      </w:pPr>
    </w:p>
    <w:p w14:paraId="5191BF61">
      <w:pPr>
        <w:pStyle w:val="25"/>
        <w:tabs>
          <w:tab w:val="left" w:pos="900"/>
        </w:tabs>
        <w:snapToGrid w:val="0"/>
        <w:spacing w:before="120" w:after="120"/>
        <w:jc w:val="center"/>
        <w:rPr>
          <w:rFonts w:hint="eastAsia" w:ascii="宋体" w:hAnsi="宋体" w:cs="宋体"/>
          <w:b/>
          <w:color w:val="auto"/>
          <w:sz w:val="24"/>
          <w:highlight w:val="none"/>
        </w:rPr>
      </w:pPr>
    </w:p>
    <w:p w14:paraId="6F73AC89">
      <w:pPr>
        <w:pStyle w:val="25"/>
        <w:tabs>
          <w:tab w:val="left" w:pos="900"/>
        </w:tabs>
        <w:snapToGrid w:val="0"/>
        <w:spacing w:before="120" w:after="120"/>
        <w:jc w:val="center"/>
        <w:rPr>
          <w:rFonts w:hint="eastAsia" w:ascii="宋体" w:hAnsi="宋体" w:cs="宋体"/>
          <w:b/>
          <w:color w:val="auto"/>
          <w:sz w:val="24"/>
          <w:highlight w:val="none"/>
        </w:rPr>
      </w:pPr>
    </w:p>
    <w:p w14:paraId="259EE380">
      <w:pPr>
        <w:pStyle w:val="25"/>
        <w:tabs>
          <w:tab w:val="left" w:pos="900"/>
        </w:tabs>
        <w:snapToGrid w:val="0"/>
        <w:spacing w:before="120" w:after="120"/>
        <w:jc w:val="center"/>
        <w:rPr>
          <w:rFonts w:hint="eastAsia" w:ascii="宋体" w:hAnsi="宋体" w:cs="宋体"/>
          <w:b/>
          <w:color w:val="auto"/>
          <w:sz w:val="24"/>
          <w:highlight w:val="none"/>
        </w:rPr>
      </w:pPr>
    </w:p>
    <w:p w14:paraId="4DDF7C0E">
      <w:pPr>
        <w:pStyle w:val="25"/>
        <w:tabs>
          <w:tab w:val="left" w:pos="900"/>
        </w:tabs>
        <w:snapToGrid w:val="0"/>
        <w:spacing w:before="120" w:after="120"/>
        <w:jc w:val="center"/>
        <w:rPr>
          <w:rFonts w:hint="eastAsia" w:ascii="宋体" w:hAnsi="宋体" w:cs="宋体"/>
          <w:b/>
          <w:color w:val="auto"/>
          <w:sz w:val="24"/>
          <w:highlight w:val="none"/>
        </w:rPr>
      </w:pPr>
    </w:p>
    <w:p w14:paraId="3EF8FB6A">
      <w:pPr>
        <w:pStyle w:val="25"/>
        <w:tabs>
          <w:tab w:val="left" w:pos="900"/>
        </w:tabs>
        <w:snapToGrid w:val="0"/>
        <w:spacing w:before="120" w:after="120"/>
        <w:jc w:val="center"/>
        <w:rPr>
          <w:rFonts w:hint="eastAsia" w:ascii="宋体" w:hAnsi="宋体" w:cs="宋体"/>
          <w:b/>
          <w:color w:val="auto"/>
          <w:sz w:val="24"/>
          <w:highlight w:val="none"/>
        </w:rPr>
      </w:pPr>
    </w:p>
    <w:p w14:paraId="07ED45C2">
      <w:pPr>
        <w:pStyle w:val="25"/>
        <w:tabs>
          <w:tab w:val="left" w:pos="900"/>
        </w:tabs>
        <w:snapToGrid w:val="0"/>
        <w:spacing w:before="120" w:after="120"/>
        <w:jc w:val="center"/>
        <w:rPr>
          <w:rFonts w:hint="eastAsia" w:ascii="宋体" w:hAnsi="宋体" w:cs="宋体"/>
          <w:b/>
          <w:color w:val="auto"/>
          <w:sz w:val="24"/>
          <w:highlight w:val="none"/>
        </w:rPr>
      </w:pPr>
    </w:p>
    <w:bookmarkEnd w:id="245"/>
    <w:p w14:paraId="0A881947">
      <w:pPr>
        <w:keepNext w:val="0"/>
        <w:keepLines w:val="0"/>
        <w:pageBreakBefore w:val="0"/>
        <w:widowControl w:val="0"/>
        <w:tabs>
          <w:tab w:val="left" w:pos="2790"/>
        </w:tabs>
        <w:kinsoku/>
        <w:wordWrap/>
        <w:overflowPunct/>
        <w:topLinePunct w:val="0"/>
        <w:autoSpaceDE/>
        <w:autoSpaceDN/>
        <w:bidi w:val="0"/>
        <w:adjustRightInd/>
        <w:snapToGrid/>
        <w:spacing w:line="480" w:lineRule="exact"/>
        <w:textAlignment w:val="auto"/>
        <w:rPr>
          <w:rFonts w:ascii="华文仿宋" w:hAnsi="华文仿宋" w:eastAsia="华文仿宋"/>
          <w:color w:val="auto"/>
          <w:sz w:val="28"/>
          <w:szCs w:val="28"/>
          <w:highlight w:val="none"/>
        </w:rPr>
      </w:pPr>
    </w:p>
    <w:p w14:paraId="0651481A">
      <w:pPr>
        <w:tabs>
          <w:tab w:val="left" w:pos="2790"/>
        </w:tabs>
        <w:spacing w:line="340" w:lineRule="exact"/>
        <w:rPr>
          <w:rFonts w:ascii="宋体" w:hAnsi="宋体"/>
          <w:color w:val="auto"/>
          <w:sz w:val="28"/>
          <w:szCs w:val="28"/>
          <w:highlight w:val="none"/>
        </w:rPr>
      </w:pPr>
    </w:p>
    <w:p w14:paraId="131F90A1">
      <w:pPr>
        <w:pStyle w:val="25"/>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商务响应表</w:t>
      </w:r>
    </w:p>
    <w:p w14:paraId="21A1CA7E">
      <w:pPr>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14:paraId="2F1C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72BD9610">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061D920C">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10CC524">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14:paraId="5E587ADB">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投标人的承诺或说明</w:t>
            </w:r>
          </w:p>
        </w:tc>
      </w:tr>
      <w:tr w14:paraId="6E557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239FA562">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21AE3362">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233ED9">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65EC0888">
            <w:pPr>
              <w:snapToGrid w:val="0"/>
              <w:spacing w:before="120" w:beforeLines="50" w:line="440" w:lineRule="exact"/>
              <w:rPr>
                <w:rFonts w:ascii="宋体" w:hAnsi="宋体"/>
                <w:color w:val="auto"/>
                <w:sz w:val="24"/>
                <w:szCs w:val="20"/>
                <w:highlight w:val="none"/>
              </w:rPr>
            </w:pPr>
          </w:p>
        </w:tc>
      </w:tr>
      <w:tr w14:paraId="7077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1709846B">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交货时间及地点</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72F8FDB7">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676287B">
            <w:pPr>
              <w:snapToGrid w:val="0"/>
              <w:spacing w:before="120" w:beforeLines="50" w:line="440" w:lineRule="exact"/>
              <w:ind w:left="43"/>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24CEEFF1">
            <w:pPr>
              <w:snapToGrid w:val="0"/>
              <w:spacing w:before="120" w:beforeLines="50" w:line="440" w:lineRule="exact"/>
              <w:ind w:left="43"/>
              <w:rPr>
                <w:rFonts w:ascii="宋体" w:hAnsi="宋体"/>
                <w:color w:val="auto"/>
                <w:sz w:val="24"/>
                <w:szCs w:val="20"/>
                <w:highlight w:val="none"/>
              </w:rPr>
            </w:pPr>
          </w:p>
        </w:tc>
      </w:tr>
      <w:tr w14:paraId="61A7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3DB7B965">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6FA5CEF7">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4E6766B">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2C88F9D4">
            <w:pPr>
              <w:snapToGrid w:val="0"/>
              <w:spacing w:before="120" w:beforeLines="50" w:line="440" w:lineRule="exact"/>
              <w:rPr>
                <w:rFonts w:ascii="宋体" w:hAnsi="宋体"/>
                <w:color w:val="auto"/>
                <w:sz w:val="24"/>
                <w:szCs w:val="20"/>
                <w:highlight w:val="none"/>
              </w:rPr>
            </w:pPr>
          </w:p>
        </w:tc>
      </w:tr>
      <w:tr w14:paraId="7A745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8C85C8A">
            <w:pPr>
              <w:snapToGrid w:val="0"/>
              <w:spacing w:before="120" w:beforeLines="50" w:line="440" w:lineRule="exact"/>
              <w:rPr>
                <w:rFonts w:hint="eastAsia" w:ascii="宋体" w:hAnsi="宋体"/>
                <w:color w:val="auto"/>
                <w:sz w:val="24"/>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top"/>
          </w:tcPr>
          <w:p w14:paraId="24D49D1F">
            <w:pPr>
              <w:snapToGrid w:val="0"/>
              <w:spacing w:before="120" w:beforeLines="50" w:line="440" w:lineRule="exact"/>
              <w:rPr>
                <w:rFonts w:hint="eastAsia"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BBBEE4">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72401226">
            <w:pPr>
              <w:snapToGrid w:val="0"/>
              <w:spacing w:before="120" w:beforeLines="50" w:line="440" w:lineRule="exact"/>
              <w:rPr>
                <w:rFonts w:ascii="宋体" w:hAnsi="宋体"/>
                <w:color w:val="auto"/>
                <w:sz w:val="24"/>
                <w:szCs w:val="20"/>
                <w:highlight w:val="none"/>
              </w:rPr>
            </w:pPr>
          </w:p>
        </w:tc>
      </w:tr>
      <w:tr w14:paraId="73897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CC58EF7">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64476750">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C63188">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74EAA50F">
            <w:pPr>
              <w:snapToGrid w:val="0"/>
              <w:spacing w:before="120" w:beforeLines="50" w:line="440" w:lineRule="exact"/>
              <w:rPr>
                <w:rFonts w:ascii="宋体" w:hAnsi="宋体"/>
                <w:color w:val="auto"/>
                <w:sz w:val="24"/>
                <w:szCs w:val="20"/>
                <w:highlight w:val="none"/>
              </w:rPr>
            </w:pPr>
          </w:p>
        </w:tc>
      </w:tr>
    </w:tbl>
    <w:p w14:paraId="3B66829D">
      <w:pPr>
        <w:pStyle w:val="19"/>
        <w:spacing w:line="440" w:lineRule="exact"/>
        <w:rPr>
          <w:color w:val="auto"/>
          <w:highlight w:val="none"/>
        </w:rPr>
      </w:pPr>
      <w:r>
        <w:rPr>
          <w:color w:val="auto"/>
          <w:highlight w:val="none"/>
        </w:rPr>
        <w:t>注：如不填写，招标人将视为 “无偏离”。</w:t>
      </w:r>
    </w:p>
    <w:p w14:paraId="4238BF76">
      <w:pPr>
        <w:snapToGrid w:val="0"/>
        <w:spacing w:before="50" w:after="50"/>
        <w:rPr>
          <w:rFonts w:ascii="宋体" w:hAnsi="宋体"/>
          <w:color w:val="auto"/>
          <w:spacing w:val="20"/>
          <w:sz w:val="24"/>
          <w:highlight w:val="none"/>
        </w:rPr>
      </w:pPr>
    </w:p>
    <w:p w14:paraId="4DE6B68D">
      <w:pPr>
        <w:snapToGrid w:val="0"/>
        <w:spacing w:line="360" w:lineRule="auto"/>
        <w:rPr>
          <w:rFonts w:hint="eastAsia" w:ascii="宋体" w:hAnsi="宋体" w:cs="宋体"/>
          <w:color w:val="auto"/>
          <w:sz w:val="24"/>
          <w:highlight w:val="none"/>
        </w:rPr>
      </w:pPr>
    </w:p>
    <w:p w14:paraId="71E94F75">
      <w:pPr>
        <w:snapToGrid w:val="0"/>
        <w:spacing w:line="360" w:lineRule="auto"/>
        <w:rPr>
          <w:rFonts w:hint="eastAsia" w:ascii="宋体" w:hAnsi="宋体" w:cs="宋体"/>
          <w:color w:val="auto"/>
          <w:sz w:val="24"/>
          <w:highlight w:val="none"/>
        </w:rPr>
      </w:pPr>
    </w:p>
    <w:p w14:paraId="00B00B09">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D61F5F6">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1F74794">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9B50411">
      <w:pPr>
        <w:snapToGrid w:val="0"/>
        <w:spacing w:line="440" w:lineRule="exact"/>
        <w:jc w:val="left"/>
        <w:rPr>
          <w:rFonts w:ascii="宋体" w:hAnsi="宋体"/>
          <w:color w:val="auto"/>
          <w:sz w:val="24"/>
          <w:highlight w:val="none"/>
        </w:rPr>
      </w:pPr>
    </w:p>
    <w:p w14:paraId="7A7300EE">
      <w:pPr>
        <w:snapToGrid w:val="0"/>
        <w:spacing w:line="440" w:lineRule="exact"/>
        <w:jc w:val="left"/>
        <w:rPr>
          <w:rFonts w:ascii="宋体" w:hAnsi="宋体"/>
          <w:color w:val="auto"/>
          <w:sz w:val="24"/>
          <w:highlight w:val="none"/>
        </w:rPr>
      </w:pPr>
    </w:p>
    <w:p w14:paraId="7E4FD406">
      <w:pPr>
        <w:pStyle w:val="25"/>
        <w:rPr>
          <w:rFonts w:ascii="宋体" w:hAnsi="宋体"/>
          <w:color w:val="auto"/>
          <w:sz w:val="24"/>
          <w:highlight w:val="none"/>
        </w:rPr>
      </w:pPr>
    </w:p>
    <w:p w14:paraId="135F4165">
      <w:pPr>
        <w:pStyle w:val="25"/>
        <w:rPr>
          <w:rFonts w:ascii="宋体" w:hAnsi="宋体"/>
          <w:color w:val="auto"/>
          <w:sz w:val="24"/>
          <w:highlight w:val="none"/>
        </w:rPr>
      </w:pPr>
    </w:p>
    <w:p w14:paraId="6AE14035">
      <w:pPr>
        <w:pStyle w:val="25"/>
        <w:rPr>
          <w:rFonts w:ascii="宋体" w:hAnsi="宋体"/>
          <w:color w:val="auto"/>
          <w:sz w:val="24"/>
          <w:highlight w:val="none"/>
        </w:rPr>
      </w:pPr>
    </w:p>
    <w:p w14:paraId="4A083E2F">
      <w:pPr>
        <w:pStyle w:val="25"/>
        <w:rPr>
          <w:rFonts w:ascii="宋体" w:hAnsi="宋体"/>
          <w:color w:val="auto"/>
          <w:sz w:val="24"/>
          <w:highlight w:val="none"/>
        </w:rPr>
      </w:pPr>
    </w:p>
    <w:p w14:paraId="73881D43">
      <w:pPr>
        <w:pStyle w:val="25"/>
        <w:rPr>
          <w:rFonts w:ascii="宋体" w:hAnsi="宋体"/>
          <w:color w:val="auto"/>
          <w:sz w:val="24"/>
          <w:highlight w:val="none"/>
        </w:rPr>
      </w:pPr>
    </w:p>
    <w:p w14:paraId="2CC10443">
      <w:pPr>
        <w:pStyle w:val="25"/>
        <w:rPr>
          <w:rFonts w:ascii="宋体" w:hAnsi="宋体"/>
          <w:color w:val="auto"/>
          <w:sz w:val="24"/>
          <w:highlight w:val="none"/>
        </w:rPr>
      </w:pPr>
    </w:p>
    <w:p w14:paraId="00BF2AC5">
      <w:pPr>
        <w:pStyle w:val="25"/>
        <w:rPr>
          <w:rFonts w:ascii="宋体" w:hAnsi="宋体"/>
          <w:color w:val="auto"/>
          <w:sz w:val="24"/>
          <w:highlight w:val="none"/>
        </w:rPr>
      </w:pPr>
    </w:p>
    <w:p w14:paraId="638A630C">
      <w:pPr>
        <w:pStyle w:val="25"/>
        <w:rPr>
          <w:rFonts w:ascii="宋体" w:hAnsi="宋体"/>
          <w:color w:val="auto"/>
          <w:sz w:val="24"/>
          <w:highlight w:val="none"/>
        </w:rPr>
      </w:pPr>
    </w:p>
    <w:p w14:paraId="7C68EB27">
      <w:pPr>
        <w:pStyle w:val="25"/>
        <w:rPr>
          <w:rFonts w:ascii="宋体" w:hAnsi="宋体"/>
          <w:color w:val="auto"/>
          <w:sz w:val="24"/>
          <w:highlight w:val="none"/>
        </w:rPr>
      </w:pPr>
    </w:p>
    <w:p w14:paraId="6A6CE425">
      <w:pPr>
        <w:pStyle w:val="25"/>
        <w:rPr>
          <w:rFonts w:ascii="宋体" w:hAnsi="宋体"/>
          <w:color w:val="auto"/>
          <w:sz w:val="24"/>
          <w:highlight w:val="none"/>
        </w:rPr>
      </w:pPr>
    </w:p>
    <w:p w14:paraId="6B324940">
      <w:pPr>
        <w:pStyle w:val="25"/>
        <w:rPr>
          <w:rFonts w:ascii="宋体" w:hAnsi="宋体"/>
          <w:color w:val="auto"/>
          <w:sz w:val="24"/>
          <w:highlight w:val="none"/>
        </w:rPr>
      </w:pPr>
    </w:p>
    <w:p w14:paraId="7FD8B55E">
      <w:pPr>
        <w:pStyle w:val="25"/>
        <w:rPr>
          <w:rFonts w:ascii="宋体" w:hAnsi="宋体"/>
          <w:color w:val="auto"/>
          <w:sz w:val="24"/>
          <w:highlight w:val="none"/>
        </w:rPr>
      </w:pPr>
    </w:p>
    <w:p w14:paraId="6F98C1A7">
      <w:pPr>
        <w:pStyle w:val="25"/>
        <w:rPr>
          <w:rFonts w:ascii="宋体" w:hAnsi="宋体"/>
          <w:color w:val="auto"/>
          <w:sz w:val="24"/>
          <w:highlight w:val="none"/>
        </w:rPr>
      </w:pPr>
    </w:p>
    <w:p w14:paraId="1239B3B2">
      <w:pPr>
        <w:pStyle w:val="25"/>
        <w:rPr>
          <w:rFonts w:ascii="宋体" w:hAnsi="宋体"/>
          <w:color w:val="auto"/>
          <w:sz w:val="24"/>
          <w:highlight w:val="none"/>
        </w:rPr>
      </w:pPr>
    </w:p>
    <w:p w14:paraId="4067BC7F">
      <w:pPr>
        <w:pStyle w:val="25"/>
        <w:rPr>
          <w:rFonts w:ascii="宋体" w:hAnsi="宋体"/>
          <w:color w:val="auto"/>
          <w:sz w:val="24"/>
          <w:highlight w:val="none"/>
        </w:rPr>
      </w:pPr>
    </w:p>
    <w:p w14:paraId="075CEC21">
      <w:pPr>
        <w:pStyle w:val="25"/>
        <w:rPr>
          <w:rFonts w:ascii="宋体" w:hAnsi="宋体"/>
          <w:color w:val="auto"/>
          <w:sz w:val="24"/>
          <w:highlight w:val="none"/>
        </w:rPr>
      </w:pPr>
    </w:p>
    <w:p w14:paraId="2AB47E08">
      <w:pPr>
        <w:pStyle w:val="3"/>
        <w:jc w:val="center"/>
        <w:rPr>
          <w:rFonts w:hint="eastAsia" w:ascii="宋体" w:hAnsi="宋体" w:eastAsia="宋体" w:cs="宋体"/>
          <w:color w:val="auto"/>
          <w:highlight w:val="none"/>
        </w:rPr>
      </w:pPr>
      <w:bookmarkStart w:id="246" w:name="_Toc17550"/>
      <w:bookmarkStart w:id="247" w:name="_Toc14573"/>
      <w:bookmarkStart w:id="248" w:name="_Toc6127"/>
      <w:bookmarkStart w:id="249" w:name="_Toc484"/>
      <w:bookmarkStart w:id="250" w:name="_Toc31104"/>
      <w:bookmarkStart w:id="251" w:name="_Toc15719"/>
      <w:bookmarkStart w:id="252" w:name="_Toc17250"/>
      <w:r>
        <w:rPr>
          <w:rFonts w:hint="eastAsia" w:ascii="宋体" w:hAnsi="宋体" w:eastAsia="宋体" w:cs="宋体"/>
          <w:color w:val="auto"/>
          <w:highlight w:val="none"/>
        </w:rPr>
        <w:t>投标人曾承担过的类似项目业绩一览表</w:t>
      </w:r>
      <w:bookmarkEnd w:id="246"/>
      <w:bookmarkEnd w:id="247"/>
      <w:bookmarkEnd w:id="248"/>
      <w:bookmarkEnd w:id="249"/>
      <w:bookmarkEnd w:id="250"/>
      <w:bookmarkEnd w:id="251"/>
      <w:bookmarkEnd w:id="252"/>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14:paraId="68890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14:paraId="627C99AF">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6DE593B">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4E276A4">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4AB0EC">
            <w:pPr>
              <w:autoSpaceDE w:val="0"/>
              <w:autoSpaceDN w:val="0"/>
              <w:adjustRightInd w:val="0"/>
              <w:snapToGrid w:val="0"/>
              <w:jc w:val="center"/>
              <w:textAlignment w:val="bottom"/>
              <w:rPr>
                <w:rFonts w:hint="eastAsia"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474E21">
            <w:pPr>
              <w:adjustRightInd w:val="0"/>
              <w:snapToGrid w:val="0"/>
              <w:jc w:val="center"/>
              <w:rPr>
                <w:rFonts w:hint="eastAsia" w:ascii="宋体" w:hAnsi="宋体" w:cs="宋体"/>
                <w:bCs/>
                <w:color w:val="auto"/>
                <w:sz w:val="24"/>
                <w:highlight w:val="none"/>
              </w:rPr>
            </w:pPr>
            <w:r>
              <w:rPr>
                <w:rFonts w:hint="eastAsia" w:ascii="宋体" w:hAnsi="宋体" w:cs="宋体"/>
                <w:color w:val="auto"/>
                <w:spacing w:val="30"/>
                <w:sz w:val="24"/>
                <w:highlight w:val="none"/>
              </w:rPr>
              <w:t>备注</w:t>
            </w:r>
          </w:p>
        </w:tc>
      </w:tr>
      <w:tr w14:paraId="632DA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608868C">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18A4DC7C">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2846F5EA">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A2EB3C">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7D993A">
            <w:pPr>
              <w:snapToGrid w:val="0"/>
              <w:spacing w:before="156" w:beforeLines="50" w:after="50" w:line="460" w:lineRule="exact"/>
              <w:rPr>
                <w:rFonts w:hint="eastAsia" w:ascii="宋体" w:hAnsi="宋体" w:cs="宋体"/>
                <w:color w:val="auto"/>
                <w:sz w:val="24"/>
                <w:highlight w:val="none"/>
              </w:rPr>
            </w:pPr>
          </w:p>
        </w:tc>
      </w:tr>
      <w:tr w14:paraId="5E59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3EDD5CD7">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3AEB7C53">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A5A75D0">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91592E">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2FDC93">
            <w:pPr>
              <w:snapToGrid w:val="0"/>
              <w:spacing w:before="156" w:beforeLines="50" w:after="50" w:line="460" w:lineRule="exact"/>
              <w:rPr>
                <w:rFonts w:hint="eastAsia" w:ascii="宋体" w:hAnsi="宋体" w:cs="宋体"/>
                <w:color w:val="auto"/>
                <w:sz w:val="24"/>
                <w:highlight w:val="none"/>
              </w:rPr>
            </w:pPr>
          </w:p>
        </w:tc>
      </w:tr>
      <w:tr w14:paraId="33B7D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766CA6C6">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D8B3397">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A778D92">
            <w:pPr>
              <w:pStyle w:val="27"/>
              <w:snapToGrid w:val="0"/>
              <w:spacing w:before="156" w:beforeLines="50" w:after="50" w:line="460" w:lineRule="exact"/>
              <w:ind w:left="5250"/>
              <w:rPr>
                <w:rFonts w:hint="eastAsia"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EA25D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2164AF">
            <w:pPr>
              <w:snapToGrid w:val="0"/>
              <w:spacing w:before="156" w:beforeLines="50" w:after="50" w:line="460" w:lineRule="exact"/>
              <w:rPr>
                <w:rFonts w:hint="eastAsia" w:ascii="宋体" w:hAnsi="宋体" w:cs="宋体"/>
                <w:color w:val="auto"/>
                <w:sz w:val="24"/>
                <w:highlight w:val="none"/>
              </w:rPr>
            </w:pPr>
          </w:p>
        </w:tc>
      </w:tr>
      <w:tr w14:paraId="3F28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4894CAFA">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654EFB9">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95F3A7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9E8B1DC">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3CB7B8">
            <w:pPr>
              <w:snapToGrid w:val="0"/>
              <w:spacing w:before="156" w:beforeLines="50" w:after="50" w:line="460" w:lineRule="exact"/>
              <w:rPr>
                <w:rFonts w:hint="eastAsia" w:ascii="宋体" w:hAnsi="宋体" w:cs="宋体"/>
                <w:color w:val="auto"/>
                <w:sz w:val="24"/>
                <w:highlight w:val="none"/>
              </w:rPr>
            </w:pPr>
          </w:p>
        </w:tc>
      </w:tr>
      <w:tr w14:paraId="74400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68E5A812">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FAF60C1">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075609E">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D8AA452">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DAEE0BD">
            <w:pPr>
              <w:snapToGrid w:val="0"/>
              <w:spacing w:before="156" w:beforeLines="50" w:after="50" w:line="460" w:lineRule="exact"/>
              <w:rPr>
                <w:rFonts w:hint="eastAsia" w:ascii="宋体" w:hAnsi="宋体" w:cs="宋体"/>
                <w:color w:val="auto"/>
                <w:sz w:val="24"/>
                <w:highlight w:val="none"/>
              </w:rPr>
            </w:pPr>
          </w:p>
        </w:tc>
      </w:tr>
      <w:tr w14:paraId="2211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32627BE">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161486B">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426EDC6">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5160A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4381BB">
            <w:pPr>
              <w:snapToGrid w:val="0"/>
              <w:spacing w:before="156" w:beforeLines="50" w:after="50" w:line="460" w:lineRule="exact"/>
              <w:rPr>
                <w:rFonts w:hint="eastAsia" w:ascii="宋体" w:hAnsi="宋体" w:cs="宋体"/>
                <w:color w:val="auto"/>
                <w:sz w:val="24"/>
                <w:highlight w:val="none"/>
              </w:rPr>
            </w:pPr>
          </w:p>
        </w:tc>
      </w:tr>
      <w:tr w14:paraId="6E06A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72F4AB26">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14BD7364">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4E9050B0">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22F138">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58A1EE">
            <w:pPr>
              <w:snapToGrid w:val="0"/>
              <w:spacing w:before="156" w:beforeLines="50" w:after="50" w:line="460" w:lineRule="exact"/>
              <w:rPr>
                <w:rFonts w:hint="eastAsia" w:ascii="宋体" w:hAnsi="宋体" w:cs="宋体"/>
                <w:color w:val="auto"/>
                <w:sz w:val="24"/>
                <w:highlight w:val="none"/>
              </w:rPr>
            </w:pPr>
          </w:p>
        </w:tc>
      </w:tr>
      <w:tr w14:paraId="72FA7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EFEB368">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2B77D4A0">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7105C6A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82FF1B">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3B67AE8">
            <w:pPr>
              <w:snapToGrid w:val="0"/>
              <w:spacing w:before="156" w:beforeLines="50" w:after="50" w:line="460" w:lineRule="exact"/>
              <w:rPr>
                <w:rFonts w:hint="eastAsia" w:ascii="宋体" w:hAnsi="宋体" w:cs="宋体"/>
                <w:color w:val="auto"/>
                <w:sz w:val="24"/>
                <w:highlight w:val="none"/>
              </w:rPr>
            </w:pPr>
          </w:p>
        </w:tc>
      </w:tr>
      <w:tr w14:paraId="3482B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5FF17ECA">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0EAFCF8B">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6FF891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8434A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52B0FD">
            <w:pPr>
              <w:snapToGrid w:val="0"/>
              <w:spacing w:before="156" w:beforeLines="50" w:after="50" w:line="460" w:lineRule="exact"/>
              <w:rPr>
                <w:rFonts w:hint="eastAsia" w:ascii="宋体" w:hAnsi="宋体" w:cs="宋体"/>
                <w:color w:val="auto"/>
                <w:sz w:val="24"/>
                <w:highlight w:val="none"/>
              </w:rPr>
            </w:pPr>
          </w:p>
        </w:tc>
      </w:tr>
      <w:tr w14:paraId="69698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3DF0F678">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7082509A">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126FD78">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EBA3D82">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D8D">
            <w:pPr>
              <w:snapToGrid w:val="0"/>
              <w:spacing w:before="156" w:beforeLines="50" w:after="50" w:line="460" w:lineRule="exact"/>
              <w:rPr>
                <w:rFonts w:hint="eastAsia" w:ascii="宋体" w:hAnsi="宋体" w:cs="宋体"/>
                <w:color w:val="auto"/>
                <w:sz w:val="24"/>
                <w:highlight w:val="none"/>
              </w:rPr>
            </w:pPr>
          </w:p>
        </w:tc>
      </w:tr>
    </w:tbl>
    <w:p w14:paraId="5F3689FF">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注：表后附清晰可辨的合同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p w14:paraId="5628F84E">
      <w:pPr>
        <w:pStyle w:val="25"/>
        <w:tabs>
          <w:tab w:val="left" w:pos="900"/>
        </w:tabs>
        <w:snapToGrid w:val="0"/>
        <w:spacing w:before="120" w:after="120"/>
        <w:jc w:val="center"/>
        <w:rPr>
          <w:rFonts w:hint="eastAsia" w:ascii="宋体" w:hAnsi="宋体" w:eastAsia="宋体" w:cs="宋体"/>
          <w:b/>
          <w:color w:val="auto"/>
          <w:sz w:val="32"/>
          <w:szCs w:val="32"/>
          <w:highlight w:val="none"/>
        </w:rPr>
      </w:pPr>
    </w:p>
    <w:p w14:paraId="3A56806E">
      <w:pPr>
        <w:snapToGrid w:val="0"/>
        <w:spacing w:before="120" w:after="120"/>
        <w:jc w:val="center"/>
        <w:rPr>
          <w:rFonts w:hint="eastAsia" w:ascii="宋体" w:eastAsia="宋体" w:cs="宋体"/>
          <w:b/>
          <w:color w:val="auto"/>
          <w:sz w:val="32"/>
          <w:szCs w:val="32"/>
          <w:highlight w:val="none"/>
        </w:rPr>
      </w:pPr>
    </w:p>
    <w:p w14:paraId="58A348DD">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DFCEEA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1ED570E2">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471DEB7">
      <w:pPr>
        <w:rPr>
          <w:rFonts w:hint="eastAsia" w:ascii="宋体" w:hAnsi="宋体" w:cs="宋体"/>
          <w:color w:val="auto"/>
          <w:sz w:val="24"/>
          <w:highlight w:val="none"/>
        </w:rPr>
      </w:pPr>
      <w:r>
        <w:rPr>
          <w:rFonts w:hint="eastAsia" w:ascii="宋体" w:hAnsi="宋体" w:cs="宋体"/>
          <w:color w:val="auto"/>
          <w:sz w:val="24"/>
          <w:highlight w:val="none"/>
        </w:rPr>
        <w:br w:type="page"/>
      </w:r>
    </w:p>
    <w:p w14:paraId="022BE3B7">
      <w:pPr>
        <w:snapToGrid w:val="0"/>
        <w:spacing w:before="120" w:beforeLines="50" w:after="50" w:line="44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货物配置清单（均不含报价）</w:t>
      </w:r>
    </w:p>
    <w:p w14:paraId="32D78B57">
      <w:pPr>
        <w:pStyle w:val="44"/>
        <w:rPr>
          <w:rFonts w:hint="eastAsia"/>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DA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202CD29">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4431BC2">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DBB207E">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12DB25A">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51400F3">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051B199">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E5BA64">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产地</w:t>
            </w:r>
          </w:p>
        </w:tc>
      </w:tr>
      <w:tr w14:paraId="7E062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D6BF58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E2A942D">
            <w:pPr>
              <w:snapToGrid w:val="0"/>
              <w:spacing w:before="50" w:after="50"/>
              <w:jc w:val="center"/>
              <w:rPr>
                <w:rFonts w:ascii="宋体" w:hAnsi="宋体"/>
                <w:color w:val="auto"/>
                <w:sz w:val="24"/>
                <w:szCs w:val="20"/>
                <w:highlight w:val="none"/>
              </w:rPr>
            </w:pPr>
          </w:p>
          <w:p w14:paraId="7C165A56">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A690FC3">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5B856A9">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1C9894">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26E5719">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F79C5D">
            <w:pPr>
              <w:snapToGrid w:val="0"/>
              <w:spacing w:before="50" w:after="50"/>
              <w:jc w:val="center"/>
              <w:rPr>
                <w:rFonts w:ascii="宋体" w:hAnsi="宋体"/>
                <w:color w:val="auto"/>
                <w:sz w:val="24"/>
                <w:szCs w:val="20"/>
                <w:highlight w:val="none"/>
              </w:rPr>
            </w:pPr>
          </w:p>
        </w:tc>
      </w:tr>
      <w:tr w14:paraId="730C7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796EFD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AAB0D94">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9CC652F">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CAC9BC1">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4BB2A5B">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6EEDA53">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67AA9C">
            <w:pPr>
              <w:snapToGrid w:val="0"/>
              <w:spacing w:before="50" w:after="50"/>
              <w:jc w:val="center"/>
              <w:rPr>
                <w:rFonts w:ascii="宋体" w:hAnsi="宋体"/>
                <w:color w:val="auto"/>
                <w:sz w:val="24"/>
                <w:szCs w:val="20"/>
                <w:highlight w:val="none"/>
              </w:rPr>
            </w:pPr>
          </w:p>
        </w:tc>
      </w:tr>
      <w:tr w14:paraId="6C04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4F4557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C079A24">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7FCD56A">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BFF7DE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84659D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79F32C4">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7D420">
            <w:pPr>
              <w:snapToGrid w:val="0"/>
              <w:spacing w:before="50" w:after="50"/>
              <w:jc w:val="center"/>
              <w:rPr>
                <w:rFonts w:ascii="宋体" w:hAnsi="宋体"/>
                <w:color w:val="auto"/>
                <w:sz w:val="24"/>
                <w:szCs w:val="20"/>
                <w:highlight w:val="none"/>
              </w:rPr>
            </w:pPr>
          </w:p>
        </w:tc>
      </w:tr>
      <w:tr w14:paraId="1AA0F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94423A2">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2D55DA">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5D7DDC">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C3A7695">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54CEE1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C32D637">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163CAD8E">
            <w:pPr>
              <w:snapToGrid w:val="0"/>
              <w:spacing w:before="50" w:after="50"/>
              <w:jc w:val="center"/>
              <w:rPr>
                <w:rFonts w:ascii="宋体" w:hAnsi="宋体"/>
                <w:color w:val="auto"/>
                <w:sz w:val="24"/>
                <w:szCs w:val="20"/>
                <w:highlight w:val="none"/>
              </w:rPr>
            </w:pPr>
          </w:p>
        </w:tc>
      </w:tr>
      <w:tr w14:paraId="3AB20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C5CBA95">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6C9AA61">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0EEA9F9">
            <w:pPr>
              <w:snapToGrid w:val="0"/>
              <w:spacing w:before="50" w:after="50"/>
              <w:ind w:left="480" w:hanging="48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82CDF73">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AA789C1">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A52695C">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F62FC5">
            <w:pPr>
              <w:snapToGrid w:val="0"/>
              <w:spacing w:before="50" w:after="50"/>
              <w:jc w:val="center"/>
              <w:rPr>
                <w:rFonts w:ascii="宋体" w:hAnsi="宋体"/>
                <w:color w:val="auto"/>
                <w:sz w:val="24"/>
                <w:szCs w:val="20"/>
                <w:highlight w:val="none"/>
              </w:rPr>
            </w:pPr>
          </w:p>
        </w:tc>
      </w:tr>
    </w:tbl>
    <w:p w14:paraId="6F6E0921">
      <w:pPr>
        <w:snapToGrid w:val="0"/>
        <w:spacing w:before="50" w:after="50"/>
        <w:rPr>
          <w:rFonts w:hint="eastAsia" w:ascii="宋体" w:hAnsi="宋体"/>
          <w:color w:val="auto"/>
          <w:spacing w:val="20"/>
          <w:sz w:val="24"/>
          <w:highlight w:val="none"/>
        </w:rPr>
      </w:pPr>
    </w:p>
    <w:p w14:paraId="11F51372">
      <w:pPr>
        <w:snapToGrid w:val="0"/>
        <w:spacing w:before="50" w:after="50"/>
        <w:rPr>
          <w:rFonts w:hint="eastAsia" w:ascii="宋体" w:hAnsi="宋体"/>
          <w:color w:val="auto"/>
          <w:spacing w:val="20"/>
          <w:sz w:val="24"/>
          <w:highlight w:val="none"/>
        </w:rPr>
      </w:pPr>
    </w:p>
    <w:p w14:paraId="5FF40D32">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22F66AC3">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59E1826B">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0B2A955">
      <w:pPr>
        <w:snapToGrid w:val="0"/>
        <w:spacing w:before="50" w:after="120" w:afterLines="50"/>
        <w:jc w:val="left"/>
        <w:rPr>
          <w:rFonts w:ascii="宋体" w:hAnsi="宋体"/>
          <w:color w:val="auto"/>
          <w:sz w:val="24"/>
          <w:szCs w:val="20"/>
          <w:highlight w:val="none"/>
        </w:rPr>
      </w:pPr>
    </w:p>
    <w:p w14:paraId="15180619">
      <w:pPr>
        <w:snapToGrid w:val="0"/>
        <w:spacing w:before="50" w:after="120" w:afterLines="50" w:line="440" w:lineRule="exact"/>
        <w:jc w:val="left"/>
        <w:rPr>
          <w:rFonts w:hint="eastAsia" w:ascii="宋体" w:hAnsi="宋体"/>
          <w:color w:val="auto"/>
          <w:sz w:val="24"/>
          <w:highlight w:val="none"/>
        </w:rPr>
      </w:pPr>
    </w:p>
    <w:p w14:paraId="2997C1E4">
      <w:pPr>
        <w:snapToGrid w:val="0"/>
        <w:spacing w:before="50" w:after="120" w:afterLines="50" w:line="440" w:lineRule="exact"/>
        <w:jc w:val="left"/>
        <w:rPr>
          <w:rFonts w:hint="eastAsia" w:ascii="宋体" w:hAnsi="宋体"/>
          <w:color w:val="auto"/>
          <w:sz w:val="24"/>
          <w:highlight w:val="none"/>
        </w:rPr>
      </w:pPr>
    </w:p>
    <w:p w14:paraId="5FB75793">
      <w:pPr>
        <w:snapToGrid w:val="0"/>
        <w:spacing w:before="50" w:after="120" w:afterLines="50" w:line="440" w:lineRule="exact"/>
        <w:jc w:val="left"/>
        <w:rPr>
          <w:rFonts w:hint="eastAsia" w:ascii="宋体" w:hAnsi="宋体"/>
          <w:color w:val="auto"/>
          <w:sz w:val="24"/>
          <w:highlight w:val="none"/>
        </w:rPr>
      </w:pPr>
    </w:p>
    <w:p w14:paraId="6E56C752">
      <w:pPr>
        <w:pStyle w:val="44"/>
        <w:rPr>
          <w:rFonts w:hint="eastAsia" w:ascii="宋体" w:hAnsi="宋体"/>
          <w:color w:val="auto"/>
          <w:sz w:val="24"/>
          <w:highlight w:val="none"/>
        </w:rPr>
      </w:pPr>
    </w:p>
    <w:p w14:paraId="5D980CB3">
      <w:pPr>
        <w:pStyle w:val="25"/>
        <w:rPr>
          <w:rFonts w:hint="eastAsia"/>
          <w:color w:val="auto"/>
        </w:rPr>
      </w:pPr>
    </w:p>
    <w:p w14:paraId="031640CC">
      <w:pPr>
        <w:pStyle w:val="25"/>
        <w:rPr>
          <w:rFonts w:hint="eastAsia"/>
          <w:color w:val="auto"/>
        </w:rPr>
      </w:pPr>
    </w:p>
    <w:p w14:paraId="6235A44D">
      <w:pPr>
        <w:pStyle w:val="25"/>
        <w:rPr>
          <w:rFonts w:hint="eastAsia"/>
          <w:color w:val="auto"/>
        </w:rPr>
      </w:pPr>
    </w:p>
    <w:p w14:paraId="2D2DAEA0">
      <w:pPr>
        <w:pStyle w:val="25"/>
        <w:rPr>
          <w:rFonts w:hint="eastAsia"/>
          <w:color w:val="auto"/>
        </w:rPr>
      </w:pPr>
    </w:p>
    <w:p w14:paraId="0A077606">
      <w:pPr>
        <w:pStyle w:val="25"/>
        <w:rPr>
          <w:rFonts w:hint="eastAsia"/>
          <w:color w:val="auto"/>
        </w:rPr>
      </w:pPr>
    </w:p>
    <w:p w14:paraId="7F32F2AF">
      <w:pPr>
        <w:pStyle w:val="25"/>
        <w:rPr>
          <w:rFonts w:hint="eastAsia"/>
          <w:color w:val="auto"/>
        </w:rPr>
      </w:pPr>
    </w:p>
    <w:p w14:paraId="2A6F1BEB">
      <w:pPr>
        <w:pStyle w:val="25"/>
        <w:rPr>
          <w:rFonts w:hint="eastAsia"/>
          <w:color w:val="auto"/>
        </w:rPr>
      </w:pPr>
    </w:p>
    <w:p w14:paraId="09CA9088">
      <w:pPr>
        <w:pStyle w:val="25"/>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技术响应表</w:t>
      </w:r>
    </w:p>
    <w:tbl>
      <w:tblPr>
        <w:tblStyle w:val="4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518"/>
        <w:gridCol w:w="1749"/>
      </w:tblGrid>
      <w:tr w14:paraId="6B0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065CCB99">
            <w:pPr>
              <w:spacing w:line="400" w:lineRule="exact"/>
              <w:jc w:val="center"/>
              <w:rPr>
                <w:rFonts w:ascii="宋体" w:hAnsi="宋体" w:cs="宋体"/>
                <w:color w:val="auto"/>
                <w:sz w:val="24"/>
                <w:highlight w:val="none"/>
              </w:rPr>
            </w:pPr>
            <w:bookmarkStart w:id="253" w:name="_Toc19601"/>
            <w:bookmarkStart w:id="254" w:name="_Toc28558"/>
            <w:bookmarkStart w:id="255" w:name="_Toc19453"/>
            <w:bookmarkStart w:id="256" w:name="_Toc2740"/>
            <w:r>
              <w:rPr>
                <w:rFonts w:hint="eastAsia" w:ascii="宋体" w:hAnsi="宋体" w:cs="宋体"/>
                <w:color w:val="auto"/>
                <w:sz w:val="24"/>
                <w:highlight w:val="none"/>
              </w:rPr>
              <w:t>序号</w:t>
            </w:r>
          </w:p>
        </w:tc>
        <w:tc>
          <w:tcPr>
            <w:tcW w:w="6518" w:type="dxa"/>
            <w:noWrap w:val="0"/>
            <w:vAlign w:val="top"/>
          </w:tcPr>
          <w:p w14:paraId="0FB7842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c>
          <w:tcPr>
            <w:tcW w:w="1749" w:type="dxa"/>
            <w:noWrap w:val="0"/>
            <w:vAlign w:val="top"/>
          </w:tcPr>
          <w:p w14:paraId="0F6D0D2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投标人响应</w:t>
            </w:r>
          </w:p>
        </w:tc>
      </w:tr>
      <w:tr w14:paraId="05D4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338BDD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6518" w:type="dxa"/>
            <w:noWrap w:val="0"/>
            <w:vAlign w:val="top"/>
          </w:tcPr>
          <w:p w14:paraId="62114B5C">
            <w:pPr>
              <w:spacing w:line="400" w:lineRule="exact"/>
              <w:rPr>
                <w:rFonts w:ascii="宋体" w:hAnsi="宋体" w:cs="宋体"/>
                <w:color w:val="auto"/>
                <w:sz w:val="24"/>
                <w:highlight w:val="none"/>
              </w:rPr>
            </w:pPr>
            <w:r>
              <w:rPr>
                <w:rFonts w:hint="eastAsia" w:ascii="宋体" w:hAnsi="宋体" w:cs="宋体"/>
                <w:color w:val="auto"/>
                <w:sz w:val="24"/>
                <w:highlight w:val="none"/>
              </w:rPr>
              <w:t>石灰岩压碎值                     不大于（%）</w:t>
            </w:r>
          </w:p>
        </w:tc>
        <w:tc>
          <w:tcPr>
            <w:tcW w:w="1749" w:type="dxa"/>
            <w:noWrap w:val="0"/>
            <w:vAlign w:val="top"/>
          </w:tcPr>
          <w:p w14:paraId="5D29E90D">
            <w:pPr>
              <w:spacing w:line="400" w:lineRule="exact"/>
              <w:jc w:val="center"/>
              <w:rPr>
                <w:rFonts w:ascii="宋体" w:hAnsi="宋体" w:cs="宋体"/>
                <w:color w:val="auto"/>
                <w:sz w:val="24"/>
                <w:highlight w:val="none"/>
              </w:rPr>
            </w:pPr>
          </w:p>
        </w:tc>
      </w:tr>
      <w:tr w14:paraId="286C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F4E0B9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6518" w:type="dxa"/>
            <w:noWrap w:val="0"/>
            <w:vAlign w:val="top"/>
          </w:tcPr>
          <w:p w14:paraId="451DFA65">
            <w:pPr>
              <w:spacing w:line="400" w:lineRule="exact"/>
              <w:rPr>
                <w:rFonts w:ascii="宋体" w:hAnsi="宋体" w:cs="宋体"/>
                <w:color w:val="auto"/>
                <w:sz w:val="24"/>
                <w:highlight w:val="none"/>
              </w:rPr>
            </w:pPr>
            <w:r>
              <w:rPr>
                <w:rFonts w:hint="eastAsia" w:ascii="宋体" w:hAnsi="宋体" w:cs="宋体"/>
                <w:color w:val="auto"/>
                <w:sz w:val="24"/>
                <w:highlight w:val="none"/>
              </w:rPr>
              <w:t>洛杉矶磨耗损失                   不大于（%）</w:t>
            </w:r>
          </w:p>
        </w:tc>
        <w:tc>
          <w:tcPr>
            <w:tcW w:w="1749" w:type="dxa"/>
            <w:noWrap w:val="0"/>
            <w:vAlign w:val="top"/>
          </w:tcPr>
          <w:p w14:paraId="24572EA1">
            <w:pPr>
              <w:spacing w:line="400" w:lineRule="exact"/>
              <w:jc w:val="center"/>
              <w:rPr>
                <w:rFonts w:ascii="宋体" w:hAnsi="宋体" w:cs="宋体"/>
                <w:color w:val="auto"/>
                <w:sz w:val="24"/>
                <w:highlight w:val="none"/>
              </w:rPr>
            </w:pPr>
          </w:p>
        </w:tc>
      </w:tr>
      <w:tr w14:paraId="7C6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B4D803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6518" w:type="dxa"/>
            <w:noWrap w:val="0"/>
            <w:vAlign w:val="top"/>
          </w:tcPr>
          <w:p w14:paraId="181433BF">
            <w:pPr>
              <w:spacing w:line="400" w:lineRule="exact"/>
              <w:rPr>
                <w:rFonts w:ascii="宋体" w:hAnsi="宋体" w:cs="宋体"/>
                <w:color w:val="auto"/>
                <w:sz w:val="24"/>
                <w:highlight w:val="none"/>
              </w:rPr>
            </w:pPr>
            <w:r>
              <w:rPr>
                <w:rFonts w:hint="eastAsia" w:ascii="宋体" w:hAnsi="宋体" w:cs="宋体"/>
                <w:color w:val="auto"/>
                <w:sz w:val="24"/>
                <w:highlight w:val="none"/>
              </w:rPr>
              <w:t>视密度                           不大于（t/m3）</w:t>
            </w:r>
          </w:p>
        </w:tc>
        <w:tc>
          <w:tcPr>
            <w:tcW w:w="1749" w:type="dxa"/>
            <w:noWrap w:val="0"/>
            <w:vAlign w:val="top"/>
          </w:tcPr>
          <w:p w14:paraId="4FADC491">
            <w:pPr>
              <w:spacing w:line="400" w:lineRule="exact"/>
              <w:jc w:val="center"/>
              <w:rPr>
                <w:rFonts w:ascii="宋体" w:hAnsi="宋体" w:cs="宋体"/>
                <w:color w:val="auto"/>
                <w:sz w:val="24"/>
                <w:highlight w:val="none"/>
              </w:rPr>
            </w:pPr>
          </w:p>
        </w:tc>
      </w:tr>
      <w:tr w14:paraId="4468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261BC2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6518" w:type="dxa"/>
            <w:noWrap w:val="0"/>
            <w:vAlign w:val="top"/>
          </w:tcPr>
          <w:p w14:paraId="6C14C7BD">
            <w:pPr>
              <w:spacing w:line="400" w:lineRule="exact"/>
              <w:rPr>
                <w:rFonts w:ascii="宋体" w:hAnsi="宋体" w:cs="宋体"/>
                <w:color w:val="auto"/>
                <w:sz w:val="24"/>
                <w:highlight w:val="none"/>
              </w:rPr>
            </w:pPr>
            <w:r>
              <w:rPr>
                <w:rFonts w:hint="eastAsia" w:ascii="宋体" w:hAnsi="宋体" w:cs="宋体"/>
                <w:color w:val="auto"/>
                <w:sz w:val="24"/>
                <w:highlight w:val="none"/>
              </w:rPr>
              <w:t>吸水率                           不大于（%）</w:t>
            </w:r>
          </w:p>
        </w:tc>
        <w:tc>
          <w:tcPr>
            <w:tcW w:w="1749" w:type="dxa"/>
            <w:noWrap w:val="0"/>
            <w:vAlign w:val="top"/>
          </w:tcPr>
          <w:p w14:paraId="46E72A82">
            <w:pPr>
              <w:spacing w:line="400" w:lineRule="exact"/>
              <w:jc w:val="center"/>
              <w:rPr>
                <w:rFonts w:ascii="宋体" w:hAnsi="宋体" w:cs="宋体"/>
                <w:color w:val="auto"/>
                <w:sz w:val="24"/>
                <w:highlight w:val="none"/>
              </w:rPr>
            </w:pPr>
          </w:p>
        </w:tc>
      </w:tr>
      <w:tr w14:paraId="4FD4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7EE28B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6518" w:type="dxa"/>
            <w:noWrap w:val="0"/>
            <w:vAlign w:val="top"/>
          </w:tcPr>
          <w:p w14:paraId="0E6AC73D">
            <w:pPr>
              <w:spacing w:line="400" w:lineRule="exact"/>
              <w:rPr>
                <w:rFonts w:ascii="宋体" w:hAnsi="宋体" w:cs="宋体"/>
                <w:color w:val="auto"/>
                <w:sz w:val="24"/>
                <w:highlight w:val="none"/>
              </w:rPr>
            </w:pPr>
            <w:r>
              <w:rPr>
                <w:rFonts w:hint="eastAsia" w:ascii="宋体" w:hAnsi="宋体" w:cs="宋体"/>
                <w:color w:val="auto"/>
                <w:sz w:val="24"/>
                <w:highlight w:val="none"/>
              </w:rPr>
              <w:t>对沥青的粘附性                   不小于</w:t>
            </w:r>
          </w:p>
        </w:tc>
        <w:tc>
          <w:tcPr>
            <w:tcW w:w="1749" w:type="dxa"/>
            <w:noWrap w:val="0"/>
            <w:vAlign w:val="top"/>
          </w:tcPr>
          <w:p w14:paraId="4CEF1697">
            <w:pPr>
              <w:spacing w:line="400" w:lineRule="exact"/>
              <w:jc w:val="center"/>
              <w:rPr>
                <w:rFonts w:ascii="宋体" w:hAnsi="宋体" w:cs="宋体"/>
                <w:color w:val="auto"/>
                <w:sz w:val="24"/>
                <w:highlight w:val="none"/>
              </w:rPr>
            </w:pPr>
          </w:p>
        </w:tc>
      </w:tr>
      <w:tr w14:paraId="7137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E389D2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6518" w:type="dxa"/>
            <w:noWrap w:val="0"/>
            <w:vAlign w:val="top"/>
          </w:tcPr>
          <w:p w14:paraId="314B47A6">
            <w:pPr>
              <w:spacing w:line="400" w:lineRule="exact"/>
              <w:rPr>
                <w:rFonts w:ascii="宋体" w:hAnsi="宋体" w:cs="宋体"/>
                <w:color w:val="auto"/>
                <w:sz w:val="24"/>
                <w:highlight w:val="none"/>
              </w:rPr>
            </w:pPr>
            <w:r>
              <w:rPr>
                <w:rFonts w:hint="eastAsia" w:ascii="宋体" w:hAnsi="宋体" w:cs="宋体"/>
                <w:color w:val="auto"/>
                <w:sz w:val="24"/>
                <w:highlight w:val="none"/>
              </w:rPr>
              <w:t>坚固性                           不大于（%）</w:t>
            </w:r>
          </w:p>
        </w:tc>
        <w:tc>
          <w:tcPr>
            <w:tcW w:w="1749" w:type="dxa"/>
            <w:noWrap w:val="0"/>
            <w:vAlign w:val="top"/>
          </w:tcPr>
          <w:p w14:paraId="726FEF2E">
            <w:pPr>
              <w:spacing w:line="400" w:lineRule="exact"/>
              <w:jc w:val="center"/>
              <w:rPr>
                <w:rFonts w:ascii="宋体" w:hAnsi="宋体" w:cs="宋体"/>
                <w:color w:val="auto"/>
                <w:sz w:val="24"/>
                <w:highlight w:val="none"/>
              </w:rPr>
            </w:pPr>
          </w:p>
        </w:tc>
      </w:tr>
      <w:tr w14:paraId="43F1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B99247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6518" w:type="dxa"/>
            <w:noWrap w:val="0"/>
            <w:vAlign w:val="top"/>
          </w:tcPr>
          <w:p w14:paraId="58580A58">
            <w:pPr>
              <w:spacing w:line="400" w:lineRule="exact"/>
              <w:rPr>
                <w:rFonts w:ascii="宋体" w:hAnsi="宋体" w:cs="宋体"/>
                <w:color w:val="auto"/>
                <w:sz w:val="24"/>
                <w:highlight w:val="none"/>
              </w:rPr>
            </w:pPr>
            <w:r>
              <w:rPr>
                <w:rFonts w:hint="eastAsia" w:ascii="宋体" w:hAnsi="宋体" w:cs="宋体"/>
                <w:color w:val="auto"/>
                <w:sz w:val="24"/>
                <w:highlight w:val="none"/>
              </w:rPr>
              <w:t>细长扁平颗粒含量                 不大于（%）</w:t>
            </w:r>
          </w:p>
        </w:tc>
        <w:tc>
          <w:tcPr>
            <w:tcW w:w="1749" w:type="dxa"/>
            <w:noWrap w:val="0"/>
            <w:vAlign w:val="top"/>
          </w:tcPr>
          <w:p w14:paraId="5BEFB501">
            <w:pPr>
              <w:spacing w:line="400" w:lineRule="exact"/>
              <w:jc w:val="center"/>
              <w:rPr>
                <w:rFonts w:ascii="宋体" w:hAnsi="宋体" w:cs="宋体"/>
                <w:color w:val="auto"/>
                <w:sz w:val="24"/>
                <w:highlight w:val="none"/>
              </w:rPr>
            </w:pPr>
          </w:p>
        </w:tc>
      </w:tr>
      <w:tr w14:paraId="4952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1C68575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6518" w:type="dxa"/>
            <w:noWrap w:val="0"/>
            <w:vAlign w:val="top"/>
          </w:tcPr>
          <w:p w14:paraId="3AB80792">
            <w:pPr>
              <w:spacing w:line="400" w:lineRule="exact"/>
              <w:rPr>
                <w:rFonts w:ascii="宋体" w:hAnsi="宋体" w:cs="宋体"/>
                <w:color w:val="auto"/>
                <w:sz w:val="24"/>
                <w:highlight w:val="none"/>
              </w:rPr>
            </w:pPr>
            <w:r>
              <w:rPr>
                <w:rFonts w:hint="eastAsia" w:ascii="宋体" w:hAnsi="宋体" w:cs="宋体"/>
                <w:color w:val="auto"/>
                <w:sz w:val="24"/>
                <w:highlight w:val="none"/>
              </w:rPr>
              <w:t>水洗法＜0.075mm颗粒含量         不大于（%）</w:t>
            </w:r>
          </w:p>
        </w:tc>
        <w:tc>
          <w:tcPr>
            <w:tcW w:w="1749" w:type="dxa"/>
            <w:noWrap w:val="0"/>
            <w:vAlign w:val="top"/>
          </w:tcPr>
          <w:p w14:paraId="197F870F">
            <w:pPr>
              <w:spacing w:line="400" w:lineRule="exact"/>
              <w:jc w:val="center"/>
              <w:rPr>
                <w:rFonts w:ascii="宋体" w:hAnsi="宋体" w:cs="宋体"/>
                <w:color w:val="auto"/>
                <w:sz w:val="24"/>
                <w:highlight w:val="none"/>
              </w:rPr>
            </w:pPr>
          </w:p>
        </w:tc>
      </w:tr>
      <w:tr w14:paraId="5BCC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6C59C40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6518" w:type="dxa"/>
            <w:noWrap w:val="0"/>
            <w:vAlign w:val="top"/>
          </w:tcPr>
          <w:p w14:paraId="506535B4">
            <w:pPr>
              <w:spacing w:line="400" w:lineRule="exact"/>
              <w:rPr>
                <w:rFonts w:ascii="宋体" w:hAnsi="宋体" w:cs="宋体"/>
                <w:color w:val="auto"/>
                <w:sz w:val="24"/>
                <w:highlight w:val="none"/>
              </w:rPr>
            </w:pPr>
            <w:r>
              <w:rPr>
                <w:rFonts w:hint="eastAsia" w:ascii="宋体" w:hAnsi="宋体" w:cs="宋体"/>
                <w:color w:val="auto"/>
                <w:sz w:val="24"/>
                <w:highlight w:val="none"/>
              </w:rPr>
              <w:t>软石含量                         不大于（%）</w:t>
            </w:r>
          </w:p>
        </w:tc>
        <w:tc>
          <w:tcPr>
            <w:tcW w:w="1749" w:type="dxa"/>
            <w:noWrap w:val="0"/>
            <w:vAlign w:val="top"/>
          </w:tcPr>
          <w:p w14:paraId="6ACB5804">
            <w:pPr>
              <w:spacing w:line="400" w:lineRule="exact"/>
              <w:jc w:val="center"/>
              <w:rPr>
                <w:rFonts w:ascii="宋体" w:hAnsi="宋体" w:cs="宋体"/>
                <w:color w:val="auto"/>
                <w:sz w:val="24"/>
                <w:highlight w:val="none"/>
              </w:rPr>
            </w:pPr>
          </w:p>
        </w:tc>
      </w:tr>
      <w:tr w14:paraId="7164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590630A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6518" w:type="dxa"/>
            <w:noWrap w:val="0"/>
            <w:vAlign w:val="top"/>
          </w:tcPr>
          <w:p w14:paraId="11179455">
            <w:pPr>
              <w:spacing w:line="400" w:lineRule="exact"/>
              <w:rPr>
                <w:rFonts w:ascii="宋体" w:hAnsi="宋体" w:cs="宋体"/>
                <w:color w:val="auto"/>
                <w:sz w:val="24"/>
                <w:highlight w:val="none"/>
              </w:rPr>
            </w:pPr>
            <w:r>
              <w:rPr>
                <w:rFonts w:hint="eastAsia" w:ascii="宋体" w:hAnsi="宋体" w:cs="宋体"/>
                <w:color w:val="auto"/>
                <w:sz w:val="24"/>
                <w:highlight w:val="none"/>
              </w:rPr>
              <w:t>石灰岩磨光值                     不小于（BPN）</w:t>
            </w:r>
          </w:p>
        </w:tc>
        <w:tc>
          <w:tcPr>
            <w:tcW w:w="1749" w:type="dxa"/>
            <w:noWrap w:val="0"/>
            <w:vAlign w:val="top"/>
          </w:tcPr>
          <w:p w14:paraId="3DBB0234">
            <w:pPr>
              <w:spacing w:line="400" w:lineRule="exact"/>
              <w:jc w:val="center"/>
              <w:rPr>
                <w:rFonts w:ascii="宋体" w:hAnsi="宋体" w:cs="宋体"/>
                <w:color w:val="auto"/>
                <w:sz w:val="24"/>
                <w:highlight w:val="none"/>
              </w:rPr>
            </w:pPr>
          </w:p>
        </w:tc>
      </w:tr>
      <w:tr w14:paraId="2727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6DF6C39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6518" w:type="dxa"/>
            <w:noWrap w:val="0"/>
            <w:vAlign w:val="top"/>
          </w:tcPr>
          <w:p w14:paraId="7E853393">
            <w:pPr>
              <w:spacing w:line="400" w:lineRule="exact"/>
              <w:rPr>
                <w:rFonts w:ascii="宋体" w:hAnsi="宋体" w:cs="宋体"/>
                <w:color w:val="auto"/>
                <w:sz w:val="24"/>
                <w:highlight w:val="none"/>
              </w:rPr>
            </w:pPr>
            <w:r>
              <w:rPr>
                <w:rFonts w:hint="eastAsia" w:ascii="宋体" w:hAnsi="宋体" w:cs="宋体"/>
                <w:color w:val="auto"/>
                <w:sz w:val="24"/>
                <w:highlight w:val="none"/>
              </w:rPr>
              <w:t>石灰岩冲击值                     不大于（%）</w:t>
            </w:r>
          </w:p>
        </w:tc>
        <w:tc>
          <w:tcPr>
            <w:tcW w:w="1749" w:type="dxa"/>
            <w:noWrap w:val="0"/>
            <w:vAlign w:val="top"/>
          </w:tcPr>
          <w:p w14:paraId="272E6A37">
            <w:pPr>
              <w:spacing w:line="400" w:lineRule="exact"/>
              <w:jc w:val="center"/>
              <w:rPr>
                <w:rFonts w:ascii="宋体" w:hAnsi="宋体" w:cs="宋体"/>
                <w:color w:val="auto"/>
                <w:sz w:val="24"/>
                <w:highlight w:val="none"/>
              </w:rPr>
            </w:pPr>
          </w:p>
        </w:tc>
      </w:tr>
      <w:tr w14:paraId="7BCA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2AECC4B">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518" w:type="dxa"/>
            <w:noWrap w:val="0"/>
            <w:vAlign w:val="top"/>
          </w:tcPr>
          <w:p w14:paraId="74573B52">
            <w:pPr>
              <w:spacing w:line="400" w:lineRule="exact"/>
              <w:rPr>
                <w:rFonts w:hint="eastAsia" w:ascii="宋体" w:hAnsi="宋体" w:cs="宋体"/>
                <w:color w:val="auto"/>
                <w:sz w:val="24"/>
                <w:highlight w:val="none"/>
              </w:rPr>
            </w:pPr>
            <w:r>
              <w:rPr>
                <w:rFonts w:hint="eastAsia" w:ascii="宋体" w:hAnsi="宋体" w:eastAsia="宋体" w:cs="宋体"/>
                <w:color w:val="auto"/>
                <w:sz w:val="24"/>
                <w:szCs w:val="24"/>
                <w:highlight w:val="none"/>
              </w:rPr>
              <w:t>原材料在进料前应在有资质的试验室至少做一次试验，确保合格后，方可使用。并在供货时向业主提交相关检验报告单。</w:t>
            </w:r>
          </w:p>
        </w:tc>
        <w:tc>
          <w:tcPr>
            <w:tcW w:w="1749" w:type="dxa"/>
            <w:noWrap w:val="0"/>
            <w:vAlign w:val="top"/>
          </w:tcPr>
          <w:p w14:paraId="0109DF8F">
            <w:pPr>
              <w:spacing w:line="400" w:lineRule="exact"/>
              <w:jc w:val="center"/>
              <w:rPr>
                <w:rFonts w:ascii="宋体" w:hAnsi="宋体" w:cs="宋体"/>
                <w:color w:val="auto"/>
                <w:sz w:val="24"/>
                <w:highlight w:val="none"/>
              </w:rPr>
            </w:pPr>
          </w:p>
        </w:tc>
      </w:tr>
      <w:tr w14:paraId="3600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3941CC0B">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518" w:type="dxa"/>
            <w:noWrap w:val="0"/>
            <w:vAlign w:val="top"/>
          </w:tcPr>
          <w:p w14:paraId="0E6485CA">
            <w:pPr>
              <w:pStyle w:val="44"/>
              <w:spacing w:line="400" w:lineRule="exact"/>
              <w:ind w:left="0" w:leftChars="0" w:firstLine="0" w:firstLineChars="0"/>
              <w:rPr>
                <w:rFonts w:hint="eastAsia" w:ascii="宋体" w:hAnsi="宋体" w:cs="宋体"/>
                <w:color w:val="auto"/>
                <w:sz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的矿源必须100%由采购人认可，且</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质量满足采购人的生产要求。若到新石矿进料，须提前以书面形式告知采购人，并经采购人确认同意后方可进料。</w:t>
            </w:r>
          </w:p>
        </w:tc>
        <w:tc>
          <w:tcPr>
            <w:tcW w:w="1749" w:type="dxa"/>
            <w:noWrap w:val="0"/>
            <w:vAlign w:val="top"/>
          </w:tcPr>
          <w:p w14:paraId="3BA32F2E">
            <w:pPr>
              <w:spacing w:line="400" w:lineRule="exact"/>
              <w:jc w:val="center"/>
              <w:rPr>
                <w:rFonts w:ascii="宋体" w:hAnsi="宋体" w:cs="宋体"/>
                <w:color w:val="auto"/>
                <w:sz w:val="24"/>
                <w:highlight w:val="none"/>
              </w:rPr>
            </w:pPr>
          </w:p>
        </w:tc>
      </w:tr>
      <w:tr w14:paraId="4BA6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52C67D5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518" w:type="dxa"/>
            <w:noWrap w:val="0"/>
            <w:vAlign w:val="top"/>
          </w:tcPr>
          <w:p w14:paraId="3298E0B8">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本项目实施过程中引起的安全责任事故均</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rPr>
              <w:t>中标单位承担。</w:t>
            </w:r>
          </w:p>
        </w:tc>
        <w:tc>
          <w:tcPr>
            <w:tcW w:w="1749" w:type="dxa"/>
            <w:noWrap w:val="0"/>
            <w:vAlign w:val="top"/>
          </w:tcPr>
          <w:p w14:paraId="223BF2FE">
            <w:pPr>
              <w:spacing w:line="400" w:lineRule="exact"/>
              <w:jc w:val="center"/>
              <w:rPr>
                <w:rFonts w:ascii="宋体" w:hAnsi="宋体" w:cs="宋体"/>
                <w:color w:val="auto"/>
                <w:sz w:val="24"/>
                <w:highlight w:val="none"/>
              </w:rPr>
            </w:pPr>
          </w:p>
        </w:tc>
      </w:tr>
      <w:tr w14:paraId="34DE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CEEBF22">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518" w:type="dxa"/>
            <w:noWrap w:val="0"/>
            <w:vAlign w:val="top"/>
          </w:tcPr>
          <w:p w14:paraId="7723BA1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w:t>
            </w:r>
          </w:p>
        </w:tc>
        <w:tc>
          <w:tcPr>
            <w:tcW w:w="1749" w:type="dxa"/>
            <w:noWrap w:val="0"/>
            <w:vAlign w:val="top"/>
          </w:tcPr>
          <w:p w14:paraId="304FC451">
            <w:pPr>
              <w:spacing w:line="400" w:lineRule="exact"/>
              <w:jc w:val="center"/>
              <w:rPr>
                <w:rFonts w:ascii="宋体" w:hAnsi="宋体" w:cs="宋体"/>
                <w:color w:val="auto"/>
                <w:sz w:val="24"/>
                <w:highlight w:val="none"/>
              </w:rPr>
            </w:pPr>
          </w:p>
        </w:tc>
      </w:tr>
      <w:tr w14:paraId="1CB9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923689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518" w:type="dxa"/>
            <w:noWrap w:val="0"/>
            <w:vAlign w:val="top"/>
          </w:tcPr>
          <w:p w14:paraId="17E0572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其他技术条款</w:t>
            </w:r>
          </w:p>
        </w:tc>
        <w:tc>
          <w:tcPr>
            <w:tcW w:w="1749" w:type="dxa"/>
            <w:noWrap w:val="0"/>
            <w:vAlign w:val="top"/>
          </w:tcPr>
          <w:p w14:paraId="7F3E98D9">
            <w:pPr>
              <w:spacing w:line="400" w:lineRule="exact"/>
              <w:jc w:val="center"/>
              <w:rPr>
                <w:rFonts w:ascii="宋体" w:hAnsi="宋体" w:cs="宋体"/>
                <w:color w:val="auto"/>
                <w:sz w:val="24"/>
                <w:highlight w:val="none"/>
              </w:rPr>
            </w:pPr>
          </w:p>
        </w:tc>
      </w:tr>
    </w:tbl>
    <w:p w14:paraId="73ADF935">
      <w:pPr>
        <w:pStyle w:val="19"/>
        <w:spacing w:line="440" w:lineRule="exact"/>
        <w:rPr>
          <w:rFonts w:ascii="宋体" w:hAnsi="宋体"/>
          <w:color w:val="auto"/>
          <w:spacing w:val="20"/>
          <w:sz w:val="24"/>
          <w:highlight w:val="none"/>
        </w:rPr>
      </w:pPr>
      <w:r>
        <w:rPr>
          <w:rFonts w:ascii="宋体" w:hAnsi="宋体"/>
          <w:b/>
          <w:color w:val="auto"/>
          <w:sz w:val="30"/>
          <w:szCs w:val="30"/>
          <w:highlight w:val="none"/>
        </w:rPr>
        <w:t>注：</w:t>
      </w:r>
      <w:r>
        <w:rPr>
          <w:rFonts w:hint="eastAsia" w:ascii="宋体" w:hAnsi="宋体"/>
          <w:b/>
          <w:color w:val="auto"/>
          <w:sz w:val="30"/>
          <w:szCs w:val="30"/>
          <w:highlight w:val="none"/>
        </w:rPr>
        <w:t>内容必须按上述要求如实填写</w:t>
      </w:r>
      <w:r>
        <w:rPr>
          <w:rFonts w:ascii="宋体" w:hAnsi="宋体"/>
          <w:b/>
          <w:color w:val="auto"/>
          <w:sz w:val="30"/>
          <w:szCs w:val="30"/>
          <w:highlight w:val="none"/>
        </w:rPr>
        <w:t>。</w:t>
      </w:r>
    </w:p>
    <w:p w14:paraId="5EF8AF7B">
      <w:pPr>
        <w:snapToGrid w:val="0"/>
        <w:spacing w:line="360" w:lineRule="auto"/>
        <w:rPr>
          <w:rFonts w:hint="eastAsia" w:ascii="宋体" w:hAnsi="宋体" w:cs="宋体"/>
          <w:color w:val="auto"/>
          <w:sz w:val="24"/>
          <w:highlight w:val="none"/>
        </w:rPr>
      </w:pPr>
    </w:p>
    <w:p w14:paraId="1A93F760">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81D158C">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3DB9351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636553D6">
      <w:pPr>
        <w:snapToGrid w:val="0"/>
        <w:spacing w:line="360" w:lineRule="auto"/>
        <w:rPr>
          <w:rFonts w:hint="eastAsia" w:ascii="宋体" w:hAnsi="宋体" w:cs="宋体"/>
          <w:color w:val="auto"/>
          <w:sz w:val="24"/>
          <w:highlight w:val="none"/>
        </w:rPr>
      </w:pPr>
    </w:p>
    <w:p w14:paraId="50E03EA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7639205">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三、报价投标文件封面格式</w:t>
      </w:r>
    </w:p>
    <w:p w14:paraId="6B365FC6">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14:paraId="55070497">
      <w:pPr>
        <w:autoSpaceDE w:val="0"/>
        <w:autoSpaceDN w:val="0"/>
        <w:adjustRightInd w:val="0"/>
        <w:spacing w:line="360" w:lineRule="auto"/>
        <w:jc w:val="center"/>
        <w:rPr>
          <w:rFonts w:hint="eastAsia" w:ascii="宋体" w:hAnsi="宋体" w:cs="宋体"/>
          <w:b/>
          <w:color w:val="auto"/>
          <w:sz w:val="32"/>
          <w:szCs w:val="32"/>
          <w:highlight w:val="none"/>
        </w:rPr>
      </w:pPr>
    </w:p>
    <w:p w14:paraId="4DE243B8">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78632A11">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5264A1E2">
      <w:pPr>
        <w:pStyle w:val="25"/>
        <w:rPr>
          <w:rFonts w:hint="eastAsia"/>
          <w:color w:val="auto"/>
          <w:lang w:eastAsia="zh-CN"/>
        </w:rPr>
      </w:pPr>
    </w:p>
    <w:p w14:paraId="28E4AB82">
      <w:pPr>
        <w:pStyle w:val="25"/>
        <w:rPr>
          <w:rFonts w:hint="eastAsia"/>
          <w:color w:val="auto"/>
          <w:lang w:eastAsia="zh-CN"/>
        </w:rPr>
      </w:pPr>
    </w:p>
    <w:p w14:paraId="0204CC69">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3C41D7AE">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（报价投标文件）</w:t>
      </w:r>
    </w:p>
    <w:p w14:paraId="18EEC883">
      <w:pPr>
        <w:pStyle w:val="44"/>
        <w:ind w:firstLine="480"/>
        <w:rPr>
          <w:rFonts w:hint="eastAsia"/>
          <w:color w:val="auto"/>
          <w:highlight w:val="none"/>
        </w:rPr>
      </w:pPr>
    </w:p>
    <w:p w14:paraId="374BFBEB">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w:t>
      </w:r>
      <w:r>
        <w:rPr>
          <w:rFonts w:hint="eastAsia" w:ascii="宋体" w:hAnsi="宋体" w:cs="宋体"/>
          <w:b/>
          <w:color w:val="auto"/>
          <w:sz w:val="32"/>
          <w:szCs w:val="32"/>
          <w:highlight w:val="none"/>
        </w:rPr>
        <w:t xml:space="preserve">  </w:t>
      </w:r>
    </w:p>
    <w:p w14:paraId="62512DCC">
      <w:pPr>
        <w:autoSpaceDE w:val="0"/>
        <w:autoSpaceDN w:val="0"/>
        <w:adjustRightInd w:val="0"/>
        <w:spacing w:line="360" w:lineRule="auto"/>
        <w:rPr>
          <w:rFonts w:hint="eastAsia" w:ascii="宋体" w:hAnsi="宋体" w:cs="宋体"/>
          <w:b/>
          <w:color w:val="auto"/>
          <w:sz w:val="32"/>
          <w:szCs w:val="32"/>
          <w:highlight w:val="none"/>
        </w:rPr>
      </w:pPr>
    </w:p>
    <w:p w14:paraId="666EC326">
      <w:pPr>
        <w:pStyle w:val="44"/>
        <w:ind w:left="0" w:leftChars="0" w:firstLine="0" w:firstLineChars="0"/>
        <w:rPr>
          <w:rFonts w:hint="eastAsia" w:ascii="宋体" w:hAnsi="宋体" w:cs="宋体"/>
          <w:b/>
          <w:color w:val="auto"/>
          <w:sz w:val="32"/>
          <w:szCs w:val="32"/>
          <w:highlight w:val="none"/>
        </w:rPr>
      </w:pPr>
    </w:p>
    <w:p w14:paraId="6ACC263C">
      <w:pPr>
        <w:autoSpaceDE w:val="0"/>
        <w:autoSpaceDN w:val="0"/>
        <w:adjustRightInd w:val="0"/>
        <w:spacing w:line="360" w:lineRule="auto"/>
        <w:rPr>
          <w:rFonts w:hint="eastAsia"/>
          <w:color w:val="auto"/>
          <w:highlight w:val="none"/>
        </w:rPr>
      </w:pPr>
    </w:p>
    <w:p w14:paraId="6341D7E9">
      <w:pPr>
        <w:autoSpaceDE w:val="0"/>
        <w:autoSpaceDN w:val="0"/>
        <w:adjustRightInd w:val="0"/>
        <w:spacing w:line="360" w:lineRule="auto"/>
        <w:rPr>
          <w:rFonts w:hint="eastAsia" w:ascii="宋体" w:hAnsi="宋体" w:cs="宋体"/>
          <w:b/>
          <w:color w:val="auto"/>
          <w:sz w:val="32"/>
          <w:szCs w:val="32"/>
          <w:highlight w:val="none"/>
        </w:rPr>
      </w:pPr>
    </w:p>
    <w:p w14:paraId="36CD9F3F">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14:paraId="60098B38">
      <w:pPr>
        <w:autoSpaceDE w:val="0"/>
        <w:autoSpaceDN w:val="0"/>
        <w:adjustRightInd w:val="0"/>
        <w:spacing w:line="360" w:lineRule="auto"/>
        <w:rPr>
          <w:rFonts w:hint="eastAsia" w:ascii="宋体" w:hAnsi="宋体" w:cs="宋体"/>
          <w:b/>
          <w:color w:val="auto"/>
          <w:sz w:val="32"/>
          <w:szCs w:val="32"/>
          <w:highlight w:val="none"/>
        </w:rPr>
      </w:pPr>
    </w:p>
    <w:p w14:paraId="5BDB557F">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5FF2CA1F">
      <w:pPr>
        <w:autoSpaceDE w:val="0"/>
        <w:autoSpaceDN w:val="0"/>
        <w:adjustRightInd w:val="0"/>
        <w:spacing w:line="360" w:lineRule="auto"/>
        <w:rPr>
          <w:rFonts w:hint="eastAsia" w:ascii="宋体" w:hAnsi="宋体" w:cs="宋体"/>
          <w:b/>
          <w:color w:val="auto"/>
          <w:sz w:val="32"/>
          <w:szCs w:val="32"/>
          <w:highlight w:val="none"/>
        </w:rPr>
      </w:pPr>
    </w:p>
    <w:p w14:paraId="5D200AF7">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6E21F427">
      <w:pPr>
        <w:autoSpaceDE w:val="0"/>
        <w:autoSpaceDN w:val="0"/>
        <w:adjustRightInd w:val="0"/>
        <w:spacing w:line="360" w:lineRule="auto"/>
        <w:jc w:val="center"/>
        <w:outlineLvl w:val="1"/>
        <w:rPr>
          <w:rFonts w:hint="eastAsia" w:ascii="宋体" w:hAnsi="宋体" w:cs="宋体"/>
          <w:b/>
          <w:bCs/>
          <w:color w:val="auto"/>
          <w:sz w:val="44"/>
          <w:szCs w:val="44"/>
          <w:highlight w:val="none"/>
        </w:rPr>
      </w:pPr>
      <w:r>
        <w:rPr>
          <w:rFonts w:hint="eastAsia" w:ascii="宋体" w:hAnsi="宋体" w:cs="宋体"/>
          <w:color w:val="auto"/>
          <w:highlight w:val="none"/>
        </w:rPr>
        <w:br w:type="page"/>
      </w:r>
      <w:bookmarkStart w:id="257" w:name="_Toc32682"/>
      <w:bookmarkStart w:id="258" w:name="_Toc29033"/>
      <w:bookmarkStart w:id="259" w:name="_Toc7339"/>
      <w:bookmarkStart w:id="260" w:name="_Toc12270"/>
      <w:bookmarkStart w:id="261" w:name="_Toc31549"/>
      <w:bookmarkStart w:id="262" w:name="_Toc8157"/>
      <w:bookmarkStart w:id="263" w:name="_Toc29135"/>
      <w:bookmarkStart w:id="264" w:name="_Toc8307"/>
      <w:bookmarkStart w:id="265" w:name="_Toc11638"/>
      <w:bookmarkStart w:id="266" w:name="_Toc3370"/>
      <w:r>
        <w:rPr>
          <w:rFonts w:hint="eastAsia" w:ascii="宋体" w:hAnsi="宋体" w:cs="宋体"/>
          <w:b/>
          <w:bCs/>
          <w:color w:val="auto"/>
          <w:sz w:val="44"/>
          <w:szCs w:val="44"/>
          <w:highlight w:val="none"/>
        </w:rPr>
        <w:t>目  录</w:t>
      </w:r>
      <w:bookmarkEnd w:id="257"/>
      <w:bookmarkEnd w:id="258"/>
      <w:bookmarkEnd w:id="259"/>
      <w:bookmarkEnd w:id="260"/>
      <w:bookmarkEnd w:id="261"/>
      <w:bookmarkEnd w:id="262"/>
      <w:bookmarkEnd w:id="263"/>
      <w:bookmarkEnd w:id="264"/>
      <w:bookmarkEnd w:id="265"/>
      <w:bookmarkEnd w:id="266"/>
    </w:p>
    <w:p w14:paraId="76FF416A">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（1）投标函（格式见附件）；</w:t>
      </w:r>
    </w:p>
    <w:p w14:paraId="709EB3D9">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（2）开标一览表（格式见附件）；</w:t>
      </w:r>
    </w:p>
    <w:p w14:paraId="055B9793">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（3）投标报价明细表（格式见附件）；</w:t>
      </w:r>
    </w:p>
    <w:p w14:paraId="32355DD0">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cs="宋体"/>
          <w:snapToGrid w:val="0"/>
          <w:color w:val="auto"/>
          <w:kern w:val="0"/>
          <w:szCs w:val="21"/>
          <w:highlight w:val="none"/>
        </w:rPr>
        <w:t>）投标人认为针对报价需要说明的其他文件及资料。</w:t>
      </w:r>
    </w:p>
    <w:p w14:paraId="014C5CB8">
      <w:pPr>
        <w:autoSpaceDE w:val="0"/>
        <w:autoSpaceDN w:val="0"/>
        <w:adjustRightInd w:val="0"/>
        <w:spacing w:line="360" w:lineRule="auto"/>
        <w:jc w:val="center"/>
        <w:rPr>
          <w:rFonts w:hint="eastAsia" w:ascii="宋体" w:hAnsi="宋体" w:cs="宋体"/>
          <w:b/>
          <w:color w:val="auto"/>
          <w:sz w:val="32"/>
          <w:szCs w:val="32"/>
          <w:highlight w:val="none"/>
        </w:rPr>
      </w:pPr>
    </w:p>
    <w:p w14:paraId="1E56AFB9">
      <w:pPr>
        <w:pStyle w:val="20"/>
        <w:rPr>
          <w:rFonts w:hint="eastAsia" w:ascii="宋体" w:hAnsi="宋体" w:cs="宋体"/>
          <w:b/>
          <w:color w:val="auto"/>
          <w:sz w:val="32"/>
          <w:szCs w:val="32"/>
          <w:highlight w:val="none"/>
        </w:rPr>
      </w:pPr>
    </w:p>
    <w:p w14:paraId="7ECB7B2B">
      <w:pPr>
        <w:pStyle w:val="20"/>
        <w:rPr>
          <w:rFonts w:hint="eastAsia" w:ascii="宋体" w:hAnsi="宋体" w:cs="宋体"/>
          <w:b/>
          <w:color w:val="auto"/>
          <w:sz w:val="32"/>
          <w:szCs w:val="32"/>
          <w:highlight w:val="none"/>
        </w:rPr>
      </w:pPr>
    </w:p>
    <w:p w14:paraId="5498F83B">
      <w:pPr>
        <w:pStyle w:val="20"/>
        <w:rPr>
          <w:rFonts w:hint="eastAsia" w:ascii="宋体" w:hAnsi="宋体" w:cs="宋体"/>
          <w:b/>
          <w:color w:val="auto"/>
          <w:sz w:val="32"/>
          <w:szCs w:val="32"/>
          <w:highlight w:val="none"/>
        </w:rPr>
      </w:pPr>
    </w:p>
    <w:p w14:paraId="3E2790B1">
      <w:pPr>
        <w:pStyle w:val="20"/>
        <w:rPr>
          <w:rFonts w:hint="eastAsia" w:ascii="宋体" w:hAnsi="宋体" w:cs="宋体"/>
          <w:b/>
          <w:color w:val="auto"/>
          <w:sz w:val="32"/>
          <w:szCs w:val="32"/>
          <w:highlight w:val="none"/>
        </w:rPr>
      </w:pPr>
    </w:p>
    <w:p w14:paraId="3C717449">
      <w:pPr>
        <w:pStyle w:val="20"/>
        <w:rPr>
          <w:rFonts w:hint="eastAsia" w:ascii="宋体" w:hAnsi="宋体" w:cs="宋体"/>
          <w:b/>
          <w:color w:val="auto"/>
          <w:sz w:val="32"/>
          <w:szCs w:val="32"/>
          <w:highlight w:val="none"/>
        </w:rPr>
      </w:pPr>
    </w:p>
    <w:p w14:paraId="3F528F38">
      <w:pPr>
        <w:pStyle w:val="20"/>
        <w:rPr>
          <w:rFonts w:hint="eastAsia" w:ascii="宋体" w:hAnsi="宋体" w:cs="宋体"/>
          <w:b/>
          <w:color w:val="auto"/>
          <w:sz w:val="32"/>
          <w:szCs w:val="32"/>
          <w:highlight w:val="none"/>
        </w:rPr>
      </w:pPr>
    </w:p>
    <w:p w14:paraId="74A3B2CC">
      <w:pPr>
        <w:pStyle w:val="20"/>
        <w:rPr>
          <w:rFonts w:hint="eastAsia" w:ascii="宋体" w:hAnsi="宋体" w:cs="宋体"/>
          <w:b/>
          <w:color w:val="auto"/>
          <w:sz w:val="32"/>
          <w:szCs w:val="32"/>
          <w:highlight w:val="none"/>
        </w:rPr>
      </w:pPr>
    </w:p>
    <w:p w14:paraId="21E785E3">
      <w:pPr>
        <w:pStyle w:val="20"/>
        <w:rPr>
          <w:rFonts w:hint="eastAsia" w:ascii="宋体" w:hAnsi="宋体" w:cs="宋体"/>
          <w:b/>
          <w:color w:val="auto"/>
          <w:sz w:val="32"/>
          <w:szCs w:val="32"/>
          <w:highlight w:val="none"/>
        </w:rPr>
      </w:pPr>
    </w:p>
    <w:p w14:paraId="1EFADBB8">
      <w:pPr>
        <w:pStyle w:val="20"/>
        <w:rPr>
          <w:rFonts w:hint="eastAsia" w:ascii="宋体" w:hAnsi="宋体" w:cs="宋体"/>
          <w:b/>
          <w:color w:val="auto"/>
          <w:sz w:val="32"/>
          <w:szCs w:val="32"/>
          <w:highlight w:val="none"/>
        </w:rPr>
      </w:pPr>
    </w:p>
    <w:p w14:paraId="2F27687E">
      <w:pPr>
        <w:pStyle w:val="20"/>
        <w:rPr>
          <w:rFonts w:hint="eastAsia" w:ascii="宋体" w:hAnsi="宋体" w:cs="宋体"/>
          <w:b/>
          <w:color w:val="auto"/>
          <w:sz w:val="32"/>
          <w:szCs w:val="32"/>
          <w:highlight w:val="none"/>
        </w:rPr>
      </w:pPr>
    </w:p>
    <w:p w14:paraId="0C298503">
      <w:pPr>
        <w:pStyle w:val="20"/>
        <w:rPr>
          <w:rFonts w:hint="eastAsia" w:ascii="宋体" w:hAnsi="宋体" w:cs="宋体"/>
          <w:b/>
          <w:color w:val="auto"/>
          <w:sz w:val="32"/>
          <w:szCs w:val="32"/>
          <w:highlight w:val="none"/>
        </w:rPr>
      </w:pPr>
    </w:p>
    <w:p w14:paraId="5FDDECC9">
      <w:pPr>
        <w:pStyle w:val="20"/>
        <w:rPr>
          <w:rFonts w:hint="eastAsia" w:ascii="宋体" w:hAnsi="宋体" w:cs="宋体"/>
          <w:b/>
          <w:color w:val="auto"/>
          <w:sz w:val="32"/>
          <w:szCs w:val="32"/>
          <w:highlight w:val="none"/>
        </w:rPr>
      </w:pPr>
    </w:p>
    <w:p w14:paraId="5A7A5D9E">
      <w:pPr>
        <w:pStyle w:val="20"/>
        <w:rPr>
          <w:rFonts w:hint="eastAsia" w:ascii="宋体" w:hAnsi="宋体" w:cs="宋体"/>
          <w:b/>
          <w:color w:val="auto"/>
          <w:sz w:val="32"/>
          <w:szCs w:val="32"/>
          <w:highlight w:val="none"/>
        </w:rPr>
      </w:pPr>
    </w:p>
    <w:p w14:paraId="52DEF2D9">
      <w:pPr>
        <w:pStyle w:val="20"/>
        <w:rPr>
          <w:rFonts w:hint="eastAsia" w:ascii="宋体" w:hAnsi="宋体" w:cs="宋体"/>
          <w:b/>
          <w:color w:val="auto"/>
          <w:sz w:val="32"/>
          <w:szCs w:val="32"/>
          <w:highlight w:val="none"/>
        </w:rPr>
      </w:pPr>
    </w:p>
    <w:p w14:paraId="3CF10723">
      <w:pPr>
        <w:pStyle w:val="20"/>
        <w:rPr>
          <w:rFonts w:hint="eastAsia" w:ascii="宋体" w:hAnsi="宋体" w:cs="宋体"/>
          <w:b/>
          <w:color w:val="auto"/>
          <w:sz w:val="32"/>
          <w:szCs w:val="32"/>
          <w:highlight w:val="none"/>
        </w:rPr>
      </w:pPr>
    </w:p>
    <w:bookmarkEnd w:id="253"/>
    <w:bookmarkEnd w:id="254"/>
    <w:bookmarkEnd w:id="255"/>
    <w:bookmarkEnd w:id="256"/>
    <w:p w14:paraId="19BEB1DA">
      <w:pPr>
        <w:pStyle w:val="25"/>
        <w:spacing w:line="360" w:lineRule="auto"/>
        <w:jc w:val="center"/>
        <w:rPr>
          <w:rFonts w:hint="eastAsia" w:ascii="宋体" w:hAnsi="宋体" w:eastAsia="宋体" w:cs="宋体"/>
          <w:b/>
          <w:color w:val="auto"/>
          <w:sz w:val="28"/>
          <w:szCs w:val="28"/>
          <w:highlight w:val="none"/>
        </w:rPr>
      </w:pPr>
    </w:p>
    <w:p w14:paraId="7FE8DC45">
      <w:pPr>
        <w:pStyle w:val="25"/>
        <w:spacing w:line="360" w:lineRule="auto"/>
        <w:jc w:val="center"/>
        <w:rPr>
          <w:rFonts w:hint="eastAsia" w:ascii="宋体" w:hAnsi="宋体" w:eastAsia="宋体" w:cs="宋体"/>
          <w:b/>
          <w:color w:val="auto"/>
          <w:sz w:val="28"/>
          <w:szCs w:val="28"/>
          <w:highlight w:val="none"/>
        </w:rPr>
      </w:pPr>
    </w:p>
    <w:p w14:paraId="23C88C19">
      <w:pPr>
        <w:pStyle w:val="25"/>
        <w:spacing w:line="360" w:lineRule="auto"/>
        <w:jc w:val="center"/>
        <w:rPr>
          <w:rFonts w:hint="eastAsia" w:ascii="宋体" w:hAnsi="宋体" w:eastAsia="宋体" w:cs="宋体"/>
          <w:b/>
          <w:color w:val="auto"/>
          <w:sz w:val="28"/>
          <w:szCs w:val="28"/>
          <w:highlight w:val="none"/>
        </w:rPr>
      </w:pPr>
    </w:p>
    <w:p w14:paraId="594AC0E1">
      <w:pPr>
        <w:pStyle w:val="25"/>
        <w:spacing w:line="360" w:lineRule="auto"/>
        <w:jc w:val="center"/>
        <w:rPr>
          <w:rFonts w:hint="eastAsia" w:ascii="宋体" w:hAnsi="宋体" w:eastAsia="宋体" w:cs="宋体"/>
          <w:b/>
          <w:color w:val="auto"/>
          <w:sz w:val="28"/>
          <w:szCs w:val="28"/>
          <w:highlight w:val="none"/>
        </w:rPr>
      </w:pPr>
    </w:p>
    <w:p w14:paraId="43107F88">
      <w:pPr>
        <w:pStyle w:val="25"/>
        <w:spacing w:line="360" w:lineRule="auto"/>
        <w:jc w:val="center"/>
        <w:rPr>
          <w:rFonts w:hint="eastAsia" w:ascii="宋体" w:hAnsi="宋体" w:eastAsia="宋体" w:cs="宋体"/>
          <w:b/>
          <w:color w:val="auto"/>
          <w:sz w:val="28"/>
          <w:szCs w:val="28"/>
          <w:highlight w:val="none"/>
        </w:rPr>
      </w:pPr>
    </w:p>
    <w:p w14:paraId="688C12EA">
      <w:pPr>
        <w:pStyle w:val="25"/>
        <w:spacing w:line="360" w:lineRule="auto"/>
        <w:jc w:val="center"/>
        <w:rPr>
          <w:rFonts w:hint="eastAsia" w:ascii="宋体" w:hAnsi="宋体" w:eastAsia="宋体" w:cs="宋体"/>
          <w:b/>
          <w:color w:val="auto"/>
          <w:sz w:val="28"/>
          <w:szCs w:val="28"/>
          <w:highlight w:val="none"/>
        </w:rPr>
      </w:pPr>
    </w:p>
    <w:p w14:paraId="63A74502">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14:paraId="4411A5AB">
      <w:pPr>
        <w:pStyle w:val="25"/>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single"/>
          <w:lang w:eastAsia="zh-CN"/>
        </w:rPr>
        <w:t>浦江县交投贸易有限公司</w:t>
      </w:r>
      <w:r>
        <w:rPr>
          <w:rFonts w:hint="eastAsia" w:ascii="宋体" w:hAnsi="宋体" w:eastAsia="宋体" w:cs="宋体"/>
          <w:color w:val="auto"/>
          <w:sz w:val="24"/>
          <w:szCs w:val="24"/>
          <w:highlight w:val="none"/>
        </w:rPr>
        <w:t>：</w:t>
      </w:r>
    </w:p>
    <w:p w14:paraId="5088044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(投标人全称)授权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 (项目编号：</w:t>
      </w:r>
      <w:r>
        <w:rPr>
          <w:rFonts w:hint="eastAsia" w:ascii="宋体" w:hAnsi="宋体" w:eastAsia="宋体" w:cs="宋体"/>
          <w:color w:val="auto"/>
          <w:sz w:val="24"/>
          <w:szCs w:val="24"/>
          <w:highlight w:val="none"/>
          <w:lang w:eastAsia="zh-CN"/>
        </w:rPr>
        <w:t>PJCQGK(JTMY)2024-1030</w:t>
      </w:r>
      <w:r>
        <w:rPr>
          <w:rFonts w:hint="eastAsia" w:ascii="宋体" w:hAnsi="宋体" w:eastAsia="宋体" w:cs="宋体"/>
          <w:color w:val="auto"/>
          <w:sz w:val="24"/>
          <w:szCs w:val="24"/>
          <w:highlight w:val="none"/>
        </w:rPr>
        <w:t>)的有关活动，并对此项目进行投标。为此：</w:t>
      </w:r>
    </w:p>
    <w:p w14:paraId="727FA39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1、我方同意在投标人编制和提交投标文件须知规定的开标日期起遵守本投标书中的承诺且在投标有效期满之前均具有约束力。</w:t>
      </w:r>
    </w:p>
    <w:p w14:paraId="5C1CE6E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2、我方承诺已经具备《中华人民共和国政府采购法》中规定的参加采购活动的投标人应当具备的条件：</w:t>
      </w:r>
    </w:p>
    <w:p w14:paraId="2F779E5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10796DB">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14:paraId="36C5AD6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14:paraId="0D4C910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14:paraId="2C06E197">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(5)没有违反采购法规、政策的记录；</w:t>
      </w:r>
    </w:p>
    <w:p w14:paraId="47E03DC6">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(6)没有发生重大经济纠纷和走私犯罪记录。</w:t>
      </w:r>
    </w:p>
    <w:p w14:paraId="5A75A49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3、提供编制和提交投标文件须知规定的全部投标文件。具体内容为：</w:t>
      </w:r>
    </w:p>
    <w:p w14:paraId="24E697F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(1)资格投标文件、商务技术投标文件、报价投标文件；</w:t>
      </w:r>
    </w:p>
    <w:p w14:paraId="5790A87E">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(2)编制和提交投标文件须知要求投标人提交的全部文件；</w:t>
      </w:r>
    </w:p>
    <w:p w14:paraId="1C7F882F">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(3)按采购文件要求提供和交付的货物和服务的投标报价详见开标一览表；</w:t>
      </w:r>
    </w:p>
    <w:p w14:paraId="3D8BF0B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14:paraId="3C792449">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(5)保证遵守采购文件中的其他有关规定。</w:t>
      </w:r>
    </w:p>
    <w:p w14:paraId="1021F6F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4、我方完全理解贵方不一定要接受最低价的投标。</w:t>
      </w:r>
    </w:p>
    <w:p w14:paraId="4B13EB16">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5、我方愿意向贵方提供任何与该项投标有关的数据、情况和技术资料。若贵方需要，我方愿意提供我方作出的一切承诺的有效材料。</w:t>
      </w:r>
    </w:p>
    <w:p w14:paraId="24BEAD95">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6、我方已详细审核全部采购文件，包括采购文件修改书(如果有)、参考资料及有关附件，确认无误。</w:t>
      </w:r>
    </w:p>
    <w:p w14:paraId="1C949EBB">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将严格遵守《中华人民共和国政府采购法》第七十七条规定，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10F3A228">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14:paraId="5109CE39">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b)采取不正当手段诋毁、排挤其他投标人的；</w:t>
      </w:r>
    </w:p>
    <w:p w14:paraId="723A724E">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c)与采购人、其它投标人或者采购代理机构恶意串通的；</w:t>
      </w:r>
    </w:p>
    <w:p w14:paraId="2CE6A22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14:paraId="6F24017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14:paraId="091B25E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14:paraId="3AD22AF2">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投标人有前款第a)至e)项情形之一的，中标无效。</w:t>
      </w:r>
    </w:p>
    <w:p w14:paraId="2162B279">
      <w:pPr>
        <w:pStyle w:val="25"/>
        <w:spacing w:line="420" w:lineRule="exact"/>
        <w:ind w:firstLine="480" w:firstLineChars="200"/>
        <w:rPr>
          <w:rFonts w:hint="eastAsia" w:ascii="宋体" w:hAnsi="宋体" w:eastAsia="宋体" w:cs="宋体"/>
          <w:color w:val="auto"/>
          <w:sz w:val="24"/>
          <w:szCs w:val="24"/>
          <w:highlight w:val="none"/>
        </w:rPr>
      </w:pPr>
    </w:p>
    <w:p w14:paraId="1A81AC21">
      <w:pPr>
        <w:pStyle w:val="25"/>
        <w:spacing w:line="420" w:lineRule="exact"/>
        <w:ind w:firstLine="480" w:firstLineChars="200"/>
        <w:rPr>
          <w:rFonts w:hint="eastAsia" w:ascii="宋体" w:hAnsi="宋体" w:eastAsia="宋体" w:cs="宋体"/>
          <w:color w:val="auto"/>
          <w:sz w:val="24"/>
          <w:szCs w:val="24"/>
          <w:highlight w:val="none"/>
        </w:rPr>
      </w:pPr>
    </w:p>
    <w:p w14:paraId="6465D492">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p>
    <w:p w14:paraId="3472F243">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379F77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投标人（盖电子公章）：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F9FE28">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3B3572B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B0E353">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w:t>
      </w:r>
      <w:r>
        <w:rPr>
          <w:rFonts w:hint="eastAsia" w:ascii="宋体" w:hAnsi="宋体" w:eastAsia="宋体" w:cs="宋体"/>
          <w:color w:val="auto"/>
          <w:sz w:val="24"/>
          <w:szCs w:val="24"/>
          <w:highlight w:val="none"/>
          <w:u w:val="single"/>
        </w:rPr>
        <w:t xml:space="preserve">：                     </w:t>
      </w:r>
    </w:p>
    <w:p w14:paraId="446C40B7">
      <w:pPr>
        <w:pStyle w:val="25"/>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28174C1">
      <w:pPr>
        <w:autoSpaceDE w:val="0"/>
        <w:autoSpaceDN w:val="0"/>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Cs/>
          <w:color w:val="auto"/>
          <w:szCs w:val="21"/>
          <w:highlight w:val="none"/>
        </w:rPr>
        <w:br w:type="page"/>
      </w:r>
      <w:r>
        <w:rPr>
          <w:rFonts w:hint="eastAsia" w:ascii="宋体" w:hAnsi="宋体" w:cs="宋体"/>
          <w:b/>
          <w:bCs/>
          <w:snapToGrid w:val="0"/>
          <w:color w:val="auto"/>
          <w:kern w:val="0"/>
          <w:sz w:val="28"/>
          <w:szCs w:val="28"/>
          <w:highlight w:val="none"/>
        </w:rPr>
        <w:t>开标一览表</w:t>
      </w:r>
    </w:p>
    <w:p w14:paraId="1DC21D03">
      <w:pPr>
        <w:adjustRightInd w:val="0"/>
        <w:spacing w:line="360" w:lineRule="auto"/>
        <w:rPr>
          <w:rFonts w:hint="eastAsia" w:ascii="宋体" w:hAnsi="宋体" w:cs="宋体"/>
          <w:color w:val="auto"/>
          <w:szCs w:val="21"/>
          <w:highlight w:val="none"/>
        </w:rPr>
      </w:pPr>
    </w:p>
    <w:p w14:paraId="156F3DEA">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14:paraId="1469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center"/>
          </w:tcPr>
          <w:p w14:paraId="6E44C1DB">
            <w:pPr>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总报价（人民币）¥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D5BDA">
            <w:pPr>
              <w:adjustRightInd w:val="0"/>
              <w:spacing w:line="360" w:lineRule="auto"/>
              <w:ind w:firstLine="1440" w:firstLineChars="600"/>
              <w:rPr>
                <w:rFonts w:hint="eastAsia"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0C2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25BAFB16">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项目负责人：</w:t>
            </w:r>
          </w:p>
        </w:tc>
      </w:tr>
      <w:tr w14:paraId="30EA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3FFCD372">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p>
        </w:tc>
      </w:tr>
      <w:tr w14:paraId="594F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30C1988D">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相关说明（如有）：</w:t>
            </w:r>
          </w:p>
        </w:tc>
      </w:tr>
    </w:tbl>
    <w:p w14:paraId="78096899">
      <w:pPr>
        <w:pStyle w:val="44"/>
        <w:keepNext w:val="0"/>
        <w:keepLines w:val="0"/>
        <w:pageBreakBefore w:val="0"/>
        <w:widowControl w:val="0"/>
        <w:numPr>
          <w:ilvl w:val="0"/>
          <w:numId w:val="0"/>
        </w:numPr>
        <w:kinsoku/>
        <w:wordWrap/>
        <w:overflowPunct/>
        <w:topLinePunct w:val="0"/>
        <w:autoSpaceDE/>
        <w:autoSpaceDN/>
        <w:bidi w:val="0"/>
        <w:adjustRightInd/>
        <w:snapToGrid/>
        <w:spacing w:line="364" w:lineRule="exact"/>
        <w:ind w:left="0" w:leftChars="0" w:firstLine="480"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注: 总报价</w:t>
      </w:r>
      <w:r>
        <w:rPr>
          <w:rFonts w:hint="eastAsia" w:ascii="宋体" w:hAnsi="宋体" w:cs="宋体"/>
          <w:b/>
          <w:bCs/>
          <w:color w:val="auto"/>
          <w:sz w:val="24"/>
          <w:highlight w:val="none"/>
          <w:lang w:val="en-US" w:eastAsia="zh-CN"/>
        </w:rPr>
        <w:t>应包括货款、标准附件、备品备件（含满足使用要求的所有配件）、包装、制造、运输、二次搬运费、装卸、保险、管理费、利润、规费、税金、货到就位以及安装、工期、安全、文明施工、调试、培训、保修、验收监测、购买及制作标书费、招标代理费等其他一切税费，如有漏项，视同已包含在整个项目中，合同总价和单价不做调整。合同价款结算时中标人须开具增值税专用发票。</w:t>
      </w:r>
    </w:p>
    <w:p w14:paraId="22918152">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p>
    <w:p w14:paraId="5B6DD6EF">
      <w:pPr>
        <w:adjustRightInd w:val="0"/>
        <w:spacing w:line="360" w:lineRule="auto"/>
        <w:ind w:firstLine="482" w:firstLineChars="200"/>
        <w:rPr>
          <w:rFonts w:hint="eastAsia" w:ascii="宋体" w:hAnsi="宋体" w:cs="宋体"/>
          <w:b/>
          <w:bCs/>
          <w:color w:val="auto"/>
          <w:sz w:val="24"/>
          <w:highlight w:val="none"/>
          <w:lang w:val="en-US" w:eastAsia="zh-CN"/>
        </w:rPr>
      </w:pPr>
    </w:p>
    <w:p w14:paraId="4043C927">
      <w:pPr>
        <w:adjustRightInd w:val="0"/>
        <w:spacing w:line="360" w:lineRule="auto"/>
        <w:ind w:firstLine="420" w:firstLineChars="200"/>
        <w:rPr>
          <w:rFonts w:hint="eastAsia" w:ascii="宋体" w:hAnsi="宋体" w:cs="宋体"/>
          <w:color w:val="auto"/>
          <w:szCs w:val="21"/>
          <w:highlight w:val="none"/>
        </w:rPr>
      </w:pPr>
    </w:p>
    <w:p w14:paraId="55C8C30D">
      <w:pPr>
        <w:adjustRightInd w:val="0"/>
        <w:spacing w:line="360" w:lineRule="auto"/>
        <w:ind w:firstLine="420" w:firstLineChars="200"/>
        <w:rPr>
          <w:rFonts w:hint="eastAsia" w:ascii="宋体" w:hAnsi="宋体" w:cs="宋体"/>
          <w:color w:val="auto"/>
          <w:szCs w:val="21"/>
          <w:highlight w:val="none"/>
        </w:rPr>
      </w:pPr>
    </w:p>
    <w:p w14:paraId="11F49171">
      <w:pPr>
        <w:adjustRightInd w:val="0"/>
        <w:spacing w:line="360" w:lineRule="auto"/>
        <w:ind w:firstLine="420" w:firstLineChars="200"/>
        <w:rPr>
          <w:rFonts w:hint="eastAsia" w:ascii="宋体" w:hAnsi="宋体" w:cs="宋体"/>
          <w:color w:val="auto"/>
          <w:szCs w:val="21"/>
          <w:highlight w:val="none"/>
        </w:rPr>
      </w:pPr>
    </w:p>
    <w:p w14:paraId="4B973DDA">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4EA099D7">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C02814F">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169E4A4E">
      <w:pPr>
        <w:snapToGrid w:val="0"/>
        <w:spacing w:line="360" w:lineRule="auto"/>
        <w:jc w:val="center"/>
        <w:rPr>
          <w:rFonts w:hint="eastAsia" w:ascii="宋体" w:hAnsi="宋体" w:eastAsia="宋体" w:cs="宋体"/>
          <w:b/>
          <w:bCs/>
          <w:snapToGrid w:val="0"/>
          <w:color w:val="auto"/>
          <w:kern w:val="0"/>
          <w:sz w:val="28"/>
          <w:szCs w:val="28"/>
          <w:highlight w:val="none"/>
          <w:lang w:eastAsia="zh-CN"/>
        </w:rPr>
      </w:pPr>
      <w:r>
        <w:rPr>
          <w:rFonts w:hint="eastAsia" w:ascii="宋体" w:hAnsi="宋体" w:cs="宋体"/>
          <w:color w:val="auto"/>
          <w:highlight w:val="none"/>
        </w:rPr>
        <w:br w:type="page"/>
      </w:r>
      <w:r>
        <w:rPr>
          <w:rFonts w:hint="eastAsia" w:ascii="宋体" w:hAnsi="宋体" w:cs="宋体"/>
          <w:b/>
          <w:bCs/>
          <w:snapToGrid w:val="0"/>
          <w:color w:val="auto"/>
          <w:kern w:val="0"/>
          <w:sz w:val="28"/>
          <w:szCs w:val="28"/>
          <w:highlight w:val="none"/>
        </w:rPr>
        <w:t>投标报价明细表</w:t>
      </w:r>
    </w:p>
    <w:p w14:paraId="25C5ED18">
      <w:pPr>
        <w:pStyle w:val="25"/>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14:paraId="60FD67D0">
      <w:pPr>
        <w:pStyle w:val="25"/>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46"/>
        <w:tblpPr w:leftFromText="180" w:rightFromText="180" w:vertAnchor="text" w:horzAnchor="page" w:tblpX="1157" w:tblpY="140"/>
        <w:tblOverlap w:val="never"/>
        <w:tblW w:w="9834" w:type="dxa"/>
        <w:tblInd w:w="0" w:type="dxa"/>
        <w:tblLayout w:type="fixed"/>
        <w:tblCellMar>
          <w:top w:w="0" w:type="dxa"/>
          <w:left w:w="108" w:type="dxa"/>
          <w:bottom w:w="0" w:type="dxa"/>
          <w:right w:w="108" w:type="dxa"/>
        </w:tblCellMar>
      </w:tblPr>
      <w:tblGrid>
        <w:gridCol w:w="552"/>
        <w:gridCol w:w="1137"/>
        <w:gridCol w:w="2325"/>
        <w:gridCol w:w="1410"/>
        <w:gridCol w:w="1440"/>
        <w:gridCol w:w="2265"/>
        <w:gridCol w:w="705"/>
      </w:tblGrid>
      <w:tr w14:paraId="2C03ADC5">
        <w:tblPrEx>
          <w:tblCellMar>
            <w:top w:w="0" w:type="dxa"/>
            <w:left w:w="108" w:type="dxa"/>
            <w:bottom w:w="0" w:type="dxa"/>
            <w:right w:w="108" w:type="dxa"/>
          </w:tblCellMar>
        </w:tblPrEx>
        <w:trPr>
          <w:trHeight w:val="154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5F4401F5">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137" w:type="dxa"/>
            <w:tcBorders>
              <w:top w:val="single" w:color="auto" w:sz="4" w:space="0"/>
              <w:left w:val="nil"/>
              <w:bottom w:val="single" w:color="auto" w:sz="4" w:space="0"/>
              <w:right w:val="single" w:color="auto" w:sz="4" w:space="0"/>
            </w:tcBorders>
            <w:noWrap w:val="0"/>
            <w:vAlign w:val="center"/>
          </w:tcPr>
          <w:p w14:paraId="7302EA6B">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2325" w:type="dxa"/>
            <w:tcBorders>
              <w:top w:val="single" w:color="auto" w:sz="4" w:space="0"/>
              <w:left w:val="nil"/>
              <w:bottom w:val="single" w:color="auto" w:sz="4" w:space="0"/>
              <w:right w:val="single" w:color="auto" w:sz="4" w:space="0"/>
            </w:tcBorders>
            <w:noWrap w:val="0"/>
            <w:vAlign w:val="center"/>
          </w:tcPr>
          <w:p w14:paraId="2907D179">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技术参数及</w:t>
            </w:r>
          </w:p>
          <w:p w14:paraId="7A85A07B">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型号规格</w:t>
            </w:r>
          </w:p>
        </w:tc>
        <w:tc>
          <w:tcPr>
            <w:tcW w:w="1410" w:type="dxa"/>
            <w:tcBorders>
              <w:top w:val="single" w:color="auto" w:sz="4" w:space="0"/>
              <w:left w:val="nil"/>
              <w:bottom w:val="single" w:color="auto" w:sz="4" w:space="0"/>
              <w:right w:val="single" w:color="auto" w:sz="4" w:space="0"/>
            </w:tcBorders>
            <w:noWrap w:val="0"/>
            <w:vAlign w:val="center"/>
          </w:tcPr>
          <w:p w14:paraId="71325423">
            <w:pPr>
              <w:widowControl/>
              <w:spacing w:line="280" w:lineRule="exact"/>
              <w:jc w:val="center"/>
              <w:rPr>
                <w:rFonts w:hint="eastAsia"/>
                <w:color w:val="auto"/>
                <w:highlight w:val="none"/>
              </w:rPr>
            </w:pPr>
            <w:r>
              <w:rPr>
                <w:rFonts w:hint="eastAsia"/>
                <w:color w:val="auto"/>
                <w:highlight w:val="none"/>
              </w:rPr>
              <w:t>数量及单位</w:t>
            </w:r>
          </w:p>
          <w:p w14:paraId="74F5C5D2">
            <w:pPr>
              <w:pStyle w:val="44"/>
              <w:ind w:left="0" w:leftChars="0" w:firstLine="0" w:firstLineChars="0"/>
              <w:jc w:val="center"/>
              <w:rPr>
                <w:rFonts w:hint="eastAsia"/>
                <w:color w:val="auto"/>
                <w:highlight w:val="none"/>
              </w:rPr>
            </w:pPr>
            <w:r>
              <w:rPr>
                <w:rFonts w:hint="eastAsia" w:hAnsi="宋体"/>
                <w:color w:val="auto"/>
                <w:kern w:val="0"/>
                <w:sz w:val="24"/>
                <w:szCs w:val="24"/>
                <w:highlight w:val="none"/>
              </w:rPr>
              <w:t>（吨）</w:t>
            </w:r>
          </w:p>
        </w:tc>
        <w:tc>
          <w:tcPr>
            <w:tcW w:w="1440" w:type="dxa"/>
            <w:tcBorders>
              <w:top w:val="single" w:color="auto" w:sz="4" w:space="0"/>
              <w:left w:val="nil"/>
              <w:bottom w:val="single" w:color="auto" w:sz="4" w:space="0"/>
              <w:right w:val="single" w:color="auto" w:sz="4" w:space="0"/>
            </w:tcBorders>
            <w:noWrap w:val="0"/>
            <w:vAlign w:val="center"/>
          </w:tcPr>
          <w:p w14:paraId="3F65B3A3">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投标单价</w:t>
            </w:r>
          </w:p>
          <w:p w14:paraId="44A070A8">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（元/吨，含税含运费)</w:t>
            </w:r>
          </w:p>
          <w:p w14:paraId="011F0807">
            <w:pPr>
              <w:keepNext w:val="0"/>
              <w:keepLines w:val="0"/>
              <w:pageBreakBefore w:val="0"/>
              <w:kinsoku/>
              <w:wordWrap/>
              <w:overflowPunct/>
              <w:topLinePunct w:val="0"/>
              <w:autoSpaceDE/>
              <w:autoSpaceDN/>
              <w:bidi w:val="0"/>
              <w:adjustRightInd/>
              <w:spacing w:line="400" w:lineRule="exact"/>
              <w:jc w:val="center"/>
              <w:textAlignment w:val="auto"/>
              <w:rPr>
                <w:rFonts w:hint="eastAsia" w:hAnsi="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序号①</w:t>
            </w:r>
          </w:p>
        </w:tc>
        <w:tc>
          <w:tcPr>
            <w:tcW w:w="2265" w:type="dxa"/>
            <w:tcBorders>
              <w:top w:val="single" w:color="auto" w:sz="4" w:space="0"/>
              <w:left w:val="nil"/>
              <w:bottom w:val="single" w:color="auto" w:sz="4" w:space="0"/>
              <w:right w:val="single" w:color="auto" w:sz="4" w:space="0"/>
            </w:tcBorders>
            <w:noWrap w:val="0"/>
            <w:vAlign w:val="center"/>
          </w:tcPr>
          <w:p w14:paraId="62BAAE35">
            <w:pPr>
              <w:keepNext w:val="0"/>
              <w:keepLines w:val="0"/>
              <w:pageBreakBefore w:val="0"/>
              <w:widowControl/>
              <w:kinsoku/>
              <w:wordWrap/>
              <w:overflowPunct/>
              <w:topLinePunct w:val="0"/>
              <w:autoSpaceDE/>
              <w:autoSpaceDN/>
              <w:bidi w:val="0"/>
              <w:adjustRightInd/>
              <w:spacing w:line="400" w:lineRule="exact"/>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投标报价（元）</w:t>
            </w:r>
          </w:p>
          <w:p w14:paraId="327224D5">
            <w:pPr>
              <w:keepNext w:val="0"/>
              <w:keepLines w:val="0"/>
              <w:pageBreakBefore w:val="0"/>
              <w:kinsoku/>
              <w:wordWrap/>
              <w:overflowPunct/>
              <w:topLinePunct w:val="0"/>
              <w:autoSpaceDE/>
              <w:autoSpaceDN/>
              <w:bidi w:val="0"/>
              <w:adjustRightInd/>
              <w:spacing w:line="400" w:lineRule="exact"/>
              <w:jc w:val="center"/>
              <w:textAlignment w:val="auto"/>
              <w:rPr>
                <w:rFonts w:hint="default" w:ascii="宋体" w:hAnsi="宋体" w:cs="宋体"/>
                <w:color w:val="auto"/>
                <w:kern w:val="0"/>
                <w:sz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序号②=序号①×260000</w:t>
            </w:r>
          </w:p>
        </w:tc>
        <w:tc>
          <w:tcPr>
            <w:tcW w:w="705" w:type="dxa"/>
            <w:tcBorders>
              <w:top w:val="single" w:color="auto" w:sz="4" w:space="0"/>
              <w:left w:val="nil"/>
              <w:bottom w:val="single" w:color="auto" w:sz="4" w:space="0"/>
              <w:right w:val="single" w:color="auto" w:sz="4" w:space="0"/>
            </w:tcBorders>
            <w:noWrap w:val="0"/>
            <w:vAlign w:val="center"/>
          </w:tcPr>
          <w:p w14:paraId="3C7C2E3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cs="宋体"/>
                <w:color w:val="auto"/>
                <w:kern w:val="0"/>
                <w:sz w:val="24"/>
                <w:highlight w:val="none"/>
              </w:rPr>
            </w:pPr>
            <w:r>
              <w:rPr>
                <w:rFonts w:hint="eastAsia" w:asciiTheme="minorEastAsia" w:hAnsiTheme="minorEastAsia" w:eastAsiaTheme="minorEastAsia" w:cstheme="minorEastAsia"/>
                <w:color w:val="auto"/>
                <w:sz w:val="24"/>
                <w:szCs w:val="24"/>
                <w:highlight w:val="none"/>
              </w:rPr>
              <w:t>备注</w:t>
            </w:r>
          </w:p>
        </w:tc>
      </w:tr>
      <w:tr w14:paraId="276B15FD">
        <w:tblPrEx>
          <w:tblCellMar>
            <w:top w:w="0" w:type="dxa"/>
            <w:left w:w="108" w:type="dxa"/>
            <w:bottom w:w="0" w:type="dxa"/>
            <w:right w:w="108" w:type="dxa"/>
          </w:tblCellMar>
        </w:tblPrEx>
        <w:trPr>
          <w:trHeight w:val="737" w:hRule="exact"/>
        </w:trPr>
        <w:tc>
          <w:tcPr>
            <w:tcW w:w="552" w:type="dxa"/>
            <w:vMerge w:val="restart"/>
            <w:tcBorders>
              <w:top w:val="nil"/>
              <w:left w:val="single" w:color="auto" w:sz="4" w:space="0"/>
              <w:right w:val="single" w:color="auto" w:sz="4" w:space="0"/>
            </w:tcBorders>
            <w:noWrap w:val="0"/>
            <w:vAlign w:val="center"/>
          </w:tcPr>
          <w:p w14:paraId="738401C8">
            <w:pPr>
              <w:widowControl/>
              <w:spacing w:line="2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37" w:type="dxa"/>
            <w:vMerge w:val="restart"/>
            <w:tcBorders>
              <w:top w:val="nil"/>
              <w:left w:val="nil"/>
              <w:right w:val="single" w:color="auto" w:sz="4" w:space="0"/>
            </w:tcBorders>
            <w:noWrap w:val="0"/>
            <w:vAlign w:val="center"/>
          </w:tcPr>
          <w:p w14:paraId="2E625B3D">
            <w:pPr>
              <w:widowControl/>
              <w:spacing w:line="2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石灰岩</w:t>
            </w:r>
          </w:p>
          <w:p w14:paraId="12B7505E">
            <w:pPr>
              <w:widowControl/>
              <w:spacing w:line="280" w:lineRule="exact"/>
              <w:jc w:val="center"/>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eastAsia="zh-CN"/>
              </w:rPr>
              <w:t>（整形）</w:t>
            </w:r>
          </w:p>
        </w:tc>
        <w:tc>
          <w:tcPr>
            <w:tcW w:w="2325" w:type="dxa"/>
            <w:tcBorders>
              <w:top w:val="nil"/>
              <w:left w:val="nil"/>
              <w:bottom w:val="single" w:color="auto" w:sz="4" w:space="0"/>
              <w:right w:val="single" w:color="auto" w:sz="4" w:space="0"/>
            </w:tcBorders>
            <w:noWrap w:val="0"/>
            <w:vAlign w:val="center"/>
          </w:tcPr>
          <w:p w14:paraId="03AC0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1FC97E89">
            <w:pPr>
              <w:spacing w:line="24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55000</w:t>
            </w:r>
          </w:p>
        </w:tc>
        <w:tc>
          <w:tcPr>
            <w:tcW w:w="1440" w:type="dxa"/>
            <w:vMerge w:val="restart"/>
            <w:tcBorders>
              <w:top w:val="nil"/>
              <w:left w:val="nil"/>
              <w:right w:val="single" w:color="auto" w:sz="4" w:space="0"/>
            </w:tcBorders>
            <w:noWrap w:val="0"/>
            <w:vAlign w:val="center"/>
          </w:tcPr>
          <w:p w14:paraId="1EB06E0C">
            <w:pPr>
              <w:widowControl/>
              <w:spacing w:line="280" w:lineRule="exact"/>
              <w:jc w:val="center"/>
              <w:rPr>
                <w:rFonts w:hint="eastAsia" w:ascii="宋体" w:hAnsi="宋体" w:cs="宋体"/>
                <w:color w:val="auto"/>
                <w:kern w:val="0"/>
                <w:sz w:val="24"/>
                <w:highlight w:val="none"/>
              </w:rPr>
            </w:pPr>
          </w:p>
        </w:tc>
        <w:tc>
          <w:tcPr>
            <w:tcW w:w="2265" w:type="dxa"/>
            <w:vMerge w:val="restart"/>
            <w:tcBorders>
              <w:top w:val="nil"/>
              <w:left w:val="nil"/>
              <w:right w:val="single" w:color="auto" w:sz="4" w:space="0"/>
            </w:tcBorders>
            <w:noWrap w:val="0"/>
            <w:vAlign w:val="center"/>
          </w:tcPr>
          <w:p w14:paraId="6123E661">
            <w:pPr>
              <w:widowControl/>
              <w:spacing w:line="280" w:lineRule="exact"/>
              <w:jc w:val="center"/>
              <w:rPr>
                <w:rFonts w:hint="eastAsia" w:ascii="宋体" w:hAnsi="宋体" w:cs="宋体"/>
                <w:color w:val="auto"/>
                <w:kern w:val="0"/>
                <w:sz w:val="24"/>
                <w:highlight w:val="none"/>
              </w:rPr>
            </w:pPr>
          </w:p>
        </w:tc>
        <w:tc>
          <w:tcPr>
            <w:tcW w:w="705" w:type="dxa"/>
            <w:vMerge w:val="restart"/>
            <w:tcBorders>
              <w:top w:val="nil"/>
              <w:left w:val="nil"/>
              <w:right w:val="single" w:color="auto" w:sz="4" w:space="0"/>
            </w:tcBorders>
            <w:noWrap w:val="0"/>
            <w:vAlign w:val="center"/>
          </w:tcPr>
          <w:p w14:paraId="43802E3E">
            <w:pPr>
              <w:widowControl/>
              <w:spacing w:line="280" w:lineRule="exact"/>
              <w:jc w:val="center"/>
              <w:rPr>
                <w:rFonts w:hint="eastAsia" w:ascii="宋体" w:hAnsi="宋体" w:cs="宋体"/>
                <w:color w:val="auto"/>
                <w:kern w:val="0"/>
                <w:sz w:val="24"/>
                <w:highlight w:val="none"/>
              </w:rPr>
            </w:pPr>
          </w:p>
        </w:tc>
      </w:tr>
      <w:tr w14:paraId="140AF5E8">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316A715C">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4C956233">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188208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410" w:type="dxa"/>
            <w:tcBorders>
              <w:top w:val="nil"/>
              <w:left w:val="nil"/>
              <w:bottom w:val="single" w:color="auto" w:sz="4" w:space="0"/>
              <w:right w:val="single" w:color="auto" w:sz="4" w:space="0"/>
            </w:tcBorders>
            <w:noWrap w:val="0"/>
            <w:vAlign w:val="center"/>
          </w:tcPr>
          <w:p w14:paraId="5F3E6ABA">
            <w:pPr>
              <w:spacing w:line="24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10000</w:t>
            </w:r>
          </w:p>
        </w:tc>
        <w:tc>
          <w:tcPr>
            <w:tcW w:w="1440" w:type="dxa"/>
            <w:vMerge w:val="continue"/>
            <w:tcBorders>
              <w:left w:val="nil"/>
              <w:right w:val="single" w:color="auto" w:sz="4" w:space="0"/>
            </w:tcBorders>
            <w:noWrap w:val="0"/>
            <w:vAlign w:val="center"/>
          </w:tcPr>
          <w:p w14:paraId="32B479D6">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376DF001">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4B0A1887">
            <w:pPr>
              <w:widowControl/>
              <w:spacing w:line="280" w:lineRule="exact"/>
              <w:jc w:val="center"/>
              <w:rPr>
                <w:rFonts w:hint="eastAsia" w:ascii="宋体" w:hAnsi="宋体" w:cs="宋体"/>
                <w:color w:val="auto"/>
                <w:kern w:val="0"/>
                <w:sz w:val="24"/>
                <w:highlight w:val="none"/>
              </w:rPr>
            </w:pPr>
          </w:p>
        </w:tc>
      </w:tr>
      <w:tr w14:paraId="1B490B9A">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0492D15B">
            <w:pPr>
              <w:widowControl/>
              <w:spacing w:line="280" w:lineRule="exact"/>
              <w:jc w:val="center"/>
              <w:rPr>
                <w:rFonts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68B4E155">
            <w:pPr>
              <w:widowControl/>
              <w:spacing w:line="280" w:lineRule="exact"/>
              <w:jc w:val="center"/>
              <w:rPr>
                <w:rFonts w:hint="eastAsia" w:ascii="宋体" w:hAnsi="宋体" w:cs="宋体"/>
                <w:color w:val="auto"/>
                <w:kern w:val="0"/>
                <w:sz w:val="24"/>
                <w:highlight w:val="none"/>
              </w:rPr>
            </w:pPr>
          </w:p>
        </w:tc>
        <w:tc>
          <w:tcPr>
            <w:tcW w:w="2325" w:type="dxa"/>
            <w:tcBorders>
              <w:top w:val="nil"/>
              <w:left w:val="nil"/>
              <w:bottom w:val="single" w:color="auto" w:sz="4" w:space="0"/>
              <w:right w:val="single" w:color="auto" w:sz="4" w:space="0"/>
            </w:tcBorders>
            <w:noWrap w:val="0"/>
            <w:vAlign w:val="center"/>
          </w:tcPr>
          <w:p w14:paraId="1C026C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40548A44">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85000</w:t>
            </w:r>
          </w:p>
        </w:tc>
        <w:tc>
          <w:tcPr>
            <w:tcW w:w="1440" w:type="dxa"/>
            <w:vMerge w:val="continue"/>
            <w:tcBorders>
              <w:left w:val="nil"/>
              <w:right w:val="single" w:color="auto" w:sz="4" w:space="0"/>
            </w:tcBorders>
            <w:noWrap w:val="0"/>
            <w:vAlign w:val="center"/>
          </w:tcPr>
          <w:p w14:paraId="00B8349D">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45639432">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6A5A592B">
            <w:pPr>
              <w:widowControl/>
              <w:spacing w:line="280" w:lineRule="exact"/>
              <w:jc w:val="center"/>
              <w:rPr>
                <w:rFonts w:hint="eastAsia" w:ascii="宋体" w:hAnsi="宋体" w:cs="宋体"/>
                <w:color w:val="auto"/>
                <w:kern w:val="0"/>
                <w:sz w:val="24"/>
                <w:highlight w:val="none"/>
              </w:rPr>
            </w:pPr>
          </w:p>
        </w:tc>
      </w:tr>
      <w:tr w14:paraId="031B2913">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6CE766D5">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1DC13384">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098A2F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1C4D47E2">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30000</w:t>
            </w:r>
          </w:p>
        </w:tc>
        <w:tc>
          <w:tcPr>
            <w:tcW w:w="1440" w:type="dxa"/>
            <w:vMerge w:val="continue"/>
            <w:tcBorders>
              <w:left w:val="nil"/>
              <w:right w:val="single" w:color="auto" w:sz="4" w:space="0"/>
            </w:tcBorders>
            <w:noWrap w:val="0"/>
            <w:vAlign w:val="center"/>
          </w:tcPr>
          <w:p w14:paraId="450CBF32">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5255D43F">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7365234F">
            <w:pPr>
              <w:widowControl/>
              <w:spacing w:line="280" w:lineRule="exact"/>
              <w:jc w:val="center"/>
              <w:rPr>
                <w:rFonts w:hint="eastAsia" w:ascii="宋体" w:hAnsi="宋体" w:cs="宋体"/>
                <w:color w:val="auto"/>
                <w:kern w:val="0"/>
                <w:sz w:val="24"/>
                <w:highlight w:val="none"/>
              </w:rPr>
            </w:pPr>
          </w:p>
        </w:tc>
      </w:tr>
      <w:tr w14:paraId="14B533AD">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10F5E8AB">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0B47777F">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09F9E7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 xml:space="preserve"> 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26E847AE">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60000</w:t>
            </w:r>
          </w:p>
        </w:tc>
        <w:tc>
          <w:tcPr>
            <w:tcW w:w="1440" w:type="dxa"/>
            <w:vMerge w:val="continue"/>
            <w:tcBorders>
              <w:left w:val="nil"/>
              <w:right w:val="single" w:color="auto" w:sz="4" w:space="0"/>
            </w:tcBorders>
            <w:noWrap w:val="0"/>
            <w:vAlign w:val="center"/>
          </w:tcPr>
          <w:p w14:paraId="286F57C8">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00429271">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3DF7FDE2">
            <w:pPr>
              <w:widowControl/>
              <w:spacing w:line="280" w:lineRule="exact"/>
              <w:jc w:val="center"/>
              <w:rPr>
                <w:rFonts w:hint="eastAsia" w:ascii="宋体" w:hAnsi="宋体" w:cs="宋体"/>
                <w:color w:val="auto"/>
                <w:kern w:val="0"/>
                <w:sz w:val="24"/>
                <w:highlight w:val="none"/>
              </w:rPr>
            </w:pPr>
          </w:p>
        </w:tc>
      </w:tr>
      <w:tr w14:paraId="428011D9">
        <w:tblPrEx>
          <w:tblCellMar>
            <w:top w:w="0" w:type="dxa"/>
            <w:left w:w="108" w:type="dxa"/>
            <w:bottom w:w="0" w:type="dxa"/>
            <w:right w:w="108" w:type="dxa"/>
          </w:tblCellMar>
        </w:tblPrEx>
        <w:trPr>
          <w:trHeight w:val="737" w:hRule="exact"/>
        </w:trPr>
        <w:tc>
          <w:tcPr>
            <w:tcW w:w="552" w:type="dxa"/>
            <w:vMerge w:val="continue"/>
            <w:tcBorders>
              <w:left w:val="single" w:color="auto" w:sz="4" w:space="0"/>
              <w:bottom w:val="single" w:color="auto" w:sz="4" w:space="0"/>
              <w:right w:val="single" w:color="auto" w:sz="4" w:space="0"/>
            </w:tcBorders>
            <w:noWrap w:val="0"/>
            <w:vAlign w:val="center"/>
          </w:tcPr>
          <w:p w14:paraId="01A4131A">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bottom w:val="single" w:color="auto" w:sz="4" w:space="0"/>
              <w:right w:val="single" w:color="auto" w:sz="4" w:space="0"/>
            </w:tcBorders>
            <w:noWrap w:val="0"/>
            <w:vAlign w:val="center"/>
          </w:tcPr>
          <w:p w14:paraId="5013247C">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1FFDCB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eastAsia="宋体" w:cs="Arial"/>
                <w:bCs/>
                <w:color w:val="auto"/>
                <w:sz w:val="24"/>
                <w:highlight w:val="none"/>
              </w:rPr>
              <w:t>26.5-32（网规格32*32mm）</w:t>
            </w:r>
          </w:p>
        </w:tc>
        <w:tc>
          <w:tcPr>
            <w:tcW w:w="1410" w:type="dxa"/>
            <w:tcBorders>
              <w:top w:val="nil"/>
              <w:left w:val="nil"/>
              <w:bottom w:val="single" w:color="auto" w:sz="4" w:space="0"/>
              <w:right w:val="single" w:color="auto" w:sz="4" w:space="0"/>
            </w:tcBorders>
            <w:noWrap w:val="0"/>
            <w:vAlign w:val="center"/>
          </w:tcPr>
          <w:p w14:paraId="41F05441">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20000</w:t>
            </w:r>
          </w:p>
        </w:tc>
        <w:tc>
          <w:tcPr>
            <w:tcW w:w="1440" w:type="dxa"/>
            <w:vMerge w:val="continue"/>
            <w:tcBorders>
              <w:left w:val="nil"/>
              <w:bottom w:val="single" w:color="auto" w:sz="4" w:space="0"/>
              <w:right w:val="single" w:color="auto" w:sz="4" w:space="0"/>
            </w:tcBorders>
            <w:noWrap w:val="0"/>
            <w:vAlign w:val="center"/>
          </w:tcPr>
          <w:p w14:paraId="686CA9AC">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bottom w:val="single" w:color="auto" w:sz="4" w:space="0"/>
              <w:right w:val="single" w:color="auto" w:sz="4" w:space="0"/>
            </w:tcBorders>
            <w:noWrap w:val="0"/>
            <w:vAlign w:val="center"/>
          </w:tcPr>
          <w:p w14:paraId="15B1F713">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bottom w:val="single" w:color="auto" w:sz="4" w:space="0"/>
              <w:right w:val="single" w:color="auto" w:sz="4" w:space="0"/>
            </w:tcBorders>
            <w:noWrap w:val="0"/>
            <w:vAlign w:val="center"/>
          </w:tcPr>
          <w:p w14:paraId="50E9E1A3">
            <w:pPr>
              <w:widowControl/>
              <w:spacing w:line="280" w:lineRule="exact"/>
              <w:jc w:val="center"/>
              <w:rPr>
                <w:rFonts w:hint="eastAsia" w:ascii="宋体" w:hAnsi="宋体" w:cs="宋体"/>
                <w:color w:val="auto"/>
                <w:kern w:val="0"/>
                <w:sz w:val="24"/>
                <w:highlight w:val="none"/>
              </w:rPr>
            </w:pPr>
          </w:p>
        </w:tc>
      </w:tr>
      <w:tr w14:paraId="70376814">
        <w:tblPrEx>
          <w:tblCellMar>
            <w:top w:w="0" w:type="dxa"/>
            <w:left w:w="108" w:type="dxa"/>
            <w:bottom w:w="0" w:type="dxa"/>
            <w:right w:w="108" w:type="dxa"/>
          </w:tblCellMar>
        </w:tblPrEx>
        <w:trPr>
          <w:trHeight w:val="1134" w:hRule="exact"/>
        </w:trPr>
        <w:tc>
          <w:tcPr>
            <w:tcW w:w="552" w:type="dxa"/>
            <w:tcBorders>
              <w:top w:val="single" w:color="auto" w:sz="4" w:space="0"/>
              <w:left w:val="single" w:color="auto" w:sz="4" w:space="0"/>
              <w:bottom w:val="single" w:color="auto" w:sz="4" w:space="0"/>
              <w:right w:val="single" w:color="auto" w:sz="4" w:space="0"/>
            </w:tcBorders>
            <w:noWrap w:val="0"/>
            <w:vAlign w:val="center"/>
          </w:tcPr>
          <w:p w14:paraId="5857B2B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2</w:t>
            </w:r>
          </w:p>
        </w:tc>
        <w:tc>
          <w:tcPr>
            <w:tcW w:w="9282" w:type="dxa"/>
            <w:gridSpan w:val="6"/>
            <w:tcBorders>
              <w:left w:val="nil"/>
              <w:bottom w:val="single" w:color="auto" w:sz="4" w:space="0"/>
              <w:right w:val="single" w:color="auto" w:sz="4" w:space="0"/>
            </w:tcBorders>
            <w:noWrap w:val="0"/>
            <w:vAlign w:val="center"/>
          </w:tcPr>
          <w:p w14:paraId="240A66EF">
            <w:pPr>
              <w:widowControl/>
              <w:spacing w:line="280" w:lineRule="exact"/>
              <w:jc w:val="left"/>
              <w:rPr>
                <w:rFonts w:hint="eastAsia" w:ascii="宋体" w:hAnsi="宋体" w:cs="宋体"/>
                <w:color w:val="auto"/>
                <w:sz w:val="24"/>
                <w:highlight w:val="non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元）</w:t>
            </w:r>
          </w:p>
        </w:tc>
      </w:tr>
    </w:tbl>
    <w:p w14:paraId="5B31163E">
      <w:pPr>
        <w:pStyle w:val="25"/>
        <w:keepNext w:val="0"/>
        <w:keepLines w:val="0"/>
        <w:pageBreakBefore w:val="0"/>
        <w:widowControl w:val="0"/>
        <w:tabs>
          <w:tab w:val="left" w:pos="900"/>
        </w:tabs>
        <w:kinsoku/>
        <w:wordWrap/>
        <w:overflowPunct/>
        <w:topLinePunct w:val="0"/>
        <w:autoSpaceDE/>
        <w:autoSpaceDN/>
        <w:bidi w:val="0"/>
        <w:adjustRightInd/>
        <w:snapToGrid w:val="0"/>
        <w:spacing w:line="400" w:lineRule="exact"/>
        <w:jc w:val="left"/>
        <w:textAlignment w:val="auto"/>
        <w:rPr>
          <w:rFonts w:hint="eastAsia" w:ascii="宋体" w:hAnsi="宋体"/>
          <w:b/>
          <w:bCs/>
          <w:color w:val="auto"/>
          <w:sz w:val="24"/>
          <w:highlight w:val="none"/>
          <w:lang w:val="en-US" w:eastAsia="zh-CN"/>
        </w:rPr>
      </w:pPr>
      <w:r>
        <w:rPr>
          <w:rFonts w:hint="eastAsia" w:ascii="宋体" w:hAnsi="宋体" w:cs="宋体"/>
          <w:b/>
          <w:bCs/>
          <w:color w:val="auto"/>
          <w:sz w:val="24"/>
          <w:highlight w:val="none"/>
        </w:rPr>
        <w:t>注：</w:t>
      </w:r>
      <w:r>
        <w:rPr>
          <w:rFonts w:hint="eastAsia" w:ascii="宋体" w:hAnsi="宋体" w:cs="宋体"/>
          <w:color w:val="auto"/>
          <w:sz w:val="24"/>
          <w:highlight w:val="none"/>
        </w:rPr>
        <w:t>1.</w:t>
      </w:r>
      <w:r>
        <w:rPr>
          <w:rFonts w:hint="eastAsia" w:ascii="宋体" w:hAnsi="宋体"/>
          <w:b/>
          <w:bCs/>
          <w:color w:val="auto"/>
          <w:sz w:val="24"/>
          <w:highlight w:val="none"/>
          <w:lang w:val="en-US" w:eastAsia="zh-CN"/>
        </w:rPr>
        <w:t>本项目采购预算为人民币29900000元，超过预算的报价作无效标处理。</w:t>
      </w:r>
    </w:p>
    <w:p w14:paraId="5C8DED6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w:t>
      </w:r>
      <w:r>
        <w:rPr>
          <w:rFonts w:hint="eastAsia" w:ascii="宋体" w:hAnsi="宋体" w:eastAsia="宋体" w:cs="宋体"/>
          <w:color w:val="auto"/>
          <w:sz w:val="24"/>
          <w:highlight w:val="none"/>
        </w:rPr>
        <w:t>根据</w:t>
      </w:r>
      <w:r>
        <w:rPr>
          <w:rFonts w:hint="eastAsia" w:ascii="宋体" w:hAnsi="宋体" w:cs="宋体"/>
          <w:color w:val="auto"/>
          <w:sz w:val="24"/>
          <w:highlight w:val="none"/>
        </w:rPr>
        <w:t>实际情况可在表中报价明细的基础上进行扩展。</w:t>
      </w:r>
    </w:p>
    <w:p w14:paraId="26D506C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.上表所述“总报价”应与“开标一览表”中的总报价一致，如有矛盾，以“开标一览表”中的为准。</w:t>
      </w:r>
    </w:p>
    <w:p w14:paraId="5217699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结算时需提供税率为13%的增值税专用发票。</w:t>
      </w:r>
    </w:p>
    <w:p w14:paraId="684A685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highlight w:val="none"/>
          <w:lang w:val="en-US" w:eastAsia="zh-CN"/>
        </w:rPr>
      </w:pPr>
    </w:p>
    <w:p w14:paraId="396DC671">
      <w:pPr>
        <w:snapToGrid w:val="0"/>
        <w:spacing w:line="360" w:lineRule="auto"/>
        <w:rPr>
          <w:rFonts w:hint="eastAsia" w:ascii="宋体" w:hAnsi="宋体" w:cs="宋体"/>
          <w:color w:val="auto"/>
          <w:sz w:val="24"/>
          <w:highlight w:val="none"/>
        </w:rPr>
      </w:pPr>
    </w:p>
    <w:p w14:paraId="30915810">
      <w:pPr>
        <w:pStyle w:val="44"/>
        <w:rPr>
          <w:rFonts w:hint="eastAsia"/>
          <w:color w:val="auto"/>
          <w:highlight w:val="none"/>
        </w:rPr>
      </w:pPr>
    </w:p>
    <w:p w14:paraId="6CE9949B">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67153B04">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46A33839">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5288EA9B">
      <w:pPr>
        <w:bidi w:val="0"/>
        <w:rPr>
          <w:rFonts w:hint="eastAsia"/>
          <w:color w:val="auto"/>
          <w:highlight w:val="none"/>
        </w:rPr>
      </w:pPr>
      <w:bookmarkStart w:id="267" w:name="_Toc19861"/>
      <w:bookmarkStart w:id="268" w:name="_Toc28316"/>
      <w:bookmarkStart w:id="269" w:name="_Toc29263"/>
      <w:bookmarkStart w:id="270" w:name="_Toc1813"/>
    </w:p>
    <w:p w14:paraId="1911E002">
      <w:pPr>
        <w:pStyle w:val="44"/>
        <w:rPr>
          <w:rFonts w:hint="eastAsia"/>
          <w:color w:val="auto"/>
          <w:highlight w:val="none"/>
        </w:rPr>
      </w:pPr>
    </w:p>
    <w:p w14:paraId="38BBAECE">
      <w:pPr>
        <w:numPr>
          <w:ilvl w:val="0"/>
          <w:numId w:val="17"/>
        </w:numPr>
        <w:bidi w:val="0"/>
        <w:jc w:val="center"/>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  </w:t>
      </w:r>
      <w:bookmarkStart w:id="271" w:name="_Toc3989"/>
      <w:bookmarkStart w:id="272" w:name="_Toc20603"/>
      <w:r>
        <w:rPr>
          <w:rFonts w:hint="eastAsia" w:ascii="宋体" w:hAnsi="宋体" w:eastAsia="宋体" w:cs="宋体"/>
          <w:b/>
          <w:color w:val="auto"/>
          <w:kern w:val="2"/>
          <w:sz w:val="28"/>
          <w:szCs w:val="28"/>
          <w:highlight w:val="none"/>
          <w:lang w:val="en-US" w:eastAsia="zh-CN" w:bidi="ar-SA"/>
        </w:rPr>
        <w:t>其它</w:t>
      </w:r>
      <w:bookmarkEnd w:id="267"/>
      <w:bookmarkEnd w:id="268"/>
      <w:bookmarkEnd w:id="269"/>
      <w:bookmarkEnd w:id="270"/>
      <w:bookmarkEnd w:id="271"/>
      <w:bookmarkEnd w:id="272"/>
    </w:p>
    <w:p w14:paraId="0211A28D">
      <w:pPr>
        <w:pStyle w:val="103"/>
        <w:widowControl w:val="0"/>
        <w:snapToGrid w:val="0"/>
        <w:spacing w:line="500" w:lineRule="exact"/>
        <w:jc w:val="center"/>
        <w:rPr>
          <w:rFonts w:hAnsi="宋体" w:cs="宋体"/>
          <w:b/>
          <w:color w:val="auto"/>
          <w:sz w:val="28"/>
          <w:szCs w:val="28"/>
          <w:highlight w:val="none"/>
        </w:rPr>
      </w:pPr>
      <w:r>
        <w:rPr>
          <w:rFonts w:hAnsi="宋体" w:cs="宋体"/>
          <w:b/>
          <w:color w:val="auto"/>
          <w:sz w:val="28"/>
          <w:szCs w:val="28"/>
          <w:highlight w:val="none"/>
        </w:rPr>
        <w:t>采购活动现场确认声明书</w:t>
      </w:r>
    </w:p>
    <w:p w14:paraId="71344884">
      <w:pPr>
        <w:pStyle w:val="103"/>
        <w:widowControl w:val="0"/>
        <w:adjustRightInd w:val="0"/>
        <w:snapToGrid w:val="0"/>
        <w:spacing w:line="360" w:lineRule="auto"/>
        <w:jc w:val="both"/>
        <w:rPr>
          <w:rFonts w:hAnsi="宋体" w:cs="宋体"/>
          <w:color w:val="auto"/>
          <w:kern w:val="0"/>
          <w:szCs w:val="21"/>
          <w:highlight w:val="none"/>
          <w:u w:val="single"/>
        </w:rPr>
      </w:pPr>
    </w:p>
    <w:p w14:paraId="0C1072B3">
      <w:pPr>
        <w:pStyle w:val="103"/>
        <w:widowControl w:val="0"/>
        <w:adjustRightInd w:val="0"/>
        <w:snapToGrid w:val="0"/>
        <w:spacing w:line="360" w:lineRule="auto"/>
        <w:jc w:val="both"/>
        <w:rPr>
          <w:rFonts w:hAnsi="宋体" w:cs="宋体"/>
          <w:color w:val="auto"/>
          <w:kern w:val="0"/>
          <w:szCs w:val="21"/>
          <w:highlight w:val="none"/>
        </w:rPr>
      </w:pPr>
      <w:r>
        <w:rPr>
          <w:rFonts w:hint="eastAsia" w:hAnsi="宋体" w:cs="宋体"/>
          <w:color w:val="auto"/>
          <w:kern w:val="0"/>
          <w:szCs w:val="21"/>
          <w:highlight w:val="none"/>
          <w:u w:val="single"/>
          <w:lang w:eastAsia="zh-CN"/>
        </w:rPr>
        <w:t>浦江县交投贸易有限公司</w:t>
      </w:r>
      <w:r>
        <w:rPr>
          <w:rFonts w:hAnsi="宋体" w:cs="宋体"/>
          <w:color w:val="auto"/>
          <w:kern w:val="0"/>
          <w:szCs w:val="21"/>
          <w:highlight w:val="none"/>
        </w:rPr>
        <w:t>：</w:t>
      </w:r>
    </w:p>
    <w:p w14:paraId="555ED283">
      <w:pPr>
        <w:pStyle w:val="103"/>
        <w:widowControl w:val="0"/>
        <w:adjustRightInd w:val="0"/>
        <w:snapToGrid w:val="0"/>
        <w:spacing w:line="360" w:lineRule="auto"/>
        <w:jc w:val="both"/>
        <w:rPr>
          <w:rFonts w:hAnsi="宋体" w:cs="宋体"/>
          <w:color w:val="auto"/>
          <w:kern w:val="0"/>
          <w:szCs w:val="21"/>
          <w:highlight w:val="none"/>
        </w:rPr>
      </w:pPr>
      <w:r>
        <w:rPr>
          <w:rFonts w:hAnsi="宋体" w:cs="宋体"/>
          <w:color w:val="auto"/>
          <w:kern w:val="0"/>
          <w:szCs w:val="21"/>
          <w:highlight w:val="none"/>
          <w:u w:val="single"/>
        </w:rPr>
        <w:t>浦江县产权交易有限公司</w:t>
      </w:r>
      <w:r>
        <w:rPr>
          <w:rFonts w:hAnsi="宋体" w:cs="宋体"/>
          <w:color w:val="auto"/>
          <w:kern w:val="0"/>
          <w:szCs w:val="21"/>
          <w:highlight w:val="none"/>
        </w:rPr>
        <w:t>：</w:t>
      </w:r>
    </w:p>
    <w:p w14:paraId="695615C3">
      <w:pPr>
        <w:pStyle w:val="103"/>
        <w:widowControl w:val="0"/>
        <w:adjustRightInd w:val="0"/>
        <w:snapToGrid w:val="0"/>
        <w:spacing w:line="360" w:lineRule="auto"/>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浦江县交投贸易有限公司2024年-2025年石灰岩采购项目</w:t>
      </w:r>
      <w:r>
        <w:rPr>
          <w:rFonts w:hAnsi="宋体" w:cs="宋体"/>
          <w:color w:val="auto"/>
          <w:spacing w:val="6"/>
          <w:szCs w:val="21"/>
          <w:highlight w:val="none"/>
        </w:rPr>
        <w:t>（编号：</w:t>
      </w:r>
      <w:r>
        <w:rPr>
          <w:rFonts w:hint="eastAsia" w:hAnsi="宋体" w:cs="宋体"/>
          <w:color w:val="auto"/>
          <w:spacing w:val="6"/>
          <w:szCs w:val="21"/>
          <w:highlight w:val="none"/>
          <w:u w:val="single"/>
          <w:lang w:eastAsia="zh-CN"/>
        </w:rPr>
        <w:t>PJCQGK(JTMY)2024-1030</w:t>
      </w:r>
      <w:r>
        <w:rPr>
          <w:rFonts w:hAnsi="宋体" w:cs="宋体"/>
          <w:color w:val="auto"/>
          <w:spacing w:val="6"/>
          <w:szCs w:val="21"/>
          <w:highlight w:val="none"/>
        </w:rPr>
        <w:t xml:space="preserve">）采购活动，经与本单位法人代表（负责人）联系确认，现就有关公平竞争事项郑重声明如下： </w:t>
      </w:r>
    </w:p>
    <w:p w14:paraId="5C94154C">
      <w:pPr>
        <w:pStyle w:val="104"/>
        <w:widowControl/>
        <w:numPr>
          <w:ilvl w:val="0"/>
          <w:numId w:val="18"/>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298D5DB">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0CEDFF71">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64E8FCDF">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现已清楚知道参加本项目采购活动的其他所有投标人名称，本单位 □与其他所有投标人之间均不存在利害关系 □与</w:t>
      </w:r>
      <w:r>
        <w:rPr>
          <w:rFonts w:ascii="宋体" w:hAnsi="宋体" w:cs="宋体"/>
          <w:color w:val="auto"/>
          <w:kern w:val="0"/>
          <w:szCs w:val="21"/>
          <w:highlight w:val="none"/>
          <w:u w:val="single"/>
        </w:rPr>
        <w:t xml:space="preserve">           （投标人名称）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095F4E4F">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7152AC5C">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6F0C70C1">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1DE0DF49">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252E4360">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25EE8BA1">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25B51FD6">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47FD0875">
      <w:pPr>
        <w:pStyle w:val="103"/>
        <w:widowControl w:val="0"/>
        <w:adjustRightInd w:val="0"/>
        <w:snapToGrid w:val="0"/>
        <w:spacing w:line="360" w:lineRule="auto"/>
        <w:ind w:firstLine="200"/>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14A787DB">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55522CAB">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严格遵守采购法律法规和现场纪律。</w:t>
      </w:r>
    </w:p>
    <w:p w14:paraId="1BE91259">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投标人之间存在或可能存在上述第二条第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4AEC674B">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经检查确认所有投标人投标文件□不存在密封包装问题  □存在密封包装问题（具体指出）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491A272F">
      <w:pPr>
        <w:pStyle w:val="104"/>
        <w:widowControl/>
        <w:adjustRightInd w:val="0"/>
        <w:snapToGrid w:val="0"/>
        <w:spacing w:line="360" w:lineRule="auto"/>
        <w:rPr>
          <w:rFonts w:ascii="宋体" w:hAnsi="宋体" w:cs="宋体"/>
          <w:color w:val="auto"/>
          <w:kern w:val="0"/>
          <w:szCs w:val="21"/>
          <w:highlight w:val="none"/>
        </w:rPr>
      </w:pPr>
    </w:p>
    <w:p w14:paraId="50C02AA2">
      <w:pPr>
        <w:pStyle w:val="103"/>
        <w:widowControl w:val="0"/>
        <w:adjustRightInd w:val="0"/>
        <w:snapToGrid w:val="0"/>
        <w:spacing w:line="360" w:lineRule="auto"/>
        <w:ind w:firstLine="420" w:firstLineChars="200"/>
        <w:jc w:val="both"/>
        <w:rPr>
          <w:rFonts w:hAnsi="宋体" w:cs="宋体"/>
          <w:color w:val="auto"/>
          <w:szCs w:val="21"/>
          <w:highlight w:val="none"/>
        </w:rPr>
      </w:pPr>
      <w:r>
        <w:rPr>
          <w:rFonts w:hAnsi="宋体" w:cs="宋体"/>
          <w:color w:val="auto"/>
          <w:szCs w:val="21"/>
          <w:highlight w:val="none"/>
        </w:rPr>
        <w:t xml:space="preserve">                                （投标人代表签名）</w:t>
      </w:r>
    </w:p>
    <w:p w14:paraId="183DA0DF">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bookmarkEnd w:id="0"/>
    <w:p w14:paraId="42CC76E5">
      <w:pPr>
        <w:widowControl/>
        <w:spacing w:before="100" w:beforeAutospacing="1" w:after="100" w:afterAutospacing="1" w:line="300" w:lineRule="atLeast"/>
        <w:jc w:val="left"/>
        <w:rPr>
          <w:rFonts w:hint="eastAsia" w:ascii="宋体" w:hAnsi="宋体" w:cs="宋体"/>
          <w:b/>
          <w:bCs/>
          <w:color w:val="auto"/>
          <w:kern w:val="0"/>
          <w:sz w:val="28"/>
          <w:szCs w:val="28"/>
          <w:highlight w:val="none"/>
          <w:lang w:eastAsia="zh-CN"/>
        </w:rPr>
      </w:pPr>
      <w:r>
        <w:rPr>
          <w:rFonts w:hint="eastAsia" w:ascii="宋体" w:hAnsi="宋体" w:cs="宋体"/>
          <w:b/>
          <w:bCs/>
          <w:color w:val="auto"/>
          <w:kern w:val="0"/>
          <w:sz w:val="24"/>
          <w:szCs w:val="24"/>
          <w:highlight w:val="none"/>
          <w:lang w:eastAsia="zh-CN"/>
        </w:rPr>
        <w:t>注：</w:t>
      </w:r>
      <w:r>
        <w:rPr>
          <w:rFonts w:hint="eastAsia" w:ascii="宋体" w:hAnsi="宋体" w:cs="宋体"/>
          <w:b/>
          <w:bCs/>
          <w:color w:val="auto"/>
          <w:kern w:val="0"/>
          <w:sz w:val="24"/>
          <w:szCs w:val="24"/>
          <w:highlight w:val="none"/>
        </w:rPr>
        <w:t>结束解密后，投标人通过邮件形式将经授权代表签署的《采购活动现场确认声明书》扫描件发至代理机构经办人邮箱（邮箱地址：524416712@qq.com）</w:t>
      </w:r>
      <w:r>
        <w:rPr>
          <w:rFonts w:hint="eastAsia" w:ascii="宋体" w:hAnsi="宋体" w:cs="宋体"/>
          <w:b/>
          <w:bCs/>
          <w:color w:val="auto"/>
          <w:kern w:val="0"/>
          <w:sz w:val="24"/>
          <w:szCs w:val="24"/>
          <w:highlight w:val="none"/>
          <w:lang w:eastAsia="zh-CN"/>
        </w:rPr>
        <w:t>。</w:t>
      </w:r>
    </w:p>
    <w:p w14:paraId="6C0E40C0">
      <w:pPr>
        <w:widowControl/>
        <w:spacing w:before="100" w:beforeAutospacing="1" w:after="100" w:afterAutospacing="1" w:line="300" w:lineRule="atLeast"/>
        <w:jc w:val="left"/>
        <w:outlineLvl w:val="0"/>
        <w:rPr>
          <w:rFonts w:ascii="宋体" w:hAnsi="宋体" w:cs="宋体"/>
          <w:color w:val="auto"/>
          <w:kern w:val="0"/>
          <w:sz w:val="28"/>
          <w:szCs w:val="28"/>
          <w:highlight w:val="none"/>
        </w:rPr>
      </w:pPr>
      <w:bookmarkStart w:id="273" w:name="_Toc1676"/>
      <w:bookmarkStart w:id="274" w:name="_Toc22705"/>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bookmarkEnd w:id="273"/>
      <w:bookmarkEnd w:id="274"/>
      <w:r>
        <w:rPr>
          <w:rFonts w:hint="eastAsia" w:ascii="宋体" w:hAnsi="宋体" w:cs="宋体"/>
          <w:color w:val="auto"/>
          <w:kern w:val="0"/>
          <w:sz w:val="28"/>
          <w:szCs w:val="28"/>
          <w:highlight w:val="none"/>
        </w:rPr>
        <w:t xml:space="preserve"> </w:t>
      </w:r>
    </w:p>
    <w:tbl>
      <w:tblPr>
        <w:tblStyle w:val="4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0E26A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A1737A2">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23B7BA41">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12F9CC58">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44EC813">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96A1C2C">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181781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0C6B1B3">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98665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6E3614">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F77B17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14:paraId="45C641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44102698">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E986E08">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B60085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6D964A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14:paraId="43945A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EC76682">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A6CD283">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D1D899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6D6225A">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14:paraId="582A4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6B7DD59">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7E6456C">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DCE9B35">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44BE6A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14:paraId="6578D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474D23C">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DF4612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B42F2A7">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D1DCD97">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14:paraId="182F7F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DB1A730">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C88CD0A">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56314A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CF5A218">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14:paraId="3B768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6D6B536">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607AFB">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D7701A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0820205">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14:paraId="4C593CAF">
      <w:pPr>
        <w:widowControl/>
        <w:spacing w:line="432" w:lineRule="auto"/>
        <w:jc w:val="left"/>
        <w:rPr>
          <w:rFonts w:hint="eastAsia" w:ascii="宋体" w:hAnsi="宋体" w:cs="宋体"/>
          <w:color w:val="auto"/>
          <w:kern w:val="0"/>
          <w:sz w:val="20"/>
          <w:szCs w:val="20"/>
          <w:highlight w:val="none"/>
        </w:rPr>
      </w:pPr>
    </w:p>
    <w:p w14:paraId="7250743B">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注：</w:t>
      </w:r>
    </w:p>
    <w:p w14:paraId="2ECD9BB4">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p>
    <w:p w14:paraId="33478485">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100万元×1.0％＝1万元</w:t>
      </w:r>
    </w:p>
    <w:p w14:paraId="1ACE678D">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（500－100）万元×0.7％＝2.8万元</w:t>
      </w:r>
    </w:p>
    <w:p w14:paraId="657568DC">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（1000－500）万元×0.55％＝2.75万元</w:t>
      </w:r>
    </w:p>
    <w:p w14:paraId="61CC4B51">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（5000－1000）万元×0.35％＝14万元</w:t>
      </w:r>
    </w:p>
    <w:p w14:paraId="1CA8B588">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（6000－5000）万元×0.2％＝2万元</w:t>
      </w:r>
    </w:p>
    <w:p w14:paraId="54A16B67">
      <w:pPr>
        <w:widowControl/>
        <w:spacing w:line="432" w:lineRule="auto"/>
        <w:jc w:val="left"/>
        <w:rPr>
          <w:rFonts w:ascii="宋体" w:hAnsi="宋体" w:cs="宋体"/>
          <w:color w:val="auto"/>
          <w:kern w:val="0"/>
          <w:sz w:val="24"/>
          <w:highlight w:val="none"/>
        </w:rPr>
      </w:pPr>
      <w:r>
        <w:rPr>
          <w:rFonts w:hint="eastAsia" w:ascii="宋体" w:hAnsi="宋体" w:cs="宋体"/>
          <w:color w:val="auto"/>
          <w:kern w:val="0"/>
          <w:sz w:val="20"/>
          <w:szCs w:val="20"/>
          <w:highlight w:val="none"/>
        </w:rPr>
        <w:t>    合计收费＝1＋2.8＋2.75＋14＋2＝22.55(万元)</w:t>
      </w:r>
    </w:p>
    <w:p w14:paraId="060550B5">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14:paraId="7FF30E6A">
      <w:pPr>
        <w:rPr>
          <w:rFonts w:hint="eastAsia"/>
          <w:color w:val="auto"/>
          <w:highlight w:val="none"/>
        </w:rPr>
      </w:pPr>
    </w:p>
    <w:sectPr>
      <w:footerReference r:id="rId10" w:type="default"/>
      <w:pgSz w:w="11906" w:h="16838"/>
      <w:pgMar w:top="1247" w:right="1588" w:bottom="1089"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0D4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3EC4">
    <w:pPr>
      <w:pStyle w:val="3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DE45">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D1C6">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F18EB0">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14:paraId="45F18EB0">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EAF1">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9B3A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5LWM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l&#10;M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4+S1jIAQAAmwMAAA4AAAAAAAAAAQAgAAAAHgEAAGRycy9lMm9Eb2Mu&#10;eG1sUEsFBgAAAAAGAAYAWQEAAFgFAAAAAA==&#10;">
              <v:fill on="f" focussize="0,0"/>
              <v:stroke on="f"/>
              <v:imagedata o:title=""/>
              <o:lock v:ext="edit" aspectratio="f"/>
              <v:textbox inset="0mm,0mm,0mm,0mm" style="mso-fit-shape-to-text:t;">
                <w:txbxContent>
                  <w:p w14:paraId="0BD9B3A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5C71">
    <w:pPr>
      <w:widowControl w:val="0"/>
      <w:tabs>
        <w:tab w:val="center" w:pos="4153"/>
        <w:tab w:val="right" w:pos="8306"/>
      </w:tabs>
      <w:adjustRightInd w:val="0"/>
      <w:jc w:val="center"/>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50842">
                          <w:pPr>
                            <w:widowControl w:val="0"/>
                            <w:tabs>
                              <w:tab w:val="center" w:pos="4153"/>
                              <w:tab w:val="right" w:pos="8306"/>
                            </w:tabs>
                            <w:adjustRightInd w:val="0"/>
                            <w:jc w:val="left"/>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w:fldChar w:fldCharType="begin"/>
                          </w:r>
                          <w:r>
                            <w:rPr>
                              <w:rFonts w:ascii="Times New Roman" w:hAnsi="Times New Roman" w:eastAsia="Century Gothic" w:cs="Times New Roman"/>
                              <w:kern w:val="2"/>
                              <w:sz w:val="18"/>
                              <w:szCs w:val="20"/>
                              <w:lang w:val="en-US" w:eastAsia="zh-CN" w:bidi="ar-SA"/>
                            </w:rPr>
                            <w:instrText xml:space="preserve"> PAGE  \* MERGEFORMAT </w:instrText>
                          </w:r>
                          <w:r>
                            <w:rPr>
                              <w:rFonts w:ascii="Times New Roman" w:hAnsi="Times New Roman" w:eastAsia="Century Gothic" w:cs="Times New Roman"/>
                              <w:kern w:val="2"/>
                              <w:sz w:val="18"/>
                              <w:szCs w:val="20"/>
                              <w:lang w:val="en-US" w:eastAsia="zh-CN" w:bidi="ar-SA"/>
                            </w:rPr>
                            <w:fldChar w:fldCharType="separate"/>
                          </w:r>
                          <w:r>
                            <w:rPr>
                              <w:rFonts w:ascii="Times New Roman" w:hAnsi="Times New Roman" w:eastAsia="Century Gothic" w:cs="Times New Roman"/>
                              <w:kern w:val="2"/>
                              <w:sz w:val="18"/>
                              <w:szCs w:val="20"/>
                              <w:lang w:val="en-US" w:eastAsia="zh-CN" w:bidi="ar-SA"/>
                            </w:rPr>
                            <w:t>87</w:t>
                          </w:r>
                          <w:r>
                            <w:rPr>
                              <w:rFonts w:ascii="Times New Roman" w:hAnsi="Times New Roman" w:eastAsia="Century Gothic"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73150842">
                    <w:pPr>
                      <w:widowControl w:val="0"/>
                      <w:tabs>
                        <w:tab w:val="center" w:pos="4153"/>
                        <w:tab w:val="right" w:pos="8306"/>
                      </w:tabs>
                      <w:adjustRightInd w:val="0"/>
                      <w:jc w:val="left"/>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w:fldChar w:fldCharType="begin"/>
                    </w:r>
                    <w:r>
                      <w:rPr>
                        <w:rFonts w:ascii="Times New Roman" w:hAnsi="Times New Roman" w:eastAsia="Century Gothic" w:cs="Times New Roman"/>
                        <w:kern w:val="2"/>
                        <w:sz w:val="18"/>
                        <w:szCs w:val="20"/>
                        <w:lang w:val="en-US" w:eastAsia="zh-CN" w:bidi="ar-SA"/>
                      </w:rPr>
                      <w:instrText xml:space="preserve"> PAGE  \* MERGEFORMAT </w:instrText>
                    </w:r>
                    <w:r>
                      <w:rPr>
                        <w:rFonts w:ascii="Times New Roman" w:hAnsi="Times New Roman" w:eastAsia="Century Gothic" w:cs="Times New Roman"/>
                        <w:kern w:val="2"/>
                        <w:sz w:val="18"/>
                        <w:szCs w:val="20"/>
                        <w:lang w:val="en-US" w:eastAsia="zh-CN" w:bidi="ar-SA"/>
                      </w:rPr>
                      <w:fldChar w:fldCharType="separate"/>
                    </w:r>
                    <w:r>
                      <w:rPr>
                        <w:rFonts w:ascii="Times New Roman" w:hAnsi="Times New Roman" w:eastAsia="Century Gothic" w:cs="Times New Roman"/>
                        <w:kern w:val="2"/>
                        <w:sz w:val="18"/>
                        <w:szCs w:val="20"/>
                        <w:lang w:val="en-US" w:eastAsia="zh-CN" w:bidi="ar-SA"/>
                      </w:rPr>
                      <w:t>87</w:t>
                    </w:r>
                    <w:r>
                      <w:rPr>
                        <w:rFonts w:ascii="Times New Roman" w:hAnsi="Times New Roman" w:eastAsia="Century Gothic" w:cs="Times New Roman"/>
                        <w:kern w:val="2"/>
                        <w:sz w:val="18"/>
                        <w:szCs w:val="20"/>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57E0">
    <w:pPr>
      <w:pStyle w:val="3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33464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0C33464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6575">
    <w:pPr>
      <w:spacing w:line="14" w:lineRule="auto"/>
      <w:rPr>
        <w:rFonts w:ascii="Times New Roman" w:hAnsi="Times New Roman" w:eastAsia="宋体" w:cs="Times New Roman"/>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70BE"/>
    <w:multiLevelType w:val="singleLevel"/>
    <w:tmpl w:val="A9A570BE"/>
    <w:lvl w:ilvl="0" w:tentative="0">
      <w:start w:val="7"/>
      <w:numFmt w:val="chineseCounting"/>
      <w:suff w:val="space"/>
      <w:lvlText w:val="第%1部分"/>
      <w:lvlJc w:val="left"/>
      <w:rPr>
        <w:rFonts w:hint="eastAsia"/>
      </w:rPr>
    </w:lvl>
  </w:abstractNum>
  <w:abstractNum w:abstractNumId="1">
    <w:nsid w:val="AFA05FB4"/>
    <w:multiLevelType w:val="singleLevel"/>
    <w:tmpl w:val="AFA05FB4"/>
    <w:lvl w:ilvl="0" w:tentative="0">
      <w:start w:val="2"/>
      <w:numFmt w:val="decimal"/>
      <w:suff w:val="nothing"/>
      <w:lvlText w:val="%1、"/>
      <w:lvlJc w:val="left"/>
    </w:lvl>
  </w:abstractNum>
  <w:abstractNum w:abstractNumId="2">
    <w:nsid w:val="B57C21B6"/>
    <w:multiLevelType w:val="singleLevel"/>
    <w:tmpl w:val="B57C21B6"/>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8E4A651"/>
    <w:multiLevelType w:val="singleLevel"/>
    <w:tmpl w:val="C8E4A651"/>
    <w:lvl w:ilvl="0" w:tentative="0">
      <w:start w:val="1"/>
      <w:numFmt w:val="decimal"/>
      <w:lvlText w:val="(%1)"/>
      <w:lvlJc w:val="left"/>
      <w:pPr>
        <w:ind w:left="425" w:hanging="425"/>
      </w:pPr>
      <w:rPr>
        <w:rFonts w:hint="default"/>
      </w:r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CFF2DD4"/>
    <w:multiLevelType w:val="singleLevel"/>
    <w:tmpl w:val="ECFF2DD4"/>
    <w:lvl w:ilvl="0" w:tentative="0">
      <w:start w:val="1"/>
      <w:numFmt w:val="decimal"/>
      <w:suff w:val="nothing"/>
      <w:lvlText w:val="（%1）"/>
      <w:lvlJc w:val="left"/>
      <w:pPr>
        <w:ind w:left="-50"/>
      </w:pPr>
    </w:lvl>
  </w:abstractNum>
  <w:abstractNum w:abstractNumId="10">
    <w:nsid w:val="FFEFC674"/>
    <w:multiLevelType w:val="singleLevel"/>
    <w:tmpl w:val="FFEFC674"/>
    <w:lvl w:ilvl="0" w:tentative="0">
      <w:start w:val="1"/>
      <w:numFmt w:val="decimal"/>
      <w:suff w:val="nothing"/>
      <w:lvlText w:val="（%1）"/>
      <w:lvlJc w:val="left"/>
      <w:pPr>
        <w:ind w:left="0" w:firstLine="0"/>
      </w:pPr>
    </w:lvl>
  </w:abstractNum>
  <w:abstractNum w:abstractNumId="11">
    <w:nsid w:val="02FCA2B6"/>
    <w:multiLevelType w:val="singleLevel"/>
    <w:tmpl w:val="02FCA2B6"/>
    <w:lvl w:ilvl="0" w:tentative="0">
      <w:start w:val="1"/>
      <w:numFmt w:val="decimal"/>
      <w:suff w:val="space"/>
      <w:lvlText w:val="%1."/>
      <w:lvlJc w:val="left"/>
    </w:lvl>
  </w:abstractNum>
  <w:abstractNum w:abstractNumId="12">
    <w:nsid w:val="2E09D3A6"/>
    <w:multiLevelType w:val="singleLevel"/>
    <w:tmpl w:val="2E09D3A6"/>
    <w:lvl w:ilvl="0" w:tentative="0">
      <w:start w:val="1"/>
      <w:numFmt w:val="decimal"/>
      <w:suff w:val="nothing"/>
      <w:lvlText w:val="%1、"/>
      <w:lvlJc w:val="left"/>
    </w:lvl>
  </w:abstractNum>
  <w:abstractNum w:abstractNumId="13">
    <w:nsid w:val="3D3A6164"/>
    <w:multiLevelType w:val="singleLevel"/>
    <w:tmpl w:val="3D3A6164"/>
    <w:lvl w:ilvl="0" w:tentative="0">
      <w:start w:val="1"/>
      <w:numFmt w:val="chineseCounting"/>
      <w:suff w:val="space"/>
      <w:lvlText w:val="第%1部分"/>
      <w:lvlJc w:val="left"/>
      <w:rPr>
        <w:rFonts w:hint="eastAsia"/>
      </w:rPr>
    </w:lvl>
  </w:abstractNum>
  <w:abstractNum w:abstractNumId="14">
    <w:nsid w:val="47A7DCD3"/>
    <w:multiLevelType w:val="singleLevel"/>
    <w:tmpl w:val="47A7DCD3"/>
    <w:lvl w:ilvl="0" w:tentative="0">
      <w:start w:val="1"/>
      <w:numFmt w:val="decimal"/>
      <w:suff w:val="space"/>
      <w:lvlText w:val="%1."/>
      <w:lvlJc w:val="left"/>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620F8904"/>
    <w:multiLevelType w:val="singleLevel"/>
    <w:tmpl w:val="620F8904"/>
    <w:lvl w:ilvl="0" w:tentative="0">
      <w:start w:val="2"/>
      <w:numFmt w:val="chineseCounting"/>
      <w:suff w:val="space"/>
      <w:lvlText w:val="第%1部分"/>
      <w:lvlJc w:val="left"/>
      <w:rPr>
        <w:rFonts w:hint="eastAsia"/>
      </w:rPr>
    </w:lvl>
  </w:abstractNum>
  <w:abstractNum w:abstractNumId="18">
    <w:nsid w:val="7A0F6431"/>
    <w:multiLevelType w:val="singleLevel"/>
    <w:tmpl w:val="7A0F6431"/>
    <w:lvl w:ilvl="0" w:tentative="0">
      <w:start w:val="1"/>
      <w:numFmt w:val="decimal"/>
      <w:suff w:val="space"/>
      <w:lvlText w:val="%1."/>
      <w:lvlJc w:val="left"/>
    </w:lvl>
  </w:abstractNum>
  <w:num w:numId="1">
    <w:abstractNumId w:val="13"/>
  </w:num>
  <w:num w:numId="2">
    <w:abstractNumId w:val="1"/>
  </w:num>
  <w:num w:numId="3">
    <w:abstractNumId w:val="14"/>
  </w:num>
  <w:num w:numId="4">
    <w:abstractNumId w:val="11"/>
  </w:num>
  <w:num w:numId="5">
    <w:abstractNumId w:val="12"/>
  </w:num>
  <w:num w:numId="6">
    <w:abstractNumId w:val="17"/>
  </w:num>
  <w:num w:numId="7">
    <w:abstractNumId w:val="4"/>
  </w:num>
  <w:num w:numId="8">
    <w:abstractNumId w:val="9"/>
  </w:num>
  <w:num w:numId="9">
    <w:abstractNumId w:val="18"/>
  </w:num>
  <w:num w:numId="10">
    <w:abstractNumId w:val="5"/>
  </w:num>
  <w:num w:numId="11">
    <w:abstractNumId w:val="10"/>
    <w:lvlOverride w:ilvl="0">
      <w:startOverride w:val="1"/>
    </w:lvlOverride>
  </w:num>
  <w:num w:numId="12">
    <w:abstractNumId w:val="7"/>
  </w:num>
  <w:num w:numId="13">
    <w:abstractNumId w:val="6"/>
  </w:num>
  <w:num w:numId="14">
    <w:abstractNumId w:val="3"/>
  </w:num>
  <w:num w:numId="15">
    <w:abstractNumId w:val="8"/>
  </w:num>
  <w:num w:numId="16">
    <w:abstractNumId w:val="2"/>
  </w:num>
  <w:num w:numId="17">
    <w:abstractNumId w:val="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WM4ZWYxNDJlNzc4YzdkMTgwMDVkMGYxMTAxOGIifQ=="/>
  </w:docVars>
  <w:rsids>
    <w:rsidRoot w:val="00172A27"/>
    <w:rsid w:val="00001E56"/>
    <w:rsid w:val="0000396E"/>
    <w:rsid w:val="000042E7"/>
    <w:rsid w:val="00004478"/>
    <w:rsid w:val="000151EB"/>
    <w:rsid w:val="000173D9"/>
    <w:rsid w:val="00023C95"/>
    <w:rsid w:val="00033EE6"/>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4BE9"/>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269E"/>
    <w:rsid w:val="003538F2"/>
    <w:rsid w:val="003577F6"/>
    <w:rsid w:val="00361C53"/>
    <w:rsid w:val="00366E35"/>
    <w:rsid w:val="00371116"/>
    <w:rsid w:val="0037302D"/>
    <w:rsid w:val="00373E7F"/>
    <w:rsid w:val="00375001"/>
    <w:rsid w:val="00376577"/>
    <w:rsid w:val="003776F3"/>
    <w:rsid w:val="00377D84"/>
    <w:rsid w:val="00380738"/>
    <w:rsid w:val="003846B2"/>
    <w:rsid w:val="00391928"/>
    <w:rsid w:val="003919E1"/>
    <w:rsid w:val="003A48E1"/>
    <w:rsid w:val="003B3663"/>
    <w:rsid w:val="003C5572"/>
    <w:rsid w:val="003D0F5F"/>
    <w:rsid w:val="003D4FE5"/>
    <w:rsid w:val="003D62AA"/>
    <w:rsid w:val="003E445D"/>
    <w:rsid w:val="003E4D6D"/>
    <w:rsid w:val="003E76A2"/>
    <w:rsid w:val="003F19B5"/>
    <w:rsid w:val="003F298D"/>
    <w:rsid w:val="003F417C"/>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B35B1"/>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1B68"/>
    <w:rsid w:val="00775D40"/>
    <w:rsid w:val="00780C3A"/>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86446"/>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6E"/>
    <w:rsid w:val="00AF341D"/>
    <w:rsid w:val="00AF6214"/>
    <w:rsid w:val="00AF7634"/>
    <w:rsid w:val="00B0444C"/>
    <w:rsid w:val="00B057FD"/>
    <w:rsid w:val="00B12E13"/>
    <w:rsid w:val="00B14E38"/>
    <w:rsid w:val="00B234C2"/>
    <w:rsid w:val="00B27DD7"/>
    <w:rsid w:val="00B36FC1"/>
    <w:rsid w:val="00B46D44"/>
    <w:rsid w:val="00B51CF4"/>
    <w:rsid w:val="00B51E27"/>
    <w:rsid w:val="00B63DF2"/>
    <w:rsid w:val="00B750BD"/>
    <w:rsid w:val="00B8103A"/>
    <w:rsid w:val="00B878F6"/>
    <w:rsid w:val="00B94A8E"/>
    <w:rsid w:val="00B96E56"/>
    <w:rsid w:val="00BA1E0D"/>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11F79"/>
    <w:rsid w:val="00D15320"/>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6245"/>
    <w:rsid w:val="00E568CF"/>
    <w:rsid w:val="00E76F26"/>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21E1"/>
    <w:rsid w:val="00FA3B25"/>
    <w:rsid w:val="00FC1946"/>
    <w:rsid w:val="00FC43EC"/>
    <w:rsid w:val="00FC6360"/>
    <w:rsid w:val="00FD5426"/>
    <w:rsid w:val="00FE2BA1"/>
    <w:rsid w:val="00FE56AD"/>
    <w:rsid w:val="00FE6D09"/>
    <w:rsid w:val="00FF3F0D"/>
    <w:rsid w:val="00FF466A"/>
    <w:rsid w:val="01242C13"/>
    <w:rsid w:val="014D28C9"/>
    <w:rsid w:val="015F40D7"/>
    <w:rsid w:val="016A18BB"/>
    <w:rsid w:val="018C519F"/>
    <w:rsid w:val="01A026F0"/>
    <w:rsid w:val="01A95E98"/>
    <w:rsid w:val="02205968"/>
    <w:rsid w:val="023C6755"/>
    <w:rsid w:val="023D593B"/>
    <w:rsid w:val="026C4AF7"/>
    <w:rsid w:val="026E0D49"/>
    <w:rsid w:val="02B80255"/>
    <w:rsid w:val="02C00B3F"/>
    <w:rsid w:val="02C72207"/>
    <w:rsid w:val="02D7069C"/>
    <w:rsid w:val="02EB59EF"/>
    <w:rsid w:val="03152AD4"/>
    <w:rsid w:val="031B25E0"/>
    <w:rsid w:val="033A2E64"/>
    <w:rsid w:val="033B3F16"/>
    <w:rsid w:val="033F29FA"/>
    <w:rsid w:val="03487073"/>
    <w:rsid w:val="038626A9"/>
    <w:rsid w:val="038652C6"/>
    <w:rsid w:val="038F7C74"/>
    <w:rsid w:val="03936BB9"/>
    <w:rsid w:val="03976619"/>
    <w:rsid w:val="039B30D1"/>
    <w:rsid w:val="03A13FE0"/>
    <w:rsid w:val="03A9328A"/>
    <w:rsid w:val="03B27594"/>
    <w:rsid w:val="03DA48E8"/>
    <w:rsid w:val="044B7DF2"/>
    <w:rsid w:val="045339BE"/>
    <w:rsid w:val="046532AA"/>
    <w:rsid w:val="04706659"/>
    <w:rsid w:val="047428C4"/>
    <w:rsid w:val="04781A0B"/>
    <w:rsid w:val="047F7B5D"/>
    <w:rsid w:val="04826D2E"/>
    <w:rsid w:val="048713D1"/>
    <w:rsid w:val="04891AA2"/>
    <w:rsid w:val="04AE2BC2"/>
    <w:rsid w:val="04FC5702"/>
    <w:rsid w:val="05175D76"/>
    <w:rsid w:val="0525198E"/>
    <w:rsid w:val="053D7140"/>
    <w:rsid w:val="05414BC9"/>
    <w:rsid w:val="056D248C"/>
    <w:rsid w:val="05843675"/>
    <w:rsid w:val="058937BD"/>
    <w:rsid w:val="05BA7A81"/>
    <w:rsid w:val="05E042B0"/>
    <w:rsid w:val="05E530D0"/>
    <w:rsid w:val="060A3E85"/>
    <w:rsid w:val="060F7B19"/>
    <w:rsid w:val="061C43EC"/>
    <w:rsid w:val="06247AF0"/>
    <w:rsid w:val="067870EA"/>
    <w:rsid w:val="06875BFC"/>
    <w:rsid w:val="068A3C77"/>
    <w:rsid w:val="06CB7AA4"/>
    <w:rsid w:val="06CD1FE9"/>
    <w:rsid w:val="06D15B4F"/>
    <w:rsid w:val="06D74D2C"/>
    <w:rsid w:val="06E14DD1"/>
    <w:rsid w:val="06EC56CE"/>
    <w:rsid w:val="06EE2458"/>
    <w:rsid w:val="06F35CC1"/>
    <w:rsid w:val="06F5714A"/>
    <w:rsid w:val="07272FEF"/>
    <w:rsid w:val="07611FC2"/>
    <w:rsid w:val="07656BC6"/>
    <w:rsid w:val="076B5857"/>
    <w:rsid w:val="07810992"/>
    <w:rsid w:val="07A86617"/>
    <w:rsid w:val="07AA7818"/>
    <w:rsid w:val="07AD51E5"/>
    <w:rsid w:val="07B23BEC"/>
    <w:rsid w:val="07C766EF"/>
    <w:rsid w:val="07D8612D"/>
    <w:rsid w:val="07F6398C"/>
    <w:rsid w:val="080F5EFD"/>
    <w:rsid w:val="082776F6"/>
    <w:rsid w:val="083234D9"/>
    <w:rsid w:val="08357E18"/>
    <w:rsid w:val="0838123A"/>
    <w:rsid w:val="08677673"/>
    <w:rsid w:val="087C6132"/>
    <w:rsid w:val="0883027E"/>
    <w:rsid w:val="08833E24"/>
    <w:rsid w:val="088A5F46"/>
    <w:rsid w:val="08954DFE"/>
    <w:rsid w:val="08966904"/>
    <w:rsid w:val="08C276F9"/>
    <w:rsid w:val="08CB2A51"/>
    <w:rsid w:val="08CD60C2"/>
    <w:rsid w:val="08DC07EE"/>
    <w:rsid w:val="08DD1D65"/>
    <w:rsid w:val="08E17195"/>
    <w:rsid w:val="09023E0B"/>
    <w:rsid w:val="090E10A8"/>
    <w:rsid w:val="091C1637"/>
    <w:rsid w:val="094E5EB9"/>
    <w:rsid w:val="09647A9E"/>
    <w:rsid w:val="096C67E0"/>
    <w:rsid w:val="09866978"/>
    <w:rsid w:val="09966D7A"/>
    <w:rsid w:val="0A186A74"/>
    <w:rsid w:val="0A236287"/>
    <w:rsid w:val="0A551F45"/>
    <w:rsid w:val="0A613B29"/>
    <w:rsid w:val="0A690634"/>
    <w:rsid w:val="0A756EBC"/>
    <w:rsid w:val="0A7D421F"/>
    <w:rsid w:val="0AA04A43"/>
    <w:rsid w:val="0AA350C7"/>
    <w:rsid w:val="0AB16EAD"/>
    <w:rsid w:val="0AB2552F"/>
    <w:rsid w:val="0AC14905"/>
    <w:rsid w:val="0AC77248"/>
    <w:rsid w:val="0AC927D0"/>
    <w:rsid w:val="0ACF3595"/>
    <w:rsid w:val="0AE67C59"/>
    <w:rsid w:val="0AEB64A8"/>
    <w:rsid w:val="0AEC0A3A"/>
    <w:rsid w:val="0AED05B0"/>
    <w:rsid w:val="0AED3445"/>
    <w:rsid w:val="0AF93542"/>
    <w:rsid w:val="0B095B30"/>
    <w:rsid w:val="0B14392D"/>
    <w:rsid w:val="0B276F9A"/>
    <w:rsid w:val="0B37679D"/>
    <w:rsid w:val="0B416FFB"/>
    <w:rsid w:val="0B48684A"/>
    <w:rsid w:val="0B4C599F"/>
    <w:rsid w:val="0B533B29"/>
    <w:rsid w:val="0B5A04AF"/>
    <w:rsid w:val="0B631A54"/>
    <w:rsid w:val="0B7A39FF"/>
    <w:rsid w:val="0B857C26"/>
    <w:rsid w:val="0B940A17"/>
    <w:rsid w:val="0B9639FD"/>
    <w:rsid w:val="0BA85D3A"/>
    <w:rsid w:val="0BD45D3D"/>
    <w:rsid w:val="0BE0144B"/>
    <w:rsid w:val="0BE10566"/>
    <w:rsid w:val="0BF401BE"/>
    <w:rsid w:val="0C3236E7"/>
    <w:rsid w:val="0C596B87"/>
    <w:rsid w:val="0C6D71DA"/>
    <w:rsid w:val="0C7762F8"/>
    <w:rsid w:val="0C886EAB"/>
    <w:rsid w:val="0C966E81"/>
    <w:rsid w:val="0CD31EEE"/>
    <w:rsid w:val="0CD93263"/>
    <w:rsid w:val="0CDF2ABA"/>
    <w:rsid w:val="0D077DD0"/>
    <w:rsid w:val="0D10137A"/>
    <w:rsid w:val="0D125C0A"/>
    <w:rsid w:val="0D196300"/>
    <w:rsid w:val="0D1F336B"/>
    <w:rsid w:val="0D472AE4"/>
    <w:rsid w:val="0D583C4A"/>
    <w:rsid w:val="0D5864B2"/>
    <w:rsid w:val="0D5D20E6"/>
    <w:rsid w:val="0D604566"/>
    <w:rsid w:val="0D6A1AC0"/>
    <w:rsid w:val="0D8E73AA"/>
    <w:rsid w:val="0D9A0057"/>
    <w:rsid w:val="0DA33F9D"/>
    <w:rsid w:val="0DB35B58"/>
    <w:rsid w:val="0DBC0C0C"/>
    <w:rsid w:val="0DCA6D17"/>
    <w:rsid w:val="0DF34EEA"/>
    <w:rsid w:val="0DF53D0E"/>
    <w:rsid w:val="0E4929AB"/>
    <w:rsid w:val="0E5F51CF"/>
    <w:rsid w:val="0E60507D"/>
    <w:rsid w:val="0E627BBF"/>
    <w:rsid w:val="0E6A1E1E"/>
    <w:rsid w:val="0E7C4C67"/>
    <w:rsid w:val="0E7F0D2E"/>
    <w:rsid w:val="0E963C30"/>
    <w:rsid w:val="0E9C617E"/>
    <w:rsid w:val="0EA12D23"/>
    <w:rsid w:val="0EAA475B"/>
    <w:rsid w:val="0EC02A06"/>
    <w:rsid w:val="0ECD4593"/>
    <w:rsid w:val="0ED92A5D"/>
    <w:rsid w:val="0EE0696C"/>
    <w:rsid w:val="0F242BC3"/>
    <w:rsid w:val="0F36630C"/>
    <w:rsid w:val="0F543075"/>
    <w:rsid w:val="0F595A5B"/>
    <w:rsid w:val="0F6C3D73"/>
    <w:rsid w:val="0F720FBB"/>
    <w:rsid w:val="0F7B764B"/>
    <w:rsid w:val="0F7F7CC9"/>
    <w:rsid w:val="0F866934"/>
    <w:rsid w:val="0F87344A"/>
    <w:rsid w:val="0F8825C5"/>
    <w:rsid w:val="0FC92877"/>
    <w:rsid w:val="0FD13902"/>
    <w:rsid w:val="0FD41F31"/>
    <w:rsid w:val="0FF245EB"/>
    <w:rsid w:val="0FF32D02"/>
    <w:rsid w:val="100067E7"/>
    <w:rsid w:val="103E73DD"/>
    <w:rsid w:val="104D6C53"/>
    <w:rsid w:val="1051038C"/>
    <w:rsid w:val="10547186"/>
    <w:rsid w:val="105A3E1A"/>
    <w:rsid w:val="10746FAE"/>
    <w:rsid w:val="1082485A"/>
    <w:rsid w:val="109C2F25"/>
    <w:rsid w:val="109C580E"/>
    <w:rsid w:val="10A673D3"/>
    <w:rsid w:val="10A87615"/>
    <w:rsid w:val="10AF2C58"/>
    <w:rsid w:val="10BE4C49"/>
    <w:rsid w:val="10C9732B"/>
    <w:rsid w:val="10CF4C25"/>
    <w:rsid w:val="10CF50A9"/>
    <w:rsid w:val="10D01A7F"/>
    <w:rsid w:val="10ED0901"/>
    <w:rsid w:val="10F378F4"/>
    <w:rsid w:val="10F55783"/>
    <w:rsid w:val="10F84557"/>
    <w:rsid w:val="11130656"/>
    <w:rsid w:val="111814CE"/>
    <w:rsid w:val="11210922"/>
    <w:rsid w:val="1129179A"/>
    <w:rsid w:val="112B6B7F"/>
    <w:rsid w:val="11423ACC"/>
    <w:rsid w:val="114306D4"/>
    <w:rsid w:val="114D4ECA"/>
    <w:rsid w:val="1170203B"/>
    <w:rsid w:val="11706E6D"/>
    <w:rsid w:val="11754E74"/>
    <w:rsid w:val="117D2D05"/>
    <w:rsid w:val="117D68B3"/>
    <w:rsid w:val="1181033B"/>
    <w:rsid w:val="11881DE2"/>
    <w:rsid w:val="11895B2B"/>
    <w:rsid w:val="11B562D3"/>
    <w:rsid w:val="11CC15E8"/>
    <w:rsid w:val="11FF44AE"/>
    <w:rsid w:val="1214215E"/>
    <w:rsid w:val="12303925"/>
    <w:rsid w:val="12356305"/>
    <w:rsid w:val="12506C20"/>
    <w:rsid w:val="128B1ADC"/>
    <w:rsid w:val="12A400B1"/>
    <w:rsid w:val="12AF5F7A"/>
    <w:rsid w:val="12EB69CE"/>
    <w:rsid w:val="13053004"/>
    <w:rsid w:val="13054DB2"/>
    <w:rsid w:val="132A57E8"/>
    <w:rsid w:val="133D0693"/>
    <w:rsid w:val="13465BC3"/>
    <w:rsid w:val="13474E97"/>
    <w:rsid w:val="13773798"/>
    <w:rsid w:val="1379231B"/>
    <w:rsid w:val="13854EAE"/>
    <w:rsid w:val="139E5A9A"/>
    <w:rsid w:val="13A66595"/>
    <w:rsid w:val="13B53D9F"/>
    <w:rsid w:val="13BA51EA"/>
    <w:rsid w:val="13BB084D"/>
    <w:rsid w:val="13CA1266"/>
    <w:rsid w:val="13CF1179"/>
    <w:rsid w:val="13E94203"/>
    <w:rsid w:val="13F15346"/>
    <w:rsid w:val="13F50372"/>
    <w:rsid w:val="140B4594"/>
    <w:rsid w:val="140D6614"/>
    <w:rsid w:val="140E3D0B"/>
    <w:rsid w:val="141A042D"/>
    <w:rsid w:val="14303E7D"/>
    <w:rsid w:val="143431C3"/>
    <w:rsid w:val="143F392F"/>
    <w:rsid w:val="14442727"/>
    <w:rsid w:val="14492E77"/>
    <w:rsid w:val="145B492E"/>
    <w:rsid w:val="146513CE"/>
    <w:rsid w:val="147E52F8"/>
    <w:rsid w:val="14816319"/>
    <w:rsid w:val="14826B88"/>
    <w:rsid w:val="1485023A"/>
    <w:rsid w:val="14961447"/>
    <w:rsid w:val="14AF52CE"/>
    <w:rsid w:val="14B64AA4"/>
    <w:rsid w:val="14B67DA5"/>
    <w:rsid w:val="14CF6C0E"/>
    <w:rsid w:val="14F30B2B"/>
    <w:rsid w:val="14F5559D"/>
    <w:rsid w:val="15090FA6"/>
    <w:rsid w:val="150E63D4"/>
    <w:rsid w:val="15340A5C"/>
    <w:rsid w:val="15604361"/>
    <w:rsid w:val="156E6427"/>
    <w:rsid w:val="15784BF0"/>
    <w:rsid w:val="15B55363"/>
    <w:rsid w:val="15C169AC"/>
    <w:rsid w:val="15C943BA"/>
    <w:rsid w:val="15C947BC"/>
    <w:rsid w:val="15D078F9"/>
    <w:rsid w:val="15DA526A"/>
    <w:rsid w:val="15E20504"/>
    <w:rsid w:val="15E77CBD"/>
    <w:rsid w:val="15FB0364"/>
    <w:rsid w:val="160B3089"/>
    <w:rsid w:val="16117D48"/>
    <w:rsid w:val="161E3F46"/>
    <w:rsid w:val="162E0AC3"/>
    <w:rsid w:val="164B41EA"/>
    <w:rsid w:val="167034B5"/>
    <w:rsid w:val="167E0152"/>
    <w:rsid w:val="16864046"/>
    <w:rsid w:val="16865F56"/>
    <w:rsid w:val="169721C5"/>
    <w:rsid w:val="16993E12"/>
    <w:rsid w:val="16A21652"/>
    <w:rsid w:val="16C3745D"/>
    <w:rsid w:val="16D73273"/>
    <w:rsid w:val="16E1175C"/>
    <w:rsid w:val="16F615E1"/>
    <w:rsid w:val="16F62850"/>
    <w:rsid w:val="17085D7B"/>
    <w:rsid w:val="174671E3"/>
    <w:rsid w:val="1767787C"/>
    <w:rsid w:val="178F7340"/>
    <w:rsid w:val="17A12968"/>
    <w:rsid w:val="17AE77A3"/>
    <w:rsid w:val="17CD1386"/>
    <w:rsid w:val="17EE4066"/>
    <w:rsid w:val="18110CF1"/>
    <w:rsid w:val="18336D8A"/>
    <w:rsid w:val="183F1D11"/>
    <w:rsid w:val="184460DC"/>
    <w:rsid w:val="186758BD"/>
    <w:rsid w:val="18743D16"/>
    <w:rsid w:val="1879406F"/>
    <w:rsid w:val="188E4285"/>
    <w:rsid w:val="18923192"/>
    <w:rsid w:val="18A03A8F"/>
    <w:rsid w:val="18C4651B"/>
    <w:rsid w:val="1913373C"/>
    <w:rsid w:val="192C1745"/>
    <w:rsid w:val="192F2891"/>
    <w:rsid w:val="193759CE"/>
    <w:rsid w:val="193C0384"/>
    <w:rsid w:val="19561140"/>
    <w:rsid w:val="1964098F"/>
    <w:rsid w:val="19660898"/>
    <w:rsid w:val="19741B41"/>
    <w:rsid w:val="197B6EE4"/>
    <w:rsid w:val="19801636"/>
    <w:rsid w:val="19965E61"/>
    <w:rsid w:val="19AC7816"/>
    <w:rsid w:val="19C01C6D"/>
    <w:rsid w:val="19CD4C5A"/>
    <w:rsid w:val="19D27DA3"/>
    <w:rsid w:val="19E26DAC"/>
    <w:rsid w:val="19E32196"/>
    <w:rsid w:val="19E905F6"/>
    <w:rsid w:val="1A063F55"/>
    <w:rsid w:val="1A2924A5"/>
    <w:rsid w:val="1A2B2ECD"/>
    <w:rsid w:val="1A330456"/>
    <w:rsid w:val="1A3641C6"/>
    <w:rsid w:val="1A69031C"/>
    <w:rsid w:val="1A7433B7"/>
    <w:rsid w:val="1A7D325E"/>
    <w:rsid w:val="1A81585F"/>
    <w:rsid w:val="1A8A114C"/>
    <w:rsid w:val="1A903AFB"/>
    <w:rsid w:val="1A9D26D5"/>
    <w:rsid w:val="1ABF7F3C"/>
    <w:rsid w:val="1AC6675E"/>
    <w:rsid w:val="1ACE3F43"/>
    <w:rsid w:val="1AE94111"/>
    <w:rsid w:val="1B0433A1"/>
    <w:rsid w:val="1B075EB3"/>
    <w:rsid w:val="1B304996"/>
    <w:rsid w:val="1B3A2729"/>
    <w:rsid w:val="1B3C333B"/>
    <w:rsid w:val="1B55025B"/>
    <w:rsid w:val="1B5A7181"/>
    <w:rsid w:val="1B631C4E"/>
    <w:rsid w:val="1B723200"/>
    <w:rsid w:val="1B7E18D3"/>
    <w:rsid w:val="1B814E26"/>
    <w:rsid w:val="1B9D3B8B"/>
    <w:rsid w:val="1BAB1DBB"/>
    <w:rsid w:val="1BAF5235"/>
    <w:rsid w:val="1BC55301"/>
    <w:rsid w:val="1BE614F8"/>
    <w:rsid w:val="1C19367C"/>
    <w:rsid w:val="1C1E2754"/>
    <w:rsid w:val="1C225C02"/>
    <w:rsid w:val="1C235E41"/>
    <w:rsid w:val="1C252021"/>
    <w:rsid w:val="1C2920DB"/>
    <w:rsid w:val="1C577B84"/>
    <w:rsid w:val="1C5C4756"/>
    <w:rsid w:val="1C682378"/>
    <w:rsid w:val="1C691F5E"/>
    <w:rsid w:val="1C6C09D5"/>
    <w:rsid w:val="1C777889"/>
    <w:rsid w:val="1C932D3D"/>
    <w:rsid w:val="1CA44A0F"/>
    <w:rsid w:val="1CBB2985"/>
    <w:rsid w:val="1CBD62EE"/>
    <w:rsid w:val="1CC62A2C"/>
    <w:rsid w:val="1CD203FA"/>
    <w:rsid w:val="1CD8208F"/>
    <w:rsid w:val="1CD960BC"/>
    <w:rsid w:val="1CDA346B"/>
    <w:rsid w:val="1CE3470D"/>
    <w:rsid w:val="1CF739BD"/>
    <w:rsid w:val="1D3C7D94"/>
    <w:rsid w:val="1D4E5FC1"/>
    <w:rsid w:val="1D7577F8"/>
    <w:rsid w:val="1D767C76"/>
    <w:rsid w:val="1D8B324F"/>
    <w:rsid w:val="1D8F2F1D"/>
    <w:rsid w:val="1D90008F"/>
    <w:rsid w:val="1D97460A"/>
    <w:rsid w:val="1D98237B"/>
    <w:rsid w:val="1DAD2265"/>
    <w:rsid w:val="1DC57B03"/>
    <w:rsid w:val="1DCA10D2"/>
    <w:rsid w:val="1DDF351A"/>
    <w:rsid w:val="1DE4094A"/>
    <w:rsid w:val="1DE44205"/>
    <w:rsid w:val="1DF80BEA"/>
    <w:rsid w:val="1DFF0A15"/>
    <w:rsid w:val="1E0565AE"/>
    <w:rsid w:val="1E344BB7"/>
    <w:rsid w:val="1E4644CC"/>
    <w:rsid w:val="1E625CFB"/>
    <w:rsid w:val="1E786D7F"/>
    <w:rsid w:val="1EA731B6"/>
    <w:rsid w:val="1EC63F7A"/>
    <w:rsid w:val="1ECD07F1"/>
    <w:rsid w:val="1ED31E03"/>
    <w:rsid w:val="1EDB0354"/>
    <w:rsid w:val="1EE36EF9"/>
    <w:rsid w:val="1F29296D"/>
    <w:rsid w:val="1F3870E9"/>
    <w:rsid w:val="1F5C7409"/>
    <w:rsid w:val="1F6A3BAE"/>
    <w:rsid w:val="1F770A46"/>
    <w:rsid w:val="1FB3007D"/>
    <w:rsid w:val="1FBE6D9E"/>
    <w:rsid w:val="1FC86FB2"/>
    <w:rsid w:val="1FCD6C57"/>
    <w:rsid w:val="1FCF761E"/>
    <w:rsid w:val="1FE0043D"/>
    <w:rsid w:val="1FF22B46"/>
    <w:rsid w:val="1FF340AD"/>
    <w:rsid w:val="20017C8D"/>
    <w:rsid w:val="200F7270"/>
    <w:rsid w:val="20210D51"/>
    <w:rsid w:val="20250841"/>
    <w:rsid w:val="20424EC8"/>
    <w:rsid w:val="2061112D"/>
    <w:rsid w:val="20680AB3"/>
    <w:rsid w:val="206E7C3C"/>
    <w:rsid w:val="208B3AD2"/>
    <w:rsid w:val="208D5545"/>
    <w:rsid w:val="209542E2"/>
    <w:rsid w:val="2099378E"/>
    <w:rsid w:val="209E0AF5"/>
    <w:rsid w:val="20A82633"/>
    <w:rsid w:val="20AF1471"/>
    <w:rsid w:val="20C3677A"/>
    <w:rsid w:val="20CC3B5F"/>
    <w:rsid w:val="20CD4D43"/>
    <w:rsid w:val="20D91FEB"/>
    <w:rsid w:val="20E9477C"/>
    <w:rsid w:val="20EC03FB"/>
    <w:rsid w:val="211E47B1"/>
    <w:rsid w:val="213B0E23"/>
    <w:rsid w:val="214F751D"/>
    <w:rsid w:val="21805DD1"/>
    <w:rsid w:val="21822AB8"/>
    <w:rsid w:val="219B3920"/>
    <w:rsid w:val="219E4720"/>
    <w:rsid w:val="21BF6859"/>
    <w:rsid w:val="21DB0BBB"/>
    <w:rsid w:val="21E066F1"/>
    <w:rsid w:val="21FD6753"/>
    <w:rsid w:val="22047442"/>
    <w:rsid w:val="22060D0A"/>
    <w:rsid w:val="22093038"/>
    <w:rsid w:val="22277930"/>
    <w:rsid w:val="222A4EF1"/>
    <w:rsid w:val="22405DB1"/>
    <w:rsid w:val="22491AAF"/>
    <w:rsid w:val="224C7E9B"/>
    <w:rsid w:val="225812B3"/>
    <w:rsid w:val="228B768D"/>
    <w:rsid w:val="22A75387"/>
    <w:rsid w:val="22AC524A"/>
    <w:rsid w:val="22B1623E"/>
    <w:rsid w:val="22B84E04"/>
    <w:rsid w:val="23061CAF"/>
    <w:rsid w:val="230963C7"/>
    <w:rsid w:val="231F74AD"/>
    <w:rsid w:val="23206105"/>
    <w:rsid w:val="232F03F5"/>
    <w:rsid w:val="23300ECB"/>
    <w:rsid w:val="233A1C60"/>
    <w:rsid w:val="23522EA0"/>
    <w:rsid w:val="2366364A"/>
    <w:rsid w:val="23821018"/>
    <w:rsid w:val="23835116"/>
    <w:rsid w:val="23943D0E"/>
    <w:rsid w:val="239A32F4"/>
    <w:rsid w:val="23A44173"/>
    <w:rsid w:val="23A73CB8"/>
    <w:rsid w:val="23AF33C6"/>
    <w:rsid w:val="23BC0851"/>
    <w:rsid w:val="23D63E81"/>
    <w:rsid w:val="23F8626D"/>
    <w:rsid w:val="23FA517B"/>
    <w:rsid w:val="23FE2357"/>
    <w:rsid w:val="240B50B5"/>
    <w:rsid w:val="241F7AA4"/>
    <w:rsid w:val="244A5ABB"/>
    <w:rsid w:val="247C39A0"/>
    <w:rsid w:val="247E2E11"/>
    <w:rsid w:val="24803532"/>
    <w:rsid w:val="24881B3D"/>
    <w:rsid w:val="24A769E9"/>
    <w:rsid w:val="24C63A20"/>
    <w:rsid w:val="24DD793C"/>
    <w:rsid w:val="24DF31A3"/>
    <w:rsid w:val="24E3320E"/>
    <w:rsid w:val="24FB302E"/>
    <w:rsid w:val="25056E93"/>
    <w:rsid w:val="251F3280"/>
    <w:rsid w:val="252E18B4"/>
    <w:rsid w:val="25416241"/>
    <w:rsid w:val="25472A30"/>
    <w:rsid w:val="25476B65"/>
    <w:rsid w:val="256B0F89"/>
    <w:rsid w:val="25723451"/>
    <w:rsid w:val="25744CC0"/>
    <w:rsid w:val="25931026"/>
    <w:rsid w:val="25A62424"/>
    <w:rsid w:val="25A75937"/>
    <w:rsid w:val="25BC5CB5"/>
    <w:rsid w:val="25C25F8A"/>
    <w:rsid w:val="25D061BB"/>
    <w:rsid w:val="25D11C41"/>
    <w:rsid w:val="2603366F"/>
    <w:rsid w:val="260A1D53"/>
    <w:rsid w:val="260D5FFF"/>
    <w:rsid w:val="260E1D77"/>
    <w:rsid w:val="26140373"/>
    <w:rsid w:val="26175576"/>
    <w:rsid w:val="261F5B7A"/>
    <w:rsid w:val="262275D1"/>
    <w:rsid w:val="26260703"/>
    <w:rsid w:val="2644546E"/>
    <w:rsid w:val="264E7AE5"/>
    <w:rsid w:val="265C6F87"/>
    <w:rsid w:val="26610719"/>
    <w:rsid w:val="266427D3"/>
    <w:rsid w:val="266A20D1"/>
    <w:rsid w:val="266C293C"/>
    <w:rsid w:val="266D3525"/>
    <w:rsid w:val="2675674A"/>
    <w:rsid w:val="26770BEE"/>
    <w:rsid w:val="26812549"/>
    <w:rsid w:val="26846979"/>
    <w:rsid w:val="268B606C"/>
    <w:rsid w:val="268D3A21"/>
    <w:rsid w:val="26B43466"/>
    <w:rsid w:val="26B53FC9"/>
    <w:rsid w:val="26EE4083"/>
    <w:rsid w:val="27074947"/>
    <w:rsid w:val="27273C5D"/>
    <w:rsid w:val="272A0E33"/>
    <w:rsid w:val="27305F3A"/>
    <w:rsid w:val="276964E0"/>
    <w:rsid w:val="27771461"/>
    <w:rsid w:val="27A26C29"/>
    <w:rsid w:val="27B22181"/>
    <w:rsid w:val="27D637DA"/>
    <w:rsid w:val="27DE115B"/>
    <w:rsid w:val="27FC3EFE"/>
    <w:rsid w:val="280C2F29"/>
    <w:rsid w:val="281226B9"/>
    <w:rsid w:val="285C2120"/>
    <w:rsid w:val="28662C22"/>
    <w:rsid w:val="28785447"/>
    <w:rsid w:val="287E31E4"/>
    <w:rsid w:val="2895234A"/>
    <w:rsid w:val="289F2FF8"/>
    <w:rsid w:val="28B30360"/>
    <w:rsid w:val="28B44557"/>
    <w:rsid w:val="28D63AF7"/>
    <w:rsid w:val="28FF44FC"/>
    <w:rsid w:val="292F5160"/>
    <w:rsid w:val="293264B0"/>
    <w:rsid w:val="293B442F"/>
    <w:rsid w:val="293E708B"/>
    <w:rsid w:val="294F1EA5"/>
    <w:rsid w:val="2951456F"/>
    <w:rsid w:val="29587400"/>
    <w:rsid w:val="296D6B85"/>
    <w:rsid w:val="2970518F"/>
    <w:rsid w:val="29982084"/>
    <w:rsid w:val="29A02B64"/>
    <w:rsid w:val="29B95D7E"/>
    <w:rsid w:val="29BD120F"/>
    <w:rsid w:val="29C769C8"/>
    <w:rsid w:val="29CC7A9D"/>
    <w:rsid w:val="29D016F8"/>
    <w:rsid w:val="29DA6ED0"/>
    <w:rsid w:val="29E01003"/>
    <w:rsid w:val="29F36D30"/>
    <w:rsid w:val="29F85218"/>
    <w:rsid w:val="2A0C4CCF"/>
    <w:rsid w:val="2A1A2B8E"/>
    <w:rsid w:val="2A500B96"/>
    <w:rsid w:val="2A594F8B"/>
    <w:rsid w:val="2A6653CE"/>
    <w:rsid w:val="2AA2085A"/>
    <w:rsid w:val="2AA826D0"/>
    <w:rsid w:val="2ACF5A8C"/>
    <w:rsid w:val="2ADF4AAE"/>
    <w:rsid w:val="2AE53CE8"/>
    <w:rsid w:val="2AEC737C"/>
    <w:rsid w:val="2AF4502B"/>
    <w:rsid w:val="2AF51552"/>
    <w:rsid w:val="2B074524"/>
    <w:rsid w:val="2B2621F1"/>
    <w:rsid w:val="2B4A6A01"/>
    <w:rsid w:val="2B621E24"/>
    <w:rsid w:val="2B833DCF"/>
    <w:rsid w:val="2B9C72A6"/>
    <w:rsid w:val="2BAC56A1"/>
    <w:rsid w:val="2BD31A99"/>
    <w:rsid w:val="2BEA69B2"/>
    <w:rsid w:val="2C1553C3"/>
    <w:rsid w:val="2C18524B"/>
    <w:rsid w:val="2C1E46C1"/>
    <w:rsid w:val="2C2F3124"/>
    <w:rsid w:val="2C5018BD"/>
    <w:rsid w:val="2C584791"/>
    <w:rsid w:val="2C640A05"/>
    <w:rsid w:val="2C854463"/>
    <w:rsid w:val="2C972AC7"/>
    <w:rsid w:val="2CA02338"/>
    <w:rsid w:val="2CB05897"/>
    <w:rsid w:val="2CB75795"/>
    <w:rsid w:val="2CB949F3"/>
    <w:rsid w:val="2CE11404"/>
    <w:rsid w:val="2CEC3704"/>
    <w:rsid w:val="2CF27CFD"/>
    <w:rsid w:val="2D474B6D"/>
    <w:rsid w:val="2D4B7180"/>
    <w:rsid w:val="2D4C2233"/>
    <w:rsid w:val="2D546C0A"/>
    <w:rsid w:val="2D752421"/>
    <w:rsid w:val="2D7E033B"/>
    <w:rsid w:val="2D962D8D"/>
    <w:rsid w:val="2DA65AC5"/>
    <w:rsid w:val="2DB5595A"/>
    <w:rsid w:val="2DD14808"/>
    <w:rsid w:val="2DD30C45"/>
    <w:rsid w:val="2DDC0D17"/>
    <w:rsid w:val="2DF73A8E"/>
    <w:rsid w:val="2DF950BB"/>
    <w:rsid w:val="2E026666"/>
    <w:rsid w:val="2E2379BC"/>
    <w:rsid w:val="2E293021"/>
    <w:rsid w:val="2E3C1B78"/>
    <w:rsid w:val="2E3D02E5"/>
    <w:rsid w:val="2E697A92"/>
    <w:rsid w:val="2E6E5AA9"/>
    <w:rsid w:val="2E7F2464"/>
    <w:rsid w:val="2E8B0A6F"/>
    <w:rsid w:val="2E8C5F2F"/>
    <w:rsid w:val="2E92294E"/>
    <w:rsid w:val="2EBC2658"/>
    <w:rsid w:val="2EBE7EAF"/>
    <w:rsid w:val="2EE2476D"/>
    <w:rsid w:val="2EE87609"/>
    <w:rsid w:val="2EFD080A"/>
    <w:rsid w:val="2EFE1015"/>
    <w:rsid w:val="2F022252"/>
    <w:rsid w:val="2F264155"/>
    <w:rsid w:val="2F363FD0"/>
    <w:rsid w:val="2F3660FB"/>
    <w:rsid w:val="2F382AB3"/>
    <w:rsid w:val="2F391C13"/>
    <w:rsid w:val="2F3D146B"/>
    <w:rsid w:val="2F4C602F"/>
    <w:rsid w:val="2F59024D"/>
    <w:rsid w:val="2F643F8E"/>
    <w:rsid w:val="2F6971AB"/>
    <w:rsid w:val="2F714C1D"/>
    <w:rsid w:val="2F7B5235"/>
    <w:rsid w:val="2F7D607E"/>
    <w:rsid w:val="2F8C268B"/>
    <w:rsid w:val="2FB058A3"/>
    <w:rsid w:val="2FB44929"/>
    <w:rsid w:val="2FE23FCB"/>
    <w:rsid w:val="2FE80829"/>
    <w:rsid w:val="300466C5"/>
    <w:rsid w:val="300D7E33"/>
    <w:rsid w:val="301F34FF"/>
    <w:rsid w:val="30387810"/>
    <w:rsid w:val="30424923"/>
    <w:rsid w:val="305F0E93"/>
    <w:rsid w:val="30637F81"/>
    <w:rsid w:val="308C66BA"/>
    <w:rsid w:val="30EB68FA"/>
    <w:rsid w:val="30EE2ED1"/>
    <w:rsid w:val="31070819"/>
    <w:rsid w:val="310D28FD"/>
    <w:rsid w:val="312622CD"/>
    <w:rsid w:val="3129097E"/>
    <w:rsid w:val="313E0517"/>
    <w:rsid w:val="31603737"/>
    <w:rsid w:val="3163452A"/>
    <w:rsid w:val="31771119"/>
    <w:rsid w:val="3179279B"/>
    <w:rsid w:val="3199022D"/>
    <w:rsid w:val="31C132B8"/>
    <w:rsid w:val="31C15187"/>
    <w:rsid w:val="31C75BFC"/>
    <w:rsid w:val="31F65A58"/>
    <w:rsid w:val="31F97990"/>
    <w:rsid w:val="32020D52"/>
    <w:rsid w:val="320311F3"/>
    <w:rsid w:val="321109A1"/>
    <w:rsid w:val="32263C46"/>
    <w:rsid w:val="322E7A9C"/>
    <w:rsid w:val="323E5792"/>
    <w:rsid w:val="32435C17"/>
    <w:rsid w:val="325955AE"/>
    <w:rsid w:val="325F092B"/>
    <w:rsid w:val="327A560B"/>
    <w:rsid w:val="328E083B"/>
    <w:rsid w:val="32946148"/>
    <w:rsid w:val="32A457A0"/>
    <w:rsid w:val="32D700C1"/>
    <w:rsid w:val="32F55324"/>
    <w:rsid w:val="33022B65"/>
    <w:rsid w:val="33245508"/>
    <w:rsid w:val="33294EB7"/>
    <w:rsid w:val="33296DDC"/>
    <w:rsid w:val="33386686"/>
    <w:rsid w:val="33411378"/>
    <w:rsid w:val="334603F1"/>
    <w:rsid w:val="33552E44"/>
    <w:rsid w:val="33655BA2"/>
    <w:rsid w:val="33717CFD"/>
    <w:rsid w:val="33C27602"/>
    <w:rsid w:val="33C51E92"/>
    <w:rsid w:val="33E16B0C"/>
    <w:rsid w:val="33EE77D1"/>
    <w:rsid w:val="340842AA"/>
    <w:rsid w:val="341A06B8"/>
    <w:rsid w:val="342A7C20"/>
    <w:rsid w:val="34345F13"/>
    <w:rsid w:val="344A48C2"/>
    <w:rsid w:val="34541A49"/>
    <w:rsid w:val="34543C79"/>
    <w:rsid w:val="345E7AE8"/>
    <w:rsid w:val="34761214"/>
    <w:rsid w:val="347B7B23"/>
    <w:rsid w:val="34832720"/>
    <w:rsid w:val="34866519"/>
    <w:rsid w:val="348773CD"/>
    <w:rsid w:val="34911C7D"/>
    <w:rsid w:val="349156A7"/>
    <w:rsid w:val="34940253"/>
    <w:rsid w:val="34A913BC"/>
    <w:rsid w:val="34BD4837"/>
    <w:rsid w:val="34D4475A"/>
    <w:rsid w:val="34DE118C"/>
    <w:rsid w:val="34E940DB"/>
    <w:rsid w:val="34F72F2B"/>
    <w:rsid w:val="34F8592A"/>
    <w:rsid w:val="350565C6"/>
    <w:rsid w:val="35171FC3"/>
    <w:rsid w:val="35324E37"/>
    <w:rsid w:val="35463A62"/>
    <w:rsid w:val="35522E02"/>
    <w:rsid w:val="356D6A09"/>
    <w:rsid w:val="357A4D33"/>
    <w:rsid w:val="35852EE6"/>
    <w:rsid w:val="359B10BA"/>
    <w:rsid w:val="35A515F1"/>
    <w:rsid w:val="35DF7319"/>
    <w:rsid w:val="36032233"/>
    <w:rsid w:val="361362EA"/>
    <w:rsid w:val="361C228F"/>
    <w:rsid w:val="36301CAE"/>
    <w:rsid w:val="36674C84"/>
    <w:rsid w:val="366B14B6"/>
    <w:rsid w:val="36847F4C"/>
    <w:rsid w:val="369179E3"/>
    <w:rsid w:val="369932CA"/>
    <w:rsid w:val="36A24CBE"/>
    <w:rsid w:val="36B32FDF"/>
    <w:rsid w:val="36BC7D30"/>
    <w:rsid w:val="36C76579"/>
    <w:rsid w:val="36D44E98"/>
    <w:rsid w:val="36DB3EF8"/>
    <w:rsid w:val="36E81580"/>
    <w:rsid w:val="36EC2A2B"/>
    <w:rsid w:val="36EF34FF"/>
    <w:rsid w:val="36F30C44"/>
    <w:rsid w:val="372E09F2"/>
    <w:rsid w:val="37534083"/>
    <w:rsid w:val="37543839"/>
    <w:rsid w:val="37585C03"/>
    <w:rsid w:val="37691503"/>
    <w:rsid w:val="376F3BFD"/>
    <w:rsid w:val="37715C00"/>
    <w:rsid w:val="37775AE4"/>
    <w:rsid w:val="37893FE8"/>
    <w:rsid w:val="37AA778A"/>
    <w:rsid w:val="37B71B23"/>
    <w:rsid w:val="37B72222"/>
    <w:rsid w:val="37C327A6"/>
    <w:rsid w:val="37C66C9B"/>
    <w:rsid w:val="37CB1876"/>
    <w:rsid w:val="37E8067A"/>
    <w:rsid w:val="37EF25FC"/>
    <w:rsid w:val="37EF34CB"/>
    <w:rsid w:val="37F7421E"/>
    <w:rsid w:val="38134DDD"/>
    <w:rsid w:val="382472C8"/>
    <w:rsid w:val="38622B72"/>
    <w:rsid w:val="388372A8"/>
    <w:rsid w:val="38890D62"/>
    <w:rsid w:val="38AB6509"/>
    <w:rsid w:val="38AC7386"/>
    <w:rsid w:val="38C67BAB"/>
    <w:rsid w:val="38CA42F7"/>
    <w:rsid w:val="38F03CF0"/>
    <w:rsid w:val="39154A37"/>
    <w:rsid w:val="39243F17"/>
    <w:rsid w:val="393B142F"/>
    <w:rsid w:val="394A0E7B"/>
    <w:rsid w:val="394C66DD"/>
    <w:rsid w:val="39764D37"/>
    <w:rsid w:val="397B107A"/>
    <w:rsid w:val="397F19E8"/>
    <w:rsid w:val="3984791B"/>
    <w:rsid w:val="39AB6693"/>
    <w:rsid w:val="39F41558"/>
    <w:rsid w:val="39F6758D"/>
    <w:rsid w:val="3A0D2FC1"/>
    <w:rsid w:val="3A101E9A"/>
    <w:rsid w:val="3A2600D4"/>
    <w:rsid w:val="3A3C7179"/>
    <w:rsid w:val="3A7451E1"/>
    <w:rsid w:val="3A8420C2"/>
    <w:rsid w:val="3AA1107E"/>
    <w:rsid w:val="3AA71118"/>
    <w:rsid w:val="3AAB43EB"/>
    <w:rsid w:val="3AB93B70"/>
    <w:rsid w:val="3AC05546"/>
    <w:rsid w:val="3AC670FB"/>
    <w:rsid w:val="3AF15A98"/>
    <w:rsid w:val="3B1176AD"/>
    <w:rsid w:val="3B2C2F74"/>
    <w:rsid w:val="3B2E5A51"/>
    <w:rsid w:val="3B3616FD"/>
    <w:rsid w:val="3B3D0765"/>
    <w:rsid w:val="3B453BE2"/>
    <w:rsid w:val="3B50142C"/>
    <w:rsid w:val="3B506C62"/>
    <w:rsid w:val="3B7D23D0"/>
    <w:rsid w:val="3B802375"/>
    <w:rsid w:val="3B855041"/>
    <w:rsid w:val="3BB13E90"/>
    <w:rsid w:val="3BB84B37"/>
    <w:rsid w:val="3BC95E3A"/>
    <w:rsid w:val="3BCD2B88"/>
    <w:rsid w:val="3BE12804"/>
    <w:rsid w:val="3BEB24E7"/>
    <w:rsid w:val="3BEB698B"/>
    <w:rsid w:val="3BF33A92"/>
    <w:rsid w:val="3C266052"/>
    <w:rsid w:val="3C2F3A49"/>
    <w:rsid w:val="3C323850"/>
    <w:rsid w:val="3C3E2F5F"/>
    <w:rsid w:val="3C5263CE"/>
    <w:rsid w:val="3C634773"/>
    <w:rsid w:val="3C696293"/>
    <w:rsid w:val="3C6C7E8D"/>
    <w:rsid w:val="3C771991"/>
    <w:rsid w:val="3C9B6136"/>
    <w:rsid w:val="3CA12987"/>
    <w:rsid w:val="3CA40291"/>
    <w:rsid w:val="3CA82BF5"/>
    <w:rsid w:val="3CAA4535"/>
    <w:rsid w:val="3CBE5E4E"/>
    <w:rsid w:val="3CD76F0F"/>
    <w:rsid w:val="3CE93818"/>
    <w:rsid w:val="3CEF6007"/>
    <w:rsid w:val="3D0A1E70"/>
    <w:rsid w:val="3D2364DC"/>
    <w:rsid w:val="3D301047"/>
    <w:rsid w:val="3D3313E5"/>
    <w:rsid w:val="3D3922F5"/>
    <w:rsid w:val="3D5D16CB"/>
    <w:rsid w:val="3D622C7D"/>
    <w:rsid w:val="3D6A50D8"/>
    <w:rsid w:val="3D6E1622"/>
    <w:rsid w:val="3D942165"/>
    <w:rsid w:val="3D9D0729"/>
    <w:rsid w:val="3DAC39CF"/>
    <w:rsid w:val="3DAD79C3"/>
    <w:rsid w:val="3DAE434A"/>
    <w:rsid w:val="3DBD2964"/>
    <w:rsid w:val="3DC6320C"/>
    <w:rsid w:val="3DD360FB"/>
    <w:rsid w:val="3DDD0529"/>
    <w:rsid w:val="3DDD67A7"/>
    <w:rsid w:val="3DDE0AF1"/>
    <w:rsid w:val="3DDF6293"/>
    <w:rsid w:val="3DDF7E2A"/>
    <w:rsid w:val="3DFF24D9"/>
    <w:rsid w:val="3E164CD4"/>
    <w:rsid w:val="3E1B4CA2"/>
    <w:rsid w:val="3E23272F"/>
    <w:rsid w:val="3E234D34"/>
    <w:rsid w:val="3E434B77"/>
    <w:rsid w:val="3E4B6981"/>
    <w:rsid w:val="3E515734"/>
    <w:rsid w:val="3E595229"/>
    <w:rsid w:val="3E7E5894"/>
    <w:rsid w:val="3E8C3254"/>
    <w:rsid w:val="3E9055C8"/>
    <w:rsid w:val="3E9A3738"/>
    <w:rsid w:val="3EB13EE2"/>
    <w:rsid w:val="3EB80D47"/>
    <w:rsid w:val="3EBE084F"/>
    <w:rsid w:val="3EC139D3"/>
    <w:rsid w:val="3EC32B74"/>
    <w:rsid w:val="3ED23E32"/>
    <w:rsid w:val="3ED2622E"/>
    <w:rsid w:val="3ED92825"/>
    <w:rsid w:val="3EDB7087"/>
    <w:rsid w:val="3EE13847"/>
    <w:rsid w:val="3EFF28D2"/>
    <w:rsid w:val="3F062266"/>
    <w:rsid w:val="3F326DBB"/>
    <w:rsid w:val="3F3D5750"/>
    <w:rsid w:val="3F4E4B32"/>
    <w:rsid w:val="3F60143E"/>
    <w:rsid w:val="3F61039D"/>
    <w:rsid w:val="3F625101"/>
    <w:rsid w:val="3F6A5E19"/>
    <w:rsid w:val="3F787367"/>
    <w:rsid w:val="3F795070"/>
    <w:rsid w:val="3F7A6D73"/>
    <w:rsid w:val="3F7F7398"/>
    <w:rsid w:val="3FB035F2"/>
    <w:rsid w:val="3FD71BC8"/>
    <w:rsid w:val="3FDA1D33"/>
    <w:rsid w:val="3FE815EE"/>
    <w:rsid w:val="3FEB2035"/>
    <w:rsid w:val="400E0E9A"/>
    <w:rsid w:val="400E6225"/>
    <w:rsid w:val="40314A5B"/>
    <w:rsid w:val="40512B35"/>
    <w:rsid w:val="40614CD5"/>
    <w:rsid w:val="406A5EE6"/>
    <w:rsid w:val="40746E7C"/>
    <w:rsid w:val="407B2BDA"/>
    <w:rsid w:val="4086758E"/>
    <w:rsid w:val="409A0980"/>
    <w:rsid w:val="40A806BA"/>
    <w:rsid w:val="40AF0EDB"/>
    <w:rsid w:val="40DC05C4"/>
    <w:rsid w:val="40EC294D"/>
    <w:rsid w:val="40ED70EB"/>
    <w:rsid w:val="41007C3C"/>
    <w:rsid w:val="41062E66"/>
    <w:rsid w:val="412A517F"/>
    <w:rsid w:val="412F0C3F"/>
    <w:rsid w:val="41340BF0"/>
    <w:rsid w:val="41567FFC"/>
    <w:rsid w:val="41636264"/>
    <w:rsid w:val="416F5968"/>
    <w:rsid w:val="41792DFD"/>
    <w:rsid w:val="41881218"/>
    <w:rsid w:val="418C35EF"/>
    <w:rsid w:val="419F3437"/>
    <w:rsid w:val="41B74910"/>
    <w:rsid w:val="41BA52FE"/>
    <w:rsid w:val="41BC7A4D"/>
    <w:rsid w:val="41C55588"/>
    <w:rsid w:val="41CD1DB8"/>
    <w:rsid w:val="41DA0BDC"/>
    <w:rsid w:val="41FB2635"/>
    <w:rsid w:val="42007BC3"/>
    <w:rsid w:val="421315B6"/>
    <w:rsid w:val="421C222A"/>
    <w:rsid w:val="422723C1"/>
    <w:rsid w:val="423050F8"/>
    <w:rsid w:val="423C09A7"/>
    <w:rsid w:val="423C51F6"/>
    <w:rsid w:val="423D41B8"/>
    <w:rsid w:val="425C4492"/>
    <w:rsid w:val="426254CD"/>
    <w:rsid w:val="426E3861"/>
    <w:rsid w:val="42776D38"/>
    <w:rsid w:val="427E59B9"/>
    <w:rsid w:val="42855E43"/>
    <w:rsid w:val="42867761"/>
    <w:rsid w:val="428A565E"/>
    <w:rsid w:val="42995FCE"/>
    <w:rsid w:val="42AC1AFD"/>
    <w:rsid w:val="42C534F8"/>
    <w:rsid w:val="42C80099"/>
    <w:rsid w:val="42D03DF9"/>
    <w:rsid w:val="42E004E2"/>
    <w:rsid w:val="42E67EAC"/>
    <w:rsid w:val="42EE5B4D"/>
    <w:rsid w:val="432418B7"/>
    <w:rsid w:val="432675D2"/>
    <w:rsid w:val="432B652E"/>
    <w:rsid w:val="43322CB6"/>
    <w:rsid w:val="433B5086"/>
    <w:rsid w:val="43421586"/>
    <w:rsid w:val="4351111A"/>
    <w:rsid w:val="435C3CCA"/>
    <w:rsid w:val="43782F6E"/>
    <w:rsid w:val="437958FB"/>
    <w:rsid w:val="43804A43"/>
    <w:rsid w:val="43883495"/>
    <w:rsid w:val="43891467"/>
    <w:rsid w:val="438A70CD"/>
    <w:rsid w:val="43A0243A"/>
    <w:rsid w:val="43A05748"/>
    <w:rsid w:val="43D877F5"/>
    <w:rsid w:val="43DC17D0"/>
    <w:rsid w:val="43EC66C0"/>
    <w:rsid w:val="441060A4"/>
    <w:rsid w:val="4438425E"/>
    <w:rsid w:val="443E46FC"/>
    <w:rsid w:val="444E27E0"/>
    <w:rsid w:val="44594502"/>
    <w:rsid w:val="445C25FF"/>
    <w:rsid w:val="446374FE"/>
    <w:rsid w:val="44696FA8"/>
    <w:rsid w:val="447778A6"/>
    <w:rsid w:val="44897E3F"/>
    <w:rsid w:val="448C151A"/>
    <w:rsid w:val="449A179A"/>
    <w:rsid w:val="44A75FC8"/>
    <w:rsid w:val="44AF78F9"/>
    <w:rsid w:val="44B505D2"/>
    <w:rsid w:val="44BB7408"/>
    <w:rsid w:val="44D12F1C"/>
    <w:rsid w:val="44D833CE"/>
    <w:rsid w:val="44E47A78"/>
    <w:rsid w:val="44F00EFA"/>
    <w:rsid w:val="44F248E6"/>
    <w:rsid w:val="44FF0AA4"/>
    <w:rsid w:val="450D7972"/>
    <w:rsid w:val="45201CD0"/>
    <w:rsid w:val="45280308"/>
    <w:rsid w:val="4538393C"/>
    <w:rsid w:val="45387273"/>
    <w:rsid w:val="453B4135"/>
    <w:rsid w:val="453B4205"/>
    <w:rsid w:val="453F29DF"/>
    <w:rsid w:val="45440DD2"/>
    <w:rsid w:val="45583E57"/>
    <w:rsid w:val="455C71C7"/>
    <w:rsid w:val="45965BB9"/>
    <w:rsid w:val="45A41345"/>
    <w:rsid w:val="45A95584"/>
    <w:rsid w:val="45AE5BA0"/>
    <w:rsid w:val="45BE0154"/>
    <w:rsid w:val="45C06792"/>
    <w:rsid w:val="45DF3F0B"/>
    <w:rsid w:val="45EB3020"/>
    <w:rsid w:val="45EE6EB3"/>
    <w:rsid w:val="45FD6F20"/>
    <w:rsid w:val="460074D7"/>
    <w:rsid w:val="460C1A5C"/>
    <w:rsid w:val="461934A2"/>
    <w:rsid w:val="464E1FF0"/>
    <w:rsid w:val="465E24AC"/>
    <w:rsid w:val="467F5DE0"/>
    <w:rsid w:val="46944964"/>
    <w:rsid w:val="469F284C"/>
    <w:rsid w:val="46A2058E"/>
    <w:rsid w:val="46B31D9B"/>
    <w:rsid w:val="46B40B6B"/>
    <w:rsid w:val="46B417D5"/>
    <w:rsid w:val="46B72F92"/>
    <w:rsid w:val="46C87FF5"/>
    <w:rsid w:val="46D64DD7"/>
    <w:rsid w:val="46F43BD9"/>
    <w:rsid w:val="470026F4"/>
    <w:rsid w:val="470B38B4"/>
    <w:rsid w:val="47170634"/>
    <w:rsid w:val="472C3214"/>
    <w:rsid w:val="473B494C"/>
    <w:rsid w:val="4757377B"/>
    <w:rsid w:val="475A3C5F"/>
    <w:rsid w:val="477E152E"/>
    <w:rsid w:val="47803EE3"/>
    <w:rsid w:val="478B5F81"/>
    <w:rsid w:val="47BA2279"/>
    <w:rsid w:val="47C01EFF"/>
    <w:rsid w:val="47CF53EA"/>
    <w:rsid w:val="47F4285A"/>
    <w:rsid w:val="481608EC"/>
    <w:rsid w:val="48164085"/>
    <w:rsid w:val="486218A8"/>
    <w:rsid w:val="489D056C"/>
    <w:rsid w:val="489D100D"/>
    <w:rsid w:val="48A279E5"/>
    <w:rsid w:val="48E5581B"/>
    <w:rsid w:val="48EB27B9"/>
    <w:rsid w:val="4902651C"/>
    <w:rsid w:val="492C1447"/>
    <w:rsid w:val="49301B95"/>
    <w:rsid w:val="4933371F"/>
    <w:rsid w:val="49720FA3"/>
    <w:rsid w:val="49836455"/>
    <w:rsid w:val="499573D5"/>
    <w:rsid w:val="49A445B1"/>
    <w:rsid w:val="49A52622"/>
    <w:rsid w:val="49BB4DFF"/>
    <w:rsid w:val="49D40030"/>
    <w:rsid w:val="49DD3E4B"/>
    <w:rsid w:val="49F60647"/>
    <w:rsid w:val="49F71C8B"/>
    <w:rsid w:val="49FC5DE1"/>
    <w:rsid w:val="4A027711"/>
    <w:rsid w:val="4A112E27"/>
    <w:rsid w:val="4A5078FD"/>
    <w:rsid w:val="4A6B109E"/>
    <w:rsid w:val="4A7E6C1C"/>
    <w:rsid w:val="4A9B77CE"/>
    <w:rsid w:val="4AAB7AF7"/>
    <w:rsid w:val="4ABA6312"/>
    <w:rsid w:val="4ABF7122"/>
    <w:rsid w:val="4AC175BC"/>
    <w:rsid w:val="4AD4658B"/>
    <w:rsid w:val="4AD9673E"/>
    <w:rsid w:val="4AE9143A"/>
    <w:rsid w:val="4AEA43A1"/>
    <w:rsid w:val="4AF8018E"/>
    <w:rsid w:val="4B0A170C"/>
    <w:rsid w:val="4B3D4D2C"/>
    <w:rsid w:val="4B5C0786"/>
    <w:rsid w:val="4B660844"/>
    <w:rsid w:val="4B6B53F2"/>
    <w:rsid w:val="4BB15C21"/>
    <w:rsid w:val="4BB750C3"/>
    <w:rsid w:val="4BBC79FC"/>
    <w:rsid w:val="4BC94F46"/>
    <w:rsid w:val="4BCB2AEB"/>
    <w:rsid w:val="4BE06CC4"/>
    <w:rsid w:val="4BE3771B"/>
    <w:rsid w:val="4BEA1BAB"/>
    <w:rsid w:val="4BF01593"/>
    <w:rsid w:val="4BFA22D2"/>
    <w:rsid w:val="4C0A69B9"/>
    <w:rsid w:val="4C0D5716"/>
    <w:rsid w:val="4C275D4F"/>
    <w:rsid w:val="4C325E8E"/>
    <w:rsid w:val="4C617708"/>
    <w:rsid w:val="4C6407C8"/>
    <w:rsid w:val="4C647B85"/>
    <w:rsid w:val="4C723730"/>
    <w:rsid w:val="4C820C46"/>
    <w:rsid w:val="4C87625C"/>
    <w:rsid w:val="4C8A7685"/>
    <w:rsid w:val="4C934C01"/>
    <w:rsid w:val="4CB63362"/>
    <w:rsid w:val="4CCD1449"/>
    <w:rsid w:val="4CEC0F33"/>
    <w:rsid w:val="4CF56E73"/>
    <w:rsid w:val="4D0A3507"/>
    <w:rsid w:val="4D1542DA"/>
    <w:rsid w:val="4D1A1400"/>
    <w:rsid w:val="4D1D50F6"/>
    <w:rsid w:val="4D2D785A"/>
    <w:rsid w:val="4D330A1C"/>
    <w:rsid w:val="4D37306F"/>
    <w:rsid w:val="4D3C7046"/>
    <w:rsid w:val="4D433130"/>
    <w:rsid w:val="4D4F3090"/>
    <w:rsid w:val="4D512840"/>
    <w:rsid w:val="4D7519A8"/>
    <w:rsid w:val="4D785296"/>
    <w:rsid w:val="4D8A3D3A"/>
    <w:rsid w:val="4D8B1D7C"/>
    <w:rsid w:val="4D9627C3"/>
    <w:rsid w:val="4DAE0055"/>
    <w:rsid w:val="4DB50BA7"/>
    <w:rsid w:val="4DFF763B"/>
    <w:rsid w:val="4E241889"/>
    <w:rsid w:val="4E2521D3"/>
    <w:rsid w:val="4E2B2C17"/>
    <w:rsid w:val="4E314A42"/>
    <w:rsid w:val="4E3221F7"/>
    <w:rsid w:val="4E3653FD"/>
    <w:rsid w:val="4E4011FA"/>
    <w:rsid w:val="4E412659"/>
    <w:rsid w:val="4E473566"/>
    <w:rsid w:val="4E5135E1"/>
    <w:rsid w:val="4E577FF8"/>
    <w:rsid w:val="4E5972CA"/>
    <w:rsid w:val="4E5A55A3"/>
    <w:rsid w:val="4E6067F8"/>
    <w:rsid w:val="4E6146C1"/>
    <w:rsid w:val="4E746B5D"/>
    <w:rsid w:val="4E8B47DA"/>
    <w:rsid w:val="4EA0308E"/>
    <w:rsid w:val="4EA5389D"/>
    <w:rsid w:val="4EB733D6"/>
    <w:rsid w:val="4EBA0BB9"/>
    <w:rsid w:val="4EC1438F"/>
    <w:rsid w:val="4EC90D1A"/>
    <w:rsid w:val="4ECD1134"/>
    <w:rsid w:val="4EEB5A34"/>
    <w:rsid w:val="4F197C06"/>
    <w:rsid w:val="4F315F1B"/>
    <w:rsid w:val="4F321DBF"/>
    <w:rsid w:val="4F3617B5"/>
    <w:rsid w:val="4F3A0C3A"/>
    <w:rsid w:val="4F4D1362"/>
    <w:rsid w:val="4F5C560B"/>
    <w:rsid w:val="4F9E1E25"/>
    <w:rsid w:val="4FA25CE5"/>
    <w:rsid w:val="4FBB7FCB"/>
    <w:rsid w:val="4FC6709B"/>
    <w:rsid w:val="500656EA"/>
    <w:rsid w:val="5019443A"/>
    <w:rsid w:val="5036106A"/>
    <w:rsid w:val="5040163C"/>
    <w:rsid w:val="505D24D2"/>
    <w:rsid w:val="505D37EE"/>
    <w:rsid w:val="50707007"/>
    <w:rsid w:val="50744D60"/>
    <w:rsid w:val="50794D06"/>
    <w:rsid w:val="507F2242"/>
    <w:rsid w:val="50803083"/>
    <w:rsid w:val="5082591C"/>
    <w:rsid w:val="508C1E49"/>
    <w:rsid w:val="50921001"/>
    <w:rsid w:val="509934C0"/>
    <w:rsid w:val="509F054C"/>
    <w:rsid w:val="50A53BDC"/>
    <w:rsid w:val="50A9358A"/>
    <w:rsid w:val="50AD68A1"/>
    <w:rsid w:val="50AE0000"/>
    <w:rsid w:val="50BD5F00"/>
    <w:rsid w:val="50D04016"/>
    <w:rsid w:val="50E023DF"/>
    <w:rsid w:val="50E71F96"/>
    <w:rsid w:val="50EB7D9F"/>
    <w:rsid w:val="50F31FF0"/>
    <w:rsid w:val="510762F3"/>
    <w:rsid w:val="510C3ECB"/>
    <w:rsid w:val="511D6A6F"/>
    <w:rsid w:val="51200A2D"/>
    <w:rsid w:val="51431745"/>
    <w:rsid w:val="514F001A"/>
    <w:rsid w:val="51600E2A"/>
    <w:rsid w:val="51662C85"/>
    <w:rsid w:val="51722F47"/>
    <w:rsid w:val="5185038C"/>
    <w:rsid w:val="51A33A92"/>
    <w:rsid w:val="51D60BB3"/>
    <w:rsid w:val="51DD4713"/>
    <w:rsid w:val="51E5304A"/>
    <w:rsid w:val="51F538B7"/>
    <w:rsid w:val="51F63F1B"/>
    <w:rsid w:val="51F83758"/>
    <w:rsid w:val="51FA5F47"/>
    <w:rsid w:val="51FC1EF7"/>
    <w:rsid w:val="52354064"/>
    <w:rsid w:val="523C2CD5"/>
    <w:rsid w:val="524A468B"/>
    <w:rsid w:val="524C3FFD"/>
    <w:rsid w:val="524D4EE6"/>
    <w:rsid w:val="526158D9"/>
    <w:rsid w:val="52912868"/>
    <w:rsid w:val="52974D1F"/>
    <w:rsid w:val="52A36D3A"/>
    <w:rsid w:val="52C01BD2"/>
    <w:rsid w:val="52D95337"/>
    <w:rsid w:val="52EC715A"/>
    <w:rsid w:val="52F630B7"/>
    <w:rsid w:val="52F717A2"/>
    <w:rsid w:val="530048AA"/>
    <w:rsid w:val="530F4D20"/>
    <w:rsid w:val="531C6B04"/>
    <w:rsid w:val="532164E8"/>
    <w:rsid w:val="533026AA"/>
    <w:rsid w:val="53365130"/>
    <w:rsid w:val="533F33D8"/>
    <w:rsid w:val="534722A1"/>
    <w:rsid w:val="53636B01"/>
    <w:rsid w:val="537C50CE"/>
    <w:rsid w:val="538046D4"/>
    <w:rsid w:val="539B4D06"/>
    <w:rsid w:val="53B02B44"/>
    <w:rsid w:val="53BF452D"/>
    <w:rsid w:val="53D53D51"/>
    <w:rsid w:val="53FE34F2"/>
    <w:rsid w:val="541C6BA0"/>
    <w:rsid w:val="542433AD"/>
    <w:rsid w:val="542C1497"/>
    <w:rsid w:val="542D76E9"/>
    <w:rsid w:val="542F6B97"/>
    <w:rsid w:val="543B69AD"/>
    <w:rsid w:val="543C5706"/>
    <w:rsid w:val="54823369"/>
    <w:rsid w:val="548B151F"/>
    <w:rsid w:val="548D42B6"/>
    <w:rsid w:val="548D43CD"/>
    <w:rsid w:val="549C2F2F"/>
    <w:rsid w:val="549D2EF3"/>
    <w:rsid w:val="54A05D0E"/>
    <w:rsid w:val="54B8031D"/>
    <w:rsid w:val="54DB1C81"/>
    <w:rsid w:val="54FF67DE"/>
    <w:rsid w:val="550A2AE2"/>
    <w:rsid w:val="550A663F"/>
    <w:rsid w:val="55136B7E"/>
    <w:rsid w:val="551476B8"/>
    <w:rsid w:val="551D5901"/>
    <w:rsid w:val="55232A74"/>
    <w:rsid w:val="552A5783"/>
    <w:rsid w:val="55526B28"/>
    <w:rsid w:val="5563538C"/>
    <w:rsid w:val="55696D9F"/>
    <w:rsid w:val="55787787"/>
    <w:rsid w:val="55886FD7"/>
    <w:rsid w:val="55B85833"/>
    <w:rsid w:val="55BF392A"/>
    <w:rsid w:val="55D903ED"/>
    <w:rsid w:val="55E90F00"/>
    <w:rsid w:val="55F123F9"/>
    <w:rsid w:val="561A088D"/>
    <w:rsid w:val="562770B6"/>
    <w:rsid w:val="56313C5B"/>
    <w:rsid w:val="56667CD8"/>
    <w:rsid w:val="56701194"/>
    <w:rsid w:val="56723096"/>
    <w:rsid w:val="567A7928"/>
    <w:rsid w:val="568D1ECF"/>
    <w:rsid w:val="569B27EA"/>
    <w:rsid w:val="56A81C1A"/>
    <w:rsid w:val="56C01C4A"/>
    <w:rsid w:val="56CC3696"/>
    <w:rsid w:val="56D51E02"/>
    <w:rsid w:val="56D71B8E"/>
    <w:rsid w:val="56EB388B"/>
    <w:rsid w:val="56F969C7"/>
    <w:rsid w:val="57016B51"/>
    <w:rsid w:val="573C0B3A"/>
    <w:rsid w:val="574511ED"/>
    <w:rsid w:val="5745241A"/>
    <w:rsid w:val="578330B8"/>
    <w:rsid w:val="57931F59"/>
    <w:rsid w:val="5795577C"/>
    <w:rsid w:val="57C34AC9"/>
    <w:rsid w:val="57D17F4B"/>
    <w:rsid w:val="57DD4F82"/>
    <w:rsid w:val="57F934C0"/>
    <w:rsid w:val="57FE0822"/>
    <w:rsid w:val="58092A15"/>
    <w:rsid w:val="580F0C00"/>
    <w:rsid w:val="58264EEA"/>
    <w:rsid w:val="58272CC8"/>
    <w:rsid w:val="583F6838"/>
    <w:rsid w:val="584274DB"/>
    <w:rsid w:val="58677863"/>
    <w:rsid w:val="586E0339"/>
    <w:rsid w:val="58951C97"/>
    <w:rsid w:val="58B0410D"/>
    <w:rsid w:val="58B71C77"/>
    <w:rsid w:val="58BA519E"/>
    <w:rsid w:val="58C3106F"/>
    <w:rsid w:val="58C62C27"/>
    <w:rsid w:val="58C963C2"/>
    <w:rsid w:val="58CA0010"/>
    <w:rsid w:val="58CC2A45"/>
    <w:rsid w:val="58D554C1"/>
    <w:rsid w:val="58FC5AEF"/>
    <w:rsid w:val="591904A4"/>
    <w:rsid w:val="591E45BB"/>
    <w:rsid w:val="592B4413"/>
    <w:rsid w:val="596379A9"/>
    <w:rsid w:val="596C601D"/>
    <w:rsid w:val="597162CA"/>
    <w:rsid w:val="597D0736"/>
    <w:rsid w:val="597E2795"/>
    <w:rsid w:val="59883613"/>
    <w:rsid w:val="598F63B6"/>
    <w:rsid w:val="59A86FB0"/>
    <w:rsid w:val="59AA7659"/>
    <w:rsid w:val="59B9393C"/>
    <w:rsid w:val="59D17D75"/>
    <w:rsid w:val="59D471D7"/>
    <w:rsid w:val="59D50BF5"/>
    <w:rsid w:val="59E07779"/>
    <w:rsid w:val="59F93F3C"/>
    <w:rsid w:val="59FE2AD8"/>
    <w:rsid w:val="5A0031AA"/>
    <w:rsid w:val="5A0762C7"/>
    <w:rsid w:val="5A156717"/>
    <w:rsid w:val="5A202636"/>
    <w:rsid w:val="5A2626CB"/>
    <w:rsid w:val="5A3155B4"/>
    <w:rsid w:val="5A320ADD"/>
    <w:rsid w:val="5A366F84"/>
    <w:rsid w:val="5A3E7EE1"/>
    <w:rsid w:val="5A3F0176"/>
    <w:rsid w:val="5A403ED8"/>
    <w:rsid w:val="5A405EA0"/>
    <w:rsid w:val="5A480419"/>
    <w:rsid w:val="5A4A5632"/>
    <w:rsid w:val="5A625B6B"/>
    <w:rsid w:val="5A676A99"/>
    <w:rsid w:val="5AA1147E"/>
    <w:rsid w:val="5AA17767"/>
    <w:rsid w:val="5AA61FA3"/>
    <w:rsid w:val="5AA63351"/>
    <w:rsid w:val="5AAF68DB"/>
    <w:rsid w:val="5AC16DDD"/>
    <w:rsid w:val="5ADF36CE"/>
    <w:rsid w:val="5AE8322E"/>
    <w:rsid w:val="5AEB3CE0"/>
    <w:rsid w:val="5AFE642A"/>
    <w:rsid w:val="5B0D7295"/>
    <w:rsid w:val="5B1A64ED"/>
    <w:rsid w:val="5B1E125F"/>
    <w:rsid w:val="5B1F1D55"/>
    <w:rsid w:val="5B1F3B03"/>
    <w:rsid w:val="5B206399"/>
    <w:rsid w:val="5B241713"/>
    <w:rsid w:val="5B254A59"/>
    <w:rsid w:val="5B2F6ED0"/>
    <w:rsid w:val="5B3F3EA4"/>
    <w:rsid w:val="5B4800FC"/>
    <w:rsid w:val="5B4E5B3B"/>
    <w:rsid w:val="5B795E1E"/>
    <w:rsid w:val="5B84161B"/>
    <w:rsid w:val="5B8E09FD"/>
    <w:rsid w:val="5B981DF4"/>
    <w:rsid w:val="5BA26E73"/>
    <w:rsid w:val="5BA30291"/>
    <w:rsid w:val="5BBD57F6"/>
    <w:rsid w:val="5BC8336C"/>
    <w:rsid w:val="5BCE54F7"/>
    <w:rsid w:val="5BD133DF"/>
    <w:rsid w:val="5BD366A4"/>
    <w:rsid w:val="5BDB37AC"/>
    <w:rsid w:val="5BE6263E"/>
    <w:rsid w:val="5BF14209"/>
    <w:rsid w:val="5C205D85"/>
    <w:rsid w:val="5C254F93"/>
    <w:rsid w:val="5C3E78DA"/>
    <w:rsid w:val="5C4B3703"/>
    <w:rsid w:val="5C5F68AD"/>
    <w:rsid w:val="5C602626"/>
    <w:rsid w:val="5C6300BD"/>
    <w:rsid w:val="5C640E34"/>
    <w:rsid w:val="5C6D3417"/>
    <w:rsid w:val="5C702869"/>
    <w:rsid w:val="5C7834CB"/>
    <w:rsid w:val="5C78796F"/>
    <w:rsid w:val="5C8E0F41"/>
    <w:rsid w:val="5C9E0E22"/>
    <w:rsid w:val="5CBC1B3E"/>
    <w:rsid w:val="5CC775B7"/>
    <w:rsid w:val="5D121942"/>
    <w:rsid w:val="5D376D05"/>
    <w:rsid w:val="5D445B70"/>
    <w:rsid w:val="5D475E5E"/>
    <w:rsid w:val="5D5504BF"/>
    <w:rsid w:val="5D6B04F1"/>
    <w:rsid w:val="5D743E72"/>
    <w:rsid w:val="5D837551"/>
    <w:rsid w:val="5D961804"/>
    <w:rsid w:val="5D9E5600"/>
    <w:rsid w:val="5D9E6F62"/>
    <w:rsid w:val="5DB712A0"/>
    <w:rsid w:val="5DBA7B13"/>
    <w:rsid w:val="5DC2786D"/>
    <w:rsid w:val="5DDE58EA"/>
    <w:rsid w:val="5DEC1883"/>
    <w:rsid w:val="5E1A05BA"/>
    <w:rsid w:val="5E1F592C"/>
    <w:rsid w:val="5E2C47F0"/>
    <w:rsid w:val="5E3F23EE"/>
    <w:rsid w:val="5E487415"/>
    <w:rsid w:val="5E4F2952"/>
    <w:rsid w:val="5E577BCA"/>
    <w:rsid w:val="5E5844DE"/>
    <w:rsid w:val="5E6B7A3B"/>
    <w:rsid w:val="5E8B3A18"/>
    <w:rsid w:val="5E8D5852"/>
    <w:rsid w:val="5E8F255B"/>
    <w:rsid w:val="5E904A46"/>
    <w:rsid w:val="5E9C5CCD"/>
    <w:rsid w:val="5EA61489"/>
    <w:rsid w:val="5EB437AF"/>
    <w:rsid w:val="5EBF1885"/>
    <w:rsid w:val="5EC74102"/>
    <w:rsid w:val="5ECE1AC8"/>
    <w:rsid w:val="5EE10C91"/>
    <w:rsid w:val="5EEB645E"/>
    <w:rsid w:val="5EEF7F0B"/>
    <w:rsid w:val="5EFF0ED2"/>
    <w:rsid w:val="5F0E0117"/>
    <w:rsid w:val="5F3701E9"/>
    <w:rsid w:val="5F3A0F0C"/>
    <w:rsid w:val="5F3A4948"/>
    <w:rsid w:val="5F645F89"/>
    <w:rsid w:val="5F6F2F3F"/>
    <w:rsid w:val="5F7731F7"/>
    <w:rsid w:val="5F7B5CE9"/>
    <w:rsid w:val="5F8214AF"/>
    <w:rsid w:val="5F8D3732"/>
    <w:rsid w:val="5F947321"/>
    <w:rsid w:val="5FA0247D"/>
    <w:rsid w:val="5FCF78A6"/>
    <w:rsid w:val="5FD01907"/>
    <w:rsid w:val="5FD73AA6"/>
    <w:rsid w:val="5FD85EAF"/>
    <w:rsid w:val="5FE50E00"/>
    <w:rsid w:val="5FE84C9E"/>
    <w:rsid w:val="5FF04C3D"/>
    <w:rsid w:val="5FF70E60"/>
    <w:rsid w:val="600A1B90"/>
    <w:rsid w:val="604371C7"/>
    <w:rsid w:val="60483AFC"/>
    <w:rsid w:val="60502C85"/>
    <w:rsid w:val="60546CFC"/>
    <w:rsid w:val="60792D40"/>
    <w:rsid w:val="607D3F6D"/>
    <w:rsid w:val="608508AD"/>
    <w:rsid w:val="608A1500"/>
    <w:rsid w:val="608F1BD3"/>
    <w:rsid w:val="60A52A68"/>
    <w:rsid w:val="60B0356D"/>
    <w:rsid w:val="60B24F81"/>
    <w:rsid w:val="60B861AE"/>
    <w:rsid w:val="60E308E3"/>
    <w:rsid w:val="6122434D"/>
    <w:rsid w:val="614F38BC"/>
    <w:rsid w:val="616A3E01"/>
    <w:rsid w:val="617338F8"/>
    <w:rsid w:val="61752806"/>
    <w:rsid w:val="61790FB6"/>
    <w:rsid w:val="618004B4"/>
    <w:rsid w:val="619A1042"/>
    <w:rsid w:val="61B17E1F"/>
    <w:rsid w:val="61B52ACC"/>
    <w:rsid w:val="62186198"/>
    <w:rsid w:val="62461BBC"/>
    <w:rsid w:val="6248737B"/>
    <w:rsid w:val="62487C8B"/>
    <w:rsid w:val="626400BE"/>
    <w:rsid w:val="628B5453"/>
    <w:rsid w:val="62946B85"/>
    <w:rsid w:val="62983D63"/>
    <w:rsid w:val="62DF39AC"/>
    <w:rsid w:val="631378C7"/>
    <w:rsid w:val="631B3596"/>
    <w:rsid w:val="63203C84"/>
    <w:rsid w:val="63253C81"/>
    <w:rsid w:val="63317ED4"/>
    <w:rsid w:val="63582690"/>
    <w:rsid w:val="635F1752"/>
    <w:rsid w:val="63920832"/>
    <w:rsid w:val="63AF2E7A"/>
    <w:rsid w:val="63B34F3F"/>
    <w:rsid w:val="63B425DD"/>
    <w:rsid w:val="63B53257"/>
    <w:rsid w:val="63C65464"/>
    <w:rsid w:val="63CE5BCA"/>
    <w:rsid w:val="63D336DD"/>
    <w:rsid w:val="63D5404E"/>
    <w:rsid w:val="63E340A5"/>
    <w:rsid w:val="63FA2CE9"/>
    <w:rsid w:val="63FE569C"/>
    <w:rsid w:val="640146EE"/>
    <w:rsid w:val="64022E19"/>
    <w:rsid w:val="64127778"/>
    <w:rsid w:val="641E79ED"/>
    <w:rsid w:val="64485A88"/>
    <w:rsid w:val="644E2285"/>
    <w:rsid w:val="64571B99"/>
    <w:rsid w:val="645A1BD3"/>
    <w:rsid w:val="646B6E06"/>
    <w:rsid w:val="646E5F45"/>
    <w:rsid w:val="6496439A"/>
    <w:rsid w:val="64B0068F"/>
    <w:rsid w:val="64B0634B"/>
    <w:rsid w:val="64BD3EE2"/>
    <w:rsid w:val="64C5107E"/>
    <w:rsid w:val="64C60289"/>
    <w:rsid w:val="64CC4C37"/>
    <w:rsid w:val="64D5360F"/>
    <w:rsid w:val="64D7635D"/>
    <w:rsid w:val="64E0732B"/>
    <w:rsid w:val="64F658D5"/>
    <w:rsid w:val="650F616D"/>
    <w:rsid w:val="65167D25"/>
    <w:rsid w:val="65181CEF"/>
    <w:rsid w:val="652B36B2"/>
    <w:rsid w:val="653109E2"/>
    <w:rsid w:val="65426D6C"/>
    <w:rsid w:val="65491EA9"/>
    <w:rsid w:val="654F11A7"/>
    <w:rsid w:val="65660992"/>
    <w:rsid w:val="65691302"/>
    <w:rsid w:val="658E7B84"/>
    <w:rsid w:val="658F1D57"/>
    <w:rsid w:val="65932F5E"/>
    <w:rsid w:val="65AA14C9"/>
    <w:rsid w:val="65AD379D"/>
    <w:rsid w:val="65AD6BA3"/>
    <w:rsid w:val="65DD0D4C"/>
    <w:rsid w:val="65DE3EE0"/>
    <w:rsid w:val="65E16585"/>
    <w:rsid w:val="65E6167B"/>
    <w:rsid w:val="661B428A"/>
    <w:rsid w:val="661C4F50"/>
    <w:rsid w:val="6632293D"/>
    <w:rsid w:val="6646716E"/>
    <w:rsid w:val="66482D7B"/>
    <w:rsid w:val="66630A69"/>
    <w:rsid w:val="6674570B"/>
    <w:rsid w:val="667E3DD4"/>
    <w:rsid w:val="66B84695"/>
    <w:rsid w:val="66D255E1"/>
    <w:rsid w:val="66D375C8"/>
    <w:rsid w:val="66D947B6"/>
    <w:rsid w:val="66FF3F09"/>
    <w:rsid w:val="6706286B"/>
    <w:rsid w:val="67420658"/>
    <w:rsid w:val="675178A4"/>
    <w:rsid w:val="67657423"/>
    <w:rsid w:val="67944E3A"/>
    <w:rsid w:val="67A07D7A"/>
    <w:rsid w:val="67A50830"/>
    <w:rsid w:val="67AF4EBA"/>
    <w:rsid w:val="67B25F31"/>
    <w:rsid w:val="67B46E9D"/>
    <w:rsid w:val="67C04657"/>
    <w:rsid w:val="67E21E43"/>
    <w:rsid w:val="67E6656F"/>
    <w:rsid w:val="67E934CF"/>
    <w:rsid w:val="680D18B3"/>
    <w:rsid w:val="68242759"/>
    <w:rsid w:val="68400AB2"/>
    <w:rsid w:val="684F357F"/>
    <w:rsid w:val="685968A7"/>
    <w:rsid w:val="689306AB"/>
    <w:rsid w:val="689A44D2"/>
    <w:rsid w:val="68B47F81"/>
    <w:rsid w:val="68B54A77"/>
    <w:rsid w:val="68B91ECC"/>
    <w:rsid w:val="68CA5810"/>
    <w:rsid w:val="68CF43D5"/>
    <w:rsid w:val="68E00D76"/>
    <w:rsid w:val="68E47A64"/>
    <w:rsid w:val="68E77CC4"/>
    <w:rsid w:val="68E94352"/>
    <w:rsid w:val="68ED0E6D"/>
    <w:rsid w:val="68F058E5"/>
    <w:rsid w:val="68F640F6"/>
    <w:rsid w:val="68FF70C8"/>
    <w:rsid w:val="69093A68"/>
    <w:rsid w:val="690D6267"/>
    <w:rsid w:val="69195068"/>
    <w:rsid w:val="693E5A9D"/>
    <w:rsid w:val="69427570"/>
    <w:rsid w:val="69442485"/>
    <w:rsid w:val="6949691B"/>
    <w:rsid w:val="696778E1"/>
    <w:rsid w:val="69781887"/>
    <w:rsid w:val="698572FC"/>
    <w:rsid w:val="69945F1A"/>
    <w:rsid w:val="699B2EEF"/>
    <w:rsid w:val="69B750D7"/>
    <w:rsid w:val="69C356D6"/>
    <w:rsid w:val="69CA5F4A"/>
    <w:rsid w:val="69D152E0"/>
    <w:rsid w:val="69DE3666"/>
    <w:rsid w:val="69E403F2"/>
    <w:rsid w:val="69E47E6D"/>
    <w:rsid w:val="69E67C2F"/>
    <w:rsid w:val="69EB0CCC"/>
    <w:rsid w:val="69EE0557"/>
    <w:rsid w:val="69F0301E"/>
    <w:rsid w:val="69FF345D"/>
    <w:rsid w:val="6A0C5551"/>
    <w:rsid w:val="6A266D38"/>
    <w:rsid w:val="6A414A77"/>
    <w:rsid w:val="6A53034A"/>
    <w:rsid w:val="6A5F7EB4"/>
    <w:rsid w:val="6A64378C"/>
    <w:rsid w:val="6A706BD7"/>
    <w:rsid w:val="6A8A4093"/>
    <w:rsid w:val="6AA7188F"/>
    <w:rsid w:val="6AAA0A08"/>
    <w:rsid w:val="6AAB1684"/>
    <w:rsid w:val="6ABF0378"/>
    <w:rsid w:val="6ADD5D33"/>
    <w:rsid w:val="6AF57D91"/>
    <w:rsid w:val="6B1314D3"/>
    <w:rsid w:val="6B302551"/>
    <w:rsid w:val="6B330653"/>
    <w:rsid w:val="6B353BDC"/>
    <w:rsid w:val="6B4A7A34"/>
    <w:rsid w:val="6B5B0B88"/>
    <w:rsid w:val="6B6E08BB"/>
    <w:rsid w:val="6B826114"/>
    <w:rsid w:val="6B8428B4"/>
    <w:rsid w:val="6B8538CD"/>
    <w:rsid w:val="6B896A77"/>
    <w:rsid w:val="6B9A5EED"/>
    <w:rsid w:val="6B9A7B11"/>
    <w:rsid w:val="6B9D370A"/>
    <w:rsid w:val="6BA50F38"/>
    <w:rsid w:val="6BB33444"/>
    <w:rsid w:val="6BB53650"/>
    <w:rsid w:val="6BC820D3"/>
    <w:rsid w:val="6BD050D2"/>
    <w:rsid w:val="6BD148BD"/>
    <w:rsid w:val="6BD8113A"/>
    <w:rsid w:val="6BFC76EB"/>
    <w:rsid w:val="6C113FF7"/>
    <w:rsid w:val="6C1C0AC5"/>
    <w:rsid w:val="6C267CEF"/>
    <w:rsid w:val="6C271424"/>
    <w:rsid w:val="6C3E7505"/>
    <w:rsid w:val="6C4E15E0"/>
    <w:rsid w:val="6C580827"/>
    <w:rsid w:val="6C64581A"/>
    <w:rsid w:val="6C6B28BF"/>
    <w:rsid w:val="6C9E3F84"/>
    <w:rsid w:val="6CCB2A5C"/>
    <w:rsid w:val="6CCE109B"/>
    <w:rsid w:val="6CD34CF6"/>
    <w:rsid w:val="6CD500FD"/>
    <w:rsid w:val="6CE47F86"/>
    <w:rsid w:val="6CEF474A"/>
    <w:rsid w:val="6CFA7C5B"/>
    <w:rsid w:val="6D1700F5"/>
    <w:rsid w:val="6D271E1B"/>
    <w:rsid w:val="6D3A387C"/>
    <w:rsid w:val="6D3A60CF"/>
    <w:rsid w:val="6D652811"/>
    <w:rsid w:val="6D702A59"/>
    <w:rsid w:val="6D7D39D5"/>
    <w:rsid w:val="6DAE1443"/>
    <w:rsid w:val="6DCA36E6"/>
    <w:rsid w:val="6DE830E0"/>
    <w:rsid w:val="6DEF3963"/>
    <w:rsid w:val="6DF13CC9"/>
    <w:rsid w:val="6E037B51"/>
    <w:rsid w:val="6E0E5A3E"/>
    <w:rsid w:val="6E15666D"/>
    <w:rsid w:val="6E1776FF"/>
    <w:rsid w:val="6E1B7E27"/>
    <w:rsid w:val="6E251F4A"/>
    <w:rsid w:val="6E2D1D0A"/>
    <w:rsid w:val="6E2D5AB5"/>
    <w:rsid w:val="6E35541C"/>
    <w:rsid w:val="6E3D27C7"/>
    <w:rsid w:val="6E451788"/>
    <w:rsid w:val="6E541B46"/>
    <w:rsid w:val="6E581D88"/>
    <w:rsid w:val="6E5C52BC"/>
    <w:rsid w:val="6E6A010D"/>
    <w:rsid w:val="6E84369D"/>
    <w:rsid w:val="6E8951EE"/>
    <w:rsid w:val="6EC553D5"/>
    <w:rsid w:val="6ECC76A7"/>
    <w:rsid w:val="6EDB1F3B"/>
    <w:rsid w:val="6EF67D98"/>
    <w:rsid w:val="6F074349"/>
    <w:rsid w:val="6F0E2622"/>
    <w:rsid w:val="6F143CC6"/>
    <w:rsid w:val="6F5B667B"/>
    <w:rsid w:val="6F5F15C8"/>
    <w:rsid w:val="6FC844B0"/>
    <w:rsid w:val="6FC860C0"/>
    <w:rsid w:val="6FC91D09"/>
    <w:rsid w:val="6FCA1E38"/>
    <w:rsid w:val="6FE67825"/>
    <w:rsid w:val="6FEA3F10"/>
    <w:rsid w:val="6FED12D5"/>
    <w:rsid w:val="6FF37517"/>
    <w:rsid w:val="6FF70753"/>
    <w:rsid w:val="701B321F"/>
    <w:rsid w:val="70676A08"/>
    <w:rsid w:val="70704C4A"/>
    <w:rsid w:val="70810289"/>
    <w:rsid w:val="70952446"/>
    <w:rsid w:val="70A05198"/>
    <w:rsid w:val="70B013A8"/>
    <w:rsid w:val="70BF7C42"/>
    <w:rsid w:val="70C1323B"/>
    <w:rsid w:val="70CE3CD6"/>
    <w:rsid w:val="7104475D"/>
    <w:rsid w:val="71105F71"/>
    <w:rsid w:val="71184C5A"/>
    <w:rsid w:val="711A5B46"/>
    <w:rsid w:val="7121544A"/>
    <w:rsid w:val="71265794"/>
    <w:rsid w:val="713E7B4E"/>
    <w:rsid w:val="7176061E"/>
    <w:rsid w:val="718018F4"/>
    <w:rsid w:val="71904743"/>
    <w:rsid w:val="71A072F4"/>
    <w:rsid w:val="71A52B5D"/>
    <w:rsid w:val="71B23F18"/>
    <w:rsid w:val="71B63544"/>
    <w:rsid w:val="71C765D1"/>
    <w:rsid w:val="71CA218E"/>
    <w:rsid w:val="71D821BD"/>
    <w:rsid w:val="71DF7E8D"/>
    <w:rsid w:val="71F41913"/>
    <w:rsid w:val="71F9183F"/>
    <w:rsid w:val="721A283C"/>
    <w:rsid w:val="721B4BCD"/>
    <w:rsid w:val="721D492A"/>
    <w:rsid w:val="724A54B2"/>
    <w:rsid w:val="724C2FD8"/>
    <w:rsid w:val="72564FB8"/>
    <w:rsid w:val="72802404"/>
    <w:rsid w:val="72810DD2"/>
    <w:rsid w:val="72876723"/>
    <w:rsid w:val="728E02C1"/>
    <w:rsid w:val="72E177CA"/>
    <w:rsid w:val="72ED0E2A"/>
    <w:rsid w:val="72F40F30"/>
    <w:rsid w:val="731059AA"/>
    <w:rsid w:val="731A6169"/>
    <w:rsid w:val="73223DF1"/>
    <w:rsid w:val="7351635F"/>
    <w:rsid w:val="73552516"/>
    <w:rsid w:val="737B06A9"/>
    <w:rsid w:val="73855380"/>
    <w:rsid w:val="73915072"/>
    <w:rsid w:val="739369E5"/>
    <w:rsid w:val="73A66718"/>
    <w:rsid w:val="73BD4146"/>
    <w:rsid w:val="73C4456D"/>
    <w:rsid w:val="73CC58B9"/>
    <w:rsid w:val="73DB7DE8"/>
    <w:rsid w:val="73FC5D27"/>
    <w:rsid w:val="73FE6554"/>
    <w:rsid w:val="741F38E3"/>
    <w:rsid w:val="74232A0F"/>
    <w:rsid w:val="742E4CEE"/>
    <w:rsid w:val="74345714"/>
    <w:rsid w:val="7437184C"/>
    <w:rsid w:val="74405CBC"/>
    <w:rsid w:val="744301B0"/>
    <w:rsid w:val="74446FFE"/>
    <w:rsid w:val="74627CE5"/>
    <w:rsid w:val="74633D61"/>
    <w:rsid w:val="74671991"/>
    <w:rsid w:val="74806BEE"/>
    <w:rsid w:val="748325C0"/>
    <w:rsid w:val="74981804"/>
    <w:rsid w:val="74A62A32"/>
    <w:rsid w:val="74B60228"/>
    <w:rsid w:val="74DA01CE"/>
    <w:rsid w:val="74E11CE7"/>
    <w:rsid w:val="74F04E6F"/>
    <w:rsid w:val="74F47168"/>
    <w:rsid w:val="75022074"/>
    <w:rsid w:val="750469BE"/>
    <w:rsid w:val="75102B2C"/>
    <w:rsid w:val="75186C19"/>
    <w:rsid w:val="75285984"/>
    <w:rsid w:val="753412AC"/>
    <w:rsid w:val="75383CE8"/>
    <w:rsid w:val="75394176"/>
    <w:rsid w:val="75402F9E"/>
    <w:rsid w:val="754359F5"/>
    <w:rsid w:val="75536F4C"/>
    <w:rsid w:val="756D5B2D"/>
    <w:rsid w:val="757A24EA"/>
    <w:rsid w:val="758104D8"/>
    <w:rsid w:val="75AD0CA7"/>
    <w:rsid w:val="75BE3CB5"/>
    <w:rsid w:val="75D40448"/>
    <w:rsid w:val="75E53387"/>
    <w:rsid w:val="763865D1"/>
    <w:rsid w:val="76403AE5"/>
    <w:rsid w:val="764A2F00"/>
    <w:rsid w:val="765605D2"/>
    <w:rsid w:val="765C2289"/>
    <w:rsid w:val="76633BD3"/>
    <w:rsid w:val="76676F05"/>
    <w:rsid w:val="76976535"/>
    <w:rsid w:val="769B0408"/>
    <w:rsid w:val="76A04084"/>
    <w:rsid w:val="76A2766B"/>
    <w:rsid w:val="76AF362C"/>
    <w:rsid w:val="76B34539"/>
    <w:rsid w:val="76CE66B2"/>
    <w:rsid w:val="76D002AA"/>
    <w:rsid w:val="76D23B71"/>
    <w:rsid w:val="76D71EA9"/>
    <w:rsid w:val="76FD4338"/>
    <w:rsid w:val="77052BDB"/>
    <w:rsid w:val="7711659E"/>
    <w:rsid w:val="77153ADE"/>
    <w:rsid w:val="772671C1"/>
    <w:rsid w:val="77277B70"/>
    <w:rsid w:val="77417E22"/>
    <w:rsid w:val="776008AF"/>
    <w:rsid w:val="7768567B"/>
    <w:rsid w:val="778060B4"/>
    <w:rsid w:val="77826D95"/>
    <w:rsid w:val="77BE3E04"/>
    <w:rsid w:val="77F56134"/>
    <w:rsid w:val="78174088"/>
    <w:rsid w:val="78346968"/>
    <w:rsid w:val="78420E77"/>
    <w:rsid w:val="784625B4"/>
    <w:rsid w:val="7887216D"/>
    <w:rsid w:val="78A648FD"/>
    <w:rsid w:val="78C5645E"/>
    <w:rsid w:val="78C63702"/>
    <w:rsid w:val="78D665EA"/>
    <w:rsid w:val="78E05ACF"/>
    <w:rsid w:val="78E9231B"/>
    <w:rsid w:val="7902440A"/>
    <w:rsid w:val="791A21AC"/>
    <w:rsid w:val="791C365B"/>
    <w:rsid w:val="791F2A74"/>
    <w:rsid w:val="79311F01"/>
    <w:rsid w:val="793F68CB"/>
    <w:rsid w:val="79587F07"/>
    <w:rsid w:val="795B63DC"/>
    <w:rsid w:val="796429E7"/>
    <w:rsid w:val="79647BD1"/>
    <w:rsid w:val="796804BC"/>
    <w:rsid w:val="796836C6"/>
    <w:rsid w:val="79730105"/>
    <w:rsid w:val="797A12D2"/>
    <w:rsid w:val="79821501"/>
    <w:rsid w:val="7984461F"/>
    <w:rsid w:val="79935991"/>
    <w:rsid w:val="799B7B11"/>
    <w:rsid w:val="79A64908"/>
    <w:rsid w:val="79B0052A"/>
    <w:rsid w:val="79C409C9"/>
    <w:rsid w:val="79C91C0B"/>
    <w:rsid w:val="79D17055"/>
    <w:rsid w:val="79D21274"/>
    <w:rsid w:val="79E93CD4"/>
    <w:rsid w:val="79E968D4"/>
    <w:rsid w:val="79FE72AE"/>
    <w:rsid w:val="7A1269A3"/>
    <w:rsid w:val="7A2856E2"/>
    <w:rsid w:val="7A354C06"/>
    <w:rsid w:val="7A390C1A"/>
    <w:rsid w:val="7A42348A"/>
    <w:rsid w:val="7A53631D"/>
    <w:rsid w:val="7A5C6BE6"/>
    <w:rsid w:val="7A620C58"/>
    <w:rsid w:val="7A7D0852"/>
    <w:rsid w:val="7A9B02A0"/>
    <w:rsid w:val="7AF42162"/>
    <w:rsid w:val="7B4E1B6F"/>
    <w:rsid w:val="7B7B492E"/>
    <w:rsid w:val="7B8A1681"/>
    <w:rsid w:val="7B8E01BE"/>
    <w:rsid w:val="7BA061B5"/>
    <w:rsid w:val="7BAA33A3"/>
    <w:rsid w:val="7BAB6CDD"/>
    <w:rsid w:val="7BBC6656"/>
    <w:rsid w:val="7BE10551"/>
    <w:rsid w:val="7C2E19A1"/>
    <w:rsid w:val="7C3946D8"/>
    <w:rsid w:val="7C41114A"/>
    <w:rsid w:val="7C433EC4"/>
    <w:rsid w:val="7C4D5925"/>
    <w:rsid w:val="7C5A528B"/>
    <w:rsid w:val="7C635AEE"/>
    <w:rsid w:val="7C762E6C"/>
    <w:rsid w:val="7CA273D9"/>
    <w:rsid w:val="7CB023B6"/>
    <w:rsid w:val="7CCE5944"/>
    <w:rsid w:val="7CE6425C"/>
    <w:rsid w:val="7CFE75C5"/>
    <w:rsid w:val="7CFF04C8"/>
    <w:rsid w:val="7D0217C2"/>
    <w:rsid w:val="7D250FF6"/>
    <w:rsid w:val="7D255C0F"/>
    <w:rsid w:val="7D2E490B"/>
    <w:rsid w:val="7D467003"/>
    <w:rsid w:val="7D474613"/>
    <w:rsid w:val="7D5B67C5"/>
    <w:rsid w:val="7D656FF6"/>
    <w:rsid w:val="7D7202BD"/>
    <w:rsid w:val="7D7A575E"/>
    <w:rsid w:val="7DA737B9"/>
    <w:rsid w:val="7DBC38D5"/>
    <w:rsid w:val="7DC42018"/>
    <w:rsid w:val="7DDE2123"/>
    <w:rsid w:val="7DE20C95"/>
    <w:rsid w:val="7DE37724"/>
    <w:rsid w:val="7DEE0D61"/>
    <w:rsid w:val="7DF245F6"/>
    <w:rsid w:val="7E022D8D"/>
    <w:rsid w:val="7E2554ED"/>
    <w:rsid w:val="7E2F2E3C"/>
    <w:rsid w:val="7E3D41D1"/>
    <w:rsid w:val="7E515E23"/>
    <w:rsid w:val="7E54046F"/>
    <w:rsid w:val="7E5A3003"/>
    <w:rsid w:val="7E73447D"/>
    <w:rsid w:val="7E782EFE"/>
    <w:rsid w:val="7EA36F10"/>
    <w:rsid w:val="7EA82A84"/>
    <w:rsid w:val="7EAC398F"/>
    <w:rsid w:val="7EB3437D"/>
    <w:rsid w:val="7EC8295F"/>
    <w:rsid w:val="7F036B76"/>
    <w:rsid w:val="7F093C4D"/>
    <w:rsid w:val="7F181840"/>
    <w:rsid w:val="7F385010"/>
    <w:rsid w:val="7F3C7F1C"/>
    <w:rsid w:val="7F3D2686"/>
    <w:rsid w:val="7F4034D8"/>
    <w:rsid w:val="7F4939E8"/>
    <w:rsid w:val="7F4B5825"/>
    <w:rsid w:val="7F4E72B8"/>
    <w:rsid w:val="7F8679A6"/>
    <w:rsid w:val="7F8F6BFA"/>
    <w:rsid w:val="7F942DB0"/>
    <w:rsid w:val="7F9A794C"/>
    <w:rsid w:val="7FA52A96"/>
    <w:rsid w:val="7FB73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Lines="0" w:afterLines="0" w:line="600" w:lineRule="exact"/>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autoRedefine/>
    <w:qFormat/>
    <w:uiPriority w:val="0"/>
    <w:pPr>
      <w:widowControl/>
      <w:spacing w:before="240" w:beforeLines="0" w:after="60" w:afterLines="0"/>
      <w:jc w:val="left"/>
      <w:outlineLvl w:val="4"/>
    </w:pPr>
    <w:rPr>
      <w:rFonts w:ascii="MS Sans Serif" w:eastAsia="MS Sans Serif"/>
      <w:kern w:val="0"/>
      <w:sz w:val="24"/>
      <w:szCs w:val="20"/>
    </w:rPr>
  </w:style>
  <w:style w:type="paragraph" w:styleId="7">
    <w:name w:val="heading 6"/>
    <w:basedOn w:val="1"/>
    <w:next w:val="1"/>
    <w:autoRedefine/>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8">
    <w:name w:val="heading 7"/>
    <w:basedOn w:val="1"/>
    <w:next w:val="9"/>
    <w:autoRedefine/>
    <w:qFormat/>
    <w:uiPriority w:val="0"/>
    <w:pPr>
      <w:keepNext/>
      <w:keepLines/>
      <w:spacing w:before="240" w:beforeLines="0" w:after="64" w:afterLines="0" w:line="320" w:lineRule="auto"/>
      <w:outlineLvl w:val="6"/>
    </w:pPr>
    <w:rPr>
      <w:b/>
      <w:sz w:val="24"/>
      <w:szCs w:val="20"/>
    </w:rPr>
  </w:style>
  <w:style w:type="paragraph" w:styleId="11">
    <w:name w:val="heading 8"/>
    <w:basedOn w:val="1"/>
    <w:next w:val="9"/>
    <w:autoRedefine/>
    <w:qFormat/>
    <w:uiPriority w:val="0"/>
    <w:pPr>
      <w:keepNext/>
      <w:keepLines/>
      <w:spacing w:before="240" w:beforeLines="0" w:after="64" w:afterLines="0" w:line="320" w:lineRule="auto"/>
      <w:outlineLvl w:val="7"/>
    </w:pPr>
    <w:rPr>
      <w:rFonts w:ascii="黑体" w:hAnsi="黑体" w:eastAsia="楷体"/>
      <w:sz w:val="24"/>
      <w:szCs w:val="20"/>
    </w:rPr>
  </w:style>
  <w:style w:type="paragraph" w:styleId="12">
    <w:name w:val="heading 9"/>
    <w:basedOn w:val="1"/>
    <w:next w:val="9"/>
    <w:autoRedefine/>
    <w:qFormat/>
    <w:uiPriority w:val="0"/>
    <w:pPr>
      <w:keepNext/>
      <w:keepLines/>
      <w:spacing w:before="240" w:beforeLines="0" w:after="64" w:afterLines="0" w:line="320" w:lineRule="auto"/>
      <w:outlineLvl w:val="8"/>
    </w:pPr>
    <w:rPr>
      <w:rFonts w:ascii="黑体" w:hAnsi="黑体" w:eastAsia="楷体"/>
      <w:szCs w:val="20"/>
    </w:rPr>
  </w:style>
  <w:style w:type="character" w:default="1" w:styleId="48">
    <w:name w:val="Default Paragraph Font"/>
    <w:autoRedefine/>
    <w:semiHidden/>
    <w:qFormat/>
    <w:uiPriority w:val="0"/>
  </w:style>
  <w:style w:type="table" w:default="1" w:styleId="46">
    <w:name w:val="Normal Table"/>
    <w:autoRedefine/>
    <w:semiHidden/>
    <w:qFormat/>
    <w:uiPriority w:val="0"/>
    <w:tblPr>
      <w:tblCellMar>
        <w:top w:w="0" w:type="dxa"/>
        <w:left w:w="108" w:type="dxa"/>
        <w:bottom w:w="0" w:type="dxa"/>
        <w:right w:w="108" w:type="dxa"/>
      </w:tblCellMar>
    </w:tblPr>
  </w:style>
  <w:style w:type="paragraph" w:styleId="9">
    <w:name w:val="Normal Indent"/>
    <w:basedOn w:val="1"/>
    <w:next w:val="10"/>
    <w:link w:val="57"/>
    <w:autoRedefine/>
    <w:qFormat/>
    <w:uiPriority w:val="0"/>
    <w:pPr>
      <w:widowControl/>
      <w:ind w:firstLine="420"/>
      <w:jc w:val="left"/>
    </w:pPr>
    <w:rPr>
      <w:rFonts w:ascii="Arial" w:hAnsi="Arial" w:cs="Arial"/>
      <w:kern w:val="0"/>
      <w:sz w:val="20"/>
      <w:szCs w:val="20"/>
    </w:rPr>
  </w:style>
  <w:style w:type="paragraph" w:styleId="10">
    <w:name w:val="Body Text Indent"/>
    <w:basedOn w:val="1"/>
    <w:next w:val="1"/>
    <w:link w:val="58"/>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13">
    <w:name w:val="toc 7"/>
    <w:basedOn w:val="1"/>
    <w:next w:val="1"/>
    <w:autoRedefine/>
    <w:semiHidden/>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156" w:afterLines="50"/>
      <w:ind w:left="454" w:hanging="284"/>
      <w:jc w:val="left"/>
    </w:pPr>
    <w:rPr>
      <w:kern w:val="0"/>
      <w:sz w:val="24"/>
      <w:szCs w:val="20"/>
    </w:rPr>
  </w:style>
  <w:style w:type="paragraph" w:styleId="15">
    <w:name w:val="caption"/>
    <w:basedOn w:val="1"/>
    <w:next w:val="1"/>
    <w:autoRedefine/>
    <w:qFormat/>
    <w:uiPriority w:val="0"/>
    <w:rPr>
      <w:rFonts w:ascii="黑体" w:hAnsi="黑体" w:eastAsia="楷体" w:cs="黑体"/>
      <w:sz w:val="20"/>
      <w:szCs w:val="20"/>
    </w:rPr>
  </w:style>
  <w:style w:type="paragraph" w:styleId="16">
    <w:name w:val="Document Map"/>
    <w:basedOn w:val="1"/>
    <w:autoRedefine/>
    <w:semiHidden/>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autoRedefine/>
    <w:qFormat/>
    <w:uiPriority w:val="0"/>
    <w:pPr>
      <w:jc w:val="left"/>
    </w:pPr>
  </w:style>
  <w:style w:type="paragraph" w:styleId="19">
    <w:name w:val="Body Text 3"/>
    <w:basedOn w:val="1"/>
    <w:autoRedefine/>
    <w:qFormat/>
    <w:uiPriority w:val="99"/>
    <w:pPr>
      <w:snapToGrid w:val="0"/>
      <w:spacing w:before="50" w:after="50"/>
    </w:pPr>
  </w:style>
  <w:style w:type="paragraph" w:styleId="20">
    <w:name w:val="Body Text"/>
    <w:basedOn w:val="1"/>
    <w:next w:val="1"/>
    <w:autoRedefine/>
    <w:qFormat/>
    <w:uiPriority w:val="0"/>
    <w:pPr>
      <w:spacing w:after="120" w:afterLines="0"/>
    </w:pPr>
  </w:style>
  <w:style w:type="paragraph" w:styleId="21">
    <w:name w:val="List Number 3"/>
    <w:basedOn w:val="1"/>
    <w:autoRedefine/>
    <w:qFormat/>
    <w:uiPriority w:val="0"/>
    <w:pPr>
      <w:widowControl/>
      <w:tabs>
        <w:tab w:val="left" w:pos="482"/>
        <w:tab w:val="left" w:pos="1157"/>
      </w:tabs>
      <w:spacing w:after="156" w:afterLines="50"/>
      <w:ind w:left="482" w:hanging="340"/>
      <w:jc w:val="left"/>
    </w:pPr>
    <w:rPr>
      <w:kern w:val="0"/>
      <w:sz w:val="24"/>
      <w:szCs w:val="20"/>
    </w:rPr>
  </w:style>
  <w:style w:type="paragraph" w:styleId="22">
    <w:name w:val="Block Text"/>
    <w:basedOn w:val="1"/>
    <w:autoRedefine/>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3">
    <w:name w:val="toc 5"/>
    <w:basedOn w:val="1"/>
    <w:next w:val="1"/>
    <w:autoRedefine/>
    <w:semiHidden/>
    <w:qFormat/>
    <w:uiPriority w:val="0"/>
    <w:pPr>
      <w:ind w:left="840"/>
      <w:jc w:val="left"/>
    </w:pPr>
    <w:rPr>
      <w:sz w:val="18"/>
      <w:szCs w:val="18"/>
    </w:rPr>
  </w:style>
  <w:style w:type="paragraph" w:styleId="24">
    <w:name w:val="toc 3"/>
    <w:basedOn w:val="1"/>
    <w:next w:val="1"/>
    <w:autoRedefine/>
    <w:semiHidden/>
    <w:qFormat/>
    <w:uiPriority w:val="0"/>
    <w:pPr>
      <w:ind w:left="420"/>
      <w:jc w:val="left"/>
    </w:pPr>
    <w:rPr>
      <w:i/>
      <w:iCs/>
      <w:sz w:val="20"/>
      <w:szCs w:val="20"/>
    </w:rPr>
  </w:style>
  <w:style w:type="paragraph" w:styleId="25">
    <w:name w:val="Plain Text"/>
    <w:basedOn w:val="1"/>
    <w:link w:val="59"/>
    <w:autoRedefine/>
    <w:qFormat/>
    <w:uiPriority w:val="0"/>
    <w:rPr>
      <w:rFonts w:ascii="Century Gothic" w:hAnsi="楷体_GB2312" w:eastAsia="Century Gothic" w:cs="楷体_GB2312"/>
      <w:szCs w:val="21"/>
    </w:rPr>
  </w:style>
  <w:style w:type="paragraph" w:styleId="26">
    <w:name w:val="toc 8"/>
    <w:basedOn w:val="1"/>
    <w:next w:val="1"/>
    <w:autoRedefine/>
    <w:semiHidden/>
    <w:qFormat/>
    <w:uiPriority w:val="0"/>
    <w:pPr>
      <w:ind w:left="1470"/>
      <w:jc w:val="left"/>
    </w:pPr>
    <w:rPr>
      <w:sz w:val="18"/>
      <w:szCs w:val="18"/>
    </w:rPr>
  </w:style>
  <w:style w:type="paragraph" w:styleId="27">
    <w:name w:val="Date"/>
    <w:basedOn w:val="1"/>
    <w:next w:val="1"/>
    <w:autoRedefine/>
    <w:qFormat/>
    <w:uiPriority w:val="0"/>
    <w:pPr>
      <w:ind w:left="100" w:leftChars="2500"/>
    </w:pPr>
  </w:style>
  <w:style w:type="paragraph" w:styleId="28">
    <w:name w:val="Body Text Indent 2"/>
    <w:basedOn w:val="1"/>
    <w:autoRedefine/>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autoRedefine/>
    <w:semiHidden/>
    <w:qFormat/>
    <w:uiPriority w:val="0"/>
    <w:rPr>
      <w:sz w:val="18"/>
      <w:szCs w:val="18"/>
    </w:rPr>
  </w:style>
  <w:style w:type="paragraph" w:styleId="30">
    <w:name w:val="footer"/>
    <w:basedOn w:val="1"/>
    <w:link w:val="60"/>
    <w:autoRedefine/>
    <w:qFormat/>
    <w:uiPriority w:val="99"/>
    <w:pPr>
      <w:tabs>
        <w:tab w:val="center" w:pos="4153"/>
        <w:tab w:val="right" w:pos="8306"/>
      </w:tabs>
      <w:adjustRightInd w:val="0"/>
      <w:jc w:val="left"/>
    </w:pPr>
    <w:rPr>
      <w:rFonts w:eastAsia="Century Gothic"/>
      <w:sz w:val="18"/>
      <w:szCs w:val="20"/>
    </w:rPr>
  </w:style>
  <w:style w:type="paragraph" w:styleId="31">
    <w:name w:val="header"/>
    <w:basedOn w:val="1"/>
    <w:link w:val="61"/>
    <w:autoRedefine/>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autoRedefine/>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toc 6"/>
    <w:basedOn w:val="1"/>
    <w:next w:val="1"/>
    <w:autoRedefine/>
    <w:semiHidden/>
    <w:qFormat/>
    <w:uiPriority w:val="0"/>
    <w:pPr>
      <w:ind w:left="1050"/>
      <w:jc w:val="left"/>
    </w:pPr>
    <w:rPr>
      <w:sz w:val="18"/>
      <w:szCs w:val="18"/>
    </w:rPr>
  </w:style>
  <w:style w:type="paragraph" w:styleId="35">
    <w:name w:val="List 5"/>
    <w:basedOn w:val="1"/>
    <w:autoRedefine/>
    <w:qFormat/>
    <w:uiPriority w:val="0"/>
    <w:pPr>
      <w:ind w:left="100" w:leftChars="800" w:hanging="200" w:hangingChars="200"/>
    </w:pPr>
    <w:rPr>
      <w:szCs w:val="20"/>
    </w:rPr>
  </w:style>
  <w:style w:type="paragraph" w:styleId="36">
    <w:name w:val="Body Text Indent 3"/>
    <w:basedOn w:val="1"/>
    <w:autoRedefine/>
    <w:qFormat/>
    <w:uiPriority w:val="0"/>
    <w:pPr>
      <w:spacing w:after="120" w:afterLines="0"/>
      <w:ind w:left="420" w:leftChars="200"/>
    </w:pPr>
    <w:rPr>
      <w:sz w:val="16"/>
      <w:szCs w:val="16"/>
    </w:rPr>
  </w:style>
  <w:style w:type="paragraph" w:styleId="37">
    <w:name w:val="toc 2"/>
    <w:basedOn w:val="1"/>
    <w:next w:val="1"/>
    <w:autoRedefine/>
    <w:qFormat/>
    <w:uiPriority w:val="39"/>
    <w:pPr>
      <w:tabs>
        <w:tab w:val="right" w:leader="dot" w:pos="8720"/>
      </w:tabs>
      <w:adjustRightInd w:val="0"/>
      <w:snapToGrid w:val="0"/>
      <w:jc w:val="left"/>
    </w:pPr>
    <w:rPr>
      <w:smallCaps/>
      <w:sz w:val="20"/>
      <w:szCs w:val="20"/>
    </w:rPr>
  </w:style>
  <w:style w:type="paragraph" w:styleId="38">
    <w:name w:val="toc 9"/>
    <w:basedOn w:val="1"/>
    <w:next w:val="1"/>
    <w:autoRedefine/>
    <w:semiHidden/>
    <w:qFormat/>
    <w:uiPriority w:val="0"/>
    <w:pPr>
      <w:ind w:left="1680"/>
      <w:jc w:val="left"/>
    </w:pPr>
    <w:rPr>
      <w:sz w:val="18"/>
      <w:szCs w:val="18"/>
    </w:rPr>
  </w:style>
  <w:style w:type="paragraph" w:styleId="39">
    <w:name w:val="Body Text 2"/>
    <w:basedOn w:val="1"/>
    <w:autoRedefine/>
    <w:qFormat/>
    <w:uiPriority w:val="0"/>
    <w:rPr>
      <w:sz w:val="24"/>
    </w:rPr>
  </w:style>
  <w:style w:type="paragraph" w:styleId="40">
    <w:name w:val="Normal (Web)"/>
    <w:basedOn w:val="1"/>
    <w:next w:val="1"/>
    <w:autoRedefine/>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1">
    <w:name w:val="Title"/>
    <w:basedOn w:val="1"/>
    <w:autoRedefine/>
    <w:qFormat/>
    <w:uiPriority w:val="0"/>
    <w:pPr>
      <w:tabs>
        <w:tab w:val="left" w:pos="1200"/>
      </w:tabs>
      <w:spacing w:after="624" w:afterLines="200"/>
      <w:ind w:left="1440" w:hanging="720"/>
      <w:jc w:val="center"/>
    </w:pPr>
    <w:rPr>
      <w:b/>
      <w:bCs/>
      <w:spacing w:val="60"/>
      <w:sz w:val="32"/>
    </w:rPr>
  </w:style>
  <w:style w:type="paragraph" w:styleId="42">
    <w:name w:val="annotation subject"/>
    <w:basedOn w:val="18"/>
    <w:next w:val="18"/>
    <w:autoRedefine/>
    <w:semiHidden/>
    <w:qFormat/>
    <w:uiPriority w:val="0"/>
    <w:rPr>
      <w:b/>
      <w:bCs/>
    </w:rPr>
  </w:style>
  <w:style w:type="paragraph" w:styleId="43">
    <w:name w:val="Body Text First Indent"/>
    <w:basedOn w:val="20"/>
    <w:next w:val="34"/>
    <w:autoRedefine/>
    <w:qFormat/>
    <w:uiPriority w:val="0"/>
    <w:pPr>
      <w:ind w:firstLine="420"/>
    </w:pPr>
  </w:style>
  <w:style w:type="paragraph" w:styleId="44">
    <w:name w:val="Body Text First Indent 2"/>
    <w:basedOn w:val="10"/>
    <w:next w:val="45"/>
    <w:autoRedefine/>
    <w:qFormat/>
    <w:uiPriority w:val="99"/>
    <w:pPr>
      <w:ind w:firstLine="420" w:firstLineChars="200"/>
    </w:pPr>
  </w:style>
  <w:style w:type="paragraph" w:customStyle="1" w:styleId="45">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basedOn w:val="48"/>
    <w:autoRedefine/>
    <w:qFormat/>
    <w:uiPriority w:val="0"/>
    <w:rPr>
      <w:i/>
      <w:iCs/>
    </w:rPr>
  </w:style>
  <w:style w:type="character" w:styleId="53">
    <w:name w:val="Hyperlink"/>
    <w:autoRedefine/>
    <w:qFormat/>
    <w:uiPriority w:val="0"/>
    <w:rPr>
      <w:color w:val="0000FF"/>
      <w:u w:val="single"/>
    </w:rPr>
  </w:style>
  <w:style w:type="character" w:styleId="54">
    <w:name w:val="annotation reference"/>
    <w:autoRedefine/>
    <w:semiHidden/>
    <w:qFormat/>
    <w:uiPriority w:val="0"/>
    <w:rPr>
      <w:sz w:val="21"/>
      <w:szCs w:val="21"/>
    </w:rPr>
  </w:style>
  <w:style w:type="paragraph" w:customStyle="1" w:styleId="55">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56">
    <w:name w:val="标题 1 Char"/>
    <w:link w:val="2"/>
    <w:autoRedefine/>
    <w:qFormat/>
    <w:uiPriority w:val="0"/>
    <w:rPr>
      <w:rFonts w:ascii="Times New Roman" w:hAnsi="Times New Roman" w:eastAsia="宋体"/>
      <w:b/>
      <w:bCs/>
      <w:kern w:val="44"/>
      <w:sz w:val="32"/>
      <w:szCs w:val="44"/>
      <w:lang w:val="en-US" w:eastAsia="zh-CN" w:bidi="ar-SA"/>
    </w:rPr>
  </w:style>
  <w:style w:type="character" w:customStyle="1" w:styleId="57">
    <w:name w:val="正文缩进 Char"/>
    <w:link w:val="9"/>
    <w:autoRedefine/>
    <w:qFormat/>
    <w:uiPriority w:val="0"/>
    <w:rPr>
      <w:rFonts w:ascii="Arial" w:hAnsi="Arial" w:eastAsia="宋体" w:cs="Arial"/>
      <w:lang w:val="en-US" w:eastAsia="zh-CN" w:bidi="ar-SA"/>
    </w:rPr>
  </w:style>
  <w:style w:type="character" w:customStyle="1" w:styleId="58">
    <w:name w:val="正文文本缩进 Char"/>
    <w:link w:val="10"/>
    <w:autoRedefine/>
    <w:semiHidden/>
    <w:qFormat/>
    <w:uiPriority w:val="0"/>
    <w:rPr>
      <w:rFonts w:ascii="Century Gothic" w:hAnsi="Century Gothic" w:eastAsia="Century Gothic"/>
      <w:kern w:val="2"/>
      <w:sz w:val="24"/>
      <w:lang w:val="en-US" w:eastAsia="zh-CN" w:bidi="ar-SA"/>
    </w:rPr>
  </w:style>
  <w:style w:type="character" w:customStyle="1" w:styleId="59">
    <w:name w:val="纯文本 Char"/>
    <w:link w:val="25"/>
    <w:autoRedefine/>
    <w:qFormat/>
    <w:uiPriority w:val="0"/>
    <w:rPr>
      <w:rFonts w:ascii="Century Gothic" w:hAnsi="楷体_GB2312" w:eastAsia="Century Gothic" w:cs="楷体_GB2312"/>
      <w:kern w:val="2"/>
      <w:sz w:val="21"/>
      <w:szCs w:val="21"/>
      <w:lang w:val="en-US" w:eastAsia="zh-CN" w:bidi="ar-SA"/>
    </w:rPr>
  </w:style>
  <w:style w:type="character" w:customStyle="1" w:styleId="60">
    <w:name w:val="页脚 Char"/>
    <w:link w:val="30"/>
    <w:autoRedefine/>
    <w:qFormat/>
    <w:uiPriority w:val="99"/>
    <w:rPr>
      <w:rFonts w:eastAsia="Century Gothic"/>
      <w:kern w:val="2"/>
      <w:sz w:val="18"/>
      <w:lang w:val="en-US" w:eastAsia="zh-CN" w:bidi="ar-SA"/>
    </w:rPr>
  </w:style>
  <w:style w:type="character" w:customStyle="1" w:styleId="61">
    <w:name w:val="页眉 Char"/>
    <w:link w:val="31"/>
    <w:autoRedefine/>
    <w:qFormat/>
    <w:uiPriority w:val="0"/>
    <w:rPr>
      <w:kern w:val="2"/>
      <w:sz w:val="18"/>
    </w:rPr>
  </w:style>
  <w:style w:type="character" w:customStyle="1" w:styleId="62">
    <w:name w:val=" 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3">
    <w:name w:val="tpc_content1"/>
    <w:autoRedefine/>
    <w:qFormat/>
    <w:uiPriority w:val="0"/>
    <w:rPr>
      <w:sz w:val="20"/>
      <w:szCs w:val="20"/>
    </w:rPr>
  </w:style>
  <w:style w:type="character" w:customStyle="1" w:styleId="64">
    <w:name w:val="bulletintext1"/>
    <w:autoRedefine/>
    <w:qFormat/>
    <w:uiPriority w:val="0"/>
    <w:rPr>
      <w:color w:val="000000"/>
      <w:sz w:val="18"/>
    </w:rPr>
  </w:style>
  <w:style w:type="character" w:customStyle="1" w:styleId="65">
    <w:name w:val="正文2 Char"/>
    <w:link w:val="66"/>
    <w:autoRedefine/>
    <w:qFormat/>
    <w:uiPriority w:val="0"/>
    <w:rPr>
      <w:rFonts w:eastAsia="宋体"/>
      <w:kern w:val="2"/>
      <w:sz w:val="24"/>
      <w:lang w:val="en-US" w:eastAsia="zh-CN" w:bidi="ar-SA"/>
    </w:rPr>
  </w:style>
  <w:style w:type="paragraph" w:customStyle="1" w:styleId="66">
    <w:name w:val="正文2"/>
    <w:basedOn w:val="1"/>
    <w:link w:val="65"/>
    <w:autoRedefine/>
    <w:qFormat/>
    <w:uiPriority w:val="0"/>
    <w:pPr>
      <w:spacing w:before="156" w:beforeLines="0" w:line="360" w:lineRule="auto"/>
      <w:ind w:firstLine="510" w:firstLineChars="200"/>
    </w:pPr>
    <w:rPr>
      <w:sz w:val="24"/>
      <w:szCs w:val="20"/>
    </w:rPr>
  </w:style>
  <w:style w:type="character" w:customStyle="1" w:styleId="67">
    <w:name w:val=" Char Char21"/>
    <w:autoRedefine/>
    <w:qFormat/>
    <w:uiPriority w:val="0"/>
    <w:rPr>
      <w:rFonts w:eastAsia="Century Gothic"/>
      <w:b/>
      <w:bCs/>
      <w:kern w:val="44"/>
      <w:sz w:val="32"/>
      <w:szCs w:val="44"/>
      <w:lang w:val="en-US" w:eastAsia="zh-CN" w:bidi="ar-SA"/>
    </w:rPr>
  </w:style>
  <w:style w:type="character" w:customStyle="1" w:styleId="68">
    <w:name w:val="font101"/>
    <w:autoRedefine/>
    <w:qFormat/>
    <w:uiPriority w:val="0"/>
    <w:rPr>
      <w:rFonts w:hint="eastAsia" w:ascii="宋体" w:hAnsi="宋体" w:eastAsia="宋体" w:cs="宋体"/>
      <w:color w:val="FF0000"/>
      <w:sz w:val="16"/>
      <w:szCs w:val="16"/>
      <w:u w:val="none"/>
    </w:rPr>
  </w:style>
  <w:style w:type="character" w:customStyle="1" w:styleId="69">
    <w:name w:val=" Char Char"/>
    <w:autoRedefine/>
    <w:qFormat/>
    <w:uiPriority w:val="0"/>
    <w:rPr>
      <w:rFonts w:ascii="Courier New" w:eastAsia="Courier New"/>
      <w:color w:val="FF0000"/>
      <w:kern w:val="2"/>
      <w:sz w:val="24"/>
      <w:szCs w:val="24"/>
      <w:u w:val="single"/>
      <w:lang w:val="en-US" w:eastAsia="zh-CN" w:bidi="ar-SA"/>
    </w:rPr>
  </w:style>
  <w:style w:type="character" w:customStyle="1" w:styleId="70">
    <w:name w:val="font31"/>
    <w:autoRedefine/>
    <w:qFormat/>
    <w:uiPriority w:val="0"/>
    <w:rPr>
      <w:rFonts w:hint="eastAsia" w:ascii="宋体" w:hAnsi="宋体" w:eastAsia="宋体" w:cs="宋体"/>
      <w:color w:val="000000"/>
      <w:sz w:val="16"/>
      <w:szCs w:val="16"/>
      <w:u w:val="none"/>
    </w:rPr>
  </w:style>
  <w:style w:type="character" w:customStyle="1" w:styleId="71">
    <w:name w:val="标准文本 Char"/>
    <w:link w:val="72"/>
    <w:autoRedefine/>
    <w:qFormat/>
    <w:uiPriority w:val="0"/>
    <w:rPr>
      <w:rFonts w:eastAsia="宋体" w:cs="宋体"/>
      <w:kern w:val="2"/>
      <w:sz w:val="24"/>
      <w:lang w:val="en-US" w:eastAsia="zh-CN" w:bidi="ar-SA"/>
    </w:rPr>
  </w:style>
  <w:style w:type="paragraph" w:customStyle="1" w:styleId="72">
    <w:name w:val="标准文本"/>
    <w:basedOn w:val="1"/>
    <w:link w:val="71"/>
    <w:autoRedefine/>
    <w:qFormat/>
    <w:uiPriority w:val="0"/>
    <w:pPr>
      <w:spacing w:line="360" w:lineRule="auto"/>
      <w:ind w:firstLine="480" w:firstLineChars="200"/>
    </w:pPr>
    <w:rPr>
      <w:rFonts w:cs="宋体"/>
      <w:sz w:val="24"/>
      <w:szCs w:val="20"/>
    </w:rPr>
  </w:style>
  <w:style w:type="character" w:customStyle="1" w:styleId="73">
    <w:name w:val="zbggmain style9"/>
    <w:autoRedefine/>
    <w:qFormat/>
    <w:uiPriority w:val="0"/>
    <w:rPr>
      <w:rFonts w:ascii="Courier New" w:eastAsia="Courier New"/>
      <w:b/>
      <w:kern w:val="2"/>
      <w:sz w:val="32"/>
      <w:szCs w:val="32"/>
      <w:lang w:val="en-US" w:eastAsia="zh-CN" w:bidi="ar-SA"/>
    </w:rPr>
  </w:style>
  <w:style w:type="character" w:customStyle="1" w:styleId="74">
    <w:name w:val="zbggtop11 style5"/>
    <w:autoRedefine/>
    <w:qFormat/>
    <w:uiPriority w:val="0"/>
  </w:style>
  <w:style w:type="character" w:customStyle="1" w:styleId="75">
    <w:name w:val="style1"/>
    <w:autoRedefine/>
    <w:qFormat/>
    <w:uiPriority w:val="0"/>
  </w:style>
  <w:style w:type="character" w:customStyle="1" w:styleId="76">
    <w:name w:val="普通文字 Char Char1"/>
    <w:autoRedefine/>
    <w:qFormat/>
    <w:uiPriority w:val="0"/>
    <w:rPr>
      <w:rFonts w:ascii="Century Gothic" w:hAnsi="楷体_GB2312" w:eastAsia="Century Gothic" w:cs="楷体_GB2312"/>
      <w:kern w:val="2"/>
      <w:sz w:val="21"/>
      <w:szCs w:val="21"/>
      <w:lang w:val="en-US" w:eastAsia="zh-CN" w:bidi="ar-SA"/>
    </w:rPr>
  </w:style>
  <w:style w:type="paragraph" w:customStyle="1" w:styleId="77">
    <w:name w:val="正文_13"/>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8">
    <w:name w:val="No Spacing"/>
    <w:autoRedefine/>
    <w:qFormat/>
    <w:uiPriority w:val="0"/>
    <w:rPr>
      <w:rFonts w:ascii="Times New Roman" w:hAnsi="Times New Roman" w:eastAsia="宋体" w:cs="Times New Roman"/>
      <w:sz w:val="22"/>
      <w:szCs w:val="22"/>
      <w:lang w:val="en-US" w:eastAsia="en-US" w:bidi="ar-SA"/>
    </w:rPr>
  </w:style>
  <w:style w:type="paragraph" w:customStyle="1" w:styleId="79">
    <w:name w:val=" Char Char Char Char"/>
    <w:basedOn w:val="1"/>
    <w:autoRedefine/>
    <w:qFormat/>
    <w:uiPriority w:val="0"/>
    <w:rPr>
      <w:rFonts w:cs="Times New Roman"/>
      <w:szCs w:val="20"/>
    </w:rPr>
  </w:style>
  <w:style w:type="paragraph" w:customStyle="1" w:styleId="80">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1">
    <w:name w:val="标书标题4"/>
    <w:basedOn w:val="5"/>
    <w:autoRedefine/>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2">
    <w:name w:val=" Char1"/>
    <w:basedOn w:val="1"/>
    <w:autoRedefine/>
    <w:qFormat/>
    <w:uiPriority w:val="0"/>
    <w:pPr>
      <w:widowControl/>
      <w:spacing w:after="160" w:afterLines="0" w:line="240" w:lineRule="exact"/>
      <w:jc w:val="left"/>
    </w:pPr>
    <w:rPr>
      <w:szCs w:val="20"/>
    </w:rPr>
  </w:style>
  <w:style w:type="paragraph" w:customStyle="1" w:styleId="83">
    <w:name w:val="xl3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小节"/>
    <w:basedOn w:val="4"/>
    <w:autoRedefine/>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6">
    <w:name w:val="节"/>
    <w:basedOn w:val="3"/>
    <w:autoRedefine/>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7">
    <w:name w:val=" Char3 Char Char Char"/>
    <w:basedOn w:val="1"/>
    <w:autoRedefine/>
    <w:qFormat/>
    <w:uiPriority w:val="0"/>
    <w:pPr>
      <w:widowControl/>
      <w:spacing w:after="160" w:afterLines="0" w:line="240" w:lineRule="exact"/>
      <w:jc w:val="left"/>
    </w:pPr>
    <w:rPr>
      <w:szCs w:val="20"/>
    </w:rPr>
  </w:style>
  <w:style w:type="paragraph" w:customStyle="1" w:styleId="88">
    <w:name w:val="A_正文_注释"/>
    <w:basedOn w:val="1"/>
    <w:autoRedefine/>
    <w:qFormat/>
    <w:uiPriority w:val="0"/>
    <w:pPr>
      <w:tabs>
        <w:tab w:val="left" w:pos="1547"/>
      </w:tabs>
      <w:ind w:firstLine="600" w:firstLineChars="200"/>
    </w:pPr>
    <w:rPr>
      <w:rFonts w:eastAsia="仿宋"/>
      <w:color w:val="0070C0"/>
      <w:sz w:val="30"/>
    </w:rPr>
  </w:style>
  <w:style w:type="paragraph" w:customStyle="1" w:styleId="89">
    <w:name w:val="font1"/>
    <w:basedOn w:val="1"/>
    <w:autoRedefine/>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9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1">
    <w:name w:val="font5"/>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2">
    <w:name w:val=" Char Char Char Char Char Char Char Char"/>
    <w:basedOn w:val="1"/>
    <w:autoRedefine/>
    <w:qFormat/>
    <w:uiPriority w:val="0"/>
    <w:pPr>
      <w:tabs>
        <w:tab w:val="left" w:pos="360"/>
      </w:tabs>
    </w:pPr>
    <w:rPr>
      <w:rFonts w:ascii="Calibri" w:hAnsi="Calibri" w:cs="Times New Roman"/>
      <w:szCs w:val="20"/>
    </w:rPr>
  </w:style>
  <w:style w:type="paragraph" w:customStyle="1" w:styleId="93">
    <w:name w:val="xl3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Proposals body"/>
    <w:basedOn w:val="1"/>
    <w:next w:val="1"/>
    <w:autoRedefine/>
    <w:qFormat/>
    <w:uiPriority w:val="0"/>
    <w:pPr>
      <w:widowControl/>
      <w:spacing w:line="360" w:lineRule="auto"/>
      <w:jc w:val="left"/>
    </w:pPr>
    <w:rPr>
      <w:rFonts w:ascii="宋体" w:hAnsi="Calibri"/>
      <w:snapToGrid w:val="0"/>
      <w:color w:val="000000"/>
      <w:kern w:val="0"/>
      <w:sz w:val="24"/>
      <w:szCs w:val="20"/>
    </w:rPr>
  </w:style>
  <w:style w:type="paragraph" w:customStyle="1" w:styleId="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 Char"/>
    <w:basedOn w:val="1"/>
    <w:autoRedefine/>
    <w:qFormat/>
    <w:uiPriority w:val="0"/>
    <w:rPr>
      <w:rFonts w:ascii="Courier New" w:eastAsia="Courier New"/>
      <w:b/>
      <w:sz w:val="32"/>
      <w:szCs w:val="32"/>
    </w:rPr>
  </w:style>
  <w:style w:type="paragraph" w:customStyle="1" w:styleId="97">
    <w:name w:val="xl3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Plain Text1"/>
    <w:basedOn w:val="1"/>
    <w:autoRedefine/>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9">
    <w:name w:val="SANGFOR_6_正文"/>
    <w:basedOn w:val="1"/>
    <w:autoRedefine/>
    <w:qFormat/>
    <w:uiPriority w:val="0"/>
    <w:pPr>
      <w:ind w:firstLine="420"/>
    </w:pPr>
    <w:rPr>
      <w:sz w:val="21"/>
      <w:szCs w:val="24"/>
      <w:lang w:val="zh-CN"/>
    </w:rPr>
  </w:style>
  <w:style w:type="paragraph" w:customStyle="1" w:styleId="100">
    <w:name w:val="p0"/>
    <w:basedOn w:val="1"/>
    <w:autoRedefine/>
    <w:unhideWhenUsed/>
    <w:qFormat/>
    <w:uiPriority w:val="0"/>
    <w:pPr>
      <w:widowControl/>
    </w:pPr>
    <w:rPr>
      <w:rFonts w:hint="eastAsia"/>
    </w:rPr>
  </w:style>
  <w:style w:type="paragraph" w:customStyle="1" w:styleId="101">
    <w:name w:val="样式5"/>
    <w:basedOn w:val="5"/>
    <w:autoRedefine/>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2">
    <w:name w:val="标书标题3"/>
    <w:basedOn w:val="4"/>
    <w:autoRedefine/>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3">
    <w:name w:val="Plain Text"/>
    <w:basedOn w:val="104"/>
    <w:autoRedefine/>
    <w:qFormat/>
    <w:uiPriority w:val="0"/>
    <w:pPr>
      <w:widowControl/>
      <w:jc w:val="left"/>
    </w:pPr>
    <w:rPr>
      <w:rFonts w:ascii="宋体" w:hAnsi="Courier New"/>
    </w:rPr>
  </w:style>
  <w:style w:type="paragraph" w:customStyle="1" w:styleId="10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font6"/>
    <w:basedOn w:val="1"/>
    <w:autoRedefine/>
    <w:qFormat/>
    <w:uiPriority w:val="0"/>
    <w:pPr>
      <w:widowControl/>
      <w:spacing w:before="100" w:beforeLines="0" w:beforeAutospacing="1" w:after="100" w:afterLines="0" w:afterAutospacing="1"/>
      <w:jc w:val="left"/>
    </w:pPr>
    <w:rPr>
      <w:kern w:val="0"/>
      <w:sz w:val="18"/>
      <w:szCs w:val="18"/>
    </w:rPr>
  </w:style>
  <w:style w:type="paragraph" w:customStyle="1" w:styleId="106">
    <w:name w:val="xl33"/>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7">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paragraph" w:customStyle="1" w:styleId="108">
    <w:name w:val="title11"/>
    <w:basedOn w:val="1"/>
    <w:autoRedefine/>
    <w:qFormat/>
    <w:uiPriority w:val="0"/>
    <w:pPr>
      <w:spacing w:before="150" w:beforeAutospacing="0" w:after="0" w:afterAutospacing="0"/>
      <w:ind w:left="0" w:right="0" w:firstLine="0"/>
      <w:jc w:val="left"/>
    </w:pPr>
    <w:rPr>
      <w:b/>
      <w:kern w:val="0"/>
      <w:lang w:val="en-US" w:eastAsia="zh-CN" w:bidi="ar"/>
    </w:rPr>
  </w:style>
  <w:style w:type="paragraph" w:customStyle="1" w:styleId="109">
    <w:name w:val="xl3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0">
    <w:name w:val="Body Text 2"/>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11">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12">
    <w:name w:val=" Char Char Char Char Char"/>
    <w:basedOn w:val="1"/>
    <w:autoRedefine/>
    <w:qFormat/>
    <w:uiPriority w:val="0"/>
    <w:pPr>
      <w:widowControl/>
      <w:spacing w:after="160" w:afterLines="0" w:line="240" w:lineRule="exact"/>
      <w:jc w:val="left"/>
    </w:pPr>
    <w:rPr>
      <w:rFonts w:ascii="Verdana" w:hAnsi="Verdana" w:eastAsia="华文细黑" w:cs="Times New Roman"/>
    </w:rPr>
  </w:style>
  <w:style w:type="paragraph" w:customStyle="1" w:styleId="113">
    <w:name w:val=" 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14">
    <w:name w:val="xl36"/>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xl32"/>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6">
    <w:name w:val="List Paragraph"/>
    <w:basedOn w:val="1"/>
    <w:autoRedefine/>
    <w:qFormat/>
    <w:uiPriority w:val="0"/>
    <w:pPr>
      <w:spacing w:line="360" w:lineRule="auto"/>
      <w:ind w:firstLine="420" w:firstLineChars="200"/>
    </w:pPr>
    <w:rPr>
      <w:rFonts w:ascii="宋体" w:hAnsi="宋体"/>
      <w:sz w:val="24"/>
    </w:rPr>
  </w:style>
  <w:style w:type="paragraph" w:customStyle="1" w:styleId="117">
    <w:name w:val="xl3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1">
    <w:name w:val="列出段落1"/>
    <w:basedOn w:val="1"/>
    <w:autoRedefine/>
    <w:qFormat/>
    <w:uiPriority w:val="0"/>
    <w:pPr>
      <w:widowControl w:val="0"/>
      <w:ind w:firstLine="420" w:firstLineChars="200"/>
    </w:pPr>
    <w:rPr>
      <w:kern w:val="2"/>
      <w:szCs w:val="22"/>
    </w:rPr>
  </w:style>
  <w:style w:type="paragraph" w:customStyle="1" w:styleId="122">
    <w:name w:val="正文首行缩进1(Crlf+Shift+M)"/>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3">
    <w:name w:val="Normal1"/>
    <w:autoRedefine/>
    <w:qFormat/>
    <w:uiPriority w:val="0"/>
    <w:rPr>
      <w:rFonts w:ascii="Times New Roman" w:hAnsi="Times New Roman" w:eastAsia="Times New Roman" w:cs="Times New Roman"/>
      <w:sz w:val="24"/>
      <w:szCs w:val="24"/>
      <w:lang w:val="en-US" w:eastAsia="zh-CN" w:bidi="ar-SA"/>
    </w:rPr>
  </w:style>
  <w:style w:type="paragraph" w:customStyle="1" w:styleId="124">
    <w:name w:val="彩色列表1"/>
    <w:basedOn w:val="1"/>
    <w:autoRedefine/>
    <w:qFormat/>
    <w:uiPriority w:val="0"/>
    <w:pPr>
      <w:ind w:firstLine="420" w:firstLineChars="200"/>
    </w:pPr>
    <w:rPr>
      <w:rFonts w:ascii="Times New Roman" w:hAnsi="Times New Roman" w:cs="Times New Roman"/>
    </w:rPr>
  </w:style>
  <w:style w:type="paragraph" w:customStyle="1" w:styleId="125">
    <w:name w:val="List Paragraph2"/>
    <w:basedOn w:val="1"/>
    <w:autoRedefine/>
    <w:qFormat/>
    <w:uiPriority w:val="99"/>
    <w:pPr>
      <w:ind w:firstLine="420" w:firstLineChars="200"/>
    </w:pPr>
  </w:style>
  <w:style w:type="paragraph" w:customStyle="1" w:styleId="126">
    <w:name w:val="Char"/>
    <w:basedOn w:val="1"/>
    <w:autoRedefine/>
    <w:qFormat/>
    <w:uiPriority w:val="0"/>
  </w:style>
  <w:style w:type="paragraph" w:customStyle="1" w:styleId="127">
    <w:name w:val="表头"/>
    <w:basedOn w:val="1"/>
    <w:autoRedefine/>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9">
    <w:name w:val="标书标题2"/>
    <w:basedOn w:val="3"/>
    <w:autoRedefine/>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0">
    <w:name w:val="居中表格内容"/>
    <w:basedOn w:val="1"/>
    <w:next w:val="1"/>
    <w:autoRedefine/>
    <w:qFormat/>
    <w:uiPriority w:val="0"/>
    <w:pPr>
      <w:jc w:val="left"/>
    </w:pPr>
    <w:rPr>
      <w:szCs w:val="20"/>
    </w:rPr>
  </w:style>
  <w:style w:type="paragraph" w:customStyle="1" w:styleId="131">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2">
    <w:name w:val="xl2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xl27"/>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4">
    <w:name w:val="List Paragraph1"/>
    <w:basedOn w:val="1"/>
    <w:autoRedefine/>
    <w:qFormat/>
    <w:uiPriority w:val="0"/>
    <w:pPr>
      <w:ind w:firstLine="420" w:firstLineChars="200"/>
    </w:pPr>
    <w:rPr>
      <w:szCs w:val="24"/>
    </w:rPr>
  </w:style>
  <w:style w:type="paragraph" w:customStyle="1" w:styleId="135">
    <w:name w:val="xl38"/>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8">
    <w:name w:val="font11"/>
    <w:autoRedefine/>
    <w:qFormat/>
    <w:uiPriority w:val="0"/>
    <w:rPr>
      <w:rFonts w:hint="eastAsia" w:ascii="宋体" w:hAnsi="宋体" w:eastAsia="宋体" w:cs="宋体"/>
      <w:color w:val="000000"/>
      <w:sz w:val="21"/>
      <w:szCs w:val="21"/>
      <w:u w:val="none"/>
    </w:rPr>
  </w:style>
  <w:style w:type="paragraph" w:customStyle="1" w:styleId="139">
    <w:name w:val="_正文"/>
    <w:basedOn w:val="1"/>
    <w:autoRedefine/>
    <w:qFormat/>
    <w:uiPriority w:val="0"/>
    <w:pPr>
      <w:widowControl w:val="0"/>
      <w:tabs>
        <w:tab w:val="left" w:pos="540"/>
      </w:tabs>
      <w:ind w:firstLine="200" w:firstLineChars="200"/>
    </w:pPr>
    <w:rPr>
      <w:rFonts w:ascii="Times New Roman" w:hAnsi="Times New Roman" w:cs="Arial"/>
    </w:rPr>
  </w:style>
  <w:style w:type="paragraph" w:customStyle="1" w:styleId="140">
    <w:name w:val="+正文"/>
    <w:basedOn w:val="1"/>
    <w:autoRedefine/>
    <w:qFormat/>
    <w:uiPriority w:val="0"/>
    <w:rPr>
      <w:szCs w:val="28"/>
    </w:rPr>
  </w:style>
  <w:style w:type="paragraph" w:customStyle="1" w:styleId="141">
    <w:name w:val="纯文本1"/>
    <w:basedOn w:val="1"/>
    <w:autoRedefine/>
    <w:qFormat/>
    <w:uiPriority w:val="0"/>
    <w:pPr>
      <w:spacing w:beforeLines="50" w:afterLines="50" w:line="400" w:lineRule="exact"/>
    </w:pPr>
    <w:rPr>
      <w:rFonts w:ascii="宋体" w:hAnsi="Courier New"/>
      <w:sz w:val="24"/>
    </w:rPr>
  </w:style>
  <w:style w:type="paragraph" w:customStyle="1" w:styleId="142">
    <w:name w:val="Table Paragraph"/>
    <w:basedOn w:val="1"/>
    <w:autoRedefine/>
    <w:qFormat/>
    <w:uiPriority w:val="1"/>
    <w:rPr>
      <w:rFonts w:ascii="宋体" w:hAnsi="宋体" w:eastAsia="宋体" w:cs="宋体"/>
      <w:lang w:val="zh-CN" w:eastAsia="zh-CN" w:bidi="zh-CN"/>
    </w:rPr>
  </w:style>
  <w:style w:type="paragraph" w:customStyle="1" w:styleId="1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4">
    <w:name w:val="Table Text"/>
    <w:basedOn w:val="1"/>
    <w:semiHidden/>
    <w:qFormat/>
    <w:uiPriority w:val="0"/>
    <w:rPr>
      <w:rFonts w:ascii="宋体" w:hAnsi="宋体" w:eastAsia="宋体" w:cs="宋体"/>
      <w:sz w:val="22"/>
      <w:szCs w:val="22"/>
      <w:lang w:val="en-US" w:eastAsia="en-US" w:bidi="ar-SA"/>
    </w:rPr>
  </w:style>
  <w:style w:type="paragraph" w:customStyle="1" w:styleId="1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69</Pages>
  <Words>38894</Words>
  <Characters>41199</Characters>
  <Lines>326</Lines>
  <Paragraphs>91</Paragraphs>
  <TotalTime>15</TotalTime>
  <ScaleCrop>false</ScaleCrop>
  <LinksUpToDate>false</LinksUpToDate>
  <CharactersWithSpaces>45158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2020-04-21T00:18:00Z</dcterms:created>
  <dc:creator>微软用户</dc:creator>
  <cp:lastModifiedBy>浦发拍卖</cp:lastModifiedBy>
  <cp:lastPrinted>2024-09-26T02:51:00Z</cp:lastPrinted>
  <dcterms:modified xsi:type="dcterms:W3CDTF">2024-10-30T01:44:44Z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6C33B380253F4D05B9FA591A15F65922_13</vt:lpwstr>
  </property>
</Properties>
</file>