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Hlk49184772"/>
    </w:p>
    <w:p>
      <w:pPr>
        <w:pStyle w:val="20"/>
        <w:jc w:val="center"/>
        <w:rPr>
          <w:rFonts w:hint="eastAsia" w:ascii="宋体" w:hAnsi="宋体" w:eastAsia="宋体" w:cs="宋体"/>
          <w:b/>
          <w:bCs/>
          <w:color w:val="000000" w:themeColor="text1"/>
          <w:sz w:val="38"/>
          <w:szCs w:val="38"/>
          <w:highlight w:val="none"/>
          <w:lang w:eastAsia="zh-CN"/>
          <w14:textFill>
            <w14:solidFill>
              <w14:schemeClr w14:val="tx1"/>
            </w14:solidFill>
          </w14:textFill>
        </w:rPr>
      </w:pPr>
      <w:r>
        <w:rPr>
          <w:rFonts w:hint="eastAsia" w:ascii="宋体" w:hAnsi="宋体" w:cs="宋体"/>
          <w:b/>
          <w:bCs/>
          <w:color w:val="000000" w:themeColor="text1"/>
          <w:sz w:val="38"/>
          <w:szCs w:val="38"/>
          <w:highlight w:val="none"/>
          <w:lang w:eastAsia="zh-CN"/>
          <w14:textFill>
            <w14:solidFill>
              <w14:schemeClr w14:val="tx1"/>
            </w14:solidFill>
          </w14:textFill>
        </w:rPr>
        <w:t>浦江县城乡自来水有限公司涉水级液态聚合氯化铝及涉水级次氯酸钠溶液采购项目</w:t>
      </w:r>
    </w:p>
    <w:p>
      <w:pPr>
        <w:jc w:val="center"/>
        <w:rPr>
          <w:rFonts w:hint="eastAsia" w:ascii="宋体" w:hAnsi="宋体" w:cs="宋体"/>
          <w:b/>
          <w:color w:val="000000" w:themeColor="text1"/>
          <w:szCs w:val="84"/>
          <w:highlight w:val="none"/>
          <w14:textFill>
            <w14:solidFill>
              <w14:schemeClr w14:val="tx1"/>
            </w14:solidFill>
          </w14:textFill>
        </w:rPr>
      </w:pPr>
    </w:p>
    <w:p>
      <w:pPr>
        <w:jc w:val="center"/>
        <w:rPr>
          <w:rFonts w:hint="eastAsia" w:ascii="宋体" w:hAnsi="宋体" w:cs="宋体"/>
          <w:b/>
          <w:color w:val="000000" w:themeColor="text1"/>
          <w:szCs w:val="84"/>
          <w:highlight w:val="none"/>
          <w14:textFill>
            <w14:solidFill>
              <w14:schemeClr w14:val="tx1"/>
            </w14:solidFill>
          </w14:textFill>
        </w:rPr>
      </w:pPr>
    </w:p>
    <w:p>
      <w:pPr>
        <w:jc w:val="center"/>
        <w:rPr>
          <w:rFonts w:hint="eastAsia" w:ascii="宋体" w:hAnsi="宋体" w:cs="宋体"/>
          <w:b/>
          <w:color w:val="000000" w:themeColor="text1"/>
          <w:szCs w:val="84"/>
          <w:highlight w:val="none"/>
          <w14:textFill>
            <w14:solidFill>
              <w14:schemeClr w14:val="tx1"/>
            </w14:solidFill>
          </w14:textFill>
        </w:rPr>
      </w:pPr>
    </w:p>
    <w:p>
      <w:pPr>
        <w:pStyle w:val="46"/>
        <w:ind w:firstLine="482"/>
        <w:rPr>
          <w:rFonts w:hint="eastAsia" w:ascii="宋体" w:hAnsi="宋体" w:cs="宋体"/>
          <w:b/>
          <w:color w:val="000000" w:themeColor="text1"/>
          <w:szCs w:val="84"/>
          <w:highlight w:val="none"/>
          <w14:textFill>
            <w14:solidFill>
              <w14:schemeClr w14:val="tx1"/>
            </w14:solidFill>
          </w14:textFill>
        </w:rPr>
      </w:pPr>
    </w:p>
    <w:p>
      <w:pPr>
        <w:pStyle w:val="2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rPr>
          <w:rFonts w:hint="eastAsia"/>
          <w:color w:val="000000" w:themeColor="text1"/>
          <w:highlight w:val="none"/>
          <w14:textFill>
            <w14:solidFill>
              <w14:schemeClr w14:val="tx1"/>
            </w14:solidFill>
          </w14:textFill>
        </w:rPr>
      </w:pPr>
    </w:p>
    <w:p>
      <w:pPr>
        <w:spacing w:line="360" w:lineRule="auto"/>
        <w:jc w:val="center"/>
        <w:rPr>
          <w:rFonts w:hint="eastAsia" w:ascii="宋体" w:hAnsi="宋体" w:cs="宋体"/>
          <w:color w:val="000000" w:themeColor="text1"/>
          <w:spacing w:val="40"/>
          <w:w w:val="80"/>
          <w:sz w:val="96"/>
          <w:szCs w:val="96"/>
          <w:highlight w:val="none"/>
          <w:lang w:bidi="th-TH"/>
          <w14:textFill>
            <w14:solidFill>
              <w14:schemeClr w14:val="tx1"/>
            </w14:solidFill>
          </w14:textFill>
        </w:rPr>
      </w:pPr>
    </w:p>
    <w:p>
      <w:pPr>
        <w:spacing w:line="360" w:lineRule="auto"/>
        <w:jc w:val="center"/>
        <w:rPr>
          <w:rFonts w:hint="eastAsia" w:ascii="宋体" w:hAnsi="宋体" w:cs="宋体"/>
          <w:b/>
          <w:color w:val="000000" w:themeColor="text1"/>
          <w:sz w:val="84"/>
          <w:szCs w:val="84"/>
          <w:highlight w:val="none"/>
          <w14:textFill>
            <w14:solidFill>
              <w14:schemeClr w14:val="tx1"/>
            </w14:solidFill>
          </w14:textFill>
        </w:rPr>
      </w:pPr>
      <w:r>
        <w:rPr>
          <w:rFonts w:hint="eastAsia" w:ascii="宋体" w:hAnsi="宋体" w:cs="宋体"/>
          <w:color w:val="000000" w:themeColor="text1"/>
          <w:spacing w:val="40"/>
          <w:w w:val="80"/>
          <w:sz w:val="96"/>
          <w:szCs w:val="96"/>
          <w:highlight w:val="none"/>
          <w:lang w:bidi="th-TH"/>
          <w14:textFill>
            <w14:solidFill>
              <w14:schemeClr w14:val="tx1"/>
            </w14:solidFill>
          </w14:textFill>
        </w:rPr>
        <w:t>公开招标采购文件</w:t>
      </w:r>
    </w:p>
    <w:p>
      <w:pPr>
        <w:jc w:val="center"/>
        <w:rPr>
          <w:rFonts w:hint="eastAsia" w:ascii="宋体" w:hAnsi="宋体" w:cs="宋体"/>
          <w:b/>
          <w:color w:val="000000" w:themeColor="text1"/>
          <w:szCs w:val="84"/>
          <w:highlight w:val="none"/>
          <w14:textFill>
            <w14:solidFill>
              <w14:schemeClr w14:val="tx1"/>
            </w14:solidFill>
          </w14:textFill>
        </w:rPr>
      </w:pPr>
    </w:p>
    <w:p>
      <w:pPr>
        <w:jc w:val="center"/>
        <w:rPr>
          <w:rFonts w:hint="eastAsia" w:ascii="宋体" w:hAnsi="宋体" w:cs="宋体"/>
          <w:b/>
          <w:color w:val="000000" w:themeColor="text1"/>
          <w:szCs w:val="84"/>
          <w:highlight w:val="none"/>
          <w14:textFill>
            <w14:solidFill>
              <w14:schemeClr w14:val="tx1"/>
            </w14:solidFill>
          </w14:textFill>
        </w:rPr>
      </w:pPr>
    </w:p>
    <w:p>
      <w:pPr>
        <w:spacing w:line="360" w:lineRule="auto"/>
        <w:jc w:val="center"/>
        <w:rPr>
          <w:rFonts w:hint="default" w:ascii="宋体" w:hAnsi="宋体" w:eastAsia="宋体" w:cs="宋体"/>
          <w:b/>
          <w:bCs/>
          <w:color w:val="000000" w:themeColor="text1"/>
          <w:w w:val="80"/>
          <w:sz w:val="36"/>
          <w:szCs w:val="36"/>
          <w:highlight w:val="none"/>
          <w:lang w:val="en-US" w:eastAsia="zh-CN" w:bidi="th-TH"/>
          <w14:textFill>
            <w14:solidFill>
              <w14:schemeClr w14:val="tx1"/>
            </w14:solidFill>
          </w14:textFill>
        </w:rPr>
      </w:pPr>
      <w:r>
        <w:rPr>
          <w:rFonts w:hint="eastAsia" w:ascii="宋体" w:hAnsi="宋体" w:cs="宋体"/>
          <w:b/>
          <w:bCs/>
          <w:color w:val="000000" w:themeColor="text1"/>
          <w:w w:val="80"/>
          <w:sz w:val="36"/>
          <w:szCs w:val="36"/>
          <w:highlight w:val="none"/>
          <w:lang w:bidi="th-TH"/>
          <w14:textFill>
            <w14:solidFill>
              <w14:schemeClr w14:val="tx1"/>
            </w14:solidFill>
          </w14:textFill>
        </w:rPr>
        <w:t>项目编号：PJCQGK(</w:t>
      </w:r>
      <w:r>
        <w:rPr>
          <w:rFonts w:hint="eastAsia" w:ascii="宋体" w:hAnsi="宋体" w:cs="宋体"/>
          <w:b/>
          <w:bCs/>
          <w:color w:val="000000" w:themeColor="text1"/>
          <w:w w:val="80"/>
          <w:sz w:val="36"/>
          <w:szCs w:val="36"/>
          <w:highlight w:val="none"/>
          <w:lang w:eastAsia="zh-CN" w:bidi="th-TH"/>
          <w14:textFill>
            <w14:solidFill>
              <w14:schemeClr w14:val="tx1"/>
            </w14:solidFill>
          </w14:textFill>
        </w:rPr>
        <w:t>ZLSGS</w:t>
      </w:r>
      <w:r>
        <w:rPr>
          <w:rFonts w:hint="eastAsia" w:ascii="宋体" w:hAnsi="宋体" w:cs="宋体"/>
          <w:b/>
          <w:bCs/>
          <w:color w:val="000000" w:themeColor="text1"/>
          <w:w w:val="80"/>
          <w:sz w:val="36"/>
          <w:szCs w:val="36"/>
          <w:highlight w:val="none"/>
          <w:lang w:bidi="th-TH"/>
          <w14:textFill>
            <w14:solidFill>
              <w14:schemeClr w14:val="tx1"/>
            </w14:solidFill>
          </w14:textFill>
        </w:rPr>
        <w:t>)</w:t>
      </w:r>
      <w:r>
        <w:rPr>
          <w:rFonts w:hint="eastAsia" w:ascii="宋体" w:hAnsi="宋体" w:cs="宋体"/>
          <w:b/>
          <w:bCs/>
          <w:color w:val="000000" w:themeColor="text1"/>
          <w:w w:val="80"/>
          <w:sz w:val="36"/>
          <w:szCs w:val="36"/>
          <w:highlight w:val="none"/>
          <w:lang w:eastAsia="zh-CN" w:bidi="th-TH"/>
          <w14:textFill>
            <w14:solidFill>
              <w14:schemeClr w14:val="tx1"/>
            </w14:solidFill>
          </w14:textFill>
        </w:rPr>
        <w:t>2025-0117</w:t>
      </w:r>
    </w:p>
    <w:p>
      <w:pPr>
        <w:pStyle w:val="29"/>
        <w:ind w:left="5250"/>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rPr>
          <w:rFonts w:hint="eastAsia" w:ascii="宋体" w:hAnsi="宋体" w:cs="宋体"/>
          <w:b/>
          <w:color w:val="000000" w:themeColor="text1"/>
          <w:highlight w:val="none"/>
          <w14:textFill>
            <w14:solidFill>
              <w14:schemeClr w14:val="tx1"/>
            </w14:solidFill>
          </w14:textFill>
        </w:rPr>
      </w:pPr>
    </w:p>
    <w:p>
      <w:pPr>
        <w:rPr>
          <w:rFonts w:hint="eastAsia" w:ascii="宋体" w:hAnsi="宋体" w:cs="宋体"/>
          <w:b/>
          <w:color w:val="000000" w:themeColor="text1"/>
          <w:highlight w:val="none"/>
          <w14:textFill>
            <w14:solidFill>
              <w14:schemeClr w14:val="tx1"/>
            </w14:solidFill>
          </w14:textFill>
        </w:rPr>
      </w:pPr>
    </w:p>
    <w:p>
      <w:pPr>
        <w:pStyle w:val="20"/>
        <w:rPr>
          <w:rFonts w:hint="eastAsia" w:ascii="宋体" w:hAnsi="宋体" w:cs="宋体"/>
          <w:b/>
          <w:color w:val="000000" w:themeColor="text1"/>
          <w:highlight w:val="none"/>
          <w14:textFill>
            <w14:solidFill>
              <w14:schemeClr w14:val="tx1"/>
            </w14:solidFill>
          </w14:textFill>
        </w:rPr>
      </w:pPr>
    </w:p>
    <w:p>
      <w:pPr>
        <w:pStyle w:val="20"/>
        <w:rPr>
          <w:rFonts w:hint="eastAsia" w:ascii="宋体" w:hAnsi="宋体" w:cs="宋体"/>
          <w:b/>
          <w:color w:val="000000" w:themeColor="text1"/>
          <w:highlight w:val="none"/>
          <w14:textFill>
            <w14:solidFill>
              <w14:schemeClr w14:val="tx1"/>
            </w14:solidFill>
          </w14:textFill>
        </w:rPr>
      </w:pPr>
    </w:p>
    <w:p>
      <w:pPr>
        <w:rPr>
          <w:rFonts w:hint="eastAsia" w:ascii="宋体" w:hAnsi="宋体" w:cs="宋体"/>
          <w:b/>
          <w:color w:val="000000" w:themeColor="text1"/>
          <w:highlight w:val="none"/>
          <w14:textFill>
            <w14:solidFill>
              <w14:schemeClr w14:val="tx1"/>
            </w14:solidFill>
          </w14:textFill>
        </w:rPr>
      </w:pPr>
    </w:p>
    <w:p>
      <w:pPr>
        <w:pStyle w:val="46"/>
        <w:rPr>
          <w:rFonts w:hint="eastAsia"/>
          <w:color w:val="000000" w:themeColor="text1"/>
          <w:highlight w:val="none"/>
          <w14:textFill>
            <w14:solidFill>
              <w14:schemeClr w14:val="tx1"/>
            </w14:solidFill>
          </w14:textFill>
        </w:rPr>
      </w:pPr>
    </w:p>
    <w:p>
      <w:pPr>
        <w:rPr>
          <w:rFonts w:hint="eastAsia" w:ascii="宋体" w:hAnsi="宋体" w:cs="宋体"/>
          <w:b/>
          <w:color w:val="000000" w:themeColor="text1"/>
          <w:highlight w:val="none"/>
          <w14:textFill>
            <w14:solidFill>
              <w14:schemeClr w14:val="tx1"/>
            </w14:solidFill>
          </w14:textFill>
        </w:rPr>
      </w:pPr>
    </w:p>
    <w:tbl>
      <w:tblPr>
        <w:tblStyle w:val="48"/>
        <w:tblW w:w="8203" w:type="dxa"/>
        <w:jc w:val="center"/>
        <w:tblLayout w:type="fixed"/>
        <w:tblCellMar>
          <w:top w:w="0" w:type="dxa"/>
          <w:left w:w="108" w:type="dxa"/>
          <w:bottom w:w="0" w:type="dxa"/>
          <w:right w:w="108" w:type="dxa"/>
        </w:tblCellMar>
      </w:tblPr>
      <w:tblGrid>
        <w:gridCol w:w="2032"/>
        <w:gridCol w:w="516"/>
        <w:gridCol w:w="5655"/>
      </w:tblGrid>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采购人</w:t>
            </w:r>
          </w:p>
        </w:tc>
        <w:tc>
          <w:tcPr>
            <w:tcW w:w="516" w:type="dxa"/>
            <w:noWrap w:val="0"/>
            <w:vAlign w:val="center"/>
          </w:tcPr>
          <w:p>
            <w:pPr>
              <w:snapToGrid w:val="0"/>
              <w:jc w:val="distribute"/>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w:t>
            </w:r>
          </w:p>
        </w:tc>
        <w:tc>
          <w:tcPr>
            <w:tcW w:w="5655" w:type="dxa"/>
            <w:noWrap w:val="0"/>
            <w:vAlign w:val="center"/>
          </w:tcPr>
          <w:p>
            <w:pPr>
              <w:snapToGrid w:val="0"/>
              <w:jc w:val="distribute"/>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lang w:eastAsia="zh-CN"/>
                <w14:textFill>
                  <w14:solidFill>
                    <w14:schemeClr w14:val="tx1"/>
                  </w14:solidFill>
                </w14:textFill>
              </w:rPr>
              <w:t>浦江县城乡自来水有限公司</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宋体" w:hAnsi="宋体" w:cs="宋体"/>
                <w:color w:val="000000" w:themeColor="text1"/>
                <w:szCs w:val="21"/>
                <w:highlight w:val="none"/>
                <w14:textFill>
                  <w14:solidFill>
                    <w14:schemeClr w14:val="tx1"/>
                  </w14:solidFill>
                </w14:textFill>
              </w:rPr>
            </w:pPr>
          </w:p>
        </w:tc>
        <w:tc>
          <w:tcPr>
            <w:tcW w:w="516" w:type="dxa"/>
            <w:noWrap w:val="0"/>
            <w:vAlign w:val="center"/>
          </w:tcPr>
          <w:p>
            <w:pPr>
              <w:snapToGrid w:val="0"/>
              <w:jc w:val="distribute"/>
              <w:rPr>
                <w:rFonts w:hint="eastAsia" w:ascii="宋体" w:hAnsi="宋体" w:cs="宋体"/>
                <w:color w:val="000000" w:themeColor="text1"/>
                <w:szCs w:val="21"/>
                <w:highlight w:val="none"/>
                <w14:textFill>
                  <w14:solidFill>
                    <w14:schemeClr w14:val="tx1"/>
                  </w14:solidFill>
                </w14:textFill>
              </w:rPr>
            </w:pPr>
          </w:p>
        </w:tc>
        <w:tc>
          <w:tcPr>
            <w:tcW w:w="5655" w:type="dxa"/>
            <w:noWrap w:val="0"/>
            <w:vAlign w:val="center"/>
          </w:tcPr>
          <w:p>
            <w:pPr>
              <w:snapToGrid w:val="0"/>
              <w:jc w:val="distribute"/>
              <w:rPr>
                <w:rFonts w:hint="eastAsia"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采购代理机构</w:t>
            </w:r>
          </w:p>
        </w:tc>
        <w:tc>
          <w:tcPr>
            <w:tcW w:w="516" w:type="dxa"/>
            <w:noWrap w:val="0"/>
            <w:vAlign w:val="center"/>
          </w:tcPr>
          <w:p>
            <w:pPr>
              <w:snapToGrid w:val="0"/>
              <w:jc w:val="distribute"/>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w:t>
            </w:r>
          </w:p>
        </w:tc>
        <w:tc>
          <w:tcPr>
            <w:tcW w:w="5655" w:type="dxa"/>
            <w:noWrap w:val="0"/>
            <w:vAlign w:val="center"/>
          </w:tcPr>
          <w:p>
            <w:pPr>
              <w:snapToGrid w:val="0"/>
              <w:jc w:val="distribute"/>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浦江县产权交易有限公司</w:t>
            </w:r>
          </w:p>
        </w:tc>
      </w:tr>
      <w:tr>
        <w:tblPrEx>
          <w:tblCellMar>
            <w:top w:w="0" w:type="dxa"/>
            <w:left w:w="108" w:type="dxa"/>
            <w:bottom w:w="0" w:type="dxa"/>
            <w:right w:w="108" w:type="dxa"/>
          </w:tblCellMar>
        </w:tblPrEx>
        <w:trPr>
          <w:trHeight w:val="680" w:hRule="atLeast"/>
          <w:jc w:val="center"/>
        </w:trPr>
        <w:tc>
          <w:tcPr>
            <w:tcW w:w="8203" w:type="dxa"/>
            <w:gridSpan w:val="3"/>
            <w:noWrap w:val="0"/>
            <w:vAlign w:val="bottom"/>
          </w:tcPr>
          <w:p>
            <w:pPr>
              <w:snapToGrid w:val="0"/>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lang w:eastAsia="zh-CN"/>
                <w14:textFill>
                  <w14:solidFill>
                    <w14:schemeClr w14:val="tx1"/>
                  </w14:solidFill>
                </w14:textFill>
              </w:rPr>
              <w:t>202</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14:textFill>
                  <w14:solidFill>
                    <w14:schemeClr w14:val="tx1"/>
                  </w14:solidFill>
                </w14:textFill>
              </w:rPr>
              <w:t>年</w:t>
            </w:r>
            <w:r>
              <w:rPr>
                <w:rFonts w:hint="eastAsia" w:ascii="宋体" w:hAnsi="宋体" w:cs="宋体"/>
                <w:color w:val="000000" w:themeColor="text1"/>
                <w:sz w:val="30"/>
                <w:szCs w:val="30"/>
                <w:highlight w:val="none"/>
                <w:lang w:val="en-US" w:eastAsia="zh-CN"/>
                <w14:textFill>
                  <w14:solidFill>
                    <w14:schemeClr w14:val="tx1"/>
                  </w14:solidFill>
                </w14:textFill>
              </w:rPr>
              <w:t>1</w:t>
            </w:r>
            <w:r>
              <w:rPr>
                <w:rFonts w:hint="eastAsia" w:ascii="宋体" w:hAnsi="宋体" w:cs="宋体"/>
                <w:color w:val="000000" w:themeColor="text1"/>
                <w:sz w:val="30"/>
                <w:szCs w:val="30"/>
                <w:highlight w:val="none"/>
                <w14:textFill>
                  <w14:solidFill>
                    <w14:schemeClr w14:val="tx1"/>
                  </w14:solidFill>
                </w14:textFill>
              </w:rPr>
              <w:t>月</w:t>
            </w:r>
          </w:p>
        </w:tc>
      </w:tr>
    </w:tbl>
    <w:p>
      <w:pPr>
        <w:pStyle w:val="26"/>
        <w:jc w:val="center"/>
        <w:rPr>
          <w:rFonts w:hint="eastAsia" w:ascii="宋体" w:hAnsi="宋体" w:eastAsia="宋体" w:cs="宋体"/>
          <w:b/>
          <w:color w:val="000000" w:themeColor="text1"/>
          <w:sz w:val="28"/>
          <w:szCs w:val="28"/>
          <w:highlight w:val="none"/>
          <w14:textFill>
            <w14:solidFill>
              <w14:schemeClr w14:val="tx1"/>
            </w14:solidFill>
          </w14:textFill>
        </w:rPr>
        <w:sectPr>
          <w:pgSz w:w="11906" w:h="16838"/>
          <w:pgMar w:top="1418" w:right="1588" w:bottom="1418" w:left="1588"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sectPr>
          <w:footerReference r:id="rId4" w:type="first"/>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26"/>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目    录</w:t>
      </w:r>
    </w:p>
    <w:p>
      <w:pPr>
        <w:rPr>
          <w:rFonts w:hint="eastAsia"/>
          <w:color w:val="000000" w:themeColor="text1"/>
          <w:highlight w:val="none"/>
          <w14:textFill>
            <w14:solidFill>
              <w14:schemeClr w14:val="tx1"/>
            </w14:solidFill>
          </w14:textFill>
        </w:rPr>
      </w:pP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aps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caps w:val="0"/>
          <w:color w:val="000000" w:themeColor="text1"/>
          <w:sz w:val="28"/>
          <w:szCs w:val="28"/>
          <w:highlight w:val="none"/>
          <w14:textFill>
            <w14:solidFill>
              <w14:schemeClr w14:val="tx1"/>
            </w14:solidFill>
          </w14:textFill>
        </w:rPr>
        <w:instrText xml:space="preserve"> TOC \o "1-2" \u </w:instrText>
      </w:r>
      <w:r>
        <w:rPr>
          <w:rFonts w:hint="eastAsia" w:ascii="宋体" w:hAnsi="宋体" w:eastAsia="宋体" w:cs="宋体"/>
          <w:b/>
          <w:caps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第一部分  公开招标公告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_Toc7946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第二部分 投标须知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_Toc5715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12</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第三部分 招标内容及需求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_Toc21089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27</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第四部分  合同条款</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_Toc17909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第五部分  评标办法（综合评分法）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_Toc23447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35</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第六部分  投标文件格式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_Toc6102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41</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34"/>
        <w:tabs>
          <w:tab w:val="right" w:leader="dot" w:pos="8730"/>
          <w:tab w:val="clear" w:pos="8720"/>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第七部分   其它</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_Toc10683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68</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sectPr>
          <w:footerReference r:id="rId6" w:type="first"/>
          <w:footerReference r:id="rId5" w:type="default"/>
          <w:pgSz w:w="11906" w:h="16838"/>
          <w:pgMar w:top="1418" w:right="1588" w:bottom="1418" w:left="1588"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eastAsia="宋体" w:cs="宋体"/>
          <w:color w:val="000000" w:themeColor="text1"/>
          <w:sz w:val="28"/>
          <w:szCs w:val="28"/>
          <w:highlight w:val="none"/>
          <w14:textFill>
            <w14:solidFill>
              <w14:schemeClr w14:val="tx1"/>
            </w14:solidFill>
          </w14:textFill>
        </w:rPr>
        <w:fldChar w:fldCharType="end"/>
      </w:r>
      <w:bookmarkStart w:id="1" w:name="_Toc7590"/>
      <w:bookmarkStart w:id="2" w:name="_Toc13838"/>
      <w:bookmarkStart w:id="3" w:name="_Toc18250"/>
      <w:bookmarkStart w:id="4" w:name="_Toc19650"/>
      <w:bookmarkStart w:id="5" w:name="_Toc242012824"/>
      <w:bookmarkStart w:id="6" w:name="_Toc29659"/>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7" w:name="_Toc7946"/>
      <w:r>
        <w:rPr>
          <w:rFonts w:hint="eastAsia" w:ascii="宋体" w:hAnsi="宋体" w:eastAsia="宋体" w:cs="宋体"/>
          <w:color w:val="000000" w:themeColor="text1"/>
          <w:sz w:val="32"/>
          <w:szCs w:val="32"/>
          <w:highlight w:val="none"/>
          <w14:textFill>
            <w14:solidFill>
              <w14:schemeClr w14:val="tx1"/>
            </w14:solidFill>
          </w14:textFill>
        </w:rPr>
        <w:t>第一部分  公开招标公告</w:t>
      </w:r>
      <w:bookmarkEnd w:id="7"/>
    </w:p>
    <w:tbl>
      <w:tblPr>
        <w:tblStyle w:val="4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457"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项目概况</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lang w:eastAsia="zh-CN"/>
                <w14:textFill>
                  <w14:solidFill>
                    <w14:schemeClr w14:val="tx1"/>
                  </w14:solidFill>
                </w14:textFill>
              </w:rPr>
              <w:t>浦江县城乡自来水有限公司涉水级液态聚合氯化铝及涉水级次氯酸钠溶液采购项目</w:t>
            </w:r>
            <w:r>
              <w:rPr>
                <w:rFonts w:hint="eastAsia" w:ascii="宋体" w:hAnsi="宋体" w:cs="宋体"/>
                <w:b/>
                <w:bCs/>
                <w:color w:val="000000" w:themeColor="text1"/>
                <w:sz w:val="24"/>
                <w:highlight w:val="none"/>
                <w14:textFill>
                  <w14:solidFill>
                    <w14:schemeClr w14:val="tx1"/>
                  </w14:solidFill>
                </w14:textFill>
              </w:rPr>
              <w:t>的潜在投标人应在</w:t>
            </w:r>
            <w:r>
              <w:rPr>
                <w:rFonts w:hint="eastAsia" w:ascii="宋体" w:hAnsi="宋体" w:cs="宋体"/>
                <w:b/>
                <w:bCs/>
                <w:color w:val="000000" w:themeColor="text1"/>
                <w:sz w:val="24"/>
                <w:highlight w:val="none"/>
                <w:lang w:eastAsia="zh-CN"/>
                <w14:textFill>
                  <w14:solidFill>
                    <w14:schemeClr w14:val="tx1"/>
                  </w14:solidFill>
                </w14:textFill>
              </w:rPr>
              <w:t>乐采云平台</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www.lecaiyun.com</w:t>
            </w:r>
            <w:r>
              <w:rPr>
                <w:rFonts w:hint="eastAsia" w:ascii="宋体" w:hAnsi="宋体" w:cs="宋体"/>
                <w:b/>
                <w:bCs/>
                <w:color w:val="000000" w:themeColor="text1"/>
                <w:sz w:val="24"/>
                <w:highlight w:val="none"/>
                <w14:textFill>
                  <w14:solidFill>
                    <w14:schemeClr w14:val="tx1"/>
                  </w14:solidFill>
                </w14:textFill>
              </w:rPr>
              <w:t>）获取（下载）招标文件，并于</w:t>
            </w:r>
            <w:r>
              <w:rPr>
                <w:rFonts w:hint="eastAsia" w:ascii="宋体" w:hAnsi="宋体" w:cs="宋体"/>
                <w:b/>
                <w:bCs/>
                <w:color w:val="000000" w:themeColor="text1"/>
                <w:sz w:val="24"/>
                <w:highlight w:val="none"/>
                <w:lang w:val="en-US" w:eastAsia="zh-CN"/>
                <w14:textFill>
                  <w14:solidFill>
                    <w14:schemeClr w14:val="tx1"/>
                  </w14:solidFill>
                </w14:textFill>
              </w:rPr>
              <w:t>2025年2月13日14:30</w:t>
            </w:r>
            <w:r>
              <w:rPr>
                <w:rFonts w:hint="eastAsia" w:ascii="宋体" w:hAnsi="宋体" w:cs="宋体"/>
                <w:b/>
                <w:bCs/>
                <w:color w:val="000000" w:themeColor="text1"/>
                <w:sz w:val="24"/>
                <w:highlight w:val="none"/>
                <w14:textFill>
                  <w14:solidFill>
                    <w14:schemeClr w14:val="tx1"/>
                  </w14:solidFill>
                </w14:textFill>
              </w:rPr>
              <w:t>（北京时间）前递交（上传）投标文件。  </w:t>
            </w:r>
          </w:p>
        </w:tc>
      </w:tr>
    </w:tbl>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项目编号：PJCQGK(</w:t>
      </w:r>
      <w:r>
        <w:rPr>
          <w:rFonts w:hint="eastAsia" w:ascii="宋体" w:hAnsi="宋体" w:cs="宋体"/>
          <w:color w:val="000000" w:themeColor="text1"/>
          <w:kern w:val="0"/>
          <w:sz w:val="24"/>
          <w:highlight w:val="none"/>
          <w:lang w:eastAsia="zh-CN"/>
          <w14:textFill>
            <w14:solidFill>
              <w14:schemeClr w14:val="tx1"/>
            </w14:solidFill>
          </w14:textFill>
        </w:rPr>
        <w:t>ZLSGS</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2025-0117</w:t>
      </w: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eastAsia="zh-CN"/>
          <w14:textFill>
            <w14:solidFill>
              <w14:schemeClr w14:val="tx1"/>
            </w14:solidFill>
          </w14:textFill>
        </w:rPr>
        <w:t>浦江县城乡自来水有限公司涉水级液态聚合氯化铝及涉水级次氯酸钠溶液采购项目</w:t>
      </w: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预算金额（元）：</w:t>
      </w:r>
      <w:r>
        <w:rPr>
          <w:rFonts w:hint="eastAsia" w:ascii="宋体" w:hAnsi="宋体" w:cs="宋体"/>
          <w:color w:val="000000" w:themeColor="text1"/>
          <w:kern w:val="0"/>
          <w:sz w:val="24"/>
          <w:highlight w:val="none"/>
          <w:lang w:val="en-US" w:eastAsia="zh-CN"/>
          <w14:textFill>
            <w14:solidFill>
              <w14:schemeClr w14:val="tx1"/>
            </w14:solidFill>
          </w14:textFill>
        </w:rPr>
        <w:t>3090000</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b/>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最高限价（元）：</w:t>
      </w:r>
      <w:r>
        <w:rPr>
          <w:rFonts w:hint="eastAsia" w:ascii="宋体" w:hAnsi="宋体" w:eastAsia="宋体" w:cs="宋体"/>
          <w:bCs/>
          <w:color w:val="000000" w:themeColor="text1"/>
          <w:sz w:val="24"/>
          <w:szCs w:val="24"/>
          <w:highlight w:val="none"/>
          <w:lang w:eastAsia="zh-CN"/>
          <w14:textFill>
            <w14:solidFill>
              <w14:schemeClr w14:val="tx1"/>
            </w14:solidFill>
          </w14:textFill>
        </w:rPr>
        <w:t>涉水级液态聚合氯化铝</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:1000元/吨；</w:t>
      </w:r>
      <w:r>
        <w:rPr>
          <w:rFonts w:hint="eastAsia" w:ascii="宋体" w:hAnsi="宋体" w:eastAsia="宋体" w:cs="宋体"/>
          <w:bCs/>
          <w:color w:val="000000" w:themeColor="text1"/>
          <w:sz w:val="24"/>
          <w:szCs w:val="24"/>
          <w:highlight w:val="none"/>
          <w:lang w:eastAsia="zh-CN"/>
          <w14:textFill>
            <w14:solidFill>
              <w14:schemeClr w14:val="tx1"/>
            </w14:solidFill>
          </w14:textFill>
        </w:rPr>
        <w:t>涉水级次氯酸钠溶液：</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1350元/吨</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jc w:val="left"/>
        <w:textAlignment w:val="auto"/>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采购需求：</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2" w:firstLineChars="20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标项1</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标项名称:</w:t>
      </w:r>
      <w:r>
        <w:rPr>
          <w:rFonts w:hint="eastAsia" w:ascii="宋体" w:hAnsi="宋体" w:cs="宋体"/>
          <w:color w:val="000000" w:themeColor="text1"/>
          <w:kern w:val="0"/>
          <w:sz w:val="24"/>
          <w:szCs w:val="24"/>
          <w:highlight w:val="none"/>
          <w:lang w:eastAsia="zh-CN"/>
          <w14:textFill>
            <w14:solidFill>
              <w14:schemeClr w14:val="tx1"/>
            </w14:solidFill>
          </w14:textFill>
        </w:rPr>
        <w:t>涉水级液态聚合氯化铝</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0" w:firstLineChars="20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r>
        <w:rPr>
          <w:rFonts w:hint="eastAsia" w:ascii="宋体" w:hAnsi="宋体" w:cs="宋体"/>
          <w:color w:val="000000" w:themeColor="text1"/>
          <w:kern w:val="0"/>
          <w:sz w:val="24"/>
          <w:szCs w:val="24"/>
          <w:highlight w:val="none"/>
          <w:lang w:val="en-US" w:eastAsia="zh-CN"/>
          <w14:textFill>
            <w14:solidFill>
              <w14:schemeClr w14:val="tx1"/>
            </w14:solidFill>
          </w14:textFill>
        </w:rPr>
        <w:t>1200吨</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0" w:firstLineChars="20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预算金额（元）:</w:t>
      </w:r>
      <w:r>
        <w:rPr>
          <w:rFonts w:hint="eastAsia" w:ascii="宋体" w:hAnsi="宋体" w:cs="宋体"/>
          <w:color w:val="000000" w:themeColor="text1"/>
          <w:kern w:val="0"/>
          <w:sz w:val="24"/>
          <w:szCs w:val="24"/>
          <w:highlight w:val="none"/>
          <w:lang w:val="en-US" w:eastAsia="zh-CN"/>
          <w14:textFill>
            <w14:solidFill>
              <w14:schemeClr w14:val="tx1"/>
            </w14:solidFill>
          </w14:textFill>
        </w:rPr>
        <w:t>1200000</w:t>
      </w: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简要规格描述或项目基本概况介绍、用途：</w:t>
      </w:r>
      <w:r>
        <w:rPr>
          <w:rFonts w:hint="eastAsia" w:ascii="宋体" w:hAnsi="宋体" w:cs="宋体"/>
          <w:color w:val="000000" w:themeColor="text1"/>
          <w:kern w:val="0"/>
          <w:sz w:val="24"/>
          <w:highlight w:val="none"/>
          <w:lang w:eastAsia="zh-CN"/>
          <w14:textFill>
            <w14:solidFill>
              <w14:schemeClr w14:val="tx1"/>
            </w14:solidFill>
          </w14:textFill>
        </w:rPr>
        <w:t>包括</w:t>
      </w:r>
      <w:r>
        <w:rPr>
          <w:rFonts w:hint="eastAsia" w:ascii="宋体" w:hAnsi="宋体" w:eastAsia="宋体" w:cs="宋体"/>
          <w:bCs/>
          <w:color w:val="000000" w:themeColor="text1"/>
          <w:sz w:val="24"/>
          <w:szCs w:val="24"/>
          <w:highlight w:val="none"/>
          <w:lang w:eastAsia="zh-CN"/>
          <w14:textFill>
            <w14:solidFill>
              <w14:schemeClr w14:val="tx1"/>
            </w14:solidFill>
          </w14:textFill>
        </w:rPr>
        <w:t>涉水级液态聚合氯化铝的</w:t>
      </w:r>
      <w:r>
        <w:rPr>
          <w:rFonts w:hint="eastAsia" w:ascii="宋体" w:hAnsi="宋体" w:cs="宋体"/>
          <w:color w:val="000000" w:themeColor="text1"/>
          <w:kern w:val="0"/>
          <w:sz w:val="24"/>
          <w:highlight w:val="none"/>
          <w:lang w:eastAsia="zh-CN"/>
          <w14:textFill>
            <w14:solidFill>
              <w14:schemeClr w14:val="tx1"/>
            </w14:solidFill>
          </w14:textFill>
        </w:rPr>
        <w:t>供货，具体详见采购文件的第三部分《招标内容及需求》。</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2" w:firstLineChars="20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2" w:firstLineChars="200"/>
        <w:jc w:val="left"/>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标项2</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标项名称: </w:t>
      </w:r>
      <w:r>
        <w:rPr>
          <w:rFonts w:hint="eastAsia" w:ascii="宋体" w:hAnsi="宋体" w:cs="宋体"/>
          <w:color w:val="000000" w:themeColor="text1"/>
          <w:kern w:val="0"/>
          <w:sz w:val="24"/>
          <w:szCs w:val="24"/>
          <w:highlight w:val="none"/>
          <w:lang w:eastAsia="zh-CN"/>
          <w14:textFill>
            <w14:solidFill>
              <w14:schemeClr w14:val="tx1"/>
            </w14:solidFill>
          </w14:textFill>
        </w:rPr>
        <w:t>涉水级次氯酸钠溶液</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0" w:firstLineChars="20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数量: </w:t>
      </w:r>
      <w:r>
        <w:rPr>
          <w:rFonts w:hint="eastAsia" w:ascii="宋体" w:hAnsi="宋体" w:cs="宋体"/>
          <w:color w:val="000000" w:themeColor="text1"/>
          <w:kern w:val="0"/>
          <w:sz w:val="24"/>
          <w:szCs w:val="24"/>
          <w:highlight w:val="none"/>
          <w:lang w:val="en-US" w:eastAsia="zh-CN"/>
          <w14:textFill>
            <w14:solidFill>
              <w14:schemeClr w14:val="tx1"/>
            </w14:solidFill>
          </w14:textFill>
        </w:rPr>
        <w:t>1400吨</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480" w:firstLineChars="20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预算金额（元）:</w:t>
      </w:r>
      <w:r>
        <w:rPr>
          <w:rFonts w:hint="eastAsia" w:ascii="宋体" w:hAnsi="宋体" w:cs="宋体"/>
          <w:color w:val="000000" w:themeColor="text1"/>
          <w:kern w:val="0"/>
          <w:sz w:val="24"/>
          <w:szCs w:val="24"/>
          <w:highlight w:val="none"/>
          <w:lang w:val="en-US" w:eastAsia="zh-CN"/>
          <w14:textFill>
            <w14:solidFill>
              <w14:schemeClr w14:val="tx1"/>
            </w14:solidFill>
          </w14:textFill>
        </w:rPr>
        <w:t>1890000</w:t>
      </w: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简要规格描述或项目基本概况介绍、用途：</w:t>
      </w:r>
      <w:r>
        <w:rPr>
          <w:rFonts w:hint="eastAsia" w:ascii="宋体" w:hAnsi="宋体" w:cs="宋体"/>
          <w:color w:val="000000" w:themeColor="text1"/>
          <w:kern w:val="0"/>
          <w:sz w:val="24"/>
          <w:highlight w:val="none"/>
          <w:lang w:eastAsia="zh-CN"/>
          <w14:textFill>
            <w14:solidFill>
              <w14:schemeClr w14:val="tx1"/>
            </w14:solidFill>
          </w14:textFill>
        </w:rPr>
        <w:t>包括</w:t>
      </w:r>
      <w:r>
        <w:rPr>
          <w:rFonts w:hint="eastAsia" w:ascii="宋体" w:hAnsi="宋体" w:eastAsia="宋体" w:cs="宋体"/>
          <w:bCs/>
          <w:color w:val="000000" w:themeColor="text1"/>
          <w:sz w:val="24"/>
          <w:szCs w:val="24"/>
          <w:highlight w:val="none"/>
          <w:lang w:eastAsia="zh-CN"/>
          <w14:textFill>
            <w14:solidFill>
              <w14:schemeClr w14:val="tx1"/>
            </w14:solidFill>
          </w14:textFill>
        </w:rPr>
        <w:t>涉水级次氯酸钠溶液的</w:t>
      </w:r>
      <w:r>
        <w:rPr>
          <w:rFonts w:hint="eastAsia" w:ascii="宋体" w:hAnsi="宋体" w:cs="宋体"/>
          <w:color w:val="000000" w:themeColor="text1"/>
          <w:kern w:val="0"/>
          <w:sz w:val="24"/>
          <w:highlight w:val="none"/>
          <w:lang w:eastAsia="zh-CN"/>
          <w14:textFill>
            <w14:solidFill>
              <w14:schemeClr w14:val="tx1"/>
            </w14:solidFill>
          </w14:textFill>
        </w:rPr>
        <w:t>供货，具体详见采购文件的第三部分《招标内容及需求》。</w:t>
      </w:r>
    </w:p>
    <w:p>
      <w:pPr>
        <w:pStyle w:val="164"/>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pStyle w:val="164"/>
        <w:keepNext w:val="0"/>
        <w:keepLines w:val="0"/>
        <w:pageBreakBefore w:val="0"/>
        <w:numPr>
          <w:ilvl w:val="0"/>
          <w:numId w:val="0"/>
        </w:numPr>
        <w:kinsoku/>
        <w:wordWrap/>
        <w:overflowPunct/>
        <w:topLinePunct w:val="0"/>
        <w:autoSpaceDE/>
        <w:autoSpaceDN/>
        <w:bidi w:val="0"/>
        <w:spacing w:line="320" w:lineRule="exact"/>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本</w:t>
      </w:r>
      <w:r>
        <w:rPr>
          <w:rFonts w:hint="eastAsia" w:cs="宋体"/>
          <w:b/>
          <w:bCs/>
          <w:color w:val="000000" w:themeColor="text1"/>
          <w:kern w:val="0"/>
          <w:sz w:val="24"/>
          <w:highlight w:val="none"/>
          <w:lang w:val="en-US" w:eastAsia="zh-CN"/>
          <w14:textFill>
            <w14:solidFill>
              <w14:schemeClr w14:val="tx1"/>
            </w14:solidFill>
          </w14:textFill>
        </w:rPr>
        <w:t>项目两个</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标项依次进行开标，各投标人均可就上述</w:t>
      </w:r>
      <w:r>
        <w:rPr>
          <w:rFonts w:hint="eastAsia" w:cs="宋体"/>
          <w:b/>
          <w:bCs/>
          <w:color w:val="000000" w:themeColor="text1"/>
          <w:kern w:val="0"/>
          <w:sz w:val="24"/>
          <w:highlight w:val="none"/>
          <w:lang w:val="en-US" w:eastAsia="zh-CN"/>
          <w14:textFill>
            <w14:solidFill>
              <w14:schemeClr w14:val="tx1"/>
            </w14:solidFill>
          </w14:textFill>
        </w:rPr>
        <w:t>两</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个标项同时投标</w:t>
      </w:r>
      <w:r>
        <w:rPr>
          <w:rFonts w:hint="eastAsia" w:cs="宋体"/>
          <w:b/>
          <w:bCs/>
          <w:color w:val="000000" w:themeColor="text1"/>
          <w:kern w:val="0"/>
          <w:sz w:val="24"/>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eastAsia" w:ascii="宋体" w:hAnsi="宋体" w:cs="宋体"/>
          <w:color w:val="000000" w:themeColor="text1"/>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合同履行期限</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年，自</w:t>
      </w:r>
      <w:r>
        <w:rPr>
          <w:rFonts w:hint="eastAsia" w:ascii="宋体" w:hAnsi="宋体" w:eastAsia="宋体" w:cs="宋体"/>
          <w:bCs/>
          <w:color w:val="000000" w:themeColor="text1"/>
          <w:sz w:val="24"/>
          <w:szCs w:val="24"/>
          <w:highlight w:val="none"/>
          <w14:textFill>
            <w14:solidFill>
              <w14:schemeClr w14:val="tx1"/>
            </w14:solidFill>
          </w14:textFill>
        </w:rPr>
        <w:t>合同签订之日起</w:t>
      </w:r>
      <w:r>
        <w:rPr>
          <w:rFonts w:hint="eastAsia" w:ascii="宋体" w:hAnsi="宋体" w:eastAsia="宋体" w:cs="宋体"/>
          <w:bCs/>
          <w:color w:val="000000" w:themeColor="text1"/>
          <w:sz w:val="24"/>
          <w:szCs w:val="24"/>
          <w:highlight w:val="none"/>
          <w:lang w:eastAsia="zh-CN"/>
          <w14:textFill>
            <w14:solidFill>
              <w14:schemeClr w14:val="tx1"/>
            </w14:solidFill>
          </w14:textFill>
        </w:rPr>
        <w:t>算</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服务期限内按采购人要求分批次交付，接到采购人送货通知，中标人必须在约定时间内将货送达采购人指定地点。</w:t>
      </w:r>
    </w:p>
    <w:p>
      <w:pPr>
        <w:keepNext w:val="0"/>
        <w:keepLines w:val="0"/>
        <w:pageBreakBefore w:val="0"/>
        <w:widowControl/>
        <w:kinsoku/>
        <w:wordWrap/>
        <w:overflowPunct/>
        <w:topLinePunct w:val="0"/>
        <w:autoSpaceDE/>
        <w:autoSpaceDN/>
        <w:bidi w:val="0"/>
        <w:adjustRightInd w:val="0"/>
        <w:snapToGrid w:val="0"/>
        <w:spacing w:line="320" w:lineRule="exact"/>
        <w:ind w:left="479" w:leftChars="228"/>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（否）接受联合体</w:t>
      </w:r>
      <w:r>
        <w:rPr>
          <w:rFonts w:hint="eastAsia" w:ascii="宋体" w:hAnsi="宋体" w:cs="宋体"/>
          <w:color w:val="000000" w:themeColor="text1"/>
          <w:kern w:val="0"/>
          <w:sz w:val="24"/>
          <w:highlight w:val="none"/>
          <w14:textFill>
            <w14:solidFill>
              <w14:schemeClr w14:val="tx1"/>
            </w14:solidFill>
          </w14:textFill>
        </w:rPr>
        <w:t>投标。</w:t>
      </w:r>
    </w:p>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二、申请人的资格要求：</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2.落实政府采购政策需满足的资格要求：无</w:t>
      </w:r>
      <w:r>
        <w:rPr>
          <w:rFonts w:hint="eastAsia" w:ascii="宋体" w:hAnsi="宋体" w:cs="宋体"/>
          <w:color w:val="000000" w:themeColor="text1"/>
          <w:kern w:val="0"/>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60" w:line="320" w:lineRule="exact"/>
        <w:ind w:left="0" w:right="0" w:firstLine="540"/>
        <w:jc w:val="left"/>
        <w:textAlignment w:val="auto"/>
        <w:outlineLvl w:val="9"/>
        <w:rPr>
          <w:rFonts w:hint="eastAsia" w:ascii="宋体" w:hAnsi="宋体" w:cs="宋体"/>
          <w:i/>
          <w:i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bCs/>
          <w:color w:val="000000" w:themeColor="text1"/>
          <w:kern w:val="0"/>
          <w:sz w:val="24"/>
          <w:highlight w:val="none"/>
          <w14:textFill>
            <w14:solidFill>
              <w14:schemeClr w14:val="tx1"/>
            </w14:solidFill>
          </w14:textFill>
        </w:rPr>
        <w:t>本项目的特定资格要求：</w:t>
      </w:r>
      <w:r>
        <w:rPr>
          <w:rFonts w:hint="eastAsia" w:ascii="宋体" w:hAnsi="宋体" w:cs="宋体"/>
          <w:b/>
          <w:bCs/>
          <w:color w:val="000000" w:themeColor="text1"/>
          <w:kern w:val="0"/>
          <w:sz w:val="24"/>
          <w:highlight w:val="none"/>
          <w:lang w:val="en-US" w:eastAsia="zh-CN"/>
          <w14:textFill>
            <w14:solidFill>
              <w14:schemeClr w14:val="tx1"/>
            </w14:solidFill>
          </w14:textFill>
        </w:rPr>
        <w:t>标项2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投标人具有危险化学品经营许可证</w:t>
      </w:r>
      <w:r>
        <w:rPr>
          <w:rFonts w:hint="eastAsia" w:ascii="宋体" w:hAnsi="宋体" w:cs="宋体"/>
          <w:b/>
          <w:bCs/>
          <w:color w:val="000000" w:themeColor="text1"/>
          <w:kern w:val="0"/>
          <w:sz w:val="24"/>
          <w:highlight w:val="none"/>
          <w14:textFill>
            <w14:solidFill>
              <w14:schemeClr w14:val="tx1"/>
            </w14:solidFill>
          </w14:textFill>
        </w:rPr>
        <w:t>（经营范围含次氯酸钠）</w:t>
      </w:r>
      <w:r>
        <w:rPr>
          <w:rFonts w:hint="eastAsia" w:ascii="宋体" w:hAnsi="宋体" w:eastAsia="宋体" w:cs="宋体"/>
          <w:b/>
          <w:bCs/>
          <w:color w:val="000000" w:themeColor="text1"/>
          <w:kern w:val="0"/>
          <w:sz w:val="24"/>
          <w:highlight w:val="none"/>
          <w14:textFill>
            <w14:solidFill>
              <w14:schemeClr w14:val="tx1"/>
            </w14:solidFill>
          </w14:textFill>
        </w:rPr>
        <w:t>。</w:t>
      </w:r>
      <w:r>
        <w:rPr>
          <w:rFonts w:hint="eastAsia" w:ascii="宋体" w:hAnsi="宋体" w:cs="宋体"/>
          <w:b/>
          <w:bCs/>
          <w:i/>
          <w:i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 </w:t>
      </w:r>
      <w:r>
        <w:rPr>
          <w:rFonts w:hint="eastAsia" w:ascii="宋体" w:hAnsi="宋体" w:cs="宋体"/>
          <w:i/>
          <w:iCs/>
          <w:color w:val="000000" w:themeColor="text1"/>
          <w:kern w:val="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三、获取招标文件</w:t>
      </w:r>
    </w:p>
    <w:p>
      <w:pPr>
        <w:keepNext w:val="0"/>
        <w:keepLines w:val="0"/>
        <w:pageBreakBefore w:val="0"/>
        <w:widowControl/>
        <w:kinsoku/>
        <w:wordWrap/>
        <w:overflowPunct/>
        <w:topLinePunct w:val="0"/>
        <w:autoSpaceDE/>
        <w:autoSpaceDN/>
        <w:bidi w:val="0"/>
        <w:spacing w:line="320" w:lineRule="exact"/>
        <w:ind w:firstLine="480" w:firstLineChars="200"/>
        <w:textAlignment w:val="auto"/>
        <w:rPr>
          <w:rFonts w:hint="eastAsia"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时间：/</w:t>
      </w:r>
      <w:r>
        <w:rPr>
          <w:rFonts w:hint="eastAsia" w:ascii="宋体" w:hAnsi="宋体" w:cs="宋体"/>
          <w:b w:val="0"/>
          <w:bCs w:val="0"/>
          <w:color w:val="000000" w:themeColor="text1"/>
          <w:kern w:val="0"/>
          <w:sz w:val="24"/>
          <w:highlight w:val="none"/>
          <w14:textFill>
            <w14:solidFill>
              <w14:schemeClr w14:val="tx1"/>
            </w14:solidFill>
          </w14:textFill>
        </w:rPr>
        <w:t>至</w:t>
      </w:r>
      <w:r>
        <w:rPr>
          <w:rFonts w:hint="eastAsia" w:ascii="宋体" w:hAnsi="宋体" w:cs="宋体"/>
          <w:b/>
          <w:bCs/>
          <w:color w:val="000000" w:themeColor="text1"/>
          <w:sz w:val="24"/>
          <w:highlight w:val="none"/>
          <w:lang w:val="en-US" w:eastAsia="zh-CN"/>
          <w14:textFill>
            <w14:solidFill>
              <w14:schemeClr w14:val="tx1"/>
            </w14:solidFill>
          </w14:textFill>
        </w:rPr>
        <w:t>2025年2月13日</w:t>
      </w:r>
      <w:r>
        <w:rPr>
          <w:rFonts w:hint="eastAsia" w:ascii="宋体" w:hAnsi="宋体" w:cs="宋体"/>
          <w:b w:val="0"/>
          <w:bCs w:val="0"/>
          <w:color w:val="000000" w:themeColor="text1"/>
          <w:kern w:val="0"/>
          <w:sz w:val="24"/>
          <w:highlight w:val="none"/>
          <w14:textFill>
            <w14:solidFill>
              <w14:schemeClr w14:val="tx1"/>
            </w14:solidFill>
          </w14:textFill>
        </w:rPr>
        <w:t>，每天上午00:00至12:00，下午12:00至23:59（北京时间，线上获取法定节假日均可，线下获取文件法定节假日除外）。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spacing w:line="320" w:lineRule="exact"/>
        <w:ind w:firstLine="480" w:firstLineChars="200"/>
        <w:textAlignment w:val="auto"/>
        <w:rPr>
          <w:rFonts w:hint="eastAsia" w:ascii="宋体" w:hAnsi="宋体" w:eastAsia="宋体" w:cs="宋体"/>
          <w:b w:val="0"/>
          <w:bCs w:val="0"/>
          <w:color w:val="000000" w:themeColor="text1"/>
          <w:kern w:val="0"/>
          <w:sz w:val="24"/>
          <w:highlight w:val="none"/>
          <w:lang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地点（网址）：</w:t>
      </w:r>
      <w:r>
        <w:rPr>
          <w:rFonts w:hint="eastAsia" w:ascii="宋体" w:hAnsi="宋体" w:cs="宋体"/>
          <w:b w:val="0"/>
          <w:bCs w:val="0"/>
          <w:color w:val="000000" w:themeColor="text1"/>
          <w:kern w:val="0"/>
          <w:sz w:val="24"/>
          <w:highlight w:val="none"/>
          <w:lang w:eastAsia="zh-CN"/>
          <w14:textFill>
            <w14:solidFill>
              <w14:schemeClr w14:val="tx1"/>
            </w14:solidFill>
          </w14:textFill>
        </w:rPr>
        <w:t>乐采云平台（www.lecaiyun.com）</w:t>
      </w:r>
    </w:p>
    <w:p>
      <w:pPr>
        <w:keepNext w:val="0"/>
        <w:keepLines w:val="0"/>
        <w:pageBreakBefore w:val="0"/>
        <w:widowControl/>
        <w:kinsoku/>
        <w:wordWrap/>
        <w:overflowPunct/>
        <w:topLinePunct w:val="0"/>
        <w:autoSpaceDE/>
        <w:autoSpaceDN/>
        <w:bidi w:val="0"/>
        <w:spacing w:line="320" w:lineRule="exact"/>
        <w:ind w:firstLine="480" w:firstLineChars="200"/>
        <w:textAlignment w:val="auto"/>
        <w:rPr>
          <w:rFonts w:hint="eastAsia"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方式：自行下载</w:t>
      </w:r>
    </w:p>
    <w:p>
      <w:pPr>
        <w:keepNext w:val="0"/>
        <w:keepLines w:val="0"/>
        <w:pageBreakBefore w:val="0"/>
        <w:widowControl/>
        <w:kinsoku/>
        <w:wordWrap/>
        <w:overflowPunct/>
        <w:topLinePunct w:val="0"/>
        <w:autoSpaceDE/>
        <w:autoSpaceDN/>
        <w:bidi w:val="0"/>
        <w:spacing w:line="320" w:lineRule="exact"/>
        <w:ind w:firstLine="480" w:firstLineChars="200"/>
        <w:textAlignment w:val="auto"/>
        <w:rPr>
          <w:rFonts w:hint="eastAsia"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售价（元）：0 </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四、投标保证金</w:t>
      </w:r>
    </w:p>
    <w:p>
      <w:pPr>
        <w:keepNext w:val="0"/>
        <w:keepLines w:val="0"/>
        <w:pageBreakBefore w:val="0"/>
        <w:kinsoku/>
        <w:wordWrap/>
        <w:overflowPunct/>
        <w:topLinePunct w:val="0"/>
        <w:autoSpaceDE/>
        <w:autoSpaceDN/>
        <w:bidi w:val="0"/>
        <w:snapToGrid w:val="0"/>
        <w:spacing w:line="320" w:lineRule="exact"/>
        <w:ind w:firstLine="480" w:firstLineChars="200"/>
        <w:textAlignment w:val="auto"/>
        <w:rPr>
          <w:rFonts w:hint="eastAsia" w:ascii="宋体" w:hAnsi="宋体" w:cs="Arial"/>
          <w:b w:val="0"/>
          <w:bCs w:val="0"/>
          <w:color w:val="000000" w:themeColor="text1"/>
          <w:sz w:val="24"/>
          <w:highlight w:val="none"/>
          <w14:textFill>
            <w14:solidFill>
              <w14:schemeClr w14:val="tx1"/>
            </w14:solidFill>
          </w14:textFill>
        </w:rPr>
      </w:pPr>
      <w:r>
        <w:rPr>
          <w:rFonts w:hint="eastAsia" w:ascii="宋体" w:hAnsi="宋体" w:cs="Arial"/>
          <w:b w:val="0"/>
          <w:bCs w:val="0"/>
          <w:color w:val="000000" w:themeColor="text1"/>
          <w:sz w:val="24"/>
          <w:highlight w:val="none"/>
          <w14:textFill>
            <w14:solidFill>
              <w14:schemeClr w14:val="tx1"/>
            </w14:solidFill>
          </w14:textFill>
        </w:rPr>
        <w:t>投标保证金人民币：</w:t>
      </w:r>
      <w:r>
        <w:rPr>
          <w:rFonts w:hint="eastAsia" w:ascii="宋体" w:hAnsi="宋体" w:cs="宋体"/>
          <w:color w:val="000000" w:themeColor="text1"/>
          <w:sz w:val="24"/>
          <w:highlight w:val="none"/>
          <w:lang w:eastAsia="zh-CN"/>
          <w14:textFill>
            <w14:solidFill>
              <w14:schemeClr w14:val="tx1"/>
            </w14:solidFill>
          </w14:textFill>
        </w:rPr>
        <w:t>标项1：24000元；标项2：37800元</w:t>
      </w:r>
      <w:r>
        <w:rPr>
          <w:rFonts w:hint="eastAsia" w:ascii="宋体" w:hAnsi="宋体" w:cs="Arial"/>
          <w:b w:val="0"/>
          <w:bCs w:val="0"/>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2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投标人必须在</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2025年2月13日14：30时</w:t>
      </w:r>
      <w:r>
        <w:rPr>
          <w:rFonts w:hint="eastAsia" w:ascii="宋体" w:hAnsi="宋体" w:cs="宋体"/>
          <w:color w:val="000000" w:themeColor="text1"/>
          <w:kern w:val="0"/>
          <w:sz w:val="24"/>
          <w:highlight w:val="none"/>
          <w14:textFill>
            <w14:solidFill>
              <w14:schemeClr w14:val="tx1"/>
            </w14:solidFill>
          </w14:textFill>
        </w:rPr>
        <w:t>（时间）前将投标保证金以银行电汇、转账、</w:t>
      </w:r>
      <w:r>
        <w:rPr>
          <w:rFonts w:hint="eastAsia" w:ascii="宋体" w:hAnsi="宋体" w:cs="宋体"/>
          <w:color w:val="000000" w:themeColor="text1"/>
          <w:kern w:val="0"/>
          <w:sz w:val="24"/>
          <w:highlight w:val="none"/>
          <w:lang w:eastAsia="zh-CN"/>
          <w14:textFill>
            <w14:solidFill>
              <w14:schemeClr w14:val="tx1"/>
            </w14:solidFill>
          </w14:textFill>
        </w:rPr>
        <w:t>保函</w:t>
      </w:r>
      <w:r>
        <w:rPr>
          <w:rFonts w:hint="eastAsia" w:ascii="宋体" w:hAnsi="宋体" w:cs="宋体"/>
          <w:color w:val="000000" w:themeColor="text1"/>
          <w:kern w:val="0"/>
          <w:sz w:val="24"/>
          <w:highlight w:val="none"/>
          <w14:textFill>
            <w14:solidFill>
              <w14:schemeClr w14:val="tx1"/>
            </w14:solidFill>
          </w14:textFill>
        </w:rPr>
        <w:t>等形式以投标供应商为缴款单位，交至：</w:t>
      </w:r>
    </w:p>
    <w:p>
      <w:pPr>
        <w:keepNext w:val="0"/>
        <w:keepLines w:val="0"/>
        <w:pageBreakBefore w:val="0"/>
        <w:kinsoku/>
        <w:wordWrap/>
        <w:overflowPunct/>
        <w:topLinePunct w:val="0"/>
        <w:autoSpaceDE/>
        <w:autoSpaceDN/>
        <w:bidi w:val="0"/>
        <w:snapToGrid w:val="0"/>
        <w:spacing w:line="320" w:lineRule="exact"/>
        <w:ind w:firstLine="540" w:firstLineChars="22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开户银行：中国工商银行股份有限公司浦江广场支行</w:t>
      </w:r>
    </w:p>
    <w:p>
      <w:pPr>
        <w:keepNext w:val="0"/>
        <w:keepLines w:val="0"/>
        <w:pageBreakBefore w:val="0"/>
        <w:kinsoku/>
        <w:wordWrap/>
        <w:overflowPunct/>
        <w:topLinePunct w:val="0"/>
        <w:autoSpaceDE/>
        <w:autoSpaceDN/>
        <w:bidi w:val="0"/>
        <w:snapToGrid w:val="0"/>
        <w:spacing w:line="320" w:lineRule="exact"/>
        <w:ind w:firstLine="540" w:firstLineChars="22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开户名称：浦江县产权交易有限公司</w:t>
      </w:r>
    </w:p>
    <w:p>
      <w:pPr>
        <w:keepNext w:val="0"/>
        <w:keepLines w:val="0"/>
        <w:pageBreakBefore w:val="0"/>
        <w:kinsoku/>
        <w:wordWrap/>
        <w:overflowPunct/>
        <w:topLinePunct w:val="0"/>
        <w:autoSpaceDE/>
        <w:autoSpaceDN/>
        <w:bidi w:val="0"/>
        <w:snapToGrid w:val="0"/>
        <w:spacing w:line="320" w:lineRule="exact"/>
        <w:ind w:firstLine="540" w:firstLineChars="22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 xml:space="preserve">    号：1208070509000033875</w:t>
      </w:r>
    </w:p>
    <w:p>
      <w:pPr>
        <w:keepNext w:val="0"/>
        <w:keepLines w:val="0"/>
        <w:pageBreakBefore w:val="0"/>
        <w:kinsoku/>
        <w:wordWrap/>
        <w:overflowPunct/>
        <w:topLinePunct w:val="0"/>
        <w:autoSpaceDE/>
        <w:autoSpaceDN/>
        <w:bidi w:val="0"/>
        <w:spacing w:line="320" w:lineRule="exact"/>
        <w:ind w:firstLine="482" w:firstLineChars="200"/>
        <w:textAlignment w:val="auto"/>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lang w:eastAsia="zh-CN"/>
          <w14:textFill>
            <w14:solidFill>
              <w14:schemeClr w14:val="tx1"/>
            </w14:solidFill>
          </w14:textFill>
        </w:rPr>
        <w:t>注：</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投标</w:t>
      </w:r>
      <w:r>
        <w:rPr>
          <w:rFonts w:hint="eastAsia" w:ascii="宋体" w:hAnsi="宋体" w:eastAsia="宋体" w:cs="宋体"/>
          <w:b/>
          <w:bCs/>
          <w:color w:val="000000" w:themeColor="text1"/>
          <w:sz w:val="24"/>
          <w:szCs w:val="24"/>
          <w:highlight w:val="none"/>
          <w:u w:val="single"/>
          <w14:textFill>
            <w14:solidFill>
              <w14:schemeClr w14:val="tx1"/>
            </w14:solidFill>
          </w14:textFill>
        </w:rPr>
        <w:t>保证金汇入时请在“用途或附言”中注明“</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标项1聚合氯化铝”、“标项2次氯酸钠”</w:t>
      </w:r>
      <w:r>
        <w:rPr>
          <w:rFonts w:hint="eastAsia" w:ascii="宋体" w:hAnsi="宋体" w:eastAsia="宋体" w:cs="宋体"/>
          <w:b/>
          <w:bCs/>
          <w:color w:val="000000" w:themeColor="text1"/>
          <w:sz w:val="24"/>
          <w:szCs w:val="24"/>
          <w:highlight w:val="none"/>
          <w:u w:val="single"/>
          <w14:textFill>
            <w14:solidFill>
              <w14:schemeClr w14:val="tx1"/>
            </w14:solidFill>
          </w14:textFill>
        </w:rPr>
        <w:t>保证金</w:t>
      </w:r>
      <w:r>
        <w:rPr>
          <w:rFonts w:hint="eastAsia" w:ascii="宋体" w:hAnsi="宋体" w:eastAsia="宋体" w:cs="宋体"/>
          <w:b/>
          <w:bCs/>
          <w:color w:val="000000" w:themeColor="text1"/>
          <w:sz w:val="24"/>
          <w:szCs w:val="24"/>
          <w:highlight w:val="none"/>
          <w:u w:val="none"/>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spacing w:line="320" w:lineRule="exact"/>
        <w:ind w:firstLine="482" w:firstLineChars="200"/>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如使用保函形式的，保函应在4个月内保持有效；被保险人（受益人）为采购代理机构或采购人</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spacing w:line="320" w:lineRule="exact"/>
        <w:ind w:firstLine="482"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五、提交投标文件截止时间、开标时间和地点</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提交投标文件截止时间：</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2025年2月13日14：30</w:t>
      </w:r>
      <w:r>
        <w:rPr>
          <w:rFonts w:hint="eastAsia" w:ascii="宋体" w:hAnsi="宋体" w:cs="宋体"/>
          <w:color w:val="000000" w:themeColor="text1"/>
          <w:kern w:val="0"/>
          <w:sz w:val="24"/>
          <w:highlight w:val="none"/>
          <w14:textFill>
            <w14:solidFill>
              <w14:schemeClr w14:val="tx1"/>
            </w14:solidFill>
          </w14:textFill>
        </w:rPr>
        <w:t>（北京时间）</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投标地点（网址）：</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请登录</w:t>
      </w:r>
      <w:r>
        <w:rPr>
          <w:rFonts w:hint="eastAsia" w:ascii="宋体" w:hAnsi="宋体" w:cs="宋体"/>
          <w:color w:val="000000" w:themeColor="text1"/>
          <w:kern w:val="0"/>
          <w:sz w:val="24"/>
          <w:highlight w:val="none"/>
          <w:u w:val="single"/>
          <w:lang w:eastAsia="zh-CN"/>
          <w14:textFill>
            <w14:solidFill>
              <w14:schemeClr w14:val="tx1"/>
            </w14:solidFill>
          </w14:textFill>
        </w:rPr>
        <w:t>乐采云</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投标客户端投标</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开标时间：</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2025年2月13日14：30</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北京时间）</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开标地点（网址）：</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浦江县人民东路83号金华市公共资源交易中心浦江县分中心</w:t>
      </w:r>
    </w:p>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六、公告期限</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自本公告发布之日起5个工作日。</w:t>
      </w:r>
    </w:p>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七、其他补充事宜</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3.其他事项</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（1）本项目非专门面向中小企业采购的项目。</w:t>
      </w:r>
    </w:p>
    <w:p>
      <w:pPr>
        <w:keepNext w:val="0"/>
        <w:keepLines w:val="0"/>
        <w:pageBreakBefore w:val="0"/>
        <w:widowControl/>
        <w:kinsoku/>
        <w:wordWrap/>
        <w:overflowPunct/>
        <w:topLinePunct w:val="0"/>
        <w:autoSpaceDE/>
        <w:autoSpaceDN/>
        <w:bidi w:val="0"/>
        <w:spacing w:line="32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项目需要落实的政府采购政策：《政府采购促进中小企业发展管理办法》（财库[2020]46号文件）、《关于促进残疾人就业政府采购政策的通知》（财库〔2017〕141号）、《关于政府采购支持监狱企业发展有关问题的通知》（财库[2014]68号）、《关于调整优化节能产品环境标志产品政府采购执行机制的通知》（财库[2019]9号）。</w:t>
      </w:r>
    </w:p>
    <w:p>
      <w:pPr>
        <w:keepNext w:val="0"/>
        <w:keepLines w:val="0"/>
        <w:pageBreakBefore w:val="0"/>
        <w:widowControl/>
        <w:kinsoku/>
        <w:wordWrap/>
        <w:overflowPunct/>
        <w:topLinePunct w:val="0"/>
        <w:autoSpaceDE/>
        <w:autoSpaceDN/>
        <w:bidi w:val="0"/>
        <w:spacing w:line="320" w:lineRule="exact"/>
        <w:ind w:firstLine="384"/>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（3）本项目采取电子招投标，电子招投标有关事项说明：</w:t>
      </w:r>
    </w:p>
    <w:p>
      <w:pPr>
        <w:keepNext w:val="0"/>
        <w:keepLines w:val="0"/>
        <w:pageBreakBefore w:val="0"/>
        <w:widowControl/>
        <w:kinsoku/>
        <w:wordWrap/>
        <w:overflowPunct/>
        <w:topLinePunct w:val="0"/>
        <w:autoSpaceDE/>
        <w:autoSpaceDN/>
        <w:bidi w:val="0"/>
        <w:spacing w:line="320" w:lineRule="exact"/>
        <w:ind w:firstLine="384"/>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A.首次参加投标的单位通过“</w:t>
      </w:r>
      <w:r>
        <w:rPr>
          <w:rFonts w:hint="eastAsia" w:ascii="宋体" w:hAnsi="宋体" w:cs="宋体"/>
          <w:color w:val="000000" w:themeColor="text1"/>
          <w:kern w:val="0"/>
          <w:sz w:val="24"/>
          <w:highlight w:val="none"/>
          <w:lang w:eastAsia="zh-CN"/>
          <w14:textFill>
            <w14:solidFill>
              <w14:schemeClr w14:val="tx1"/>
            </w14:solidFill>
          </w14:textFill>
        </w:rPr>
        <w:t>乐采云平台</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www.lecaiyun.com</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入驻中心</w:t>
      </w:r>
      <w:r>
        <w:rPr>
          <w:rFonts w:hint="eastAsia" w:ascii="宋体" w:hAnsi="宋体" w:cs="宋体"/>
          <w:color w:val="000000" w:themeColor="text1"/>
          <w:kern w:val="0"/>
          <w:sz w:val="24"/>
          <w:highlight w:val="none"/>
          <w14:textFill>
            <w14:solidFill>
              <w14:schemeClr w14:val="tx1"/>
            </w14:solidFill>
          </w14:textFill>
        </w:rPr>
        <w:t>”进行账户注册，注册完毕待审核成功成为</w:t>
      </w:r>
      <w:r>
        <w:rPr>
          <w:rFonts w:hint="eastAsia" w:ascii="宋体" w:hAnsi="宋体" w:cs="宋体"/>
          <w:color w:val="000000" w:themeColor="text1"/>
          <w:kern w:val="0"/>
          <w:sz w:val="24"/>
          <w:highlight w:val="none"/>
          <w:lang w:eastAsia="zh-CN"/>
          <w14:textFill>
            <w14:solidFill>
              <w14:schemeClr w14:val="tx1"/>
            </w14:solidFill>
          </w14:textFill>
        </w:rPr>
        <w:t>乐采云平台</w:t>
      </w:r>
      <w:r>
        <w:rPr>
          <w:rFonts w:hint="eastAsia" w:ascii="宋体" w:hAnsi="宋体" w:cs="宋体"/>
          <w:color w:val="000000" w:themeColor="text1"/>
          <w:kern w:val="0"/>
          <w:sz w:val="24"/>
          <w:highlight w:val="none"/>
          <w14:textFill>
            <w14:solidFill>
              <w14:schemeClr w14:val="tx1"/>
            </w14:solidFill>
          </w14:textFill>
        </w:rPr>
        <w:t>供应商后方可登录获取，注册咨询电话：</w:t>
      </w:r>
      <w:r>
        <w:rPr>
          <w:rFonts w:hint="eastAsia" w:ascii="宋体" w:hAnsi="宋体" w:cs="宋体"/>
          <w:color w:val="000000" w:themeColor="text1"/>
          <w:kern w:val="0"/>
          <w:sz w:val="24"/>
          <w:highlight w:val="none"/>
          <w:lang w:eastAsia="zh-CN"/>
          <w14:textFill>
            <w14:solidFill>
              <w14:schemeClr w14:val="tx1"/>
            </w14:solidFill>
          </w14:textFill>
        </w:rPr>
        <w:t>95763</w:t>
      </w:r>
      <w:r>
        <w:rPr>
          <w:rFonts w:hint="eastAsia" w:ascii="宋体" w:hAnsi="宋体" w:cs="宋体"/>
          <w:color w:val="000000" w:themeColor="text1"/>
          <w:kern w:val="0"/>
          <w:sz w:val="24"/>
          <w:highlight w:val="none"/>
          <w14:textFill>
            <w14:solidFill>
              <w14:schemeClr w14:val="tx1"/>
            </w14:solidFill>
          </w14:textFill>
        </w:rPr>
        <w:t>。因未注册入库造成无法投标或投标失败等后果由供应商自行承担。</w:t>
      </w:r>
    </w:p>
    <w:p>
      <w:pPr>
        <w:keepNext w:val="0"/>
        <w:keepLines w:val="0"/>
        <w:pageBreakBefore w:val="0"/>
        <w:widowControl/>
        <w:kinsoku/>
        <w:wordWrap/>
        <w:overflowPunct/>
        <w:topLinePunct w:val="0"/>
        <w:autoSpaceDE/>
        <w:autoSpaceDN/>
        <w:bidi w:val="0"/>
        <w:spacing w:line="320" w:lineRule="exact"/>
        <w:ind w:firstLine="384"/>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B.投标人须申领CA，相关操作可参考“浙江政府采购网-下载专区-电子交易客户端-CA驱动和申领流程”。</w:t>
      </w:r>
      <w:r>
        <w:rPr>
          <w:rFonts w:hint="eastAsia" w:ascii="宋体" w:hAnsi="宋体" w:cs="宋体"/>
          <w:b/>
          <w:bCs/>
          <w:color w:val="000000" w:themeColor="text1"/>
          <w:kern w:val="0"/>
          <w:sz w:val="24"/>
          <w:highlight w:val="none"/>
          <w14:textFill>
            <w14:solidFill>
              <w14:schemeClr w14:val="tx1"/>
            </w14:solidFill>
          </w14:textFill>
        </w:rPr>
        <w:t>CA数字证书办理预计一周左右，建议各投标人抓紧时间办理</w:t>
      </w:r>
      <w:r>
        <w:rPr>
          <w:rFonts w:hint="eastAsia" w:ascii="宋体" w:hAnsi="宋体" w:cs="宋体"/>
          <w:color w:val="000000" w:themeColor="text1"/>
          <w:kern w:val="0"/>
          <w:sz w:val="24"/>
          <w:highlight w:val="none"/>
          <w14:textFill>
            <w14:solidFill>
              <w14:schemeClr w14:val="tx1"/>
            </w14:solidFill>
          </w14:textFill>
        </w:rPr>
        <w:t>。因未办理CA数字证书造成无法投标或投标失败等后果由供应商自行承担。</w:t>
      </w:r>
    </w:p>
    <w:p>
      <w:pPr>
        <w:keepNext w:val="0"/>
        <w:keepLines w:val="0"/>
        <w:pageBreakBefore w:val="0"/>
        <w:widowControl/>
        <w:kinsoku/>
        <w:wordWrap/>
        <w:overflowPunct/>
        <w:topLinePunct w:val="0"/>
        <w:autoSpaceDE/>
        <w:autoSpaceDN/>
        <w:bidi w:val="0"/>
        <w:spacing w:line="320" w:lineRule="exact"/>
        <w:ind w:firstLine="384"/>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C.投标人使用账号或CA登录</w:t>
      </w:r>
      <w:r>
        <w:rPr>
          <w:rFonts w:hint="eastAsia" w:ascii="宋体" w:hAnsi="宋体" w:cs="宋体"/>
          <w:color w:val="000000" w:themeColor="text1"/>
          <w:kern w:val="0"/>
          <w:sz w:val="24"/>
          <w:highlight w:val="none"/>
          <w:lang w:eastAsia="zh-CN"/>
          <w14:textFill>
            <w14:solidFill>
              <w14:schemeClr w14:val="tx1"/>
            </w14:solidFill>
          </w14:textFill>
        </w:rPr>
        <w:t>乐采云平台</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www.lecaiyun.com</w:t>
      </w:r>
      <w:r>
        <w:rPr>
          <w:rFonts w:hint="eastAsia" w:ascii="宋体" w:hAnsi="宋体" w:cs="宋体"/>
          <w:color w:val="000000" w:themeColor="text1"/>
          <w:kern w:val="0"/>
          <w:sz w:val="24"/>
          <w:highlight w:val="none"/>
          <w14:textFill>
            <w14:solidFill>
              <w14:schemeClr w14:val="tx1"/>
            </w14:solidFill>
          </w14:textFill>
        </w:rPr>
        <w:t>）进入</w:t>
      </w:r>
      <w:r>
        <w:rPr>
          <w:rFonts w:hint="eastAsia" w:ascii="宋体" w:hAnsi="宋体" w:cs="宋体"/>
          <w:color w:val="000000" w:themeColor="text1"/>
          <w:kern w:val="0"/>
          <w:sz w:val="24"/>
          <w:highlight w:val="none"/>
          <w:lang w:eastAsia="zh-CN"/>
          <w14:textFill>
            <w14:solidFill>
              <w14:schemeClr w14:val="tx1"/>
            </w14:solidFill>
          </w14:textFill>
        </w:rPr>
        <w:t>乐采云</w:t>
      </w:r>
      <w:r>
        <w:rPr>
          <w:rFonts w:hint="eastAsia" w:ascii="宋体" w:hAnsi="宋体" w:cs="宋体"/>
          <w:color w:val="000000" w:themeColor="text1"/>
          <w:kern w:val="0"/>
          <w:sz w:val="24"/>
          <w:highlight w:val="none"/>
          <w14:textFill>
            <w14:solidFill>
              <w14:schemeClr w14:val="tx1"/>
            </w14:solidFill>
          </w14:textFill>
        </w:rPr>
        <w:t>系统“项目采购”模块“获取采购文件”菜单中选择项目，网上获取采购文件。通过本公告下方“游客，浏览采购文件”下载的采购文件仅供浏览。</w:t>
      </w:r>
    </w:p>
    <w:p>
      <w:pPr>
        <w:keepNext w:val="0"/>
        <w:keepLines w:val="0"/>
        <w:pageBreakBefore w:val="0"/>
        <w:widowControl/>
        <w:kinsoku/>
        <w:wordWrap/>
        <w:overflowPunct/>
        <w:topLinePunct w:val="0"/>
        <w:autoSpaceDE/>
        <w:autoSpaceDN/>
        <w:bidi w:val="0"/>
        <w:spacing w:line="320" w:lineRule="exact"/>
        <w:ind w:firstLine="384"/>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D.本项目通过“</w:t>
      </w:r>
      <w:r>
        <w:rPr>
          <w:rFonts w:hint="eastAsia" w:ascii="宋体" w:hAnsi="宋体" w:cs="宋体"/>
          <w:color w:val="000000" w:themeColor="text1"/>
          <w:kern w:val="0"/>
          <w:sz w:val="24"/>
          <w:highlight w:val="none"/>
          <w:lang w:eastAsia="zh-CN"/>
          <w14:textFill>
            <w14:solidFill>
              <w14:schemeClr w14:val="tx1"/>
            </w14:solidFill>
          </w14:textFill>
        </w:rPr>
        <w:t>乐采云平台</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www.lecaiyun.com</w:t>
      </w:r>
      <w:r>
        <w:rPr>
          <w:rFonts w:hint="eastAsia" w:ascii="宋体" w:hAnsi="宋体" w:cs="宋体"/>
          <w:color w:val="000000" w:themeColor="text1"/>
          <w:kern w:val="0"/>
          <w:sz w:val="24"/>
          <w:highlight w:val="none"/>
          <w14:textFill>
            <w14:solidFill>
              <w14:schemeClr w14:val="tx1"/>
            </w14:solidFill>
          </w14:textFill>
        </w:rPr>
        <w:t>）”实行电子投标，不接受纸质投标文件，投标人须安装客户端软件，并按照采购文件和电子交易平台的要求制作投标文件。</w:t>
      </w:r>
    </w:p>
    <w:p>
      <w:pPr>
        <w:keepNext w:val="0"/>
        <w:keepLines w:val="0"/>
        <w:pageBreakBefore w:val="0"/>
        <w:widowControl/>
        <w:kinsoku/>
        <w:wordWrap/>
        <w:overflowPunct/>
        <w:topLinePunct w:val="0"/>
        <w:autoSpaceDE/>
        <w:autoSpaceDN/>
        <w:bidi w:val="0"/>
        <w:spacing w:line="320" w:lineRule="exact"/>
        <w:ind w:firstLine="384"/>
        <w:jc w:val="left"/>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客户端软件下载方式：投标人可通过“乐采云-投标客户端”进行下载</w:t>
      </w:r>
      <w:r>
        <w:rPr>
          <w:rFonts w:hint="eastAsia" w:ascii="宋体" w:hAnsi="宋体" w:cs="宋体"/>
          <w:color w:val="000000" w:themeColor="text1"/>
          <w:kern w:val="0"/>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20" w:lineRule="exact"/>
        <w:ind w:firstLine="480" w:firstLineChars="200"/>
        <w:textAlignment w:val="auto"/>
        <w:rPr>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320" w:lineRule="exact"/>
        <w:ind w:firstLine="420"/>
        <w:textAlignment w:val="auto"/>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八</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凡对本次招标提出询问、质疑、投诉，请按以下方式联系</w:t>
      </w:r>
      <w:r>
        <w:rPr>
          <w:b/>
          <w:color w:val="000000" w:themeColor="text1"/>
          <w:sz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20" w:lineRule="exact"/>
        <w:ind w:firstLine="361" w:firstLineChars="150"/>
        <w:jc w:val="left"/>
        <w:textAlignment w:val="auto"/>
        <w:rPr>
          <w:b/>
          <w:bCs/>
          <w:color w:val="000000" w:themeColor="text1"/>
          <w:sz w:val="24"/>
          <w:szCs w:val="20"/>
          <w:highlight w:val="none"/>
          <w14:textFill>
            <w14:solidFill>
              <w14:schemeClr w14:val="tx1"/>
            </w14:solidFill>
          </w14:textFill>
        </w:rPr>
      </w:pPr>
      <w:r>
        <w:rPr>
          <w:b/>
          <w:bCs/>
          <w:color w:val="000000" w:themeColor="text1"/>
          <w:sz w:val="24"/>
          <w:szCs w:val="20"/>
          <w:highlight w:val="none"/>
          <w14:textFill>
            <w14:solidFill>
              <w14:schemeClr w14:val="tx1"/>
            </w14:solidFill>
          </w14:textFill>
        </w:rPr>
        <w:t>1.采购人信息</w:t>
      </w:r>
      <w:r>
        <w:rPr>
          <w:rFonts w:hint="eastAsia"/>
          <w:b/>
          <w:bCs/>
          <w:color w:val="000000" w:themeColor="text1"/>
          <w:sz w:val="24"/>
          <w:szCs w:val="20"/>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名 </w:t>
      </w:r>
      <w:r>
        <w:rPr>
          <w:rFonts w:hint="eastAsia" w:cs="Times New Roman"/>
          <w:color w:val="000000" w:themeColor="text1"/>
          <w:sz w:val="24"/>
          <w:szCs w:val="20"/>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0"/>
          <w:highlight w:val="none"/>
          <w14:textFill>
            <w14:solidFill>
              <w14:schemeClr w14:val="tx1"/>
            </w14:solidFill>
          </w14:textFill>
        </w:rPr>
        <w:t>  称：</w:t>
      </w:r>
      <w:r>
        <w:rPr>
          <w:rFonts w:hint="eastAsia" w:cs="Times New Roman"/>
          <w:color w:val="000000" w:themeColor="text1"/>
          <w:sz w:val="24"/>
          <w:szCs w:val="20"/>
          <w:highlight w:val="none"/>
          <w:lang w:eastAsia="zh-CN"/>
          <w14:textFill>
            <w14:solidFill>
              <w14:schemeClr w14:val="tx1"/>
            </w14:solidFill>
          </w14:textFill>
        </w:rPr>
        <w:t>浦江县城乡自来水有限公司</w:t>
      </w:r>
      <w:r>
        <w:rPr>
          <w:rFonts w:hint="eastAsia" w:ascii="Times New Roman" w:hAnsi="Times New Roman" w:eastAsia="宋体" w:cs="Times New Roman"/>
          <w:color w:val="000000" w:themeColor="text1"/>
          <w:sz w:val="24"/>
          <w:szCs w:val="20"/>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default" w:ascii="Times New Roman" w:hAnsi="Times New Roman" w:eastAsia="宋体" w:cs="Times New Roman"/>
          <w:color w:val="000000" w:themeColor="text1"/>
          <w:sz w:val="24"/>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地  </w:t>
      </w:r>
      <w:r>
        <w:rPr>
          <w:rFonts w:hint="eastAsia" w:cs="Times New Roman"/>
          <w:color w:val="000000" w:themeColor="text1"/>
          <w:sz w:val="24"/>
          <w:szCs w:val="20"/>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0"/>
          <w:highlight w:val="none"/>
          <w14:textFill>
            <w14:solidFill>
              <w14:schemeClr w14:val="tx1"/>
            </w14:solidFill>
          </w14:textFill>
        </w:rPr>
        <w:t xml:space="preserve"> 址：</w:t>
      </w:r>
      <w:r>
        <w:rPr>
          <w:rFonts w:hint="eastAsia" w:cs="Times New Roman"/>
          <w:color w:val="000000" w:themeColor="text1"/>
          <w:sz w:val="24"/>
          <w:szCs w:val="20"/>
          <w:highlight w:val="none"/>
          <w:lang w:eastAsia="zh-CN"/>
          <w14:textFill>
            <w14:solidFill>
              <w14:schemeClr w14:val="tx1"/>
            </w14:solidFill>
          </w14:textFill>
        </w:rPr>
        <w:t>浦江县仙华路286号</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eastAsia" w:ascii="Times New Roman" w:hAnsi="Times New Roman" w:eastAsia="宋体" w:cs="Times New Roman"/>
          <w:color w:val="000000" w:themeColor="text1"/>
          <w:sz w:val="24"/>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项目联系人（询问）：</w:t>
      </w:r>
      <w:r>
        <w:rPr>
          <w:rFonts w:hint="eastAsia" w:ascii="Times New Roman" w:hAnsi="Times New Roman" w:eastAsia="宋体" w:cs="Times New Roman"/>
          <w:color w:val="000000" w:themeColor="text1"/>
          <w:sz w:val="24"/>
          <w:szCs w:val="20"/>
          <w:highlight w:val="none"/>
          <w:lang w:eastAsia="zh-CN"/>
          <w14:textFill>
            <w14:solidFill>
              <w14:schemeClr w14:val="tx1"/>
            </w14:solidFill>
          </w14:textFill>
        </w:rPr>
        <w:t>张诚杰</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color w:val="000000" w:themeColor="text1"/>
          <w:sz w:val="24"/>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 </w:t>
      </w:r>
      <w:r>
        <w:rPr>
          <w:rFonts w:hint="eastAsia" w:ascii="Times New Roman" w:hAnsi="Times New Roman" w:eastAsia="宋体" w:cs="Times New Roman"/>
          <w:color w:val="000000" w:themeColor="text1"/>
          <w:sz w:val="24"/>
          <w:szCs w:val="20"/>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0"/>
          <w:highlight w:val="none"/>
          <w14:textFill>
            <w14:solidFill>
              <w14:schemeClr w14:val="tx1"/>
            </w14:solidFill>
          </w14:textFill>
        </w:rPr>
        <w:t>项目联系方式（询问）：</w:t>
      </w:r>
      <w:r>
        <w:rPr>
          <w:rFonts w:hint="eastAsia" w:ascii="Times New Roman" w:hAnsi="Times New Roman" w:eastAsia="宋体" w:cs="Times New Roman"/>
          <w:color w:val="000000" w:themeColor="text1"/>
          <w:sz w:val="24"/>
          <w:szCs w:val="20"/>
          <w:highlight w:val="none"/>
          <w:lang w:val="en-US" w:eastAsia="zh-CN"/>
          <w14:textFill>
            <w14:solidFill>
              <w14:schemeClr w14:val="tx1"/>
            </w14:solidFill>
          </w14:textFill>
        </w:rPr>
        <w:t>15888959591</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default" w:ascii="Times New Roman" w:hAnsi="Times New Roman" w:eastAsia="宋体" w:cs="Times New Roman"/>
          <w:color w:val="000000" w:themeColor="text1"/>
          <w:sz w:val="24"/>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 xml:space="preserve">质疑联系人：陈珑佺 </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default" w:ascii="Times New Roman" w:hAnsi="Times New Roman" w:eastAsia="宋体" w:cs="Times New Roman"/>
          <w:color w:val="000000" w:themeColor="text1"/>
          <w:sz w:val="24"/>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质疑联系方式：15397537813</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eastAsia="宋体"/>
          <w:color w:val="000000" w:themeColor="text1"/>
          <w:sz w:val="24"/>
          <w:szCs w:val="20"/>
          <w:highlight w:val="none"/>
          <w:lang w:eastAsia="zh-CN"/>
          <w14:textFill>
            <w14:solidFill>
              <w14:schemeClr w14:val="tx1"/>
            </w14:solidFill>
          </w14:textFill>
        </w:rPr>
      </w:pPr>
      <w:r>
        <w:rPr>
          <w:color w:val="000000" w:themeColor="text1"/>
          <w:sz w:val="24"/>
          <w:szCs w:val="20"/>
          <w:highlight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w:t>
      </w:r>
      <w:r>
        <w:rPr>
          <w:b/>
          <w:bCs/>
          <w:color w:val="000000" w:themeColor="text1"/>
          <w:sz w:val="24"/>
          <w:szCs w:val="20"/>
          <w:highlight w:val="none"/>
          <w14:textFill>
            <w14:solidFill>
              <w14:schemeClr w14:val="tx1"/>
            </w14:solidFill>
          </w14:textFill>
        </w:rPr>
        <w:t xml:space="preserve"> 2.采购代理机构信息</w:t>
      </w:r>
      <w:r>
        <w:rPr>
          <w:rFonts w:hint="eastAsia"/>
          <w:b/>
          <w:bCs/>
          <w:color w:val="000000" w:themeColor="text1"/>
          <w:sz w:val="24"/>
          <w:szCs w:val="20"/>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20" w:lineRule="exact"/>
        <w:ind w:firstLine="360"/>
        <w:jc w:val="left"/>
        <w:textAlignment w:val="auto"/>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名    称：</w:t>
      </w:r>
      <w:r>
        <w:rPr>
          <w:rFonts w:hint="eastAsia" w:ascii="宋体" w:hAnsi="宋体" w:cs="宋体"/>
          <w:color w:val="000000" w:themeColor="text1"/>
          <w:kern w:val="0"/>
          <w:sz w:val="24"/>
          <w:highlight w:val="none"/>
          <w14:textFill>
            <w14:solidFill>
              <w14:schemeClr w14:val="tx1"/>
            </w14:solidFill>
          </w14:textFill>
        </w:rPr>
        <w:t>浦江县产权交易有限公司</w:t>
      </w:r>
    </w:p>
    <w:p>
      <w:pPr>
        <w:keepNext w:val="0"/>
        <w:keepLines w:val="0"/>
        <w:pageBreakBefore w:val="0"/>
        <w:widowControl/>
        <w:kinsoku/>
        <w:wordWrap/>
        <w:overflowPunct/>
        <w:topLinePunct w:val="0"/>
        <w:autoSpaceDE/>
        <w:autoSpaceDN/>
        <w:bidi w:val="0"/>
        <w:adjustRightInd w:val="0"/>
        <w:snapToGrid w:val="0"/>
        <w:spacing w:line="320" w:lineRule="exact"/>
        <w:ind w:firstLine="360"/>
        <w:jc w:val="left"/>
        <w:textAlignment w:val="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地    址：</w:t>
      </w:r>
      <w:r>
        <w:rPr>
          <w:rFonts w:hint="eastAsia" w:ascii="宋体" w:hAnsi="宋体" w:cs="宋体"/>
          <w:color w:val="000000" w:themeColor="text1"/>
          <w:kern w:val="0"/>
          <w:sz w:val="24"/>
          <w:highlight w:val="none"/>
          <w14:textFill>
            <w14:solidFill>
              <w14:schemeClr w14:val="tx1"/>
            </w14:solidFill>
          </w14:textFill>
        </w:rPr>
        <w:t>浦江县中山北路169号中山大厦10楼</w:t>
      </w:r>
      <w:r>
        <w:rPr>
          <w:color w:val="000000" w:themeColor="text1"/>
          <w:sz w:val="24"/>
          <w:szCs w:val="20"/>
          <w:highlight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eastAsia="宋体"/>
          <w:color w:val="000000" w:themeColor="text1"/>
          <w:sz w:val="24"/>
          <w:szCs w:val="20"/>
          <w:highlight w:val="none"/>
          <w:lang w:eastAsia="zh-CN"/>
          <w14:textFill>
            <w14:solidFill>
              <w14:schemeClr w14:val="tx1"/>
            </w14:solidFill>
          </w14:textFill>
        </w:rPr>
      </w:pPr>
      <w:r>
        <w:rPr>
          <w:color w:val="000000" w:themeColor="text1"/>
          <w:sz w:val="24"/>
          <w:szCs w:val="20"/>
          <w:highlight w:val="none"/>
          <w14:textFill>
            <w14:solidFill>
              <w14:schemeClr w14:val="tx1"/>
            </w14:solidFill>
          </w14:textFill>
        </w:rPr>
        <w:t>    项目联系人（询问）：</w:t>
      </w:r>
      <w:r>
        <w:rPr>
          <w:rFonts w:hint="eastAsia"/>
          <w:color w:val="000000" w:themeColor="text1"/>
          <w:sz w:val="24"/>
          <w:szCs w:val="20"/>
          <w:highlight w:val="none"/>
          <w14:textFill>
            <w14:solidFill>
              <w14:schemeClr w14:val="tx1"/>
            </w14:solidFill>
          </w14:textFill>
        </w:rPr>
        <w:t>黄</w:t>
      </w:r>
      <w:r>
        <w:rPr>
          <w:rFonts w:hint="eastAsia"/>
          <w:color w:val="000000" w:themeColor="text1"/>
          <w:sz w:val="24"/>
          <w:szCs w:val="20"/>
          <w:highlight w:val="none"/>
          <w:lang w:eastAsia="zh-CN"/>
          <w14:textFill>
            <w14:solidFill>
              <w14:schemeClr w14:val="tx1"/>
            </w14:solidFill>
          </w14:textFill>
        </w:rPr>
        <w:t>银凤</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jc w:val="left"/>
        <w:textAlignment w:val="auto"/>
        <w:rPr>
          <w:rFonts w:hint="default" w:eastAsia="宋体"/>
          <w:color w:val="000000" w:themeColor="text1"/>
          <w:sz w:val="24"/>
          <w:szCs w:val="20"/>
          <w:highlight w:val="none"/>
          <w:lang w:val="en-US" w:eastAsia="zh-CN"/>
          <w14:textFill>
            <w14:solidFill>
              <w14:schemeClr w14:val="tx1"/>
            </w14:solidFill>
          </w14:textFill>
        </w:rPr>
      </w:pPr>
      <w:r>
        <w:rPr>
          <w:color w:val="000000" w:themeColor="text1"/>
          <w:sz w:val="24"/>
          <w:szCs w:val="20"/>
          <w:highlight w:val="none"/>
          <w14:textFill>
            <w14:solidFill>
              <w14:schemeClr w14:val="tx1"/>
            </w14:solidFill>
          </w14:textFill>
        </w:rPr>
        <w:t xml:space="preserve"> 项目联系方式（询问）：</w:t>
      </w:r>
      <w:r>
        <w:rPr>
          <w:rFonts w:hint="eastAsia"/>
          <w:color w:val="000000" w:themeColor="text1"/>
          <w:sz w:val="24"/>
          <w:szCs w:val="20"/>
          <w:highlight w:val="none"/>
          <w14:textFill>
            <w14:solidFill>
              <w14:schemeClr w14:val="tx1"/>
            </w14:solidFill>
          </w14:textFill>
        </w:rPr>
        <w:t>0579-84182015</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eastAsia="宋体"/>
          <w:color w:val="000000" w:themeColor="text1"/>
          <w:sz w:val="24"/>
          <w:szCs w:val="20"/>
          <w:highlight w:val="none"/>
          <w:lang w:eastAsia="zh-CN"/>
          <w14:textFill>
            <w14:solidFill>
              <w14:schemeClr w14:val="tx1"/>
            </w14:solidFill>
          </w14:textFill>
        </w:rPr>
      </w:pPr>
      <w:r>
        <w:rPr>
          <w:color w:val="000000" w:themeColor="text1"/>
          <w:sz w:val="24"/>
          <w:szCs w:val="20"/>
          <w:highlight w:val="none"/>
          <w14:textFill>
            <w14:solidFill>
              <w14:schemeClr w14:val="tx1"/>
            </w14:solidFill>
          </w14:textFill>
        </w:rPr>
        <w:t>    质疑联系人：</w:t>
      </w:r>
      <w:r>
        <w:rPr>
          <w:rFonts w:hint="eastAsia"/>
          <w:color w:val="000000" w:themeColor="text1"/>
          <w:sz w:val="24"/>
          <w:szCs w:val="20"/>
          <w:highlight w:val="none"/>
          <w14:textFill>
            <w14:solidFill>
              <w14:schemeClr w14:val="tx1"/>
            </w14:solidFill>
          </w14:textFill>
        </w:rPr>
        <w:t>黄</w:t>
      </w:r>
      <w:r>
        <w:rPr>
          <w:rFonts w:hint="eastAsia"/>
          <w:color w:val="000000" w:themeColor="text1"/>
          <w:sz w:val="24"/>
          <w:szCs w:val="20"/>
          <w:highlight w:val="none"/>
          <w:lang w:eastAsia="zh-CN"/>
          <w14:textFill>
            <w14:solidFill>
              <w14:schemeClr w14:val="tx1"/>
            </w14:solidFill>
          </w14:textFill>
        </w:rPr>
        <w:t>琳</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质疑联系方式：</w:t>
      </w:r>
      <w:r>
        <w:rPr>
          <w:rFonts w:hint="eastAsia"/>
          <w:color w:val="000000" w:themeColor="text1"/>
          <w:sz w:val="24"/>
          <w:szCs w:val="20"/>
          <w:highlight w:val="none"/>
          <w14:textFill>
            <w14:solidFill>
              <w14:schemeClr w14:val="tx1"/>
            </w14:solidFill>
          </w14:textFill>
        </w:rPr>
        <w:t>0579-84182015</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eastAsia="宋体"/>
          <w:color w:val="000000" w:themeColor="text1"/>
          <w:sz w:val="24"/>
          <w:szCs w:val="20"/>
          <w:highlight w:val="none"/>
          <w:lang w:eastAsia="zh-CN"/>
          <w14:textFill>
            <w14:solidFill>
              <w14:schemeClr w14:val="tx1"/>
            </w14:solidFill>
          </w14:textFill>
        </w:rPr>
      </w:pPr>
      <w:r>
        <w:rPr>
          <w:color w:val="000000" w:themeColor="text1"/>
          <w:sz w:val="24"/>
          <w:szCs w:val="20"/>
          <w:highlight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color w:val="000000" w:themeColor="text1"/>
          <w:sz w:val="24"/>
          <w:szCs w:val="20"/>
          <w:highlight w:val="none"/>
          <w14:textFill>
            <w14:solidFill>
              <w14:schemeClr w14:val="tx1"/>
            </w14:solidFill>
          </w14:textFill>
        </w:rPr>
      </w:pPr>
      <w:r>
        <w:rPr>
          <w:b/>
          <w:bCs/>
          <w:color w:val="000000" w:themeColor="text1"/>
          <w:sz w:val="24"/>
          <w:szCs w:val="20"/>
          <w:highlight w:val="none"/>
          <w14:textFill>
            <w14:solidFill>
              <w14:schemeClr w14:val="tx1"/>
            </w14:solidFill>
          </w14:textFill>
        </w:rPr>
        <w:t>    3. 监督管理部门：</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名    称：</w:t>
      </w:r>
      <w:r>
        <w:rPr>
          <w:rFonts w:hint="eastAsia"/>
          <w:color w:val="000000" w:themeColor="text1"/>
          <w:sz w:val="24"/>
          <w:szCs w:val="20"/>
          <w:highlight w:val="none"/>
          <w14:textFill>
            <w14:solidFill>
              <w14:schemeClr w14:val="tx1"/>
            </w14:solidFill>
          </w14:textFill>
        </w:rPr>
        <w:t>浦江县人民政府国有资产监督管理办公室</w:t>
      </w:r>
      <w:r>
        <w:rPr>
          <w:color w:val="000000" w:themeColor="text1"/>
          <w:sz w:val="24"/>
          <w:szCs w:val="20"/>
          <w:highlight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地    址：</w:t>
      </w:r>
      <w:r>
        <w:rPr>
          <w:rFonts w:hint="eastAsia"/>
          <w:color w:val="000000" w:themeColor="text1"/>
          <w:sz w:val="24"/>
          <w:szCs w:val="20"/>
          <w:highlight w:val="none"/>
          <w14:textFill>
            <w14:solidFill>
              <w14:schemeClr w14:val="tx1"/>
            </w14:solidFill>
          </w14:textFill>
        </w:rPr>
        <w:t>浦江县东山路76号</w:t>
      </w:r>
      <w:r>
        <w:rPr>
          <w:color w:val="000000" w:themeColor="text1"/>
          <w:sz w:val="24"/>
          <w:szCs w:val="20"/>
          <w:highlight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320" w:lineRule="exact"/>
        <w:ind w:firstLine="360"/>
        <w:jc w:val="left"/>
        <w:textAlignment w:val="auto"/>
        <w:rPr>
          <w:rFonts w:ascii="Times New Roman" w:hAnsi="Times New Roman" w:eastAsia="宋体" w:cs="Times New Roman"/>
          <w:color w:val="000000" w:themeColor="text1"/>
          <w:sz w:val="24"/>
          <w:szCs w:val="20"/>
          <w:highlight w:val="none"/>
          <w14:textFill>
            <w14:solidFill>
              <w14:schemeClr w14:val="tx1"/>
            </w14:solidFill>
          </w14:textFill>
        </w:rPr>
      </w:pPr>
      <w:r>
        <w:rPr>
          <w:rFonts w:ascii="Times New Roman" w:hAnsi="Times New Roman" w:eastAsia="宋体" w:cs="Times New Roman"/>
          <w:color w:val="000000" w:themeColor="text1"/>
          <w:sz w:val="24"/>
          <w:szCs w:val="20"/>
          <w:highlight w:val="none"/>
          <w14:textFill>
            <w14:solidFill>
              <w14:schemeClr w14:val="tx1"/>
            </w14:solidFill>
          </w14:textFill>
        </w:rPr>
        <w:t>联系人 ：</w:t>
      </w:r>
      <w:r>
        <w:rPr>
          <w:rFonts w:hint="eastAsia" w:ascii="Times New Roman" w:hAnsi="Times New Roman" w:eastAsia="宋体" w:cs="Times New Roman"/>
          <w:color w:val="000000" w:themeColor="text1"/>
          <w:sz w:val="24"/>
          <w:szCs w:val="20"/>
          <w:highlight w:val="none"/>
          <w14:textFill>
            <w14:solidFill>
              <w14:schemeClr w14:val="tx1"/>
            </w14:solidFill>
          </w14:textFill>
        </w:rPr>
        <w:t>张建伟</w:t>
      </w:r>
      <w:r>
        <w:rPr>
          <w:rFonts w:ascii="Times New Roman" w:hAnsi="Times New Roman" w:eastAsia="宋体" w:cs="Times New Roman"/>
          <w:color w:val="000000" w:themeColor="text1"/>
          <w:sz w:val="24"/>
          <w:szCs w:val="20"/>
          <w:highlight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320" w:lineRule="exact"/>
        <w:ind w:firstLine="360"/>
        <w:jc w:val="left"/>
        <w:textAlignment w:val="auto"/>
        <w:rPr>
          <w:rFonts w:hint="eastAsia"/>
          <w:color w:val="000000" w:themeColor="text1"/>
          <w:sz w:val="24"/>
          <w:szCs w:val="20"/>
          <w:highlight w:val="none"/>
          <w14:textFill>
            <w14:solidFill>
              <w14:schemeClr w14:val="tx1"/>
            </w14:solidFill>
          </w14:textFill>
        </w:rPr>
      </w:pPr>
      <w:r>
        <w:rPr>
          <w:rFonts w:ascii="Times New Roman" w:hAnsi="Times New Roman" w:eastAsia="宋体" w:cs="Times New Roman"/>
          <w:color w:val="000000" w:themeColor="text1"/>
          <w:sz w:val="24"/>
          <w:szCs w:val="20"/>
          <w:highlight w:val="none"/>
          <w14:textFill>
            <w14:solidFill>
              <w14:schemeClr w14:val="tx1"/>
            </w14:solidFill>
          </w14:textFill>
        </w:rPr>
        <w:t>监督投诉</w:t>
      </w:r>
      <w:r>
        <w:rPr>
          <w:color w:val="000000" w:themeColor="text1"/>
          <w:sz w:val="24"/>
          <w:szCs w:val="20"/>
          <w:highlight w:val="none"/>
          <w14:textFill>
            <w14:solidFill>
              <w14:schemeClr w14:val="tx1"/>
            </w14:solidFill>
          </w14:textFill>
        </w:rPr>
        <w:t>电话：</w:t>
      </w:r>
      <w:r>
        <w:rPr>
          <w:rFonts w:hint="eastAsia"/>
          <w:color w:val="000000" w:themeColor="text1"/>
          <w:sz w:val="24"/>
          <w:szCs w:val="20"/>
          <w:highlight w:val="none"/>
          <w14:textFill>
            <w14:solidFill>
              <w14:schemeClr w14:val="tx1"/>
            </w14:solidFill>
          </w14:textFill>
        </w:rPr>
        <w:t xml:space="preserve">0579-84107702                          </w:t>
      </w:r>
    </w:p>
    <w:p>
      <w:pPr>
        <w:keepNext w:val="0"/>
        <w:keepLines w:val="0"/>
        <w:pageBreakBefore w:val="0"/>
        <w:kinsoku/>
        <w:wordWrap/>
        <w:overflowPunct/>
        <w:topLinePunct w:val="0"/>
        <w:autoSpaceDE/>
        <w:autoSpaceDN/>
        <w:bidi w:val="0"/>
        <w:spacing w:line="320" w:lineRule="exact"/>
        <w:ind w:firstLine="657" w:firstLineChars="274"/>
        <w:jc w:val="left"/>
        <w:textAlignment w:val="auto"/>
        <w:outlineLvl w:val="0"/>
        <w:rPr>
          <w:rFonts w:hint="eastAsia" w:ascii="宋体" w:hAnsi="宋体" w:cs="宋体"/>
          <w:color w:val="000000" w:themeColor="text1"/>
          <w:kern w:val="0"/>
          <w:sz w:val="24"/>
          <w:highlight w:val="none"/>
          <w14:textFill>
            <w14:solidFill>
              <w14:schemeClr w14:val="tx1"/>
            </w14:solidFill>
          </w14:textFill>
        </w:rPr>
      </w:pPr>
      <w:bookmarkStart w:id="8" w:name="_Toc14241"/>
      <w:bookmarkStart w:id="9" w:name="_Toc18423"/>
      <w:bookmarkStart w:id="10" w:name="_Toc913"/>
      <w:bookmarkStart w:id="11" w:name="_Toc27432"/>
      <w:bookmarkStart w:id="12" w:name="_Toc7484"/>
      <w:bookmarkStart w:id="13" w:name="_Toc13735"/>
      <w:bookmarkStart w:id="14" w:name="_Toc19440"/>
      <w:r>
        <w:rPr>
          <w:rFonts w:hint="eastAsia" w:ascii="宋体" w:hAnsi="宋体" w:cs="宋体"/>
          <w:color w:val="000000" w:themeColor="text1"/>
          <w:sz w:val="24"/>
          <w:highlight w:val="none"/>
          <w14:textFill>
            <w14:solidFill>
              <w14:schemeClr w14:val="tx1"/>
            </w14:solidFill>
          </w14:textFill>
        </w:rPr>
        <w:t xml:space="preserve">                                    </w:t>
      </w:r>
    </w:p>
    <w:bookmarkEnd w:id="8"/>
    <w:bookmarkEnd w:id="9"/>
    <w:bookmarkEnd w:id="10"/>
    <w:bookmarkEnd w:id="11"/>
    <w:bookmarkEnd w:id="12"/>
    <w:bookmarkEnd w:id="13"/>
    <w:bookmarkEnd w:id="14"/>
    <w:p>
      <w:pPr>
        <w:keepNext w:val="0"/>
        <w:keepLines w:val="0"/>
        <w:pageBreakBefore w:val="0"/>
        <w:kinsoku/>
        <w:wordWrap/>
        <w:overflowPunct/>
        <w:topLinePunct w:val="0"/>
        <w:autoSpaceDE/>
        <w:autoSpaceDN/>
        <w:bidi w:val="0"/>
        <w:spacing w:line="320" w:lineRule="exact"/>
        <w:ind w:firstLine="657" w:firstLineChars="274"/>
        <w:jc w:val="both"/>
        <w:textAlignment w:val="auto"/>
        <w:outlineLvl w:val="0"/>
        <w:rPr>
          <w:rFonts w:hint="eastAsia" w:ascii="宋体" w:hAnsi="宋体" w:cs="宋体"/>
          <w:color w:val="000000" w:themeColor="text1"/>
          <w:kern w:val="0"/>
          <w:sz w:val="24"/>
          <w:highlight w:val="none"/>
          <w14:textFill>
            <w14:solidFill>
              <w14:schemeClr w14:val="tx1"/>
            </w14:solidFill>
          </w14:textFill>
        </w:rPr>
      </w:pPr>
      <w:bookmarkStart w:id="15" w:name="_Toc9778"/>
      <w:bookmarkStart w:id="16" w:name="_Toc18333"/>
      <w:bookmarkStart w:id="17" w:name="_Toc28511"/>
      <w:bookmarkStart w:id="18" w:name="_Toc9950"/>
      <w:bookmarkStart w:id="19" w:name="_Toc5255"/>
      <w:bookmarkStart w:id="20" w:name="_Toc27215"/>
      <w:bookmarkStart w:id="21" w:name="_Toc19328"/>
      <w:r>
        <w:rPr>
          <w:rFonts w:hint="eastAsia" w:ascii="宋体" w:hAnsi="宋体" w:cs="宋体"/>
          <w:color w:val="000000" w:themeColor="text1"/>
          <w:kern w:val="0"/>
          <w:sz w:val="24"/>
          <w:highlight w:val="none"/>
          <w14:textFill>
            <w14:solidFill>
              <w14:schemeClr w14:val="tx1"/>
            </w14:solidFill>
          </w14:textFill>
        </w:rPr>
        <w:t>若对项目采购电子交易系统操作有疑问，可登录</w:t>
      </w:r>
      <w:r>
        <w:rPr>
          <w:rFonts w:hint="eastAsia" w:ascii="宋体" w:hAnsi="宋体" w:cs="宋体"/>
          <w:color w:val="000000" w:themeColor="text1"/>
          <w:kern w:val="0"/>
          <w:sz w:val="24"/>
          <w:highlight w:val="none"/>
          <w:lang w:eastAsia="zh-CN"/>
          <w14:textFill>
            <w14:solidFill>
              <w14:schemeClr w14:val="tx1"/>
            </w14:solidFill>
          </w14:textFill>
        </w:rPr>
        <w:t>乐采云</w:t>
      </w:r>
      <w:r>
        <w:rPr>
          <w:rFonts w:hint="eastAsia" w:ascii="宋体" w:hAnsi="宋体" w:cs="宋体"/>
          <w:color w:val="000000" w:themeColor="text1"/>
          <w:kern w:val="0"/>
          <w:sz w:val="24"/>
          <w:highlight w:val="none"/>
          <w14:textFill>
            <w14:solidFill>
              <w14:schemeClr w14:val="tx1"/>
            </w14:solidFill>
          </w14:textFill>
        </w:rPr>
        <w:t>（https://</w:t>
      </w:r>
      <w:r>
        <w:rPr>
          <w:rFonts w:hint="eastAsia" w:ascii="宋体" w:hAnsi="宋体" w:cs="宋体"/>
          <w:color w:val="000000" w:themeColor="text1"/>
          <w:kern w:val="0"/>
          <w:sz w:val="24"/>
          <w:highlight w:val="none"/>
          <w:lang w:eastAsia="zh-CN"/>
          <w14:textFill>
            <w14:solidFill>
              <w14:schemeClr w14:val="tx1"/>
            </w14:solidFill>
          </w14:textFill>
        </w:rPr>
        <w:t>www.lecaiyun.com</w:t>
      </w:r>
      <w:r>
        <w:rPr>
          <w:rFonts w:hint="eastAsia" w:ascii="宋体" w:hAnsi="宋体" w:cs="宋体"/>
          <w:color w:val="000000" w:themeColor="text1"/>
          <w:kern w:val="0"/>
          <w:sz w:val="24"/>
          <w:highlight w:val="none"/>
          <w14:textFill>
            <w14:solidFill>
              <w14:schemeClr w14:val="tx1"/>
            </w14:solidFill>
          </w14:textFill>
        </w:rPr>
        <w:t>/），点击右侧咨询小采，获取采小蜜智能服务管家帮助，或拨打</w:t>
      </w:r>
      <w:r>
        <w:rPr>
          <w:rFonts w:hint="eastAsia" w:ascii="宋体" w:hAnsi="宋体" w:cs="宋体"/>
          <w:color w:val="000000" w:themeColor="text1"/>
          <w:kern w:val="0"/>
          <w:sz w:val="24"/>
          <w:highlight w:val="none"/>
          <w:lang w:eastAsia="zh-CN"/>
          <w14:textFill>
            <w14:solidFill>
              <w14:schemeClr w14:val="tx1"/>
            </w14:solidFill>
          </w14:textFill>
        </w:rPr>
        <w:t>乐采云</w:t>
      </w:r>
      <w:r>
        <w:rPr>
          <w:rFonts w:hint="eastAsia" w:ascii="宋体" w:hAnsi="宋体" w:cs="宋体"/>
          <w:color w:val="000000" w:themeColor="text1"/>
          <w:kern w:val="0"/>
          <w:sz w:val="24"/>
          <w:highlight w:val="none"/>
          <w14:textFill>
            <w14:solidFill>
              <w14:schemeClr w14:val="tx1"/>
            </w14:solidFill>
          </w14:textFill>
        </w:rPr>
        <w:t>服务热线</w:t>
      </w:r>
      <w:r>
        <w:rPr>
          <w:rFonts w:hint="eastAsia" w:ascii="宋体" w:hAnsi="宋体" w:cs="宋体"/>
          <w:color w:val="000000" w:themeColor="text1"/>
          <w:kern w:val="0"/>
          <w:sz w:val="24"/>
          <w:highlight w:val="none"/>
          <w:lang w:eastAsia="zh-CN"/>
          <w14:textFill>
            <w14:solidFill>
              <w14:schemeClr w14:val="tx1"/>
            </w14:solidFill>
          </w14:textFill>
        </w:rPr>
        <w:t>95763</w:t>
      </w:r>
      <w:r>
        <w:rPr>
          <w:rFonts w:hint="eastAsia" w:ascii="宋体" w:hAnsi="宋体" w:cs="宋体"/>
          <w:color w:val="000000" w:themeColor="text1"/>
          <w:kern w:val="0"/>
          <w:sz w:val="24"/>
          <w:highlight w:val="none"/>
          <w14:textFill>
            <w14:solidFill>
              <w14:schemeClr w14:val="tx1"/>
            </w14:solidFill>
          </w14:textFill>
        </w:rPr>
        <w:t>获取热线服务帮助。</w:t>
      </w:r>
      <w:bookmarkEnd w:id="15"/>
      <w:bookmarkEnd w:id="16"/>
      <w:bookmarkEnd w:id="17"/>
      <w:bookmarkEnd w:id="18"/>
      <w:bookmarkEnd w:id="19"/>
      <w:bookmarkEnd w:id="20"/>
      <w:bookmarkEnd w:id="21"/>
    </w:p>
    <w:p>
      <w:pPr>
        <w:keepNext w:val="0"/>
        <w:keepLines w:val="0"/>
        <w:pageBreakBefore w:val="0"/>
        <w:kinsoku/>
        <w:wordWrap/>
        <w:overflowPunct/>
        <w:topLinePunct w:val="0"/>
        <w:autoSpaceDE/>
        <w:autoSpaceDN/>
        <w:bidi w:val="0"/>
        <w:adjustRightInd w:val="0"/>
        <w:snapToGrid w:val="0"/>
        <w:spacing w:line="320" w:lineRule="exact"/>
        <w:ind w:firstLine="470" w:firstLineChars="196"/>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bookmarkStart w:id="22" w:name="_Toc9249"/>
      <w:bookmarkStart w:id="23" w:name="_Toc15793"/>
      <w:bookmarkStart w:id="24" w:name="_Toc8213"/>
      <w:r>
        <w:rPr>
          <w:rFonts w:hint="eastAsia" w:ascii="宋体" w:hAnsi="宋体" w:cs="宋体"/>
          <w:color w:val="000000" w:themeColor="text1"/>
          <w:kern w:val="0"/>
          <w:sz w:val="24"/>
          <w:highlight w:val="none"/>
          <w14:textFill>
            <w14:solidFill>
              <w14:schemeClr w14:val="tx1"/>
            </w14:solidFill>
          </w14:textFill>
        </w:rPr>
        <w:t>CA问题联系电话（人工）：汇信CA 400-888-4636；天谷CA 400-087-8198。</w:t>
      </w:r>
      <w:bookmarkEnd w:id="22"/>
      <w:bookmarkEnd w:id="23"/>
      <w:bookmarkEnd w:id="24"/>
    </w:p>
    <w:p>
      <w:pPr>
        <w:keepNext w:val="0"/>
        <w:keepLines w:val="0"/>
        <w:pageBreakBefore w:val="0"/>
        <w:kinsoku/>
        <w:wordWrap/>
        <w:overflowPunct/>
        <w:topLinePunct w:val="0"/>
        <w:autoSpaceDE/>
        <w:autoSpaceDN/>
        <w:bidi w:val="0"/>
        <w:adjustRightInd w:val="0"/>
        <w:snapToGrid w:val="0"/>
        <w:spacing w:line="320" w:lineRule="exact"/>
        <w:ind w:firstLine="470" w:firstLineChars="196"/>
        <w:textAlignment w:val="auto"/>
        <w:rPr>
          <w:rFonts w:hint="eastAsia" w:ascii="宋体" w:hAnsi="宋体" w:cs="宋体"/>
          <w:color w:val="000000" w:themeColor="text1"/>
          <w:kern w:val="0"/>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20" w:lineRule="exact"/>
        <w:ind w:firstLine="470" w:firstLineChars="196"/>
        <w:textAlignment w:val="auto"/>
        <w:rPr>
          <w:rFonts w:hint="eastAsia" w:ascii="宋体" w:hAnsi="宋体" w:cs="宋体"/>
          <w:color w:val="000000" w:themeColor="text1"/>
          <w:kern w:val="0"/>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20" w:lineRule="exact"/>
        <w:ind w:firstLine="470" w:firstLineChars="196"/>
        <w:textAlignment w:val="auto"/>
        <w:rPr>
          <w:rFonts w:hint="eastAsia" w:ascii="宋体" w:hAnsi="宋体" w:cs="宋体"/>
          <w:color w:val="000000" w:themeColor="text1"/>
          <w:kern w:val="0"/>
          <w:sz w:val="24"/>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widowControl/>
        <w:tabs>
          <w:tab w:val="left" w:pos="8647"/>
        </w:tabs>
        <w:adjustRightInd w:val="0"/>
        <w:snapToGrid w:val="0"/>
        <w:spacing w:line="360" w:lineRule="auto"/>
        <w:ind w:right="-59"/>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前 附 表</w:t>
      </w:r>
    </w:p>
    <w:tbl>
      <w:tblPr>
        <w:tblStyle w:val="48"/>
        <w:tblW w:w="93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735"/>
        <w:gridCol w:w="68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jc w:val="center"/>
        </w:trPr>
        <w:tc>
          <w:tcPr>
            <w:tcW w:w="773" w:type="dxa"/>
            <w:noWrap w:val="0"/>
            <w:vAlign w:val="center"/>
          </w:tcPr>
          <w:p>
            <w:pPr>
              <w:adjustRightInd w:val="0"/>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735" w:type="dxa"/>
            <w:noWrap w:val="0"/>
            <w:vAlign w:val="center"/>
          </w:tcPr>
          <w:p>
            <w:pPr>
              <w:adjustRightInd w:val="0"/>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   目</w:t>
            </w:r>
          </w:p>
        </w:tc>
        <w:tc>
          <w:tcPr>
            <w:tcW w:w="6874" w:type="dxa"/>
            <w:noWrap w:val="0"/>
            <w:vAlign w:val="center"/>
          </w:tcPr>
          <w:p>
            <w:pPr>
              <w:adjustRightInd w:val="0"/>
              <w:spacing w:line="40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浦江县城乡自来水有限公司涉水级液态聚合氯化铝及涉水级次氯酸钠溶液采购项目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735" w:type="dxa"/>
            <w:noWrap w:val="0"/>
            <w:vAlign w:val="center"/>
          </w:tcPr>
          <w:p>
            <w:pPr>
              <w:adjustRightInd w:val="0"/>
              <w:snapToGrid w:val="0"/>
              <w:spacing w:line="40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实施地点</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trike/>
                <w:snapToGrid w:val="0"/>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735" w:type="dxa"/>
            <w:noWrap w:val="0"/>
            <w:vAlign w:val="center"/>
          </w:tcPr>
          <w:p>
            <w:pPr>
              <w:snapToGrid w:val="0"/>
              <w:spacing w:line="400" w:lineRule="exact"/>
              <w:jc w:val="cente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项目编号</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PJCQGK(</w:t>
            </w:r>
            <w:r>
              <w:rPr>
                <w:rFonts w:hint="eastAsia" w:ascii="宋体" w:hAnsi="宋体" w:cs="宋体"/>
                <w:b w:val="0"/>
                <w:bCs w:val="0"/>
                <w:color w:val="000000" w:themeColor="text1"/>
                <w:sz w:val="24"/>
                <w:highlight w:val="none"/>
                <w:lang w:eastAsia="zh-CN"/>
                <w14:textFill>
                  <w14:solidFill>
                    <w14:schemeClr w14:val="tx1"/>
                  </w14:solidFill>
                </w14:textFill>
              </w:rPr>
              <w:t>ZLSGS</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eastAsia="zh-CN"/>
                <w14:textFill>
                  <w14:solidFill>
                    <w14:schemeClr w14:val="tx1"/>
                  </w14:solidFill>
                </w14:textFill>
              </w:rPr>
              <w:t>2025-0117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包括</w:t>
            </w:r>
            <w:r>
              <w:rPr>
                <w:rFonts w:hint="eastAsia" w:ascii="宋体" w:hAnsi="宋体" w:eastAsia="宋体" w:cs="宋体"/>
                <w:bCs/>
                <w:color w:val="000000" w:themeColor="text1"/>
                <w:sz w:val="24"/>
                <w:szCs w:val="24"/>
                <w:highlight w:val="none"/>
                <w:lang w:eastAsia="zh-CN"/>
                <w14:textFill>
                  <w14:solidFill>
                    <w14:schemeClr w14:val="tx1"/>
                  </w14:solidFill>
                </w14:textFill>
              </w:rPr>
              <w:t>涉水级液态聚合氯化铝</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涉水级次氯酸钠溶液的</w:t>
            </w:r>
            <w:r>
              <w:rPr>
                <w:rFonts w:hint="eastAsia" w:ascii="宋体" w:hAnsi="宋体" w:cs="宋体"/>
                <w:color w:val="000000" w:themeColor="text1"/>
                <w:kern w:val="0"/>
                <w:sz w:val="24"/>
                <w:highlight w:val="none"/>
                <w:lang w:eastAsia="zh-CN"/>
                <w14:textFill>
                  <w14:solidFill>
                    <w14:schemeClr w14:val="tx1"/>
                  </w14:solidFill>
                </w14:textFill>
              </w:rPr>
              <w:t>供货，具体详见采购文件的第三部分《招标内容及需求》。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78"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735" w:type="dxa"/>
            <w:noWrap w:val="0"/>
            <w:vAlign w:val="center"/>
          </w:tcPr>
          <w:p>
            <w:pPr>
              <w:widowControl/>
              <w:adjustRightInd w:val="0"/>
              <w:snapToGrid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合同履行期限</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年，自</w:t>
            </w:r>
            <w:r>
              <w:rPr>
                <w:rFonts w:hint="eastAsia" w:ascii="宋体" w:hAnsi="宋体" w:eastAsia="宋体" w:cs="宋体"/>
                <w:bCs/>
                <w:color w:val="000000" w:themeColor="text1"/>
                <w:sz w:val="24"/>
                <w:szCs w:val="24"/>
                <w:highlight w:val="none"/>
                <w14:textFill>
                  <w14:solidFill>
                    <w14:schemeClr w14:val="tx1"/>
                  </w14:solidFill>
                </w14:textFill>
              </w:rPr>
              <w:t>合同签订之日起</w:t>
            </w:r>
            <w:r>
              <w:rPr>
                <w:rFonts w:hint="eastAsia" w:ascii="宋体" w:hAnsi="宋体" w:eastAsia="宋体" w:cs="宋体"/>
                <w:bCs/>
                <w:color w:val="000000" w:themeColor="text1"/>
                <w:sz w:val="24"/>
                <w:szCs w:val="24"/>
                <w:highlight w:val="none"/>
                <w:lang w:eastAsia="zh-CN"/>
                <w14:textFill>
                  <w14:solidFill>
                    <w14:schemeClr w14:val="tx1"/>
                  </w14:solidFill>
                </w14:textFill>
              </w:rPr>
              <w:t>算</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服务期限内按采购人要求分批次交付，接到采购人送货通知，中标人必须在约定时间内将货送达采购人指定地点。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735" w:type="dxa"/>
            <w:noWrap w:val="0"/>
            <w:vAlign w:val="center"/>
          </w:tcPr>
          <w:p>
            <w:pPr>
              <w:snapToGrid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▲采购预算</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本项目采购预算为人民币</w:t>
            </w:r>
            <w:r>
              <w:rPr>
                <w:rFonts w:hint="eastAsia" w:ascii="宋体" w:hAnsi="宋体" w:eastAsia="宋体" w:cs="宋体"/>
                <w:b/>
                <w:color w:val="000000" w:themeColor="text1"/>
                <w:kern w:val="0"/>
                <w:sz w:val="24"/>
                <w:highlight w:val="none"/>
                <w:lang w:val="en-US" w:eastAsia="zh-CN"/>
                <w14:textFill>
                  <w14:solidFill>
                    <w14:schemeClr w14:val="tx1"/>
                  </w14:solidFill>
                </w14:textFill>
              </w:rPr>
              <w:t>标项1：</w:t>
            </w:r>
            <w:r>
              <w:rPr>
                <w:rFonts w:hint="eastAsia" w:ascii="宋体" w:hAnsi="宋体" w:cs="宋体"/>
                <w:b/>
                <w:color w:val="000000" w:themeColor="text1"/>
                <w:kern w:val="0"/>
                <w:sz w:val="24"/>
                <w:highlight w:val="none"/>
                <w:lang w:val="en-US" w:eastAsia="zh-CN"/>
                <w14:textFill>
                  <w14:solidFill>
                    <w14:schemeClr w14:val="tx1"/>
                  </w14:solidFill>
                </w14:textFill>
              </w:rPr>
              <w:t>1200000</w:t>
            </w:r>
            <w:r>
              <w:rPr>
                <w:rFonts w:hint="eastAsia" w:ascii="宋体" w:hAnsi="宋体" w:eastAsia="宋体" w:cs="宋体"/>
                <w:b/>
                <w:color w:val="000000" w:themeColor="text1"/>
                <w:kern w:val="0"/>
                <w:sz w:val="24"/>
                <w:highlight w:val="none"/>
                <w:lang w:val="en-US" w:eastAsia="zh-CN"/>
                <w14:textFill>
                  <w14:solidFill>
                    <w14:schemeClr w14:val="tx1"/>
                  </w14:solidFill>
                </w14:textFill>
              </w:rPr>
              <w:t>元；标项2：</w:t>
            </w:r>
            <w:r>
              <w:rPr>
                <w:rFonts w:hint="eastAsia" w:ascii="宋体" w:hAnsi="宋体" w:cs="宋体"/>
                <w:b/>
                <w:color w:val="000000" w:themeColor="text1"/>
                <w:kern w:val="0"/>
                <w:sz w:val="24"/>
                <w:highlight w:val="none"/>
                <w:lang w:val="en-US" w:eastAsia="zh-CN"/>
                <w14:textFill>
                  <w14:solidFill>
                    <w14:schemeClr w14:val="tx1"/>
                  </w14:solidFill>
                </w14:textFill>
              </w:rPr>
              <w:t>1890000</w:t>
            </w:r>
            <w:r>
              <w:rPr>
                <w:rFonts w:hint="eastAsia" w:ascii="宋体" w:hAnsi="宋体" w:eastAsia="宋体" w:cs="宋体"/>
                <w:b/>
                <w:color w:val="000000" w:themeColor="text1"/>
                <w:kern w:val="0"/>
                <w:sz w:val="24"/>
                <w:highlight w:val="none"/>
                <w:lang w:val="en-US" w:eastAsia="zh-CN"/>
                <w14:textFill>
                  <w14:solidFill>
                    <w14:schemeClr w14:val="tx1"/>
                  </w14:solidFill>
                </w14:textFill>
              </w:rPr>
              <w:t>元</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超过此预算的报价将作无效标处理。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资格后审。</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资格后审是指在开标后由采购人或采购代理机构代表根据采购文件的规定对投标人进行资格审查，资格后审不合格的投标人，其投标作无效标处理。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标项1：24000元；标项2：37800元</w:t>
            </w:r>
            <w:r>
              <w:rPr>
                <w:rFonts w:hint="eastAsia" w:ascii="宋体" w:hAnsi="宋体" w:cs="宋体"/>
                <w:color w:val="000000" w:themeColor="text1"/>
                <w:sz w:val="24"/>
                <w:highlight w:val="none"/>
                <w14:textFill>
                  <w14:solidFill>
                    <w14:schemeClr w14:val="tx1"/>
                  </w14:solidFill>
                </w14:textFill>
              </w:rPr>
              <w:t>,应按《公开招标公告》第四条规定交纳</w:t>
            </w:r>
            <w:r>
              <w:rPr>
                <w:rFonts w:hint="eastAsia" w:ascii="宋体" w:hAnsi="宋体"/>
                <w:color w:val="000000" w:themeColor="text1"/>
                <w:sz w:val="24"/>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不作强制要求，投标人可自行前往现场踏勘。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75"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735" w:type="dxa"/>
            <w:noWrap w:val="0"/>
            <w:vAlign w:val="center"/>
          </w:tcPr>
          <w:p>
            <w:pPr>
              <w:snapToGrid w:val="0"/>
              <w:spacing w:line="34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答疑与澄清</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第一部分</w:t>
            </w:r>
            <w:r>
              <w:rPr>
                <w:rFonts w:hint="eastAsia" w:ascii="宋体" w:hAnsi="宋体" w:eastAsia="宋体" w:cs="宋体"/>
                <w:color w:val="000000" w:themeColor="text1"/>
                <w:kern w:val="0"/>
                <w:sz w:val="24"/>
                <w:highlight w:val="none"/>
                <w:lang w:eastAsia="zh-CN"/>
                <w14:textFill>
                  <w14:solidFill>
                    <w14:schemeClr w14:val="tx1"/>
                  </w14:solidFill>
                </w14:textFill>
              </w:rPr>
              <w:t>公开招标公告</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八、凡对本次采购提出询问、质疑、投诉</w:t>
            </w:r>
            <w:r>
              <w:rPr>
                <w:rFonts w:hint="eastAsia" w:ascii="宋体" w:hAnsi="宋体" w:eastAsia="宋体" w:cs="宋体"/>
                <w:color w:val="000000" w:themeColor="text1"/>
                <w:kern w:val="0"/>
                <w:sz w:val="24"/>
                <w:highlight w:val="none"/>
                <w14:textFill>
                  <w14:solidFill>
                    <w14:schemeClr w14:val="tx1"/>
                  </w14:solidFill>
                </w14:textFill>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6"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投标文件形式</w:t>
            </w:r>
          </w:p>
        </w:tc>
        <w:tc>
          <w:tcPr>
            <w:tcW w:w="6874" w:type="dxa"/>
            <w:noWrap w:val="0"/>
            <w:vAlign w:val="center"/>
          </w:tcPr>
          <w:p>
            <w:pPr>
              <w:snapToGrid w:val="0"/>
              <w:spacing w:line="300" w:lineRule="exact"/>
              <w:ind w:right="105" w:right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pPr>
              <w:snapToGrid w:val="0"/>
              <w:spacing w:line="300" w:lineRule="exact"/>
              <w:ind w:right="105" w:right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w:t>
            </w: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电子交易客户端”完成投标文件编制后生成并加密的数据电文形式的投标文件。</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2.“备份投标文件”是指与“电子加密投标文件”同时生成的数据电文形式的电子文件（备份标书，用于投标人标书解密异常时应急使用），其他方式编制的备份投标文件视为无效备份投标文件。</w:t>
            </w:r>
          </w:p>
          <w:p>
            <w:pPr>
              <w:snapToGrid w:val="0"/>
              <w:spacing w:line="300" w:lineRule="exact"/>
              <w:ind w:right="105" w:right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注：备份投标文件的提交不作强制要求。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投标文件份数</w:t>
            </w:r>
          </w:p>
        </w:tc>
        <w:tc>
          <w:tcPr>
            <w:tcW w:w="6874" w:type="dxa"/>
            <w:noWrap w:val="0"/>
            <w:vAlign w:val="center"/>
          </w:tcPr>
          <w:p>
            <w:pPr>
              <w:numPr>
                <w:ilvl w:val="0"/>
                <w:numId w:val="3"/>
              </w:num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一份电子加密标书（后缀格式为.jmbs），一份备份标书文件（后缀格式为.bfbs）。</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每份电子投标文件应包括资格投标文件、商务技术投标文件及报价投标文件三部分内容。</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2.如中标，中标人需根据采购人要求提供与电子投标文件一致的纸质投标文件至少</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51" w:hRule="atLeast"/>
          <w:jc w:val="center"/>
        </w:trPr>
        <w:tc>
          <w:tcPr>
            <w:tcW w:w="773" w:type="dxa"/>
            <w:vMerge w:val="restart"/>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735" w:type="dxa"/>
            <w:vMerge w:val="restart"/>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投标文件的上传和递交</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1.电子加密投标文件：投标文件制作完成并生成加密标书，在投标截止时间前，投标人需将加密的投标文件上传至</w:t>
            </w: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平台，在开标时间开始后30分钟内（以电子交易平台设定的时间为准），</w:t>
            </w:r>
            <w:r>
              <w:rPr>
                <w:rFonts w:hint="eastAsia" w:ascii="宋体" w:hAnsi="宋体" w:cs="宋体"/>
                <w:color w:val="000000" w:themeColor="text1"/>
                <w:kern w:val="0"/>
                <w:sz w:val="24"/>
                <w:highlight w:val="none"/>
                <w14:textFill>
                  <w14:solidFill>
                    <w14:schemeClr w14:val="tx1"/>
                  </w14:solidFill>
                </w14:textFill>
              </w:rPr>
              <w:t>登录“</w:t>
            </w:r>
            <w:r>
              <w:rPr>
                <w:rFonts w:hint="eastAsia" w:ascii="宋体" w:hAnsi="宋体" w:cs="宋体"/>
                <w:color w:val="000000" w:themeColor="text1"/>
                <w:kern w:val="0"/>
                <w:sz w:val="24"/>
                <w:highlight w:val="none"/>
                <w:lang w:eastAsia="zh-CN"/>
                <w14:textFill>
                  <w14:solidFill>
                    <w14:schemeClr w14:val="tx1"/>
                  </w14:solidFill>
                </w14:textFill>
              </w:rPr>
              <w:t>乐采云</w:t>
            </w:r>
            <w:r>
              <w:rPr>
                <w:rFonts w:hint="eastAsia" w:ascii="宋体" w:hAnsi="宋体" w:cs="宋体"/>
                <w:color w:val="000000" w:themeColor="text1"/>
                <w:kern w:val="0"/>
                <w:sz w:val="24"/>
                <w:highlight w:val="none"/>
                <w14:textFill>
                  <w14:solidFill>
                    <w14:schemeClr w14:val="tx1"/>
                  </w14:solidFill>
                </w14:textFill>
              </w:rPr>
              <w:t>-项目采购-开标评标”功能进行</w:t>
            </w:r>
            <w:r>
              <w:rPr>
                <w:rFonts w:hint="eastAsia" w:ascii="宋体" w:hAnsi="宋体" w:cs="宋体"/>
                <w:color w:val="000000" w:themeColor="text1"/>
                <w:sz w:val="24"/>
                <w:highlight w:val="none"/>
                <w14:textFill>
                  <w14:solidFill>
                    <w14:schemeClr w14:val="tx1"/>
                  </w14:solidFill>
                </w14:textFill>
              </w:rPr>
              <w:t>解密投标文件</w:t>
            </w:r>
            <w:r>
              <w:rPr>
                <w:rFonts w:hint="eastAsia" w:ascii="宋体" w:hAnsi="宋体" w:cs="宋体"/>
                <w:color w:val="000000" w:themeColor="text1"/>
                <w:kern w:val="0"/>
                <w:sz w:val="24"/>
                <w:highlight w:val="none"/>
                <w14:textFill>
                  <w14:solidFill>
                    <w14:schemeClr w14:val="tx1"/>
                  </w14:solidFill>
                </w14:textFill>
              </w:rPr>
              <w:t>（为防止解密失败，建议采用制作投标文件的电脑进行解密）</w:t>
            </w:r>
            <w:r>
              <w:rPr>
                <w:rFonts w:hint="eastAsia" w:ascii="宋体" w:hAnsi="宋体" w:cs="宋体"/>
                <w:color w:val="000000" w:themeColor="text1"/>
                <w:sz w:val="24"/>
                <w:highlight w:val="none"/>
                <w14:textFill>
                  <w14:solidFill>
                    <w14:schemeClr w14:val="tx1"/>
                  </w14:solidFill>
                </w14:textFill>
              </w:rPr>
              <w:t>。</w:t>
            </w:r>
          </w:p>
          <w:p>
            <w:pPr>
              <w:snapToGrid w:val="0"/>
              <w:spacing w:line="3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a.投标人在投标截止时间前未能成功上传或未按要求上传电子加密投标文件的，作投标无效处理。</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0" w:hRule="atLeast"/>
          <w:jc w:val="center"/>
        </w:trPr>
        <w:tc>
          <w:tcPr>
            <w:tcW w:w="773" w:type="dxa"/>
            <w:vMerge w:val="continue"/>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735" w:type="dxa"/>
            <w:vMerge w:val="continue"/>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b.通过“</w:t>
            </w:r>
            <w:r>
              <w:rPr>
                <w:rFonts w:hint="eastAsia" w:ascii="宋体" w:hAnsi="宋体" w:cs="宋体"/>
                <w:color w:val="000000" w:themeColor="text1"/>
                <w:sz w:val="24"/>
                <w:highlight w:val="none"/>
                <w:lang w:eastAsia="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”成功上传递交的“电子加密投标文件”已按时解密的，“备份投标文件”自动失效。</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注：未密封包装或者逾期送达的“备份投标文件”将不予接收，未按规定标记的备份投标文件有被误投或提前拆封等风险，因未按规定密封或标记所造成的一切后果由投标人承担。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8" w:hRule="atLeast"/>
          <w:jc w:val="center"/>
        </w:trPr>
        <w:tc>
          <w:tcPr>
            <w:tcW w:w="773" w:type="dxa"/>
            <w:vMerge w:val="continue"/>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1735" w:type="dxa"/>
            <w:vMerge w:val="continue"/>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3.电子加密投标文件的解密和异常情况处理：</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a.开标后，各投标人代表应当在限定时间内自行完成“电子加密投标文件”的在线解密。</w:t>
            </w:r>
          </w:p>
          <w:p>
            <w:pPr>
              <w:snapToGrid w:val="0"/>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解密完成的时间根据投标人的网速、硬件环境、投标文件的大小而不同，开标后请投标人尽量提前启动解密，否则将可能未按时解密。</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kern w:val="0"/>
                <w:sz w:val="24"/>
                <w:highlight w:val="none"/>
                <w14:textFill>
                  <w14:solidFill>
                    <w14:schemeClr w14:val="tx1"/>
                  </w14:solidFill>
                </w14:textFill>
              </w:rPr>
              <w:t>投标文件的制作和解密应使用同一个CA，否则将可能解密失败。</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w:t>
            </w:r>
            <w:r>
              <w:rPr>
                <w:rFonts w:hint="eastAsia" w:ascii="宋体" w:hAnsi="宋体" w:cs="宋体"/>
                <w:color w:val="000000" w:themeColor="text1"/>
                <w:sz w:val="24"/>
                <w:highlight w:val="none"/>
                <w:lang w:eastAsia="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”成功上传递交的“电子加密投标文件”无法按时解密的，投标人如按规定递交了“备份投标文件”的，以“备份投标文件”为依据（由采购组织机构按“</w:t>
            </w:r>
            <w:r>
              <w:rPr>
                <w:rFonts w:hint="eastAsia" w:ascii="宋体" w:hAnsi="宋体" w:cs="宋体"/>
                <w:color w:val="000000" w:themeColor="text1"/>
                <w:sz w:val="24"/>
                <w:highlight w:val="none"/>
                <w:lang w:eastAsia="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”操作规范将“备份投标文件”上传至“</w:t>
            </w:r>
            <w:r>
              <w:rPr>
                <w:rFonts w:hint="eastAsia" w:ascii="宋体" w:hAnsi="宋体" w:cs="宋体"/>
                <w:color w:val="000000" w:themeColor="text1"/>
                <w:sz w:val="24"/>
                <w:highlight w:val="none"/>
                <w:lang w:eastAsia="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”，上传成功后，“电子加密投标文件”自动失效），否则视为投标文件撤回。</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d.投标截止时间前，投标人仅递交了“备份投标文件”而未将“电子加密投标文件”成功上传至“</w:t>
            </w:r>
            <w:r>
              <w:rPr>
                <w:rFonts w:hint="eastAsia" w:ascii="宋体" w:hAnsi="宋体" w:cs="宋体"/>
                <w:color w:val="000000" w:themeColor="text1"/>
                <w:sz w:val="24"/>
                <w:highlight w:val="none"/>
                <w:lang w:eastAsia="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”的，投标无效。</w:t>
            </w:r>
          </w:p>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注：因备份投标文件无法正常打开或正常显示等所引起的一切后果，由投标人自行承担。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投标文件、流程文件签章</w:t>
            </w:r>
          </w:p>
        </w:tc>
        <w:tc>
          <w:tcPr>
            <w:tcW w:w="6874" w:type="dxa"/>
            <w:noWrap w:val="0"/>
            <w:vAlign w:val="center"/>
          </w:tcPr>
          <w:p>
            <w:pPr>
              <w:numPr>
                <w:ilvl w:val="0"/>
                <w:numId w:val="4"/>
              </w:num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w:t>
            </w:r>
            <w:r>
              <w:rPr>
                <w:rFonts w:hint="eastAsia" w:ascii="宋体" w:hAnsi="宋体" w:cs="宋体"/>
                <w:color w:val="000000" w:themeColor="text1"/>
                <w:kern w:val="0"/>
                <w:sz w:val="24"/>
                <w:highlight w:val="none"/>
                <w14:textFill>
                  <w14:solidFill>
                    <w14:schemeClr w14:val="tx1"/>
                  </w14:solidFill>
                </w14:textFill>
              </w:rPr>
              <w:t>加密</w:t>
            </w:r>
            <w:r>
              <w:rPr>
                <w:rFonts w:hint="eastAsia" w:ascii="宋体" w:hAnsi="宋体" w:cs="宋体"/>
                <w:color w:val="000000" w:themeColor="text1"/>
                <w:sz w:val="24"/>
                <w:highlight w:val="none"/>
                <w14:textFill>
                  <w14:solidFill>
                    <w14:schemeClr w14:val="tx1"/>
                  </w14:solidFill>
                </w14:textFill>
              </w:rPr>
              <w:t>投标文件必须有电子签章；</w:t>
            </w:r>
          </w:p>
          <w:p>
            <w:pPr>
              <w:numPr>
                <w:ilvl w:val="0"/>
                <w:numId w:val="4"/>
              </w:num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开标后，相关信息记录确认、澄清说明、回复等内容以电子签章</w:t>
            </w:r>
            <w:r>
              <w:rPr>
                <w:rFonts w:hint="eastAsia" w:ascii="宋体" w:hAnsi="宋体" w:cs="宋体"/>
                <w:color w:val="000000" w:themeColor="text1"/>
                <w:sz w:val="24"/>
                <w:highlight w:val="none"/>
                <w:lang w:eastAsia="zh-CN"/>
                <w14:textFill>
                  <w14:solidFill>
                    <w14:schemeClr w14:val="tx1"/>
                  </w14:solidFill>
                </w14:textFill>
              </w:rPr>
              <w:t>或者</w:t>
            </w:r>
            <w:r>
              <w:rPr>
                <w:rFonts w:hint="eastAsia" w:ascii="宋体" w:hAnsi="宋体" w:cs="宋体"/>
                <w:color w:val="000000" w:themeColor="text1"/>
                <w:sz w:val="24"/>
                <w:highlight w:val="none"/>
                <w14:textFill>
                  <w14:solidFill>
                    <w14:schemeClr w14:val="tx1"/>
                  </w14:solidFill>
                </w14:textFill>
              </w:rPr>
              <w:t>签章后上传相关文件，均认可；</w:t>
            </w:r>
          </w:p>
          <w:p>
            <w:pPr>
              <w:numPr>
                <w:ilvl w:val="0"/>
                <w:numId w:val="4"/>
              </w:num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乐采云</w:t>
            </w:r>
            <w:r>
              <w:rPr>
                <w:rFonts w:hint="eastAsia" w:ascii="宋体" w:hAnsi="宋体" w:cs="宋体"/>
                <w:color w:val="000000" w:themeColor="text1"/>
                <w:sz w:val="24"/>
                <w:highlight w:val="none"/>
                <w14:textFill>
                  <w14:solidFill>
                    <w14:schemeClr w14:val="tx1"/>
                  </w14:solidFill>
                </w14:textFill>
              </w:rPr>
              <w:t>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tc>
        <w:tc>
          <w:tcPr>
            <w:tcW w:w="6874" w:type="dxa"/>
            <w:noWrap w:val="0"/>
            <w:vAlign w:val="center"/>
          </w:tcPr>
          <w:p>
            <w:pPr>
              <w:adjustRightInd w:val="0"/>
              <w:snapToGrid w:val="0"/>
              <w:spacing w:line="300" w:lineRule="exact"/>
              <w:ind w:left="17" w:hanging="16" w:hangingChars="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u w:val="single"/>
                <w:lang w:val="en-US" w:eastAsia="zh-CN"/>
                <w14:textFill>
                  <w14:solidFill>
                    <w14:schemeClr w14:val="tx1"/>
                  </w14:solidFill>
                </w14:textFill>
              </w:rPr>
              <w:t xml:space="preserve"> 2025年2月13日14:30</w:t>
            </w:r>
            <w:r>
              <w:rPr>
                <w:rFonts w:hint="eastAsia" w:ascii="宋体" w:hAnsi="宋体" w:cs="宋体"/>
                <w:color w:val="000000" w:themeColor="text1"/>
                <w:kern w:val="0"/>
                <w:sz w:val="24"/>
                <w:highlight w:val="none"/>
                <w14:textFill>
                  <w14:solidFill>
                    <w14:schemeClr w14:val="tx1"/>
                  </w14:solidFill>
                </w14:textFill>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开标程序</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评标程序</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投标截止日后</w:t>
            </w:r>
            <w:r>
              <w:rPr>
                <w:rFonts w:hint="eastAsia" w:ascii="宋体" w:hAnsi="宋体" w:cs="宋体"/>
                <w:b/>
                <w:bCs/>
                <w:color w:val="000000" w:themeColor="text1"/>
                <w:sz w:val="24"/>
                <w:highlight w:val="none"/>
                <w14:textFill>
                  <w14:solidFill>
                    <w14:schemeClr w14:val="tx1"/>
                  </w14:solidFill>
                </w14:textFill>
              </w:rPr>
              <w:t>90天</w:t>
            </w:r>
            <w:r>
              <w:rPr>
                <w:rFonts w:hint="eastAsia" w:ascii="宋体" w:hAnsi="宋体" w:cs="宋体"/>
                <w:color w:val="000000" w:themeColor="text1"/>
                <w:sz w:val="24"/>
                <w:highlight w:val="none"/>
                <w14:textFill>
                  <w14:solidFill>
                    <w14:schemeClr w14:val="tx1"/>
                  </w14:solidFill>
                </w14:textFill>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3" w:hRule="atLeast"/>
          <w:jc w:val="center"/>
        </w:trPr>
        <w:tc>
          <w:tcPr>
            <w:tcW w:w="773" w:type="dxa"/>
            <w:noWrap w:val="0"/>
            <w:vAlign w:val="center"/>
          </w:tcPr>
          <w:p>
            <w:pPr>
              <w:adjustRightIn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投标保证金退还</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投标保证金采用</w:t>
            </w:r>
            <w:r>
              <w:rPr>
                <w:rFonts w:hint="eastAsia" w:ascii="宋体" w:hAnsi="宋体" w:eastAsia="宋体" w:cs="宋体"/>
                <w:color w:val="000000" w:themeColor="text1"/>
                <w:sz w:val="24"/>
                <w:highlight w:val="none"/>
                <w14:textFill>
                  <w14:solidFill>
                    <w14:schemeClr w14:val="tx1"/>
                  </w14:solidFill>
                </w14:textFill>
              </w:rPr>
              <w:t>银行电汇、转账</w:t>
            </w:r>
            <w:r>
              <w:rPr>
                <w:rFonts w:hint="eastAsia" w:ascii="宋体" w:hAnsi="宋体" w:eastAsia="宋体" w:cs="宋体"/>
                <w:color w:val="000000" w:themeColor="text1"/>
                <w:sz w:val="24"/>
                <w:highlight w:val="none"/>
                <w:lang w:eastAsia="zh-CN"/>
                <w14:textFill>
                  <w14:solidFill>
                    <w14:schemeClr w14:val="tx1"/>
                  </w14:solidFill>
                </w14:textFill>
              </w:rPr>
              <w:t>形式的，</w:t>
            </w:r>
            <w:r>
              <w:rPr>
                <w:rFonts w:hint="eastAsia" w:ascii="宋体" w:hAnsi="宋体" w:eastAsia="宋体" w:cs="宋体"/>
                <w:color w:val="000000" w:themeColor="text1"/>
                <w:sz w:val="24"/>
                <w:highlight w:val="none"/>
                <w14:textFill>
                  <w14:solidFill>
                    <w14:schemeClr w14:val="tx1"/>
                  </w14:solidFill>
                </w14:textFill>
              </w:rPr>
              <w:t>除招标文件规定不予退还的情形外</w:t>
            </w:r>
            <w:r>
              <w:rPr>
                <w:rFonts w:hint="eastAsia" w:ascii="宋体" w:hAnsi="宋体" w:eastAsia="宋体" w:cs="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sz w:val="24"/>
                <w:highlight w:val="none"/>
                <w14:textFill>
                  <w14:solidFill>
                    <w14:schemeClr w14:val="tx1"/>
                  </w14:solidFill>
                </w14:textFill>
              </w:rPr>
              <w:t>中标通知书发出后5个工作日内退还未中标供应商的投标保证金，本</w:t>
            </w:r>
            <w:r>
              <w:rPr>
                <w:rFonts w:hint="eastAsia" w:ascii="宋体" w:hAnsi="宋体" w:eastAsia="宋体" w:cs="宋体"/>
                <w:color w:val="000000" w:themeColor="text1"/>
                <w:kern w:val="0"/>
                <w:sz w:val="24"/>
                <w:highlight w:val="none"/>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以电汇或转账方式退还投标保证金；在采购合同签订后5个工作日内退还中标供应商的投标保证金。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0"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r>
              <w:rPr>
                <w:rFonts w:hint="eastAsia" w:ascii="宋体" w:hAnsi="宋体" w:cs="宋体"/>
                <w:b/>
                <w:bCs/>
                <w:color w:val="000000" w:themeColor="text1"/>
                <w:sz w:val="24"/>
                <w:highlight w:val="none"/>
                <w:lang w:eastAsia="zh-CN"/>
                <w14:textFill>
                  <w14:solidFill>
                    <w14:schemeClr w14:val="tx1"/>
                  </w14:solidFill>
                </w14:textFill>
              </w:rPr>
              <w:t>标项1、标项2均按30000元计取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（不计息）</w:t>
            </w:r>
          </w:p>
          <w:p>
            <w:pPr>
              <w:snapToGrid w:val="0"/>
              <w:spacing w:line="3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lang w:eastAsia="zh-CN"/>
                <w14:textFill>
                  <w14:solidFill>
                    <w14:schemeClr w14:val="tx1"/>
                  </w14:solidFill>
                </w14:textFill>
              </w:rPr>
              <w:t>履约保证金的形式：现金、支票、汇票、本票或者金融机构、保险公司、担保机构出具的保函/保险</w:t>
            </w:r>
          </w:p>
          <w:p>
            <w:pPr>
              <w:adjustRightInd w:val="0"/>
              <w:snapToGrid w:val="0"/>
              <w:spacing w:line="3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履约担保形式为现金（账户另行通知），</w:t>
            </w:r>
            <w:r>
              <w:rPr>
                <w:rFonts w:hint="eastAsia" w:ascii="宋体" w:hAnsi="宋体" w:cs="宋体"/>
                <w:color w:val="000000" w:themeColor="text1"/>
                <w:sz w:val="24"/>
                <w:highlight w:val="none"/>
                <w:lang w:eastAsia="zh-CN"/>
                <w14:textFill>
                  <w14:solidFill>
                    <w14:schemeClr w14:val="tx1"/>
                  </w14:solidFill>
                </w14:textFill>
              </w:rPr>
              <w:t>履约保证金待合同到期、验收合格后到采购人处办理退还手续。</w:t>
            </w:r>
          </w:p>
          <w:p>
            <w:pPr>
              <w:snapToGrid w:val="0"/>
              <w:spacing w:line="3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7"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1735" w:type="dxa"/>
            <w:noWrap w:val="0"/>
            <w:vAlign w:val="center"/>
          </w:tcPr>
          <w:p>
            <w:pPr>
              <w:adjustRightInd w:val="0"/>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询标澄清</w:t>
            </w:r>
          </w:p>
        </w:tc>
        <w:tc>
          <w:tcPr>
            <w:tcW w:w="6874" w:type="dxa"/>
            <w:noWrap w:val="0"/>
            <w:vAlign w:val="center"/>
          </w:tcPr>
          <w:p>
            <w:pPr>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本项目不要求投标人到开标现场开标，但投标人应派法定代表人或委托代理人准时在线出席电子开标会议，随时关注开标进度。如在评标过程</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w:t>
            </w:r>
            <w:r>
              <w:rPr>
                <w:rFonts w:hint="eastAsia" w:ascii="宋体" w:hAnsi="宋体" w:cs="宋体"/>
                <w:color w:val="000000" w:themeColor="text1"/>
                <w:kern w:val="0"/>
                <w:sz w:val="24"/>
                <w:highlight w:val="none"/>
                <w14:textFill>
                  <w14:solidFill>
                    <w14:schemeClr w14:val="tx1"/>
                  </w14:solidFill>
                </w14:textFill>
              </w:rPr>
              <w:t>投标人未按招标文件要求派代表参加电子开标会议的，视同认可开标结果，事后不得对开标过程及开标结果提出质疑。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1735" w:type="dxa"/>
            <w:noWrap w:val="0"/>
            <w:vAlign w:val="center"/>
          </w:tcPr>
          <w:p>
            <w:pPr>
              <w:adjustRightInd w:val="0"/>
              <w:snapToGrid w:val="0"/>
              <w:spacing w:line="40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公告发布媒体</w:t>
            </w:r>
          </w:p>
        </w:tc>
        <w:tc>
          <w:tcPr>
            <w:tcW w:w="6874" w:type="dxa"/>
            <w:noWrap w:val="0"/>
            <w:vAlign w:val="center"/>
          </w:tcPr>
          <w:p>
            <w:pPr>
              <w:pStyle w:val="26"/>
              <w:tabs>
                <w:tab w:val="left" w:pos="900"/>
              </w:tabs>
              <w:adjustRightInd w:val="0"/>
              <w:snapToGrid w:val="0"/>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773" w:type="dxa"/>
            <w:noWrap w:val="0"/>
            <w:vAlign w:val="center"/>
          </w:tcPr>
          <w:p>
            <w:pPr>
              <w:adjustRightIn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1735" w:type="dxa"/>
            <w:noWrap w:val="0"/>
            <w:vAlign w:val="center"/>
          </w:tcPr>
          <w:p>
            <w:pPr>
              <w:adjustRightInd w:val="0"/>
              <w:snapToGrid w:val="0"/>
              <w:spacing w:line="40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中标通知书</w:t>
            </w:r>
          </w:p>
        </w:tc>
        <w:tc>
          <w:tcPr>
            <w:tcW w:w="6874" w:type="dxa"/>
            <w:noWrap w:val="0"/>
            <w:vAlign w:val="center"/>
          </w:tcPr>
          <w:p>
            <w:pPr>
              <w:adjustRightInd w:val="0"/>
              <w:snapToGrid w:val="0"/>
              <w:spacing w:line="300" w:lineRule="exact"/>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发出中标结果公告的同时，招标人与招标代理机构共同向中标单位发出中标通知书。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73" w:type="dxa"/>
            <w:noWrap w:val="0"/>
            <w:vAlign w:val="center"/>
          </w:tcPr>
          <w:p>
            <w:pPr>
              <w:adjustRightInd w:val="0"/>
              <w:spacing w:line="40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27</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w:t>
            </w:r>
          </w:p>
        </w:tc>
        <w:tc>
          <w:tcPr>
            <w:tcW w:w="6874" w:type="dxa"/>
            <w:noWrap w:val="0"/>
            <w:vAlign w:val="center"/>
          </w:tcPr>
          <w:p>
            <w:pPr>
              <w:snapToGrid w:val="0"/>
              <w:spacing w:line="30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根据《中华人民共和国政府采购法》第五十二条、《中华人民共和国政府采购法实施条例》第五十三条、《政府采购质疑和投诉办法》的规定：</w:t>
            </w:r>
          </w:p>
          <w:p>
            <w:pPr>
              <w:snapToGrid w:val="0"/>
              <w:spacing w:line="30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投标人认为采购（招标）文件、采购过程、中标或者成交结果使自己的</w:t>
            </w:r>
            <w:r>
              <w:rPr>
                <w:rFonts w:hint="eastAsia" w:ascii="宋体" w:hAnsi="宋体" w:cs="宋体"/>
                <w:color w:val="000000" w:themeColor="text1"/>
                <w:kern w:val="0"/>
                <w:sz w:val="24"/>
                <w:highlight w:val="none"/>
                <w14:textFill>
                  <w14:solidFill>
                    <w14:schemeClr w14:val="tx1"/>
                  </w14:solidFill>
                </w14:textFill>
              </w:rPr>
              <w:t>合法</w:t>
            </w:r>
            <w:r>
              <w:rPr>
                <w:rFonts w:hint="eastAsia" w:ascii="宋体" w:hAnsi="宋体" w:cs="宋体"/>
                <w:snapToGrid w:val="0"/>
                <w:color w:val="000000" w:themeColor="text1"/>
                <w:kern w:val="0"/>
                <w:sz w:val="24"/>
                <w:highlight w:val="none"/>
                <w14:textFill>
                  <w14:solidFill>
                    <w14:schemeClr w14:val="tx1"/>
                  </w14:solidFill>
                </w14:textFill>
              </w:rPr>
              <w:t>权益受到损害的，</w:t>
            </w:r>
            <w:r>
              <w:rPr>
                <w:rFonts w:hint="eastAsia" w:ascii="宋体" w:hAnsi="宋体" w:cs="宋体"/>
                <w:color w:val="000000" w:themeColor="text1"/>
                <w:kern w:val="0"/>
                <w:sz w:val="24"/>
                <w:highlight w:val="none"/>
                <w14:textFill>
                  <w14:solidFill>
                    <w14:schemeClr w14:val="tx1"/>
                  </w14:solidFill>
                </w14:textFill>
              </w:rPr>
              <w:t>应当</w:t>
            </w:r>
            <w:r>
              <w:rPr>
                <w:rFonts w:hint="eastAsia" w:ascii="宋体" w:hAnsi="宋体" w:cs="宋体"/>
                <w:snapToGrid w:val="0"/>
                <w:color w:val="000000" w:themeColor="text1"/>
                <w:kern w:val="0"/>
                <w:sz w:val="24"/>
                <w:highlight w:val="none"/>
                <w14:textFill>
                  <w14:solidFill>
                    <w14:schemeClr w14:val="tx1"/>
                  </w14:solidFill>
                </w14:textFill>
              </w:rPr>
              <w:t>在知道或者应知其权益受到损害之日起7个工作日内，以书面形式向采购人、采购代理机构提出质疑</w:t>
            </w:r>
            <w:r>
              <w:rPr>
                <w:rFonts w:hint="eastAsia" w:ascii="宋体" w:hAnsi="宋体" w:cs="宋体"/>
                <w:color w:val="000000" w:themeColor="text1"/>
                <w:kern w:val="0"/>
                <w:sz w:val="24"/>
                <w:highlight w:val="none"/>
                <w14:textFill>
                  <w14:solidFill>
                    <w14:schemeClr w14:val="tx1"/>
                  </w14:solidFill>
                </w14:textFill>
              </w:rPr>
              <w:t>；逾期提出的，采购组织机构可以不予受理、答复。</w:t>
            </w:r>
          </w:p>
          <w:p>
            <w:pPr>
              <w:snapToGrid w:val="0"/>
              <w:spacing w:line="300" w:lineRule="exact"/>
              <w:rPr>
                <w:rFonts w:hint="eastAsia"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0" w:hRule="atLeast"/>
          <w:jc w:val="center"/>
        </w:trPr>
        <w:tc>
          <w:tcPr>
            <w:tcW w:w="773" w:type="dxa"/>
            <w:noWrap w:val="0"/>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1735" w:type="dxa"/>
            <w:noWrap w:val="0"/>
            <w:vAlign w:val="center"/>
          </w:tcPr>
          <w:p>
            <w:pPr>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w:t>
            </w:r>
          </w:p>
        </w:tc>
        <w:tc>
          <w:tcPr>
            <w:tcW w:w="6874" w:type="dxa"/>
            <w:noWrap w:val="0"/>
            <w:vAlign w:val="center"/>
          </w:tcPr>
          <w:p>
            <w:pPr>
              <w:snapToGrid w:val="0"/>
              <w:spacing w:line="30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根据《</w:t>
            </w:r>
            <w:r>
              <w:rPr>
                <w:rFonts w:hint="eastAsia" w:ascii="宋体" w:hAnsi="宋体" w:eastAsia="宋体" w:cs="宋体"/>
                <w:snapToGrid w:val="0"/>
                <w:color w:val="000000" w:themeColor="text1"/>
                <w:kern w:val="0"/>
                <w:sz w:val="24"/>
                <w:highlight w:val="none"/>
                <w14:textFill>
                  <w14:solidFill>
                    <w14:schemeClr w14:val="tx1"/>
                  </w14:solidFill>
                </w14:textFill>
              </w:rPr>
              <w:t>中华人民共和国政府采购法</w:t>
            </w:r>
            <w:r>
              <w:rPr>
                <w:rFonts w:hint="eastAsia" w:ascii="宋体" w:hAnsi="宋体" w:cs="宋体"/>
                <w:snapToGrid w:val="0"/>
                <w:color w:val="000000" w:themeColor="text1"/>
                <w:kern w:val="0"/>
                <w:sz w:val="24"/>
                <w:highlight w:val="none"/>
                <w14:textFill>
                  <w14:solidFill>
                    <w14:schemeClr w14:val="tx1"/>
                  </w14:solidFill>
                </w14:textFill>
              </w:rPr>
              <w:t>》第五十五条的规定，质疑投标人对采购人、采购代理机构的答复不满意或者采购人、采购代理机构未在规定的时间内作出答复的，可以在答复期满后十五个工作日内向监督管理部门投诉。</w:t>
            </w:r>
          </w:p>
          <w:p>
            <w:pPr>
              <w:snapToGrid w:val="0"/>
              <w:spacing w:line="30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以联合体形式参加采购活动的，其投诉应当由组成联合体的所有投标人共同提出（本项目不适用）。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1" w:hRule="atLeast"/>
          <w:jc w:val="center"/>
        </w:trPr>
        <w:tc>
          <w:tcPr>
            <w:tcW w:w="773" w:type="dxa"/>
            <w:noWrap w:val="0"/>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w:t>
            </w:r>
          </w:p>
        </w:tc>
        <w:tc>
          <w:tcPr>
            <w:tcW w:w="1735" w:type="dxa"/>
            <w:noWrap w:val="0"/>
            <w:vAlign w:val="center"/>
          </w:tcPr>
          <w:p>
            <w:pPr>
              <w:snapToGrid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874" w:type="dxa"/>
            <w:noWrap w:val="0"/>
            <w:vAlign w:val="center"/>
          </w:tcPr>
          <w:p>
            <w:pPr>
              <w:pStyle w:val="26"/>
              <w:tabs>
                <w:tab w:val="left" w:pos="900"/>
              </w:tabs>
              <w:adjustRightInd w:val="0"/>
              <w:snapToGrid w:val="0"/>
              <w:spacing w:line="30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w:t>
            </w:r>
            <w:r>
              <w:rPr>
                <w:rFonts w:hint="eastAsia" w:ascii="宋体" w:hAnsi="宋体" w:eastAsia="宋体" w:cs="宋体"/>
                <w:color w:val="000000" w:themeColor="text1"/>
                <w:kern w:val="0"/>
                <w:sz w:val="24"/>
                <w:szCs w:val="24"/>
                <w:highlight w:val="none"/>
                <w14:textFill>
                  <w14:solidFill>
                    <w14:schemeClr w14:val="tx1"/>
                  </w14:solidFill>
                </w14:textFill>
              </w:rPr>
              <w:t>招标内容及招标需求</w:t>
            </w:r>
            <w:r>
              <w:rPr>
                <w:rFonts w:hint="eastAsia" w:ascii="宋体" w:hAnsi="宋体" w:eastAsia="宋体" w:cs="宋体"/>
                <w:snapToGrid w:val="0"/>
                <w:color w:val="000000" w:themeColor="text1"/>
                <w:kern w:val="0"/>
                <w:sz w:val="24"/>
                <w:szCs w:val="24"/>
                <w:highlight w:val="none"/>
                <w14:textFill>
                  <w14:solidFill>
                    <w14:schemeClr w14:val="tx1"/>
                  </w14:solidFill>
                </w14:textFill>
              </w:rPr>
              <w:t>、第四部分合同条款等各项内容进行确认，如有偏离，应如实填写响应偏离表。</w:t>
            </w:r>
          </w:p>
          <w:p>
            <w:pPr>
              <w:pStyle w:val="26"/>
              <w:tabs>
                <w:tab w:val="left" w:pos="900"/>
              </w:tabs>
              <w:adjustRightInd w:val="0"/>
              <w:snapToGrid w:val="0"/>
              <w:spacing w:line="30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6"/>
              <w:tabs>
                <w:tab w:val="left" w:pos="900"/>
              </w:tabs>
              <w:adjustRightInd w:val="0"/>
              <w:snapToGrid w:val="0"/>
              <w:spacing w:line="30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（3）质疑、投诉人未按前列序号第2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 w:val="24"/>
                <w:szCs w:val="24"/>
                <w:highlight w:val="none"/>
                <w14:textFill>
                  <w14:solidFill>
                    <w14:schemeClr w14:val="tx1"/>
                  </w14:solidFill>
                </w14:textFill>
              </w:rPr>
              <w:t>条规定进行质疑、投诉（申诉）、举报等，均属于扰乱政府采购市场不良行为。</w:t>
            </w:r>
          </w:p>
          <w:p>
            <w:pPr>
              <w:snapToGrid w:val="0"/>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6"/>
              <w:tabs>
                <w:tab w:val="left" w:pos="900"/>
              </w:tabs>
              <w:snapToGrid w:val="0"/>
              <w:spacing w:line="3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（5）采购文件中凡标注“▲”的条款均为实质性要求，不响应的投标文件将作无效标处理。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8" w:hRule="atLeast"/>
          <w:jc w:val="center"/>
        </w:trPr>
        <w:tc>
          <w:tcPr>
            <w:tcW w:w="773" w:type="dxa"/>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735" w:type="dxa"/>
            <w:noWrap w:val="0"/>
            <w:vAlign w:val="center"/>
          </w:tcPr>
          <w:p>
            <w:pPr>
              <w:adjustRightInd w:val="0"/>
              <w:snapToGrid w:val="0"/>
              <w:spacing w:line="40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代理服务费用</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本项目招标代理费</w:t>
            </w:r>
            <w:r>
              <w:rPr>
                <w:rFonts w:hint="eastAsia" w:ascii="宋体" w:hAnsi="宋体" w:cs="宋体"/>
                <w:b/>
                <w:bCs/>
                <w:color w:val="000000" w:themeColor="text1"/>
                <w:sz w:val="24"/>
                <w:highlight w:val="none"/>
                <w:lang w:eastAsia="zh-CN"/>
                <w14:textFill>
                  <w14:solidFill>
                    <w14:schemeClr w14:val="tx1"/>
                  </w14:solidFill>
                </w14:textFill>
              </w:rPr>
              <w:t>标项1、标项2</w:t>
            </w:r>
            <w:r>
              <w:rPr>
                <w:rFonts w:hint="eastAsia" w:ascii="宋体" w:hAnsi="宋体" w:cs="宋体"/>
                <w:color w:val="000000" w:themeColor="text1"/>
                <w:kern w:val="0"/>
                <w:sz w:val="24"/>
                <w:highlight w:val="none"/>
                <w:lang w:eastAsia="zh-CN"/>
                <w14:textFill>
                  <w14:solidFill>
                    <w14:schemeClr w14:val="tx1"/>
                  </w14:solidFill>
                </w14:textFill>
              </w:rPr>
              <w:t>参照</w:t>
            </w:r>
            <w:r>
              <w:rPr>
                <w:rFonts w:hint="eastAsia" w:ascii="宋体" w:hAnsi="宋体" w:cs="宋体"/>
                <w:b/>
                <w:bCs/>
                <w:color w:val="000000" w:themeColor="text1"/>
                <w:sz w:val="24"/>
                <w:highlight w:val="none"/>
                <w14:textFill>
                  <w14:solidFill>
                    <w14:schemeClr w14:val="tx1"/>
                  </w14:solidFill>
                </w14:textFill>
              </w:rPr>
              <w:t>国家财政部、国家计委、国家物价局（2002）1980号文件规定的标准收费80%计取（标准收费附后，类型为货物招标）</w:t>
            </w:r>
            <w:r>
              <w:rPr>
                <w:rFonts w:hint="eastAsia" w:ascii="宋体" w:hAnsi="宋体" w:cs="宋体"/>
                <w:color w:val="000000" w:themeColor="text1"/>
                <w:kern w:val="0"/>
                <w:sz w:val="24"/>
                <w:highlight w:val="none"/>
                <w14:textFill>
                  <w14:solidFill>
                    <w14:schemeClr w14:val="tx1"/>
                  </w14:solidFill>
                </w14:textFill>
              </w:rPr>
              <w:t>。由中标人在合同签订前支付给招标代理机构，请各投标人将上述费用自行考虑进投标报价中。</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投标人以银行电汇、转账等形式交至：</w:t>
            </w:r>
          </w:p>
          <w:p>
            <w:pPr>
              <w:keepNext w:val="0"/>
              <w:keepLines w:val="0"/>
              <w:pageBreakBefore w:val="0"/>
              <w:widowControl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开户银行：中国工商银行股份有限公司浦江广场支行</w:t>
            </w:r>
          </w:p>
          <w:p>
            <w:pPr>
              <w:keepNext w:val="0"/>
              <w:keepLines w:val="0"/>
              <w:pageBreakBefore w:val="0"/>
              <w:widowControl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开户名称：浦江县产权交易有限公司</w:t>
            </w:r>
          </w:p>
          <w:p>
            <w:pPr>
              <w:keepNext w:val="0"/>
              <w:keepLines w:val="0"/>
              <w:pageBreakBefore w:val="0"/>
              <w:widowControl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账</w:t>
            </w:r>
            <w:r>
              <w:rPr>
                <w:rFonts w:hint="eastAsia" w:ascii="宋体" w:hAnsi="宋体" w:cs="宋体"/>
                <w:color w:val="000000" w:themeColor="text1"/>
                <w:kern w:val="0"/>
                <w:sz w:val="24"/>
                <w:highlight w:val="none"/>
                <w14:textFill>
                  <w14:solidFill>
                    <w14:schemeClr w14:val="tx1"/>
                  </w14:solidFill>
                </w14:textFill>
              </w:rPr>
              <w:t xml:space="preserve">    号：1208070509000033875</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szCs w:val="24"/>
                <w:highlight w:val="none"/>
                <w:lang w:eastAsia="zh-CN"/>
                <w14:textFill>
                  <w14:solidFill>
                    <w14:schemeClr w14:val="tx1"/>
                  </w14:solidFill>
                </w14:textFill>
              </w:rPr>
              <w:t>注：</w:t>
            </w:r>
            <w:r>
              <w:rPr>
                <w:rFonts w:hint="eastAsia" w:ascii="宋体" w:hAnsi="宋体" w:cs="宋体"/>
                <w:b/>
                <w:color w:val="000000" w:themeColor="text1"/>
                <w:kern w:val="0"/>
                <w:sz w:val="24"/>
                <w:szCs w:val="24"/>
                <w:highlight w:val="none"/>
                <w14:textFill>
                  <w14:solidFill>
                    <w14:schemeClr w14:val="tx1"/>
                  </w14:solidFill>
                </w14:textFill>
              </w:rPr>
              <w:t>招标代理费</w:t>
            </w:r>
            <w:r>
              <w:rPr>
                <w:rFonts w:hint="eastAsia" w:ascii="宋体" w:hAnsi="宋体" w:cs="宋体"/>
                <w:b/>
                <w:color w:val="000000" w:themeColor="text1"/>
                <w:kern w:val="0"/>
                <w:sz w:val="24"/>
                <w:szCs w:val="24"/>
                <w:highlight w:val="none"/>
                <w:lang w:eastAsia="zh-CN"/>
                <w14:textFill>
                  <w14:solidFill>
                    <w14:schemeClr w14:val="tx1"/>
                  </w14:solidFill>
                </w14:textFill>
              </w:rPr>
              <w:t>不足</w:t>
            </w:r>
            <w:r>
              <w:rPr>
                <w:rFonts w:hint="eastAsia" w:ascii="宋体" w:hAnsi="宋体" w:cs="宋体"/>
                <w:b/>
                <w:color w:val="000000" w:themeColor="text1"/>
                <w:kern w:val="0"/>
                <w:sz w:val="24"/>
                <w:szCs w:val="24"/>
                <w:highlight w:val="none"/>
                <w:lang w:val="en-US" w:eastAsia="zh-CN"/>
                <w14:textFill>
                  <w14:solidFill>
                    <w14:schemeClr w14:val="tx1"/>
                  </w14:solidFill>
                </w14:textFill>
              </w:rPr>
              <w:t>2000元，按2000元计取。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773" w:type="dxa"/>
            <w:noWrap w:val="0"/>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w:t>
            </w:r>
          </w:p>
        </w:tc>
        <w:tc>
          <w:tcPr>
            <w:tcW w:w="1735" w:type="dxa"/>
            <w:noWrap w:val="0"/>
            <w:vAlign w:val="center"/>
          </w:tcPr>
          <w:p>
            <w:pPr>
              <w:adjustRightInd w:val="0"/>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解释</w:t>
            </w:r>
          </w:p>
        </w:tc>
        <w:tc>
          <w:tcPr>
            <w:tcW w:w="6874" w:type="dxa"/>
            <w:noWrap w:val="0"/>
            <w:vAlign w:val="center"/>
          </w:tcPr>
          <w:p>
            <w:pPr>
              <w:snapToGrid w:val="0"/>
              <w:spacing w:line="3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本招标文件的解释权属于招标采购单位。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6" w:hRule="atLeast"/>
          <w:jc w:val="center"/>
        </w:trPr>
        <w:tc>
          <w:tcPr>
            <w:tcW w:w="773" w:type="dxa"/>
            <w:noWrap w:val="0"/>
            <w:vAlign w:val="center"/>
          </w:tcPr>
          <w:p>
            <w:pPr>
              <w:adjustRightInd w:val="0"/>
              <w:snapToGrid w:val="0"/>
              <w:spacing w:line="40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w:t>
            </w:r>
          </w:p>
        </w:tc>
        <w:tc>
          <w:tcPr>
            <w:tcW w:w="1735" w:type="dxa"/>
            <w:noWrap w:val="0"/>
            <w:vAlign w:val="center"/>
          </w:tcPr>
          <w:p>
            <w:pPr>
              <w:adjustRightInd w:val="0"/>
              <w:snapToGrid w:val="0"/>
              <w:spacing w:line="40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本项目支持中小企业、残疾人福利性单位及监狱企业的政策规定</w:t>
            </w:r>
          </w:p>
        </w:tc>
        <w:tc>
          <w:tcPr>
            <w:tcW w:w="6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支持中小企业</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（1）按照《关于印发中小企业划型标准规定的通知》（工信部联企业〔2011〕300号）相关规定，根据具体品目确定相应标准。符合上述条件的中小微型企业应按照格式要求提供《中小企业声明函》。</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（2）根据财政部发布的《</w:t>
            </w:r>
            <w:r>
              <w:rPr>
                <w:rFonts w:hint="eastAsia" w:ascii="宋体" w:hAnsi="宋体" w:cs="宋体"/>
                <w:b/>
                <w:color w:val="000000" w:themeColor="text1"/>
                <w:sz w:val="24"/>
                <w:highlight w:val="none"/>
                <w14:textFill>
                  <w14:solidFill>
                    <w14:schemeClr w14:val="tx1"/>
                  </w14:solidFill>
                </w14:textFill>
              </w:rPr>
              <w:t>政府采购促进中小企业发展管理办法</w:t>
            </w:r>
            <w:r>
              <w:rPr>
                <w:rFonts w:hint="eastAsia" w:ascii="宋体" w:hAnsi="宋体" w:cs="宋体"/>
                <w:color w:val="000000" w:themeColor="text1"/>
                <w:sz w:val="24"/>
                <w:highlight w:val="none"/>
                <w14:textFill>
                  <w14:solidFill>
                    <w14:schemeClr w14:val="tx1"/>
                  </w14:solidFill>
                </w14:textFill>
              </w:rPr>
              <w:t>》（财库〔2020〕46号）规定，对于非专门面向此类企业的项目，对小微企业报价给</w:t>
            </w:r>
            <w:r>
              <w:rPr>
                <w:rFonts w:hint="eastAsia" w:ascii="宋体" w:hAnsi="宋体" w:cs="宋体"/>
                <w:b/>
                <w:color w:val="000000" w:themeColor="text1"/>
                <w:sz w:val="24"/>
                <w:highlight w:val="none"/>
                <w14:textFill>
                  <w14:solidFill>
                    <w14:schemeClr w14:val="tx1"/>
                  </w14:solidFill>
                </w14:textFill>
              </w:rPr>
              <w:t>予6%-10%</w:t>
            </w:r>
            <w:r>
              <w:rPr>
                <w:rFonts w:hint="eastAsia" w:ascii="宋体" w:hAnsi="宋体" w:cs="宋体"/>
                <w:color w:val="000000" w:themeColor="text1"/>
                <w:sz w:val="24"/>
                <w:highlight w:val="none"/>
                <w14:textFill>
                  <w14:solidFill>
                    <w14:schemeClr w14:val="tx1"/>
                  </w14:solidFill>
                </w14:textFill>
              </w:rPr>
              <w:t>（工程项目3%-5%）的扣除，用扣除后的价格参加评审。</w:t>
            </w:r>
            <w:r>
              <w:rPr>
                <w:rFonts w:hint="eastAsia" w:ascii="宋体" w:hAnsi="宋体" w:cs="宋体"/>
                <w:b/>
                <w:color w:val="000000" w:themeColor="text1"/>
                <w:sz w:val="24"/>
                <w:highlight w:val="none"/>
                <w14:textFill>
                  <w14:solidFill>
                    <w14:schemeClr w14:val="tx1"/>
                  </w14:solidFill>
                </w14:textFill>
              </w:rPr>
              <w:t>本项目的扣除比例为6%。</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snapToGrid w:val="0"/>
                <w:color w:val="000000" w:themeColor="text1"/>
                <w:kern w:val="0"/>
                <w:sz w:val="24"/>
                <w:highlight w:val="none"/>
                <w14:textFill>
                  <w14:solidFill>
                    <w14:schemeClr w14:val="tx1"/>
                  </w14:solidFill>
                </w14:textFill>
              </w:rPr>
              <w:t>（本项目不适用）。</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支持残疾人福利性单位：</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支持监狱企业：</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1.此项目为非专门面向中小企业采购项目</w:t>
            </w:r>
            <w:r>
              <w:rPr>
                <w:rFonts w:hint="eastAsia"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《关于印发中小企业划型标准规定的通知》（工信部联企业〔2011〕300号）划分</w:t>
            </w:r>
            <w:r>
              <w:rPr>
                <w:rFonts w:hint="eastAsia" w:ascii="宋体" w:hAnsi="宋体" w:cs="宋体"/>
                <w:b/>
                <w:color w:val="000000" w:themeColor="text1"/>
                <w:sz w:val="24"/>
                <w:highlight w:val="none"/>
                <w14:textFill>
                  <w14:solidFill>
                    <w14:schemeClr w14:val="tx1"/>
                  </w14:solidFill>
                </w14:textFill>
              </w:rPr>
              <w:t>属于</w:t>
            </w:r>
            <w:r>
              <w:rPr>
                <w:rFonts w:hint="eastAsia" w:ascii="宋体" w:hAnsi="宋体" w:cs="宋体"/>
                <w:b/>
                <w:color w:val="000000" w:themeColor="text1"/>
                <w:sz w:val="24"/>
                <w:highlight w:val="none"/>
                <w:u w:val="single"/>
                <w14:textFill>
                  <w14:solidFill>
                    <w14:schemeClr w14:val="tx1"/>
                  </w14:solidFill>
                </w14:textFill>
              </w:rPr>
              <w:t xml:space="preserve"> 工业 行业</w:t>
            </w:r>
            <w:r>
              <w:rPr>
                <w:rFonts w:hint="eastAsia" w:ascii="宋体" w:hAnsi="宋体" w:eastAsia="宋体" w:cs="宋体"/>
                <w:b/>
                <w:color w:val="000000" w:themeColor="text1"/>
                <w:sz w:val="24"/>
                <w:highlight w:val="none"/>
                <w:u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中小企业参加本次采购活动，应当出具</w:t>
            </w:r>
            <w:r>
              <w:rPr>
                <w:rFonts w:hint="eastAsia" w:ascii="宋体" w:hAnsi="宋体" w:cs="宋体"/>
                <w:b/>
                <w:color w:val="000000" w:themeColor="text1"/>
                <w:sz w:val="24"/>
                <w:highlight w:val="none"/>
                <w14:textFill>
                  <w14:solidFill>
                    <w14:schemeClr w14:val="tx1"/>
                  </w14:solidFill>
                </w14:textFill>
              </w:rPr>
              <w:t>《关于印发&lt;政府采购促进中小企业发展管理办法&gt;的通知》(财库〔2020〕46号)规定的《中小企业声明函》</w:t>
            </w:r>
            <w:r>
              <w:rPr>
                <w:rFonts w:hint="eastAsia" w:ascii="宋体" w:hAnsi="宋体" w:cs="宋体"/>
                <w:color w:val="000000" w:themeColor="text1"/>
                <w:sz w:val="24"/>
                <w:highlight w:val="none"/>
                <w14:textFill>
                  <w14:solidFill>
                    <w14:schemeClr w14:val="tx1"/>
                  </w14:solidFill>
                </w14:textFill>
              </w:rPr>
              <w:t>，否则不得享受相关中小企业扶持政策。</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2.监狱企业、残疾人福利性单位视同小型、微型企业，享受同样的价格扣除。</w:t>
            </w:r>
          </w:p>
          <w:p>
            <w:pPr>
              <w:keepNext w:val="0"/>
              <w:keepLines w:val="0"/>
              <w:pageBreakBefore w:val="0"/>
              <w:widowControl w:val="0"/>
              <w:kinsoku/>
              <w:wordWrap/>
              <w:overflowPunct/>
              <w:topLinePunct w:val="0"/>
              <w:autoSpaceDE/>
              <w:autoSpaceDN/>
              <w:bidi w:val="0"/>
              <w:snapToGrid w:val="0"/>
              <w:spacing w:line="300" w:lineRule="exac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3.监狱企业、残疾人福利性单位属于小型、微型企业的，不重复享受政策。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9" w:hRule="atLeast"/>
          <w:jc w:val="center"/>
        </w:trPr>
        <w:tc>
          <w:tcPr>
            <w:tcW w:w="773" w:type="dxa"/>
            <w:noWrap w:val="0"/>
            <w:vAlign w:val="center"/>
          </w:tcPr>
          <w:p>
            <w:pPr>
              <w:adjustRightInd w:val="0"/>
              <w:snapToGrid w:val="0"/>
              <w:spacing w:line="36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33</w:t>
            </w:r>
          </w:p>
        </w:tc>
        <w:tc>
          <w:tcPr>
            <w:tcW w:w="173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本项目关于节能产品、环境标志产品的政府采购的政策规定</w:t>
            </w:r>
          </w:p>
        </w:tc>
        <w:tc>
          <w:tcPr>
            <w:tcW w:w="6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节能产品、环境标志产品的强制采购政策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val="0"/>
              <w:kinsoku/>
              <w:wordWrap/>
              <w:overflowPunct/>
              <w:topLinePunct w:val="0"/>
              <w:autoSpaceDE/>
              <w:autoSpaceDN/>
              <w:bidi w:val="0"/>
              <w:adjustRightInd w:val="0"/>
              <w:snapToGrid w:val="0"/>
              <w:spacing w:line="360" w:lineRule="exact"/>
              <w:ind w:left="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节能产品、环境标志产品的优先采购政策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73" w:type="dxa"/>
            <w:noWrap w:val="0"/>
            <w:vAlign w:val="center"/>
          </w:tcPr>
          <w:p>
            <w:pPr>
              <w:adjustRightInd w:val="0"/>
              <w:snapToGrid w:val="0"/>
              <w:spacing w:line="36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34</w:t>
            </w:r>
          </w:p>
        </w:tc>
        <w:tc>
          <w:tcPr>
            <w:tcW w:w="1735" w:type="dxa"/>
            <w:noWrap w:val="0"/>
            <w:vAlign w:val="center"/>
          </w:tcPr>
          <w:p>
            <w:pPr>
              <w:adjustRightInd w:val="0"/>
              <w:snapToGrid w:val="0"/>
              <w:spacing w:line="360" w:lineRule="exact"/>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信用记录查询</w:t>
            </w:r>
          </w:p>
        </w:tc>
        <w:tc>
          <w:tcPr>
            <w:tcW w:w="6874" w:type="dxa"/>
            <w:noWrap w:val="0"/>
            <w:vAlign w:val="center"/>
          </w:tcPr>
          <w:p>
            <w:pPr>
              <w:adjustRightInd w:val="0"/>
              <w:snapToGrid w:val="0"/>
              <w:spacing w:line="32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根据《关于在政府采购活动中查询及使用信用记录有关问题的通知》财库[2016]125号的规定：</w:t>
            </w:r>
          </w:p>
          <w:p>
            <w:pPr>
              <w:numPr>
                <w:ilvl w:val="0"/>
                <w:numId w:val="5"/>
              </w:numPr>
              <w:adjustRightInd w:val="0"/>
              <w:snapToGrid w:val="0"/>
              <w:spacing w:line="32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查询渠道：“信用中国”网站(www.creditchina.gov.cn)、中国政府采购网(www.ccgp.gov.cn)渠道查询</w:t>
            </w:r>
          </w:p>
          <w:p>
            <w:pPr>
              <w:adjustRightInd w:val="0"/>
              <w:snapToGrid w:val="0"/>
              <w:spacing w:line="32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2、截止时间：投标截止时间前。</w:t>
            </w:r>
          </w:p>
          <w:p>
            <w:pPr>
              <w:adjustRightInd w:val="0"/>
              <w:snapToGrid w:val="0"/>
              <w:spacing w:line="32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3、查询记录和证据留存的具体方式：</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s="宋体"/>
                <w:snapToGrid w:val="0"/>
                <w:color w:val="000000" w:themeColor="text1"/>
                <w:kern w:val="0"/>
                <w:sz w:val="24"/>
                <w:highlight w:val="none"/>
                <w14:textFill>
                  <w14:solidFill>
                    <w14:schemeClr w14:val="tx1"/>
                  </w14:solidFill>
                </w14:textFill>
              </w:rPr>
              <w:t>开标当天查询投标人的信用记录，</w:t>
            </w:r>
            <w:r>
              <w:rPr>
                <w:rFonts w:hint="eastAsia" w:ascii="宋体" w:hAnsi="宋体" w:cs="宋体"/>
                <w:color w:val="000000" w:themeColor="text1"/>
                <w:kern w:val="0"/>
                <w:sz w:val="24"/>
                <w:highlight w:val="none"/>
                <w14:textFill>
                  <w14:solidFill>
                    <w14:schemeClr w14:val="tx1"/>
                  </w14:solidFill>
                </w14:textFill>
              </w:rPr>
              <w:t>查询结果经确认后与采购文件一起存档。</w:t>
            </w:r>
          </w:p>
          <w:p>
            <w:pPr>
              <w:adjustRightInd w:val="0"/>
              <w:snapToGrid w:val="0"/>
              <w:spacing w:line="320" w:lineRule="exac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4、使用规则：经查询列入失信被执行人名单、重大税收违法案件当事人名单、政府采购严重违法失信行为记录名单的投标人的投标文件将被拒绝。</w:t>
            </w:r>
          </w:p>
        </w:tc>
      </w:tr>
    </w:tbl>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注：以上内容如有变化将另行书面通知。如通知其中某一内容发生变化，其余未提及的将不作变动。</w:t>
      </w:r>
    </w:p>
    <w:p>
      <w:pPr>
        <w:pStyle w:val="138"/>
        <w:rPr>
          <w:rFonts w:hint="eastAsia"/>
          <w:color w:val="000000" w:themeColor="text1"/>
          <w:highlight w:val="none"/>
          <w14:textFill>
            <w14:solidFill>
              <w14:schemeClr w14:val="tx1"/>
            </w14:solidFill>
          </w14:textFill>
        </w:rPr>
      </w:pPr>
    </w:p>
    <w:p>
      <w:pPr>
        <w:pStyle w:val="138"/>
        <w:rPr>
          <w:rFonts w:hint="eastAsia"/>
          <w:color w:val="000000" w:themeColor="text1"/>
          <w:highlight w:val="none"/>
          <w14:textFill>
            <w14:solidFill>
              <w14:schemeClr w14:val="tx1"/>
            </w14:solidFill>
          </w14:textFill>
        </w:rPr>
      </w:pPr>
    </w:p>
    <w:p>
      <w:pPr>
        <w:pStyle w:val="138"/>
        <w:rPr>
          <w:rFonts w:hint="eastAsia"/>
          <w:color w:val="000000" w:themeColor="text1"/>
          <w:highlight w:val="none"/>
          <w14:textFill>
            <w14:solidFill>
              <w14:schemeClr w14:val="tx1"/>
            </w14:solidFill>
          </w14:textFill>
        </w:rPr>
      </w:pPr>
    </w:p>
    <w:p>
      <w:pPr>
        <w:pStyle w:val="46"/>
        <w:ind w:firstLine="600"/>
        <w:rPr>
          <w:rFonts w:hint="eastAsia" w:hAnsi="宋体"/>
          <w:color w:val="000000" w:themeColor="text1"/>
          <w:sz w:val="30"/>
          <w:szCs w:val="30"/>
          <w:highlight w:val="none"/>
          <w14:textFill>
            <w14:solidFill>
              <w14:schemeClr w14:val="tx1"/>
            </w14:solidFill>
          </w14:textFill>
        </w:rPr>
      </w:pPr>
      <w:bookmarkStart w:id="25" w:name="_Hlk526933024"/>
    </w:p>
    <w:p>
      <w:pPr>
        <w:pStyle w:val="2"/>
        <w:numPr>
          <w:ilvl w:val="0"/>
          <w:numId w:val="6"/>
        </w:numPr>
        <w:jc w:val="center"/>
        <w:rPr>
          <w:rFonts w:hint="eastAsia"/>
          <w:color w:val="000000" w:themeColor="text1"/>
          <w:sz w:val="30"/>
          <w:szCs w:val="30"/>
          <w:highlight w:val="none"/>
          <w14:textFill>
            <w14:solidFill>
              <w14:schemeClr w14:val="tx1"/>
            </w14:solidFill>
          </w14:textFill>
        </w:rPr>
      </w:pPr>
      <w:bookmarkStart w:id="26" w:name="_Toc5715"/>
      <w:bookmarkStart w:id="27" w:name="_Toc2187"/>
      <w:bookmarkStart w:id="28" w:name="_Toc9627"/>
      <w:bookmarkStart w:id="29" w:name="_Toc23944"/>
      <w:bookmarkStart w:id="30" w:name="_Toc29426"/>
      <w:r>
        <w:rPr>
          <w:rFonts w:hint="eastAsia"/>
          <w:color w:val="000000" w:themeColor="text1"/>
          <w:sz w:val="30"/>
          <w:szCs w:val="30"/>
          <w:highlight w:val="none"/>
          <w14:textFill>
            <w14:solidFill>
              <w14:schemeClr w14:val="tx1"/>
            </w14:solidFill>
          </w14:textFill>
        </w:rPr>
        <w:t>投标须知</w:t>
      </w:r>
      <w:bookmarkEnd w:id="26"/>
      <w:bookmarkEnd w:id="27"/>
      <w:bookmarkEnd w:id="28"/>
      <w:bookmarkEnd w:id="29"/>
      <w:bookmarkEnd w:id="30"/>
    </w:p>
    <w:p>
      <w:pP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一、总  则</w:t>
      </w:r>
    </w:p>
    <w:bookmarkEnd w:id="25"/>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1、适用范围</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1.1 本采购文件仅适用于本次招标项目。</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1.2 本项目采购方式为公开招标。</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1.3 投标须知为采购文件的通用条款，如通用条款与前附表、招标内容及需求、合同条款等特定条款不一致的，请按特定条款执行。</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2、定义</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2.1“采购人”系指</w:t>
      </w:r>
      <w:r>
        <w:rPr>
          <w:rFonts w:hint="eastAsia" w:ascii="宋体" w:hAnsi="宋体" w:cs="宋体"/>
          <w:snapToGrid w:val="0"/>
          <w:color w:val="000000" w:themeColor="text1"/>
          <w:kern w:val="0"/>
          <w:sz w:val="24"/>
          <w:highlight w:val="none"/>
          <w:lang w:eastAsia="zh-CN"/>
          <w14:textFill>
            <w14:solidFill>
              <w14:schemeClr w14:val="tx1"/>
            </w14:solidFill>
          </w14:textFill>
        </w:rPr>
        <w:t>浦江县城乡自来水有限公司</w:t>
      </w:r>
      <w:r>
        <w:rPr>
          <w:rFonts w:hint="eastAsia" w:ascii="宋体" w:hAnsi="宋体" w:cs="宋体"/>
          <w:color w:val="000000" w:themeColor="text1"/>
          <w:sz w:val="24"/>
          <w:highlight w:val="none"/>
          <w14:textFill>
            <w14:solidFill>
              <w14:schemeClr w14:val="tx1"/>
            </w14:solidFill>
          </w14:textFill>
        </w:rPr>
        <w:t>（合同中的甲方）</w:t>
      </w:r>
      <w:r>
        <w:rPr>
          <w:rFonts w:hint="eastAsia" w:ascii="宋体" w:hAnsi="宋体" w:cs="宋体"/>
          <w:snapToGrid w:val="0"/>
          <w:color w:val="000000" w:themeColor="text1"/>
          <w:kern w:val="0"/>
          <w:sz w:val="24"/>
          <w:highlight w:val="none"/>
          <w14:textFill>
            <w14:solidFill>
              <w14:schemeClr w14:val="tx1"/>
            </w14:solidFill>
          </w14:textFill>
        </w:rPr>
        <w:t>。</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2.2“采购代理机构”系指浦江县产权交易有限公司</w:t>
      </w:r>
      <w:r>
        <w:rPr>
          <w:rFonts w:hint="eastAsia" w:ascii="宋体" w:hAnsi="宋体" w:cs="宋体"/>
          <w:color w:val="000000" w:themeColor="text1"/>
          <w:sz w:val="24"/>
          <w:highlight w:val="none"/>
          <w14:textFill>
            <w14:solidFill>
              <w14:schemeClr w14:val="tx1"/>
            </w14:solidFill>
          </w14:textFill>
        </w:rPr>
        <w:t>（合同中的鉴证方）</w:t>
      </w:r>
      <w:r>
        <w:rPr>
          <w:rFonts w:hint="eastAsia" w:ascii="宋体" w:hAnsi="宋体" w:cs="宋体"/>
          <w:snapToGrid w:val="0"/>
          <w:color w:val="000000" w:themeColor="text1"/>
          <w:kern w:val="0"/>
          <w:sz w:val="24"/>
          <w:highlight w:val="none"/>
          <w14:textFill>
            <w14:solidFill>
              <w14:schemeClr w14:val="tx1"/>
            </w14:solidFill>
          </w14:textFill>
        </w:rPr>
        <w:t>。</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2.3“监督管理部门”系指</w:t>
      </w:r>
      <w:r>
        <w:rPr>
          <w:rFonts w:hint="eastAsia" w:ascii="宋体" w:hAnsi="宋体" w:cs="宋体"/>
          <w:color w:val="000000" w:themeColor="text1"/>
          <w:kern w:val="0"/>
          <w:sz w:val="24"/>
          <w:highlight w:val="none"/>
          <w14:textFill>
            <w14:solidFill>
              <w14:schemeClr w14:val="tx1"/>
            </w14:solidFill>
          </w14:textFill>
        </w:rPr>
        <w:t>浦江县人民政府国有资产监督管理办公室</w:t>
      </w:r>
      <w:r>
        <w:rPr>
          <w:rFonts w:hint="eastAsia" w:ascii="宋体" w:hAnsi="宋体" w:cs="宋体"/>
          <w:snapToGrid w:val="0"/>
          <w:color w:val="000000" w:themeColor="text1"/>
          <w:kern w:val="0"/>
          <w:sz w:val="24"/>
          <w:highlight w:val="none"/>
          <w14:textFill>
            <w14:solidFill>
              <w14:schemeClr w14:val="tx1"/>
            </w14:solidFill>
          </w14:textFill>
        </w:rPr>
        <w:t>。</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2.4“投标人”系指响应本次招标，参加本次投标的独立法人。</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2.5“产品”系指供方按招标文件规定，须向采购人提供的</w:t>
      </w:r>
      <w:r>
        <w:rPr>
          <w:rFonts w:hint="eastAsia" w:ascii="宋体" w:hAnsi="宋体" w:cs="宋体"/>
          <w:snapToGrid w:val="0"/>
          <w:color w:val="000000" w:themeColor="text1"/>
          <w:kern w:val="0"/>
          <w:sz w:val="24"/>
          <w:highlight w:val="none"/>
          <w:lang w:eastAsia="zh-CN"/>
          <w14:textFill>
            <w14:solidFill>
              <w14:schemeClr w14:val="tx1"/>
            </w14:solidFill>
          </w14:textFill>
        </w:rPr>
        <w:t>货物</w:t>
      </w:r>
      <w:r>
        <w:rPr>
          <w:rFonts w:hint="eastAsia" w:ascii="宋体" w:hAnsi="宋体" w:cs="宋体"/>
          <w:snapToGrid w:val="0"/>
          <w:color w:val="000000" w:themeColor="text1"/>
          <w:kern w:val="0"/>
          <w:sz w:val="24"/>
          <w:highlight w:val="none"/>
          <w14:textFill>
            <w14:solidFill>
              <w14:schemeClr w14:val="tx1"/>
            </w14:solidFill>
          </w14:textFill>
        </w:rPr>
        <w:t>、设备、备品备件、工具、手册及其它有关技术资料和材料。</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2.6“服务”系指采购文件或合同规定投标人须承担的服务以及其他类似的义务。</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2.7“实质性条款”系指采购文件条款前标注“▲”标识的条款。</w:t>
      </w:r>
    </w:p>
    <w:p>
      <w:pPr>
        <w:adjustRightInd w:val="0"/>
        <w:snapToGrid w:val="0"/>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2.8官方指定网站公示的内容视为书面告知。</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3、合格的投标人及合格的投标货物和服务</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3.1合格的投标人，详见采购公告第二条规定的投标人必须具备的资格条件并经采购人或采购代理机构审查通过的。</w:t>
      </w:r>
    </w:p>
    <w:p>
      <w:pPr>
        <w:adjustRightInd w:val="0"/>
        <w:snapToGrid w:val="0"/>
        <w:spacing w:line="420" w:lineRule="exact"/>
        <w:ind w:firstLine="482" w:firstLineChars="200"/>
        <w:rPr>
          <w:rFonts w:hint="eastAsia"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3.2对</w:t>
      </w:r>
      <w:r>
        <w:rPr>
          <w:rFonts w:hint="eastAsia" w:ascii="宋体" w:hAnsi="宋体" w:cs="宋体"/>
          <w:b/>
          <w:bCs/>
          <w:color w:val="000000" w:themeColor="text1"/>
          <w:kern w:val="0"/>
          <w:sz w:val="24"/>
          <w:highlight w:val="none"/>
          <w14:textFill>
            <w14:solidFill>
              <w14:schemeClr w14:val="tx1"/>
            </w14:solidFill>
          </w14:textFill>
        </w:rPr>
        <w:t>投标人、采购人员及相关人员</w:t>
      </w:r>
      <w:r>
        <w:rPr>
          <w:rFonts w:hint="eastAsia" w:ascii="宋体" w:hAnsi="宋体" w:cs="宋体"/>
          <w:b/>
          <w:bCs/>
          <w:snapToGrid w:val="0"/>
          <w:color w:val="000000" w:themeColor="text1"/>
          <w:kern w:val="0"/>
          <w:sz w:val="24"/>
          <w:highlight w:val="none"/>
          <w14:textFill>
            <w14:solidFill>
              <w14:schemeClr w14:val="tx1"/>
            </w14:solidFill>
          </w14:textFill>
        </w:rPr>
        <w:t>的限制</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3.2.1单位负责人（指法定代表人或者法律、行政法规规定代表单位行使职权的主要负责人）为同一人或者存在直接控股、管理关系的，</w:t>
      </w:r>
      <w:r>
        <w:rPr>
          <w:rFonts w:hint="eastAsia" w:ascii="宋体" w:hAnsi="宋体" w:cs="宋体"/>
          <w:color w:val="000000" w:themeColor="text1"/>
          <w:kern w:val="0"/>
          <w:sz w:val="24"/>
          <w:highlight w:val="none"/>
          <w14:textFill>
            <w14:solidFill>
              <w14:schemeClr w14:val="tx1"/>
            </w14:solidFill>
          </w14:textFill>
        </w:rPr>
        <w:t>不得同时</w:t>
      </w:r>
      <w:r>
        <w:rPr>
          <w:rFonts w:hint="eastAsia" w:ascii="宋体" w:hAnsi="宋体" w:cs="宋体"/>
          <w:snapToGrid w:val="0"/>
          <w:color w:val="000000" w:themeColor="text1"/>
          <w:kern w:val="0"/>
          <w:sz w:val="24"/>
          <w:highlight w:val="none"/>
          <w14:textFill>
            <w14:solidFill>
              <w14:schemeClr w14:val="tx1"/>
            </w14:solidFill>
          </w14:textFill>
        </w:rPr>
        <w:t>参加同一合同项下的采购活动。违反本条规定的，相关投标均无效；</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3.2.2为本项目提供过整体设计、规范编制或者项目管理、监理、检测等服务的投标人，不得再参加该采购项目的其他采购活动；</w:t>
      </w:r>
    </w:p>
    <w:p>
      <w:pPr>
        <w:adjustRightInd w:val="0"/>
        <w:snapToGrid w:val="0"/>
        <w:spacing w:line="42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3.2.3</w:t>
      </w:r>
      <w:r>
        <w:rPr>
          <w:rFonts w:hint="eastAsia" w:ascii="宋体" w:hAnsi="宋体" w:cs="宋体"/>
          <w:color w:val="000000" w:themeColor="text1"/>
          <w:kern w:val="0"/>
          <w:sz w:val="24"/>
          <w:highlight w:val="none"/>
          <w14:textFill>
            <w14:solidFill>
              <w14:schemeClr w14:val="tx1"/>
            </w14:solidFill>
          </w14:textFill>
        </w:rPr>
        <w:t>列入失信被执行人、重大税收违法案件当事人名单、政府采购严重违法失信行为记录名单及其它不符合《中华人民共和国政府采购法》第二十二条规定条件的（联合体形式投标的，联合体成员存在不良信用记录，视同联合体存在不良信用记录）；</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3.2.4以联合体形式参加采购活动的，联合体各方不得再单独参加或者与其他投标人另外组成联合体参加同一合同项下的政府采购活动（本项目不适用）；</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3.2.5为证明投标人拥有的业绩、荣誉、知识产权、项目案例等而在投标文件中提供的证明材料必须为投标人自身所有。不同法人、其他组织的资料与投标人无关。</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3.2.6在采购活动中，采购人员及相关人员与投标人有下列利害关系之一的，应当回避：</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（一）参加采购活动前3年内与投标人存在劳动关系；</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（二）参加采购活动前3年内担任投标人的董事、监事；</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（三）参加采购活动前3年内是投标人的控股股东或者实际控制人；</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（四）与投标人的法定代表人或者负责人有夫妻、直系血亲、三代以内旁系血亲或者近姻亲关系；</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（五）与投标人有其他可能影响政府采购活动公平、公正进行的关系。</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4、相关说明</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4.1 投标费用</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投标人应承担其参加投标所涉及的一切费用，不管投标结果如何，采购人对这些费用不负任何责任。</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42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4.3采购项目需要公开的有关信息，包括招标公告、招标文件澄清或修改公告、中标结果公告等通知，采购代理机构将通过指定信息发布媒体公开。</w:t>
      </w:r>
    </w:p>
    <w:p>
      <w:pPr>
        <w:adjustRightInd w:val="0"/>
        <w:snapToGrid w:val="0"/>
        <w:spacing w:line="42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4.4投标人在参与本项目电子交易活动期间，请及时关注指定信息发布媒体的相关信息，投标人因没有及时关注而未能如期获取相关信息，是投标人的风险，采购人或者采购代理机构对此不承担任何责任。</w:t>
      </w:r>
    </w:p>
    <w:p>
      <w:pPr>
        <w:pStyle w:val="103"/>
        <w:snapToGrid w:val="0"/>
        <w:spacing w:line="420" w:lineRule="exact"/>
        <w:ind w:firstLine="480" w:firstLineChars="20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4.5投标人投标所使用的资格、信誉、荣誉、业绩与企业认证必须为本法人所拥有。投标人投标所使用的采购项目实施人员必须为</w:t>
      </w:r>
      <w:r>
        <w:rPr>
          <w:rFonts w:hint="eastAsia" w:hAnsi="宋体" w:cs="宋体"/>
          <w:color w:val="000000" w:themeColor="text1"/>
          <w:sz w:val="24"/>
          <w:szCs w:val="24"/>
          <w:highlight w:val="none"/>
          <w:lang w:eastAsia="zh-CN"/>
          <w14:textFill>
            <w14:solidFill>
              <w14:schemeClr w14:val="tx1"/>
            </w14:solidFill>
          </w14:textFill>
        </w:rPr>
        <w:t>供应商</w:t>
      </w:r>
      <w:r>
        <w:rPr>
          <w:rFonts w:hAnsi="宋体" w:cs="宋体"/>
          <w:color w:val="000000" w:themeColor="text1"/>
          <w:sz w:val="24"/>
          <w:szCs w:val="24"/>
          <w:highlight w:val="none"/>
          <w14:textFill>
            <w14:solidFill>
              <w14:schemeClr w14:val="tx1"/>
            </w14:solidFill>
          </w14:textFill>
        </w:rPr>
        <w:t>员工。</w:t>
      </w:r>
    </w:p>
    <w:p>
      <w:pPr>
        <w:pStyle w:val="103"/>
        <w:snapToGrid w:val="0"/>
        <w:spacing w:line="420" w:lineRule="exact"/>
        <w:ind w:left="2" w:leftChars="1" w:firstLine="480" w:firstLineChars="20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4.6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pStyle w:val="103"/>
        <w:snapToGrid w:val="0"/>
        <w:spacing w:line="420" w:lineRule="exact"/>
        <w:ind w:left="2" w:leftChars="1" w:firstLine="480" w:firstLineChars="20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pStyle w:val="103"/>
        <w:snapToGrid w:val="0"/>
        <w:spacing w:line="420" w:lineRule="exact"/>
        <w:ind w:left="2" w:leftChars="1" w:firstLine="480" w:firstLineChars="20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非单一产品采购项目，采购人应当根据采购项目技术构成、产品价格比重等合理确定核心产品，并在采购文件中载明。多家投标人提供的核心产品品牌相同的，按前两款规定处理。</w:t>
      </w:r>
    </w:p>
    <w:p>
      <w:pPr>
        <w:pStyle w:val="103"/>
        <w:snapToGrid w:val="0"/>
        <w:spacing w:line="420" w:lineRule="exact"/>
        <w:ind w:left="2" w:leftChars="1" w:firstLine="480" w:firstLineChars="200"/>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本项目的核心产品为：</w:t>
      </w:r>
      <w:r>
        <w:rPr>
          <w:rFonts w:hint="eastAsia" w:ascii="Calibri" w:hAnsi="Calibri"/>
          <w:b/>
          <w:bCs/>
          <w:color w:val="000000" w:themeColor="text1"/>
          <w:sz w:val="24"/>
          <w:szCs w:val="24"/>
          <w:highlight w:val="none"/>
          <w:lang w:val="en-US" w:eastAsia="zh-CN"/>
          <w14:textFill>
            <w14:solidFill>
              <w14:schemeClr w14:val="tx1"/>
            </w14:solidFill>
          </w14:textFill>
        </w:rPr>
        <w:t>/。</w:t>
      </w:r>
    </w:p>
    <w:p>
      <w:pPr>
        <w:pStyle w:val="103"/>
        <w:snapToGrid w:val="0"/>
        <w:spacing w:line="420" w:lineRule="exact"/>
        <w:ind w:firstLine="480" w:firstLineChars="200"/>
        <w:rPr>
          <w:rFonts w:hAnsi="宋体" w:cs="宋体"/>
          <w:b/>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4.7投标人在投标活动中提供任何虚假材料，其投标无效，并报监管部门查处；中标后发现的，根据《</w:t>
      </w:r>
      <w:r>
        <w:rPr>
          <w:rFonts w:hAnsi="宋体" w:cs="宋体"/>
          <w:bCs/>
          <w:color w:val="000000" w:themeColor="text1"/>
          <w:kern w:val="0"/>
          <w:sz w:val="24"/>
          <w:szCs w:val="24"/>
          <w:highlight w:val="none"/>
          <w14:textFill>
            <w14:solidFill>
              <w14:schemeClr w14:val="tx1"/>
            </w14:solidFill>
          </w14:textFill>
        </w:rPr>
        <w:t>浙江省政府采购投标人注册及诚信管理暂行办法的通知》规定进行处罚；</w:t>
      </w:r>
      <w:r>
        <w:rPr>
          <w:rFonts w:hAnsi="宋体" w:cs="宋体"/>
          <w:color w:val="000000" w:themeColor="text1"/>
          <w:sz w:val="24"/>
          <w:szCs w:val="24"/>
          <w:highlight w:val="none"/>
          <w14:textFill>
            <w14:solidFill>
              <w14:schemeClr w14:val="tx1"/>
            </w14:solidFill>
          </w14:textFill>
        </w:rPr>
        <w:t>还将依照《中华人民共和国消费者权益保护法》第55条之规定由中标人双倍赔偿采购人，且民事赔偿并不免除违法投标人的行政与刑事责任。</w:t>
      </w:r>
    </w:p>
    <w:p>
      <w:pPr>
        <w:pStyle w:val="3"/>
        <w:snapToGrid w:val="0"/>
        <w:spacing w:before="120" w:beforeLines="50" w:after="120" w:afterLines="50" w:line="420" w:lineRule="exact"/>
        <w:rPr>
          <w:rFonts w:hint="eastAsia" w:ascii="宋体" w:hAnsi="宋体" w:eastAsia="宋体" w:cs="宋体"/>
          <w:color w:val="000000" w:themeColor="text1"/>
          <w:sz w:val="24"/>
          <w:szCs w:val="24"/>
          <w:highlight w:val="none"/>
          <w14:textFill>
            <w14:solidFill>
              <w14:schemeClr w14:val="tx1"/>
            </w14:solidFill>
          </w14:textFill>
        </w:rPr>
      </w:pPr>
      <w:bookmarkStart w:id="31" w:name="_Toc240450078"/>
      <w:bookmarkStart w:id="32" w:name="_Toc251566651"/>
      <w:bookmarkStart w:id="33" w:name="_Toc2589"/>
      <w:bookmarkStart w:id="34" w:name="_Toc26750"/>
      <w:bookmarkStart w:id="35" w:name="_Toc27862"/>
      <w:bookmarkStart w:id="36" w:name="_Toc30831"/>
      <w:bookmarkStart w:id="37" w:name="_Toc7840"/>
      <w:bookmarkStart w:id="38" w:name="_Toc4114"/>
      <w:bookmarkStart w:id="39" w:name="_Toc11667"/>
      <w:bookmarkStart w:id="40" w:name="_Toc29979"/>
      <w:r>
        <w:rPr>
          <w:rFonts w:hint="eastAsia" w:ascii="宋体" w:hAnsi="宋体" w:eastAsia="宋体" w:cs="宋体"/>
          <w:color w:val="000000" w:themeColor="text1"/>
          <w:sz w:val="24"/>
          <w:szCs w:val="24"/>
          <w:highlight w:val="none"/>
          <w14:textFill>
            <w14:solidFill>
              <w14:schemeClr w14:val="tx1"/>
            </w14:solidFill>
          </w14:textFill>
        </w:rPr>
        <w:t>二、</w:t>
      </w:r>
      <w:bookmarkEnd w:id="31"/>
      <w:bookmarkEnd w:id="32"/>
      <w:r>
        <w:rPr>
          <w:rFonts w:hint="eastAsia" w:ascii="宋体" w:hAnsi="宋体" w:eastAsia="宋体" w:cs="宋体"/>
          <w:color w:val="000000" w:themeColor="text1"/>
          <w:sz w:val="24"/>
          <w:szCs w:val="24"/>
          <w:highlight w:val="none"/>
          <w14:textFill>
            <w14:solidFill>
              <w14:schemeClr w14:val="tx1"/>
            </w14:solidFill>
          </w14:textFill>
        </w:rPr>
        <w:t>采购文件</w:t>
      </w:r>
      <w:bookmarkEnd w:id="33"/>
      <w:bookmarkEnd w:id="34"/>
      <w:bookmarkEnd w:id="35"/>
      <w:bookmarkEnd w:id="36"/>
      <w:bookmarkEnd w:id="37"/>
      <w:bookmarkEnd w:id="38"/>
      <w:bookmarkEnd w:id="39"/>
      <w:bookmarkEnd w:id="40"/>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5、采购文件构成</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5.1 本采购文件包括目录所示内容及所有按本须知第6条发出的补充资料。</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5.4 本采购文件由采购人或采购代理机构依据相关法律、法规、规章、省市规定及采购文件进行解释。</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6、采购文件的澄清</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6.1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cs="宋体"/>
          <w:snapToGrid w:val="0"/>
          <w:color w:val="000000" w:themeColor="text1"/>
          <w:kern w:val="0"/>
          <w:sz w:val="24"/>
          <w:highlight w:val="none"/>
          <w:lang w:eastAsia="zh-CN"/>
          <w14:textFill>
            <w14:solidFill>
              <w14:schemeClr w14:val="tx1"/>
            </w14:solidFill>
          </w14:textFill>
        </w:rPr>
        <w:t>第一部分公开招标公告</w:t>
      </w:r>
      <w:r>
        <w:rPr>
          <w:rFonts w:hint="eastAsia"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0"/>
          <w:sz w:val="24"/>
          <w:highlight w:val="none"/>
          <w:lang w:eastAsia="zh-CN"/>
          <w14:textFill>
            <w14:solidFill>
              <w14:schemeClr w14:val="tx1"/>
            </w14:solidFill>
          </w14:textFill>
        </w:rPr>
        <w:t>八、对本次采购提出询问、质疑、投诉</w:t>
      </w:r>
      <w:r>
        <w:rPr>
          <w:rFonts w:hint="eastAsia" w:ascii="宋体" w:hAnsi="宋体" w:cs="宋体"/>
          <w:snapToGrid w:val="0"/>
          <w:color w:val="000000" w:themeColor="text1"/>
          <w:kern w:val="0"/>
          <w:sz w:val="24"/>
          <w:highlight w:val="none"/>
          <w14:textFill>
            <w14:solidFill>
              <w14:schemeClr w14:val="tx1"/>
            </w14:solidFill>
          </w14:textFill>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6.2采购代理机构必须以书面形式答复投标人要求澄清的问题，并将不包含问题来源的答复书面通知所有购买招标文件的投标人；除书面答复以外的其他澄清方式及澄清内容均无效。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6.3招标文件澄清、答复、修改、补充的内容为招标文件的组成部分。当招标文件与招标文件的答复、澄清、修改、补充通知就同一内容的表述不一致时，以最后发出的书面文件为准。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6.4招标文件的澄清、答复、修改或补充都应该通过本代理机构以法定形式发布，采购人非通过本机构，不得擅自澄清、答复、修改或补充招标文件。</w:t>
      </w:r>
    </w:p>
    <w:p>
      <w:pPr>
        <w:pStyle w:val="3"/>
        <w:snapToGrid w:val="0"/>
        <w:spacing w:before="120" w:beforeLines="50" w:after="120" w:afterLines="50" w:line="420" w:lineRule="exact"/>
        <w:rPr>
          <w:rFonts w:hint="eastAsia" w:ascii="宋体" w:hAnsi="宋体" w:eastAsia="宋体" w:cs="宋体"/>
          <w:color w:val="000000" w:themeColor="text1"/>
          <w:sz w:val="24"/>
          <w:szCs w:val="24"/>
          <w:highlight w:val="none"/>
          <w14:textFill>
            <w14:solidFill>
              <w14:schemeClr w14:val="tx1"/>
            </w14:solidFill>
          </w14:textFill>
        </w:rPr>
      </w:pPr>
      <w:bookmarkStart w:id="41" w:name="_Toc31368"/>
      <w:bookmarkStart w:id="42" w:name="_Toc3309"/>
      <w:bookmarkStart w:id="43" w:name="_Toc13635"/>
      <w:bookmarkStart w:id="44" w:name="_Toc240450079"/>
      <w:bookmarkStart w:id="45" w:name="_Toc6547"/>
      <w:bookmarkStart w:id="46" w:name="_Toc251566652"/>
      <w:bookmarkStart w:id="47" w:name="_Toc23869"/>
      <w:bookmarkStart w:id="48" w:name="_Toc15197"/>
      <w:bookmarkStart w:id="49" w:name="_Toc28338"/>
      <w:bookmarkStart w:id="50" w:name="_Toc29600"/>
      <w:r>
        <w:rPr>
          <w:rFonts w:hint="eastAsia" w:ascii="宋体" w:hAnsi="宋体" w:eastAsia="宋体" w:cs="宋体"/>
          <w:color w:val="000000" w:themeColor="text1"/>
          <w:sz w:val="24"/>
          <w:szCs w:val="24"/>
          <w:highlight w:val="none"/>
          <w14:textFill>
            <w14:solidFill>
              <w14:schemeClr w14:val="tx1"/>
            </w14:solidFill>
          </w14:textFill>
        </w:rPr>
        <w:t>三、投标文件的编制</w:t>
      </w:r>
      <w:bookmarkEnd w:id="41"/>
      <w:bookmarkEnd w:id="42"/>
      <w:bookmarkEnd w:id="43"/>
      <w:bookmarkEnd w:id="44"/>
      <w:bookmarkEnd w:id="45"/>
      <w:bookmarkEnd w:id="46"/>
      <w:r>
        <w:rPr>
          <w:rFonts w:hint="eastAsia" w:ascii="宋体" w:hAnsi="宋体" w:eastAsia="宋体" w:cs="宋体"/>
          <w:color w:val="000000" w:themeColor="text1"/>
          <w:sz w:val="24"/>
          <w:szCs w:val="24"/>
          <w:highlight w:val="none"/>
          <w14:textFill>
            <w14:solidFill>
              <w14:schemeClr w14:val="tx1"/>
            </w14:solidFill>
          </w14:textFill>
        </w:rPr>
        <w:t>要求</w:t>
      </w:r>
      <w:bookmarkEnd w:id="47"/>
      <w:bookmarkEnd w:id="48"/>
      <w:bookmarkEnd w:id="49"/>
      <w:bookmarkEnd w:id="50"/>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7、投标文件的编制要求</w:t>
      </w:r>
    </w:p>
    <w:p>
      <w:pPr>
        <w:adjustRightInd w:val="0"/>
        <w:snapToGrid w:val="0"/>
        <w:spacing w:line="42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pPr>
        <w:adjustRightInd w:val="0"/>
        <w:snapToGrid w:val="0"/>
        <w:spacing w:line="420" w:lineRule="exact"/>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7.2投标人应准确设置评审关联点</w:t>
      </w:r>
      <w:r>
        <w:rPr>
          <w:rFonts w:hint="eastAsia" w:ascii="宋体" w:hAnsi="宋体" w:cs="宋体"/>
          <w:snapToGrid w:val="0"/>
          <w:color w:val="000000" w:themeColor="text1"/>
          <w:kern w:val="0"/>
          <w:sz w:val="24"/>
          <w:highlight w:val="none"/>
          <w14:textFill>
            <w14:solidFill>
              <w14:schemeClr w14:val="tx1"/>
            </w14:solidFill>
          </w14:textFill>
        </w:rPr>
        <w:t>，以便评标委员会在评标时，点击评分项，可直接定位到该评分项内容</w:t>
      </w:r>
      <w:r>
        <w:rPr>
          <w:rFonts w:hint="eastAsia" w:ascii="宋体" w:hAnsi="宋体" w:cs="宋体"/>
          <w:color w:val="000000" w:themeColor="text1"/>
          <w:kern w:val="0"/>
          <w:sz w:val="24"/>
          <w:highlight w:val="none"/>
          <w14:textFill>
            <w14:solidFill>
              <w14:schemeClr w14:val="tx1"/>
            </w14:solidFill>
          </w14:textFill>
        </w:rPr>
        <w:t>。未设置或设置错误导致投标文件被误读、漏读或者</w:t>
      </w:r>
      <w:r>
        <w:rPr>
          <w:rFonts w:hint="eastAsia" w:ascii="宋体" w:hAnsi="宋体" w:cs="宋体"/>
          <w:snapToGrid w:val="0"/>
          <w:color w:val="000000" w:themeColor="text1"/>
          <w:kern w:val="0"/>
          <w:sz w:val="24"/>
          <w:highlight w:val="none"/>
          <w14:textFill>
            <w14:solidFill>
              <w14:schemeClr w14:val="tx1"/>
            </w14:solidFill>
          </w14:textFill>
        </w:rPr>
        <w:t>在按采购文件规定的部分查找不到相关内容的，是投标人的责任</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42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7.3投标文件所提供的相关材料的尺寸和清晰度应该能够在电脑上被阅读、识别和判断。投标文件内容无法阅读、识别和判断的，视为未提供。</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w:t>
      </w:r>
      <w:r>
        <w:rPr>
          <w:rFonts w:hint="eastAsia" w:ascii="宋体" w:hAnsi="宋体" w:cs="宋体"/>
          <w:snapToGrid w:val="0"/>
          <w:color w:val="000000" w:themeColor="text1"/>
          <w:kern w:val="0"/>
          <w:sz w:val="24"/>
          <w:highlight w:val="none"/>
          <w14:textFill>
            <w14:solidFill>
              <w14:schemeClr w14:val="tx1"/>
            </w14:solidFill>
          </w14:textFill>
        </w:rPr>
        <w:t>如对采购文件的某项要求，投标人的投标文件未能提供相应的内容与其对应。则由此产生的评分影响由投标人自行承担。</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7.5投标人编制投标文件过程中，资格文件和商务技术文件部分不得出现本项目投标报价，如因投标人原因提前泄露投标报价，是投标人的责任。</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8、投标文件的语言、计量单位、形式及效力</w:t>
      </w:r>
    </w:p>
    <w:p>
      <w:pPr>
        <w:adjustRightInd w:val="0"/>
        <w:snapToGrid w:val="0"/>
        <w:spacing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8.1语言及计量单位</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8.1.2 除采购文件另有规定外，投标文件所使用的计量单位，均须采用中华人民共和国法定计量单位，否则视同未响应。</w:t>
      </w:r>
    </w:p>
    <w:p>
      <w:pPr>
        <w:adjustRightInd w:val="0"/>
        <w:snapToGrid w:val="0"/>
        <w:spacing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8.2投标文件的形式和效力</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8.2.1投标文件为电子投标文件，电子投标文件按“</w:t>
      </w:r>
      <w:r>
        <w:rPr>
          <w:rFonts w:hint="eastAsia" w:ascii="宋体" w:hAnsi="宋体" w:cs="宋体"/>
          <w:snapToGrid w:val="0"/>
          <w:color w:val="000000" w:themeColor="text1"/>
          <w:kern w:val="0"/>
          <w:sz w:val="24"/>
          <w:highlight w:val="none"/>
          <w:lang w:eastAsia="zh-CN"/>
          <w14:textFill>
            <w14:solidFill>
              <w14:schemeClr w14:val="tx1"/>
            </w14:solidFill>
          </w14:textFill>
        </w:rPr>
        <w:t>乐采云</w:t>
      </w:r>
      <w:r>
        <w:rPr>
          <w:rFonts w:hint="eastAsia" w:ascii="宋体" w:hAnsi="宋体" w:cs="宋体"/>
          <w:snapToGrid w:val="0"/>
          <w:color w:val="000000" w:themeColor="text1"/>
          <w:kern w:val="0"/>
          <w:sz w:val="24"/>
          <w:highlight w:val="none"/>
          <w14:textFill>
            <w14:solidFill>
              <w14:schemeClr w14:val="tx1"/>
            </w14:solidFill>
          </w14:textFill>
        </w:rPr>
        <w:t>投标人项目采购-电子招投标操作指南”及本采购文件要求制作、加密传输。</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8.2.2投标文件未在投标截止时间前完成传输的，视为未按时递交投标文件；投标文件未按时解密，视为投标文件撤回。</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9、投标文件构成</w:t>
      </w:r>
    </w:p>
    <w:p>
      <w:pPr>
        <w:adjustRightInd w:val="0"/>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投标人向采购人递交的投标文件均由</w:t>
      </w:r>
      <w:r>
        <w:rPr>
          <w:rFonts w:hint="eastAsia" w:ascii="宋体" w:hAnsi="宋体" w:cs="宋体"/>
          <w:b/>
          <w:bCs/>
          <w:snapToGrid w:val="0"/>
          <w:color w:val="000000" w:themeColor="text1"/>
          <w:kern w:val="0"/>
          <w:sz w:val="24"/>
          <w:highlight w:val="none"/>
          <w14:textFill>
            <w14:solidFill>
              <w14:schemeClr w14:val="tx1"/>
            </w14:solidFill>
          </w14:textFill>
        </w:rPr>
        <w:t>资格投标文件、商务技术投标文件、报价投标文件</w:t>
      </w:r>
      <w:r>
        <w:rPr>
          <w:rFonts w:hint="eastAsia" w:ascii="宋体" w:hAnsi="宋体" w:cs="宋体"/>
          <w:snapToGrid w:val="0"/>
          <w:color w:val="000000" w:themeColor="text1"/>
          <w:kern w:val="0"/>
          <w:sz w:val="24"/>
          <w:highlight w:val="none"/>
          <w14:textFill>
            <w14:solidFill>
              <w14:schemeClr w14:val="tx1"/>
            </w14:solidFill>
          </w14:textFill>
        </w:rPr>
        <w:t>组成，具体内容如下：</w:t>
      </w:r>
    </w:p>
    <w:p>
      <w:pPr>
        <w:autoSpaceDE w:val="0"/>
        <w:autoSpaceDN w:val="0"/>
        <w:adjustRightInd w:val="0"/>
        <w:snapToGrid w:val="0"/>
        <w:spacing w:line="420" w:lineRule="exact"/>
        <w:ind w:firstLine="482" w:firstLineChars="200"/>
        <w:textAlignment w:val="bottom"/>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9.1资格投标文件</w:t>
      </w:r>
    </w:p>
    <w:p>
      <w:pPr>
        <w:adjustRightInd w:val="0"/>
        <w:snapToGrid w:val="0"/>
        <w:spacing w:line="42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详见  第六部分  投标文件格式</w:t>
      </w:r>
    </w:p>
    <w:p>
      <w:pPr>
        <w:autoSpaceDE w:val="0"/>
        <w:autoSpaceDN w:val="0"/>
        <w:adjustRightInd w:val="0"/>
        <w:snapToGrid w:val="0"/>
        <w:spacing w:line="420" w:lineRule="exact"/>
        <w:ind w:firstLine="482" w:firstLineChars="200"/>
        <w:textAlignment w:val="bottom"/>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9.2 商务技术投标文件</w:t>
      </w:r>
    </w:p>
    <w:p>
      <w:pPr>
        <w:adjustRightInd w:val="0"/>
        <w:snapToGrid w:val="0"/>
        <w:spacing w:line="42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详见  第六部分  投标文件格式</w:t>
      </w:r>
    </w:p>
    <w:p>
      <w:pPr>
        <w:adjustRightInd w:val="0"/>
        <w:snapToGrid w:val="0"/>
        <w:spacing w:line="420" w:lineRule="exact"/>
        <w:ind w:firstLine="482"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9.3报价投标文件</w:t>
      </w:r>
    </w:p>
    <w:p>
      <w:pPr>
        <w:adjustRightInd w:val="0"/>
        <w:snapToGrid w:val="0"/>
        <w:spacing w:line="42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详见  第六部分  投标文件格式</w:t>
      </w:r>
    </w:p>
    <w:p>
      <w:pPr>
        <w:adjustRightInd w:val="0"/>
        <w:snapToGrid w:val="0"/>
        <w:spacing w:line="420" w:lineRule="exact"/>
        <w:ind w:firstLine="482" w:firstLineChars="200"/>
        <w:rPr>
          <w:rFonts w:hint="eastAsia" w:ascii="宋体" w:hAnsi="宋体" w:cs="宋体"/>
          <w:b/>
          <w:bCs/>
          <w:color w:val="000000" w:themeColor="text1"/>
          <w:kern w:val="0"/>
          <w:sz w:val="24"/>
          <w:highlight w:val="none"/>
          <w:u w:val="single"/>
          <w14:textFill>
            <w14:solidFill>
              <w14:schemeClr w14:val="tx1"/>
            </w14:solidFill>
          </w14:textFill>
        </w:rPr>
      </w:pPr>
      <w:r>
        <w:rPr>
          <w:rFonts w:hint="eastAsia" w:ascii="宋体" w:hAnsi="宋体" w:cs="宋体"/>
          <w:b/>
          <w:bCs/>
          <w:color w:val="000000" w:themeColor="text1"/>
          <w:kern w:val="0"/>
          <w:sz w:val="24"/>
          <w:highlight w:val="none"/>
          <w:u w:val="single"/>
          <w14:textFill>
            <w14:solidFill>
              <w14:schemeClr w14:val="tx1"/>
            </w14:solidFill>
          </w14:textFill>
        </w:rPr>
        <w:t>注：电子投标文件中所有加盖公章均采用CA签章。</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10、投标函</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10.1 投标人应完整地填写采购文件中提供的投标函和投标相关附件。</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10.2 投标文件应当对采购文件中有关投标有效期、采购需求等实质性内容作出响应。投标人在满足采购文件实质性要求的基础上，可以提出比采购文件要求更有利于采购人的承诺。</w:t>
      </w:r>
    </w:p>
    <w:p>
      <w:pPr>
        <w:adjustRightInd w:val="0"/>
        <w:snapToGrid w:val="0"/>
        <w:spacing w:before="120" w:beforeLines="50" w:line="420" w:lineRule="exact"/>
        <w:ind w:firstLine="482" w:firstLineChars="20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11、投标报价</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11.1投标人应按采购文件中规定填写报价相关表单；</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11.2本项目采购人提供各规格货物的工程量清单，由各投标人根据清单及技术要求，结合企业自身实力自行填报综合单价和合价。</w:t>
      </w:r>
      <w:r>
        <w:rPr>
          <w:rFonts w:hint="eastAsia" w:ascii="宋体" w:hAnsi="宋体" w:cs="宋体"/>
          <w:snapToGrid w:val="0"/>
          <w:color w:val="000000" w:themeColor="text1"/>
          <w:kern w:val="0"/>
          <w:sz w:val="24"/>
          <w:highlight w:val="none"/>
          <w:lang w:eastAsia="zh-CN"/>
          <w14:textFill>
            <w14:solidFill>
              <w14:schemeClr w14:val="tx1"/>
            </w14:solidFill>
          </w14:textFill>
        </w:rPr>
        <w:t>投标报价应包括但不限于括货物价款、人工费、企业管理费、利润、税金、包装费、运输费、装卸费、标准附件、检测检验、成品保护、验收、培训、技术指导、差旅费、标书费、招标代理费、售后服务、其他费用等完成招标内容及要求所提供的货物及服务过程中涉及的一切费用等。如有漏项也视为优惠已包括在投标总价中，合同价款结算时中标人须开具正式的税务发票。</w:t>
      </w:r>
    </w:p>
    <w:p>
      <w:pPr>
        <w:adjustRightInd w:val="0"/>
        <w:snapToGrid w:val="0"/>
        <w:spacing w:line="420" w:lineRule="exact"/>
        <w:ind w:firstLine="482" w:firstLineChars="200"/>
        <w:jc w:val="left"/>
        <w:rPr>
          <w:rFonts w:hint="eastAsia"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完成本项目所涉及的一切费用由投标人承担。费用清单需详细列明，不详细的部分采购人有权按最好效果、最高标准执行。</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投标人应认真计算可能发生的各相关费用并计入报价内，在项目实施过程中不得藉此要求增加任何费用，并不得出现选择性的报价。</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11.3本项目只允许一次报价，不允许以开标后调整的报价作为评标的依据（但按本采购文件投标须知投标文件错误的修正并经评标委员会认定或经投标人确认同意的除外）。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11.4其它需在报价中考虑的因素：</w:t>
      </w:r>
    </w:p>
    <w:p>
      <w:pPr>
        <w:numPr>
          <w:ilvl w:val="0"/>
          <w:numId w:val="7"/>
        </w:numPr>
        <w:tabs>
          <w:tab w:val="left" w:pos="993"/>
        </w:tabs>
        <w:adjustRightInd w:val="0"/>
        <w:snapToGrid w:val="0"/>
        <w:spacing w:line="420" w:lineRule="exact"/>
        <w:ind w:left="0" w:firstLine="420"/>
        <w:jc w:val="left"/>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招标内容及需求中明确的需投标人承担的费用均应含在投标总价中；</w:t>
      </w:r>
    </w:p>
    <w:p>
      <w:pPr>
        <w:numPr>
          <w:ilvl w:val="0"/>
          <w:numId w:val="7"/>
        </w:numPr>
        <w:tabs>
          <w:tab w:val="left" w:pos="993"/>
        </w:tabs>
        <w:adjustRightInd w:val="0"/>
        <w:snapToGrid w:val="0"/>
        <w:spacing w:line="420" w:lineRule="exact"/>
        <w:ind w:left="0" w:firstLine="420"/>
        <w:jc w:val="left"/>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采购文件未明示但投标人认为可能产生的潜在费用支出均需自行考虑并计入投标总价中；</w:t>
      </w:r>
    </w:p>
    <w:p>
      <w:pPr>
        <w:numPr>
          <w:ilvl w:val="0"/>
          <w:numId w:val="7"/>
        </w:numPr>
        <w:tabs>
          <w:tab w:val="left" w:pos="993"/>
        </w:tabs>
        <w:adjustRightInd w:val="0"/>
        <w:snapToGrid w:val="0"/>
        <w:spacing w:line="420" w:lineRule="exact"/>
        <w:jc w:val="left"/>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对于没有填报的项目，采购人将不再支付，并均认为已包含在报价内。</w:t>
      </w:r>
    </w:p>
    <w:p>
      <w:pPr>
        <w:pStyle w:val="10"/>
        <w:snapToGrid w:val="0"/>
        <w:spacing w:before="120" w:beforeLines="50" w:line="420" w:lineRule="exact"/>
        <w:ind w:firstLine="482" w:firstLineChars="200"/>
        <w:rPr>
          <w:rFonts w:hint="eastAsia" w:ascii="宋体" w:hAnsi="宋体" w:eastAsia="宋体" w:cs="宋体"/>
          <w:b/>
          <w:snapToGrid w:val="0"/>
          <w:color w:val="000000" w:themeColor="text1"/>
          <w:kern w:val="0"/>
          <w:szCs w:val="24"/>
          <w:highlight w:val="none"/>
          <w14:textFill>
            <w14:solidFill>
              <w14:schemeClr w14:val="tx1"/>
            </w14:solidFill>
          </w14:textFill>
        </w:rPr>
      </w:pPr>
      <w:r>
        <w:rPr>
          <w:rFonts w:hint="eastAsia" w:ascii="宋体" w:hAnsi="宋体" w:eastAsia="宋体" w:cs="宋体"/>
          <w:b/>
          <w:snapToGrid w:val="0"/>
          <w:color w:val="000000" w:themeColor="text1"/>
          <w:kern w:val="0"/>
          <w:szCs w:val="24"/>
          <w:highlight w:val="none"/>
          <w14:textFill>
            <w14:solidFill>
              <w14:schemeClr w14:val="tx1"/>
            </w14:solidFill>
          </w14:textFill>
        </w:rPr>
        <w:t>12、投标货币</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投标人用人民币报价。</w:t>
      </w:r>
    </w:p>
    <w:p>
      <w:pPr>
        <w:pStyle w:val="10"/>
        <w:snapToGrid w:val="0"/>
        <w:spacing w:before="120" w:beforeLines="50" w:line="420" w:lineRule="exact"/>
        <w:ind w:firstLine="482" w:firstLineChars="200"/>
        <w:rPr>
          <w:rFonts w:hint="eastAsia" w:ascii="宋体" w:hAnsi="宋体" w:eastAsia="宋体" w:cs="宋体"/>
          <w:b/>
          <w:snapToGrid w:val="0"/>
          <w:color w:val="000000" w:themeColor="text1"/>
          <w:kern w:val="0"/>
          <w:szCs w:val="24"/>
          <w:highlight w:val="none"/>
          <w14:textFill>
            <w14:solidFill>
              <w14:schemeClr w14:val="tx1"/>
            </w14:solidFill>
          </w14:textFill>
        </w:rPr>
      </w:pPr>
      <w:r>
        <w:rPr>
          <w:rFonts w:hint="eastAsia" w:ascii="宋体" w:hAnsi="宋体" w:eastAsia="宋体" w:cs="宋体"/>
          <w:b/>
          <w:snapToGrid w:val="0"/>
          <w:color w:val="000000" w:themeColor="text1"/>
          <w:kern w:val="0"/>
          <w:szCs w:val="24"/>
          <w:highlight w:val="none"/>
          <w14:textFill>
            <w14:solidFill>
              <w14:schemeClr w14:val="tx1"/>
            </w14:solidFill>
          </w14:textFill>
        </w:rPr>
        <w:t>13、投标保证金</w:t>
      </w:r>
    </w:p>
    <w:p>
      <w:pPr>
        <w:adjustRightInd w:val="0"/>
        <w:snapToGrid w:val="0"/>
        <w:spacing w:line="42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13.1 </w:t>
      </w:r>
      <w:r>
        <w:rPr>
          <w:rFonts w:hint="eastAsia" w:ascii="宋体" w:cs="宋体"/>
          <w:snapToGrid w:val="0"/>
          <w:color w:val="000000" w:themeColor="text1"/>
          <w:kern w:val="0"/>
          <w:sz w:val="24"/>
          <w:highlight w:val="none"/>
          <w14:textFill>
            <w14:solidFill>
              <w14:schemeClr w14:val="tx1"/>
            </w14:solidFill>
          </w14:textFill>
        </w:rPr>
        <w:t>本项目收取投标保证金</w:t>
      </w:r>
      <w:r>
        <w:rPr>
          <w:rFonts w:hint="eastAsia" w:ascii="宋体" w:cs="宋体"/>
          <w:snapToGrid w:val="0"/>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标项1：24000元；标项2：37800元</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应按《公开招标公告》第四条规定交纳</w:t>
      </w:r>
      <w:r>
        <w:rPr>
          <w:rFonts w:hint="eastAsia" w:ascii="宋体" w:hAnsi="宋体"/>
          <w:color w:val="000000" w:themeColor="text1"/>
          <w:sz w:val="24"/>
          <w:highlight w:val="none"/>
          <w14:textFill>
            <w14:solidFill>
              <w14:schemeClr w14:val="tx1"/>
            </w14:solidFill>
          </w14:textFill>
        </w:rPr>
        <w:t>。</w:t>
      </w:r>
    </w:p>
    <w:p>
      <w:pPr>
        <w:snapToGrid w:val="0"/>
        <w:spacing w:line="400" w:lineRule="exact"/>
        <w:ind w:firstLine="480" w:firstLineChars="200"/>
        <w:jc w:val="lef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保证金形式：</w:t>
      </w:r>
      <w:r>
        <w:rPr>
          <w:rFonts w:hint="eastAsia" w:ascii="宋体" w:hAnsi="宋体" w:cs="宋体"/>
          <w:color w:val="000000" w:themeColor="text1"/>
          <w:sz w:val="24"/>
          <w:highlight w:val="none"/>
          <w:u w:val="single"/>
          <w14:textFill>
            <w14:solidFill>
              <w14:schemeClr w14:val="tx1"/>
            </w14:solidFill>
          </w14:textFill>
        </w:rPr>
        <w:t>银行电汇、转账</w:t>
      </w:r>
      <w:r>
        <w:rPr>
          <w:rFonts w:hint="eastAsia" w:ascii="宋体" w:hAnsi="宋体" w:cs="宋体"/>
          <w:color w:val="000000" w:themeColor="text1"/>
          <w:sz w:val="24"/>
          <w:highlight w:val="none"/>
          <w:u w:val="single"/>
          <w:lang w:eastAsia="zh-CN"/>
          <w14:textFill>
            <w14:solidFill>
              <w14:schemeClr w14:val="tx1"/>
            </w14:solidFill>
          </w14:textFill>
        </w:rPr>
        <w:t>、保函</w:t>
      </w:r>
    </w:p>
    <w:p>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13.3未中标人的投标保证金在中标通知书发出后5个工作日内，本</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以电汇或转账方式退还投标保证金；</w:t>
      </w:r>
    </w:p>
    <w:p>
      <w:pPr>
        <w:snapToGrid w:val="0"/>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13.4</w:t>
      </w:r>
      <w:r>
        <w:rPr>
          <w:rFonts w:hint="eastAsia" w:ascii="宋体" w:hAnsi="宋体" w:cs="宋体"/>
          <w:color w:val="000000" w:themeColor="text1"/>
          <w:kern w:val="0"/>
          <w:sz w:val="24"/>
          <w:highlight w:val="none"/>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的投标保证金在采购合同签订后5个工作日内，本</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以电汇或转账方式退还投标保证金；</w:t>
      </w:r>
    </w:p>
    <w:p>
      <w:pPr>
        <w:snapToGrid w:val="0"/>
        <w:spacing w:line="400" w:lineRule="exact"/>
        <w:ind w:firstLine="48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13.5保证金不计息。</w:t>
      </w:r>
    </w:p>
    <w:p>
      <w:pPr>
        <w:snapToGrid w:val="0"/>
        <w:spacing w:line="400" w:lineRule="exact"/>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13.6</w:t>
      </w:r>
      <w:r>
        <w:rPr>
          <w:rFonts w:hint="eastAsia" w:ascii="宋体" w:hAnsi="宋体" w:cs="宋体"/>
          <w:b/>
          <w:color w:val="000000" w:themeColor="text1"/>
          <w:sz w:val="24"/>
          <w:highlight w:val="none"/>
          <w14:textFill>
            <w14:solidFill>
              <w14:schemeClr w14:val="tx1"/>
            </w14:solidFill>
          </w14:textFill>
        </w:rPr>
        <w:t>投标人有下列情形之一的，投标保证金将不予退还：</w:t>
      </w:r>
    </w:p>
    <w:p>
      <w:pPr>
        <w:snapToGrid w:val="0"/>
        <w:spacing w:line="400" w:lineRule="exact"/>
        <w:ind w:firstLine="470" w:firstLineChars="196"/>
        <w:jc w:val="lef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13.6.1投标人在投标有效期内撤回投标文件的；</w:t>
      </w:r>
    </w:p>
    <w:p>
      <w:pPr>
        <w:snapToGrid w:val="0"/>
        <w:spacing w:line="400" w:lineRule="exact"/>
        <w:ind w:firstLine="470"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13.6.2未按规定提交履约保证金的；</w:t>
      </w:r>
    </w:p>
    <w:p>
      <w:pPr>
        <w:snapToGrid w:val="0"/>
        <w:spacing w:line="400" w:lineRule="exact"/>
        <w:ind w:firstLine="470"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13.6.3投标人在投标过程中弄虚作假，提供虚假材料的；</w:t>
      </w:r>
    </w:p>
    <w:p>
      <w:pPr>
        <w:snapToGrid w:val="0"/>
        <w:spacing w:line="400" w:lineRule="exact"/>
        <w:ind w:firstLine="470" w:firstLineChars="196"/>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13.6.4中标人无正当理由不与采购人签订合同的；</w:t>
      </w:r>
    </w:p>
    <w:p>
      <w:pPr>
        <w:snapToGrid w:val="0"/>
        <w:spacing w:line="400" w:lineRule="exact"/>
        <w:ind w:firstLine="470"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13.6.5</w:t>
      </w:r>
      <w:r>
        <w:rPr>
          <w:rFonts w:hint="eastAsia" w:ascii="宋体" w:hAnsi="宋体" w:cs="宋体"/>
          <w:bCs/>
          <w:color w:val="000000" w:themeColor="text1"/>
          <w:sz w:val="24"/>
          <w:highlight w:val="none"/>
          <w14:textFill>
            <w14:solidFill>
              <w14:schemeClr w14:val="tx1"/>
            </w14:solidFill>
          </w14:textFill>
        </w:rPr>
        <w:t>将中标项目转让给他人或者在投标文件中未说明且未经招标采购单位同意，将中标项目分包给他人的；</w:t>
      </w:r>
    </w:p>
    <w:p>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13.6.6拒绝履行合同义务的；</w:t>
      </w:r>
    </w:p>
    <w:p>
      <w:pPr>
        <w:snapToGrid w:val="0"/>
        <w:spacing w:line="400" w:lineRule="exact"/>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13.6.7其他严重扰乱招投标程序的。</w:t>
      </w:r>
    </w:p>
    <w:p>
      <w:pPr>
        <w:pStyle w:val="10"/>
        <w:snapToGrid w:val="0"/>
        <w:spacing w:before="120" w:beforeLines="50" w:line="420" w:lineRule="exact"/>
        <w:ind w:firstLine="482" w:firstLineChars="200"/>
        <w:rPr>
          <w:rFonts w:hint="eastAsia" w:ascii="宋体" w:hAnsi="宋体" w:eastAsia="宋体" w:cs="宋体"/>
          <w:b/>
          <w:snapToGrid w:val="0"/>
          <w:color w:val="000000" w:themeColor="text1"/>
          <w:kern w:val="0"/>
          <w:szCs w:val="24"/>
          <w:highlight w:val="none"/>
          <w14:textFill>
            <w14:solidFill>
              <w14:schemeClr w14:val="tx1"/>
            </w14:solidFill>
          </w14:textFill>
        </w:rPr>
      </w:pPr>
      <w:r>
        <w:rPr>
          <w:rFonts w:hint="eastAsia" w:ascii="宋体" w:hAnsi="宋体" w:eastAsia="宋体" w:cs="宋体"/>
          <w:b/>
          <w:snapToGrid w:val="0"/>
          <w:color w:val="000000" w:themeColor="text1"/>
          <w:kern w:val="0"/>
          <w:szCs w:val="24"/>
          <w:highlight w:val="none"/>
          <w14:textFill>
            <w14:solidFill>
              <w14:schemeClr w14:val="tx1"/>
            </w14:solidFill>
          </w14:textFill>
        </w:rPr>
        <w:t>14、投标有效期</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14.1 投标文件在开标之日起90个日历天内有效。</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14.3 中标人的投标文件自开标之日起至合同履行完毕止均应保持有效。</w:t>
      </w:r>
    </w:p>
    <w:p>
      <w:pPr>
        <w:pStyle w:val="10"/>
        <w:snapToGrid w:val="0"/>
        <w:spacing w:before="120" w:beforeLines="50" w:line="420" w:lineRule="exact"/>
        <w:ind w:firstLine="482" w:firstLineChars="200"/>
        <w:rPr>
          <w:rFonts w:hint="eastAsia" w:ascii="宋体" w:hAnsi="宋体" w:eastAsia="宋体" w:cs="宋体"/>
          <w:b/>
          <w:snapToGrid w:val="0"/>
          <w:color w:val="000000" w:themeColor="text1"/>
          <w:kern w:val="0"/>
          <w:szCs w:val="24"/>
          <w:highlight w:val="none"/>
          <w14:textFill>
            <w14:solidFill>
              <w14:schemeClr w14:val="tx1"/>
            </w14:solidFill>
          </w14:textFill>
        </w:rPr>
      </w:pPr>
      <w:r>
        <w:rPr>
          <w:rFonts w:hint="eastAsia" w:ascii="宋体" w:hAnsi="宋体" w:eastAsia="宋体" w:cs="宋体"/>
          <w:b/>
          <w:snapToGrid w:val="0"/>
          <w:color w:val="000000" w:themeColor="text1"/>
          <w:kern w:val="0"/>
          <w:szCs w:val="24"/>
          <w:highlight w:val="none"/>
          <w14:textFill>
            <w14:solidFill>
              <w14:schemeClr w14:val="tx1"/>
            </w14:solidFill>
          </w14:textFill>
        </w:rPr>
        <w:t>15、投标文件的式样</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15.1 投标人通过“</w:t>
      </w:r>
      <w:r>
        <w:rPr>
          <w:rFonts w:hint="eastAsia" w:ascii="宋体" w:hAnsi="宋体" w:cs="宋体"/>
          <w:snapToGrid w:val="0"/>
          <w:color w:val="000000" w:themeColor="text1"/>
          <w:kern w:val="0"/>
          <w:sz w:val="24"/>
          <w:highlight w:val="none"/>
          <w:lang w:eastAsia="zh-CN"/>
          <w14:textFill>
            <w14:solidFill>
              <w14:schemeClr w14:val="tx1"/>
            </w14:solidFill>
          </w14:textFill>
        </w:rPr>
        <w:t>乐采云</w:t>
      </w:r>
      <w:r>
        <w:rPr>
          <w:rFonts w:hint="eastAsia" w:ascii="宋体" w:hAnsi="宋体" w:cs="宋体"/>
          <w:snapToGrid w:val="0"/>
          <w:color w:val="000000" w:themeColor="text1"/>
          <w:kern w:val="0"/>
          <w:sz w:val="24"/>
          <w:highlight w:val="none"/>
          <w14:textFill>
            <w14:solidFill>
              <w14:schemeClr w14:val="tx1"/>
            </w14:solidFill>
          </w14:textFill>
        </w:rPr>
        <w:t>”平台制作电子投标文件，投标文件制作详见“投标人-政府采购项目电子交易操作指南”。</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15.2 投标文件是电子投标文件，包括“电子加密投标文件”和“备份投标文件”，在投标文件编制完成后同时生成。</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（1）“电子加密投标文件”是指通过“</w:t>
      </w:r>
      <w:r>
        <w:rPr>
          <w:rFonts w:hint="eastAsia" w:ascii="宋体" w:hAnsi="宋体" w:cs="宋体"/>
          <w:snapToGrid w:val="0"/>
          <w:color w:val="000000" w:themeColor="text1"/>
          <w:kern w:val="0"/>
          <w:sz w:val="24"/>
          <w:highlight w:val="none"/>
          <w:lang w:eastAsia="zh-CN"/>
          <w14:textFill>
            <w14:solidFill>
              <w14:schemeClr w14:val="tx1"/>
            </w14:solidFill>
          </w14:textFill>
        </w:rPr>
        <w:t>乐采云</w:t>
      </w:r>
      <w:r>
        <w:rPr>
          <w:rFonts w:hint="eastAsia" w:ascii="宋体" w:hAnsi="宋体" w:cs="宋体"/>
          <w:snapToGrid w:val="0"/>
          <w:color w:val="000000" w:themeColor="text1"/>
          <w:kern w:val="0"/>
          <w:sz w:val="24"/>
          <w:highlight w:val="none"/>
          <w14:textFill>
            <w14:solidFill>
              <w14:schemeClr w14:val="tx1"/>
            </w14:solidFill>
          </w14:textFill>
        </w:rPr>
        <w:t>电子交易客户端”完成投标文件编制后生成并加密的数据电文形式的投标文件。</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（2）“备份投标文件”是指与“电子加密投标文件”同时生成的数据电文形式的电子文件（备份标书，用于投标人标书解密异常时应急使用），其他方式编制的备份投标文件视为无效备份投标文件。</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（3）一份电子加密标书（后缀格式为.jmbs），一份备份标书文件（后缀格式为.bfbs）</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（4）每份电子投标文件应包括资格投标文件、商务技术投标文件、报价投标文件三部分内容。</w:t>
      </w:r>
    </w:p>
    <w:p>
      <w:pPr>
        <w:pStyle w:val="3"/>
        <w:snapToGrid w:val="0"/>
        <w:spacing w:before="120" w:beforeLines="50" w:after="120" w:afterLines="50" w:line="420" w:lineRule="exact"/>
        <w:rPr>
          <w:rFonts w:hint="eastAsia" w:ascii="宋体" w:hAnsi="宋体" w:eastAsia="宋体" w:cs="宋体"/>
          <w:color w:val="000000" w:themeColor="text1"/>
          <w:sz w:val="24"/>
          <w:szCs w:val="24"/>
          <w:highlight w:val="none"/>
          <w14:textFill>
            <w14:solidFill>
              <w14:schemeClr w14:val="tx1"/>
            </w14:solidFill>
          </w14:textFill>
        </w:rPr>
      </w:pPr>
      <w:bookmarkStart w:id="51" w:name="_Toc1575"/>
      <w:bookmarkStart w:id="52" w:name="_Toc26095"/>
      <w:bookmarkStart w:id="53" w:name="_Toc18123"/>
      <w:bookmarkStart w:id="54" w:name="_Toc2312"/>
      <w:bookmarkStart w:id="55" w:name="_Toc11108"/>
      <w:bookmarkStart w:id="56" w:name="_Toc240450080"/>
      <w:bookmarkStart w:id="57" w:name="_Toc22768"/>
      <w:bookmarkStart w:id="58" w:name="_Toc3215"/>
      <w:bookmarkStart w:id="59" w:name="_Toc16919"/>
      <w:bookmarkStart w:id="60" w:name="_Toc7693"/>
      <w:bookmarkStart w:id="61" w:name="_Toc251566653"/>
      <w:r>
        <w:rPr>
          <w:rFonts w:hint="eastAsia" w:ascii="宋体" w:hAnsi="宋体" w:eastAsia="宋体" w:cs="宋体"/>
          <w:color w:val="000000" w:themeColor="text1"/>
          <w:sz w:val="24"/>
          <w:szCs w:val="24"/>
          <w:highlight w:val="none"/>
          <w14:textFill>
            <w14:solidFill>
              <w14:schemeClr w14:val="tx1"/>
            </w14:solidFill>
          </w14:textFill>
        </w:rPr>
        <w:t>四、投标文件的递交</w:t>
      </w:r>
      <w:bookmarkEnd w:id="51"/>
      <w:bookmarkEnd w:id="52"/>
      <w:bookmarkEnd w:id="53"/>
      <w:bookmarkEnd w:id="54"/>
      <w:bookmarkEnd w:id="55"/>
      <w:bookmarkEnd w:id="56"/>
      <w:bookmarkEnd w:id="57"/>
      <w:bookmarkEnd w:id="58"/>
      <w:bookmarkEnd w:id="59"/>
      <w:bookmarkEnd w:id="60"/>
      <w:bookmarkEnd w:id="61"/>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16、投标文件的递交</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电子加密投标文件：投标文件制作完成并生成加密标书，在投标截止时间前，投标人需将加密的投标文件上传至</w:t>
      </w:r>
      <w:r>
        <w:rPr>
          <w:rFonts w:hint="eastAsia" w:ascii="宋体" w:hAnsi="宋体" w:eastAsia="宋体" w:cs="宋体"/>
          <w:color w:val="000000" w:themeColor="text1"/>
          <w:sz w:val="24"/>
          <w:szCs w:val="24"/>
          <w:highlight w:val="none"/>
          <w:lang w:eastAsia="zh-CN"/>
          <w14:textFill>
            <w14:solidFill>
              <w14:schemeClr w14:val="tx1"/>
            </w14:solidFill>
          </w14:textFill>
        </w:rPr>
        <w:t>乐采云</w:t>
      </w:r>
      <w:r>
        <w:rPr>
          <w:rFonts w:hint="eastAsia" w:ascii="宋体" w:hAnsi="宋体" w:eastAsia="宋体" w:cs="宋体"/>
          <w:color w:val="000000" w:themeColor="text1"/>
          <w:sz w:val="24"/>
          <w:szCs w:val="24"/>
          <w:highlight w:val="none"/>
          <w14:textFill>
            <w14:solidFill>
              <w14:schemeClr w14:val="tx1"/>
            </w14:solidFill>
          </w14:textFill>
        </w:rPr>
        <w:t>平台，在开标时间开始后30分钟内（以电子交易平台设定的时间为准），登录“</w:t>
      </w:r>
      <w:r>
        <w:rPr>
          <w:rFonts w:hint="eastAsia" w:ascii="宋体" w:hAnsi="宋体" w:eastAsia="宋体" w:cs="宋体"/>
          <w:color w:val="000000" w:themeColor="text1"/>
          <w:sz w:val="24"/>
          <w:szCs w:val="24"/>
          <w:highlight w:val="none"/>
          <w:lang w:eastAsia="zh-CN"/>
          <w14:textFill>
            <w14:solidFill>
              <w14:schemeClr w14:val="tx1"/>
            </w14:solidFill>
          </w14:textFill>
        </w:rPr>
        <w:t>乐采云</w:t>
      </w:r>
      <w:r>
        <w:rPr>
          <w:rFonts w:hint="eastAsia" w:ascii="宋体" w:hAnsi="宋体" w:eastAsia="宋体" w:cs="宋体"/>
          <w:color w:val="000000" w:themeColor="text1"/>
          <w:sz w:val="24"/>
          <w:szCs w:val="24"/>
          <w:highlight w:val="none"/>
          <w14:textFill>
            <w14:solidFill>
              <w14:schemeClr w14:val="tx1"/>
            </w14:solidFill>
          </w14:textFill>
        </w:rPr>
        <w:t>-项目采购-开标评标”功能进行解密投标文件（为防止解密失败，建议采用制作投标文件的电脑进行解密）。</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a.投标人在投标截止时间前未能成功上传或未按要求上传电子加密投标文件的，作投标无效处理。</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b.投标人成功上传电子加密投标文件后，可自行打印投标文件接收回执。</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备份投标文件：投标人确保在投标截止时间前，将备份投标文件通过快递形式或现场送达形式送达采购代理机构处，以便标书解密异常时应急使用（邮寄/送达地址：</w:t>
      </w:r>
      <w:r>
        <w:rPr>
          <w:rFonts w:hint="eastAsia" w:ascii="宋体" w:hAnsi="宋体" w:cs="宋体"/>
          <w:color w:val="000000" w:themeColor="text1"/>
          <w:sz w:val="24"/>
          <w:highlight w:val="none"/>
          <w14:textFill>
            <w14:solidFill>
              <w14:schemeClr w14:val="tx1"/>
            </w14:solidFill>
          </w14:textFill>
        </w:rPr>
        <w:t>浦江县中山北路169号中山大厦10楼1003室（浦江县产权交易有限公司），黄女士收，电话号码：18757840625，邮编322200</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b.通过“</w:t>
      </w:r>
      <w:r>
        <w:rPr>
          <w:rFonts w:hint="eastAsia" w:ascii="宋体" w:hAnsi="宋体" w:eastAsia="宋体" w:cs="宋体"/>
          <w:color w:val="000000" w:themeColor="text1"/>
          <w:sz w:val="24"/>
          <w:szCs w:val="24"/>
          <w:highlight w:val="none"/>
          <w:lang w:eastAsia="zh-CN"/>
          <w14:textFill>
            <w14:solidFill>
              <w14:schemeClr w14:val="tx1"/>
            </w14:solidFill>
          </w14:textFill>
        </w:rPr>
        <w:t>乐采云平台</w:t>
      </w:r>
      <w:r>
        <w:rPr>
          <w:rFonts w:hint="eastAsia" w:ascii="宋体" w:hAnsi="宋体" w:eastAsia="宋体" w:cs="宋体"/>
          <w:color w:val="000000" w:themeColor="text1"/>
          <w:sz w:val="24"/>
          <w:szCs w:val="24"/>
          <w:highlight w:val="none"/>
          <w14:textFill>
            <w14:solidFill>
              <w14:schemeClr w14:val="tx1"/>
            </w14:solidFill>
          </w14:textFill>
        </w:rPr>
        <w:t>”成功上传递交的“电子加密投标文件”已按时解密的，“备份投标文件”自动失效。</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注：未密封包装或者逾期送达的“备份投标文件”将不予接收，未按规定标记的备份投标文件有被误投或提前拆封等风险，因未按规定密封或标记所造成的一切后果由投标人承担。</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17、投标截止期</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17.1 投标人应按前附表规定的日期、时间和方式上传/递交投标文件。</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17.2 采购人可以按本须知第6条规定，通过修改采购文件适当延长投标截止日期。在此情况下，采购人与投标人受投标截止期制约的所有权利和义务均应延长至新的截止期。</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18、迟交的投标文件</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投标截止时间后收到的任何投标文件，采购人将不予接收。</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19、投标文件的修改与撤回</w:t>
      </w:r>
    </w:p>
    <w:p>
      <w:pPr>
        <w:pStyle w:val="26"/>
        <w:tabs>
          <w:tab w:val="left" w:pos="900"/>
        </w:tabs>
        <w:adjustRightInd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19.1 投标人在递交投标文件后，在规定的投标截止时间前，</w:t>
      </w:r>
      <w:r>
        <w:rPr>
          <w:rFonts w:hint="eastAsia" w:ascii="宋体" w:hAnsi="宋体" w:eastAsia="宋体" w:cs="宋体"/>
          <w:color w:val="000000" w:themeColor="text1"/>
          <w:sz w:val="24"/>
          <w:szCs w:val="24"/>
          <w:highlight w:val="none"/>
          <w14:textFill>
            <w14:solidFill>
              <w14:schemeClr w14:val="tx1"/>
            </w14:solidFill>
          </w14:textFill>
        </w:rPr>
        <w:t>可以补充、修改或者撤回电子加密投标文件。补充或者修改电子加密投标文件的，应当先行撤回原文件，补充、修改后重新传输递交。投标截止时间前未完成传输的，视为投标文件撤回，投标无效。</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19.2 在投标截止期之后，投标人不得对其投标作任何修改。</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19.3 从投标截止期至投标人在投标函格式中确定的投标有效期期满这段时间内，投标人不得撤回其投标。</w:t>
      </w:r>
    </w:p>
    <w:p>
      <w:pPr>
        <w:pStyle w:val="3"/>
        <w:snapToGrid w:val="0"/>
        <w:spacing w:before="120" w:beforeLines="50" w:after="120" w:afterLines="50" w:line="420" w:lineRule="exact"/>
        <w:rPr>
          <w:rFonts w:hint="eastAsia" w:ascii="宋体" w:hAnsi="宋体" w:eastAsia="宋体" w:cs="宋体"/>
          <w:color w:val="000000" w:themeColor="text1"/>
          <w:sz w:val="24"/>
          <w:szCs w:val="24"/>
          <w:highlight w:val="none"/>
          <w14:textFill>
            <w14:solidFill>
              <w14:schemeClr w14:val="tx1"/>
            </w14:solidFill>
          </w14:textFill>
        </w:rPr>
      </w:pPr>
      <w:bookmarkStart w:id="62" w:name="_Toc13578"/>
      <w:bookmarkStart w:id="63" w:name="_Toc24492"/>
      <w:bookmarkStart w:id="64" w:name="_Toc31224"/>
      <w:bookmarkStart w:id="65" w:name="_Toc9592"/>
      <w:bookmarkStart w:id="66" w:name="_Toc30685"/>
      <w:bookmarkStart w:id="67" w:name="_Toc8465"/>
      <w:bookmarkStart w:id="68" w:name="_Toc240450081"/>
      <w:bookmarkStart w:id="69" w:name="_Toc12617"/>
      <w:bookmarkStart w:id="70" w:name="_Toc251566654"/>
      <w:bookmarkStart w:id="71" w:name="_Toc10409"/>
      <w:bookmarkStart w:id="72" w:name="_Toc14566"/>
      <w:r>
        <w:rPr>
          <w:rFonts w:hint="eastAsia" w:ascii="宋体" w:hAnsi="宋体" w:eastAsia="宋体" w:cs="宋体"/>
          <w:color w:val="000000" w:themeColor="text1"/>
          <w:sz w:val="24"/>
          <w:szCs w:val="24"/>
          <w:highlight w:val="none"/>
          <w14:textFill>
            <w14:solidFill>
              <w14:schemeClr w14:val="tx1"/>
            </w14:solidFill>
          </w14:textFill>
        </w:rPr>
        <w:t>五、开标与评标</w:t>
      </w:r>
      <w:bookmarkEnd w:id="62"/>
      <w:bookmarkEnd w:id="63"/>
      <w:bookmarkEnd w:id="64"/>
      <w:bookmarkEnd w:id="65"/>
      <w:bookmarkEnd w:id="66"/>
      <w:bookmarkEnd w:id="67"/>
      <w:bookmarkEnd w:id="68"/>
      <w:bookmarkEnd w:id="69"/>
      <w:bookmarkEnd w:id="70"/>
      <w:bookmarkEnd w:id="71"/>
      <w:bookmarkEnd w:id="72"/>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20、开标</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20.1 采购人将于前附表规定的时间和地点公开开标。若采购人按本须知第6条规定，通过修改采购文件更改了开标时间和地点的，以后者为准。</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20.2开评标期间，投标人代表应在线操作，并关注</w:t>
      </w:r>
      <w:r>
        <w:rPr>
          <w:rFonts w:hint="eastAsia" w:ascii="宋体" w:hAnsi="宋体" w:cs="宋体"/>
          <w:snapToGrid w:val="0"/>
          <w:color w:val="000000" w:themeColor="text1"/>
          <w:kern w:val="0"/>
          <w:sz w:val="24"/>
          <w:highlight w:val="none"/>
          <w:lang w:eastAsia="zh-CN"/>
          <w14:textFill>
            <w14:solidFill>
              <w14:schemeClr w14:val="tx1"/>
            </w14:solidFill>
          </w14:textFill>
        </w:rPr>
        <w:t>乐采云</w:t>
      </w:r>
      <w:r>
        <w:rPr>
          <w:rFonts w:hint="eastAsia" w:ascii="宋体" w:hAnsi="宋体" w:cs="宋体"/>
          <w:snapToGrid w:val="0"/>
          <w:color w:val="000000" w:themeColor="text1"/>
          <w:kern w:val="0"/>
          <w:sz w:val="24"/>
          <w:highlight w:val="none"/>
          <w14:textFill>
            <w14:solidFill>
              <w14:schemeClr w14:val="tx1"/>
            </w14:solidFill>
          </w14:textFill>
        </w:rPr>
        <w:t>有关信息公布、澄清等情况。投标人代表不参加开标程序的，事后不得对采购相关人员、开标过程和开标结果提出异议。</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20.3 开评标程序</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代理机构点击【开始解密】，投标人应在30分钟内（以电子交易平台设定的时间为准）完成解密。投标人在规定的时间内都已完成解密，则系统自动结束解密；投标人超过解密时限，默认自动放弃；投标人在规定的时间内无法成功解密已递交的“电子加密投标文件”时，如已按规定递交了备份投标文件的，采购代理机构通过【异常处理】端口将备份投标文件上传至“</w:t>
      </w:r>
      <w:r>
        <w:rPr>
          <w:rFonts w:hint="eastAsia" w:ascii="宋体" w:hAnsi="宋体" w:cs="宋体"/>
          <w:color w:val="000000" w:themeColor="text1"/>
          <w:sz w:val="24"/>
          <w:highlight w:val="none"/>
          <w:lang w:eastAsia="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”，并成功解密后，“电子加密投标文件”自动失效；</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（2）结束解密后，投标人通过邮件形式将经授权代表签署的《采购活动现场确认声明书》（格式见采购文件第七部分，采购文件最后一页内容）扫描件发至代理机构经办人邮箱（邮箱地址：</w:t>
      </w:r>
      <w:r>
        <w:rPr>
          <w:rStyle w:val="54"/>
          <w:rFonts w:hint="eastAsia" w:ascii="宋体" w:hAnsi="宋体" w:cs="宋体"/>
          <w:color w:val="000000" w:themeColor="text1"/>
          <w:sz w:val="24"/>
          <w:highlight w:val="none"/>
          <w14:textFill>
            <w14:solidFill>
              <w14:schemeClr w14:val="tx1"/>
            </w14:solidFill>
          </w14:textFill>
        </w:rPr>
        <w:t>524416712</w:t>
      </w:r>
      <w:r>
        <w:rPr>
          <w:rFonts w:hint="eastAsia" w:ascii="宋体" w:hAnsi="宋体" w:cs="宋体"/>
          <w:color w:val="000000" w:themeColor="text1"/>
          <w:sz w:val="24"/>
          <w:highlight w:val="none"/>
          <w14:textFill>
            <w14:solidFill>
              <w14:schemeClr w14:val="tx1"/>
            </w14:solidFill>
          </w14:textFill>
        </w:rPr>
        <w:t>@qq.com）；</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（3）采购代理机构点击【开启标书信息】，开启投标文件成功后进入资格性审查阶段；</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采购人或采购代理机构将依据法律法规和本须知第9.1条规定对投标人的基本资格条件、特定资格条件进行审查。</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投标人未按照采购文件投标须知9.1条要求提供与基本资格条件、特定资格条件相应的有效资格材料的，视为投标人不具备采购文件中规定的资格要求，其资格审查不通过。</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（4）符合性检查。依据采购文件的规定，从投标文件的有效性、完整性和对采购文件的响应程度进行审查，以确定是否对采购文件的实质性要求</w:t>
      </w:r>
      <w:r>
        <w:rPr>
          <w:rFonts w:hint="eastAsia" w:ascii="宋体" w:hAnsi="宋体" w:cs="宋体"/>
          <w:color w:val="000000" w:themeColor="text1"/>
          <w:sz w:val="24"/>
          <w:highlight w:val="none"/>
          <w:lang w:eastAsia="zh-CN"/>
          <w14:textFill>
            <w14:solidFill>
              <w14:schemeClr w14:val="tx1"/>
            </w14:solidFill>
          </w14:textFill>
        </w:rPr>
        <w:t>做出</w:t>
      </w:r>
      <w:r>
        <w:rPr>
          <w:rFonts w:hint="eastAsia" w:ascii="宋体" w:hAnsi="宋体" w:cs="宋体"/>
          <w:color w:val="000000" w:themeColor="text1"/>
          <w:sz w:val="24"/>
          <w:highlight w:val="none"/>
          <w14:textFill>
            <w14:solidFill>
              <w14:schemeClr w14:val="tx1"/>
            </w14:solidFill>
          </w14:textFill>
        </w:rPr>
        <w:t>响应。具体审查内容见投标须知22条“无效投标的认定”。</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评标委员会决定投标文件的响应性只根据投标文件本身的内容，而不寻求外部证据。</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（5）开启资格审查、符合性审查通过的投标人的商务技术文件进入商务技术评审；</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评标委员会按采购文件中规定的评标方法和标准，对资格性检查和符合性检查合格的投标文件进行技术商务审核、讨论及评议后，独立评分。</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商务技术评审结束后，举行开标程序第二阶段会议。首先通过在线平台公布符合性审查、商务技术评审无效投标人名称及理由；公布经商务技术评审后有效投标人的名单，同时公布其商务技术部分得分情况。</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开启符合性审查、商务技术评审有效投标人的《报价投标文件》，代理机构通过在线平台公布开标一览表有关内容，投标人在在线平台签字确认《开标记录》（不予确认的应说明理由，否则视为无异议）。报价投标文件开标结束后，由评标委员会对报价的合理性、准确性等进行审查核实。</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（8）按采购文件中规定的评标方法和标准，对投标人进行排序，并推荐中标候选人。</w:t>
      </w:r>
    </w:p>
    <w:p>
      <w:pPr>
        <w:adjustRightInd w:val="0"/>
        <w:snapToGrid w:val="0"/>
        <w:spacing w:line="420" w:lineRule="exact"/>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（9）编写评标报告</w:t>
      </w:r>
      <w:r>
        <w:rPr>
          <w:rFonts w:hint="eastAsia" w:ascii="宋体" w:hAnsi="宋体" w:cs="宋体"/>
          <w:bCs/>
          <w:color w:val="000000" w:themeColor="text1"/>
          <w:sz w:val="24"/>
          <w:highlight w:val="none"/>
          <w14:textFill>
            <w14:solidFill>
              <w14:schemeClr w14:val="tx1"/>
            </w14:solidFill>
          </w14:textFill>
        </w:rPr>
        <w:t>。</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（10）评审结束后，投标人可通过在线平台查看评审结果、排名情况等。</w:t>
      </w:r>
    </w:p>
    <w:p>
      <w:pPr>
        <w:adjustRightInd w:val="0"/>
        <w:snapToGrid w:val="0"/>
        <w:spacing w:line="42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ascii="宋体" w:hAnsi="宋体" w:cs="宋体"/>
          <w:b/>
          <w:bCs/>
          <w:color w:val="000000" w:themeColor="text1"/>
          <w:sz w:val="24"/>
          <w:highlight w:val="none"/>
          <w14:textFill>
            <w14:solidFill>
              <w14:schemeClr w14:val="tx1"/>
            </w14:solidFill>
          </w14:textFill>
        </w:rPr>
        <w:t>①</w:t>
      </w:r>
      <w:r>
        <w:rPr>
          <w:rFonts w:hint="eastAsia" w:ascii="宋体" w:hAnsi="宋体" w:cs="宋体"/>
          <w:b/>
          <w:bCs/>
          <w:color w:val="000000" w:themeColor="text1"/>
          <w:sz w:val="24"/>
          <w:highlight w:val="none"/>
          <w14:textFill>
            <w14:solidFill>
              <w14:schemeClr w14:val="tx1"/>
            </w14:solidFill>
          </w14:textFill>
        </w:rPr>
        <w:t>如遇“</w:t>
      </w:r>
      <w:r>
        <w:rPr>
          <w:rFonts w:hint="eastAsia" w:ascii="宋体" w:hAnsi="宋体" w:cs="宋体"/>
          <w:b/>
          <w:bCs/>
          <w:color w:val="000000" w:themeColor="text1"/>
          <w:sz w:val="24"/>
          <w:highlight w:val="none"/>
          <w:lang w:eastAsia="zh-CN"/>
          <w14:textFill>
            <w14:solidFill>
              <w14:schemeClr w14:val="tx1"/>
            </w14:solidFill>
          </w14:textFill>
        </w:rPr>
        <w:t>乐采云平台</w:t>
      </w:r>
      <w:r>
        <w:rPr>
          <w:rFonts w:hint="eastAsia" w:ascii="宋体" w:hAnsi="宋体" w:cs="宋体"/>
          <w:b/>
          <w:bCs/>
          <w:color w:val="000000" w:themeColor="text1"/>
          <w:sz w:val="24"/>
          <w:highlight w:val="none"/>
          <w14:textFill>
            <w14:solidFill>
              <w14:schemeClr w14:val="tx1"/>
            </w14:solidFill>
          </w14:textFill>
        </w:rPr>
        <w:t>”电子化开标或评审程序调整的，或者</w:t>
      </w:r>
      <w:r>
        <w:rPr>
          <w:rFonts w:hint="eastAsia" w:ascii="宋体" w:hAnsi="宋体" w:cs="宋体"/>
          <w:b/>
          <w:bCs/>
          <w:color w:val="000000" w:themeColor="text1"/>
          <w:sz w:val="24"/>
          <w:highlight w:val="none"/>
          <w:lang w:eastAsia="zh-CN"/>
          <w14:textFill>
            <w14:solidFill>
              <w14:schemeClr w14:val="tx1"/>
            </w14:solidFill>
          </w14:textFill>
        </w:rPr>
        <w:t>乐采云</w:t>
      </w:r>
      <w:r>
        <w:rPr>
          <w:rFonts w:hint="eastAsia" w:ascii="宋体" w:hAnsi="宋体" w:cs="宋体"/>
          <w:b/>
          <w:bCs/>
          <w:color w:val="000000" w:themeColor="text1"/>
          <w:sz w:val="24"/>
          <w:highlight w:val="none"/>
          <w14:textFill>
            <w14:solidFill>
              <w14:schemeClr w14:val="tx1"/>
            </w14:solidFill>
          </w14:textFill>
        </w:rPr>
        <w:t>系统提供数据电文交互功能的，按其规定执行。</w:t>
      </w:r>
    </w:p>
    <w:p>
      <w:pPr>
        <w:adjustRightInd w:val="0"/>
        <w:snapToGrid w:val="0"/>
        <w:spacing w:line="42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②</w:t>
      </w:r>
      <w:r>
        <w:rPr>
          <w:rFonts w:hint="eastAsia" w:ascii="宋体" w:hAnsi="宋体" w:cs="宋体"/>
          <w:b/>
          <w:bCs/>
          <w:color w:val="000000" w:themeColor="text1"/>
          <w:sz w:val="24"/>
          <w:highlight w:val="none"/>
          <w14:textFill>
            <w14:solidFill>
              <w14:schemeClr w14:val="tx1"/>
            </w14:solidFill>
          </w14:textFill>
        </w:rPr>
        <w:t>除邮件交互外，如</w:t>
      </w:r>
      <w:r>
        <w:rPr>
          <w:rFonts w:hint="eastAsia" w:ascii="宋体" w:hAnsi="宋体" w:cs="宋体"/>
          <w:b/>
          <w:bCs/>
          <w:color w:val="000000" w:themeColor="text1"/>
          <w:sz w:val="24"/>
          <w:highlight w:val="none"/>
          <w:lang w:eastAsia="zh-CN"/>
          <w14:textFill>
            <w14:solidFill>
              <w14:schemeClr w14:val="tx1"/>
            </w14:solidFill>
          </w14:textFill>
        </w:rPr>
        <w:t>乐采云</w:t>
      </w:r>
      <w:r>
        <w:rPr>
          <w:rFonts w:hint="eastAsia" w:ascii="宋体" w:hAnsi="宋体" w:cs="宋体"/>
          <w:b/>
          <w:bCs/>
          <w:color w:val="000000" w:themeColor="text1"/>
          <w:sz w:val="24"/>
          <w:highlight w:val="none"/>
          <w14:textFill>
            <w14:solidFill>
              <w14:schemeClr w14:val="tx1"/>
            </w14:solidFill>
          </w14:textFill>
        </w:rPr>
        <w:t>平台提供信息发布、澄清说明、数据交换等操作方式的，或者</w:t>
      </w:r>
      <w:r>
        <w:rPr>
          <w:rFonts w:hint="eastAsia" w:ascii="宋体" w:hAnsi="宋体" w:cs="宋体"/>
          <w:b/>
          <w:bCs/>
          <w:color w:val="000000" w:themeColor="text1"/>
          <w:sz w:val="24"/>
          <w:highlight w:val="none"/>
          <w:lang w:eastAsia="zh-CN"/>
          <w14:textFill>
            <w14:solidFill>
              <w14:schemeClr w14:val="tx1"/>
            </w14:solidFill>
          </w14:textFill>
        </w:rPr>
        <w:t>乐采云</w:t>
      </w:r>
      <w:r>
        <w:rPr>
          <w:rFonts w:hint="eastAsia" w:ascii="宋体" w:hAnsi="宋体" w:cs="宋体"/>
          <w:b/>
          <w:bCs/>
          <w:color w:val="000000" w:themeColor="text1"/>
          <w:sz w:val="24"/>
          <w:highlight w:val="none"/>
          <w14:textFill>
            <w14:solidFill>
              <w14:schemeClr w14:val="tx1"/>
            </w14:solidFill>
          </w14:textFill>
        </w:rPr>
        <w:t>系统平台有新的操作流程的，按其规定。</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21、评标</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21.1 评标组织</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本项目评标委员会由采购人代表和评审专家组成，</w:t>
      </w:r>
      <w:r>
        <w:rPr>
          <w:rFonts w:hint="eastAsia" w:ascii="宋体" w:hAnsi="宋体" w:cs="宋体"/>
          <w:color w:val="000000" w:themeColor="text1"/>
          <w:sz w:val="24"/>
          <w:highlight w:val="none"/>
          <w:lang w:eastAsia="zh-CN"/>
          <w14:textFill>
            <w14:solidFill>
              <w14:schemeClr w14:val="tx1"/>
            </w14:solidFill>
          </w14:textFill>
        </w:rPr>
        <w:t>成员人数为5人或以上单数</w:t>
      </w:r>
      <w:r>
        <w:rPr>
          <w:rFonts w:hint="eastAsia" w:ascii="宋体" w:hAnsi="宋体" w:cs="宋体"/>
          <w:color w:val="000000" w:themeColor="text1"/>
          <w:sz w:val="24"/>
          <w:highlight w:val="none"/>
          <w14:textFill>
            <w14:solidFill>
              <w14:schemeClr w14:val="tx1"/>
            </w14:solidFill>
          </w14:textFill>
        </w:rPr>
        <w:t>，其中评审专家不得少于成员总数的三分之二。</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21.2评标纪律</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本次评标工作将在严格保密的情况下进行，评标委员会成员名单在定标前将保密。</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21.3评标办法</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采用综合评分法，详见采购文件第五部分“评标办法”。</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21.4 澄清有关问题</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投标人的澄清、说明或者补正应当由法定代表人或其授权的代表签字（或加盖公章）后扫描上传提交。</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授权代表对澄清、说明或者补正内容未签字确认的，将自行承担由此可能导致的对其不利的评审结果，评标委员会按少数服从多数原则对相关内容进行评判。</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21.5修正原则</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投标文件报价出现前后不一致的，按照下列规定修正：</w:t>
      </w:r>
    </w:p>
    <w:p>
      <w:pPr>
        <w:numPr>
          <w:ilvl w:val="0"/>
          <w:numId w:val="8"/>
        </w:numPr>
        <w:tabs>
          <w:tab w:val="left" w:pos="630"/>
          <w:tab w:val="left" w:pos="840"/>
          <w:tab w:val="left" w:pos="1050"/>
        </w:tabs>
        <w:adjustRightInd w:val="0"/>
        <w:snapToGrid w:val="0"/>
        <w:spacing w:line="420" w:lineRule="exact"/>
        <w:ind w:left="5" w:firstLine="63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投标文件中开标一览表内容与投标文件中相应内容不一致的，以开标一览表为准；</w:t>
      </w:r>
    </w:p>
    <w:p>
      <w:pPr>
        <w:numPr>
          <w:ilvl w:val="0"/>
          <w:numId w:val="8"/>
        </w:numPr>
        <w:tabs>
          <w:tab w:val="left" w:pos="630"/>
          <w:tab w:val="left" w:pos="840"/>
          <w:tab w:val="left" w:pos="1050"/>
        </w:tabs>
        <w:adjustRightInd w:val="0"/>
        <w:snapToGrid w:val="0"/>
        <w:spacing w:line="420" w:lineRule="exact"/>
        <w:ind w:left="5" w:firstLine="63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大写金额和小写金额不一致的，以大写金额为准；</w:t>
      </w:r>
    </w:p>
    <w:p>
      <w:pPr>
        <w:numPr>
          <w:ilvl w:val="0"/>
          <w:numId w:val="8"/>
        </w:numPr>
        <w:tabs>
          <w:tab w:val="left" w:pos="630"/>
          <w:tab w:val="left" w:pos="840"/>
          <w:tab w:val="left" w:pos="1050"/>
        </w:tabs>
        <w:adjustRightInd w:val="0"/>
        <w:snapToGrid w:val="0"/>
        <w:spacing w:line="420" w:lineRule="exact"/>
        <w:ind w:left="5" w:firstLine="63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单价金额小数点或者百分比有明显错位的，以开标一览表的总价为准，并修改单价；</w:t>
      </w:r>
    </w:p>
    <w:p>
      <w:pPr>
        <w:numPr>
          <w:ilvl w:val="0"/>
          <w:numId w:val="8"/>
        </w:numPr>
        <w:tabs>
          <w:tab w:val="left" w:pos="630"/>
          <w:tab w:val="left" w:pos="840"/>
          <w:tab w:val="left" w:pos="1050"/>
        </w:tabs>
        <w:adjustRightInd w:val="0"/>
        <w:snapToGrid w:val="0"/>
        <w:spacing w:line="420" w:lineRule="exact"/>
        <w:ind w:left="5" w:firstLine="63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总价金额与按单价汇总金额不一致的，以单价金额计算结果为准。</w:t>
      </w:r>
    </w:p>
    <w:p>
      <w:pPr>
        <w:adjustRightInd w:val="0"/>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22、无效投标的认定</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时，对投标人的资格条件、技术文件、商务资信、报价和其他评审要求等，采购人及采购代理机构对投标人的资格条件进行审查比较，其他由评标委员会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22.1资格审查（资格审查由采购人或采购代理机构审查）时，如发现下列情形的，投标文件将被视为无效：</w:t>
      </w:r>
    </w:p>
    <w:p>
      <w:pPr>
        <w:numPr>
          <w:ilvl w:val="0"/>
          <w:numId w:val="9"/>
        </w:numPr>
        <w:snapToGrid w:val="0"/>
        <w:spacing w:line="420" w:lineRule="exact"/>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资格审查文件不全的或者不符合采购文件标明的资格要求的或不符合相应法律法规规定的</w:t>
      </w:r>
      <w:r>
        <w:rPr>
          <w:rFonts w:hint="eastAsia" w:ascii="宋体" w:hAnsi="宋体" w:cs="宋体"/>
          <w:bCs/>
          <w:snapToGrid w:val="0"/>
          <w:color w:val="000000" w:themeColor="text1"/>
          <w:kern w:val="0"/>
          <w:sz w:val="24"/>
          <w:highlight w:val="none"/>
          <w14:textFill>
            <w14:solidFill>
              <w14:schemeClr w14:val="tx1"/>
            </w14:solidFill>
          </w14:textFill>
        </w:rPr>
        <w:t>；</w:t>
      </w:r>
    </w:p>
    <w:p>
      <w:pPr>
        <w:numPr>
          <w:ilvl w:val="0"/>
          <w:numId w:val="9"/>
        </w:numPr>
        <w:snapToGrid w:val="0"/>
        <w:spacing w:line="420" w:lineRule="exact"/>
        <w:ind w:firstLine="470" w:firstLineChars="19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未按采购文件中要求签署、盖章的</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9"/>
        </w:numPr>
        <w:snapToGrid w:val="0"/>
        <w:spacing w:line="420" w:lineRule="exact"/>
        <w:ind w:firstLine="470" w:firstLineChars="196"/>
        <w:rPr>
          <w:rFonts w:hint="eastAsia" w:ascii="宋体" w:hAnsi="宋体" w:cs="宋体"/>
          <w:bCs/>
          <w:snapToGrid w:val="0"/>
          <w:color w:val="000000" w:themeColor="text1"/>
          <w:kern w:val="0"/>
          <w:sz w:val="24"/>
          <w:highlight w:val="none"/>
          <w14:textFill>
            <w14:solidFill>
              <w14:schemeClr w14:val="tx1"/>
            </w14:solidFill>
          </w14:textFill>
        </w:rPr>
      </w:pPr>
      <w:r>
        <w:rPr>
          <w:rFonts w:hAnsi="宋体"/>
          <w:snapToGrid w:val="0"/>
          <w:color w:val="000000" w:themeColor="text1"/>
          <w:sz w:val="24"/>
          <w:highlight w:val="none"/>
          <w14:textFill>
            <w14:solidFill>
              <w14:schemeClr w14:val="tx1"/>
            </w14:solidFill>
          </w14:textFill>
        </w:rPr>
        <w:t>未按照招标文件的规定提交投标保证金的</w:t>
      </w:r>
      <w:r>
        <w:rPr>
          <w:rFonts w:hint="eastAsia" w:ascii="宋体" w:hAnsi="宋体" w:cs="宋体"/>
          <w:bCs/>
          <w:snapToGrid w:val="0"/>
          <w:color w:val="000000" w:themeColor="text1"/>
          <w:kern w:val="0"/>
          <w:sz w:val="24"/>
          <w:highlight w:val="none"/>
          <w14:textFill>
            <w14:solidFill>
              <w14:schemeClr w14:val="tx1"/>
            </w14:solidFill>
          </w14:textFill>
        </w:rPr>
        <w:t>。</w:t>
      </w:r>
    </w:p>
    <w:p>
      <w:pPr>
        <w:adjustRightInd w:val="0"/>
        <w:snapToGrid w:val="0"/>
        <w:spacing w:line="420" w:lineRule="exact"/>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22.2</w:t>
      </w:r>
      <w:r>
        <w:rPr>
          <w:rFonts w:hint="eastAsia" w:ascii="宋体" w:hAnsi="宋体" w:cs="宋体"/>
          <w:b/>
          <w:bCs/>
          <w:color w:val="000000" w:themeColor="text1"/>
          <w:sz w:val="24"/>
          <w:highlight w:val="none"/>
          <w14:textFill>
            <w14:solidFill>
              <w14:schemeClr w14:val="tx1"/>
            </w14:solidFill>
          </w14:textFill>
        </w:rPr>
        <w:t>在</w:t>
      </w:r>
      <w:r>
        <w:rPr>
          <w:rFonts w:hint="eastAsia" w:ascii="宋体" w:hAnsi="宋体" w:cs="宋体"/>
          <w:b/>
          <w:color w:val="000000" w:themeColor="text1"/>
          <w:sz w:val="24"/>
          <w:highlight w:val="none"/>
          <w14:textFill>
            <w14:solidFill>
              <w14:schemeClr w14:val="tx1"/>
            </w14:solidFill>
          </w14:textFill>
        </w:rPr>
        <w:t>符合性审查、商务技术、报价评审等时，如发现下列情形之一的，投标文件将被视为无效：</w:t>
      </w:r>
    </w:p>
    <w:p>
      <w:pPr>
        <w:pStyle w:val="20"/>
        <w:spacing w:after="0" w:line="420" w:lineRule="exact"/>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22.2.1符合性审查</w:t>
      </w:r>
    </w:p>
    <w:p>
      <w:pPr>
        <w:numPr>
          <w:ilvl w:val="0"/>
          <w:numId w:val="9"/>
        </w:numPr>
        <w:snapToGrid w:val="0"/>
        <w:spacing w:line="420" w:lineRule="exact"/>
        <w:ind w:firstLine="470" w:firstLineChars="196"/>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投标文件中法定代表人授权书所载内容与本项目内容有异的或者法定代表人授权书未按照采购文件要求签署、盖章的；</w:t>
      </w:r>
    </w:p>
    <w:p>
      <w:pPr>
        <w:numPr>
          <w:ilvl w:val="0"/>
          <w:numId w:val="9"/>
        </w:numPr>
        <w:snapToGrid w:val="0"/>
        <w:spacing w:line="420" w:lineRule="exact"/>
        <w:ind w:firstLine="470" w:firstLineChars="196"/>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投标文件内容弄虚作假的；</w:t>
      </w:r>
    </w:p>
    <w:p>
      <w:pPr>
        <w:numPr>
          <w:ilvl w:val="0"/>
          <w:numId w:val="9"/>
        </w:numPr>
        <w:snapToGrid w:val="0"/>
        <w:spacing w:line="420" w:lineRule="exact"/>
        <w:ind w:firstLine="470" w:firstLineChars="196"/>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未按采购文件中要求签署、盖章的；</w:t>
      </w:r>
    </w:p>
    <w:p>
      <w:pPr>
        <w:numPr>
          <w:ilvl w:val="0"/>
          <w:numId w:val="9"/>
        </w:numPr>
        <w:snapToGrid w:val="0"/>
        <w:spacing w:line="420" w:lineRule="exact"/>
        <w:ind w:firstLine="470" w:firstLineChars="196"/>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r>
        <w:rPr>
          <w:rFonts w:hint="eastAsia" w:ascii="宋体" w:hAnsi="宋体" w:cs="宋体"/>
          <w:bCs/>
          <w:snapToGrid w:val="0"/>
          <w:color w:val="000000" w:themeColor="text1"/>
          <w:kern w:val="0"/>
          <w:sz w:val="24"/>
          <w:highlight w:val="none"/>
          <w:lang w:eastAsia="zh-CN"/>
          <w14:textFill>
            <w14:solidFill>
              <w14:schemeClr w14:val="tx1"/>
            </w14:solidFill>
          </w14:textFill>
        </w:rPr>
        <w:t>；</w:t>
      </w:r>
    </w:p>
    <w:p>
      <w:pPr>
        <w:snapToGrid w:val="0"/>
        <w:spacing w:line="42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8</w:t>
      </w:r>
      <w:r>
        <w:rPr>
          <w:rFonts w:hint="eastAsia" w:ascii="宋体" w:hAnsi="宋体" w:cs="宋体"/>
          <w:bCs/>
          <w:snapToGrid w:val="0"/>
          <w:color w:val="000000" w:themeColor="text1"/>
          <w:kern w:val="0"/>
          <w:sz w:val="24"/>
          <w:highlight w:val="none"/>
          <w14:textFill>
            <w14:solidFill>
              <w14:schemeClr w14:val="tx1"/>
            </w14:solidFill>
          </w14:textFill>
        </w:rPr>
        <w:t>）存在法律、法规规定及采购文件规定的其它无效情形的。</w:t>
      </w:r>
    </w:p>
    <w:p>
      <w:pPr>
        <w:pStyle w:val="20"/>
        <w:spacing w:after="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22.2.2商务技术审查</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9</w:t>
      </w:r>
      <w:r>
        <w:rPr>
          <w:rFonts w:hint="eastAsia" w:ascii="宋体" w:hAnsi="宋体" w:cs="宋体"/>
          <w:bCs/>
          <w:snapToGrid w:val="0"/>
          <w:color w:val="000000" w:themeColor="text1"/>
          <w:kern w:val="0"/>
          <w:sz w:val="24"/>
          <w:highlight w:val="none"/>
          <w14:textFill>
            <w14:solidFill>
              <w14:schemeClr w14:val="tx1"/>
            </w14:solidFill>
          </w14:textFill>
        </w:rPr>
        <w:t>）投标有效期、交货时间、质保期</w:t>
      </w:r>
      <w:r>
        <w:rPr>
          <w:rFonts w:hint="eastAsia" w:ascii="宋体" w:hAnsi="宋体" w:cs="宋体"/>
          <w:bCs/>
          <w:snapToGrid w:val="0"/>
          <w:color w:val="000000" w:themeColor="text1"/>
          <w:kern w:val="0"/>
          <w:sz w:val="24"/>
          <w:highlight w:val="none"/>
          <w:lang w:eastAsia="zh-CN"/>
          <w14:textFill>
            <w14:solidFill>
              <w14:schemeClr w14:val="tx1"/>
            </w14:solidFill>
          </w14:textFill>
        </w:rPr>
        <w:t>、付款方式</w:t>
      </w:r>
      <w:r>
        <w:rPr>
          <w:rFonts w:hint="eastAsia" w:ascii="宋体" w:hAnsi="宋体" w:cs="宋体"/>
          <w:bCs/>
          <w:snapToGrid w:val="0"/>
          <w:color w:val="000000" w:themeColor="text1"/>
          <w:kern w:val="0"/>
          <w:sz w:val="24"/>
          <w:highlight w:val="none"/>
          <w14:textFill>
            <w14:solidFill>
              <w14:schemeClr w14:val="tx1"/>
            </w14:solidFill>
          </w14:textFill>
        </w:rPr>
        <w:t>等条款不能满足采购文件要求的；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10</w:t>
      </w:r>
      <w:r>
        <w:rPr>
          <w:rFonts w:hint="eastAsia" w:ascii="宋体" w:hAnsi="宋体" w:cs="宋体"/>
          <w:bCs/>
          <w:snapToGrid w:val="0"/>
          <w:color w:val="000000" w:themeColor="text1"/>
          <w:kern w:val="0"/>
          <w:sz w:val="24"/>
          <w:highlight w:val="none"/>
          <w14:textFill>
            <w14:solidFill>
              <w14:schemeClr w14:val="tx1"/>
            </w14:solidFill>
          </w14:textFill>
        </w:rPr>
        <w:t>）投标文件缺少实质性内容或实质性内容不能满足采购文件要求的；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11</w:t>
      </w:r>
      <w:r>
        <w:rPr>
          <w:rFonts w:hint="eastAsia" w:ascii="宋体" w:hAnsi="宋体" w:cs="宋体"/>
          <w:bCs/>
          <w:snapToGrid w:val="0"/>
          <w:color w:val="000000" w:themeColor="text1"/>
          <w:kern w:val="0"/>
          <w:sz w:val="24"/>
          <w:highlight w:val="none"/>
          <w14:textFill>
            <w14:solidFill>
              <w14:schemeClr w14:val="tx1"/>
            </w14:solidFill>
          </w14:textFill>
        </w:rPr>
        <w:t>）在技术商务标中出现投标报价的；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2</w:t>
      </w:r>
      <w:r>
        <w:rPr>
          <w:rFonts w:hint="eastAsia" w:ascii="宋体" w:hAnsi="宋体" w:cs="宋体"/>
          <w:bCs/>
          <w:snapToGrid w:val="0"/>
          <w:color w:val="000000" w:themeColor="text1"/>
          <w:kern w:val="0"/>
          <w:sz w:val="24"/>
          <w:highlight w:val="none"/>
          <w14:textFill>
            <w14:solidFill>
              <w14:schemeClr w14:val="tx1"/>
            </w14:solidFill>
          </w14:textFill>
        </w:rPr>
        <w:t>）明显不符合招标文件要求的规格型号、质量标准，或者与招标文件中标“▲”的技术指标、主要功能项目发生实质性偏离的；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3</w:t>
      </w:r>
      <w:r>
        <w:rPr>
          <w:rFonts w:hint="eastAsia" w:ascii="宋体" w:hAnsi="宋体" w:cs="宋体"/>
          <w:bCs/>
          <w:snapToGrid w:val="0"/>
          <w:color w:val="000000" w:themeColor="text1"/>
          <w:kern w:val="0"/>
          <w:sz w:val="24"/>
          <w:highlight w:val="none"/>
          <w14:textFill>
            <w14:solidFill>
              <w14:schemeClr w14:val="tx1"/>
            </w14:solidFill>
          </w14:textFill>
        </w:rPr>
        <w:t>）允许偏离的技术、性能指标或者辅助功能项目发生负偏离，评委认为偏离整个项目所要达到的主要功能需求的；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4</w:t>
      </w:r>
      <w:r>
        <w:rPr>
          <w:rFonts w:hint="eastAsia" w:ascii="宋体" w:hAnsi="宋体" w:cs="宋体"/>
          <w:bCs/>
          <w:snapToGrid w:val="0"/>
          <w:color w:val="000000" w:themeColor="text1"/>
          <w:kern w:val="0"/>
          <w:sz w:val="24"/>
          <w:highlight w:val="none"/>
          <w14:textFill>
            <w14:solidFill>
              <w14:schemeClr w14:val="tx1"/>
            </w14:solidFill>
          </w14:textFill>
        </w:rPr>
        <w:t>）技术标投标规格、数量等与招标需求中规格、数量等不一致的；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5</w:t>
      </w:r>
      <w:r>
        <w:rPr>
          <w:rFonts w:hint="eastAsia" w:ascii="宋体" w:hAnsi="宋体" w:cs="宋体"/>
          <w:bCs/>
          <w:snapToGrid w:val="0"/>
          <w:color w:val="000000" w:themeColor="text1"/>
          <w:kern w:val="0"/>
          <w:sz w:val="24"/>
          <w:highlight w:val="none"/>
          <w14:textFill>
            <w14:solidFill>
              <w14:schemeClr w14:val="tx1"/>
            </w14:solidFill>
          </w14:textFill>
        </w:rPr>
        <w:t>）投标技术方案不明确，存在一个或一个以上备选（替代）投标方案的；</w:t>
      </w:r>
    </w:p>
    <w:p>
      <w:pPr>
        <w:snapToGrid w:val="0"/>
        <w:spacing w:line="420" w:lineRule="exact"/>
        <w:ind w:firstLine="480" w:firstLineChars="200"/>
        <w:rPr>
          <w:rFonts w:hint="eastAsia" w:ascii="宋体" w:hAnsi="宋体" w:eastAsia="宋体" w:cs="宋体"/>
          <w:bCs/>
          <w:snapToGrid w:val="0"/>
          <w:color w:val="000000" w:themeColor="text1"/>
          <w:kern w:val="0"/>
          <w:sz w:val="24"/>
          <w:highlight w:val="none"/>
          <w:lang w:eastAsia="zh-CN"/>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6</w:t>
      </w:r>
      <w:r>
        <w:rPr>
          <w:rFonts w:hint="eastAsia" w:ascii="宋体" w:hAnsi="宋体" w:cs="宋体"/>
          <w:bCs/>
          <w:snapToGrid w:val="0"/>
          <w:color w:val="000000" w:themeColor="text1"/>
          <w:kern w:val="0"/>
          <w:sz w:val="24"/>
          <w:highlight w:val="none"/>
          <w14:textFill>
            <w14:solidFill>
              <w14:schemeClr w14:val="tx1"/>
            </w14:solidFill>
          </w14:textFill>
        </w:rPr>
        <w:t>）投标货物的技术规范、技术标准明显不符合国家强制性要求的</w:t>
      </w:r>
      <w:r>
        <w:rPr>
          <w:rFonts w:hint="eastAsia" w:ascii="宋体" w:hAnsi="宋体" w:cs="宋体"/>
          <w:bCs/>
          <w:snapToGrid w:val="0"/>
          <w:color w:val="000000" w:themeColor="text1"/>
          <w:kern w:val="0"/>
          <w:sz w:val="24"/>
          <w:highlight w:val="none"/>
          <w:lang w:eastAsia="zh-CN"/>
          <w14:textFill>
            <w14:solidFill>
              <w14:schemeClr w14:val="tx1"/>
            </w14:solidFill>
          </w14:textFill>
        </w:rPr>
        <w:t>；</w:t>
      </w:r>
    </w:p>
    <w:p>
      <w:pPr>
        <w:snapToGrid w:val="0"/>
        <w:spacing w:line="42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7</w:t>
      </w:r>
      <w:r>
        <w:rPr>
          <w:rFonts w:hint="eastAsia" w:ascii="宋体" w:hAnsi="宋体" w:cs="宋体"/>
          <w:bCs/>
          <w:snapToGrid w:val="0"/>
          <w:color w:val="000000" w:themeColor="text1"/>
          <w:kern w:val="0"/>
          <w:sz w:val="24"/>
          <w:highlight w:val="none"/>
          <w14:textFill>
            <w14:solidFill>
              <w14:schemeClr w14:val="tx1"/>
            </w14:solidFill>
          </w14:textFill>
        </w:rPr>
        <w:t>）存在法律、法规规定及采购文件规定的其它无效情形的。</w:t>
      </w:r>
    </w:p>
    <w:p>
      <w:pPr>
        <w:pStyle w:val="20"/>
        <w:spacing w:after="0" w:line="420" w:lineRule="exact"/>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22.2.3报价审查</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18</w:t>
      </w:r>
      <w:r>
        <w:rPr>
          <w:rFonts w:hint="eastAsia" w:ascii="宋体" w:hAnsi="宋体" w:cs="宋体"/>
          <w:bCs/>
          <w:snapToGrid w:val="0"/>
          <w:color w:val="000000" w:themeColor="text1"/>
          <w:kern w:val="0"/>
          <w:sz w:val="24"/>
          <w:highlight w:val="none"/>
          <w14:textFill>
            <w14:solidFill>
              <w14:schemeClr w14:val="tx1"/>
            </w14:solidFill>
          </w14:textFill>
        </w:rPr>
        <w:t>）开标一览表投标报价为零的（包括投标文件中标明：免费或赠予）或其报价（大写）无法按正常书写方式进行报价唱标的或无投标报价的；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9</w:t>
      </w:r>
      <w:r>
        <w:rPr>
          <w:rFonts w:hint="eastAsia" w:ascii="宋体" w:hAnsi="宋体" w:cs="宋体"/>
          <w:bCs/>
          <w:snapToGrid w:val="0"/>
          <w:color w:val="000000" w:themeColor="text1"/>
          <w:kern w:val="0"/>
          <w:sz w:val="24"/>
          <w:highlight w:val="none"/>
          <w14:textFill>
            <w14:solidFill>
              <w14:schemeClr w14:val="tx1"/>
            </w14:solidFill>
          </w14:textFill>
        </w:rPr>
        <w:t>）投标人提交两份或多份内容不同的报价投标文件，或在一份报价投标文件中对同一内容报有两个或多个报价，且未声明哪一个为最终报价的；</w:t>
      </w:r>
    </w:p>
    <w:p>
      <w:pPr>
        <w:snapToGrid w:val="0"/>
        <w:spacing w:line="420" w:lineRule="exact"/>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20</w:t>
      </w:r>
      <w:r>
        <w:rPr>
          <w:rFonts w:hint="eastAsia" w:ascii="宋体" w:hAnsi="宋体" w:cs="宋体"/>
          <w:bCs/>
          <w:snapToGrid w:val="0"/>
          <w:color w:val="000000" w:themeColor="text1"/>
          <w:kern w:val="0"/>
          <w:sz w:val="24"/>
          <w:highlight w:val="none"/>
          <w14:textFill>
            <w14:solidFill>
              <w14:schemeClr w14:val="tx1"/>
            </w14:solidFill>
          </w14:textFill>
        </w:rPr>
        <w:t>）投标人的报价明显低于其他通过符合性审查投标人的报价，有可能影响产品质量或者不能诚信履约，且未能按评标委员会要求在合理的时间内提供书面说明及相关证明材料以证明其报价合理性的；</w:t>
      </w:r>
    </w:p>
    <w:p>
      <w:pPr>
        <w:snapToGrid w:val="0"/>
        <w:spacing w:line="420" w:lineRule="exact"/>
        <w:ind w:firstLine="480" w:firstLineChars="200"/>
        <w:rPr>
          <w:rFonts w:hint="eastAsia" w:ascii="宋体" w:hAnsi="宋体" w:eastAsia="宋体" w:cs="宋体"/>
          <w:bCs/>
          <w:snapToGrid w:val="0"/>
          <w:color w:val="000000" w:themeColor="text1"/>
          <w:kern w:val="0"/>
          <w:sz w:val="24"/>
          <w:highlight w:val="none"/>
          <w:lang w:eastAsia="zh-CN"/>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21</w:t>
      </w:r>
      <w:r>
        <w:rPr>
          <w:rFonts w:hint="eastAsia" w:ascii="宋体" w:hAnsi="宋体" w:cs="宋体"/>
          <w:bCs/>
          <w:snapToGrid w:val="0"/>
          <w:color w:val="000000" w:themeColor="text1"/>
          <w:kern w:val="0"/>
          <w:sz w:val="24"/>
          <w:highlight w:val="none"/>
          <w14:textFill>
            <w14:solidFill>
              <w14:schemeClr w14:val="tx1"/>
            </w14:solidFill>
          </w14:textFill>
        </w:rPr>
        <w:t>）投标报价未包含全部采购内容或超过采购文件中规定的预算金额的</w:t>
      </w:r>
      <w:r>
        <w:rPr>
          <w:rFonts w:hint="eastAsia" w:ascii="宋体" w:hAnsi="宋体" w:cs="宋体"/>
          <w:bCs/>
          <w:snapToGrid w:val="0"/>
          <w:color w:val="000000" w:themeColor="text1"/>
          <w:kern w:val="0"/>
          <w:sz w:val="24"/>
          <w:highlight w:val="none"/>
          <w:lang w:eastAsia="zh-CN"/>
          <w14:textFill>
            <w14:solidFill>
              <w14:schemeClr w14:val="tx1"/>
            </w14:solidFill>
          </w14:textFill>
        </w:rPr>
        <w:t>；</w:t>
      </w:r>
    </w:p>
    <w:p>
      <w:pPr>
        <w:snapToGrid w:val="0"/>
        <w:spacing w:line="4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（2</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2</w:t>
      </w:r>
      <w:r>
        <w:rPr>
          <w:rFonts w:hint="eastAsia" w:ascii="宋体" w:hAnsi="宋体" w:cs="宋体"/>
          <w:bCs/>
          <w:snapToGrid w:val="0"/>
          <w:color w:val="000000" w:themeColor="text1"/>
          <w:kern w:val="0"/>
          <w:sz w:val="24"/>
          <w:highlight w:val="none"/>
          <w14:textFill>
            <w14:solidFill>
              <w14:schemeClr w14:val="tx1"/>
            </w14:solidFill>
          </w14:textFill>
        </w:rPr>
        <w:t>）存在法律</w:t>
      </w:r>
      <w:r>
        <w:rPr>
          <w:rFonts w:hint="eastAsia" w:ascii="宋体" w:hAnsi="宋体" w:cs="宋体"/>
          <w:color w:val="000000" w:themeColor="text1"/>
          <w:sz w:val="24"/>
          <w:highlight w:val="none"/>
          <w14:textFill>
            <w14:solidFill>
              <w14:schemeClr w14:val="tx1"/>
            </w14:solidFill>
          </w14:textFill>
        </w:rPr>
        <w:t>、法规规定及采购文件规定的其它无效情形的。</w:t>
      </w:r>
    </w:p>
    <w:p>
      <w:pPr>
        <w:adjustRightInd w:val="0"/>
        <w:snapToGrid w:val="0"/>
        <w:spacing w:line="420" w:lineRule="exact"/>
        <w:ind w:firstLine="482" w:firstLineChars="200"/>
        <w:jc w:val="left"/>
        <w:rPr>
          <w:rFonts w:hint="eastAsia"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22.3有下列情形之一的，视为投标人串通投标，其投标无效：</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（1）不同投标人的投标文件由同一单位或者个人编制；</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（2）不同投标人委托同一单位或者个人办理投标事宜；</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（3）不同投标人的投标文件载明的项目管理成员或者联系人员为同一人；</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（4）不同投标人的投标文件异常一致或者投标报价呈规律性差异；</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（5）不同投标人的投标文件相互混装。</w:t>
      </w:r>
    </w:p>
    <w:p>
      <w:pPr>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cs="宋体"/>
          <w:snapToGrid w:val="0"/>
          <w:color w:val="000000" w:themeColor="text1"/>
          <w:kern w:val="0"/>
          <w:sz w:val="24"/>
          <w:highlight w:val="none"/>
          <w14:textFill>
            <w14:solidFill>
              <w14:schemeClr w14:val="tx1"/>
            </w14:solidFill>
          </w14:textFill>
        </w:rPr>
        <w:t>（6）存在</w:t>
      </w:r>
      <w:r>
        <w:rPr>
          <w:rFonts w:hint="eastAsia" w:ascii="宋体" w:cs="宋体"/>
          <w:color w:val="000000" w:themeColor="text1"/>
          <w:sz w:val="24"/>
          <w:highlight w:val="none"/>
          <w14:textFill>
            <w14:solidFill>
              <w14:schemeClr w14:val="tx1"/>
            </w14:solidFill>
          </w14:textFill>
        </w:rPr>
        <w:t>法律、法规规定及采购文件规定的其它无效情形的。</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23、废标</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23.1出现下列情形之一的，应予以废标：</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（1）符合专业条件的投标人或者对采购文件</w:t>
      </w:r>
      <w:r>
        <w:rPr>
          <w:rFonts w:hint="eastAsia" w:ascii="宋体" w:hAnsi="宋体" w:cs="宋体"/>
          <w:snapToGrid w:val="0"/>
          <w:color w:val="000000" w:themeColor="text1"/>
          <w:kern w:val="0"/>
          <w:sz w:val="24"/>
          <w:highlight w:val="none"/>
          <w:lang w:eastAsia="zh-CN"/>
          <w14:textFill>
            <w14:solidFill>
              <w14:schemeClr w14:val="tx1"/>
            </w14:solidFill>
          </w14:textFill>
        </w:rPr>
        <w:t>做</w:t>
      </w:r>
      <w:r>
        <w:rPr>
          <w:rFonts w:hint="eastAsia" w:ascii="宋体" w:hAnsi="宋体" w:cs="宋体"/>
          <w:snapToGrid w:val="0"/>
          <w:color w:val="000000" w:themeColor="text1"/>
          <w:kern w:val="0"/>
          <w:sz w:val="24"/>
          <w:highlight w:val="none"/>
          <w14:textFill>
            <w14:solidFill>
              <w14:schemeClr w14:val="tx1"/>
            </w14:solidFill>
          </w14:textFill>
        </w:rPr>
        <w:t>实质响应的投标人不足三家的；</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（2）出现影响采购公正的违法、违规行为的；</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（3）所有投标人的报价均超过了采购预算，采购人不能支付的；</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（4）因重大变故，采购任务取消的。</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23.2采购过程中出现以下情形，导致电子交易平台无法正常运行，或者无法保证电子交易的公平、公正和安全时，采购组织机构可中止电子交易活动：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（1）电子交易平台发生故障而无法登录访问的； </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（2）电子交易平台应用或数据库出现错误，不能进行正常操作的；</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（3）电子交易平台发现严重安全漏洞，有潜在泄密危险的；</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（4）病毒发作导致不能进行正常操作的； </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（5）其他无法保证电子交易的公平、公正和安全的情况。</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23.3 废标后，采购人应当将废标理由通知所有投标人并重新组织招标；或者经主管部门批准，采取其他方式组织采购。</w:t>
      </w:r>
    </w:p>
    <w:p>
      <w:pPr>
        <w:pStyle w:val="3"/>
        <w:snapToGrid w:val="0"/>
        <w:spacing w:before="120" w:beforeLines="50" w:after="120" w:afterLines="50" w:line="420" w:lineRule="exact"/>
        <w:rPr>
          <w:rFonts w:hint="eastAsia" w:ascii="宋体" w:hAnsi="宋体" w:eastAsia="宋体" w:cs="宋体"/>
          <w:color w:val="000000" w:themeColor="text1"/>
          <w:sz w:val="24"/>
          <w:szCs w:val="24"/>
          <w:highlight w:val="none"/>
          <w14:textFill>
            <w14:solidFill>
              <w14:schemeClr w14:val="tx1"/>
            </w14:solidFill>
          </w14:textFill>
        </w:rPr>
      </w:pPr>
      <w:bookmarkStart w:id="73" w:name="_Toc14237"/>
      <w:bookmarkStart w:id="74" w:name="_Toc23728"/>
      <w:bookmarkStart w:id="75" w:name="_Toc240450082"/>
      <w:bookmarkStart w:id="76" w:name="_Toc13677"/>
      <w:bookmarkStart w:id="77" w:name="_Toc26186"/>
      <w:bookmarkStart w:id="78" w:name="_Toc4397"/>
      <w:bookmarkStart w:id="79" w:name="_Toc17020"/>
      <w:bookmarkStart w:id="80" w:name="_Toc32681"/>
      <w:bookmarkStart w:id="81" w:name="_Toc251566655"/>
      <w:bookmarkStart w:id="82" w:name="_Toc17676"/>
      <w:r>
        <w:rPr>
          <w:rFonts w:hint="eastAsia" w:ascii="宋体" w:hAnsi="宋体" w:eastAsia="宋体" w:cs="宋体"/>
          <w:color w:val="000000" w:themeColor="text1"/>
          <w:sz w:val="24"/>
          <w:szCs w:val="24"/>
          <w:highlight w:val="none"/>
          <w14:textFill>
            <w14:solidFill>
              <w14:schemeClr w14:val="tx1"/>
            </w14:solidFill>
          </w14:textFill>
        </w:rPr>
        <w:t>六、确定中标人及授予合同</w:t>
      </w:r>
      <w:bookmarkEnd w:id="73"/>
      <w:bookmarkEnd w:id="74"/>
      <w:bookmarkEnd w:id="75"/>
      <w:bookmarkEnd w:id="76"/>
      <w:bookmarkEnd w:id="77"/>
      <w:bookmarkEnd w:id="78"/>
      <w:bookmarkEnd w:id="79"/>
      <w:bookmarkEnd w:id="80"/>
      <w:bookmarkEnd w:id="81"/>
      <w:bookmarkEnd w:id="82"/>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24、中标人的确定</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24.1 采购代理机构应当自评标结束之日起2个工作日内将评标报告送交采购人。</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采购人在收到评标报告5个工作日内未按评标报告推荐的中标候选人顺序确定1名中标人，又不能说明合法理由的，视同按评标报告推荐的顺序确定排名第一的中标候选人为中标人。</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采购人或者采购代理机构应当自中标人确定之日起2个工作日内，在浙江政府采购网上公告中标结果，采购文件应当随中标结果同时公告。</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中标结果公告期限为1个工作日。</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24.2 除国务院财政部门规定的情形外，采购人、采购代理机构不得以任何理由组织重新评审。采购人、采购代理机构按照规定组织重新评审的，应当书面报告监督管理部门。</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24.3中标通知书发出后，采购人不得违法改变中标结果，中标人无正当理由不得放弃中标。 </w:t>
      </w:r>
    </w:p>
    <w:p>
      <w:pPr>
        <w:adjustRightInd w:val="0"/>
        <w:snapToGrid w:val="0"/>
        <w:spacing w:line="420" w:lineRule="exact"/>
        <w:ind w:firstLine="482" w:firstLineChars="200"/>
        <w:jc w:val="left"/>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24.4中标人应为浙江政府采购注册投标人，如尚未注册，必须在投标截止前按照《浙江省政府采购投标人注册及诚信管理暂行办法》（浙财采监字［2009］28号）的相关规定，及时办理更新或投标人注册事项。</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25、合同授予</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25.1 本项目的合同将授予按本须知第24.1款所确定的中标人。</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25.2 中标或者中标人拒绝与采购人签订合同的，采购人可以按照评审报告推荐的中标候选人名单排序，确定下一候选人为中标人，也可以重新开展政府采购活动。</w:t>
      </w:r>
    </w:p>
    <w:p>
      <w:pPr>
        <w:adjustRightInd w:val="0"/>
        <w:snapToGrid w:val="0"/>
        <w:spacing w:before="120" w:beforeLines="50" w:line="420" w:lineRule="exact"/>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26、签订合同</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26.1 采购人与中标人应当在《中标通知书》发出之日起30日内，按照招标文件和中标人投标文件的规定，与中标人签订书面合同。同时，采购代理机构对合同内容进行审查，如发现与采购结果和投标承诺内容不一致的，应予以纠正。</w:t>
      </w:r>
    </w:p>
    <w:p>
      <w:pPr>
        <w:adjustRightInd w:val="0"/>
        <w:snapToGrid w:val="0"/>
        <w:spacing w:line="420" w:lineRule="exact"/>
        <w:ind w:left="420" w:left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如中标人为联合体的，由联合体成员各方法定代表人或其授权代表与采购人代表签订</w:t>
      </w:r>
    </w:p>
    <w:p>
      <w:pPr>
        <w:adjustRightInd w:val="0"/>
        <w:snapToGrid w:val="0"/>
        <w:spacing w:line="420" w:lineRule="exact"/>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合同（本项目不适用）。</w:t>
      </w:r>
    </w:p>
    <w:p>
      <w:pPr>
        <w:adjustRightInd w:val="0"/>
        <w:snapToGrid w:val="0"/>
        <w:spacing w:line="420" w:lineRule="exact"/>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26.3 采购文件、中标人的投标文件及投标修改文件、评标过程中有关澄清文件及经投标人法定代表人或授权代表签字确认的询标回复和承诺及中标通知书均作为合同组成部分。</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27、履约保证金</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r>
        <w:rPr>
          <w:rFonts w:hint="eastAsia" w:ascii="宋体" w:hAnsi="宋体" w:cs="宋体"/>
          <w:color w:val="000000" w:themeColor="text1"/>
          <w:sz w:val="24"/>
          <w:highlight w:val="none"/>
          <w:lang w:eastAsia="zh-CN"/>
          <w14:textFill>
            <w14:solidFill>
              <w14:schemeClr w14:val="tx1"/>
            </w14:solidFill>
          </w14:textFill>
        </w:rPr>
        <w:t>标项1、标项2均按30000元计取。</w:t>
      </w:r>
      <w:r>
        <w:rPr>
          <w:rFonts w:hint="eastAsia" w:ascii="宋体" w:hAnsi="宋体" w:cs="宋体"/>
          <w:color w:val="000000" w:themeColor="text1"/>
          <w:sz w:val="24"/>
          <w:highlight w:val="none"/>
          <w14:textFill>
            <w14:solidFill>
              <w14:schemeClr w14:val="tx1"/>
            </w14:solidFill>
          </w14:textFill>
        </w:rPr>
        <w:t>（不计息）</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履约保证金的形式：现金、支票、汇票、本票或者金融机构、保险公司、担保机构出具的保函/保险</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履约担保形式为现金（账户另行通知），</w:t>
      </w:r>
      <w:r>
        <w:rPr>
          <w:rFonts w:hint="eastAsia" w:ascii="宋体" w:hAnsi="宋体" w:cs="宋体"/>
          <w:color w:val="000000" w:themeColor="text1"/>
          <w:sz w:val="24"/>
          <w:highlight w:val="none"/>
          <w:lang w:eastAsia="zh-CN"/>
          <w14:textFill>
            <w14:solidFill>
              <w14:schemeClr w14:val="tx1"/>
            </w14:solidFill>
          </w14:textFill>
        </w:rPr>
        <w:t>履约保证金待合同到期、验收合格后到采购人处办理退还手续。</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b/>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lang w:eastAsia="zh-CN"/>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ascii="宋体" w:hAnsi="宋体" w:cs="宋体"/>
          <w:b/>
          <w:snapToGrid w:val="0"/>
          <w:color w:val="000000" w:themeColor="text1"/>
          <w:kern w:val="0"/>
          <w:sz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lang w:val="en-US" w:eastAsia="zh-CN"/>
          <w14:textFill>
            <w14:solidFill>
              <w14:schemeClr w14:val="tx1"/>
            </w14:solidFill>
          </w14:textFill>
        </w:rPr>
        <w:t>28.</w:t>
      </w:r>
      <w:r>
        <w:rPr>
          <w:rFonts w:hint="eastAsia" w:ascii="宋体" w:hAnsi="宋体" w:cs="宋体"/>
          <w:b/>
          <w:snapToGrid w:val="0"/>
          <w:color w:val="000000" w:themeColor="text1"/>
          <w:kern w:val="0"/>
          <w:sz w:val="24"/>
          <w:highlight w:val="none"/>
          <w14:textFill>
            <w14:solidFill>
              <w14:schemeClr w14:val="tx1"/>
            </w14:solidFill>
          </w14:textFill>
        </w:rPr>
        <w:t>质疑与投诉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根据《中华人民共和国政府采购法》、《财政部关于加强政府采购投标人投诉受理审查工作的通知》(财库〔2007〕1号)和《政府采购质疑和投诉办法》（财政部令第94号）的规定，政府采购投标人（投标人，下同）可以依法提起质疑和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28.1投标人询问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投标人对政府采购活动事项有疑问的，可以向采购机构提出询问，采购人或者采购代理机构应当在3个工作日内对投标人依法提出的询问作出答复，但答复的内容不得涉及商业秘密。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28.2投标人质疑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28.2.1投标人认为采购（招标）文件、采购过程、中标或者成交结果使自己的</w:t>
      </w:r>
      <w:r>
        <w:rPr>
          <w:rFonts w:hint="eastAsia" w:ascii="宋体" w:hAnsi="宋体" w:cs="宋体"/>
          <w:color w:val="000000" w:themeColor="text1"/>
          <w:kern w:val="0"/>
          <w:sz w:val="24"/>
          <w:highlight w:val="none"/>
          <w14:textFill>
            <w14:solidFill>
              <w14:schemeClr w14:val="tx1"/>
            </w14:solidFill>
          </w14:textFill>
        </w:rPr>
        <w:t>合法</w:t>
      </w:r>
      <w:r>
        <w:rPr>
          <w:rFonts w:hint="eastAsia" w:ascii="宋体" w:hAnsi="宋体" w:cs="宋体"/>
          <w:snapToGrid w:val="0"/>
          <w:color w:val="000000" w:themeColor="text1"/>
          <w:kern w:val="0"/>
          <w:sz w:val="24"/>
          <w:highlight w:val="none"/>
          <w14:textFill>
            <w14:solidFill>
              <w14:schemeClr w14:val="tx1"/>
            </w14:solidFill>
          </w14:textFill>
        </w:rPr>
        <w:t>权益受到损害的，</w:t>
      </w:r>
      <w:r>
        <w:rPr>
          <w:rFonts w:hint="eastAsia" w:ascii="宋体" w:hAnsi="宋体" w:cs="宋体"/>
          <w:color w:val="000000" w:themeColor="text1"/>
          <w:kern w:val="0"/>
          <w:sz w:val="24"/>
          <w:highlight w:val="none"/>
          <w14:textFill>
            <w14:solidFill>
              <w14:schemeClr w14:val="tx1"/>
            </w14:solidFill>
          </w14:textFill>
        </w:rPr>
        <w:t>应当</w:t>
      </w:r>
      <w:r>
        <w:rPr>
          <w:rFonts w:hint="eastAsia" w:ascii="宋体" w:hAnsi="宋体" w:cs="宋体"/>
          <w:snapToGrid w:val="0"/>
          <w:color w:val="000000" w:themeColor="text1"/>
          <w:kern w:val="0"/>
          <w:sz w:val="24"/>
          <w:highlight w:val="none"/>
          <w14:textFill>
            <w14:solidFill>
              <w14:schemeClr w14:val="tx1"/>
            </w14:solidFill>
          </w14:textFill>
        </w:rPr>
        <w:t>在知道或者应知其权益受到损害之日起7个工作日内，以书面形式向采购人、采购代理机构提出质疑</w:t>
      </w:r>
      <w:r>
        <w:rPr>
          <w:rFonts w:hint="eastAsia" w:ascii="宋体" w:hAnsi="宋体" w:cs="宋体"/>
          <w:color w:val="000000" w:themeColor="text1"/>
          <w:kern w:val="0"/>
          <w:sz w:val="24"/>
          <w:highlight w:val="none"/>
          <w14:textFill>
            <w14:solidFill>
              <w14:schemeClr w14:val="tx1"/>
            </w14:solidFill>
          </w14:textFill>
        </w:rPr>
        <w:t>；逾期提出的，采购组织机构可以不予受理、答复。</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本项目要求投标人在法定质疑期内一次性提出针对同一采购程序环节的质疑。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28.2.2提出质疑的投标人（以下简称质疑人）应当是参与所质疑项目采购活动的投标人。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潜在投标人已依法获取其可质疑的采购文件的，可以对该文件提出质疑。对采购文件提出质疑的，应当在获取采购文件或者采购文件公告期限届满之日起7个工作日内提出。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28.2.3投标人提出质疑应当提交质疑函和必要的证明材料。质疑函应当包括下列内容：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（一）投标人的姓名或者名称、地址、邮编、联系人及联系电话；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（二）质疑项目的名称、编号；</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（四）事实依据；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（五）必要的法律依据；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（六）提出质疑的日期。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28.2.4采购人、采购代理机构在收到法定质疑期内发出的质疑函后7个工作日内作出答复，并以书面形式通知质疑人和其他有关投标人。质疑答复的内容不得涉及商业秘密。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28.3投标人投诉</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质疑投标人对采购人、采购代理机构的答复不满意或者采购人、采购代理机构未在规定的时间内作出答复的，可以在答复期满后十五个工作日内向监督管理部门投诉。</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2" w:firstLineChars="200"/>
        <w:textAlignment w:val="auto"/>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29、采购结束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29.1中标人与采购人签订合同生效后即为采购结束。</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29.2本项目的投标文件不予退回。</w:t>
      </w:r>
    </w:p>
    <w:p>
      <w:pPr>
        <w:pStyle w:val="26"/>
        <w:keepNext w:val="0"/>
        <w:keepLines w:val="0"/>
        <w:pageBreakBefore w:val="0"/>
        <w:widowControl w:val="0"/>
        <w:tabs>
          <w:tab w:val="left" w:pos="900"/>
        </w:tabs>
        <w:kinsoku/>
        <w:wordWrap/>
        <w:overflowPunct/>
        <w:topLinePunct w:val="0"/>
        <w:autoSpaceDE/>
        <w:autoSpaceDN/>
        <w:bidi w:val="0"/>
        <w:snapToGrid w:val="0"/>
        <w:spacing w:line="420" w:lineRule="exact"/>
        <w:textAlignment w:val="auto"/>
        <w:rPr>
          <w:rFonts w:hint="eastAsia" w:hAnsi="宋体"/>
          <w:color w:val="000000" w:themeColor="text1"/>
          <w:highlight w:val="none"/>
          <w14:textFill>
            <w14:solidFill>
              <w14:schemeClr w14:val="tx1"/>
            </w14:solidFill>
          </w14:textFill>
        </w:rPr>
      </w:pPr>
    </w:p>
    <w:p>
      <w:pPr>
        <w:pStyle w:val="26"/>
        <w:keepNext w:val="0"/>
        <w:keepLines w:val="0"/>
        <w:pageBreakBefore w:val="0"/>
        <w:widowControl w:val="0"/>
        <w:tabs>
          <w:tab w:val="left" w:pos="900"/>
        </w:tabs>
        <w:kinsoku/>
        <w:wordWrap/>
        <w:overflowPunct/>
        <w:topLinePunct w:val="0"/>
        <w:autoSpaceDE/>
        <w:autoSpaceDN/>
        <w:bidi w:val="0"/>
        <w:snapToGrid w:val="0"/>
        <w:spacing w:line="420" w:lineRule="exact"/>
        <w:ind w:firstLine="420" w:firstLineChars="200"/>
        <w:textAlignment w:val="auto"/>
        <w:rPr>
          <w:rFonts w:hint="eastAsia" w:hAnsi="宋体"/>
          <w:color w:val="000000" w:themeColor="text1"/>
          <w:sz w:val="30"/>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pStyle w:val="46"/>
        <w:keepNext w:val="0"/>
        <w:keepLines w:val="0"/>
        <w:pageBreakBefore w:val="0"/>
        <w:widowControl w:val="0"/>
        <w:kinsoku/>
        <w:wordWrap/>
        <w:overflowPunct/>
        <w:topLinePunct w:val="0"/>
        <w:autoSpaceDE/>
        <w:autoSpaceDN/>
        <w:bidi w:val="0"/>
        <w:spacing w:line="420" w:lineRule="exact"/>
        <w:ind w:firstLine="600"/>
        <w:textAlignment w:val="auto"/>
        <w:rPr>
          <w:rFonts w:hint="eastAsia" w:hAnsi="宋体" w:eastAsia="宋体"/>
          <w:color w:val="000000" w:themeColor="text1"/>
          <w:sz w:val="30"/>
          <w:szCs w:val="30"/>
          <w:highlight w:val="none"/>
          <w14:textFill>
            <w14:solidFill>
              <w14:schemeClr w14:val="tx1"/>
            </w14:solidFill>
          </w14:textFill>
        </w:rPr>
      </w:pPr>
    </w:p>
    <w:p>
      <w:pPr>
        <w:pStyle w:val="46"/>
        <w:ind w:firstLine="600"/>
        <w:rPr>
          <w:rFonts w:hint="eastAsia" w:hAnsi="宋体"/>
          <w:color w:val="000000" w:themeColor="text1"/>
          <w:sz w:val="30"/>
          <w:szCs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spacing w:line="400" w:lineRule="exact"/>
        <w:jc w:val="center"/>
        <w:rPr>
          <w:rFonts w:hint="eastAsia"/>
          <w:color w:val="000000" w:themeColor="text1"/>
          <w:sz w:val="30"/>
          <w:szCs w:val="30"/>
          <w:highlight w:val="none"/>
          <w14:textFill>
            <w14:solidFill>
              <w14:schemeClr w14:val="tx1"/>
            </w14:solidFill>
          </w14:textFill>
        </w:rPr>
      </w:pPr>
    </w:p>
    <w:p>
      <w:pPr>
        <w:pStyle w:val="2"/>
        <w:spacing w:line="400" w:lineRule="exact"/>
        <w:jc w:val="center"/>
        <w:rPr>
          <w:rFonts w:hint="eastAsia"/>
          <w:color w:val="000000" w:themeColor="text1"/>
          <w:sz w:val="30"/>
          <w:szCs w:val="30"/>
          <w:highlight w:val="none"/>
          <w14:textFill>
            <w14:solidFill>
              <w14:schemeClr w14:val="tx1"/>
            </w14:solidFill>
          </w14:textFill>
        </w:rPr>
      </w:pPr>
    </w:p>
    <w:p>
      <w:pPr>
        <w:pStyle w:val="2"/>
        <w:spacing w:line="400" w:lineRule="exact"/>
        <w:jc w:val="center"/>
        <w:rPr>
          <w:rFonts w:hint="eastAsia"/>
          <w:color w:val="000000" w:themeColor="text1"/>
          <w:sz w:val="30"/>
          <w:szCs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000000" w:themeColor="text1"/>
          <w:sz w:val="30"/>
          <w:szCs w:val="30"/>
          <w:highlight w:val="none"/>
          <w14:textFill>
            <w14:solidFill>
              <w14:schemeClr w14:val="tx1"/>
            </w14:solidFill>
          </w14:textFill>
        </w:rPr>
      </w:pPr>
      <w:bookmarkStart w:id="83" w:name="_Toc21089"/>
      <w:r>
        <w:rPr>
          <w:rFonts w:hint="eastAsia"/>
          <w:color w:val="000000" w:themeColor="text1"/>
          <w:sz w:val="30"/>
          <w:szCs w:val="30"/>
          <w:highlight w:val="none"/>
          <w14:textFill>
            <w14:solidFill>
              <w14:schemeClr w14:val="tx1"/>
            </w14:solidFill>
          </w14:textFill>
        </w:rPr>
        <w:t xml:space="preserve">第三部分 </w:t>
      </w:r>
      <w:bookmarkStart w:id="84" w:name="_Toc26399"/>
      <w:bookmarkStart w:id="85" w:name="_Toc3320"/>
      <w:bookmarkStart w:id="86" w:name="_Toc32072"/>
      <w:r>
        <w:rPr>
          <w:rFonts w:hint="eastAsia"/>
          <w:color w:val="000000" w:themeColor="text1"/>
          <w:sz w:val="30"/>
          <w:szCs w:val="30"/>
          <w:highlight w:val="none"/>
          <w14:textFill>
            <w14:solidFill>
              <w14:schemeClr w14:val="tx1"/>
            </w14:solidFill>
          </w14:textFill>
        </w:rPr>
        <w:t>招标内容及需求</w:t>
      </w:r>
      <w:bookmarkEnd w:id="83"/>
      <w:bookmarkEnd w:id="84"/>
      <w:bookmarkEnd w:id="85"/>
      <w:bookmarkEnd w:id="86"/>
    </w:p>
    <w:p>
      <w:pPr>
        <w:spacing w:line="460" w:lineRule="exact"/>
        <w:jc w:val="center"/>
        <w:rPr>
          <w:rFonts w:hint="eastAsia" w:ascii="黑体" w:hAnsi="宋体" w:eastAsia="黑体" w:cs="宋体"/>
          <w:color w:val="000000" w:themeColor="text1"/>
          <w:kern w:val="0"/>
          <w:sz w:val="24"/>
          <w:highlight w:val="none"/>
          <w14:textFill>
            <w14:solidFill>
              <w14:schemeClr w14:val="tx1"/>
            </w14:solidFill>
          </w14:textFill>
        </w:rPr>
      </w:pPr>
      <w:r>
        <w:rPr>
          <w:rFonts w:hint="eastAsia" w:ascii="黑体" w:hAnsi="宋体" w:eastAsia="黑体" w:cs="宋体"/>
          <w:color w:val="000000" w:themeColor="text1"/>
          <w:kern w:val="0"/>
          <w:sz w:val="24"/>
          <w:highlight w:val="none"/>
          <w14:textFill>
            <w14:solidFill>
              <w14:schemeClr w14:val="tx1"/>
            </w14:solidFill>
          </w14:textFill>
        </w:rPr>
        <w:t>（▲条款为实质性响应条款，必须满足，否则作无效标处理）</w:t>
      </w:r>
    </w:p>
    <w:p>
      <w:pPr>
        <w:spacing w:line="460" w:lineRule="exact"/>
        <w:jc w:val="center"/>
        <w:rPr>
          <w:rFonts w:hint="eastAsia" w:ascii="黑体" w:hAnsi="宋体" w:eastAsia="黑体" w:cs="宋体"/>
          <w:color w:val="000000" w:themeColor="text1"/>
          <w:kern w:val="0"/>
          <w:sz w:val="24"/>
          <w:highlight w:val="none"/>
          <w14:textFill>
            <w14:solidFill>
              <w14:schemeClr w14:val="tx1"/>
            </w14:solidFill>
          </w14:textFill>
        </w:rPr>
      </w:pPr>
    </w:p>
    <w:p>
      <w:pPr>
        <w:keepNext w:val="0"/>
        <w:keepLines w:val="0"/>
        <w:pageBreakBefore w:val="0"/>
        <w:numPr>
          <w:ilvl w:val="0"/>
          <w:numId w:val="10"/>
        </w:numPr>
        <w:kinsoku/>
        <w:wordWrap/>
        <w:overflowPunct/>
        <w:topLinePunct w:val="0"/>
        <w:autoSpaceDE/>
        <w:autoSpaceDN/>
        <w:bidi w:val="0"/>
        <w:adjustRightInd/>
        <w:spacing w:line="400" w:lineRule="exact"/>
        <w:textAlignment w:val="auto"/>
        <w:outlineLvl w:val="9"/>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招标需求一览表</w:t>
      </w:r>
    </w:p>
    <w:tbl>
      <w:tblPr>
        <w:tblStyle w:val="48"/>
        <w:tblW w:w="9410" w:type="dxa"/>
        <w:jc w:val="center"/>
        <w:tblLayout w:type="fixed"/>
        <w:tblCellMar>
          <w:top w:w="0" w:type="dxa"/>
          <w:left w:w="108" w:type="dxa"/>
          <w:bottom w:w="0" w:type="dxa"/>
          <w:right w:w="108" w:type="dxa"/>
        </w:tblCellMar>
      </w:tblPr>
      <w:tblGrid>
        <w:gridCol w:w="846"/>
        <w:gridCol w:w="2113"/>
        <w:gridCol w:w="1532"/>
        <w:gridCol w:w="1468"/>
        <w:gridCol w:w="1355"/>
        <w:gridCol w:w="2096"/>
      </w:tblGrid>
      <w:tr>
        <w:tblPrEx>
          <w:tblCellMar>
            <w:top w:w="0" w:type="dxa"/>
            <w:left w:w="108" w:type="dxa"/>
            <w:bottom w:w="0" w:type="dxa"/>
            <w:right w:w="108" w:type="dxa"/>
          </w:tblCellMar>
        </w:tblPrEx>
        <w:trPr>
          <w:trHeight w:val="98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165"/>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标项</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pStyle w:val="165"/>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项目内容</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pStyle w:val="165"/>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预计供货量</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Arial"/>
                <w:b/>
                <w:bCs/>
                <w:color w:val="000000" w:themeColor="text1"/>
                <w:sz w:val="24"/>
                <w:highlight w:val="none"/>
                <w:lang w:eastAsia="zh-CN"/>
                <w14:textFill>
                  <w14:solidFill>
                    <w14:schemeClr w14:val="tx1"/>
                  </w14:solidFill>
                </w14:textFill>
              </w:rPr>
              <w:t>最高限价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rPr>
                <w:rFonts w:hint="eastAsia" w:ascii="宋体" w:hAnsi="宋体" w:eastAsia="宋体" w:cs="Arial"/>
                <w:b/>
                <w:bCs/>
                <w:color w:val="000000" w:themeColor="text1"/>
                <w:sz w:val="24"/>
                <w:highlight w:val="none"/>
                <w:lang w:val="en-US" w:eastAsia="zh-CN"/>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供货期限</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rPr>
                <w:rFonts w:hint="eastAsia" w:ascii="宋体" w:hAnsi="宋体" w:eastAsia="宋体" w:cs="Arial"/>
                <w:b/>
                <w:bCs/>
                <w:color w:val="000000" w:themeColor="text1"/>
                <w:sz w:val="24"/>
                <w:highlight w:val="none"/>
                <w:lang w:val="en-US" w:eastAsia="zh-CN"/>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152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165"/>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涉水级液态聚合氯化铝</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Arial"/>
                <w:bCs/>
                <w:color w:val="000000" w:themeColor="text1"/>
                <w:sz w:val="24"/>
                <w:highlight w:val="none"/>
                <w:lang w:val="en-US" w:eastAsia="zh-CN"/>
                <w14:textFill>
                  <w14:solidFill>
                    <w14:schemeClr w14:val="tx1"/>
                  </w14:solidFill>
                </w14:textFill>
              </w:rPr>
              <w:t>600</w:t>
            </w:r>
            <w:r>
              <w:rPr>
                <w:rFonts w:hint="eastAsia" w:ascii="宋体" w:hAnsi="宋体" w:eastAsia="宋体" w:cs="Arial"/>
                <w:bCs/>
                <w:color w:val="000000" w:themeColor="text1"/>
                <w:sz w:val="24"/>
                <w:highlight w:val="none"/>
                <w:lang w:val="en-US" w:eastAsia="zh-CN"/>
                <w14:textFill>
                  <w14:solidFill>
                    <w14:schemeClr w14:val="tx1"/>
                  </w14:solidFill>
                </w14:textFill>
              </w:rPr>
              <w:t>吨/年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1000元/吨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二年</w:t>
            </w:r>
          </w:p>
        </w:tc>
        <w:tc>
          <w:tcPr>
            <w:tcW w:w="209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黑体" w:hAnsi="宋体" w:eastAsia="黑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投标产品具有省级及以上卫生部门颁发的涉及饮用水卫生安全产品卫生许可批件。</w:t>
            </w:r>
          </w:p>
        </w:tc>
      </w:tr>
      <w:tr>
        <w:tblPrEx>
          <w:tblCellMar>
            <w:top w:w="0" w:type="dxa"/>
            <w:left w:w="108" w:type="dxa"/>
            <w:bottom w:w="0" w:type="dxa"/>
            <w:right w:w="108" w:type="dxa"/>
          </w:tblCellMar>
        </w:tblPrEx>
        <w:trPr>
          <w:trHeight w:val="779"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165"/>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标项</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涉水级次氯酸钠溶液</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Arial"/>
                <w:bCs/>
                <w:color w:val="000000" w:themeColor="text1"/>
                <w:sz w:val="24"/>
                <w:highlight w:val="none"/>
                <w:lang w:val="en-US" w:eastAsia="zh-CN"/>
                <w14:textFill>
                  <w14:solidFill>
                    <w14:schemeClr w14:val="tx1"/>
                  </w14:solidFill>
                </w14:textFill>
              </w:rPr>
              <w:t>700吨</w:t>
            </w:r>
            <w:r>
              <w:rPr>
                <w:rFonts w:hint="eastAsia" w:ascii="宋体" w:hAnsi="宋体" w:eastAsia="宋体" w:cs="Arial"/>
                <w:bCs/>
                <w:color w:val="000000" w:themeColor="text1"/>
                <w:sz w:val="24"/>
                <w:highlight w:val="none"/>
                <w:lang w:val="en-US" w:eastAsia="zh-CN"/>
                <w14:textFill>
                  <w14:solidFill>
                    <w14:schemeClr w14:val="tx1"/>
                  </w14:solidFill>
                </w14:textFill>
              </w:rPr>
              <w:t>/年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1350元/吨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二年</w:t>
            </w:r>
          </w:p>
        </w:tc>
        <w:tc>
          <w:tcPr>
            <w:tcW w:w="209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jc w:val="center"/>
              <w:textAlignment w:val="auto"/>
              <w:outlineLvl w:val="9"/>
              <w:rPr>
                <w:rFonts w:hint="eastAsia" w:ascii="宋体" w:hAnsi="宋体" w:cs="宋体"/>
                <w:color w:val="000000" w:themeColor="text1"/>
                <w:kern w:val="0"/>
                <w:sz w:val="24"/>
                <w:szCs w:val="24"/>
                <w:highlight w:val="none"/>
                <w:lang w:val="en-US" w:eastAsia="zh-CN" w:bidi="ar-SA"/>
                <w14:textFill>
                  <w14:solidFill>
                    <w14:schemeClr w14:val="tx1"/>
                  </w14:solidFill>
                </w14:textFill>
              </w:rPr>
            </w:pPr>
          </w:p>
        </w:tc>
      </w:tr>
    </w:tbl>
    <w:p>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注：具体数量以实际供货数量为准，投标人应考虑水质突变、供水量变化等情况。</w:t>
      </w:r>
    </w:p>
    <w:p>
      <w:pPr>
        <w:keepNext w:val="0"/>
        <w:keepLines w:val="0"/>
        <w:pageBreakBefore w:val="0"/>
        <w:widowControl w:val="0"/>
        <w:numPr>
          <w:ilvl w:val="0"/>
          <w:numId w:val="10"/>
        </w:numPr>
        <w:kinsoku/>
        <w:wordWrap/>
        <w:overflowPunct/>
        <w:topLinePunct w:val="0"/>
        <w:autoSpaceDE/>
        <w:autoSpaceDN/>
        <w:bidi w:val="0"/>
        <w:adjustRightInd/>
        <w:snapToGrid w:val="0"/>
        <w:spacing w:line="420" w:lineRule="exact"/>
        <w:ind w:left="0" w:leftChars="0" w:firstLine="0" w:firstLineChars="0"/>
        <w:jc w:val="left"/>
        <w:textAlignment w:val="auto"/>
        <w:outlineLvl w:val="9"/>
        <w:rPr>
          <w:rFonts w:hint="eastAsia" w:ascii="宋体" w:hAnsi="宋体" w:eastAsia="宋体" w:cs="Arial"/>
          <w:b/>
          <w:bCs w:val="0"/>
          <w:color w:val="000000" w:themeColor="text1"/>
          <w:sz w:val="24"/>
          <w:szCs w:val="20"/>
          <w:highlight w:val="none"/>
          <w:lang w:eastAsia="zh-CN"/>
          <w14:textFill>
            <w14:solidFill>
              <w14:schemeClr w14:val="tx1"/>
            </w14:solidFill>
          </w14:textFill>
        </w:rPr>
      </w:pPr>
      <w:r>
        <w:rPr>
          <w:rFonts w:hint="eastAsia" w:ascii="宋体" w:hAnsi="宋体" w:eastAsia="宋体" w:cs="Arial"/>
          <w:b/>
          <w:bCs w:val="0"/>
          <w:color w:val="000000" w:themeColor="text1"/>
          <w:sz w:val="24"/>
          <w:szCs w:val="20"/>
          <w:highlight w:val="none"/>
          <w:lang w:eastAsia="zh-CN"/>
          <w14:textFill>
            <w14:solidFill>
              <w14:schemeClr w14:val="tx1"/>
            </w14:solidFill>
          </w14:textFill>
        </w:rPr>
        <w:t>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left"/>
        <w:textAlignment w:val="auto"/>
        <w:outlineLvl w:val="9"/>
        <w:rPr>
          <w:rFonts w:hint="eastAsia" w:ascii="宋体" w:hAnsi="宋体" w:cs="Arial"/>
          <w:b/>
          <w:bCs w:val="0"/>
          <w:color w:val="000000" w:themeColor="text1"/>
          <w:sz w:val="24"/>
          <w:szCs w:val="20"/>
          <w:highlight w:val="none"/>
          <w:lang w:eastAsia="zh-CN"/>
          <w14:textFill>
            <w14:solidFill>
              <w14:schemeClr w14:val="tx1"/>
            </w14:solidFill>
          </w14:textFill>
        </w:rPr>
      </w:pPr>
      <w:r>
        <w:rPr>
          <w:rFonts w:hint="eastAsia" w:ascii="宋体" w:hAnsi="宋体" w:eastAsia="宋体" w:cs="Arial"/>
          <w:b/>
          <w:bCs w:val="0"/>
          <w:color w:val="000000" w:themeColor="text1"/>
          <w:sz w:val="24"/>
          <w:szCs w:val="20"/>
          <w:highlight w:val="none"/>
          <w:lang w:eastAsia="zh-CN"/>
          <w14:textFill>
            <w14:solidFill>
              <w14:schemeClr w14:val="tx1"/>
            </w14:solidFill>
          </w14:textFill>
        </w:rPr>
        <w:t>标项1：</w:t>
      </w:r>
      <w:r>
        <w:rPr>
          <w:rFonts w:hint="eastAsia" w:ascii="宋体" w:hAnsi="宋体" w:eastAsia="宋体" w:cs="Arial"/>
          <w:b/>
          <w:bCs w:val="0"/>
          <w:color w:val="000000" w:themeColor="text1"/>
          <w:sz w:val="24"/>
          <w:szCs w:val="20"/>
          <w:highlight w:val="none"/>
          <w:lang w:val="en-US" w:eastAsia="zh-CN"/>
          <w14:textFill>
            <w14:solidFill>
              <w14:schemeClr w14:val="tx1"/>
            </w14:solidFill>
          </w14:textFill>
        </w:rPr>
        <w:t>涉水级液态聚合氯化铝</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本技术规格所涉及的药剂，将用于招标人生产用，投标人提供的产品和服务必须满足本技术规格的要求，如有技术偏差，应在投标文件中说明。</w:t>
      </w:r>
    </w:p>
    <w:p>
      <w:pPr>
        <w:keepNext w:val="0"/>
        <w:keepLines w:val="0"/>
        <w:pageBreakBefore w:val="0"/>
        <w:widowControl w:val="0"/>
        <w:kinsoku/>
        <w:wordWrap/>
        <w:overflowPunct/>
        <w:topLinePunct w:val="0"/>
        <w:autoSpaceDE/>
        <w:autoSpaceDN/>
        <w:bidi w:val="0"/>
        <w:adjustRightInd/>
        <w:snapToGrid w:val="0"/>
        <w:spacing w:line="420" w:lineRule="exact"/>
        <w:ind w:left="0" w:leftChars="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1、技术条款</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投标人所提供货物必须符合国家有关规范要求及招标人的技术要求，并提供货物的出厂试验报告及产品合格证书。</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 xml:space="preserve"> 质量要求：所提供的聚合氯化铝Al2Cl(OH)5质量必须符合GB15892-2020《生活饮用水用聚合氯化铝》标准，产品须取得省级及以上的卫生部门出具《涉及饮用水卫生安全产品卫生许可批件》。</w:t>
      </w:r>
    </w:p>
    <w:tbl>
      <w:tblPr>
        <w:tblStyle w:val="4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586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1</w:t>
            </w:r>
          </w:p>
        </w:tc>
        <w:tc>
          <w:tcPr>
            <w:tcW w:w="586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密度（20℃）（g/cm3）</w:t>
            </w:r>
          </w:p>
        </w:tc>
        <w:tc>
          <w:tcPr>
            <w:tcW w:w="2693"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2</w:t>
            </w:r>
          </w:p>
        </w:tc>
        <w:tc>
          <w:tcPr>
            <w:tcW w:w="586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氧化铝（Al2O3）的质量分数/%</w:t>
            </w:r>
          </w:p>
        </w:tc>
        <w:tc>
          <w:tcPr>
            <w:tcW w:w="2693"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3</w:t>
            </w:r>
          </w:p>
        </w:tc>
        <w:tc>
          <w:tcPr>
            <w:tcW w:w="586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盐基度/%</w:t>
            </w:r>
          </w:p>
        </w:tc>
        <w:tc>
          <w:tcPr>
            <w:tcW w:w="2693"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4</w:t>
            </w:r>
          </w:p>
        </w:tc>
        <w:tc>
          <w:tcPr>
            <w:tcW w:w="5862"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不溶物的质量分数/%</w:t>
            </w:r>
          </w:p>
        </w:tc>
        <w:tc>
          <w:tcPr>
            <w:tcW w:w="2693" w:type="dxa"/>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5</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pH（10g/L水溶液）</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6</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铁（Ｆｅ）的质量分数％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7</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砷（As）的质量分数/%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8</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铅（Pb）的质量分数/%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9</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镉（Cd）的质量分数/%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10</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汞（Hg）的质量分数/%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11</w:t>
            </w:r>
          </w:p>
        </w:tc>
        <w:tc>
          <w:tcPr>
            <w:tcW w:w="5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 xml:space="preserve"> 铬（Cr）的质量分数/%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260"/>
              </w:tabs>
              <w:kinsoku/>
              <w:wordWrap/>
              <w:overflowPunct/>
              <w:topLinePunct w:val="0"/>
              <w:autoSpaceDE/>
              <w:autoSpaceDN/>
              <w:bidi w:val="0"/>
              <w:adjustRightInd/>
              <w:spacing w:before="240" w:beforeLines="100" w:line="420" w:lineRule="exact"/>
              <w:ind w:firstLine="480" w:firstLineChars="200"/>
              <w:jc w:val="both"/>
              <w:textAlignment w:val="auto"/>
              <w:rPr>
                <w:rFonts w:hint="eastAsia" w:ascii="宋体" w:hAnsi="宋体" w:eastAsia="宋体" w:cs="Arial"/>
                <w:bCs/>
                <w:color w:val="000000" w:themeColor="text1"/>
                <w:sz w:val="24"/>
                <w:szCs w:val="20"/>
                <w:highlight w:val="none"/>
                <w:lang w:eastAsia="zh-CN"/>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7"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tabs>
                <w:tab w:val="left" w:pos="1260"/>
              </w:tabs>
              <w:kinsoku/>
              <w:wordWrap/>
              <w:overflowPunct/>
              <w:topLinePunct w:val="0"/>
              <w:autoSpaceDE/>
              <w:autoSpaceDN/>
              <w:bidi w:val="0"/>
              <w:adjustRightInd/>
              <w:snapToGrid/>
              <w:spacing w:before="240" w:beforeLines="100" w:line="360" w:lineRule="exact"/>
              <w:jc w:val="both"/>
              <w:textAlignment w:val="auto"/>
              <w:rPr>
                <w:rFonts w:hint="eastAsia" w:hAnsi="宋体"/>
                <w:color w:val="000000" w:themeColor="text1"/>
                <w:sz w:val="21"/>
                <w:szCs w:val="21"/>
                <w:highlight w:val="none"/>
                <w14:textFill>
                  <w14:solidFill>
                    <w14:schemeClr w14:val="tx1"/>
                  </w14:solidFill>
                </w14:textFill>
              </w:rPr>
            </w:pPr>
            <w:r>
              <w:rPr>
                <w:rFonts w:hint="eastAsia" w:ascii="宋体" w:hAnsi="宋体" w:eastAsia="宋体" w:cs="Arial"/>
                <w:bCs/>
                <w:color w:val="000000" w:themeColor="text1"/>
                <w:sz w:val="24"/>
                <w:szCs w:val="20"/>
                <w:highlight w:val="none"/>
                <w:lang w:eastAsia="zh-CN"/>
                <w14:textFill>
                  <w14:solidFill>
                    <w14:schemeClr w14:val="tx1"/>
                  </w14:solidFill>
                </w14:textFill>
              </w:rPr>
              <w:t>表中所列产品的不溶物、铁、砷、铅、镉、汞、铬的质量分数均按 Ａｌ２Ｏ３ 含量为１０．０％计，Ａｌ２Ｏ３ 含量＞１０．０％时，应按实际含量折算成 Ａｌ２Ｏ３ 为１０．０％产品比例，计算出相应的质量分数。本产品还应符合国家相关法律法规及强制性标准要求。</w:t>
            </w:r>
          </w:p>
        </w:tc>
      </w:tr>
    </w:tbl>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1.</w:t>
      </w:r>
      <w:r>
        <w:rPr>
          <w:rFonts w:hint="eastAsia" w:ascii="宋体" w:hAnsi="宋体" w:cs="Arial"/>
          <w:bCs/>
          <w:color w:val="000000" w:themeColor="text1"/>
          <w:sz w:val="24"/>
          <w:szCs w:val="20"/>
          <w:highlight w:val="none"/>
          <w:lang w:val="en-US" w:eastAsia="zh-CN"/>
          <w14:textFill>
            <w14:solidFill>
              <w14:schemeClr w14:val="tx1"/>
            </w14:solidFill>
          </w14:textFill>
        </w:rPr>
        <w:t>1</w:t>
      </w:r>
      <w:r>
        <w:rPr>
          <w:rFonts w:hint="eastAsia" w:ascii="宋体" w:hAnsi="宋体" w:cs="Arial"/>
          <w:bCs/>
          <w:color w:val="000000" w:themeColor="text1"/>
          <w:sz w:val="24"/>
          <w:szCs w:val="20"/>
          <w:highlight w:val="none"/>
          <w:lang w:eastAsia="zh-CN"/>
          <w14:textFill>
            <w14:solidFill>
              <w14:schemeClr w14:val="tx1"/>
            </w14:solidFill>
          </w14:textFill>
        </w:rPr>
        <w:t>原料要求：生产聚氯化铝的盐酸必须采用工业合成盐酸；含铝原料应采用工业氢氧化铝，高岭土、一水软铝石、三水铝石和水处理剂用铝酸钙粉。</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1.</w:t>
      </w:r>
      <w:r>
        <w:rPr>
          <w:rFonts w:hint="eastAsia" w:ascii="宋体" w:hAnsi="宋体" w:cs="Arial"/>
          <w:bCs/>
          <w:color w:val="000000" w:themeColor="text1"/>
          <w:sz w:val="24"/>
          <w:szCs w:val="20"/>
          <w:highlight w:val="none"/>
          <w:lang w:val="en-US" w:eastAsia="zh-CN"/>
          <w14:textFill>
            <w14:solidFill>
              <w14:schemeClr w14:val="tx1"/>
            </w14:solidFill>
          </w14:textFill>
        </w:rPr>
        <w:t>2</w:t>
      </w:r>
      <w:r>
        <w:rPr>
          <w:rFonts w:hint="eastAsia" w:ascii="宋体" w:hAnsi="宋体" w:cs="Arial"/>
          <w:bCs/>
          <w:color w:val="000000" w:themeColor="text1"/>
          <w:sz w:val="24"/>
          <w:szCs w:val="20"/>
          <w:highlight w:val="none"/>
          <w:lang w:eastAsia="zh-CN"/>
          <w14:textFill>
            <w14:solidFill>
              <w14:schemeClr w14:val="tx1"/>
            </w14:solidFill>
          </w14:textFill>
        </w:rPr>
        <w:t>中标单位第一次供货为试用期供货，数量由招标人确定。若中标单位提供的药剂不适合各水厂的水处理效果，达不到相关水质指标要求，或增加了生产成本等情况，使用药剂的水厂阐述药剂使用情况、出现的问题描述、明确药剂不适合的理由的书面申请，申请并提请招标人，招标人组织会议研究通过后，以书面方式告知中标单位，终止与中标单位的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1.</w:t>
      </w:r>
      <w:r>
        <w:rPr>
          <w:rFonts w:hint="eastAsia" w:ascii="宋体" w:hAnsi="宋体" w:cs="Arial"/>
          <w:bCs/>
          <w:color w:val="000000" w:themeColor="text1"/>
          <w:sz w:val="24"/>
          <w:szCs w:val="20"/>
          <w:highlight w:val="none"/>
          <w:lang w:val="en-US" w:eastAsia="zh-CN"/>
          <w14:textFill>
            <w14:solidFill>
              <w14:schemeClr w14:val="tx1"/>
            </w14:solidFill>
          </w14:textFill>
        </w:rPr>
        <w:t>3</w:t>
      </w:r>
      <w:r>
        <w:rPr>
          <w:rFonts w:hint="eastAsia" w:ascii="宋体" w:hAnsi="宋体" w:cs="Arial"/>
          <w:bCs/>
          <w:color w:val="000000" w:themeColor="text1"/>
          <w:sz w:val="24"/>
          <w:szCs w:val="20"/>
          <w:highlight w:val="none"/>
          <w:lang w:eastAsia="zh-CN"/>
          <w14:textFill>
            <w14:solidFill>
              <w14:schemeClr w14:val="tx1"/>
            </w14:solidFill>
          </w14:textFill>
        </w:rPr>
        <w:t>当实际使用中标人提供的生活饮用水聚氯化铝制水过程中，如果出现药剂絮凝效果不佳导致月均单位药耗异常，中标人应及时到现场分析和查找原因，保证下个月恢复正常药耗水平。一旦出现连续2次明显异常情况招标人有权停止采购中标人提供的货物，终止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1.</w:t>
      </w:r>
      <w:r>
        <w:rPr>
          <w:rFonts w:hint="eastAsia" w:ascii="宋体" w:hAnsi="宋体" w:cs="Arial"/>
          <w:bCs/>
          <w:color w:val="000000" w:themeColor="text1"/>
          <w:sz w:val="24"/>
          <w:szCs w:val="20"/>
          <w:highlight w:val="none"/>
          <w:lang w:val="en-US" w:eastAsia="zh-CN"/>
          <w14:textFill>
            <w14:solidFill>
              <w14:schemeClr w14:val="tx1"/>
            </w14:solidFill>
          </w14:textFill>
        </w:rPr>
        <w:t>4</w:t>
      </w:r>
      <w:r>
        <w:rPr>
          <w:rFonts w:hint="eastAsia" w:ascii="宋体" w:hAnsi="宋体" w:cs="Arial"/>
          <w:bCs/>
          <w:color w:val="000000" w:themeColor="text1"/>
          <w:sz w:val="24"/>
          <w:szCs w:val="20"/>
          <w:highlight w:val="none"/>
          <w:lang w:eastAsia="zh-CN"/>
          <w14:textFill>
            <w14:solidFill>
              <w14:schemeClr w14:val="tx1"/>
            </w14:solidFill>
          </w14:textFill>
        </w:rPr>
        <w:t>本章以上提供的所有技术标准及技术规程若已更新，均以更新后的标准及规程为准执行。</w:t>
      </w:r>
    </w:p>
    <w:p>
      <w:pPr>
        <w:keepNext w:val="0"/>
        <w:keepLines w:val="0"/>
        <w:pageBreakBefore w:val="0"/>
        <w:widowControl w:val="0"/>
        <w:kinsoku/>
        <w:wordWrap/>
        <w:overflowPunct/>
        <w:topLinePunct w:val="0"/>
        <w:autoSpaceDE/>
        <w:autoSpaceDN/>
        <w:bidi w:val="0"/>
        <w:adjustRightInd/>
        <w:snapToGrid w:val="0"/>
        <w:spacing w:line="420" w:lineRule="exact"/>
        <w:ind w:left="0" w:leftChars="0"/>
        <w:jc w:val="left"/>
        <w:textAlignment w:val="auto"/>
        <w:outlineLvl w:val="9"/>
        <w:rPr>
          <w:rFonts w:hint="eastAsia" w:ascii="宋体" w:hAnsi="宋体" w:cs="Arial"/>
          <w:b/>
          <w:bCs w:val="0"/>
          <w:color w:val="000000" w:themeColor="text1"/>
          <w:sz w:val="24"/>
          <w:szCs w:val="20"/>
          <w:highlight w:val="none"/>
          <w:lang w:eastAsia="zh-CN"/>
          <w14:textFill>
            <w14:solidFill>
              <w14:schemeClr w14:val="tx1"/>
            </w14:solidFill>
          </w14:textFill>
        </w:rPr>
      </w:pPr>
      <w:r>
        <w:rPr>
          <w:rFonts w:hint="eastAsia" w:ascii="宋体" w:hAnsi="宋体" w:cs="Arial"/>
          <w:b/>
          <w:bCs w:val="0"/>
          <w:color w:val="000000" w:themeColor="text1"/>
          <w:sz w:val="24"/>
          <w:szCs w:val="20"/>
          <w:highlight w:val="none"/>
          <w:lang w:eastAsia="zh-CN"/>
          <w14:textFill>
            <w14:solidFill>
              <w14:schemeClr w14:val="tx1"/>
            </w14:solidFill>
          </w14:textFill>
        </w:rPr>
        <w:t>标项2：</w:t>
      </w:r>
      <w:r>
        <w:rPr>
          <w:rFonts w:hint="eastAsia" w:ascii="宋体" w:hAnsi="宋体" w:cs="Arial"/>
          <w:b/>
          <w:bCs w:val="0"/>
          <w:color w:val="000000" w:themeColor="text1"/>
          <w:sz w:val="24"/>
          <w:szCs w:val="20"/>
          <w:highlight w:val="none"/>
          <w:lang w:val="en-US" w:eastAsia="zh-CN"/>
          <w14:textFill>
            <w14:solidFill>
              <w14:schemeClr w14:val="tx1"/>
            </w14:solidFill>
          </w14:textFill>
        </w:rPr>
        <w:t>涉水级次氯酸钠溶液</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宋体" w:hAnsi="宋体" w:cs="Arial"/>
          <w:bCs/>
          <w:color w:val="000000" w:themeColor="text1"/>
          <w:sz w:val="24"/>
          <w:szCs w:val="20"/>
          <w:highlight w:val="none"/>
          <w:lang w:eastAsia="zh-CN"/>
          <w14:textFill>
            <w14:solidFill>
              <w14:schemeClr w14:val="tx1"/>
            </w14:solidFill>
          </w14:textFill>
        </w:rPr>
      </w:pPr>
      <w:r>
        <w:rPr>
          <w:rFonts w:hint="eastAsia" w:ascii="宋体" w:hAnsi="宋体" w:cs="Arial"/>
          <w:bCs/>
          <w:color w:val="000000" w:themeColor="text1"/>
          <w:sz w:val="24"/>
          <w:szCs w:val="20"/>
          <w:highlight w:val="none"/>
          <w:lang w:eastAsia="zh-CN"/>
          <w14:textFill>
            <w14:solidFill>
              <w14:schemeClr w14:val="tx1"/>
            </w14:solidFill>
          </w14:textFill>
        </w:rPr>
        <w:t>1、外观要求：浅黄色溶液。</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color w:val="000000" w:themeColor="text1"/>
          <w:szCs w:val="21"/>
          <w:highlight w:val="none"/>
          <w:u w:val="single"/>
          <w14:textFill>
            <w14:solidFill>
              <w14:schemeClr w14:val="tx1"/>
            </w14:solidFill>
          </w14:textFill>
        </w:rPr>
      </w:pPr>
      <w:r>
        <w:rPr>
          <w:rFonts w:hint="eastAsia" w:ascii="宋体" w:hAnsi="宋体" w:cs="Arial"/>
          <w:bCs/>
          <w:color w:val="000000" w:themeColor="text1"/>
          <w:sz w:val="24"/>
          <w:szCs w:val="20"/>
          <w:highlight w:val="none"/>
          <w:lang w:val="en-US" w:eastAsia="zh-CN"/>
          <w14:textFill>
            <w14:solidFill>
              <w14:schemeClr w14:val="tx1"/>
            </w14:solidFill>
          </w14:textFill>
        </w:rPr>
        <w:t>2、</w:t>
      </w:r>
      <w:r>
        <w:rPr>
          <w:rFonts w:hint="eastAsia" w:ascii="宋体" w:hAnsi="宋体" w:cs="Arial"/>
          <w:bCs/>
          <w:color w:val="000000" w:themeColor="text1"/>
          <w:sz w:val="24"/>
          <w:szCs w:val="20"/>
          <w:highlight w:val="none"/>
          <w:lang w:eastAsia="zh-CN"/>
          <w14:textFill>
            <w14:solidFill>
              <w14:schemeClr w14:val="tx1"/>
            </w14:solidFill>
          </w14:textFill>
        </w:rPr>
        <w:t xml:space="preserve">参照GB19106—2013A型Ⅱ类标准及符合以下特别要求主要指标见下表：      </w:t>
      </w:r>
      <w:r>
        <w:rPr>
          <w:rFonts w:hint="eastAsia"/>
          <w:color w:val="000000" w:themeColor="text1"/>
          <w:szCs w:val="21"/>
          <w:highlight w:val="none"/>
          <w14:textFill>
            <w14:solidFill>
              <w14:schemeClr w14:val="tx1"/>
            </w14:solidFill>
          </w14:textFill>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7"/>
        <w:gridCol w:w="2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6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after="120" w:line="420" w:lineRule="exact"/>
              <w:ind w:left="420" w:leftChars="200" w:firstLine="1504" w:firstLineChars="62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指标名称</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after="120"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6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有效氯（以Cl计）的质量分数，%        ≥</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游离碱（以NaOH计）的质量分数，%</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铁（以Fe计）的质量分数，%           ≤</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0.00</w:t>
            </w:r>
            <w:r>
              <w:rPr>
                <w:rFonts w:hint="eastAsia" w:ascii="宋体" w:hAnsi="宋体" w:eastAsia="宋体" w:cs="宋体"/>
                <w:color w:val="000000" w:themeColor="text1"/>
                <w:spacing w:val="45"/>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重金属（以Pb计）                       ≤</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ind w:left="5670" w:hanging="6480" w:hangingChars="27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砷（As）/mg/L                       ≤</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0.0001</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Arial"/>
          <w:bCs/>
          <w:color w:val="000000" w:themeColor="text1"/>
          <w:sz w:val="24"/>
          <w:szCs w:val="20"/>
          <w:highlight w:val="none"/>
          <w14:textFill>
            <w14:solidFill>
              <w14:schemeClr w14:val="tx1"/>
            </w14:solidFill>
          </w14:textFill>
        </w:rPr>
      </w:pPr>
      <w:r>
        <w:rPr>
          <w:rFonts w:hint="eastAsia" w:ascii="宋体" w:hAnsi="宋体" w:cs="Arial"/>
          <w:bCs/>
          <w:color w:val="000000" w:themeColor="text1"/>
          <w:sz w:val="24"/>
          <w:szCs w:val="20"/>
          <w:highlight w:val="none"/>
          <w14:textFill>
            <w14:solidFill>
              <w14:schemeClr w14:val="tx1"/>
            </w14:solidFill>
          </w14:textFill>
        </w:rPr>
        <w:t>3、提供涉水次氯酸钠生产厂家包含涉水次氯酸钠生产工艺内容的环境影响评价报告（不允许涉水次氯酸钠的生产工艺中出现用废氯、尾氯、废碱等尾、废原料生产的副产品次氯酸钠，有“废氯”、“尾氯”、“废碱”和“副产品次氯酸钠”上述任何一种文字表示的将作为无效标处理，以保证水厂制水安全）。</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Arial"/>
          <w:bCs/>
          <w:color w:val="000000" w:themeColor="text1"/>
          <w:sz w:val="24"/>
          <w:szCs w:val="20"/>
          <w:highlight w:val="none"/>
          <w:lang w:val="en-US" w:eastAsia="zh-CN"/>
          <w14:textFill>
            <w14:solidFill>
              <w14:schemeClr w14:val="tx1"/>
            </w14:solidFill>
          </w14:textFill>
        </w:rPr>
      </w:pPr>
      <w:r>
        <w:rPr>
          <w:rFonts w:hint="eastAsia" w:ascii="宋体" w:hAnsi="宋体" w:cs="Arial"/>
          <w:bCs/>
          <w:color w:val="000000" w:themeColor="text1"/>
          <w:sz w:val="24"/>
          <w:szCs w:val="20"/>
          <w:highlight w:val="none"/>
          <w14:textFill>
            <w14:solidFill>
              <w14:schemeClr w14:val="tx1"/>
            </w14:solidFill>
          </w14:textFill>
        </w:rPr>
        <w:t>4、次氯酸钠生成所需的主要原料必须符合</w:t>
      </w:r>
      <w:r>
        <w:rPr>
          <w:rFonts w:hint="eastAsia" w:ascii="宋体" w:hAnsi="宋体" w:cs="Arial"/>
          <w:bCs/>
          <w:color w:val="000000" w:themeColor="text1"/>
          <w:sz w:val="24"/>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Arial"/>
          <w:bCs/>
          <w:color w:val="000000" w:themeColor="text1"/>
          <w:sz w:val="24"/>
          <w:szCs w:val="20"/>
          <w:highlight w:val="none"/>
          <w14:textFill>
            <w14:solidFill>
              <w14:schemeClr w14:val="tx1"/>
            </w14:solidFill>
          </w14:textFill>
        </w:rPr>
      </w:pPr>
      <w:r>
        <w:rPr>
          <w:rFonts w:hint="eastAsia" w:ascii="宋体" w:hAnsi="宋体" w:cs="Arial"/>
          <w:bCs/>
          <w:color w:val="000000" w:themeColor="text1"/>
          <w:sz w:val="24"/>
          <w:szCs w:val="20"/>
          <w:highlight w:val="none"/>
          <w14:textFill>
            <w14:solidFill>
              <w14:schemeClr w14:val="tx1"/>
            </w14:solidFill>
          </w14:textFill>
        </w:rPr>
        <w:t>a、如由氯气和氢氧化钠溶液反应生成，则氢氧化钠必须使用食品添加剂氢氧化钠，提供生产厂家需出具的食品添加剂氢氧化钠的食品生产许可证</w:t>
      </w:r>
      <w:r>
        <w:rPr>
          <w:rFonts w:hint="eastAsia" w:ascii="宋体" w:hAnsi="宋体" w:cs="Arial"/>
          <w:bCs/>
          <w:color w:val="000000" w:themeColor="text1"/>
          <w:sz w:val="24"/>
          <w:szCs w:val="20"/>
          <w:highlight w:val="none"/>
          <w:lang w:eastAsia="zh-CN"/>
          <w14:textFill>
            <w14:solidFill>
              <w14:schemeClr w14:val="tx1"/>
            </w14:solidFill>
          </w14:textFill>
        </w:rPr>
        <w:t>扫描件</w:t>
      </w:r>
      <w:r>
        <w:rPr>
          <w:rFonts w:hint="eastAsia" w:ascii="宋体" w:hAnsi="宋体" w:cs="Arial"/>
          <w:bCs/>
          <w:color w:val="000000" w:themeColor="text1"/>
          <w:sz w:val="24"/>
          <w:szCs w:val="20"/>
          <w:highlight w:val="none"/>
          <w14:textFill>
            <w14:solidFill>
              <w14:schemeClr w14:val="tx1"/>
            </w14:solidFill>
          </w14:textFill>
        </w:rPr>
        <w:t>。氯气不得使用与其他物质进行化学反应后回收的氯气(包括氯碱企业不能液化的尾氯)。</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Arial"/>
          <w:bCs/>
          <w:color w:val="000000" w:themeColor="text1"/>
          <w:sz w:val="24"/>
          <w:szCs w:val="20"/>
          <w:highlight w:val="none"/>
          <w14:textFill>
            <w14:solidFill>
              <w14:schemeClr w14:val="tx1"/>
            </w14:solidFill>
          </w14:textFill>
        </w:rPr>
      </w:pPr>
      <w:r>
        <w:rPr>
          <w:rFonts w:hint="eastAsia" w:ascii="宋体" w:hAnsi="宋体" w:cs="Arial"/>
          <w:bCs/>
          <w:color w:val="000000" w:themeColor="text1"/>
          <w:sz w:val="24"/>
          <w:szCs w:val="20"/>
          <w:highlight w:val="none"/>
          <w14:textFill>
            <w14:solidFill>
              <w14:schemeClr w14:val="tx1"/>
            </w14:solidFill>
          </w14:textFill>
        </w:rPr>
        <w:t>b、如由氯化钠电解生成，则氯化钠必须使用食品级氯化钠，提供生产厂家需出具的食品级氯化钠的食品生产许可证</w:t>
      </w:r>
      <w:r>
        <w:rPr>
          <w:rFonts w:hint="eastAsia" w:ascii="宋体" w:hAnsi="宋体" w:cs="Arial"/>
          <w:bCs/>
          <w:color w:val="000000" w:themeColor="text1"/>
          <w:sz w:val="24"/>
          <w:szCs w:val="20"/>
          <w:highlight w:val="none"/>
          <w:lang w:eastAsia="zh-CN"/>
          <w14:textFill>
            <w14:solidFill>
              <w14:schemeClr w14:val="tx1"/>
            </w14:solidFill>
          </w14:textFill>
        </w:rPr>
        <w:t>扫描件</w:t>
      </w:r>
      <w:r>
        <w:rPr>
          <w:rFonts w:hint="eastAsia" w:ascii="宋体" w:hAnsi="宋体" w:cs="Arial"/>
          <w:bCs/>
          <w:color w:val="000000" w:themeColor="text1"/>
          <w:sz w:val="24"/>
          <w:szCs w:val="2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Arial"/>
          <w:bCs/>
          <w:color w:val="000000" w:themeColor="text1"/>
          <w:sz w:val="24"/>
          <w:szCs w:val="20"/>
          <w:highlight w:val="none"/>
          <w14:textFill>
            <w14:solidFill>
              <w14:schemeClr w14:val="tx1"/>
            </w14:solidFill>
          </w14:textFill>
        </w:rPr>
      </w:pPr>
      <w:r>
        <w:rPr>
          <w:rFonts w:hint="eastAsia" w:ascii="宋体" w:hAnsi="宋体" w:cs="Arial"/>
          <w:bCs/>
          <w:color w:val="000000" w:themeColor="text1"/>
          <w:sz w:val="24"/>
          <w:szCs w:val="20"/>
          <w:highlight w:val="none"/>
          <w14:textFill>
            <w14:solidFill>
              <w14:schemeClr w14:val="tx1"/>
            </w14:solidFill>
          </w14:textFill>
        </w:rPr>
        <w:t>5、具有专用危险品罐式车辆装运次氯酸钠溶液，提供危险品车辆行驶证、危险品车辆驾驶员证、押运员证</w:t>
      </w:r>
      <w:r>
        <w:rPr>
          <w:rFonts w:hint="eastAsia" w:ascii="宋体" w:hAnsi="宋体" w:cs="Arial"/>
          <w:bCs/>
          <w:color w:val="000000" w:themeColor="text1"/>
          <w:sz w:val="24"/>
          <w:szCs w:val="20"/>
          <w:highlight w:val="none"/>
          <w:lang w:eastAsia="zh-CN"/>
          <w14:textFill>
            <w14:solidFill>
              <w14:schemeClr w14:val="tx1"/>
            </w14:solidFill>
          </w14:textFill>
        </w:rPr>
        <w:t>扫描件</w:t>
      </w:r>
      <w:r>
        <w:rPr>
          <w:rFonts w:hint="eastAsia" w:ascii="宋体" w:hAnsi="宋体" w:cs="Arial"/>
          <w:bCs/>
          <w:color w:val="000000" w:themeColor="text1"/>
          <w:sz w:val="24"/>
          <w:szCs w:val="20"/>
          <w:highlight w:val="none"/>
          <w14:textFill>
            <w14:solidFill>
              <w14:schemeClr w14:val="tx1"/>
            </w14:solidFill>
          </w14:textFill>
        </w:rPr>
        <w:t>，若为租赁车辆，则需提供租赁合同。</w:t>
      </w:r>
    </w:p>
    <w:p>
      <w:pPr>
        <w:keepNext w:val="0"/>
        <w:keepLines w:val="0"/>
        <w:pageBreakBefore w:val="0"/>
        <w:widowControl w:val="0"/>
        <w:kinsoku/>
        <w:wordWrap/>
        <w:overflowPunct/>
        <w:topLinePunct w:val="0"/>
        <w:autoSpaceDE/>
        <w:autoSpaceDN/>
        <w:bidi w:val="0"/>
        <w:adjustRightInd/>
        <w:snapToGrid w:val="0"/>
        <w:spacing w:line="420" w:lineRule="exact"/>
        <w:ind w:left="0" w:leftChars="0"/>
        <w:jc w:val="left"/>
        <w:textAlignment w:val="auto"/>
        <w:outlineLvl w:val="9"/>
        <w:rPr>
          <w:rFonts w:hint="eastAsia" w:ascii="宋体" w:hAnsi="宋体" w:cs="Arial"/>
          <w:b/>
          <w:bCs w:val="0"/>
          <w:color w:val="000000" w:themeColor="text1"/>
          <w:sz w:val="24"/>
          <w:szCs w:val="20"/>
          <w:highlight w:val="none"/>
          <w:lang w:val="en-US" w:eastAsia="zh-CN"/>
          <w14:textFill>
            <w14:solidFill>
              <w14:schemeClr w14:val="tx1"/>
            </w14:solidFill>
          </w14:textFill>
        </w:rPr>
      </w:pPr>
      <w:r>
        <w:rPr>
          <w:rFonts w:hint="eastAsia" w:ascii="宋体" w:hAnsi="宋体" w:cs="Arial"/>
          <w:b/>
          <w:bCs w:val="0"/>
          <w:color w:val="000000" w:themeColor="text1"/>
          <w:sz w:val="24"/>
          <w:szCs w:val="20"/>
          <w:highlight w:val="none"/>
          <w:lang w:val="en-US" w:eastAsia="zh-CN"/>
          <w14:textFill>
            <w14:solidFill>
              <w14:schemeClr w14:val="tx1"/>
            </w14:solidFill>
          </w14:textFill>
        </w:rPr>
        <w:t>三、其它要求</w:t>
      </w:r>
    </w:p>
    <w:p>
      <w:pPr>
        <w:keepNext w:val="0"/>
        <w:keepLines w:val="0"/>
        <w:pageBreakBefore w:val="0"/>
        <w:widowControl w:val="0"/>
        <w:kinsoku/>
        <w:wordWrap/>
        <w:overflowPunct/>
        <w:topLinePunct w:val="0"/>
        <w:autoSpaceDE/>
        <w:autoSpaceDN/>
        <w:bidi w:val="0"/>
        <w:adjustRightInd/>
        <w:snapToGrid w:val="0"/>
        <w:spacing w:line="420" w:lineRule="exact"/>
        <w:ind w:left="0" w:leftChars="0"/>
        <w:jc w:val="left"/>
        <w:textAlignment w:val="auto"/>
        <w:outlineLvl w:val="9"/>
        <w:rPr>
          <w:rFonts w:hint="eastAsia" w:ascii="宋体" w:hAnsi="宋体" w:eastAsia="宋体" w:cs="Arial"/>
          <w:b/>
          <w:bCs w:val="0"/>
          <w:color w:val="000000" w:themeColor="text1"/>
          <w:sz w:val="24"/>
          <w:szCs w:val="20"/>
          <w:highlight w:val="none"/>
          <w:lang w:val="en-US" w:eastAsia="zh-CN"/>
          <w14:textFill>
            <w14:solidFill>
              <w14:schemeClr w14:val="tx1"/>
            </w14:solidFill>
          </w14:textFill>
        </w:rPr>
      </w:pPr>
      <w:r>
        <w:rPr>
          <w:rFonts w:hint="eastAsia" w:ascii="宋体" w:hAnsi="宋体" w:eastAsia="宋体" w:cs="Arial"/>
          <w:b/>
          <w:bCs w:val="0"/>
          <w:color w:val="000000" w:themeColor="text1"/>
          <w:sz w:val="24"/>
          <w:szCs w:val="20"/>
          <w:highlight w:val="none"/>
          <w:lang w:val="en-US" w:eastAsia="zh-CN"/>
          <w14:textFill>
            <w14:solidFill>
              <w14:schemeClr w14:val="tx1"/>
            </w14:solidFill>
          </w14:textFill>
        </w:rPr>
        <w:t>1、交货要求</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Arial"/>
          <w:bCs/>
          <w:color w:val="000000" w:themeColor="text1"/>
          <w:sz w:val="24"/>
          <w:szCs w:val="20"/>
          <w:highlight w:val="none"/>
          <w14:textFill>
            <w14:solidFill>
              <w14:schemeClr w14:val="tx1"/>
            </w14:solidFill>
          </w14:textFill>
        </w:rPr>
      </w:pPr>
      <w:r>
        <w:rPr>
          <w:rFonts w:hint="eastAsia" w:ascii="宋体" w:hAnsi="宋体" w:eastAsia="宋体" w:cs="Arial"/>
          <w:bCs/>
          <w:color w:val="000000" w:themeColor="text1"/>
          <w:sz w:val="24"/>
          <w:szCs w:val="20"/>
          <w:highlight w:val="none"/>
          <w:lang w:val="en-US" w:eastAsia="zh-CN"/>
          <w14:textFill>
            <w14:solidFill>
              <w14:schemeClr w14:val="tx1"/>
            </w14:solidFill>
          </w14:textFill>
        </w:rPr>
        <w:t>1.1</w:t>
      </w:r>
      <w:r>
        <w:rPr>
          <w:rFonts w:hint="eastAsia" w:ascii="宋体" w:hAnsi="宋体" w:eastAsia="宋体" w:cs="Arial"/>
          <w:bCs/>
          <w:color w:val="000000" w:themeColor="text1"/>
          <w:sz w:val="24"/>
          <w:szCs w:val="20"/>
          <w:highlight w:val="none"/>
          <w14:textFill>
            <w14:solidFill>
              <w14:schemeClr w14:val="tx1"/>
            </w14:solidFill>
          </w14:textFill>
        </w:rPr>
        <w:t>在服务期限内按</w:t>
      </w:r>
      <w:r>
        <w:rPr>
          <w:rFonts w:hint="eastAsia" w:ascii="宋体" w:hAnsi="宋体" w:eastAsia="宋体" w:cs="Arial"/>
          <w:bCs/>
          <w:color w:val="000000" w:themeColor="text1"/>
          <w:sz w:val="24"/>
          <w:szCs w:val="20"/>
          <w:highlight w:val="none"/>
          <w:lang w:eastAsia="zh-CN"/>
          <w14:textFill>
            <w14:solidFill>
              <w14:schemeClr w14:val="tx1"/>
            </w14:solidFill>
          </w14:textFill>
        </w:rPr>
        <w:t>采购人</w:t>
      </w:r>
      <w:r>
        <w:rPr>
          <w:rFonts w:hint="eastAsia" w:ascii="宋体" w:hAnsi="宋体" w:eastAsia="宋体" w:cs="Arial"/>
          <w:bCs/>
          <w:color w:val="000000" w:themeColor="text1"/>
          <w:sz w:val="24"/>
          <w:szCs w:val="20"/>
          <w:highlight w:val="none"/>
          <w14:textFill>
            <w14:solidFill>
              <w14:schemeClr w14:val="tx1"/>
            </w14:solidFill>
          </w14:textFill>
        </w:rPr>
        <w:t>要求分批次交付，接到</w:t>
      </w:r>
      <w:r>
        <w:rPr>
          <w:rFonts w:hint="eastAsia" w:ascii="宋体" w:hAnsi="宋体" w:eastAsia="宋体" w:cs="Arial"/>
          <w:bCs/>
          <w:color w:val="000000" w:themeColor="text1"/>
          <w:sz w:val="24"/>
          <w:szCs w:val="20"/>
          <w:highlight w:val="none"/>
          <w:lang w:eastAsia="zh-CN"/>
          <w14:textFill>
            <w14:solidFill>
              <w14:schemeClr w14:val="tx1"/>
            </w14:solidFill>
          </w14:textFill>
        </w:rPr>
        <w:t>采购人</w:t>
      </w:r>
      <w:r>
        <w:rPr>
          <w:rFonts w:hint="eastAsia" w:ascii="宋体" w:hAnsi="宋体" w:eastAsia="宋体" w:cs="Arial"/>
          <w:bCs/>
          <w:color w:val="000000" w:themeColor="text1"/>
          <w:sz w:val="24"/>
          <w:szCs w:val="20"/>
          <w:highlight w:val="none"/>
          <w14:textFill>
            <w14:solidFill>
              <w14:schemeClr w14:val="tx1"/>
            </w14:solidFill>
          </w14:textFill>
        </w:rPr>
        <w:t>送货通知，</w:t>
      </w:r>
      <w:r>
        <w:rPr>
          <w:rFonts w:hint="eastAsia" w:ascii="宋体" w:hAnsi="宋体" w:eastAsia="宋体" w:cs="Arial"/>
          <w:bCs/>
          <w:color w:val="000000" w:themeColor="text1"/>
          <w:sz w:val="24"/>
          <w:szCs w:val="20"/>
          <w:highlight w:val="none"/>
          <w:lang w:eastAsia="zh-CN"/>
          <w14:textFill>
            <w14:solidFill>
              <w14:schemeClr w14:val="tx1"/>
            </w14:solidFill>
          </w14:textFill>
        </w:rPr>
        <w:t>中标人</w:t>
      </w:r>
      <w:r>
        <w:rPr>
          <w:rFonts w:hint="eastAsia" w:ascii="宋体" w:hAnsi="宋体" w:eastAsia="宋体" w:cs="Arial"/>
          <w:bCs/>
          <w:color w:val="000000" w:themeColor="text1"/>
          <w:sz w:val="24"/>
          <w:szCs w:val="20"/>
          <w:highlight w:val="none"/>
          <w14:textFill>
            <w14:solidFill>
              <w14:schemeClr w14:val="tx1"/>
            </w14:solidFill>
          </w14:textFill>
        </w:rPr>
        <w:t>必须在约定时间（比如X月X日X时X分）将货送达</w:t>
      </w:r>
      <w:r>
        <w:rPr>
          <w:rFonts w:hint="eastAsia" w:ascii="宋体" w:hAnsi="宋体" w:eastAsia="宋体" w:cs="Arial"/>
          <w:bCs/>
          <w:color w:val="000000" w:themeColor="text1"/>
          <w:sz w:val="24"/>
          <w:szCs w:val="20"/>
          <w:highlight w:val="none"/>
          <w:lang w:eastAsia="zh-CN"/>
          <w14:textFill>
            <w14:solidFill>
              <w14:schemeClr w14:val="tx1"/>
            </w14:solidFill>
          </w14:textFill>
        </w:rPr>
        <w:t>采购人</w:t>
      </w:r>
      <w:r>
        <w:rPr>
          <w:rFonts w:hint="eastAsia" w:ascii="宋体" w:hAnsi="宋体" w:eastAsia="宋体" w:cs="Arial"/>
          <w:bCs/>
          <w:color w:val="000000" w:themeColor="text1"/>
          <w:sz w:val="24"/>
          <w:szCs w:val="20"/>
          <w:highlight w:val="none"/>
          <w14:textFill>
            <w14:solidFill>
              <w14:schemeClr w14:val="tx1"/>
            </w14:solidFill>
          </w14:textFill>
        </w:rPr>
        <w:t>指定地点。若有一次不及时，则扣除该月货款的10%。</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Arial"/>
          <w:bCs/>
          <w:color w:val="000000" w:themeColor="text1"/>
          <w:sz w:val="24"/>
          <w:szCs w:val="20"/>
          <w:highlight w:val="none"/>
          <w14:textFill>
            <w14:solidFill>
              <w14:schemeClr w14:val="tx1"/>
            </w14:solidFill>
          </w14:textFill>
        </w:rPr>
      </w:pPr>
      <w:r>
        <w:rPr>
          <w:rFonts w:hint="eastAsia" w:ascii="宋体" w:hAnsi="宋体" w:eastAsia="宋体" w:cs="Arial"/>
          <w:bCs/>
          <w:color w:val="000000" w:themeColor="text1"/>
          <w:sz w:val="24"/>
          <w:szCs w:val="20"/>
          <w:highlight w:val="none"/>
          <w:lang w:val="en-US" w:eastAsia="zh-CN"/>
          <w14:textFill>
            <w14:solidFill>
              <w14:schemeClr w14:val="tx1"/>
            </w14:solidFill>
          </w14:textFill>
        </w:rPr>
        <w:t>1.2</w:t>
      </w:r>
      <w:r>
        <w:rPr>
          <w:rFonts w:hint="eastAsia" w:ascii="宋体" w:hAnsi="宋体" w:eastAsia="宋体" w:cs="Arial"/>
          <w:bCs/>
          <w:color w:val="000000" w:themeColor="text1"/>
          <w:sz w:val="24"/>
          <w:szCs w:val="20"/>
          <w:highlight w:val="none"/>
          <w14:textFill>
            <w14:solidFill>
              <w14:schemeClr w14:val="tx1"/>
            </w14:solidFill>
          </w14:textFill>
        </w:rPr>
        <w:t>中标人在交货时应向</w:t>
      </w:r>
      <w:r>
        <w:rPr>
          <w:rFonts w:hint="eastAsia" w:ascii="宋体" w:hAnsi="宋体" w:eastAsia="宋体" w:cs="Arial"/>
          <w:bCs/>
          <w:color w:val="000000" w:themeColor="text1"/>
          <w:sz w:val="24"/>
          <w:szCs w:val="20"/>
          <w:highlight w:val="none"/>
          <w:lang w:eastAsia="zh-CN"/>
          <w14:textFill>
            <w14:solidFill>
              <w14:schemeClr w14:val="tx1"/>
            </w14:solidFill>
          </w14:textFill>
        </w:rPr>
        <w:t>采购人</w:t>
      </w:r>
      <w:r>
        <w:rPr>
          <w:rFonts w:hint="eastAsia" w:ascii="宋体" w:hAnsi="宋体" w:eastAsia="宋体" w:cs="Arial"/>
          <w:bCs/>
          <w:color w:val="000000" w:themeColor="text1"/>
          <w:sz w:val="24"/>
          <w:szCs w:val="20"/>
          <w:highlight w:val="none"/>
          <w14:textFill>
            <w14:solidFill>
              <w14:schemeClr w14:val="tx1"/>
            </w14:solidFill>
          </w14:textFill>
        </w:rPr>
        <w:t>提供出厂前的产品检测报告。</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Arial"/>
          <w:bCs/>
          <w:color w:val="000000" w:themeColor="text1"/>
          <w:sz w:val="24"/>
          <w:szCs w:val="20"/>
          <w:highlight w:val="none"/>
          <w:lang w:val="zh-CN"/>
          <w14:textFill>
            <w14:solidFill>
              <w14:schemeClr w14:val="tx1"/>
            </w14:solidFill>
          </w14:textFill>
        </w:rPr>
      </w:pPr>
      <w:r>
        <w:rPr>
          <w:rFonts w:hint="eastAsia" w:ascii="宋体" w:hAnsi="宋体" w:eastAsia="宋体" w:cs="Arial"/>
          <w:bCs/>
          <w:color w:val="000000" w:themeColor="text1"/>
          <w:sz w:val="24"/>
          <w:szCs w:val="20"/>
          <w:highlight w:val="none"/>
          <w:lang w:val="en-US" w:eastAsia="zh-CN"/>
          <w14:textFill>
            <w14:solidFill>
              <w14:schemeClr w14:val="tx1"/>
            </w14:solidFill>
          </w14:textFill>
        </w:rPr>
        <w:t>1.3</w:t>
      </w:r>
      <w:r>
        <w:rPr>
          <w:rFonts w:hint="eastAsia" w:ascii="宋体" w:hAnsi="宋体" w:eastAsia="宋体" w:cs="Arial"/>
          <w:bCs/>
          <w:color w:val="000000" w:themeColor="text1"/>
          <w:sz w:val="24"/>
          <w:szCs w:val="20"/>
          <w:highlight w:val="none"/>
          <w14:textFill>
            <w14:solidFill>
              <w14:schemeClr w14:val="tx1"/>
            </w14:solidFill>
          </w14:textFill>
        </w:rPr>
        <w:t>运输产品的包装（罐体、箱体）须专户专用，运输车辆也须专车专用。</w:t>
      </w:r>
    </w:p>
    <w:p>
      <w:pPr>
        <w:keepNext w:val="0"/>
        <w:keepLines w:val="0"/>
        <w:pageBreakBefore w:val="0"/>
        <w:widowControl w:val="0"/>
        <w:kinsoku/>
        <w:wordWrap/>
        <w:overflowPunct/>
        <w:topLinePunct w:val="0"/>
        <w:autoSpaceDE/>
        <w:autoSpaceDN/>
        <w:bidi w:val="0"/>
        <w:adjustRightInd/>
        <w:snapToGrid w:val="0"/>
        <w:spacing w:line="420" w:lineRule="exact"/>
        <w:ind w:left="0" w:leftChars="0"/>
        <w:jc w:val="left"/>
        <w:textAlignment w:val="auto"/>
        <w:outlineLvl w:val="9"/>
        <w:rPr>
          <w:rFonts w:hint="eastAsia" w:ascii="宋体" w:hAnsi="宋体" w:eastAsia="宋体" w:cs="Arial"/>
          <w:b/>
          <w:bCs w:val="0"/>
          <w:color w:val="000000" w:themeColor="text1"/>
          <w:sz w:val="24"/>
          <w:szCs w:val="20"/>
          <w:highlight w:val="none"/>
          <w:lang w:val="zh-CN" w:eastAsia="zh-CN"/>
          <w14:textFill>
            <w14:solidFill>
              <w14:schemeClr w14:val="tx1"/>
            </w14:solidFill>
          </w14:textFill>
        </w:rPr>
      </w:pPr>
      <w:r>
        <w:rPr>
          <w:rFonts w:hint="eastAsia" w:ascii="宋体" w:hAnsi="宋体" w:eastAsia="宋体" w:cs="Arial"/>
          <w:b/>
          <w:bCs w:val="0"/>
          <w:color w:val="000000" w:themeColor="text1"/>
          <w:sz w:val="24"/>
          <w:szCs w:val="20"/>
          <w:highlight w:val="none"/>
          <w:lang w:val="en-US" w:eastAsia="zh-CN"/>
          <w14:textFill>
            <w14:solidFill>
              <w14:schemeClr w14:val="tx1"/>
            </w14:solidFill>
          </w14:textFill>
        </w:rPr>
        <w:t>2、</w:t>
      </w:r>
      <w:r>
        <w:rPr>
          <w:rFonts w:hint="eastAsia" w:ascii="宋体" w:hAnsi="宋体" w:eastAsia="宋体" w:cs="Arial"/>
          <w:b/>
          <w:bCs w:val="0"/>
          <w:color w:val="000000" w:themeColor="text1"/>
          <w:sz w:val="24"/>
          <w:szCs w:val="20"/>
          <w:highlight w:val="none"/>
          <w:lang w:val="zh-CN" w:eastAsia="zh-CN"/>
          <w14:textFill>
            <w14:solidFill>
              <w14:schemeClr w14:val="tx1"/>
            </w14:solidFill>
          </w14:textFill>
        </w:rPr>
        <w:t>安全规定</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Arial"/>
          <w:bCs/>
          <w:color w:val="000000" w:themeColor="text1"/>
          <w:sz w:val="24"/>
          <w:szCs w:val="20"/>
          <w:highlight w:val="none"/>
          <w14:textFill>
            <w14:solidFill>
              <w14:schemeClr w14:val="tx1"/>
            </w14:solidFill>
          </w14:textFill>
        </w:rPr>
      </w:pPr>
      <w:r>
        <w:rPr>
          <w:rFonts w:hint="eastAsia" w:ascii="宋体" w:hAnsi="宋体" w:eastAsia="宋体" w:cs="Arial"/>
          <w:bCs/>
          <w:color w:val="000000" w:themeColor="text1"/>
          <w:sz w:val="24"/>
          <w:szCs w:val="20"/>
          <w:highlight w:val="none"/>
          <w:lang w:val="en-US" w:eastAsia="zh-CN"/>
          <w14:textFill>
            <w14:solidFill>
              <w14:schemeClr w14:val="tx1"/>
            </w14:solidFill>
          </w14:textFill>
        </w:rPr>
        <w:t>2.1</w:t>
      </w:r>
      <w:r>
        <w:rPr>
          <w:rFonts w:hint="eastAsia" w:ascii="宋体" w:hAnsi="宋体" w:eastAsia="宋体" w:cs="Arial"/>
          <w:bCs/>
          <w:color w:val="000000" w:themeColor="text1"/>
          <w:sz w:val="24"/>
          <w:szCs w:val="20"/>
          <w:highlight w:val="none"/>
          <w:lang w:eastAsia="zh-CN"/>
          <w14:textFill>
            <w14:solidFill>
              <w14:schemeClr w14:val="tx1"/>
            </w14:solidFill>
          </w14:textFill>
        </w:rPr>
        <w:t>中标人</w:t>
      </w:r>
      <w:r>
        <w:rPr>
          <w:rFonts w:hint="eastAsia" w:ascii="宋体" w:hAnsi="宋体" w:eastAsia="宋体" w:cs="Arial"/>
          <w:bCs/>
          <w:color w:val="000000" w:themeColor="text1"/>
          <w:sz w:val="24"/>
          <w:szCs w:val="20"/>
          <w:highlight w:val="none"/>
          <w14:textFill>
            <w14:solidFill>
              <w14:schemeClr w14:val="tx1"/>
            </w14:solidFill>
          </w14:textFill>
        </w:rPr>
        <w:t>产品运输需遵守国家道路交通运输要求，厂内运输应服从水厂安排，在运输过程中发生的一切问题含安全责任均由</w:t>
      </w:r>
      <w:r>
        <w:rPr>
          <w:rFonts w:hint="eastAsia" w:ascii="宋体" w:hAnsi="宋体" w:eastAsia="宋体" w:cs="Arial"/>
          <w:bCs/>
          <w:color w:val="000000" w:themeColor="text1"/>
          <w:sz w:val="24"/>
          <w:szCs w:val="20"/>
          <w:highlight w:val="none"/>
          <w:lang w:eastAsia="zh-CN"/>
          <w14:textFill>
            <w14:solidFill>
              <w14:schemeClr w14:val="tx1"/>
            </w14:solidFill>
          </w14:textFill>
        </w:rPr>
        <w:t>中标人</w:t>
      </w:r>
      <w:r>
        <w:rPr>
          <w:rFonts w:hint="eastAsia" w:ascii="宋体" w:hAnsi="宋体" w:eastAsia="宋体" w:cs="Arial"/>
          <w:bCs/>
          <w:color w:val="000000" w:themeColor="text1"/>
          <w:sz w:val="24"/>
          <w:szCs w:val="20"/>
          <w:highlight w:val="none"/>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Arial"/>
          <w:bCs/>
          <w:color w:val="000000" w:themeColor="text1"/>
          <w:sz w:val="24"/>
          <w:szCs w:val="20"/>
          <w:highlight w:val="none"/>
          <w14:textFill>
            <w14:solidFill>
              <w14:schemeClr w14:val="tx1"/>
            </w14:solidFill>
          </w14:textFill>
        </w:rPr>
      </w:pPr>
      <w:r>
        <w:rPr>
          <w:rFonts w:hint="eastAsia" w:ascii="宋体" w:hAnsi="宋体" w:eastAsia="宋体" w:cs="Arial"/>
          <w:bCs/>
          <w:color w:val="000000" w:themeColor="text1"/>
          <w:sz w:val="24"/>
          <w:szCs w:val="20"/>
          <w:highlight w:val="none"/>
          <w:lang w:val="en-US" w:eastAsia="zh-CN"/>
          <w14:textFill>
            <w14:solidFill>
              <w14:schemeClr w14:val="tx1"/>
            </w14:solidFill>
          </w14:textFill>
        </w:rPr>
        <w:t>2.2</w:t>
      </w:r>
      <w:r>
        <w:rPr>
          <w:rFonts w:hint="eastAsia" w:ascii="宋体" w:hAnsi="宋体" w:eastAsia="宋体" w:cs="Arial"/>
          <w:bCs/>
          <w:color w:val="000000" w:themeColor="text1"/>
          <w:sz w:val="24"/>
          <w:szCs w:val="20"/>
          <w:highlight w:val="none"/>
          <w14:textFill>
            <w14:solidFill>
              <w14:schemeClr w14:val="tx1"/>
            </w14:solidFill>
          </w14:textFill>
        </w:rPr>
        <w:t>若发现</w:t>
      </w:r>
      <w:r>
        <w:rPr>
          <w:rFonts w:hint="eastAsia" w:ascii="宋体" w:hAnsi="宋体" w:eastAsia="宋体" w:cs="Arial"/>
          <w:bCs/>
          <w:color w:val="000000" w:themeColor="text1"/>
          <w:sz w:val="24"/>
          <w:szCs w:val="20"/>
          <w:highlight w:val="none"/>
          <w:lang w:eastAsia="zh-CN"/>
          <w14:textFill>
            <w14:solidFill>
              <w14:schemeClr w14:val="tx1"/>
            </w14:solidFill>
          </w14:textFill>
        </w:rPr>
        <w:t>中标人</w:t>
      </w:r>
      <w:r>
        <w:rPr>
          <w:rFonts w:hint="eastAsia" w:ascii="宋体" w:hAnsi="宋体" w:eastAsia="宋体" w:cs="Arial"/>
          <w:bCs/>
          <w:color w:val="000000" w:themeColor="text1"/>
          <w:sz w:val="24"/>
          <w:szCs w:val="20"/>
          <w:highlight w:val="none"/>
          <w14:textFill>
            <w14:solidFill>
              <w14:schemeClr w14:val="tx1"/>
            </w14:solidFill>
          </w14:textFill>
        </w:rPr>
        <w:t>所供产品含有危害供水水质安全的有害物质（含国家标准规定以外的指标）或违反专车专运承诺的，并查证属实，卖方负全责，造成严重后果的将按相关法律追究责任，并赔偿相应的经济损失。</w:t>
      </w:r>
    </w:p>
    <w:p>
      <w:pPr>
        <w:keepNext w:val="0"/>
        <w:keepLines w:val="0"/>
        <w:pageBreakBefore w:val="0"/>
        <w:widowControl w:val="0"/>
        <w:kinsoku/>
        <w:wordWrap/>
        <w:overflowPunct/>
        <w:topLinePunct w:val="0"/>
        <w:autoSpaceDE/>
        <w:autoSpaceDN/>
        <w:bidi w:val="0"/>
        <w:adjustRightInd/>
        <w:snapToGrid w:val="0"/>
        <w:spacing w:line="420" w:lineRule="exact"/>
        <w:ind w:left="0" w:leftChars="0"/>
        <w:jc w:val="left"/>
        <w:textAlignment w:val="auto"/>
        <w:outlineLvl w:val="9"/>
        <w:rPr>
          <w:rFonts w:hint="eastAsia" w:ascii="宋体" w:hAnsi="宋体" w:eastAsia="宋体" w:cs="Arial"/>
          <w:bCs/>
          <w:color w:val="000000" w:themeColor="text1"/>
          <w:sz w:val="24"/>
          <w:szCs w:val="20"/>
          <w:highlight w:val="none"/>
          <w14:textFill>
            <w14:solidFill>
              <w14:schemeClr w14:val="tx1"/>
            </w14:solidFill>
          </w14:textFill>
        </w:rPr>
      </w:pPr>
      <w:r>
        <w:rPr>
          <w:rFonts w:hint="eastAsia" w:ascii="宋体" w:hAnsi="宋体" w:eastAsia="宋体" w:cs="Arial"/>
          <w:b/>
          <w:bCs w:val="0"/>
          <w:color w:val="000000" w:themeColor="text1"/>
          <w:sz w:val="24"/>
          <w:szCs w:val="20"/>
          <w:highlight w:val="none"/>
          <w:lang w:val="en-US" w:eastAsia="zh-CN"/>
          <w14:textFill>
            <w14:solidFill>
              <w14:schemeClr w14:val="tx1"/>
            </w14:solidFill>
          </w14:textFill>
        </w:rPr>
        <w:t>3、付款方式：</w:t>
      </w:r>
      <w:r>
        <w:rPr>
          <w:rFonts w:hint="eastAsia" w:ascii="宋体" w:hAnsi="宋体" w:eastAsia="宋体" w:cs="宋体"/>
          <w:color w:val="000000" w:themeColor="text1"/>
          <w:sz w:val="24"/>
          <w:szCs w:val="24"/>
          <w:highlight w:val="none"/>
          <w:lang w:eastAsia="zh-CN"/>
          <w14:textFill>
            <w14:solidFill>
              <w14:schemeClr w14:val="tx1"/>
            </w14:solidFill>
          </w14:textFill>
        </w:rPr>
        <w:t>每次货到现场验收合格后，支付该笔货款的100%。</w:t>
      </w:r>
    </w:p>
    <w:p>
      <w:pPr>
        <w:pStyle w:val="46"/>
        <w:rPr>
          <w:rFonts w:hint="eastAsia"/>
          <w:color w:val="000000" w:themeColor="text1"/>
          <w:highlight w:val="none"/>
          <w14:textFill>
            <w14:solidFill>
              <w14:schemeClr w14:val="tx1"/>
            </w14:solidFill>
          </w14:textFill>
        </w:rPr>
      </w:pPr>
    </w:p>
    <w:p>
      <w:pPr>
        <w:pStyle w:val="46"/>
        <w:rPr>
          <w:rFonts w:hint="eastAsia"/>
          <w:color w:val="000000" w:themeColor="text1"/>
          <w:highlight w:val="none"/>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000000" w:themeColor="text1"/>
          <w:highlight w:val="none"/>
          <w14:textFill>
            <w14:solidFill>
              <w14:schemeClr w14:val="tx1"/>
            </w14:solidFill>
          </w14:textFill>
        </w:rPr>
      </w:pPr>
      <w:bookmarkStart w:id="87" w:name="_Toc17909"/>
      <w:r>
        <w:rPr>
          <w:rFonts w:hint="eastAsia"/>
          <w:color w:val="000000" w:themeColor="text1"/>
          <w:highlight w:val="none"/>
          <w14:textFill>
            <w14:solidFill>
              <w14:schemeClr w14:val="tx1"/>
            </w14:solidFill>
          </w14:textFill>
        </w:rPr>
        <w:t>第四部分  合同条款</w:t>
      </w:r>
      <w:bookmarkEnd w:id="1"/>
      <w:bookmarkEnd w:id="2"/>
      <w:bookmarkEnd w:id="3"/>
      <w:bookmarkEnd w:id="4"/>
      <w:bookmarkEnd w:id="5"/>
      <w:bookmarkEnd w:id="6"/>
      <w:bookmarkEnd w:id="87"/>
    </w:p>
    <w:p>
      <w:pPr>
        <w:pStyle w:val="26"/>
        <w:tabs>
          <w:tab w:val="left" w:pos="900"/>
        </w:tabs>
        <w:snapToGrid w:val="0"/>
        <w:spacing w:line="460" w:lineRule="exact"/>
        <w:jc w:val="left"/>
        <w:rPr>
          <w:rFonts w:hint="eastAsia" w:ascii="宋体" w:hAnsi="宋体" w:eastAsia="宋体" w:cs="宋体"/>
          <w:color w:val="000000" w:themeColor="text1"/>
          <w:sz w:val="24"/>
          <w:szCs w:val="24"/>
          <w:highlight w:val="none"/>
          <w14:textFill>
            <w14:solidFill>
              <w14:schemeClr w14:val="tx1"/>
            </w14:solidFill>
          </w14:textFill>
        </w:rPr>
      </w:pPr>
      <w:bookmarkStart w:id="88" w:name="_Toc14349"/>
      <w:bookmarkStart w:id="89" w:name="_Toc249760790"/>
      <w:bookmarkStart w:id="90" w:name="_Toc31852"/>
      <w:bookmarkStart w:id="91" w:name="_Toc251566661"/>
      <w:bookmarkStart w:id="92" w:name="_Toc23822"/>
      <w:bookmarkStart w:id="93" w:name="_Toc5202"/>
      <w:r>
        <w:rPr>
          <w:rFonts w:hint="eastAsia" w:ascii="宋体" w:hAnsi="宋体" w:eastAsia="宋体" w:cs="宋体"/>
          <w:color w:val="000000" w:themeColor="text1"/>
          <w:sz w:val="24"/>
          <w:szCs w:val="24"/>
          <w:highlight w:val="none"/>
          <w14:textFill>
            <w14:solidFill>
              <w14:schemeClr w14:val="tx1"/>
            </w14:solidFill>
          </w14:textFill>
        </w:rPr>
        <w:t>项目名称：</w:t>
      </w:r>
    </w:p>
    <w:p>
      <w:pPr>
        <w:pStyle w:val="26"/>
        <w:tabs>
          <w:tab w:val="left" w:pos="900"/>
        </w:tabs>
        <w:snapToGrid w:val="0"/>
        <w:spacing w:line="4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项目编号： </w:t>
      </w:r>
    </w:p>
    <w:p>
      <w:pPr>
        <w:pStyle w:val="26"/>
        <w:tabs>
          <w:tab w:val="left" w:pos="900"/>
        </w:tabs>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甲方：（买方）</w:t>
      </w:r>
    </w:p>
    <w:p>
      <w:pPr>
        <w:pStyle w:val="26"/>
        <w:tabs>
          <w:tab w:val="left" w:pos="900"/>
        </w:tabs>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乙方：（卖方）</w:t>
      </w:r>
    </w:p>
    <w:p>
      <w:pPr>
        <w:pStyle w:val="27"/>
        <w:rPr>
          <w:rFonts w:hint="eastAsia"/>
          <w:color w:val="000000" w:themeColor="text1"/>
          <w:highlight w:val="none"/>
          <w14:textFill>
            <w14:solidFill>
              <w14:schemeClr w14:val="tx1"/>
            </w14:solidFill>
          </w14:textFill>
        </w:rPr>
      </w:pPr>
    </w:p>
    <w:p>
      <w:pPr>
        <w:pStyle w:val="26"/>
        <w:keepNext w:val="0"/>
        <w:keepLines w:val="0"/>
        <w:pageBreakBefore w:val="0"/>
        <w:widowControl w:val="0"/>
        <w:tabs>
          <w:tab w:val="left" w:pos="900"/>
        </w:tabs>
        <w:kinsoku/>
        <w:wordWrap/>
        <w:overflowPunct/>
        <w:topLinePunct w:val="0"/>
        <w:autoSpaceDE/>
        <w:autoSpaceDN/>
        <w:bidi w:val="0"/>
        <w:snapToGrid w:val="0"/>
        <w:spacing w:line="500" w:lineRule="exact"/>
        <w:ind w:firstLine="470" w:firstLineChars="196"/>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项目招标的结果（招标编号：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），签署本合同。</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货物名称：</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型号规格：</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技术参数：</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数量（单位）：</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二、合同金额</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本合同金额为（大写）：______________元（￥_______________元）人民币。</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三、技术资料</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1.乙方应按招标文件规定的时间向甲方提供有关技术资料。</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w:t>
      </w:r>
      <w:r>
        <w:rPr>
          <w:rFonts w:hint="eastAsia" w:ascii="宋体" w:hAnsi="宋体" w:eastAsia="宋体" w:cs="宋体"/>
          <w:color w:val="000000" w:themeColor="text1"/>
          <w:sz w:val="24"/>
          <w:szCs w:val="24"/>
          <w:highlight w:val="none"/>
          <w:lang w:eastAsia="zh-CN"/>
          <w14:textFill>
            <w14:solidFill>
              <w14:schemeClr w14:val="tx1"/>
            </w14:solidFill>
          </w14:textFill>
        </w:rPr>
        <w:t>，仅</w:t>
      </w:r>
      <w:r>
        <w:rPr>
          <w:rFonts w:hint="eastAsia" w:ascii="宋体" w:hAnsi="宋体" w:eastAsia="宋体" w:cs="宋体"/>
          <w:color w:val="000000" w:themeColor="text1"/>
          <w:sz w:val="24"/>
          <w:szCs w:val="24"/>
          <w:highlight w:val="none"/>
          <w14:textFill>
            <w14:solidFill>
              <w14:schemeClr w14:val="tx1"/>
            </w14:solidFill>
          </w14:textFill>
        </w:rPr>
        <w:t>限于履行合同的必需范围。</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四、知识产权</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乙方应保证所提供的货物或其任何一部分均不会侵犯任何第三方的知识产权。</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五、产权担保</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乙方保证所交付的货物的所有权完全属于乙方且无任何抵押、查封等产权瑕疵。</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94" w:name="_Toc2089"/>
      <w:r>
        <w:rPr>
          <w:rFonts w:hint="eastAsia" w:ascii="宋体" w:hAnsi="宋体" w:eastAsia="宋体" w:cs="宋体"/>
          <w:b/>
          <w:color w:val="000000" w:themeColor="text1"/>
          <w:sz w:val="24"/>
          <w:szCs w:val="24"/>
          <w:highlight w:val="none"/>
          <w14:textFill>
            <w14:solidFill>
              <w14:schemeClr w14:val="tx1"/>
            </w14:solidFill>
          </w14:textFill>
        </w:rPr>
        <w:t>六、履约保证金</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标项1、标项2均按30000元计取。</w:t>
      </w:r>
      <w:r>
        <w:rPr>
          <w:rFonts w:hint="eastAsia" w:ascii="宋体" w:hAnsi="宋体" w:eastAsia="宋体" w:cs="宋体"/>
          <w:color w:val="000000" w:themeColor="text1"/>
          <w:sz w:val="24"/>
          <w:szCs w:val="24"/>
          <w:highlight w:val="none"/>
          <w14:textFill>
            <w14:solidFill>
              <w14:schemeClr w14:val="tx1"/>
            </w14:solidFill>
          </w14:textFill>
        </w:rPr>
        <w:t>（不计息）</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lang w:eastAsia="zh-CN"/>
          <w14:textFill>
            <w14:solidFill>
              <w14:schemeClr w14:val="tx1"/>
            </w14:solidFill>
          </w14:textFill>
        </w:rPr>
        <w:t>履约保证金的形式：现金、支票、汇票、本票或者金融机构、保险公司、担保机构出具的保函/保险</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履约担保形式为现金（账户另行通知），</w:t>
      </w:r>
      <w:r>
        <w:rPr>
          <w:rFonts w:hint="eastAsia" w:ascii="宋体" w:hAnsi="宋体" w:eastAsia="宋体" w:cs="宋体"/>
          <w:color w:val="000000" w:themeColor="text1"/>
          <w:sz w:val="24"/>
          <w:szCs w:val="24"/>
          <w:highlight w:val="none"/>
          <w:lang w:eastAsia="zh-CN"/>
          <w14:textFill>
            <w14:solidFill>
              <w14:schemeClr w14:val="tx1"/>
            </w14:solidFill>
          </w14:textFill>
        </w:rPr>
        <w:t>履约保证金待合同到期、验收合格后到采购人处办理退还手续。</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2.签订合同后，如乙方不按双方合同约定履约，则没收其全部履约保证金，履约保证金不足以赔偿损失的，按实际损失赔偿。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七、转包或分包</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1.本合同范围的货物，应由乙方直接供应，不得转让他人供应；</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2.除非得到甲方的书面同意，乙方不得将本合同范围的货物全部或部分分包给他人供应；</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3.如有转让和未经甲方同意的分包行为，甲方有权解除合同，没收履约保证金并追究乙方的违约责任。</w:t>
      </w:r>
    </w:p>
    <w:bookmarkEnd w:id="94"/>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、交货期及交货地点</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eastAsia="zh-CN"/>
          <w14:textFill>
            <w14:solidFill>
              <w14:schemeClr w14:val="tx1"/>
            </w14:solidFill>
          </w14:textFill>
        </w:rPr>
        <w:t>供</w:t>
      </w:r>
      <w:r>
        <w:rPr>
          <w:rFonts w:hint="eastAsia" w:ascii="宋体" w:hAnsi="宋体" w:eastAsia="宋体" w:cs="宋体"/>
          <w:color w:val="000000" w:themeColor="text1"/>
          <w:sz w:val="24"/>
          <w:szCs w:val="24"/>
          <w:highlight w:val="none"/>
          <w14:textFill>
            <w14:solidFill>
              <w14:schemeClr w14:val="tx1"/>
            </w14:solidFill>
          </w14:textFill>
        </w:rPr>
        <w:t>货期：</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年，自</w:t>
      </w:r>
      <w:r>
        <w:rPr>
          <w:rFonts w:hint="eastAsia" w:ascii="宋体" w:hAnsi="宋体" w:eastAsia="宋体" w:cs="宋体"/>
          <w:bCs/>
          <w:color w:val="000000" w:themeColor="text1"/>
          <w:sz w:val="24"/>
          <w:szCs w:val="24"/>
          <w:highlight w:val="none"/>
          <w14:textFill>
            <w14:solidFill>
              <w14:schemeClr w14:val="tx1"/>
            </w14:solidFill>
          </w14:textFill>
        </w:rPr>
        <w:t>合同签订之日起</w:t>
      </w:r>
      <w:r>
        <w:rPr>
          <w:rFonts w:hint="eastAsia" w:ascii="宋体" w:hAnsi="宋体" w:eastAsia="宋体" w:cs="宋体"/>
          <w:bCs/>
          <w:color w:val="000000" w:themeColor="text1"/>
          <w:sz w:val="24"/>
          <w:szCs w:val="24"/>
          <w:highlight w:val="none"/>
          <w:lang w:eastAsia="zh-CN"/>
          <w14:textFill>
            <w14:solidFill>
              <w14:schemeClr w14:val="tx1"/>
            </w14:solidFill>
          </w14:textFill>
        </w:rPr>
        <w:t>算</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服务期限内按甲方要求分批次交付，接到甲方送货通知，乙方必须在约定时间内将货送达甲方指定地点。</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 xml:space="preserve"> 交货地点：</w:t>
      </w:r>
      <w:r>
        <w:rPr>
          <w:rFonts w:hint="eastAsia" w:ascii="宋体" w:hAnsi="宋体" w:eastAsia="宋体" w:cs="宋体"/>
          <w:bCs/>
          <w:color w:val="000000" w:themeColor="text1"/>
          <w:sz w:val="24"/>
          <w:szCs w:val="24"/>
          <w:highlight w:val="none"/>
          <w:lang w:eastAsia="zh-CN"/>
          <w14:textFill>
            <w14:solidFill>
              <w14:schemeClr w14:val="tx1"/>
            </w14:solidFill>
          </w14:textFill>
        </w:rPr>
        <w:t>甲方指定地点。</w:t>
      </w:r>
    </w:p>
    <w:p>
      <w:pPr>
        <w:keepNext w:val="0"/>
        <w:keepLines w:val="0"/>
        <w:pageBreakBefore w:val="0"/>
        <w:widowControl w:val="0"/>
        <w:kinsoku/>
        <w:wordWrap/>
        <w:overflowPunct/>
        <w:topLinePunct w:val="0"/>
        <w:autoSpaceDE/>
        <w:autoSpaceDN/>
        <w:bidi w:val="0"/>
        <w:snapToGrid/>
        <w:spacing w:before="145" w:line="500" w:lineRule="exact"/>
        <w:ind w:right="926"/>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九</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货款支付及结算方式</w:t>
      </w:r>
    </w:p>
    <w:p>
      <w:pPr>
        <w:keepNext w:val="0"/>
        <w:keepLines w:val="0"/>
        <w:pageBreakBefore w:val="0"/>
        <w:widowControl w:val="0"/>
        <w:kinsoku/>
        <w:wordWrap/>
        <w:overflowPunct/>
        <w:topLinePunct w:val="0"/>
        <w:autoSpaceDE/>
        <w:autoSpaceDN/>
        <w:bidi w:val="0"/>
        <w:snapToGrid/>
        <w:spacing w:before="145" w:line="500" w:lineRule="exact"/>
        <w:ind w:right="926"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1.付款方式：</w:t>
      </w:r>
      <w:r>
        <w:rPr>
          <w:rFonts w:hint="eastAsia" w:ascii="宋体" w:hAnsi="宋体" w:eastAsia="宋体" w:cs="宋体"/>
          <w:color w:val="000000" w:themeColor="text1"/>
          <w:sz w:val="24"/>
          <w:szCs w:val="24"/>
          <w:highlight w:val="none"/>
          <w:lang w:eastAsia="zh-CN"/>
          <w14:textFill>
            <w14:solidFill>
              <w14:schemeClr w14:val="tx1"/>
            </w14:solidFill>
          </w14:textFill>
        </w:rPr>
        <w:t>每次货到现场验收合格后，支付该笔货款的100%。</w:t>
      </w:r>
    </w:p>
    <w:p>
      <w:pPr>
        <w:pStyle w:val="46"/>
        <w:keepNext w:val="0"/>
        <w:keepLines w:val="0"/>
        <w:pageBreakBefore w:val="0"/>
        <w:widowControl w:val="0"/>
        <w:kinsoku/>
        <w:wordWrap/>
        <w:overflowPunct/>
        <w:topLinePunct w:val="0"/>
        <w:autoSpaceDE/>
        <w:autoSpaceDN/>
        <w:bidi w:val="0"/>
        <w:snapToGrid/>
        <w:spacing w:line="500" w:lineRule="exact"/>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val="0"/>
          <w:color w:val="000000" w:themeColor="text1"/>
          <w:sz w:val="24"/>
          <w:highlight w:val="none"/>
          <w:lang w:eastAsia="zh-CN"/>
          <w14:textFill>
            <w14:solidFill>
              <w14:schemeClr w14:val="tx1"/>
            </w14:solidFill>
          </w14:textFill>
        </w:rPr>
        <w:t>结算方式</w:t>
      </w:r>
      <w:r>
        <w:rPr>
          <w:rFonts w:hint="eastAsia" w:ascii="宋体" w:hAnsi="宋体" w:eastAsia="宋体" w:cs="宋体"/>
          <w:b/>
          <w:bCs w:val="0"/>
          <w:color w:val="000000" w:themeColor="text1"/>
          <w:sz w:val="24"/>
          <w:highlight w:val="none"/>
          <w:lang w:val="en-US" w:eastAsia="zh-CN"/>
          <w14:textFill>
            <w14:solidFill>
              <w14:schemeClr w14:val="tx1"/>
            </w14:solidFill>
          </w14:textFill>
        </w:rPr>
        <w:t>:</w:t>
      </w:r>
      <w:r>
        <w:rPr>
          <w:rFonts w:hint="eastAsia" w:ascii="宋体" w:hAnsi="宋体" w:eastAsia="宋体" w:cs="宋体"/>
          <w:b/>
          <w:bCs w:val="0"/>
          <w:color w:val="000000" w:themeColor="text1"/>
          <w:sz w:val="24"/>
          <w:highlight w:val="none"/>
          <w:lang w:eastAsia="zh-CN"/>
          <w14:textFill>
            <w14:solidFill>
              <w14:schemeClr w14:val="tx1"/>
            </w14:solidFill>
          </w14:textFill>
        </w:rPr>
        <w:t>按实际供货过磅数量及中标单价(    元/吨)进行结算，供货期内结算价格不作调整。合同的最终结算金额按实际使用量乘以中标单价进行计算。</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十、税费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本合同执行中相关的一切税费均由乙方负担。</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、质量保证及后续服务</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imes New Roman"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乙方应按招标文件规定的货物性能、技术要求、质量标准向甲方提供未经使用的全新产品</w:t>
      </w:r>
      <w:r>
        <w:rPr>
          <w:rFonts w:hint="eastAsia" w:ascii="宋体" w:hAnsi="宋体" w:cs="宋体"/>
          <w:color w:val="000000" w:themeColor="text1"/>
          <w:sz w:val="24"/>
          <w:highlight w:val="none"/>
          <w14:textFill>
            <w14:solidFill>
              <w14:schemeClr w14:val="tx1"/>
            </w14:solidFill>
          </w14:textFill>
        </w:rPr>
        <w:t>和技术服务。</w:t>
      </w:r>
      <w:r>
        <w:rPr>
          <w:rFonts w:hint="eastAsia" w:ascii="Times New Roman" w:hAnsi="宋体" w:cs="宋体"/>
          <w:color w:val="000000" w:themeColor="text1"/>
          <w:sz w:val="24"/>
          <w:highlight w:val="none"/>
          <w14:textFill>
            <w14:solidFill>
              <w14:schemeClr w14:val="tx1"/>
            </w14:solidFill>
          </w14:textFill>
        </w:rPr>
        <w:t>产品的质量、技术标准如在招标文件中无相应说明，则按中华人民共和国有关部门颁布的最新的国家或专业（部）标准执行。没有国家或专业（部）标准的，按企业标准执行。</w:t>
      </w:r>
    </w:p>
    <w:p>
      <w:pPr>
        <w:pStyle w:val="9"/>
        <w:keepNext w:val="0"/>
        <w:keepLines w:val="0"/>
        <w:pageBreakBefore w:val="0"/>
        <w:kinsoku/>
        <w:wordWrap/>
        <w:overflowPunct/>
        <w:topLinePunct w:val="0"/>
        <w:autoSpaceDE/>
        <w:autoSpaceDN/>
        <w:bidi w:val="0"/>
        <w:spacing w:after="120"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质量保证：产品必须是符合国家技术规范和质量标准的合格产品，满足</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的使用需求，并具有可靠的售后服务体系，质量可靠、使用安全。</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⑴更换：由乙方承担所发生的全部费用。</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⑵贬值处理：由甲乙双方合议定价。</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如在使用过程中发生质量问题，乙方在接到甲方通知后在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小时内到达甲方现场。</w:t>
      </w:r>
    </w:p>
    <w:p>
      <w:pPr>
        <w:pStyle w:val="26"/>
        <w:keepNext w:val="0"/>
        <w:keepLines w:val="0"/>
        <w:pageBreakBefore w:val="0"/>
        <w:widowControl w:val="0"/>
        <w:tabs>
          <w:tab w:val="left" w:pos="9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在质保期内，乙方应对货物出现的质量及安全问题负责处理解决并承担一切费用。</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、调试和验收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.验收时乙方必须在现场，验收完毕后作出验收结果报告；验收费用由乙方负责。</w:t>
      </w:r>
    </w:p>
    <w:p>
      <w:pPr>
        <w:pStyle w:val="26"/>
        <w:keepNext w:val="0"/>
        <w:keepLines w:val="0"/>
        <w:pageBreakBefore w:val="0"/>
        <w:tabs>
          <w:tab w:val="left" w:pos="900"/>
        </w:tabs>
        <w:kinsoku/>
        <w:wordWrap/>
        <w:overflowPunct/>
        <w:topLinePunct w:val="0"/>
        <w:autoSpaceDE/>
        <w:autoSpaceDN/>
        <w:bidi w:val="0"/>
        <w:adjustRightInd/>
        <w:snapToGrid w:val="0"/>
        <w:spacing w:line="5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、货物包装、发运及运输</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1、乙方应在货物发运前对其进行满足运输距离、防泄漏装卸等要求包装，以保证货物安全运达甲方指定地点。</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2、使用说明书、质量检验证明书、及清单一并送达甲方。</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4、货物在交付甲方前发生的风险均由乙方负责。</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5、货物在规定的交付期限内由乙方送达甲方指定的地点并负责卸料到甲方指定的容器内后视为交付，乙方同时需通知甲方货物已送达。</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6、货物称重计量以甲方现场称重数据为结算依据。</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7、运输产品的包装（罐体、箱体）须专户专用，运输车辆也须专车专用。</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乙方负责运送的车辆必须要有危险化学品运输证，押运人员必须要有危化品押运证。（本条</w:t>
      </w:r>
      <w:r>
        <w:rPr>
          <w:rFonts w:hint="eastAsia" w:ascii="宋体" w:hAnsi="宋体" w:eastAsia="宋体" w:cs="宋体"/>
          <w:color w:val="000000" w:themeColor="text1"/>
          <w:sz w:val="24"/>
          <w:szCs w:val="24"/>
          <w:highlight w:val="none"/>
          <w:lang w:eastAsia="zh-CN"/>
          <w14:textFill>
            <w14:solidFill>
              <w14:schemeClr w14:val="tx1"/>
            </w14:solidFill>
          </w14:textFill>
        </w:rPr>
        <w:t>仅限</w:t>
      </w:r>
      <w:r>
        <w:rPr>
          <w:rFonts w:hint="eastAsia" w:ascii="宋体" w:hAnsi="宋体" w:eastAsia="宋体" w:cs="宋体"/>
          <w:color w:val="000000" w:themeColor="text1"/>
          <w:sz w:val="24"/>
          <w:szCs w:val="24"/>
          <w:highlight w:val="none"/>
          <w14:textFill>
            <w14:solidFill>
              <w14:schemeClr w14:val="tx1"/>
            </w14:solidFill>
          </w14:textFill>
        </w:rPr>
        <w:t>指次氯酸钠溶液）</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十四、安全规定</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产品运输需遵守国家道路交通运输要求，厂内运输应服从水厂安排，在运输过程中发生的一切问题含安全责任均由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2、若发现</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所供产品含有危害供水水质安全的有害物质（含国家标准规定以外的指标）或违反专车专运承诺的，并查证属实，卖方负全责，造成严重后果的将按相关法律追究责任，并赔偿相应的经济损失。</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、违约责任</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1、甲方无正当理由拒收货物的，甲方向乙方偿付</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20000元。</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2、甲方无故逾期验收和办理货款支付手续的,甲方</w:t>
      </w:r>
      <w:r>
        <w:rPr>
          <w:rFonts w:hint="eastAsia" w:ascii="宋体" w:hAnsi="宋体" w:eastAsia="宋体" w:cs="宋体"/>
          <w:color w:val="000000" w:themeColor="text1"/>
          <w:sz w:val="24"/>
          <w:szCs w:val="24"/>
          <w:highlight w:val="none"/>
          <w:lang w:eastAsia="zh-CN"/>
          <w14:textFill>
            <w14:solidFill>
              <w14:schemeClr w14:val="tx1"/>
            </w14:solidFill>
          </w14:textFill>
        </w:rPr>
        <w:t>向</w:t>
      </w:r>
      <w:r>
        <w:rPr>
          <w:rFonts w:hint="eastAsia" w:ascii="宋体" w:hAnsi="宋体" w:eastAsia="宋体" w:cs="宋体"/>
          <w:color w:val="000000" w:themeColor="text1"/>
          <w:sz w:val="24"/>
          <w:szCs w:val="24"/>
          <w:highlight w:val="none"/>
          <w14:textFill>
            <w14:solidFill>
              <w14:schemeClr w14:val="tx1"/>
            </w14:solidFill>
          </w14:textFill>
        </w:rPr>
        <w:t>乙方支付违约金</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20000元</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3、乙方逾期交付货物的，乙方向甲方支付违约金</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20000元</w:t>
      </w:r>
      <w:r>
        <w:rPr>
          <w:rFonts w:hint="eastAsia" w:ascii="宋体" w:hAnsi="宋体" w:eastAsia="宋体" w:cs="宋体"/>
          <w:color w:val="000000" w:themeColor="text1"/>
          <w:sz w:val="24"/>
          <w:szCs w:val="24"/>
          <w:highlight w:val="none"/>
          <w14:textFill>
            <w14:solidFill>
              <w14:schemeClr w14:val="tx1"/>
            </w14:solidFill>
          </w14:textFill>
        </w:rPr>
        <w:t>，由甲方从</w:t>
      </w:r>
      <w:r>
        <w:rPr>
          <w:rFonts w:hint="eastAsia" w:ascii="宋体" w:hAnsi="宋体" w:eastAsia="宋体" w:cs="宋体"/>
          <w:color w:val="000000" w:themeColor="text1"/>
          <w:sz w:val="24"/>
          <w:szCs w:val="24"/>
          <w:highlight w:val="none"/>
          <w:lang w:eastAsia="zh-CN"/>
          <w14:textFill>
            <w14:solidFill>
              <w14:schemeClr w14:val="tx1"/>
            </w14:solidFill>
          </w14:textFill>
        </w:rPr>
        <w:t>履约保证金</w:t>
      </w:r>
      <w:r>
        <w:rPr>
          <w:rFonts w:hint="eastAsia" w:ascii="宋体" w:hAnsi="宋体" w:eastAsia="宋体" w:cs="宋体"/>
          <w:color w:val="000000" w:themeColor="text1"/>
          <w:sz w:val="24"/>
          <w:szCs w:val="24"/>
          <w:highlight w:val="none"/>
          <w14:textFill>
            <w14:solidFill>
              <w14:schemeClr w14:val="tx1"/>
            </w14:solidFill>
          </w14:textFill>
        </w:rPr>
        <w:t>中扣除。逾期超过约定日期10个工作日不能交货的，甲方可解除本合同。乙方因逾期交货或因其他违约行为导致甲方解除合同的，乙方应向甲方支付</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20000元</w:t>
      </w:r>
      <w:r>
        <w:rPr>
          <w:rFonts w:hint="eastAsia" w:ascii="宋体" w:hAnsi="宋体" w:eastAsia="宋体" w:cs="宋体"/>
          <w:color w:val="000000" w:themeColor="text1"/>
          <w:sz w:val="24"/>
          <w:szCs w:val="24"/>
          <w:highlight w:val="none"/>
          <w14:textFill>
            <w14:solidFill>
              <w14:schemeClr w14:val="tx1"/>
            </w14:solidFill>
          </w14:textFill>
        </w:rPr>
        <w:t>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autoSpaceDE/>
        <w:autoSpaceDN/>
        <w:bidi w:val="0"/>
        <w:adjustRightInd/>
        <w:spacing w:line="500" w:lineRule="exact"/>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、不可抗力事件处理</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3、不可抗力事件延续20天以上，双方应通过友好协商，确定是否继续履行合同。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500" w:lineRule="exact"/>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、诉讼</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pPr>
        <w:pStyle w:val="26"/>
        <w:numPr>
          <w:ilvl w:val="0"/>
          <w:numId w:val="0"/>
        </w:numPr>
        <w:tabs>
          <w:tab w:val="left" w:pos="900"/>
        </w:tabs>
        <w:snapToGrid w:val="0"/>
        <w:spacing w:line="4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十八、</w:t>
      </w:r>
      <w:r>
        <w:rPr>
          <w:rFonts w:hint="eastAsia" w:ascii="宋体" w:hAnsi="宋体" w:eastAsia="宋体" w:cs="宋体"/>
          <w:b/>
          <w:color w:val="000000" w:themeColor="text1"/>
          <w:sz w:val="24"/>
          <w:szCs w:val="24"/>
          <w:highlight w:val="none"/>
          <w14:textFill>
            <w14:solidFill>
              <w14:schemeClr w14:val="tx1"/>
            </w14:solidFill>
          </w14:textFill>
        </w:rPr>
        <w:t>合同生效及其它</w:t>
      </w:r>
    </w:p>
    <w:p>
      <w:pPr>
        <w:pStyle w:val="26"/>
        <w:keepNext w:val="0"/>
        <w:keepLines w:val="0"/>
        <w:pageBreakBefore w:val="0"/>
        <w:widowControl w:val="0"/>
        <w:tabs>
          <w:tab w:val="left" w:pos="900"/>
        </w:tabs>
        <w:kinsoku/>
        <w:wordWrap/>
        <w:overflowPunct/>
        <w:topLinePunct w:val="0"/>
        <w:autoSpaceDE/>
        <w:autoSpaceDN/>
        <w:bidi w:val="0"/>
        <w:adjustRightInd/>
        <w:snapToGrid w:val="0"/>
        <w:spacing w:before="120" w:after="120"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1.合同经甲乙双方法定代表人或授权代表</w:t>
      </w:r>
      <w:r>
        <w:rPr>
          <w:rFonts w:hint="eastAsia" w:ascii="宋体" w:hAnsi="宋体" w:eastAsia="宋体" w:cs="宋体"/>
          <w:color w:val="000000" w:themeColor="text1"/>
          <w:sz w:val="24"/>
          <w:szCs w:val="24"/>
          <w:highlight w:val="none"/>
          <w:lang w:eastAsia="zh-CN"/>
          <w14:textFill>
            <w14:solidFill>
              <w14:schemeClr w14:val="tx1"/>
            </w14:solidFill>
          </w14:textFill>
        </w:rPr>
        <w:t>签署</w:t>
      </w:r>
      <w:r>
        <w:rPr>
          <w:rFonts w:hint="eastAsia" w:ascii="宋体" w:hAnsi="宋体" w:eastAsia="宋体" w:cs="宋体"/>
          <w:color w:val="000000" w:themeColor="text1"/>
          <w:sz w:val="24"/>
          <w:szCs w:val="24"/>
          <w:highlight w:val="none"/>
          <w14:textFill>
            <w14:solidFill>
              <w14:schemeClr w14:val="tx1"/>
            </w14:solidFill>
          </w14:textFill>
        </w:rPr>
        <w:t>并加盖单位公章后生效。</w:t>
      </w:r>
    </w:p>
    <w:p>
      <w:pPr>
        <w:pStyle w:val="26"/>
        <w:keepNext w:val="0"/>
        <w:keepLines w:val="0"/>
        <w:pageBreakBefore w:val="0"/>
        <w:widowControl w:val="0"/>
        <w:tabs>
          <w:tab w:val="left" w:pos="900"/>
        </w:tabs>
        <w:kinsoku/>
        <w:wordWrap/>
        <w:overflowPunct/>
        <w:topLinePunct w:val="0"/>
        <w:autoSpaceDE/>
        <w:autoSpaceDN/>
        <w:bidi w:val="0"/>
        <w:adjustRightInd/>
        <w:snapToGrid w:val="0"/>
        <w:spacing w:before="120" w:after="120" w:line="5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2.本合同未尽事宜由双方协商解决，并签署书面的修改或补充协议，形成的书面修改或补充协议视为本合同的组成部分。</w:t>
      </w:r>
    </w:p>
    <w:p>
      <w:pPr>
        <w:pStyle w:val="26"/>
        <w:keepNext w:val="0"/>
        <w:keepLines w:val="0"/>
        <w:pageBreakBefore w:val="0"/>
        <w:widowControl w:val="0"/>
        <w:tabs>
          <w:tab w:val="left" w:pos="900"/>
        </w:tabs>
        <w:kinsoku/>
        <w:wordWrap/>
        <w:overflowPunct/>
        <w:topLinePunct w:val="0"/>
        <w:autoSpaceDE/>
        <w:autoSpaceDN/>
        <w:bidi w:val="0"/>
        <w:adjustRightInd/>
        <w:snapToGrid w:val="0"/>
        <w:spacing w:before="120" w:after="120" w:line="5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3.本项目的中标通知书、投标文件、招标文件为本合同的有效组成部分。本合同未尽事宜，遵照《</w:t>
      </w:r>
      <w:r>
        <w:rPr>
          <w:rFonts w:hint="eastAsia" w:ascii="宋体" w:hAnsi="宋体" w:eastAsia="宋体" w:cs="宋体"/>
          <w:color w:val="000000" w:themeColor="text1"/>
          <w:sz w:val="24"/>
          <w:szCs w:val="24"/>
          <w:highlight w:val="none"/>
          <w:lang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民法典</w:t>
      </w:r>
      <w:r>
        <w:rPr>
          <w:rFonts w:hint="eastAsia" w:ascii="宋体" w:hAnsi="宋体" w:eastAsia="宋体" w:cs="宋体"/>
          <w:bCs/>
          <w:color w:val="000000" w:themeColor="text1"/>
          <w:kern w:val="0"/>
          <w:sz w:val="24"/>
          <w:highlight w:val="none"/>
          <w14:textFill>
            <w14:solidFill>
              <w14:schemeClr w14:val="tx1"/>
            </w14:solidFill>
          </w14:textFill>
        </w:rPr>
        <w:t>》有关条文执行。</w:t>
      </w:r>
    </w:p>
    <w:p>
      <w:pPr>
        <w:pStyle w:val="26"/>
        <w:keepNext w:val="0"/>
        <w:keepLines w:val="0"/>
        <w:pageBreakBefore w:val="0"/>
        <w:widowControl w:val="0"/>
        <w:tabs>
          <w:tab w:val="left" w:pos="900"/>
        </w:tabs>
        <w:kinsoku/>
        <w:wordWrap/>
        <w:overflowPunct/>
        <w:topLinePunct w:val="0"/>
        <w:autoSpaceDE/>
        <w:autoSpaceDN/>
        <w:bidi w:val="0"/>
        <w:adjustRightInd/>
        <w:snapToGrid w:val="0"/>
        <w:spacing w:before="120" w:after="120" w:line="5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highlight w:val="none"/>
          <w14:textFill>
            <w14:solidFill>
              <w14:schemeClr w14:val="tx1"/>
            </w14:solidFill>
          </w14:textFill>
        </w:rPr>
        <w:t>.本合同一式陆份，具有同等法律效力，</w:t>
      </w:r>
      <w:r>
        <w:rPr>
          <w:rFonts w:hint="eastAsia" w:ascii="宋体" w:hAnsi="宋体" w:eastAsia="宋体" w:cs="宋体"/>
          <w:bCs/>
          <w:color w:val="000000" w:themeColor="text1"/>
          <w:kern w:val="0"/>
          <w:sz w:val="24"/>
          <w:highlight w:val="none"/>
          <w:lang w:eastAsia="zh-CN"/>
          <w14:textFill>
            <w14:solidFill>
              <w14:schemeClr w14:val="tx1"/>
            </w14:solidFill>
          </w14:textFill>
        </w:rPr>
        <w:t>甲乙</w:t>
      </w:r>
      <w:r>
        <w:rPr>
          <w:rFonts w:hint="eastAsia" w:ascii="宋体" w:hAnsi="宋体" w:eastAsia="宋体" w:cs="宋体"/>
          <w:bCs/>
          <w:color w:val="000000" w:themeColor="text1"/>
          <w:kern w:val="0"/>
          <w:sz w:val="24"/>
          <w:highlight w:val="none"/>
          <w14:textFill>
            <w14:solidFill>
              <w14:schemeClr w14:val="tx1"/>
            </w14:solidFill>
          </w14:textFill>
        </w:rPr>
        <w:t>双方各执两份，监督管理部门备案壹份，委托代理方浦江县产权交易有限公司存档壹份。</w:t>
      </w:r>
    </w:p>
    <w:p>
      <w:pPr>
        <w:pStyle w:val="26"/>
        <w:keepNext w:val="0"/>
        <w:keepLines w:val="0"/>
        <w:pageBreakBefore w:val="0"/>
        <w:tabs>
          <w:tab w:val="left" w:pos="900"/>
        </w:tabs>
        <w:kinsoku/>
        <w:wordWrap/>
        <w:overflowPunct/>
        <w:topLinePunct w:val="0"/>
        <w:autoSpaceDE/>
        <w:autoSpaceDN/>
        <w:bidi w:val="0"/>
        <w:snapToGrid w:val="0"/>
        <w:spacing w:line="400" w:lineRule="exact"/>
        <w:ind w:firstLine="420" w:firstLineChars="200"/>
        <w:textAlignment w:val="auto"/>
        <w:rPr>
          <w:rFonts w:hint="eastAsia" w:hAnsi="宋体" w:cs="宋体"/>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乙方： </w:t>
      </w:r>
    </w:p>
    <w:p>
      <w:pPr>
        <w:keepNext w:val="0"/>
        <w:keepLines w:val="0"/>
        <w:pageBreakBefore w:val="0"/>
        <w:kinsoku/>
        <w:wordWrap/>
        <w:overflowPunct/>
        <w:topLinePunct w:val="0"/>
        <w:autoSpaceDE/>
        <w:autoSpaceDN/>
        <w:bidi w:val="0"/>
        <w:spacing w:line="400" w:lineRule="exact"/>
        <w:ind w:left="4800" w:hanging="4800" w:hangingChars="20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法定（授权）代表人：                     法定（授权）代表人：</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电话：                                   电话：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                                   账号： </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签字日期：      年  月  日               签字日期：      年  月  日</w:t>
      </w:r>
    </w:p>
    <w:p>
      <w:pPr>
        <w:pStyle w:val="26"/>
        <w:keepNext w:val="0"/>
        <w:keepLines w:val="0"/>
        <w:pageBreakBefore w:val="0"/>
        <w:tabs>
          <w:tab w:val="left" w:pos="420"/>
        </w:tabs>
        <w:kinsoku/>
        <w:wordWrap/>
        <w:overflowPunct/>
        <w:topLinePunct w:val="0"/>
        <w:autoSpaceDE/>
        <w:autoSpaceDN/>
        <w:bidi w:val="0"/>
        <w:snapToGrid w:val="0"/>
        <w:spacing w:line="400" w:lineRule="exact"/>
        <w:textAlignment w:val="auto"/>
        <w:rPr>
          <w:rFonts w:hint="eastAsia" w:hAnsi="宋体" w:cs="宋体"/>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合同鉴证方（代理机构）:</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法定代表人或主要负责人:</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鉴证日期:      年  月  日</w:t>
      </w:r>
    </w:p>
    <w:p>
      <w:pPr>
        <w:adjustRightInd w:val="0"/>
        <w:snapToGrid w:val="0"/>
        <w:spacing w:before="120" w:beforeLines="50" w:after="120" w:afterLines="50" w:line="360" w:lineRule="auto"/>
        <w:jc w:val="center"/>
        <w:outlineLvl w:val="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95" w:name="_Toc23447"/>
      <w:r>
        <w:rPr>
          <w:rStyle w:val="56"/>
          <w:rFonts w:hint="eastAsia" w:ascii="宋体" w:hAnsi="宋体" w:eastAsia="宋体" w:cs="宋体"/>
          <w:color w:val="000000" w:themeColor="text1"/>
          <w:sz w:val="32"/>
          <w:szCs w:val="32"/>
          <w:highlight w:val="none"/>
          <w14:textFill>
            <w14:solidFill>
              <w14:schemeClr w14:val="tx1"/>
            </w14:solidFill>
          </w14:textFill>
        </w:rPr>
        <w:t>第五部分  评标办法（综合评分法）</w:t>
      </w:r>
      <w:bookmarkEnd w:id="88"/>
      <w:bookmarkEnd w:id="89"/>
      <w:bookmarkEnd w:id="90"/>
      <w:bookmarkEnd w:id="91"/>
      <w:bookmarkEnd w:id="92"/>
      <w:bookmarkEnd w:id="93"/>
      <w:bookmarkEnd w:id="95"/>
    </w:p>
    <w:p>
      <w:pPr>
        <w:spacing w:before="120" w:beforeLines="50" w:after="120" w:afterLines="50" w:line="35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96" w:name="_Toc9435"/>
      <w:bookmarkStart w:id="97" w:name="_Toc10292"/>
      <w:bookmarkStart w:id="98" w:name="_Toc249760791"/>
      <w:bookmarkStart w:id="99" w:name="_Toc251566662"/>
      <w:bookmarkStart w:id="100" w:name="_Toc24706"/>
      <w:bookmarkStart w:id="101" w:name="_Toc13853"/>
      <w:bookmarkStart w:id="102" w:name="_Toc19962"/>
      <w:r>
        <w:rPr>
          <w:rFonts w:hint="eastAsia" w:ascii="宋体" w:hAnsi="宋体" w:cs="宋体"/>
          <w:color w:val="000000" w:themeColor="text1"/>
          <w:sz w:val="24"/>
          <w:highlight w:val="none"/>
          <w14:textFill>
            <w14:solidFill>
              <w14:schemeClr w14:val="tx1"/>
            </w14:solidFill>
          </w14:textFill>
        </w:rPr>
        <w:t>为公正、公平、科学地选择中标人，根据《中华人民共和国招标投标法》等有关法律法规的规定，并结合本项目的实际，制定本办法。</w:t>
      </w:r>
    </w:p>
    <w:p>
      <w:pPr>
        <w:pStyle w:val="3"/>
        <w:snapToGrid w:val="0"/>
        <w:spacing w:before="120" w:beforeLines="50" w:after="120" w:afterLines="50" w:line="370" w:lineRule="exact"/>
        <w:rPr>
          <w:rFonts w:hint="eastAsia" w:ascii="宋体" w:hAnsi="宋体" w:eastAsia="宋体" w:cs="宋体"/>
          <w:color w:val="000000" w:themeColor="text1"/>
          <w:sz w:val="24"/>
          <w:szCs w:val="24"/>
          <w:highlight w:val="none"/>
          <w14:textFill>
            <w14:solidFill>
              <w14:schemeClr w14:val="tx1"/>
            </w14:solidFill>
          </w14:textFill>
        </w:rPr>
      </w:pPr>
      <w:bookmarkStart w:id="103" w:name="_Toc8268"/>
      <w:bookmarkStart w:id="104" w:name="_Toc30949"/>
      <w:bookmarkStart w:id="105" w:name="_Toc943"/>
      <w:r>
        <w:rPr>
          <w:rFonts w:hint="eastAsia" w:ascii="宋体" w:hAnsi="宋体" w:eastAsia="宋体" w:cs="宋体"/>
          <w:color w:val="000000" w:themeColor="text1"/>
          <w:sz w:val="24"/>
          <w:szCs w:val="24"/>
          <w:highlight w:val="none"/>
          <w14:textFill>
            <w14:solidFill>
              <w14:schemeClr w14:val="tx1"/>
            </w14:solidFill>
          </w14:textFill>
        </w:rPr>
        <w:t>一、总则</w:t>
      </w:r>
      <w:bookmarkEnd w:id="96"/>
      <w:bookmarkEnd w:id="97"/>
      <w:bookmarkEnd w:id="98"/>
      <w:bookmarkEnd w:id="99"/>
      <w:bookmarkEnd w:id="100"/>
      <w:bookmarkEnd w:id="101"/>
      <w:bookmarkEnd w:id="102"/>
      <w:bookmarkEnd w:id="103"/>
      <w:bookmarkEnd w:id="104"/>
      <w:bookmarkEnd w:id="105"/>
    </w:p>
    <w:p>
      <w:pPr>
        <w:adjustRightInd w:val="0"/>
        <w:snapToGrid w:val="0"/>
        <w:spacing w:line="37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bookmarkStart w:id="106" w:name="_Toc249760792"/>
      <w:bookmarkStart w:id="107" w:name="_Toc251566663"/>
      <w:r>
        <w:rPr>
          <w:rFonts w:hint="eastAsia" w:ascii="宋体" w:hAnsi="宋体" w:cs="宋体"/>
          <w:snapToGrid w:val="0"/>
          <w:color w:val="000000" w:themeColor="text1"/>
          <w:kern w:val="0"/>
          <w:sz w:val="24"/>
          <w:highlight w:val="none"/>
          <w14:textFill>
            <w14:solidFill>
              <w14:schemeClr w14:val="tx1"/>
            </w14:solidFill>
          </w14:textFill>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120" w:beforeLines="50" w:after="120" w:afterLines="50" w:line="370" w:lineRule="exact"/>
        <w:rPr>
          <w:rFonts w:hint="eastAsia" w:ascii="宋体" w:hAnsi="宋体" w:eastAsia="宋体" w:cs="宋体"/>
          <w:color w:val="000000" w:themeColor="text1"/>
          <w:sz w:val="24"/>
          <w:szCs w:val="24"/>
          <w:highlight w:val="none"/>
          <w14:textFill>
            <w14:solidFill>
              <w14:schemeClr w14:val="tx1"/>
            </w14:solidFill>
          </w14:textFill>
        </w:rPr>
      </w:pPr>
      <w:bookmarkStart w:id="108" w:name="_Toc8152"/>
      <w:bookmarkStart w:id="109" w:name="_Toc23250"/>
      <w:bookmarkStart w:id="110" w:name="_Toc11728"/>
      <w:bookmarkStart w:id="111" w:name="_Toc8990"/>
      <w:bookmarkStart w:id="112" w:name="_Toc27046"/>
      <w:bookmarkStart w:id="113" w:name="_Toc22739"/>
      <w:bookmarkStart w:id="114" w:name="_Toc22601"/>
      <w:bookmarkStart w:id="115" w:name="_Toc27489"/>
      <w:r>
        <w:rPr>
          <w:rFonts w:hint="eastAsia" w:ascii="宋体" w:hAnsi="宋体" w:eastAsia="宋体" w:cs="宋体"/>
          <w:color w:val="000000" w:themeColor="text1"/>
          <w:sz w:val="24"/>
          <w:szCs w:val="24"/>
          <w:highlight w:val="none"/>
          <w14:textFill>
            <w14:solidFill>
              <w14:schemeClr w14:val="tx1"/>
            </w14:solidFill>
          </w14:textFill>
        </w:rPr>
        <w:t>二、评标组织</w:t>
      </w:r>
      <w:bookmarkEnd w:id="106"/>
      <w:bookmarkEnd w:id="107"/>
      <w:bookmarkEnd w:id="108"/>
      <w:bookmarkEnd w:id="109"/>
      <w:bookmarkEnd w:id="110"/>
      <w:bookmarkEnd w:id="111"/>
      <w:bookmarkEnd w:id="112"/>
      <w:bookmarkEnd w:id="113"/>
      <w:bookmarkEnd w:id="114"/>
      <w:bookmarkEnd w:id="115"/>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评标工作由招标采购人负责组织，依法组建由奇数的人员组成的评标委员会，负责对投标文件进行审查、质询、评审等。评标委员会由</w:t>
      </w:r>
      <w:r>
        <w:rPr>
          <w:rFonts w:hint="eastAsia" w:ascii="宋体" w:hAnsi="宋体" w:cs="宋体"/>
          <w:color w:val="000000" w:themeColor="text1"/>
          <w:sz w:val="24"/>
          <w:highlight w:val="none"/>
          <w14:textFill>
            <w14:solidFill>
              <w14:schemeClr w14:val="tx1"/>
            </w14:solidFill>
          </w14:textFill>
        </w:rPr>
        <w:t>采购人代表和评审专家组成，</w:t>
      </w:r>
      <w:r>
        <w:rPr>
          <w:rFonts w:hint="eastAsia" w:ascii="宋体" w:hAnsi="宋体" w:cs="宋体"/>
          <w:color w:val="000000" w:themeColor="text1"/>
          <w:sz w:val="24"/>
          <w:highlight w:val="none"/>
          <w:lang w:eastAsia="zh-CN"/>
          <w14:textFill>
            <w14:solidFill>
              <w14:schemeClr w14:val="tx1"/>
            </w14:solidFill>
          </w14:textFill>
        </w:rPr>
        <w:t>成员人数为5人或以上单数</w:t>
      </w:r>
      <w:r>
        <w:rPr>
          <w:rFonts w:hint="eastAsia" w:ascii="宋体" w:hAnsi="宋体" w:cs="宋体"/>
          <w:color w:val="000000" w:themeColor="text1"/>
          <w:sz w:val="24"/>
          <w:highlight w:val="none"/>
          <w14:textFill>
            <w14:solidFill>
              <w14:schemeClr w14:val="tx1"/>
            </w14:solidFill>
          </w14:textFill>
        </w:rPr>
        <w:t>，其中评审专家不得少于成员总数的三分之二。</w:t>
      </w:r>
    </w:p>
    <w:p>
      <w:pPr>
        <w:pStyle w:val="3"/>
        <w:snapToGrid w:val="0"/>
        <w:spacing w:before="120" w:beforeLines="50" w:after="120" w:afterLines="50" w:line="370" w:lineRule="exact"/>
        <w:rPr>
          <w:rFonts w:hint="eastAsia" w:ascii="宋体" w:hAnsi="宋体" w:eastAsia="宋体" w:cs="宋体"/>
          <w:color w:val="000000" w:themeColor="text1"/>
          <w:sz w:val="24"/>
          <w:szCs w:val="24"/>
          <w:highlight w:val="none"/>
          <w14:textFill>
            <w14:solidFill>
              <w14:schemeClr w14:val="tx1"/>
            </w14:solidFill>
          </w14:textFill>
        </w:rPr>
      </w:pPr>
      <w:bookmarkStart w:id="116" w:name="_Toc1214"/>
      <w:bookmarkStart w:id="117" w:name="_Toc21151"/>
      <w:bookmarkStart w:id="118" w:name="_Toc15352"/>
      <w:bookmarkStart w:id="119" w:name="_Toc251566664"/>
      <w:bookmarkStart w:id="120" w:name="_Toc32084"/>
      <w:bookmarkStart w:id="121" w:name="_Toc32203"/>
      <w:bookmarkStart w:id="122" w:name="_Toc14607"/>
      <w:bookmarkStart w:id="123" w:name="_Toc31345"/>
      <w:bookmarkStart w:id="124" w:name="_Toc14683"/>
      <w:bookmarkStart w:id="125" w:name="_Toc249760793"/>
      <w:r>
        <w:rPr>
          <w:rFonts w:hint="eastAsia" w:ascii="宋体" w:hAnsi="宋体" w:eastAsia="宋体" w:cs="宋体"/>
          <w:color w:val="000000" w:themeColor="text1"/>
          <w:sz w:val="24"/>
          <w:szCs w:val="24"/>
          <w:highlight w:val="none"/>
          <w14:textFill>
            <w14:solidFill>
              <w14:schemeClr w14:val="tx1"/>
            </w14:solidFill>
          </w14:textFill>
        </w:rPr>
        <w:t>三、评标纪律</w:t>
      </w:r>
      <w:bookmarkEnd w:id="116"/>
      <w:bookmarkEnd w:id="117"/>
      <w:bookmarkEnd w:id="118"/>
      <w:bookmarkEnd w:id="119"/>
      <w:bookmarkEnd w:id="120"/>
      <w:bookmarkEnd w:id="121"/>
      <w:bookmarkEnd w:id="122"/>
      <w:bookmarkEnd w:id="123"/>
      <w:bookmarkEnd w:id="124"/>
      <w:bookmarkEnd w:id="125"/>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1、评标是招标工作的重要环节，评标工作在评标委员会内独立进行。评标委员会将按照评标原则的要求，公正、平等地对待所有投标人。</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2、所有评标人员应忠于职守、廉洁自律、秉公办事、不徇私情。</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3、评标人员不得接受或参加投标人或与投标有关的单位、组织或个人的有碍公务的宴请、娱乐活动等，不得以任何形式弄虚作假。</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4、评标期间，评标人员不得随意出入评标地点、与外界通讯、会客等。</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评标过程中，当发表结论性意见时，先听取专家评委意见，采购人代表随后发表意见；评标专家对投标人的优劣情况，以及认为差异较大的情况等，应以书面意见作出真实、专业、诚恳负责的表述，不得违背客观、公正的原则。</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8、评标结束后，各评标人员应将全部资料整理上交采购人，严禁将评标过程中的任何资料带出评标现场向投标人或其他单位提供。</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9、在中标结果公布前应对评标委员会成员名单予以保密。</w:t>
      </w:r>
    </w:p>
    <w:p>
      <w:pPr>
        <w:adjustRightInd w:val="0"/>
        <w:snapToGrid w:val="0"/>
        <w:spacing w:line="370" w:lineRule="exact"/>
        <w:ind w:firstLine="484" w:firstLineChars="20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10、评标委员会对各投标人的商业秘密予以保密。</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11、评标委员会成员应当客观、公正地履行职责，遵守职业道德，对所提出的评审意见承担个人责任。</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12、在整个评标过程中，投标人企图影响招标结果的任何活动，可能导致其投标失败。如有违法行为，将依法追究其法律责任。</w:t>
      </w:r>
    </w:p>
    <w:p>
      <w:pPr>
        <w:pStyle w:val="3"/>
        <w:snapToGrid w:val="0"/>
        <w:spacing w:before="120" w:beforeLines="50" w:after="120" w:afterLines="50" w:line="37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26" w:name="_Toc25855"/>
      <w:bookmarkStart w:id="127" w:name="_Toc5877"/>
      <w:bookmarkStart w:id="128" w:name="_Toc251566665"/>
      <w:bookmarkStart w:id="129" w:name="_Toc357"/>
      <w:bookmarkStart w:id="130" w:name="_Toc249760794"/>
      <w:bookmarkStart w:id="131" w:name="_Toc18944"/>
      <w:bookmarkStart w:id="132" w:name="_Toc26594"/>
      <w:bookmarkStart w:id="133" w:name="_Toc25762"/>
      <w:bookmarkStart w:id="134" w:name="_Toc1277"/>
      <w:bookmarkStart w:id="135" w:name="_Toc23735"/>
      <w:r>
        <w:rPr>
          <w:rFonts w:hint="eastAsia" w:ascii="宋体" w:hAnsi="宋体" w:eastAsia="宋体" w:cs="宋体"/>
          <w:color w:val="000000" w:themeColor="text1"/>
          <w:sz w:val="24"/>
          <w:szCs w:val="24"/>
          <w:highlight w:val="none"/>
          <w14:textFill>
            <w14:solidFill>
              <w14:schemeClr w14:val="tx1"/>
            </w14:solidFill>
          </w14:textFill>
        </w:rPr>
        <w:t>四、评标程序</w:t>
      </w:r>
      <w:bookmarkEnd w:id="126"/>
      <w:bookmarkEnd w:id="127"/>
      <w:bookmarkEnd w:id="128"/>
      <w:bookmarkEnd w:id="129"/>
      <w:bookmarkEnd w:id="130"/>
      <w:bookmarkEnd w:id="131"/>
      <w:bookmarkEnd w:id="132"/>
      <w:bookmarkEnd w:id="133"/>
      <w:bookmarkEnd w:id="134"/>
      <w:bookmarkEnd w:id="135"/>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1、本项目采用不公开方式评标，评标的依据为采购文件和投标文件。</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2、熟悉采购文件和评标办法。</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3、采购代理机构按照采购文件规定的时间、地点及程序组织评审。流程如下：</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开启评审场地的录音录像采集设备，并确保其正常运行。</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核验出席评审活动现场的评标委员会各成员和相关监督人员身份，并要求其分别登记、签到，按规定统一收缴、保存其通讯工具，无关人员一律拒绝其进入评审现场。</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介绍评审现场的人员情况，宣布评审工作纪律，告知评审人员应当回避情形；组织推选评标委员会组长。</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通报报名参加本项目采购的投标人名单，宣读最终提交采购投标文件的投标人名单，组织评标委员会各位成员签订《采购评审人员廉洁自律承诺书》。</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根据需要简要介绍采购文件（含补充文件）制定及质疑答复情况、按书面陈述项目基本情况及评审工作需注意事项等。</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评标委员会组长组织评审人员独立评审。</w:t>
      </w:r>
    </w:p>
    <w:p>
      <w:pPr>
        <w:tabs>
          <w:tab w:val="left" w:pos="851"/>
          <w:tab w:val="left" w:pos="993"/>
        </w:tabs>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对拟认定为采购投标文件无效、投标人资格不符合的，应组织相关投标人代表进行陈述、澄清或申辩；采购代理机构可协助评标委员会组长对打分结果进行校对、核对并汇总统计；对明显畸高、畸低的评分</w:t>
      </w:r>
      <w:r>
        <w:rPr>
          <w:rFonts w:hint="eastAsia" w:ascii="宋体" w:hAnsi="宋体" w:cs="宋体"/>
          <w:color w:val="000000" w:themeColor="text1"/>
          <w:sz w:val="24"/>
          <w:highlight w:val="none"/>
          <w:lang w:eastAsia="zh-CN"/>
          <w14:textFill>
            <w14:solidFill>
              <w14:schemeClr w14:val="tx1"/>
            </w14:solidFill>
          </w14:textFill>
        </w:rPr>
        <w:t>（其总评分偏离平均分30%以上）</w:t>
      </w:r>
      <w:r>
        <w:rPr>
          <w:rFonts w:hint="eastAsia" w:ascii="宋体" w:hAnsi="宋体" w:cs="宋体"/>
          <w:color w:val="000000" w:themeColor="text1"/>
          <w:sz w:val="24"/>
          <w:highlight w:val="none"/>
          <w14:textFill>
            <w14:solidFill>
              <w14:schemeClr w14:val="tx1"/>
            </w14:solidFill>
          </w14:textFill>
        </w:rPr>
        <w:t>，评标委员会组长应提醒相关评审人员进行复核或书面说明理由，评审人员拒绝说明的，由现场监督员据实记录；评审人员的评审、修改记录应保留原件，随项目其他资料一并存档。</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评标委员会根据评审汇总情况和采购文件规定确定中标候选人排序名单。</w:t>
      </w:r>
    </w:p>
    <w:p>
      <w:pPr>
        <w:numPr>
          <w:ilvl w:val="1"/>
          <w:numId w:val="11"/>
        </w:numPr>
        <w:tabs>
          <w:tab w:val="left" w:pos="851"/>
          <w:tab w:val="left" w:pos="993"/>
        </w:tabs>
        <w:adjustRightInd w:val="0"/>
        <w:snapToGrid w:val="0"/>
        <w:spacing w:line="370" w:lineRule="exact"/>
        <w:ind w:left="0" w:firstLine="42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起草评审报告，所有评审人员须在评审报告上签字确认。</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评标报告是评标委员会根据全体评标成员签字的原始评标记录和评标结果编写的报告，其主要内容包括：</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（1）采购公告刊登的媒体名称、开标日期和地点；</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（2）购买采购文件的投标人名单和评标委员会成员名单；</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（3）评标方法和标准；</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（4）开标记录和评标情况及说明，包括投标无效投标人名单及原因；</w:t>
      </w:r>
    </w:p>
    <w:p>
      <w:pPr>
        <w:adjustRightInd w:val="0"/>
        <w:snapToGrid w:val="0"/>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（5）评标结果和中标候选人排序。</w:t>
      </w:r>
    </w:p>
    <w:p>
      <w:pPr>
        <w:pStyle w:val="3"/>
        <w:snapToGrid w:val="0"/>
        <w:spacing w:before="120" w:beforeLines="50" w:after="120" w:afterLines="50" w:line="370" w:lineRule="exact"/>
        <w:rPr>
          <w:rFonts w:hint="eastAsia" w:ascii="宋体" w:hAnsi="宋体" w:eastAsia="宋体" w:cs="宋体"/>
          <w:color w:val="000000" w:themeColor="text1"/>
          <w:sz w:val="24"/>
          <w:szCs w:val="24"/>
          <w:highlight w:val="none"/>
          <w14:textFill>
            <w14:solidFill>
              <w14:schemeClr w14:val="tx1"/>
            </w14:solidFill>
          </w14:textFill>
        </w:rPr>
      </w:pPr>
      <w:bookmarkStart w:id="136" w:name="_Toc249760795"/>
      <w:bookmarkStart w:id="137" w:name="_Toc251566666"/>
      <w:bookmarkStart w:id="138" w:name="_Toc26085"/>
      <w:bookmarkStart w:id="139" w:name="_Toc12915"/>
      <w:bookmarkStart w:id="140" w:name="_Toc18578"/>
      <w:bookmarkStart w:id="141" w:name="_Toc16453"/>
      <w:bookmarkStart w:id="142" w:name="_Toc20349"/>
      <w:bookmarkStart w:id="143" w:name="_Toc24643"/>
      <w:bookmarkStart w:id="144" w:name="_Toc31016"/>
      <w:bookmarkStart w:id="145" w:name="_Toc9777"/>
      <w:r>
        <w:rPr>
          <w:rFonts w:hint="eastAsia" w:ascii="宋体" w:hAnsi="宋体" w:eastAsia="宋体" w:cs="宋体"/>
          <w:color w:val="000000" w:themeColor="text1"/>
          <w:sz w:val="24"/>
          <w:szCs w:val="24"/>
          <w:highlight w:val="none"/>
          <w14:textFill>
            <w14:solidFill>
              <w14:schemeClr w14:val="tx1"/>
            </w14:solidFill>
          </w14:textFill>
        </w:rPr>
        <w:t>五、评标</w:t>
      </w:r>
      <w:bookmarkEnd w:id="136"/>
      <w:bookmarkEnd w:id="137"/>
      <w:r>
        <w:rPr>
          <w:rFonts w:hint="eastAsia" w:ascii="宋体" w:hAnsi="宋体" w:eastAsia="宋体" w:cs="宋体"/>
          <w:color w:val="000000" w:themeColor="text1"/>
          <w:sz w:val="24"/>
          <w:szCs w:val="24"/>
          <w:highlight w:val="none"/>
          <w14:textFill>
            <w14:solidFill>
              <w14:schemeClr w14:val="tx1"/>
            </w14:solidFill>
          </w14:textFill>
        </w:rPr>
        <w:t>细则及标准</w:t>
      </w:r>
      <w:bookmarkEnd w:id="138"/>
      <w:bookmarkEnd w:id="139"/>
      <w:bookmarkEnd w:id="140"/>
      <w:bookmarkEnd w:id="141"/>
      <w:bookmarkEnd w:id="142"/>
      <w:bookmarkEnd w:id="143"/>
      <w:bookmarkEnd w:id="144"/>
      <w:bookmarkEnd w:id="145"/>
    </w:p>
    <w:p>
      <w:pPr>
        <w:spacing w:line="37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本项目采用综合评分法，总分为100分，其中标项1、标项2技术商务分</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0分、价格分</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分。先评技术商务标，再开报价。各投标人的最终得分=技术商务得分+报价得分，投标人按最终得分由高到低顺序排列，最终得分相同的，按投标报价由低到高顺序排列；最终得分且投标报价均相同的，以抽签决定排列先后。排名第一的投标人为第一中标候选人,排名第二的投标人为第二中标候选人。评分过程中采用四舍五入法，评委打分分值保留小数点后1位，统计或计算分值精确到小数点后2位。</w:t>
      </w:r>
    </w:p>
    <w:p>
      <w:pPr>
        <w:spacing w:line="37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（一）标项1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技术商务分（</w:t>
      </w:r>
      <w:r>
        <w:rPr>
          <w:rFonts w:hint="eastAsia" w:ascii="宋体" w:hAnsi="宋体" w:cs="宋体"/>
          <w:b/>
          <w:bCs/>
          <w:color w:val="000000" w:themeColor="text1"/>
          <w:sz w:val="24"/>
          <w:highlight w:val="none"/>
          <w:lang w:val="en-US" w:eastAsia="zh-CN"/>
          <w14:textFill>
            <w14:solidFill>
              <w14:schemeClr w14:val="tx1"/>
            </w14:solidFill>
          </w14:textFill>
        </w:rPr>
        <w:t>40</w:t>
      </w:r>
      <w:r>
        <w:rPr>
          <w:rFonts w:hint="eastAsia" w:ascii="宋体" w:hAnsi="宋体" w:cs="宋体"/>
          <w:b/>
          <w:bCs/>
          <w:color w:val="000000" w:themeColor="text1"/>
          <w:sz w:val="24"/>
          <w:highlight w:val="none"/>
          <w14:textFill>
            <w14:solidFill>
              <w14:schemeClr w14:val="tx1"/>
            </w14:solidFill>
          </w14:textFill>
        </w:rPr>
        <w:t>分）</w:t>
      </w:r>
    </w:p>
    <w:tbl>
      <w:tblPr>
        <w:tblStyle w:val="48"/>
        <w:tblW w:w="99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4"/>
        <w:gridCol w:w="1129"/>
        <w:gridCol w:w="6930"/>
        <w:gridCol w:w="10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jc w:val="center"/>
        </w:trPr>
        <w:tc>
          <w:tcPr>
            <w:tcW w:w="784"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420" w:lineRule="exact"/>
              <w:ind w:left="165"/>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序号</w:t>
            </w:r>
          </w:p>
        </w:tc>
        <w:tc>
          <w:tcPr>
            <w:tcW w:w="1129"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评审内容</w:t>
            </w: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评审要点</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7" w:hRule="exact"/>
          <w:jc w:val="center"/>
        </w:trPr>
        <w:tc>
          <w:tcPr>
            <w:tcW w:w="784" w:type="dxa"/>
            <w:tcBorders>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p>
        </w:tc>
        <w:tc>
          <w:tcPr>
            <w:tcW w:w="1129" w:type="dxa"/>
            <w:tcBorders>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企业资信</w:t>
            </w:r>
          </w:p>
        </w:tc>
        <w:tc>
          <w:tcPr>
            <w:tcW w:w="69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投标人或投标产品生产厂家</w:t>
            </w:r>
            <w:r>
              <w:rPr>
                <w:rFonts w:hint="eastAsia" w:ascii="宋体" w:hAnsi="宋体" w:eastAsia="宋体" w:cs="宋体"/>
                <w:color w:val="000000" w:themeColor="text1"/>
                <w:sz w:val="21"/>
                <w:szCs w:val="21"/>
                <w:highlight w:val="none"/>
                <w:lang w:eastAsia="zh-CN"/>
                <w14:textFill>
                  <w14:solidFill>
                    <w14:schemeClr w14:val="tx1"/>
                  </w14:solidFill>
                </w14:textFill>
              </w:rPr>
              <w:t>具有</w:t>
            </w:r>
            <w:r>
              <w:rPr>
                <w:rFonts w:hint="eastAsia" w:ascii="宋体" w:hAnsi="宋体" w:cs="宋体"/>
                <w:color w:val="000000" w:themeColor="text1"/>
                <w:sz w:val="21"/>
                <w:szCs w:val="21"/>
                <w:highlight w:val="none"/>
                <w:lang w:val="en-US" w:eastAsia="zh-CN"/>
                <w14:textFill>
                  <w14:solidFill>
                    <w14:schemeClr w14:val="tx1"/>
                  </w14:solidFill>
                </w14:textFill>
              </w:rPr>
              <w:t>ISO9001</w:t>
            </w:r>
            <w:r>
              <w:rPr>
                <w:rFonts w:hint="eastAsia" w:ascii="宋体" w:hAnsi="宋体" w:eastAsia="宋体" w:cs="宋体"/>
                <w:color w:val="000000" w:themeColor="text1"/>
                <w:sz w:val="21"/>
                <w:szCs w:val="21"/>
                <w:highlight w:val="none"/>
                <w:lang w:eastAsia="zh-CN"/>
                <w14:textFill>
                  <w14:solidFill>
                    <w14:schemeClr w14:val="tx1"/>
                  </w14:solidFill>
                </w14:textFill>
              </w:rPr>
              <w:t>质量管理体系认证、</w:t>
            </w:r>
            <w:r>
              <w:rPr>
                <w:rFonts w:hint="eastAsia" w:ascii="宋体" w:hAnsi="宋体" w:cs="宋体"/>
                <w:color w:val="000000" w:themeColor="text1"/>
                <w:sz w:val="21"/>
                <w:szCs w:val="21"/>
                <w:highlight w:val="none"/>
                <w:lang w:val="en-US" w:eastAsia="zh-CN"/>
                <w14:textFill>
                  <w14:solidFill>
                    <w14:schemeClr w14:val="tx1"/>
                  </w14:solidFill>
                </w14:textFill>
              </w:rPr>
              <w:t>ISO14001</w:t>
            </w:r>
            <w:r>
              <w:rPr>
                <w:rFonts w:hint="eastAsia" w:ascii="宋体" w:hAnsi="宋体" w:eastAsia="宋体" w:cs="宋体"/>
                <w:color w:val="000000" w:themeColor="text1"/>
                <w:sz w:val="21"/>
                <w:szCs w:val="21"/>
                <w:highlight w:val="none"/>
                <w:lang w:eastAsia="zh-CN"/>
                <w14:textFill>
                  <w14:solidFill>
                    <w14:schemeClr w14:val="tx1"/>
                  </w14:solidFill>
                </w14:textFill>
              </w:rPr>
              <w:t>环境管理体系认证、</w:t>
            </w:r>
            <w:r>
              <w:rPr>
                <w:rFonts w:hint="eastAsia" w:ascii="宋体" w:hAnsi="宋体" w:cs="宋体"/>
                <w:color w:val="000000" w:themeColor="text1"/>
                <w:sz w:val="21"/>
                <w:szCs w:val="21"/>
                <w:highlight w:val="none"/>
                <w:lang w:val="en-US" w:eastAsia="zh-CN"/>
                <w14:textFill>
                  <w14:solidFill>
                    <w14:schemeClr w14:val="tx1"/>
                  </w14:solidFill>
                </w14:textFill>
              </w:rPr>
              <w:t>ISO45001</w:t>
            </w:r>
            <w:r>
              <w:rPr>
                <w:rFonts w:hint="eastAsia" w:ascii="宋体" w:hAnsi="宋体" w:eastAsia="宋体" w:cs="宋体"/>
                <w:color w:val="000000" w:themeColor="text1"/>
                <w:sz w:val="21"/>
                <w:szCs w:val="21"/>
                <w:highlight w:val="none"/>
                <w:lang w:eastAsia="zh-CN"/>
                <w14:textFill>
                  <w14:solidFill>
                    <w14:schemeClr w14:val="tx1"/>
                  </w14:solidFill>
                </w14:textFill>
              </w:rPr>
              <w:t>职业健康安全管理体系认证证书</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，且三体认证范围包含水处理药剂销售，每个得1分，最高得3分。</w:t>
            </w:r>
          </w:p>
          <w:p>
            <w:pPr>
              <w:pStyle w:val="4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注：标书中提供证书</w:t>
            </w:r>
            <w:r>
              <w:rPr>
                <w:rFonts w:hint="eastAsia" w:ascii="宋体" w:hAnsi="宋体" w:eastAsia="宋体" w:cs="宋体"/>
                <w:b/>
                <w:bCs/>
                <w:color w:val="000000" w:themeColor="text1"/>
                <w:sz w:val="21"/>
                <w:szCs w:val="21"/>
                <w:highlight w:val="none"/>
                <w:lang w:eastAsia="zh-CN"/>
                <w14:textFill>
                  <w14:solidFill>
                    <w14:schemeClr w14:val="tx1"/>
                  </w14:solidFill>
                </w14:textFill>
              </w:rPr>
              <w:t>扫描件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（证书未提供或不在有效期内的，相应得分不予计取）。</w:t>
            </w:r>
          </w:p>
        </w:tc>
        <w:tc>
          <w:tcPr>
            <w:tcW w:w="1064"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0-3分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0" w:hRule="exact"/>
          <w:jc w:val="center"/>
        </w:trPr>
        <w:tc>
          <w:tcPr>
            <w:tcW w:w="784"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p>
        </w:tc>
        <w:tc>
          <w:tcPr>
            <w:tcW w:w="1129"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pStyle w:val="4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类似业绩</w:t>
            </w:r>
          </w:p>
        </w:tc>
        <w:tc>
          <w:tcPr>
            <w:tcW w:w="69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202</w:t>
            </w: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年1月1日以来（以合同签订时间为准）投标人或投标产品生产厂家完成过供水行业涉水级液态聚合氯化铝业绩</w:t>
            </w:r>
            <w:r>
              <w:rPr>
                <w:rFonts w:hint="eastAsia" w:ascii="宋体" w:hAnsi="宋体" w:cs="宋体"/>
                <w:b w:val="0"/>
                <w:bCs/>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，每个得1分，最高得</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pStyle w:val="4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注：标书中需提供合同</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及发票</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扫描件</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未提供</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或资料提供不齐全</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的得分不予计取</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w:t>
            </w:r>
          </w:p>
        </w:tc>
        <w:tc>
          <w:tcPr>
            <w:tcW w:w="1064"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0-</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0" w:hRule="atLeast"/>
          <w:jc w:val="center"/>
        </w:trPr>
        <w:tc>
          <w:tcPr>
            <w:tcW w:w="784"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p>
        </w:tc>
        <w:tc>
          <w:tcPr>
            <w:tcW w:w="1129"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000000" w:themeColor="text1"/>
                <w:spacing w:val="-4"/>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1"/>
                <w:szCs w:val="21"/>
                <w:highlight w:val="none"/>
                <w:lang w:val="en-US" w:eastAsia="zh-CN" w:bidi="ar-SA"/>
                <w14:textFill>
                  <w14:solidFill>
                    <w14:schemeClr w14:val="tx1"/>
                  </w14:solidFill>
                </w14:textFill>
              </w:rPr>
              <w:t>原材料  控制</w:t>
            </w:r>
          </w:p>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30"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投标产品生产厂家202</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年1月至202</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年12月或202</w:t>
            </w:r>
            <w:r>
              <w:rPr>
                <w:rFonts w:hint="eastAsia" w:ascii="宋体" w:hAnsi="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年1月至202</w:t>
            </w:r>
            <w:r>
              <w:rPr>
                <w:rFonts w:hint="eastAsia" w:ascii="宋体" w:hAnsi="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12月时间段内，生产用原材料工业合成盐酸的进货量在500吨（含）-2000吨（不含）的，得1分，2000吨（含）-5000吨（不含）的，得2分，5000吨（含）-6000吨（不含）的得4分，6000吨（含）-7000吨（不含）的，得5分，7000吨</w:t>
            </w:r>
            <w:r>
              <w:rPr>
                <w:rFonts w:hint="eastAsia" w:ascii="宋体" w:hAnsi="宋体" w:cs="宋体"/>
                <w:b w:val="0"/>
                <w:bCs/>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以上的，得6分，其余不得分。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注：标书中需提供合成盐酸进货发票、合同及采购盐酸公安部门审批备案表扫描件（未提供或资料不齐全的得分不予计取）。</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82" w:hRule="atLeast"/>
          <w:jc w:val="center"/>
        </w:trPr>
        <w:tc>
          <w:tcPr>
            <w:tcW w:w="784" w:type="dxa"/>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129" w:type="dxa"/>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产品性能、生产线及检测能力</w:t>
            </w:r>
          </w:p>
        </w:tc>
        <w:tc>
          <w:tcPr>
            <w:tcW w:w="6930"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所投产品应由独立的饮用水或食品级专用生产线或生产系统制备，并有相应的饮用水或食品级专用储罐或装置进行储存。投标文件中提供设备照片、环评证书及资料、安评证书及资料或相关政府部门出具的证明材料。评委根据提供的资料完整性、专用生产线分隔清晰有效、工艺车间的布局合理性、专用生产线、储罐及检测能力等进行打分（0-</w:t>
            </w:r>
            <w:r>
              <w:rPr>
                <w:rFonts w:hint="eastAsia" w:ascii="宋体" w:hAnsi="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注：标书中需提供检测设备清单、发票及其它资料扫描件。</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0-</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5" w:hRule="atLeast"/>
          <w:jc w:val="center"/>
        </w:trPr>
        <w:tc>
          <w:tcPr>
            <w:tcW w:w="784" w:type="dxa"/>
            <w:vMerge w:val="restart"/>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129" w:type="dxa"/>
            <w:vMerge w:val="restart"/>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产品   稳定性</w:t>
            </w: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2019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年以来疾控检测中心对产品中所含重金属检测结果合格的报告，每份得0.5分，本项最高得3分。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注：标书中需提供报告扫描件（未提供得分不予计取）。</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2"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29"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20" w:lineRule="exact"/>
              <w:jc w:val="center"/>
              <w:textAlignment w:val="auto"/>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2019</w:t>
            </w:r>
            <w:r>
              <w:rPr>
                <w:rFonts w:hint="eastAsia"/>
                <w:color w:val="000000" w:themeColor="text1"/>
                <w:highlight w:val="none"/>
                <w14:textFill>
                  <w14:solidFill>
                    <w14:schemeClr w14:val="tx1"/>
                  </w14:solidFill>
                </w14:textFill>
              </w:rPr>
              <w:t>年以</w:t>
            </w:r>
            <w:r>
              <w:rPr>
                <w:rFonts w:hint="eastAsia"/>
                <w:color w:val="000000" w:themeColor="text1"/>
                <w:highlight w:val="none"/>
                <w:lang w:eastAsia="zh-CN"/>
                <w14:textFill>
                  <w14:solidFill>
                    <w14:schemeClr w14:val="tx1"/>
                  </w14:solidFill>
                </w14:textFill>
              </w:rPr>
              <w:t>来</w:t>
            </w:r>
            <w:r>
              <w:rPr>
                <w:rFonts w:hint="eastAsia"/>
                <w:color w:val="000000" w:themeColor="text1"/>
                <w:highlight w:val="none"/>
                <w14:textFill>
                  <w14:solidFill>
                    <w14:schemeClr w14:val="tx1"/>
                  </w14:solidFill>
                </w14:textFill>
              </w:rPr>
              <w:t>通过质量监督检测部门检测，提供聚氯化铝合格检测报告，每份得</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pPr>
              <w:pStyle w:val="4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注：标书中需提供报告扫描件（未提供得分不予计取）。</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0" w:hRule="atLeast"/>
          <w:jc w:val="center"/>
        </w:trPr>
        <w:tc>
          <w:tcPr>
            <w:tcW w:w="784" w:type="dxa"/>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129" w:type="dxa"/>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供货方案</w:t>
            </w: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评委根据投标人提供的供货方案的及时性、合理性进行打分（0-4分）。</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784" w:type="dxa"/>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7</w:t>
            </w:r>
          </w:p>
        </w:tc>
        <w:tc>
          <w:tcPr>
            <w:tcW w:w="1129" w:type="dxa"/>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运输保障能力</w:t>
            </w: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1、根据投标人提供的运输保障方案、专车专运承诺、人员配备等进行打分（0-</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2、根据投标人的道路运输资质及涉水用聚氯化铝专用车辆信息进行评分：投标人</w:t>
            </w:r>
            <w:r>
              <w:rPr>
                <w:rFonts w:hint="eastAsia" w:ascii="宋体" w:hAnsi="宋体" w:cs="宋体"/>
                <w:b w:val="0"/>
                <w:bCs/>
                <w:color w:val="000000" w:themeColor="text1"/>
                <w:sz w:val="21"/>
                <w:szCs w:val="21"/>
                <w:highlight w:val="none"/>
                <w:lang w:val="en-US" w:eastAsia="zh-CN"/>
                <w14:textFill>
                  <w14:solidFill>
                    <w14:schemeClr w14:val="tx1"/>
                  </w14:solidFill>
                </w14:textFill>
              </w:rPr>
              <w:t>拥有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专用罐装车运输供货每辆得1分，最高得2分。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注：车辆需提供行驶证扫描件（如为租赁的，还另需提供租赁协议），未提供或资料不齐全的得分不予计取。</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0" w:hRule="atLeast"/>
          <w:jc w:val="center"/>
        </w:trPr>
        <w:tc>
          <w:tcPr>
            <w:tcW w:w="784" w:type="dxa"/>
            <w:vMerge w:val="restart"/>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129" w:type="dxa"/>
            <w:vMerge w:val="restart"/>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售后服务</w:t>
            </w: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评委根据投标人提供的售后服务措施进行打分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0-3分）。</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0-3分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784"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29"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评委根据投标人对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应急供应</w:t>
            </w:r>
            <w:r>
              <w:rPr>
                <w:rFonts w:hint="eastAsia" w:ascii="宋体" w:hAnsi="宋体" w:eastAsia="宋体" w:cs="宋体"/>
                <w:color w:val="000000" w:themeColor="text1"/>
                <w:kern w:val="0"/>
                <w:sz w:val="21"/>
                <w:szCs w:val="21"/>
                <w:highlight w:val="none"/>
                <w14:textFill>
                  <w14:solidFill>
                    <w14:schemeClr w14:val="tx1"/>
                  </w14:solidFill>
                </w14:textFill>
              </w:rPr>
              <w:t>处理方案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进行打分（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0-3分）。</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7" w:hRule="atLeast"/>
          <w:jc w:val="center"/>
        </w:trPr>
        <w:tc>
          <w:tcPr>
            <w:tcW w:w="784" w:type="dxa"/>
            <w:tcBorders>
              <w:left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p>
        </w:tc>
        <w:tc>
          <w:tcPr>
            <w:tcW w:w="1129" w:type="dxa"/>
            <w:tcBorders>
              <w:left w:val="single" w:color="auto" w:sz="4"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政策分</w:t>
            </w:r>
            <w:bookmarkStart w:id="191" w:name="_GoBack"/>
            <w:bookmarkEnd w:id="191"/>
          </w:p>
        </w:tc>
        <w:tc>
          <w:tcPr>
            <w:tcW w:w="693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tabs>
                <w:tab w:val="left" w:pos="1080"/>
              </w:tabs>
              <w:kinsoku/>
              <w:wordWrap/>
              <w:overflowPunct/>
              <w:topLinePunct w:val="0"/>
              <w:autoSpaceDE/>
              <w:autoSpaceDN/>
              <w:bidi w:val="0"/>
              <w:spacing w:line="42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投标人符合 “节约能源、保护环境”政策扶持对象的，提供相关材料和政策依据，每符合一项得0.5分，最高可得1分。未提供相关证明材料的不得分。</w:t>
            </w:r>
          </w:p>
        </w:tc>
        <w:tc>
          <w:tcPr>
            <w:tcW w:w="10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default" w:ascii="宋体" w:hAnsi="宋体" w:eastAsia="宋体" w:cs="宋体"/>
                <w:color w:val="000000" w:themeColor="text1"/>
                <w:sz w:val="21"/>
                <w:szCs w:val="21"/>
                <w:highlight w:val="none"/>
                <w:lang w:val="en-US"/>
                <w14:textFill>
                  <w14:solidFill>
                    <w14:schemeClr w14:val="tx1"/>
                  </w14:solidFill>
                </w14:textFill>
              </w:rPr>
              <w:t>0-</w:t>
            </w:r>
            <w:r>
              <w:rPr>
                <w:rFonts w:hint="default" w:ascii="宋体" w:hAnsi="宋体" w:eastAsia="宋体" w:cs="宋体"/>
                <w:color w:val="000000" w:themeColor="text1"/>
                <w:sz w:val="21"/>
                <w:szCs w:val="21"/>
                <w:highlight w:val="none"/>
                <w:lang w:val="en-US" w:eastAsia="zh-CN"/>
                <w14:textFill>
                  <w14:solidFill>
                    <w14:schemeClr w14:val="tx1"/>
                  </w14:solidFill>
                </w14:textFill>
              </w:rPr>
              <w:t>1</w:t>
            </w:r>
            <w:r>
              <w:rPr>
                <w:rFonts w:hint="default" w:ascii="宋体" w:hAnsi="宋体" w:eastAsia="宋体" w:cs="宋体"/>
                <w:color w:val="000000" w:themeColor="text1"/>
                <w:sz w:val="21"/>
                <w:szCs w:val="21"/>
                <w:highlight w:val="none"/>
                <w:lang w:val="en-US"/>
                <w14:textFill>
                  <w14:solidFill>
                    <w14:schemeClr w14:val="tx1"/>
                  </w14:solidFill>
                </w14:textFill>
              </w:rPr>
              <w:t>分</w:t>
            </w:r>
          </w:p>
        </w:tc>
      </w:tr>
    </w:tbl>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pStyle w:val="46"/>
        <w:rPr>
          <w:rFonts w:hint="eastAsia"/>
          <w:color w:val="000000" w:themeColor="text1"/>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lang w:val="en-US" w:eastAsia="zh-CN"/>
          <w14:textFill>
            <w14:solidFill>
              <w14:schemeClr w14:val="tx1"/>
            </w14:solidFill>
          </w14:textFill>
        </w:rPr>
      </w:pPr>
    </w:p>
    <w:p>
      <w:pPr>
        <w:spacing w:line="37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标项2：</w:t>
      </w:r>
      <w:r>
        <w:rPr>
          <w:rFonts w:hint="eastAsia" w:ascii="宋体" w:hAnsi="宋体" w:cs="宋体"/>
          <w:b/>
          <w:bCs/>
          <w:color w:val="000000" w:themeColor="text1"/>
          <w:sz w:val="24"/>
          <w:highlight w:val="none"/>
          <w14:textFill>
            <w14:solidFill>
              <w14:schemeClr w14:val="tx1"/>
            </w14:solidFill>
          </w14:textFill>
        </w:rPr>
        <w:t>技术商务分（</w:t>
      </w:r>
      <w:r>
        <w:rPr>
          <w:rFonts w:hint="eastAsia" w:ascii="宋体" w:hAnsi="宋体" w:cs="宋体"/>
          <w:b/>
          <w:bCs/>
          <w:color w:val="000000" w:themeColor="text1"/>
          <w:sz w:val="24"/>
          <w:highlight w:val="none"/>
          <w:lang w:val="en-US" w:eastAsia="zh-CN"/>
          <w14:textFill>
            <w14:solidFill>
              <w14:schemeClr w14:val="tx1"/>
            </w14:solidFill>
          </w14:textFill>
        </w:rPr>
        <w:t>40</w:t>
      </w:r>
      <w:r>
        <w:rPr>
          <w:rFonts w:hint="eastAsia" w:ascii="宋体" w:hAnsi="宋体" w:cs="宋体"/>
          <w:b/>
          <w:bCs/>
          <w:color w:val="000000" w:themeColor="text1"/>
          <w:sz w:val="24"/>
          <w:highlight w:val="none"/>
          <w14:textFill>
            <w14:solidFill>
              <w14:schemeClr w14:val="tx1"/>
            </w14:solidFill>
          </w14:textFill>
        </w:rPr>
        <w:t>分）</w:t>
      </w:r>
    </w:p>
    <w:tbl>
      <w:tblPr>
        <w:tblStyle w:val="48"/>
        <w:tblW w:w="98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40"/>
        <w:gridCol w:w="1095"/>
        <w:gridCol w:w="6808"/>
        <w:gridCol w:w="10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4" w:hRule="atLeast"/>
          <w:jc w:val="center"/>
        </w:trPr>
        <w:tc>
          <w:tcPr>
            <w:tcW w:w="940"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napToGrid w:val="0"/>
              <w:spacing w:line="360" w:lineRule="auto"/>
              <w:ind w:left="165"/>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序号</w:t>
            </w:r>
          </w:p>
        </w:tc>
        <w:tc>
          <w:tcPr>
            <w:tcW w:w="109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评审内容</w:t>
            </w: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评审要点</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360" w:lineRule="auto"/>
              <w:jc w:val="center"/>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0" w:hRule="exact"/>
          <w:jc w:val="center"/>
        </w:trPr>
        <w:tc>
          <w:tcPr>
            <w:tcW w:w="940" w:type="dxa"/>
            <w:tcBorders>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p>
        </w:tc>
        <w:tc>
          <w:tcPr>
            <w:tcW w:w="1095" w:type="dxa"/>
            <w:tcBorders>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企业资信</w:t>
            </w:r>
          </w:p>
        </w:tc>
        <w:tc>
          <w:tcPr>
            <w:tcW w:w="680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投标人或投标产品生产厂家</w:t>
            </w:r>
            <w:r>
              <w:rPr>
                <w:rFonts w:hint="eastAsia" w:ascii="宋体" w:hAnsi="宋体" w:eastAsia="宋体" w:cs="宋体"/>
                <w:color w:val="000000" w:themeColor="text1"/>
                <w:sz w:val="21"/>
                <w:szCs w:val="21"/>
                <w:highlight w:val="none"/>
                <w:lang w:eastAsia="zh-CN"/>
                <w14:textFill>
                  <w14:solidFill>
                    <w14:schemeClr w14:val="tx1"/>
                  </w14:solidFill>
                </w14:textFill>
              </w:rPr>
              <w:t>具有</w:t>
            </w:r>
            <w:r>
              <w:rPr>
                <w:rFonts w:hint="eastAsia" w:ascii="宋体" w:hAnsi="宋体" w:cs="宋体"/>
                <w:color w:val="000000" w:themeColor="text1"/>
                <w:sz w:val="21"/>
                <w:szCs w:val="21"/>
                <w:highlight w:val="none"/>
                <w:lang w:val="en-US" w:eastAsia="zh-CN"/>
                <w14:textFill>
                  <w14:solidFill>
                    <w14:schemeClr w14:val="tx1"/>
                  </w14:solidFill>
                </w14:textFill>
              </w:rPr>
              <w:t>ISO9001</w:t>
            </w:r>
            <w:r>
              <w:rPr>
                <w:rFonts w:hint="eastAsia" w:ascii="宋体" w:hAnsi="宋体" w:eastAsia="宋体" w:cs="宋体"/>
                <w:color w:val="000000" w:themeColor="text1"/>
                <w:sz w:val="21"/>
                <w:szCs w:val="21"/>
                <w:highlight w:val="none"/>
                <w:lang w:eastAsia="zh-CN"/>
                <w14:textFill>
                  <w14:solidFill>
                    <w14:schemeClr w14:val="tx1"/>
                  </w14:solidFill>
                </w14:textFill>
              </w:rPr>
              <w:t>质量管理体系认证、</w:t>
            </w:r>
            <w:r>
              <w:rPr>
                <w:rFonts w:hint="eastAsia" w:ascii="宋体" w:hAnsi="宋体" w:cs="宋体"/>
                <w:color w:val="000000" w:themeColor="text1"/>
                <w:sz w:val="21"/>
                <w:szCs w:val="21"/>
                <w:highlight w:val="none"/>
                <w:lang w:val="en-US" w:eastAsia="zh-CN"/>
                <w14:textFill>
                  <w14:solidFill>
                    <w14:schemeClr w14:val="tx1"/>
                  </w14:solidFill>
                </w14:textFill>
              </w:rPr>
              <w:t>ISO14001</w:t>
            </w:r>
            <w:r>
              <w:rPr>
                <w:rFonts w:hint="eastAsia" w:ascii="宋体" w:hAnsi="宋体" w:eastAsia="宋体" w:cs="宋体"/>
                <w:color w:val="000000" w:themeColor="text1"/>
                <w:sz w:val="21"/>
                <w:szCs w:val="21"/>
                <w:highlight w:val="none"/>
                <w:lang w:eastAsia="zh-CN"/>
                <w14:textFill>
                  <w14:solidFill>
                    <w14:schemeClr w14:val="tx1"/>
                  </w14:solidFill>
                </w14:textFill>
              </w:rPr>
              <w:t>环境管理体系认证、</w:t>
            </w:r>
            <w:r>
              <w:rPr>
                <w:rFonts w:hint="eastAsia" w:ascii="宋体" w:hAnsi="宋体" w:cs="宋体"/>
                <w:color w:val="000000" w:themeColor="text1"/>
                <w:sz w:val="21"/>
                <w:szCs w:val="21"/>
                <w:highlight w:val="none"/>
                <w:lang w:val="en-US" w:eastAsia="zh-CN"/>
                <w14:textFill>
                  <w14:solidFill>
                    <w14:schemeClr w14:val="tx1"/>
                  </w14:solidFill>
                </w14:textFill>
              </w:rPr>
              <w:t>ISO45001</w:t>
            </w:r>
            <w:r>
              <w:rPr>
                <w:rFonts w:hint="eastAsia" w:ascii="宋体" w:hAnsi="宋体" w:eastAsia="宋体" w:cs="宋体"/>
                <w:color w:val="000000" w:themeColor="text1"/>
                <w:sz w:val="21"/>
                <w:szCs w:val="21"/>
                <w:highlight w:val="none"/>
                <w:lang w:eastAsia="zh-CN"/>
                <w14:textFill>
                  <w14:solidFill>
                    <w14:schemeClr w14:val="tx1"/>
                  </w14:solidFill>
                </w14:textFill>
              </w:rPr>
              <w:t>职业健康安全管理体系认证证书</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，且三体认证范围包含水处理药剂销售，每个得1分，最高得3分。</w:t>
            </w:r>
          </w:p>
          <w:p>
            <w:pPr>
              <w:pStyle w:val="4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注：标书中提供证书</w:t>
            </w:r>
            <w:r>
              <w:rPr>
                <w:rFonts w:hint="eastAsia" w:ascii="宋体" w:hAnsi="宋体" w:eastAsia="宋体" w:cs="宋体"/>
                <w:b/>
                <w:bCs/>
                <w:color w:val="000000" w:themeColor="text1"/>
                <w:sz w:val="21"/>
                <w:szCs w:val="21"/>
                <w:highlight w:val="none"/>
                <w:lang w:eastAsia="zh-CN"/>
                <w14:textFill>
                  <w14:solidFill>
                    <w14:schemeClr w14:val="tx1"/>
                  </w14:solidFill>
                </w14:textFill>
              </w:rPr>
              <w:t>扫描件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（证书未提供或不在有效期内的，相应得分不予计取）。</w:t>
            </w:r>
          </w:p>
        </w:tc>
        <w:tc>
          <w:tcPr>
            <w:tcW w:w="1007"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0-3分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4" w:hRule="exact"/>
          <w:jc w:val="center"/>
        </w:trPr>
        <w:tc>
          <w:tcPr>
            <w:tcW w:w="940" w:type="dxa"/>
            <w:tcBorders>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p>
        </w:tc>
        <w:tc>
          <w:tcPr>
            <w:tcW w:w="1095" w:type="dxa"/>
            <w:tcBorders>
              <w:left w:val="single" w:color="auto" w:sz="4" w:space="0"/>
              <w:bottom w:val="single" w:color="auto" w:sz="4" w:space="0"/>
              <w:right w:val="single" w:color="000000" w:sz="8" w:space="0"/>
            </w:tcBorders>
            <w:shd w:val="clear" w:color="auto" w:fill="FFFFFF"/>
            <w:noWrap w:val="0"/>
            <w:vAlign w:val="center"/>
          </w:tcPr>
          <w:p>
            <w:pPr>
              <w:pStyle w:val="4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类似业绩</w:t>
            </w:r>
          </w:p>
        </w:tc>
        <w:tc>
          <w:tcPr>
            <w:tcW w:w="6808"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02</w:t>
            </w: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年1月1日以来（以合同签订时间为准）投标人或投标产品生产厂家完成过供水行业涉水级次氯酸钠溶液业绩，每个得1分，最高得</w:t>
            </w:r>
            <w:r>
              <w:rPr>
                <w:rFonts w:hint="eastAsia" w:ascii="宋体" w:hAnsi="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pStyle w:val="4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注：标书中需提供合同</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及发票</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扫描件</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未提供</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或资料提供不齐全</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的得分不予计取</w:t>
            </w:r>
            <w:r>
              <w:rPr>
                <w:rFonts w:hint="eastAsia" w:hAnsi="宋体" w:eastAsia="宋体" w:cs="宋体"/>
                <w:b/>
                <w:bCs/>
                <w:color w:val="000000" w:themeColor="text1"/>
                <w:spacing w:val="-4"/>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pacing w:val="-4"/>
                <w:kern w:val="2"/>
                <w:sz w:val="21"/>
                <w:szCs w:val="21"/>
                <w:highlight w:val="none"/>
                <w:lang w:val="en-US" w:eastAsia="zh-CN" w:bidi="ar-SA"/>
                <w14:textFill>
                  <w14:solidFill>
                    <w14:schemeClr w14:val="tx1"/>
                  </w14:solidFill>
                </w14:textFill>
              </w:rPr>
              <w:t>。</w:t>
            </w:r>
          </w:p>
        </w:tc>
        <w:tc>
          <w:tcPr>
            <w:tcW w:w="1007"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0-</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3" w:hRule="atLeast"/>
          <w:jc w:val="center"/>
        </w:trPr>
        <w:tc>
          <w:tcPr>
            <w:tcW w:w="940" w:type="dxa"/>
            <w:vMerge w:val="restart"/>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095" w:type="dxa"/>
            <w:vMerge w:val="restart"/>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产品性能、生产工艺及检测能力</w:t>
            </w:r>
          </w:p>
        </w:tc>
        <w:tc>
          <w:tcPr>
            <w:tcW w:w="6808"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所投产品应由独立的饮用水或食品级专用生产线或生产系统制备，并有相应的饮用水或食品级专用储罐或装置进行储存。投标文件中提供设备照片、环评证书及资料、安评证书及资料或相关政府部门出具的证明材料。评委根据提供的资料完整性、专用生产线分隔清晰有效、工艺车间的布局合理性、专用生产线、储罐等进行打分（0-</w:t>
            </w:r>
            <w:r>
              <w:rPr>
                <w:rFonts w:hint="eastAsia" w:ascii="宋体" w:hAnsi="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注：标书中需提供检测设备清单、发票及其它资料扫描件。</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0-</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7" w:hRule="atLeast"/>
          <w:jc w:val="center"/>
        </w:trPr>
        <w:tc>
          <w:tcPr>
            <w:tcW w:w="940"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095"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pPr>
          </w:p>
        </w:tc>
        <w:tc>
          <w:tcPr>
            <w:tcW w:w="6808" w:type="dxa"/>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生产厂家或全资控股子公司具备CMA资质检测能力，提供检测单位CMA资质认定证书的</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得2分。</w:t>
            </w:r>
          </w:p>
          <w:p>
            <w:pPr>
              <w:pStyle w:val="4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注：标书中提供证书扫描件（证书未提供或不在有效期内的，得分不予计取）。</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0-2分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3" w:hRule="atLeast"/>
          <w:jc w:val="center"/>
        </w:trPr>
        <w:tc>
          <w:tcPr>
            <w:tcW w:w="940" w:type="dxa"/>
            <w:vMerge w:val="restart"/>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095" w:type="dxa"/>
            <w:vMerge w:val="restart"/>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产品   稳定性</w:t>
            </w: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2019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年以来疾控检测中心对产品中所含重金属检测结果合格的报告，每份得0.5分，本项最高得3分。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注：标书中需提供报告扫描件（未提供得分不予计取）。</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4" w:hRule="atLeast"/>
          <w:jc w:val="center"/>
        </w:trPr>
        <w:tc>
          <w:tcPr>
            <w:tcW w:w="940"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095"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2019年以来通过质量监督检测部门检测，提供聚氯化铝合格检测报告，每份得0.5分，最高得3分。</w:t>
            </w:r>
          </w:p>
          <w:p>
            <w:pPr>
              <w:pStyle w:val="4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注：标书中需提供报告扫描件（未提供得分不予计取）。</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jc w:val="center"/>
        </w:trPr>
        <w:tc>
          <w:tcPr>
            <w:tcW w:w="940" w:type="dxa"/>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095" w:type="dxa"/>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供货方案</w:t>
            </w: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评委根据投标人提供的供货方案的及时性、合理性进行打分（0-</w:t>
            </w: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96" w:hRule="atLeast"/>
          <w:jc w:val="center"/>
        </w:trPr>
        <w:tc>
          <w:tcPr>
            <w:tcW w:w="940" w:type="dxa"/>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095" w:type="dxa"/>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运输保障能力</w:t>
            </w: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1、根据投标人提供的运输保障方案、专车专运承诺、人员配备等进行打分（0-</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2、投标人拥有专用危险品罐式车</w:t>
            </w:r>
            <w:r>
              <w:rPr>
                <w:rFonts w:hint="eastAsia" w:ascii="宋体" w:hAnsi="宋体" w:cs="宋体"/>
                <w:b w:val="0"/>
                <w:bCs/>
                <w:color w:val="000000" w:themeColor="text1"/>
                <w:sz w:val="21"/>
                <w:szCs w:val="21"/>
                <w:highlight w:val="none"/>
                <w:lang w:val="en-US" w:eastAsia="zh-CN"/>
                <w14:textFill>
                  <w14:solidFill>
                    <w14:schemeClr w14:val="tx1"/>
                  </w14:solidFill>
                </w14:textFill>
              </w:rPr>
              <w:t>2辆及以上的，得2分。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注：提供危险品车辆行驶证、危险品车辆驾驶员证、押运员证扫描件，若为租赁车辆，则需提供租赁合同。</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940" w:type="dxa"/>
            <w:vMerge w:val="restart"/>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095" w:type="dxa"/>
            <w:vMerge w:val="restart"/>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售后服务</w:t>
            </w: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评委根据投标人提供的售后服务措施进行打分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jc w:val="center"/>
        </w:trPr>
        <w:tc>
          <w:tcPr>
            <w:tcW w:w="940" w:type="dxa"/>
            <w:vMerge w:val="continue"/>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095" w:type="dxa"/>
            <w:vMerge w:val="continue"/>
            <w:tcBorders>
              <w:left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评委根据投标人对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应急供应</w:t>
            </w:r>
            <w:r>
              <w:rPr>
                <w:rFonts w:hint="eastAsia" w:ascii="宋体" w:hAnsi="宋体" w:eastAsia="宋体" w:cs="宋体"/>
                <w:color w:val="000000" w:themeColor="text1"/>
                <w:kern w:val="0"/>
                <w:sz w:val="21"/>
                <w:szCs w:val="21"/>
                <w:highlight w:val="none"/>
                <w14:textFill>
                  <w14:solidFill>
                    <w14:schemeClr w14:val="tx1"/>
                  </w14:solidFill>
                </w14:textFill>
              </w:rPr>
              <w:t>处理方案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进行打分（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jc w:val="center"/>
        </w:trPr>
        <w:tc>
          <w:tcPr>
            <w:tcW w:w="940" w:type="dxa"/>
            <w:tcBorders>
              <w:left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095" w:type="dxa"/>
            <w:tcBorders>
              <w:left w:val="single" w:color="auto" w:sz="4" w:space="0"/>
              <w:right w:val="single" w:color="000000" w:sz="8" w:space="0"/>
            </w:tcBorders>
            <w:shd w:val="clear" w:color="auto" w:fill="FFFFFF"/>
            <w:noWrap w:val="0"/>
            <w:vAlign w:val="center"/>
          </w:tcPr>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政策分</w:t>
            </w:r>
          </w:p>
          <w:p>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80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投标人符合 “节约能源、保护环境”政策扶持对象的，提供相关材料和政策依据，每符合一项得0.5分，最高可得1分。未提供相关证明材料的不得分。</w:t>
            </w:r>
          </w:p>
        </w:tc>
        <w:tc>
          <w:tcPr>
            <w:tcW w:w="10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ascii="宋体" w:hAnsi="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评标委员会成员对各投标单位的技术商务充分审核、讨论及评议后，技术商务部分由各专家按综合评标内容后自行评分，每人一份评分表，并签名。在统计得分时，如发现某一单项评分超过评分细则规定的分值范围，则该张评分表无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技术商务分按照评标委员会成员的独立评分结果汇总数后的算术平均分计算，计算公式为：技术商务分=（评标委员会所有成员评分合计数）/（评标委员会组成人员数）。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（二）价格分（</w:t>
      </w:r>
      <w:r>
        <w:rPr>
          <w:rFonts w:hint="eastAsia" w:ascii="宋体" w:hAnsi="宋体" w:cs="宋体"/>
          <w:b/>
          <w:bCs/>
          <w:color w:val="000000" w:themeColor="text1"/>
          <w:sz w:val="24"/>
          <w:highlight w:val="none"/>
          <w:lang w:val="en-US" w:eastAsia="zh-CN"/>
          <w14:textFill>
            <w14:solidFill>
              <w14:schemeClr w14:val="tx1"/>
            </w14:solidFill>
          </w14:textFill>
        </w:rPr>
        <w:t>60</w:t>
      </w:r>
      <w:r>
        <w:rPr>
          <w:rFonts w:hint="eastAsia" w:ascii="宋体" w:hAnsi="宋体" w:cs="宋体"/>
          <w:b/>
          <w:bCs/>
          <w:color w:val="000000" w:themeColor="text1"/>
          <w:sz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before="120" w:after="120" w:line="46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满足招标文件要求且投标价格最低的投标报价为评标基准价，其价格分为满分。其他投标人的价格分统一按照下列公式计算：</w:t>
      </w:r>
    </w:p>
    <w:p>
      <w:pPr>
        <w:pStyle w:val="46"/>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投标报价得分=(评标基准价／投标报价)×</w:t>
      </w:r>
      <w:r>
        <w:rPr>
          <w:rFonts w:hint="eastAsia" w:ascii="宋体" w:hAnsi="宋体" w:cs="宋体"/>
          <w:color w:val="000000" w:themeColor="text1"/>
          <w:sz w:val="24"/>
          <w:highlight w:val="none"/>
          <w:lang w:val="en-US" w:eastAsia="zh-CN"/>
          <w14:textFill>
            <w14:solidFill>
              <w14:schemeClr w14:val="tx1"/>
            </w14:solidFill>
          </w14:textFill>
        </w:rPr>
        <w:t>60</w:t>
      </w:r>
    </w:p>
    <w:p>
      <w:pPr>
        <w:pStyle w:val="46"/>
        <w:rPr>
          <w:rFonts w:hint="default"/>
          <w:color w:val="000000" w:themeColor="text1"/>
          <w:highlight w:val="none"/>
          <w:lang w:val="en-US" w:eastAsia="zh-CN"/>
          <w14:textFill>
            <w14:solidFill>
              <w14:schemeClr w14:val="tx1"/>
            </w14:solidFill>
          </w14:textFill>
        </w:rPr>
      </w:pPr>
    </w:p>
    <w:p>
      <w:pPr>
        <w:adjustRightInd w:val="0"/>
        <w:snapToGrid w:val="0"/>
        <w:spacing w:before="120" w:beforeLines="50" w:after="120" w:afterLines="50"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Start w:id="146" w:name="_Toc234764855"/>
      <w:bookmarkStart w:id="147" w:name="_Toc6924"/>
      <w:bookmarkStart w:id="148" w:name="_Toc6102"/>
      <w:bookmarkStart w:id="149" w:name="_Toc251566668"/>
      <w:bookmarkStart w:id="150" w:name="_Toc31271"/>
      <w:bookmarkStart w:id="151" w:name="_Toc249760797"/>
      <w:bookmarkStart w:id="152" w:name="_Toc14478"/>
      <w:bookmarkStart w:id="153" w:name="_Toc1306"/>
      <w:r>
        <w:rPr>
          <w:rStyle w:val="56"/>
          <w:rFonts w:hint="eastAsia" w:ascii="宋体" w:hAnsi="宋体" w:eastAsia="宋体" w:cs="宋体"/>
          <w:color w:val="000000" w:themeColor="text1"/>
          <w:sz w:val="32"/>
          <w:szCs w:val="32"/>
          <w:highlight w:val="none"/>
          <w14:textFill>
            <w14:solidFill>
              <w14:schemeClr w14:val="tx1"/>
            </w14:solidFill>
          </w14:textFill>
        </w:rPr>
        <w:t>第六部分  投标文件格式</w:t>
      </w:r>
      <w:bookmarkEnd w:id="146"/>
      <w:bookmarkEnd w:id="147"/>
      <w:bookmarkEnd w:id="148"/>
      <w:bookmarkEnd w:id="149"/>
      <w:bookmarkEnd w:id="150"/>
      <w:bookmarkEnd w:id="151"/>
      <w:bookmarkEnd w:id="152"/>
      <w:bookmarkEnd w:id="153"/>
    </w:p>
    <w:p>
      <w:pPr>
        <w:autoSpaceDE w:val="0"/>
        <w:autoSpaceDN w:val="0"/>
        <w:adjustRightInd w:val="0"/>
        <w:spacing w:line="360" w:lineRule="auto"/>
        <w:ind w:firstLine="480"/>
        <w:rPr>
          <w:rFonts w:hint="eastAsia" w:ascii="宋体" w:hAnsi="宋体" w:cs="宋体"/>
          <w:color w:val="000000" w:themeColor="text1"/>
          <w:sz w:val="24"/>
          <w:highlight w:val="none"/>
          <w14:textFill>
            <w14:solidFill>
              <w14:schemeClr w14:val="tx1"/>
            </w14:solidFill>
          </w14:textFill>
        </w:rPr>
      </w:pPr>
    </w:p>
    <w:p>
      <w:pPr>
        <w:pStyle w:val="2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pPr>
        <w:pStyle w:val="2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1．投标文件由投标人根据采购文件要求参照附件格式编制。</w:t>
      </w:r>
    </w:p>
    <w:p>
      <w:pPr>
        <w:pStyle w:val="2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2．投标人根据实际情况填写。</w:t>
      </w:r>
    </w:p>
    <w:p>
      <w:pPr>
        <w:pStyle w:val="2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3．采购文件中没有参考格式的，投标人自行编制。</w:t>
      </w:r>
    </w:p>
    <w:p>
      <w:pPr>
        <w:autoSpaceDE w:val="0"/>
        <w:autoSpaceDN w:val="0"/>
        <w:adjustRightInd w:val="0"/>
        <w:rPr>
          <w:rFonts w:hint="eastAsia" w:ascii="宋体" w:hAnsi="宋体" w:cs="宋体"/>
          <w:bCs/>
          <w:color w:val="000000" w:themeColor="text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bookmarkStart w:id="154" w:name="_Toc15142"/>
      <w:bookmarkStart w:id="155" w:name="_Toc30357"/>
      <w:bookmarkStart w:id="156" w:name="_Toc1074"/>
      <w:bookmarkStart w:id="157" w:name="_Toc1647"/>
      <w:bookmarkStart w:id="158" w:name="_Toc27220"/>
      <w:r>
        <w:rPr>
          <w:rFonts w:hint="eastAsia" w:ascii="宋体" w:hAnsi="宋体" w:cs="宋体"/>
          <w:b/>
          <w:snapToGrid w:val="0"/>
          <w:color w:val="000000" w:themeColor="text1"/>
          <w:kern w:val="0"/>
          <w:sz w:val="32"/>
          <w:szCs w:val="32"/>
          <w:highlight w:val="none"/>
          <w14:textFill>
            <w14:solidFill>
              <w14:schemeClr w14:val="tx1"/>
            </w14:solidFill>
          </w14:textFill>
        </w:rPr>
        <w:t>一、</w:t>
      </w:r>
      <w:bookmarkEnd w:id="154"/>
      <w:bookmarkEnd w:id="155"/>
      <w:bookmarkEnd w:id="156"/>
      <w:bookmarkEnd w:id="157"/>
      <w:bookmarkEnd w:id="158"/>
      <w:r>
        <w:rPr>
          <w:rFonts w:hint="eastAsia" w:ascii="宋体" w:hAnsi="宋体" w:cs="宋体"/>
          <w:b/>
          <w:color w:val="000000" w:themeColor="text1"/>
          <w:sz w:val="32"/>
          <w:szCs w:val="32"/>
          <w:highlight w:val="none"/>
          <w14:textFill>
            <w14:solidFill>
              <w14:schemeClr w14:val="tx1"/>
            </w14:solidFill>
          </w14:textFill>
        </w:rPr>
        <w:t>资格投标文件封面格式</w:t>
      </w:r>
    </w:p>
    <w:p>
      <w:pPr>
        <w:autoSpaceDE w:val="0"/>
        <w:autoSpaceDN w:val="0"/>
        <w:adjustRightInd w:val="0"/>
        <w:rPr>
          <w:rFonts w:hint="eastAsia" w:ascii="宋体" w:hAnsi="宋体" w:cs="宋体"/>
          <w:b/>
          <w:bCs/>
          <w:color w:val="000000" w:themeColor="text1"/>
          <w:highlight w:val="none"/>
          <w14:textFill>
            <w14:solidFill>
              <w14:schemeClr w14:val="tx1"/>
            </w14:solidFill>
          </w14:textFill>
        </w:rPr>
      </w:pPr>
    </w:p>
    <w:p>
      <w:pPr>
        <w:autoSpaceDE w:val="0"/>
        <w:autoSpaceDN w:val="0"/>
        <w:adjustRightInd w:val="0"/>
        <w:spacing w:line="360" w:lineRule="auto"/>
        <w:jc w:val="righ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lang w:eastAsia="zh-CN"/>
          <w14:textFill>
            <w14:solidFill>
              <w14:schemeClr w14:val="tx1"/>
            </w14:solidFill>
          </w14:textFill>
        </w:rPr>
        <w:t>浦江县城乡自来水有限公司涉水级液态聚合氯化铝及涉水级次氯酸钠溶液采购项目</w:t>
      </w:r>
    </w:p>
    <w:p>
      <w:pPr>
        <w:spacing w:line="360" w:lineRule="auto"/>
        <w:jc w:val="center"/>
        <w:rPr>
          <w:rFonts w:hint="eastAsia" w:ascii="宋体" w:hAnsi="宋体" w:cs="宋体"/>
          <w:b/>
          <w:color w:val="000000" w:themeColor="text1"/>
          <w:sz w:val="36"/>
          <w:szCs w:val="36"/>
          <w:highlight w:val="none"/>
          <w:lang w:eastAsia="zh-CN"/>
          <w14:textFill>
            <w14:solidFill>
              <w14:schemeClr w14:val="tx1"/>
            </w14:solidFill>
          </w14:textFill>
        </w:rPr>
      </w:pPr>
    </w:p>
    <w:p>
      <w:pPr>
        <w:spacing w:line="360" w:lineRule="auto"/>
        <w:jc w:val="center"/>
        <w:rPr>
          <w:rFonts w:hint="eastAsia" w:ascii="宋体" w:hAnsi="宋体" w:cs="宋体"/>
          <w:color w:val="000000" w:themeColor="text1"/>
          <w:spacing w:val="40"/>
          <w:w w:val="90"/>
          <w:sz w:val="96"/>
          <w:szCs w:val="96"/>
          <w:highlight w:val="none"/>
          <w:lang w:bidi="th-TH"/>
          <w14:textFill>
            <w14:solidFill>
              <w14:schemeClr w14:val="tx1"/>
            </w14:solidFill>
          </w14:textFill>
        </w:rPr>
      </w:pPr>
      <w:r>
        <w:rPr>
          <w:rFonts w:hint="eastAsia" w:ascii="宋体" w:hAnsi="宋体" w:cs="宋体"/>
          <w:color w:val="000000" w:themeColor="text1"/>
          <w:spacing w:val="40"/>
          <w:w w:val="90"/>
          <w:sz w:val="96"/>
          <w:szCs w:val="96"/>
          <w:highlight w:val="none"/>
          <w:lang w:bidi="th-TH"/>
          <w14:textFill>
            <w14:solidFill>
              <w14:schemeClr w14:val="tx1"/>
            </w14:solidFill>
          </w14:textFill>
        </w:rPr>
        <w:t>投 标 文 件</w:t>
      </w:r>
    </w:p>
    <w:p>
      <w:pPr>
        <w:autoSpaceDE w:val="0"/>
        <w:autoSpaceDN w:val="0"/>
        <w:adjustRightInd w:val="0"/>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（资格投标文件）</w:t>
      </w:r>
    </w:p>
    <w:p>
      <w:pPr>
        <w:autoSpaceDE w:val="0"/>
        <w:autoSpaceDN w:val="0"/>
        <w:adjustRightIn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（标项1/标项2）</w:t>
      </w: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项目编号：PJCQGK(</w:t>
      </w:r>
      <w:r>
        <w:rPr>
          <w:rFonts w:hint="eastAsia" w:ascii="宋体" w:hAnsi="宋体" w:cs="宋体"/>
          <w:b/>
          <w:color w:val="000000" w:themeColor="text1"/>
          <w:sz w:val="32"/>
          <w:szCs w:val="32"/>
          <w:highlight w:val="none"/>
          <w:lang w:eastAsia="zh-CN"/>
          <w14:textFill>
            <w14:solidFill>
              <w14:schemeClr w14:val="tx1"/>
            </w14:solidFill>
          </w14:textFill>
        </w:rPr>
        <w:t>ZLSGS</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lang w:eastAsia="zh-CN"/>
          <w14:textFill>
            <w14:solidFill>
              <w14:schemeClr w14:val="tx1"/>
            </w14:solidFill>
          </w14:textFill>
        </w:rPr>
        <w:t>2025-0117</w:t>
      </w:r>
      <w:r>
        <w:rPr>
          <w:rFonts w:hint="eastAsia" w:ascii="宋体" w:hAnsi="宋体" w:cs="宋体"/>
          <w:b/>
          <w:color w:val="000000" w:themeColor="text1"/>
          <w:sz w:val="32"/>
          <w:szCs w:val="32"/>
          <w:highlight w:val="none"/>
          <w14:textFill>
            <w14:solidFill>
              <w14:schemeClr w14:val="tx1"/>
            </w14:solidFill>
          </w14:textFill>
        </w:rPr>
        <w:t xml:space="preserve"> </w:t>
      </w:r>
    </w:p>
    <w:p>
      <w:pPr>
        <w:pStyle w:val="46"/>
        <w:ind w:firstLine="480"/>
        <w:rPr>
          <w:rFonts w:hint="eastAsia"/>
          <w:color w:val="000000" w:themeColor="text1"/>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投标人名称（盖电子公章）：</w:t>
      </w:r>
      <w:r>
        <w:rPr>
          <w:rFonts w:hint="eastAsia" w:ascii="宋体" w:hAnsi="宋体" w:cs="宋体"/>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法定代表人或授权代表(签字或盖章)： </w:t>
      </w:r>
      <w:r>
        <w:rPr>
          <w:rFonts w:hint="eastAsia" w:ascii="宋体" w:hAnsi="宋体" w:cs="宋体"/>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时间：    年   月   日</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r>
        <w:rPr>
          <w:rFonts w:hint="eastAsia" w:ascii="宋体" w:hAnsi="宋体" w:cs="宋体"/>
          <w:b/>
          <w:bCs/>
          <w:color w:val="000000" w:themeColor="text1"/>
          <w:sz w:val="44"/>
          <w:szCs w:val="44"/>
          <w:highlight w:val="none"/>
          <w14:textFill>
            <w14:solidFill>
              <w14:schemeClr w14:val="tx1"/>
            </w14:solidFill>
          </w14:textFill>
        </w:rPr>
        <w:t>目  录</w:t>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（标项1/标项2）</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000000" w:themeColor="text1"/>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eastAsia="宋体" w:cs="宋体"/>
          <w:b/>
          <w:bCs/>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1.投标声明书（格式附后）</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eastAsia="宋体" w:cs="宋体"/>
          <w:b/>
          <w:bCs/>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2.资格承诺函（格式附后）</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eastAsia="宋体" w:cs="宋体"/>
          <w:b/>
          <w:bCs/>
          <w:color w:val="000000" w:themeColor="text1"/>
          <w:sz w:val="30"/>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3.具有独立承担民事责任能力的说明材料：</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投标人须在投标文件中出具符合以下情况的说明材料复印件（五选一）：</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①如投标人是企业（包括合伙企业），提供在工商部门注册的有效“企业法人营业执照”或“营业执照”；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②如投标人是事业单位，提供有效的“事业单位法人证书”；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③如投标人是非企业专业服务机构的，提供执业许可证等说明文件；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④如投标人是个体工商户，提供有效的“个体工商户营业执照”；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⑤如投标人是自然人，提供有效的自然人身份说明（居民身份证正反面或公安机关出具的临时居民身份证正反面或港澳台胞证或护照）。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4.</w:t>
      </w:r>
      <w:r>
        <w:rPr>
          <w:rFonts w:hint="eastAsia" w:ascii="宋体" w:hAnsi="宋体" w:eastAsia="宋体" w:cs="宋体"/>
          <w:b/>
          <w:bCs/>
          <w:color w:val="000000" w:themeColor="text1"/>
          <w:szCs w:val="24"/>
          <w:highlight w:val="none"/>
          <w14:textFill>
            <w14:solidFill>
              <w14:schemeClr w14:val="tx1"/>
            </w14:solidFill>
          </w14:textFill>
        </w:rPr>
        <w:t>本项目的特定资格要求：</w:t>
      </w:r>
      <w:r>
        <w:rPr>
          <w:rFonts w:hint="eastAsia" w:ascii="宋体" w:hAnsi="宋体" w:eastAsia="宋体" w:cs="宋体"/>
          <w:b/>
          <w:bCs/>
          <w:color w:val="000000" w:themeColor="text1"/>
          <w:szCs w:val="24"/>
          <w:highlight w:val="none"/>
          <w:lang w:val="en-US" w:eastAsia="zh-CN"/>
          <w14:textFill>
            <w14:solidFill>
              <w14:schemeClr w14:val="tx1"/>
            </w14:solidFill>
          </w14:textFill>
        </w:rPr>
        <w:t>标项2投标人具有危险化学品经营许可证</w:t>
      </w:r>
      <w:r>
        <w:rPr>
          <w:rFonts w:hint="eastAsia" w:ascii="宋体" w:hAnsi="宋体" w:eastAsia="宋体" w:cs="宋体"/>
          <w:b/>
          <w:bCs/>
          <w:color w:val="000000" w:themeColor="text1"/>
          <w:szCs w:val="24"/>
          <w:highlight w:val="none"/>
          <w14:textFill>
            <w14:solidFill>
              <w14:schemeClr w14:val="tx1"/>
            </w14:solidFill>
          </w14:textFill>
        </w:rPr>
        <w:t xml:space="preserve">（经营范围含次氯酸钠）。  </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cs="宋体"/>
          <w:b/>
          <w:bCs/>
          <w:color w:val="000000" w:themeColor="text1"/>
          <w:szCs w:val="24"/>
          <w:highlight w:val="none"/>
          <w:lang w:val="en-US" w:eastAsia="zh-CN"/>
          <w14:textFill>
            <w14:solidFill>
              <w14:schemeClr w14:val="tx1"/>
            </w14:solidFill>
          </w14:textFill>
        </w:rPr>
        <w:t>5</w:t>
      </w:r>
      <w:r>
        <w:rPr>
          <w:rFonts w:hint="eastAsia" w:ascii="宋体" w:hAnsi="宋体" w:eastAsia="宋体" w:cs="宋体"/>
          <w:b/>
          <w:bCs/>
          <w:color w:val="000000" w:themeColor="text1"/>
          <w:szCs w:val="24"/>
          <w:highlight w:val="none"/>
          <w:lang w:val="en-US" w:eastAsia="zh-CN"/>
          <w14:textFill>
            <w14:solidFill>
              <w14:schemeClr w14:val="tx1"/>
            </w14:solidFill>
          </w14:textFill>
        </w:rPr>
        <w:t>.</w:t>
      </w:r>
      <w:r>
        <w:rPr>
          <w:rFonts w:hint="eastAsia" w:ascii="宋体" w:hAnsi="宋体" w:eastAsia="宋体" w:cs="宋体"/>
          <w:b/>
          <w:bCs/>
          <w:color w:val="000000" w:themeColor="text1"/>
          <w:szCs w:val="24"/>
          <w:highlight w:val="none"/>
          <w14:textFill>
            <w14:solidFill>
              <w14:schemeClr w14:val="tx1"/>
            </w14:solidFill>
          </w14:textFill>
        </w:rPr>
        <w:t>投标保证金凭证。</w:t>
      </w:r>
    </w:p>
    <w:p>
      <w:pPr>
        <w:snapToGrid w:val="0"/>
        <w:spacing w:line="280" w:lineRule="exact"/>
        <w:ind w:firstLine="472" w:firstLineChars="196"/>
        <w:jc w:val="left"/>
        <w:rPr>
          <w:rFonts w:hint="eastAsia" w:ascii="宋体" w:hAnsi="宋体" w:cs="宋体"/>
          <w:b/>
          <w:bCs/>
          <w:color w:val="000000" w:themeColor="text1"/>
          <w:sz w:val="24"/>
          <w:highlight w:val="none"/>
          <w14:textFill>
            <w14:solidFill>
              <w14:schemeClr w14:val="tx1"/>
            </w14:solidFill>
          </w14:textFill>
        </w:rPr>
      </w:pPr>
    </w:p>
    <w:p>
      <w:pPr>
        <w:snapToGrid w:val="0"/>
        <w:spacing w:line="280" w:lineRule="exact"/>
        <w:ind w:firstLine="472" w:firstLineChars="196"/>
        <w:jc w:val="left"/>
        <w:rPr>
          <w:rFonts w:hint="eastAsia" w:ascii="宋体" w:hAnsi="宋体" w:cs="宋体"/>
          <w:b/>
          <w:bCs/>
          <w:color w:val="000000" w:themeColor="text1"/>
          <w:sz w:val="24"/>
          <w:highlight w:val="none"/>
          <w14:textFill>
            <w14:solidFill>
              <w14:schemeClr w14:val="tx1"/>
            </w14:solidFill>
          </w14:textFill>
        </w:rPr>
      </w:pPr>
    </w:p>
    <w:p>
      <w:pPr>
        <w:snapToGrid w:val="0"/>
        <w:spacing w:line="280" w:lineRule="exact"/>
        <w:ind w:firstLine="472" w:firstLineChars="196"/>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w:t>
      </w:r>
    </w:p>
    <w:p>
      <w:pPr>
        <w:snapToGrid w:val="0"/>
        <w:spacing w:line="280" w:lineRule="exact"/>
        <w:ind w:firstLine="472" w:firstLineChars="196"/>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pPr>
        <w:pStyle w:val="20"/>
        <w:spacing w:line="400" w:lineRule="exact"/>
        <w:rPr>
          <w:rFonts w:hint="eastAsia"/>
          <w:color w:val="000000" w:themeColor="text1"/>
          <w:highlight w:val="none"/>
          <w14:textFill>
            <w14:solidFill>
              <w14:schemeClr w14:val="tx1"/>
            </w14:solidFill>
          </w14:textFill>
        </w:rPr>
      </w:pPr>
    </w:p>
    <w:p>
      <w:pPr>
        <w:snapToGrid w:val="0"/>
        <w:spacing w:before="50" w:after="120" w:afterLines="50" w:line="400" w:lineRule="exact"/>
        <w:jc w:val="center"/>
        <w:rPr>
          <w:rFonts w:hint="eastAsia" w:hAnsi="宋体" w:cs="宋体"/>
          <w:b/>
          <w:color w:val="000000" w:themeColor="text1"/>
          <w:sz w:val="32"/>
          <w:szCs w:val="32"/>
          <w:highlight w:val="none"/>
          <w:u w:val="single"/>
          <w14:textFill>
            <w14:solidFill>
              <w14:schemeClr w14:val="tx1"/>
            </w14:solidFill>
          </w14:textFill>
        </w:rPr>
      </w:pPr>
    </w:p>
    <w:p>
      <w:pPr>
        <w:snapToGrid w:val="0"/>
        <w:spacing w:before="50" w:after="120" w:afterLines="50" w:line="400" w:lineRule="exact"/>
        <w:jc w:val="center"/>
        <w:rPr>
          <w:rFonts w:hint="eastAsia" w:hAnsi="宋体" w:cs="宋体"/>
          <w:b/>
          <w:color w:val="000000" w:themeColor="text1"/>
          <w:sz w:val="32"/>
          <w:szCs w:val="32"/>
          <w:highlight w:val="none"/>
          <w:u w:val="single"/>
          <w14:textFill>
            <w14:solidFill>
              <w14:schemeClr w14:val="tx1"/>
            </w14:solidFill>
          </w14:textFill>
        </w:rPr>
      </w:pPr>
      <w:r>
        <w:rPr>
          <w:rFonts w:hint="eastAsia" w:hAnsi="宋体" w:cs="宋体"/>
          <w:b/>
          <w:color w:val="000000" w:themeColor="text1"/>
          <w:sz w:val="32"/>
          <w:szCs w:val="32"/>
          <w:highlight w:val="none"/>
          <w:u w:val="single"/>
          <w14:textFill>
            <w14:solidFill>
              <w14:schemeClr w14:val="tx1"/>
            </w14:solidFill>
          </w14:textFill>
        </w:rPr>
        <w:t>附后无格式部</w:t>
      </w:r>
      <w:r>
        <w:rPr>
          <w:rFonts w:hint="eastAsia" w:hAnsi="宋体" w:cs="宋体"/>
          <w:b/>
          <w:color w:val="000000" w:themeColor="text1"/>
          <w:sz w:val="32"/>
          <w:szCs w:val="32"/>
          <w:highlight w:val="none"/>
          <w:u w:val="single"/>
          <w:lang w:eastAsia="zh-CN"/>
          <w14:textFill>
            <w14:solidFill>
              <w14:schemeClr w14:val="tx1"/>
            </w14:solidFill>
          </w14:textFill>
        </w:rPr>
        <w:t>分由</w:t>
      </w:r>
      <w:r>
        <w:rPr>
          <w:rFonts w:hint="eastAsia" w:hAnsi="宋体" w:cs="宋体"/>
          <w:b/>
          <w:color w:val="000000" w:themeColor="text1"/>
          <w:sz w:val="32"/>
          <w:szCs w:val="32"/>
          <w:highlight w:val="none"/>
          <w:u w:val="single"/>
          <w14:textFill>
            <w14:solidFill>
              <w14:schemeClr w14:val="tx1"/>
            </w14:solidFill>
          </w14:textFill>
        </w:rPr>
        <w:t>各投标人规定自行编制</w:t>
      </w:r>
    </w:p>
    <w:p>
      <w:pPr>
        <w:snapToGri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snapToGrid w:val="0"/>
        <w:spacing w:before="50" w:after="156" w:afterLines="50" w:line="360" w:lineRule="auto"/>
        <w:jc w:val="left"/>
        <w:rPr>
          <w:rFonts w:hint="eastAsia" w:ascii="宋体" w:hAnsi="宋体" w:eastAsia="宋体" w:cs="宋体"/>
          <w:b/>
          <w:bCs/>
          <w:color w:val="000000" w:themeColor="text1"/>
          <w:sz w:val="30"/>
          <w:szCs w:val="24"/>
          <w:highlight w:val="none"/>
          <w14:textFill>
            <w14:solidFill>
              <w14:schemeClr w14:val="tx1"/>
            </w14:solidFill>
          </w14:textFill>
        </w:rPr>
      </w:pPr>
      <w:bookmarkStart w:id="159" w:name="_Toc9303"/>
      <w:bookmarkStart w:id="160" w:name="_Toc8920"/>
      <w:bookmarkStart w:id="161" w:name="_Toc16631"/>
      <w:bookmarkStart w:id="162" w:name="_Toc3961"/>
      <w:r>
        <w:rPr>
          <w:rFonts w:hint="eastAsia" w:ascii="宋体" w:hAnsi="宋体" w:eastAsia="宋体" w:cs="宋体"/>
          <w:b/>
          <w:color w:val="000000" w:themeColor="text1"/>
          <w:sz w:val="24"/>
          <w:szCs w:val="24"/>
          <w:highlight w:val="none"/>
          <w14:textFill>
            <w14:solidFill>
              <w14:schemeClr w14:val="tx1"/>
            </w14:solidFill>
          </w14:textFill>
        </w:rPr>
        <w:t>投标声明书格式</w:t>
      </w:r>
      <w:r>
        <w:rPr>
          <w:rFonts w:hint="eastAsia" w:ascii="宋体" w:hAnsi="宋体" w:eastAsia="宋体" w:cs="宋体"/>
          <w:color w:val="000000" w:themeColor="text1"/>
          <w:sz w:val="24"/>
          <w:szCs w:val="24"/>
          <w:highlight w:val="none"/>
          <w14:textFill>
            <w14:solidFill>
              <w14:schemeClr w14:val="tx1"/>
            </w14:solidFill>
          </w14:textFill>
        </w:rPr>
        <w:t>：</w:t>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0"/>
          <w:szCs w:val="24"/>
          <w:highlight w:val="none"/>
          <w14:textFill>
            <w14:solidFill>
              <w14:schemeClr w14:val="tx1"/>
            </w14:solidFill>
          </w14:textFill>
        </w:rPr>
        <w:t>投标声明书</w:t>
      </w:r>
      <w:r>
        <w:rPr>
          <w:rFonts w:hint="eastAsia" w:ascii="宋体" w:hAnsi="宋体" w:eastAsia="宋体" w:cs="宋体"/>
          <w:b/>
          <w:bCs/>
          <w:color w:val="000000" w:themeColor="text1"/>
          <w:sz w:val="32"/>
          <w:szCs w:val="32"/>
          <w:highlight w:val="none"/>
          <w14:textFill>
            <w14:solidFill>
              <w14:schemeClr w14:val="tx1"/>
            </w14:solidFill>
          </w14:textFill>
        </w:rPr>
        <w:t>（标项1/标项2）</w:t>
      </w:r>
    </w:p>
    <w:p>
      <w:pPr>
        <w:snapToGrid w:val="0"/>
        <w:spacing w:before="156" w:beforeLines="50" w:after="50" w:line="24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p>
    <w:p>
      <w:pPr>
        <w:snapToGrid w:val="0"/>
        <w:spacing w:before="156" w:beforeLines="50" w:after="50"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w:t>
      </w:r>
    </w:p>
    <w:p>
      <w:pPr>
        <w:snapToGrid w:val="0"/>
        <w:spacing w:before="156" w:beforeLines="50" w:after="50" w:line="24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（投标人名称）系中华人民共和国合法企业，经营地址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spacing w:before="156" w:beforeLines="50" w:after="50" w:line="24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（投标人名称）的法定代表人，我方愿意参加贵方组织的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项目的投标，为便于贵方公正、择优地确定中标人及其投标产品和服务，我方就本次投标有关事项郑重声明如下：</w:t>
      </w:r>
    </w:p>
    <w:p>
      <w:pPr>
        <w:snapToGrid w:val="0"/>
        <w:spacing w:line="24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1.我方向贵方提交的所有投标文件、资料都是准确的和真实的。我方在近三年内的经营活动中没有重大违法记录，且财务状况良好，并已依法按时缴纳税收和社会保障资金，具备履行本项目合同所</w:t>
      </w:r>
      <w:r>
        <w:rPr>
          <w:rFonts w:hint="eastAsia" w:ascii="宋体" w:hAnsi="宋体" w:cs="宋体"/>
          <w:color w:val="000000" w:themeColor="text1"/>
          <w:sz w:val="24"/>
          <w:szCs w:val="24"/>
          <w:highlight w:val="none"/>
          <w:lang w:eastAsia="zh-CN"/>
          <w14:textFill>
            <w14:solidFill>
              <w14:schemeClr w14:val="tx1"/>
            </w14:solidFill>
          </w14:textFill>
        </w:rPr>
        <w:t>必需的</w:t>
      </w:r>
      <w:r>
        <w:rPr>
          <w:rFonts w:hint="eastAsia" w:ascii="宋体" w:hAnsi="宋体" w:eastAsia="宋体" w:cs="宋体"/>
          <w:color w:val="000000" w:themeColor="text1"/>
          <w:sz w:val="24"/>
          <w:szCs w:val="24"/>
          <w:highlight w:val="none"/>
          <w14:textFill>
            <w14:solidFill>
              <w14:schemeClr w14:val="tx1"/>
            </w14:solidFill>
          </w14:textFill>
        </w:rPr>
        <w:t>设备和专业技术能力。</w:t>
      </w:r>
    </w:p>
    <w:p>
      <w:pPr>
        <w:snapToGrid w:val="0"/>
        <w:spacing w:before="156" w:beforeLines="50" w:line="24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156" w:beforeLines="50" w:line="24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.我方诚意提请贵方关注：近期有关该型号产品的生产、供货、售后服务以及性能等方面的重大决策和事项有：</w:t>
      </w:r>
      <w:r>
        <w:rPr>
          <w:rFonts w:hint="eastAsia" w:ascii="宋体" w:hAnsi="宋体" w:eastAsia="宋体" w:cs="宋体"/>
          <w:color w:val="000000" w:themeColor="text1"/>
          <w:sz w:val="24"/>
          <w:szCs w:val="24"/>
          <w:highlight w:val="none"/>
          <w:u w:val="single"/>
          <w14:textFill>
            <w14:solidFill>
              <w14:schemeClr w14:val="tx1"/>
            </w14:solidFill>
          </w14:textFill>
        </w:rPr>
        <w:t>　　　　　　　　　　　　　　　　　　　　　　　　　　　</w:t>
      </w:r>
    </w:p>
    <w:p>
      <w:pPr>
        <w:snapToGrid w:val="0"/>
        <w:spacing w:line="240" w:lineRule="auto"/>
        <w:ind w:firstLine="464"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4"/>
          <w:sz w:val="24"/>
          <w:szCs w:val="20"/>
          <w:highlight w:val="none"/>
          <w14:textFill>
            <w14:solidFill>
              <w14:schemeClr w14:val="tx1"/>
            </w14:solidFill>
          </w14:textFill>
        </w:rPr>
        <w:t>.我方及由本人担任法定代表人的其他机构最近三年内被通报或者被处罚的违法行为有：</w:t>
      </w:r>
      <w:r>
        <w:rPr>
          <w:rFonts w:hint="eastAsia" w:ascii="宋体" w:hAnsi="宋体" w:eastAsia="宋体" w:cs="宋体"/>
          <w:color w:val="000000" w:themeColor="text1"/>
          <w:sz w:val="24"/>
          <w:szCs w:val="24"/>
          <w:highlight w:val="none"/>
          <w:u w:val="single"/>
          <w14:textFill>
            <w14:solidFill>
              <w14:schemeClr w14:val="tx1"/>
            </w14:solidFill>
          </w14:textFill>
        </w:rPr>
        <w:t>　　　　　　　　　　　　　　　　　　　　　　　　　　　</w:t>
      </w:r>
    </w:p>
    <w:p>
      <w:pPr>
        <w:spacing w:line="240" w:lineRule="auto"/>
        <w:ind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0"/>
          <w:highlight w:val="none"/>
          <w:lang w:val="en-US" w:eastAsia="zh-CN"/>
          <w14:textFill>
            <w14:solidFill>
              <w14:schemeClr w14:val="tx1"/>
            </w14:solidFill>
          </w14:textFill>
        </w:rPr>
        <w:t>5</w:t>
      </w:r>
      <w:r>
        <w:rPr>
          <w:rFonts w:hint="eastAsia" w:ascii="宋体" w:hAnsi="宋体" w:eastAsia="宋体" w:cs="宋体"/>
          <w:color w:val="000000" w:themeColor="text1"/>
          <w:spacing w:val="-4"/>
          <w:sz w:val="24"/>
          <w:szCs w:val="20"/>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spacing w:line="240" w:lineRule="auto"/>
        <w:ind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4"/>
          <w:sz w:val="24"/>
          <w:szCs w:val="24"/>
          <w:highlight w:val="none"/>
          <w14:textFill>
            <w14:solidFill>
              <w14:schemeClr w14:val="tx1"/>
            </w14:solidFill>
          </w14:textFill>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采购人</w:t>
      </w:r>
      <w:r>
        <w:rPr>
          <w:rFonts w:hint="eastAsia" w:ascii="宋体" w:hAnsi="宋体" w:eastAsia="宋体" w:cs="宋体"/>
          <w:color w:val="000000" w:themeColor="text1"/>
          <w:spacing w:val="-4"/>
          <w:sz w:val="24"/>
          <w:szCs w:val="24"/>
          <w:highlight w:val="none"/>
          <w14:textFill>
            <w14:solidFill>
              <w14:schemeClr w14:val="tx1"/>
            </w14:solidFill>
          </w14:textFill>
        </w:rPr>
        <w:t>要求</w:t>
      </w:r>
      <w:r>
        <w:rPr>
          <w:rFonts w:hint="eastAsia" w:ascii="宋体" w:hAnsi="宋体" w:cs="宋体"/>
          <w:color w:val="000000" w:themeColor="text1"/>
          <w:spacing w:val="-4"/>
          <w:sz w:val="24"/>
          <w:szCs w:val="24"/>
          <w:highlight w:val="none"/>
          <w:lang w:eastAsia="zh-CN"/>
          <w14:textFill>
            <w14:solidFill>
              <w14:schemeClr w14:val="tx1"/>
            </w14:solidFill>
          </w14:textFill>
        </w:rPr>
        <w:t>做好</w:t>
      </w:r>
      <w:r>
        <w:rPr>
          <w:rFonts w:hint="eastAsia" w:ascii="宋体" w:hAnsi="宋体" w:eastAsia="宋体" w:cs="宋体"/>
          <w:color w:val="000000" w:themeColor="text1"/>
          <w:spacing w:val="-4"/>
          <w:sz w:val="24"/>
          <w:szCs w:val="24"/>
          <w:highlight w:val="none"/>
          <w14:textFill>
            <w14:solidFill>
              <w14:schemeClr w14:val="tx1"/>
            </w14:solidFill>
          </w14:textFill>
        </w:rPr>
        <w:t>保密工作。</w:t>
      </w:r>
    </w:p>
    <w:p>
      <w:pPr>
        <w:spacing w:line="240" w:lineRule="auto"/>
        <w:ind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4"/>
          <w:sz w:val="24"/>
          <w:szCs w:val="24"/>
          <w:highlight w:val="none"/>
          <w14:textFill>
            <w14:solidFill>
              <w14:schemeClr w14:val="tx1"/>
            </w14:solidFill>
          </w14:textFill>
        </w:rPr>
        <w:t>我们郑重声明：我公司符合采购法规定的参加活动应当具备的条件：具有健全的财务会计制度、依法缴纳税收和社会保障资金、参加本次采购活动之前的三年内，在经营活动中无重大违法活动，</w:t>
      </w:r>
      <w:r>
        <w:rPr>
          <w:rFonts w:hint="eastAsia" w:ascii="宋体" w:hAnsi="宋体" w:eastAsia="宋体" w:cs="宋体"/>
          <w:color w:val="000000" w:themeColor="text1"/>
          <w:spacing w:val="-4"/>
          <w:sz w:val="24"/>
          <w:szCs w:val="20"/>
          <w:highlight w:val="none"/>
          <w14:textFill>
            <w14:solidFill>
              <w14:schemeClr w14:val="tx1"/>
            </w14:solidFill>
          </w14:textFill>
        </w:rPr>
        <w:t>并在人员、设备、技术、资金、售后服务等方面具有相应的服务能力</w:t>
      </w:r>
      <w:r>
        <w:rPr>
          <w:rFonts w:hint="eastAsia" w:ascii="宋体" w:hAnsi="宋体" w:eastAsia="宋体" w:cs="宋体"/>
          <w:color w:val="000000" w:themeColor="text1"/>
          <w:spacing w:val="-4"/>
          <w:sz w:val="24"/>
          <w:szCs w:val="24"/>
          <w:highlight w:val="none"/>
          <w14:textFill>
            <w14:solidFill>
              <w14:schemeClr w14:val="tx1"/>
            </w14:solidFill>
          </w14:textFill>
        </w:rPr>
        <w:t>。我公司</w:t>
      </w:r>
      <w:r>
        <w:rPr>
          <w:rFonts w:hint="eastAsia" w:ascii="宋体" w:hAnsi="宋体" w:eastAsia="宋体" w:cs="宋体"/>
          <w:color w:val="000000" w:themeColor="text1"/>
          <w:spacing w:val="-4"/>
          <w:sz w:val="24"/>
          <w:szCs w:val="20"/>
          <w:highlight w:val="none"/>
          <w14:textFill>
            <w14:solidFill>
              <w14:schemeClr w14:val="tx1"/>
            </w14:solidFill>
          </w14:textFill>
        </w:rPr>
        <w:t>未被列入失信被执行人名单、</w:t>
      </w:r>
      <w:r>
        <w:rPr>
          <w:rFonts w:hint="eastAsia" w:ascii="宋体" w:hAnsi="宋体" w:eastAsia="宋体" w:cs="宋体"/>
          <w:color w:val="000000" w:themeColor="text1"/>
          <w:spacing w:val="-4"/>
          <w:sz w:val="24"/>
          <w:szCs w:val="20"/>
          <w:highlight w:val="none"/>
          <w:lang w:eastAsia="zh-CN"/>
          <w14:textFill>
            <w14:solidFill>
              <w14:schemeClr w14:val="tx1"/>
            </w14:solidFill>
          </w14:textFill>
        </w:rPr>
        <w:t>重大税收违法失信主体</w:t>
      </w:r>
      <w:r>
        <w:rPr>
          <w:rFonts w:hint="eastAsia" w:ascii="宋体" w:hAnsi="宋体" w:eastAsia="宋体" w:cs="宋体"/>
          <w:color w:val="000000" w:themeColor="text1"/>
          <w:spacing w:val="-4"/>
          <w:sz w:val="24"/>
          <w:szCs w:val="20"/>
          <w:highlight w:val="none"/>
          <w14:textFill>
            <w14:solidFill>
              <w14:schemeClr w14:val="tx1"/>
            </w14:solidFill>
          </w14:textFill>
        </w:rPr>
        <w:t>、政府采购严重违法失信行为记录名单。</w:t>
      </w:r>
    </w:p>
    <w:p>
      <w:pPr>
        <w:snapToGrid w:val="0"/>
        <w:spacing w:line="24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以上事项如有虚假或隐瞒，我方愿意承担一切后果，并不再寻求任何旨在减轻或免除法律责任的辩解。</w:t>
      </w: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4"/>
          <w:highlight w:val="none"/>
          <w14:textFill>
            <w14:solidFill>
              <w14:schemeClr w14:val="tx1"/>
            </w14:solidFill>
          </w14:textFill>
        </w:rPr>
      </w:pPr>
      <w:r>
        <w:rPr>
          <w:rFonts w:hint="eastAsia" w:ascii="宋体" w:hAnsi="宋体" w:eastAsia="宋体" w:cs="宋体"/>
          <w:b/>
          <w:color w:val="000000" w:themeColor="text1"/>
          <w:sz w:val="21"/>
          <w:szCs w:val="24"/>
          <w:highlight w:val="none"/>
          <w14:textFill>
            <w14:solidFill>
              <w14:schemeClr w14:val="tx1"/>
            </w14:solidFill>
          </w14:textFill>
        </w:rPr>
        <w:t>资格承诺函格式：</w:t>
      </w: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0"/>
          <w:szCs w:val="24"/>
          <w:highlight w:val="none"/>
          <w14:textFill>
            <w14:solidFill>
              <w14:schemeClr w14:val="tx1"/>
            </w14:solidFill>
          </w14:textFill>
        </w:rPr>
        <w:t>资格承诺函</w:t>
      </w:r>
      <w:r>
        <w:rPr>
          <w:rFonts w:hint="eastAsia" w:ascii="宋体" w:hAnsi="宋体" w:eastAsia="宋体" w:cs="宋体"/>
          <w:b/>
          <w:bCs/>
          <w:color w:val="000000" w:themeColor="text1"/>
          <w:sz w:val="32"/>
          <w:szCs w:val="32"/>
          <w:highlight w:val="none"/>
          <w14:textFill>
            <w14:solidFill>
              <w14:schemeClr w14:val="tx1"/>
            </w14:solidFill>
          </w14:textFill>
        </w:rPr>
        <w:t>（标项1/标项2）</w:t>
      </w:r>
    </w:p>
    <w:p>
      <w:pPr>
        <w:pStyle w:val="46"/>
        <w:rPr>
          <w:rFonts w:hint="eastAsia"/>
          <w:color w:val="000000" w:themeColor="text1"/>
          <w:highlight w:val="none"/>
          <w14:textFill>
            <w14:solidFill>
              <w14:schemeClr w14:val="tx1"/>
            </w14:solidFill>
          </w14:textFill>
        </w:rPr>
      </w:pPr>
    </w:p>
    <w:p>
      <w:pPr>
        <w:tabs>
          <w:tab w:val="left" w:pos="0"/>
        </w:tabs>
        <w:snapToGrid w:val="0"/>
        <w:spacing w:line="360" w:lineRule="auto"/>
        <w:ind w:firstLine="240" w:firstLine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采购人）、（采购代理机构）</w:t>
      </w:r>
      <w:r>
        <w:rPr>
          <w:rFonts w:hint="eastAsia" w:ascii="宋体" w:hAnsi="宋体" w:eastAsia="宋体" w:cs="宋体"/>
          <w:color w:val="000000" w:themeColor="text1"/>
          <w:kern w:val="0"/>
          <w:sz w:val="24"/>
          <w:szCs w:val="24"/>
          <w:highlight w:val="none"/>
          <w14:textFill>
            <w14:solidFill>
              <w14:schemeClr w14:val="tx1"/>
            </w14:solidFill>
          </w14:textFill>
        </w:rPr>
        <w:t>：</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我方参与</w:t>
      </w:r>
      <w:r>
        <w:rPr>
          <w:rFonts w:hint="eastAsia" w:ascii="宋体" w:hAnsi="宋体" w:eastAsia="宋体" w:cs="宋体"/>
          <w:b/>
          <w:color w:val="000000" w:themeColor="text1"/>
          <w:kern w:val="0"/>
          <w:sz w:val="21"/>
          <w:szCs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b/>
          <w:color w:val="000000" w:themeColor="text1"/>
          <w:kern w:val="0"/>
          <w:sz w:val="24"/>
          <w:szCs w:val="24"/>
          <w:highlight w:val="none"/>
          <w:u w:val="single"/>
          <w14:textFill>
            <w14:solidFill>
              <w14:schemeClr w14:val="tx1"/>
            </w14:solidFill>
          </w14:textFill>
        </w:rPr>
        <w:t>（项目编号：    ）</w:t>
      </w:r>
      <w:r>
        <w:rPr>
          <w:rFonts w:hint="eastAsia" w:ascii="宋体" w:hAnsi="宋体" w:cs="宋体"/>
          <w:color w:val="000000" w:themeColor="text1"/>
          <w:kern w:val="0"/>
          <w:sz w:val="24"/>
          <w:szCs w:val="24"/>
          <w:highlight w:val="none"/>
          <w:lang w:eastAsia="zh-CN"/>
          <w14:textFill>
            <w14:solidFill>
              <w14:schemeClr w14:val="tx1"/>
            </w14:solidFill>
          </w14:textFill>
        </w:rPr>
        <w:t>采购</w:t>
      </w:r>
      <w:r>
        <w:rPr>
          <w:rFonts w:hint="eastAsia" w:ascii="宋体" w:hAnsi="宋体" w:eastAsia="宋体" w:cs="宋体"/>
          <w:color w:val="000000" w:themeColor="text1"/>
          <w:kern w:val="0"/>
          <w:sz w:val="24"/>
          <w:szCs w:val="24"/>
          <w:highlight w:val="none"/>
          <w14:textFill>
            <w14:solidFill>
              <w14:schemeClr w14:val="tx1"/>
            </w14:solidFill>
          </w14:textFill>
        </w:rPr>
        <w:t>活动，郑重承诺：</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（一）具备《中华人民共和国政府采购法》第二十二条第一款规定的条件：</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具有独立承担民事责任的能力；</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xml:space="preserve">具有良好的商业信誉和健全的财务会计制度； </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具有履行合同所必需的设备和专业技术能力；</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有依法缴纳税收和社会保障资金的良好记录；</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参加政府采购活动前三年内，在经营活动中没有重大违法记录；</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具有法律、行政法规规定的其他条件。</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（二）未被信用中国（www.creditchina.gov.cn)、中国政府采购网（www.ccgp.gov.cn）列入失信被执行人、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kern w:val="0"/>
          <w:sz w:val="24"/>
          <w:szCs w:val="24"/>
          <w:highlight w:val="none"/>
          <w14:textFill>
            <w14:solidFill>
              <w14:schemeClr w14:val="tx1"/>
            </w14:solidFill>
          </w14:textFill>
        </w:rPr>
        <w:t>、政府采购严重违法失信行为记录名单。</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（三）不存在以下情况：</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为采购项目提供整体设计、规范编制或者项目管理、监理、检测等服务后再参加该采购项目的其他采购活动的。</w:t>
      </w:r>
    </w:p>
    <w:p>
      <w:pPr>
        <w:spacing w:line="360" w:lineRule="auto"/>
        <w:ind w:firstLine="422" w:firstLineChars="200"/>
        <w:rPr>
          <w:rFonts w:hint="eastAsia" w:ascii="宋体" w:hAnsi="宋体" w:eastAsia="宋体" w:cs="宋体"/>
          <w:b/>
          <w:color w:val="000000" w:themeColor="text1"/>
          <w:kern w:val="0"/>
          <w:sz w:val="21"/>
          <w:szCs w:val="24"/>
          <w:highlight w:val="none"/>
          <w14:textFill>
            <w14:solidFill>
              <w14:schemeClr w14:val="tx1"/>
            </w14:solidFill>
          </w14:textFill>
        </w:rPr>
      </w:pPr>
      <w:r>
        <w:rPr>
          <w:rFonts w:hint="eastAsia" w:ascii="宋体" w:hAnsi="宋体" w:eastAsia="宋体" w:cs="宋体"/>
          <w:b/>
          <w:color w:val="000000" w:themeColor="text1"/>
          <w:kern w:val="0"/>
          <w:sz w:val="21"/>
          <w:szCs w:val="24"/>
          <w:highlight w:val="none"/>
          <w14:textFill>
            <w14:solidFill>
              <w14:schemeClr w14:val="tx1"/>
            </w14:solidFill>
          </w14:textFill>
        </w:rPr>
        <w:t>以上承诺如有虚假或隐瞒，采购人可取消我方任何资格（投标/中标/签订合同），我方对此无任何异议，并愿意承担一切后果和责任。</w:t>
      </w:r>
    </w:p>
    <w:p>
      <w:pPr>
        <w:spacing w:line="360" w:lineRule="auto"/>
        <w:ind w:firstLine="420" w:firstLineChars="200"/>
        <w:rPr>
          <w:rFonts w:hint="eastAsia" w:ascii="宋体" w:hAnsi="宋体" w:eastAsia="宋体" w:cs="宋体"/>
          <w:color w:val="000000" w:themeColor="text1"/>
          <w:kern w:val="0"/>
          <w:sz w:val="21"/>
          <w:szCs w:val="24"/>
          <w:highlight w:val="none"/>
          <w14:textFill>
            <w14:solidFill>
              <w14:schemeClr w14:val="tx1"/>
            </w14:solidFill>
          </w14:textFill>
        </w:rPr>
      </w:pPr>
      <w:r>
        <w:rPr>
          <w:rFonts w:hint="eastAsia" w:ascii="宋体" w:hAnsi="宋体" w:eastAsia="宋体" w:cs="宋体"/>
          <w:color w:val="000000" w:themeColor="text1"/>
          <w:kern w:val="0"/>
          <w:sz w:val="21"/>
          <w:szCs w:val="24"/>
          <w:highlight w:val="none"/>
          <w14:textFill>
            <w14:solidFill>
              <w14:schemeClr w14:val="tx1"/>
            </w14:solidFill>
          </w14:textFill>
        </w:rPr>
        <w:t>特此承诺！</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spacing w:line="360" w:lineRule="auto"/>
        <w:rPr>
          <w:rFonts w:hint="eastAsia" w:ascii="宋体" w:hAnsi="宋体" w:eastAsia="宋体" w:cs="宋体"/>
          <w:b/>
          <w:color w:val="000000" w:themeColor="text1"/>
          <w:kern w:val="0"/>
          <w:sz w:val="21"/>
          <w:szCs w:val="24"/>
          <w:highlight w:val="none"/>
          <w14:textFill>
            <w14:solidFill>
              <w14:schemeClr w14:val="tx1"/>
            </w14:solidFill>
          </w14:textFill>
        </w:rPr>
      </w:pPr>
    </w:p>
    <w:p>
      <w:pPr>
        <w:spacing w:line="360" w:lineRule="auto"/>
        <w:rPr>
          <w:rFonts w:hint="eastAsia" w:ascii="宋体" w:hAnsi="宋体" w:eastAsia="宋体" w:cs="宋体"/>
          <w:b/>
          <w:color w:val="000000" w:themeColor="text1"/>
          <w:kern w:val="0"/>
          <w:sz w:val="21"/>
          <w:szCs w:val="24"/>
          <w:highlight w:val="none"/>
          <w14:textFill>
            <w14:solidFill>
              <w14:schemeClr w14:val="tx1"/>
            </w14:solidFill>
          </w14:textFill>
        </w:rPr>
      </w:pPr>
      <w:r>
        <w:rPr>
          <w:rFonts w:hint="eastAsia" w:ascii="宋体" w:hAnsi="宋体" w:eastAsia="宋体" w:cs="宋体"/>
          <w:b/>
          <w:color w:val="000000" w:themeColor="text1"/>
          <w:kern w:val="0"/>
          <w:sz w:val="21"/>
          <w:szCs w:val="24"/>
          <w:highlight w:val="none"/>
          <w14:textFill>
            <w14:solidFill>
              <w14:schemeClr w14:val="tx1"/>
            </w14:solidFill>
          </w14:textFill>
        </w:rPr>
        <w:t>编制说明：</w:t>
      </w:r>
      <w:r>
        <w:rPr>
          <w:rFonts w:hint="eastAsia" w:ascii="宋体" w:hAnsi="宋体" w:eastAsia="宋体" w:cs="宋体"/>
          <w:b/>
          <w:color w:val="000000" w:themeColor="text1"/>
          <w:kern w:val="0"/>
          <w:sz w:val="21"/>
          <w:szCs w:val="24"/>
          <w:highlight w:val="none"/>
          <w:u w:val="single"/>
          <w14:textFill>
            <w14:solidFill>
              <w14:schemeClr w14:val="tx1"/>
            </w14:solidFill>
          </w14:textFill>
        </w:rPr>
        <w:t>接受联合体投标的项目，投标供应商为联合体的，联合体各方均须提供本承诺函，否则投标无效。</w:t>
      </w:r>
    </w:p>
    <w:p>
      <w:pPr>
        <w:adjustRightInd w:val="0"/>
        <w:snapToGrid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autoSpaceDE w:val="0"/>
        <w:autoSpaceDN w:val="0"/>
        <w:adjustRightInd w:val="0"/>
        <w:rPr>
          <w:rFonts w:hint="eastAsia" w:ascii="宋体" w:hAnsi="宋体" w:cs="宋体"/>
          <w:bCs/>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二、商务技术投标文件封面格式</w:t>
      </w:r>
    </w:p>
    <w:p>
      <w:pPr>
        <w:autoSpaceDE w:val="0"/>
        <w:autoSpaceDN w:val="0"/>
        <w:adjustRightInd w:val="0"/>
        <w:rPr>
          <w:rFonts w:hint="eastAsia" w:ascii="宋体" w:hAnsi="宋体" w:cs="宋体"/>
          <w:b/>
          <w:bCs/>
          <w:color w:val="000000" w:themeColor="text1"/>
          <w:highlight w:val="none"/>
          <w14:textFill>
            <w14:solidFill>
              <w14:schemeClr w14:val="tx1"/>
            </w14:solidFill>
          </w14:textFill>
        </w:rPr>
      </w:pPr>
    </w:p>
    <w:p>
      <w:pPr>
        <w:autoSpaceDE w:val="0"/>
        <w:autoSpaceDN w:val="0"/>
        <w:adjustRightInd w:val="0"/>
        <w:spacing w:line="360" w:lineRule="auto"/>
        <w:jc w:val="righ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lang w:eastAsia="zh-CN"/>
          <w14:textFill>
            <w14:solidFill>
              <w14:schemeClr w14:val="tx1"/>
            </w14:solidFill>
          </w14:textFill>
        </w:rPr>
        <w:t>浦江县城乡自来水有限公司涉水级液态聚合氯化铝及涉水级次氯酸钠溶液采购项目</w:t>
      </w: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rPr>
          <w:rFonts w:hint="eastAsia" w:ascii="宋体" w:hAnsi="宋体" w:cs="宋体"/>
          <w:color w:val="000000" w:themeColor="text1"/>
          <w:spacing w:val="40"/>
          <w:w w:val="90"/>
          <w:sz w:val="96"/>
          <w:szCs w:val="96"/>
          <w:highlight w:val="none"/>
          <w:lang w:bidi="th-TH"/>
          <w14:textFill>
            <w14:solidFill>
              <w14:schemeClr w14:val="tx1"/>
            </w14:solidFill>
          </w14:textFill>
        </w:rPr>
      </w:pPr>
      <w:r>
        <w:rPr>
          <w:rFonts w:hint="eastAsia" w:ascii="宋体" w:hAnsi="宋体" w:cs="宋体"/>
          <w:color w:val="000000" w:themeColor="text1"/>
          <w:spacing w:val="40"/>
          <w:w w:val="90"/>
          <w:sz w:val="96"/>
          <w:szCs w:val="96"/>
          <w:highlight w:val="none"/>
          <w:lang w:bidi="th-TH"/>
          <w14:textFill>
            <w14:solidFill>
              <w14:schemeClr w14:val="tx1"/>
            </w14:solidFill>
          </w14:textFill>
        </w:rPr>
        <w:t>投 标 文 件</w:t>
      </w:r>
    </w:p>
    <w:p>
      <w:pPr>
        <w:autoSpaceDE w:val="0"/>
        <w:autoSpaceDN w:val="0"/>
        <w:adjustRightInd w:val="0"/>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（商务技术投标文件）</w:t>
      </w:r>
    </w:p>
    <w:p>
      <w:pPr>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（标项1/标项2）</w:t>
      </w: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项目编号：PJCQGK(</w:t>
      </w:r>
      <w:r>
        <w:rPr>
          <w:rFonts w:hint="eastAsia" w:ascii="宋体" w:hAnsi="宋体" w:cs="宋体"/>
          <w:b/>
          <w:color w:val="000000" w:themeColor="text1"/>
          <w:sz w:val="32"/>
          <w:szCs w:val="32"/>
          <w:highlight w:val="none"/>
          <w:lang w:eastAsia="zh-CN"/>
          <w14:textFill>
            <w14:solidFill>
              <w14:schemeClr w14:val="tx1"/>
            </w14:solidFill>
          </w14:textFill>
        </w:rPr>
        <w:t>ZLSGS</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lang w:eastAsia="zh-CN"/>
          <w14:textFill>
            <w14:solidFill>
              <w14:schemeClr w14:val="tx1"/>
            </w14:solidFill>
          </w14:textFill>
        </w:rPr>
        <w:t>2025-0117</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投标人名称（盖电子公章）：  </w:t>
      </w:r>
      <w:r>
        <w:rPr>
          <w:rFonts w:hint="eastAsia" w:ascii="宋体" w:hAnsi="宋体" w:cs="宋体"/>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法定代表人或授权代表(签字或盖章)： </w:t>
      </w:r>
      <w:r>
        <w:rPr>
          <w:rFonts w:hint="eastAsia" w:ascii="宋体" w:hAnsi="宋体" w:cs="宋体"/>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时间：    年   月   日</w:t>
      </w:r>
    </w:p>
    <w:p>
      <w:pPr>
        <w:pStyle w:val="43"/>
        <w:ind w:left="0" w:leftChars="0" w:firstLine="0" w:firstLineChars="0"/>
        <w:jc w:val="center"/>
        <w:rPr>
          <w:rFonts w:ascii="宋体" w:hAnsi="宋体"/>
          <w:color w:val="000000" w:themeColor="text1"/>
          <w:sz w:val="24"/>
          <w:highlight w:val="none"/>
          <w14:textFill>
            <w14:solidFill>
              <w14:schemeClr w14:val="tx1"/>
            </w14:solidFill>
          </w14:textFill>
        </w:rPr>
      </w:pPr>
      <w:bookmarkStart w:id="163" w:name="_Toc19275"/>
      <w:bookmarkStart w:id="164" w:name="_Toc20748"/>
      <w:bookmarkStart w:id="165" w:name="_Toc17018"/>
      <w:r>
        <w:rPr>
          <w:rFonts w:hint="eastAsia" w:ascii="宋体" w:hAnsi="宋体"/>
          <w:color w:val="000000" w:themeColor="text1"/>
          <w:highlight w:val="none"/>
          <w14:textFill>
            <w14:solidFill>
              <w14:schemeClr w14:val="tx1"/>
            </w14:solidFill>
          </w14:textFill>
        </w:rPr>
        <w:t>采购项目评分索引表</w:t>
      </w:r>
    </w:p>
    <w:p>
      <w:pPr>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（本采购项目评分索引表放在商务技术文件目录的前页，“投标人应标情况栏目” （客观分部分）请投标人务必逐项详细进行填写（请勿不填写），投标人自评分值（客观分部分）请投标人将应得分值准确自评（请勿不填写也请勿错误填写），以方便评委进行更加优质、高效的评审)</w:t>
      </w:r>
    </w:p>
    <w:p>
      <w:pPr>
        <w:rPr>
          <w:rFonts w:hint="eastAsia" w:ascii="宋体" w:hAnsi="宋体"/>
          <w:b/>
          <w:color w:val="000000" w:themeColor="text1"/>
          <w:sz w:val="24"/>
          <w:highlight w:val="none"/>
          <w14:textFill>
            <w14:solidFill>
              <w14:schemeClr w14:val="tx1"/>
            </w14:solidFill>
          </w14:textFill>
        </w:rPr>
      </w:pPr>
    </w:p>
    <w:p>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项目名称：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投标人名称：</w:t>
      </w:r>
    </w:p>
    <w:tbl>
      <w:tblPr>
        <w:tblStyle w:val="48"/>
        <w:tblW w:w="96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70"/>
        <w:gridCol w:w="1134"/>
        <w:gridCol w:w="6"/>
        <w:gridCol w:w="2402"/>
        <w:gridCol w:w="1005"/>
        <w:gridCol w:w="1305"/>
        <w:gridCol w:w="12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77" w:type="dxa"/>
            <w:gridSpan w:val="2"/>
            <w:noWrap w:val="0"/>
            <w:vAlign w:val="center"/>
          </w:tcPr>
          <w:p>
            <w:pPr>
              <w:widowControl/>
              <w:spacing w:line="3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评标内容</w:t>
            </w:r>
          </w:p>
        </w:tc>
        <w:tc>
          <w:tcPr>
            <w:tcW w:w="3542" w:type="dxa"/>
            <w:gridSpan w:val="3"/>
            <w:noWrap w:val="0"/>
            <w:vAlign w:val="center"/>
          </w:tcPr>
          <w:p>
            <w:pPr>
              <w:widowControl/>
              <w:spacing w:line="3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评分细则</w:t>
            </w:r>
          </w:p>
        </w:tc>
        <w:tc>
          <w:tcPr>
            <w:tcW w:w="1005" w:type="dxa"/>
            <w:tcBorders>
              <w:right w:val="single" w:color="auto" w:sz="4" w:space="0"/>
            </w:tcBorders>
            <w:noWrap w:val="0"/>
            <w:vAlign w:val="center"/>
          </w:tcPr>
          <w:p>
            <w:pPr>
              <w:widowControl/>
              <w:spacing w:line="340" w:lineRule="exact"/>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分值</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投标文件</w:t>
            </w:r>
          </w:p>
          <w:p>
            <w:pPr>
              <w:widowControl/>
              <w:spacing w:line="340" w:lineRule="exact"/>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响应页码</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投标人</w:t>
            </w:r>
          </w:p>
          <w:p>
            <w:pPr>
              <w:widowControl/>
              <w:spacing w:line="3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应标情况</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ascii="宋体" w:hAnsi="宋体"/>
                <w:bCs/>
                <w:color w:val="000000" w:themeColor="text1"/>
                <w:sz w:val="24"/>
                <w:highlight w:val="none"/>
                <w14:textFill>
                  <w14:solidFill>
                    <w14:schemeClr w14:val="tx1"/>
                  </w14:solidFill>
                </w14:textFill>
              </w:rPr>
            </w:pPr>
          </w:p>
        </w:tc>
        <w:tc>
          <w:tcPr>
            <w:tcW w:w="770" w:type="dxa"/>
            <w:vMerge w:val="restart"/>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ascii="宋体" w:hAnsi="宋体"/>
                <w:color w:val="000000" w:themeColor="text1"/>
                <w:sz w:val="24"/>
                <w:highlight w:val="none"/>
                <w14:textFill>
                  <w14:solidFill>
                    <w14:schemeClr w14:val="tx1"/>
                  </w14:solidFill>
                </w14:textFill>
              </w:rPr>
            </w:pPr>
          </w:p>
        </w:tc>
        <w:tc>
          <w:tcPr>
            <w:tcW w:w="1305" w:type="dxa"/>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ascii="宋体" w:hAnsi="宋体"/>
                <w:color w:val="000000" w:themeColor="text1"/>
                <w:sz w:val="24"/>
                <w:highlight w:val="none"/>
                <w14:textFill>
                  <w14:solidFill>
                    <w14:schemeClr w14:val="tx1"/>
                  </w14:solidFill>
                </w14:textFill>
              </w:rPr>
            </w:pPr>
          </w:p>
        </w:tc>
        <w:tc>
          <w:tcPr>
            <w:tcW w:w="1305" w:type="dxa"/>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ascii="宋体" w:hAnsi="宋体"/>
                <w:color w:val="000000" w:themeColor="text1"/>
                <w:sz w:val="24"/>
                <w:highlight w:val="none"/>
                <w14:textFill>
                  <w14:solidFill>
                    <w14:schemeClr w14:val="tx1"/>
                  </w14:solidFill>
                </w14:textFill>
              </w:rPr>
            </w:pPr>
          </w:p>
        </w:tc>
        <w:tc>
          <w:tcPr>
            <w:tcW w:w="1305" w:type="dxa"/>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restart"/>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nil"/>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nil"/>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restart"/>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restart"/>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restart"/>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pStyle w:val="148"/>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nil"/>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1134" w:type="dxa"/>
            <w:vMerge w:val="restart"/>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2408" w:type="dxa"/>
            <w:gridSpan w:val="2"/>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pStyle w:val="148"/>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1134" w:type="dxa"/>
            <w:vMerge w:val="continue"/>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2408" w:type="dxa"/>
            <w:gridSpan w:val="2"/>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pStyle w:val="148"/>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1134" w:type="dxa"/>
            <w:vMerge w:val="continue"/>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2408" w:type="dxa"/>
            <w:gridSpan w:val="2"/>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pStyle w:val="148"/>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1134" w:type="dxa"/>
            <w:vMerge w:val="continue"/>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2408" w:type="dxa"/>
            <w:gridSpan w:val="2"/>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pStyle w:val="148"/>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7" w:type="dxa"/>
            <w:vMerge w:val="continue"/>
            <w:noWrap w:val="0"/>
            <w:vAlign w:val="center"/>
          </w:tcPr>
          <w:p>
            <w:pPr>
              <w:spacing w:line="340" w:lineRule="exact"/>
              <w:jc w:val="center"/>
              <w:rPr>
                <w:rFonts w:hint="eastAsia" w:ascii="宋体" w:hAnsi="宋体"/>
                <w:bCs/>
                <w:color w:val="000000" w:themeColor="text1"/>
                <w:sz w:val="24"/>
                <w:highlight w:val="none"/>
                <w14:textFill>
                  <w14:solidFill>
                    <w14:schemeClr w14:val="tx1"/>
                  </w14:solidFill>
                </w14:textFill>
              </w:rPr>
            </w:pPr>
          </w:p>
        </w:tc>
        <w:tc>
          <w:tcPr>
            <w:tcW w:w="770" w:type="dxa"/>
            <w:vMerge w:val="continue"/>
            <w:noWrap w:val="0"/>
            <w:vAlign w:val="center"/>
          </w:tcPr>
          <w:p>
            <w:pPr>
              <w:spacing w:line="340" w:lineRule="exact"/>
              <w:rPr>
                <w:rFonts w:hint="eastAsia" w:ascii="宋体" w:hAnsi="宋体"/>
                <w:color w:val="000000" w:themeColor="text1"/>
                <w:sz w:val="24"/>
                <w:highlight w:val="none"/>
                <w14:textFill>
                  <w14:solidFill>
                    <w14:schemeClr w14:val="tx1"/>
                  </w14:solidFill>
                </w14:textFill>
              </w:rPr>
            </w:pPr>
          </w:p>
        </w:tc>
        <w:tc>
          <w:tcPr>
            <w:tcW w:w="1140" w:type="dxa"/>
            <w:gridSpan w:val="2"/>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2402" w:type="dxa"/>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pStyle w:val="148"/>
              <w:spacing w:line="340" w:lineRule="exact"/>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07" w:type="dxa"/>
            <w:noWrap w:val="0"/>
            <w:vAlign w:val="center"/>
          </w:tcPr>
          <w:p>
            <w:pPr>
              <w:spacing w:line="340" w:lineRule="exact"/>
              <w:jc w:val="center"/>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p>
        </w:tc>
        <w:tc>
          <w:tcPr>
            <w:tcW w:w="770" w:type="dxa"/>
            <w:noWrap w:val="0"/>
            <w:vAlign w:val="center"/>
          </w:tcPr>
          <w:p>
            <w:pPr>
              <w:spacing w:line="340" w:lineRule="exact"/>
              <w:rPr>
                <w:rFonts w:hint="eastAsia" w:ascii="宋体" w:hAnsi="宋体" w:eastAsia="宋体"/>
                <w:color w:val="000000" w:themeColor="text1"/>
                <w:sz w:val="24"/>
                <w:highlight w:val="none"/>
                <w:lang w:eastAsia="zh-CN"/>
                <w14:textFill>
                  <w14:solidFill>
                    <w14:schemeClr w14:val="tx1"/>
                  </w14:solidFill>
                </w14:textFill>
              </w:rPr>
            </w:pPr>
          </w:p>
        </w:tc>
        <w:tc>
          <w:tcPr>
            <w:tcW w:w="3542" w:type="dxa"/>
            <w:gridSpan w:val="3"/>
            <w:noWrap w:val="0"/>
            <w:vAlign w:val="center"/>
          </w:tcPr>
          <w:p>
            <w:pPr>
              <w:pStyle w:val="148"/>
              <w:tabs>
                <w:tab w:val="left" w:pos="220"/>
              </w:tabs>
              <w:spacing w:line="340" w:lineRule="exact"/>
              <w:rPr>
                <w:rFonts w:hint="eastAsia" w:ascii="宋体" w:hAnsi="宋体"/>
                <w:color w:val="000000" w:themeColor="text1"/>
                <w:sz w:val="24"/>
                <w:highlight w:val="none"/>
                <w14:textFill>
                  <w14:solidFill>
                    <w14:schemeClr w14:val="tx1"/>
                  </w14:solidFill>
                </w14:textFill>
              </w:rPr>
            </w:pPr>
          </w:p>
        </w:tc>
        <w:tc>
          <w:tcPr>
            <w:tcW w:w="1005" w:type="dxa"/>
            <w:noWrap w:val="0"/>
            <w:vAlign w:val="center"/>
          </w:tcPr>
          <w:p>
            <w:pPr>
              <w:spacing w:line="340" w:lineRule="exact"/>
              <w:jc w:val="center"/>
              <w:rPr>
                <w:rFonts w:hint="eastAsia" w:ascii="宋体" w:hAnsi="宋体"/>
                <w:color w:val="000000" w:themeColor="text1"/>
                <w:sz w:val="24"/>
                <w:highlight w:val="none"/>
                <w14:textFill>
                  <w14:solidFill>
                    <w14:schemeClr w14:val="tx1"/>
                  </w14:solidFill>
                </w14:textFill>
              </w:rPr>
            </w:pPr>
          </w:p>
        </w:tc>
        <w:tc>
          <w:tcPr>
            <w:tcW w:w="1305" w:type="dxa"/>
            <w:tcBorders>
              <w:top w:val="single" w:color="auto" w:sz="4" w:space="0"/>
              <w:bottom w:val="single" w:color="auto" w:sz="4" w:space="0"/>
            </w:tcBorders>
            <w:noWrap w:val="0"/>
            <w:vAlign w:val="center"/>
          </w:tcPr>
          <w:p>
            <w:pPr>
              <w:spacing w:line="340" w:lineRule="exact"/>
              <w:rPr>
                <w:rFonts w:ascii="宋体" w:hAnsi="宋体"/>
                <w:bCs/>
                <w:color w:val="000000" w:themeColor="text1"/>
                <w:sz w:val="24"/>
                <w:highlight w:val="none"/>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c>
          <w:tcPr>
            <w:tcW w:w="1290" w:type="dxa"/>
            <w:tcBorders>
              <w:top w:val="single" w:color="auto" w:sz="4" w:space="0"/>
              <w:left w:val="nil"/>
              <w:bottom w:val="single" w:color="auto" w:sz="4" w:space="0"/>
              <w:right w:val="single" w:color="auto" w:sz="4" w:space="0"/>
            </w:tcBorders>
            <w:noWrap w:val="0"/>
            <w:vAlign w:val="center"/>
          </w:tcPr>
          <w:p>
            <w:pPr>
              <w:pStyle w:val="9"/>
              <w:spacing w:line="340" w:lineRule="exact"/>
              <w:ind w:firstLine="0"/>
              <w:jc w:val="center"/>
              <w:rPr>
                <w:rFonts w:ascii="宋体" w:hAnsi="宋体"/>
                <w:bCs/>
                <w:color w:val="000000" w:themeColor="text1"/>
                <w:sz w:val="24"/>
                <w:szCs w:val="24"/>
                <w:highlight w:val="none"/>
                <w14:textFill>
                  <w14:solidFill>
                    <w14:schemeClr w14:val="tx1"/>
                  </w14:solidFill>
                </w14:textFill>
              </w:rPr>
            </w:pPr>
          </w:p>
        </w:tc>
      </w:tr>
    </w:tbl>
    <w:p>
      <w:pPr>
        <w:snapToGrid w:val="0"/>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注：在填写时，如本表格不适合投标单位的实际情况，可根据本表格式自行划表填写</w:t>
      </w:r>
      <w:r>
        <w:rPr>
          <w:rFonts w:hint="eastAsia" w:ascii="宋体" w:hAnsi="宋体" w:cs="宋体"/>
          <w:color w:val="000000" w:themeColor="text1"/>
          <w:sz w:val="24"/>
          <w:highlight w:val="none"/>
          <w:lang w:eastAsia="zh-CN"/>
          <w14:textFill>
            <w14:solidFill>
              <w14:schemeClr w14:val="tx1"/>
            </w14:solidFill>
          </w14:textFill>
        </w:rPr>
        <w:t>。</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bookmarkEnd w:id="163"/>
      <w:bookmarkEnd w:id="164"/>
      <w:bookmarkEnd w:id="165"/>
    </w:p>
    <w:p>
      <w:pPr>
        <w:jc w:val="center"/>
        <w:rPr>
          <w:rFonts w:hint="eastAsia" w:ascii="宋体" w:hAnsi="宋体" w:cs="宋体"/>
          <w:b/>
          <w:bCs/>
          <w:color w:val="000000" w:themeColor="text1"/>
          <w:sz w:val="44"/>
          <w:szCs w:val="44"/>
          <w:highlight w:val="none"/>
          <w14:textFill>
            <w14:solidFill>
              <w14:schemeClr w14:val="tx1"/>
            </w14:solidFill>
          </w14:textFill>
        </w:rPr>
      </w:pPr>
    </w:p>
    <w:p>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（标项1/标项2）</w:t>
      </w:r>
    </w:p>
    <w:p>
      <w:pPr>
        <w:autoSpaceDE w:val="0"/>
        <w:autoSpaceDN w:val="0"/>
        <w:adjustRightInd w:val="0"/>
        <w:spacing w:line="360" w:lineRule="auto"/>
        <w:jc w:val="center"/>
        <w:outlineLvl w:val="1"/>
        <w:rPr>
          <w:rFonts w:hint="eastAsia" w:ascii="宋体" w:hAnsi="宋体" w:cs="宋体"/>
          <w:b/>
          <w:bCs/>
          <w:color w:val="000000" w:themeColor="text1"/>
          <w:sz w:val="44"/>
          <w:szCs w:val="44"/>
          <w:highlight w:val="none"/>
          <w14:textFill>
            <w14:solidFill>
              <w14:schemeClr w14:val="tx1"/>
            </w14:solidFill>
          </w14:textFill>
        </w:rPr>
      </w:pPr>
    </w:p>
    <w:bookmarkEnd w:id="159"/>
    <w:bookmarkEnd w:id="160"/>
    <w:bookmarkEnd w:id="161"/>
    <w:bookmarkEnd w:id="162"/>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（1）投标人基本情况表 (格式见附件)；</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（2）法定代表人资格证明书及法定代表人授权书，同时须附法定代表人和授权委托代表的有效身份证扫描件（法定代表人直接参加投标并对相应文件签字的，只需提供前者）</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（3）廉政承诺书 (格式见附件)；</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（4）商务响应表（格式见附件）；</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（5）相关证书</w:t>
      </w:r>
      <w:r>
        <w:rPr>
          <w:rFonts w:hint="eastAsia" w:ascii="宋体" w:hAnsi="宋体" w:eastAsia="宋体" w:cs="宋体"/>
          <w:bCs/>
          <w:color w:val="000000" w:themeColor="text1"/>
          <w:sz w:val="24"/>
          <w:highlight w:val="none"/>
          <w:lang w:eastAsia="zh-CN"/>
          <w14:textFill>
            <w14:solidFill>
              <w14:schemeClr w14:val="tx1"/>
            </w14:solidFill>
          </w14:textFill>
        </w:rPr>
        <w:t>扫描件</w:t>
      </w:r>
      <w:r>
        <w:rPr>
          <w:rFonts w:hint="eastAsia" w:ascii="宋体" w:hAnsi="宋体" w:eastAsia="宋体" w:cs="宋体"/>
          <w:bCs/>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（6）相关业绩合同</w:t>
      </w:r>
      <w:r>
        <w:rPr>
          <w:rFonts w:hint="eastAsia" w:ascii="宋体" w:hAnsi="宋体" w:cs="宋体"/>
          <w:bCs/>
          <w:color w:val="000000" w:themeColor="text1"/>
          <w:sz w:val="24"/>
          <w:highlight w:val="none"/>
          <w:lang w:eastAsia="zh-CN"/>
          <w14:textFill>
            <w14:solidFill>
              <w14:schemeClr w14:val="tx1"/>
            </w14:solidFill>
          </w14:textFill>
        </w:rPr>
        <w:t>等</w:t>
      </w:r>
      <w:r>
        <w:rPr>
          <w:rFonts w:hint="eastAsia" w:ascii="宋体" w:hAnsi="宋体" w:eastAsia="宋体" w:cs="宋体"/>
          <w:bCs/>
          <w:color w:val="000000" w:themeColor="text1"/>
          <w:sz w:val="24"/>
          <w:highlight w:val="none"/>
          <w14:textFill>
            <w14:solidFill>
              <w14:schemeClr w14:val="tx1"/>
            </w14:solidFill>
          </w14:textFill>
        </w:rPr>
        <w:t>扫描件</w:t>
      </w:r>
      <w:r>
        <w:rPr>
          <w:rFonts w:hint="eastAsia" w:ascii="宋体" w:hAnsi="宋体" w:eastAsia="宋体" w:cs="宋体"/>
          <w:bCs/>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（7）原材料控制（</w:t>
      </w:r>
      <w:r>
        <w:rPr>
          <w:rFonts w:hint="eastAsia" w:ascii="宋体" w:hAnsi="宋体" w:cs="宋体"/>
          <w:bCs/>
          <w:color w:val="000000" w:themeColor="text1"/>
          <w:sz w:val="24"/>
          <w:highlight w:val="none"/>
          <w:lang w:val="en-US" w:eastAsia="zh-CN"/>
          <w14:textFill>
            <w14:solidFill>
              <w14:schemeClr w14:val="tx1"/>
            </w14:solidFill>
          </w14:textFill>
        </w:rPr>
        <w:t>标项</w:t>
      </w:r>
      <w:r>
        <w:rPr>
          <w:rFonts w:hint="eastAsia" w:ascii="宋体" w:hAnsi="宋体" w:eastAsia="宋体" w:cs="宋体"/>
          <w:bCs/>
          <w:color w:val="000000" w:themeColor="text1"/>
          <w:sz w:val="24"/>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lang w:eastAsia="zh-CN"/>
          <w14:textFill>
            <w14:solidFill>
              <w14:schemeClr w14:val="tx1"/>
            </w14:solidFill>
          </w14:textFill>
        </w:rPr>
        <w:t>产品性能、生产工艺及检测能力</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（9）产品稳定性；</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（10）供货方案；</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（11）售后服务；</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12</w:t>
      </w:r>
      <w:r>
        <w:rPr>
          <w:rFonts w:hint="eastAsia" w:ascii="宋体" w:hAnsi="宋体" w:eastAsia="宋体" w:cs="宋体"/>
          <w:bCs/>
          <w:color w:val="000000" w:themeColor="text1"/>
          <w:sz w:val="24"/>
          <w:highlight w:val="none"/>
          <w14:textFill>
            <w14:solidFill>
              <w14:schemeClr w14:val="tx1"/>
            </w14:solidFill>
          </w14:textFill>
        </w:rPr>
        <w:t>）技术响应表（格式见附件）；</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）货物详细清单（均不含报价，格式见附件）；</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）政府采购政策功能响应表（格式附后，本表适用于招标需求中拟采购产品属于政府部门发布的节能产品、环境标志产品政府采购品目清单内时需提供）；</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）其他资料（对照相应项目评分标准，由投标人自行考虑）（格式略）。</w:t>
      </w:r>
    </w:p>
    <w:p>
      <w:pPr>
        <w:pStyle w:val="20"/>
        <w:rPr>
          <w:rFonts w:hint="eastAsia" w:ascii="宋体" w:hAnsi="宋体" w:cs="宋体"/>
          <w:b/>
          <w:color w:val="000000" w:themeColor="text1"/>
          <w:szCs w:val="21"/>
          <w:highlight w:val="none"/>
          <w14:textFill>
            <w14:solidFill>
              <w14:schemeClr w14:val="tx1"/>
            </w14:solidFill>
          </w14:textFill>
        </w:rPr>
      </w:pPr>
    </w:p>
    <w:p>
      <w:pPr>
        <w:snapToGrid w:val="0"/>
        <w:spacing w:line="440" w:lineRule="exact"/>
        <w:ind w:firstLine="472" w:firstLineChars="196"/>
        <w:jc w:val="left"/>
        <w:rPr>
          <w:rFonts w:hint="eastAsia" w:hAnsi="宋体" w:cs="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 xml:space="preserve">注：投标人应确保资料的真实、有效，一经查实存在弄虚作假行为的，作否决投标处理，同时对其不良行为予以记录，并纳入统一的信用信息平台。  </w:t>
      </w:r>
    </w:p>
    <w:p>
      <w:pPr>
        <w:snapToGrid w:val="0"/>
        <w:spacing w:line="440" w:lineRule="exact"/>
        <w:ind w:firstLine="411" w:firstLineChars="196"/>
        <w:jc w:val="left"/>
        <w:rPr>
          <w:rFonts w:hint="eastAsia" w:hAnsi="宋体" w:cs="宋体"/>
          <w:color w:val="000000" w:themeColor="text1"/>
          <w:highlight w:val="none"/>
          <w14:textFill>
            <w14:solidFill>
              <w14:schemeClr w14:val="tx1"/>
            </w14:solidFill>
          </w14:textFill>
        </w:rPr>
      </w:pPr>
    </w:p>
    <w:p>
      <w:pPr>
        <w:snapToGrid w:val="0"/>
        <w:spacing w:line="440" w:lineRule="exact"/>
        <w:ind w:firstLine="411" w:firstLineChars="196"/>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snapToGrid w:val="0"/>
        <w:spacing w:line="440" w:lineRule="exact"/>
        <w:ind w:firstLine="630" w:firstLineChars="196"/>
        <w:jc w:val="left"/>
        <w:rPr>
          <w:rFonts w:hint="eastAsia" w:hAnsi="宋体" w:cs="宋体"/>
          <w:b/>
          <w:color w:val="000000" w:themeColor="text1"/>
          <w:sz w:val="32"/>
          <w:szCs w:val="32"/>
          <w:highlight w:val="none"/>
          <w:u w:val="single"/>
          <w14:textFill>
            <w14:solidFill>
              <w14:schemeClr w14:val="tx1"/>
            </w14:solidFill>
          </w14:textFill>
        </w:rPr>
      </w:pPr>
      <w:r>
        <w:rPr>
          <w:rFonts w:hint="eastAsia" w:hAnsi="宋体" w:cs="宋体"/>
          <w:b/>
          <w:color w:val="000000" w:themeColor="text1"/>
          <w:sz w:val="32"/>
          <w:szCs w:val="32"/>
          <w:highlight w:val="none"/>
          <w:u w:val="single"/>
          <w14:textFill>
            <w14:solidFill>
              <w14:schemeClr w14:val="tx1"/>
            </w14:solidFill>
          </w14:textFill>
        </w:rPr>
        <w:t>附后无格式部分由各投标人根据评标办法规定自行编制</w:t>
      </w:r>
    </w:p>
    <w:p>
      <w:pPr>
        <w:pStyle w:val="46"/>
        <w:rPr>
          <w:rFonts w:hint="eastAsia"/>
          <w:color w:val="000000" w:themeColor="text1"/>
          <w:highlight w:val="none"/>
          <w14:textFill>
            <w14:solidFill>
              <w14:schemeClr w14:val="tx1"/>
            </w14:solidFill>
          </w14:textFill>
        </w:rPr>
      </w:pPr>
    </w:p>
    <w:p>
      <w:pPr>
        <w:spacing w:line="240" w:lineRule="atLeast"/>
        <w:jc w:val="center"/>
        <w:rPr>
          <w:rFonts w:hint="eastAsia" w:ascii="宋体" w:hAnsi="宋体" w:cs="宋体"/>
          <w:b/>
          <w:color w:val="000000" w:themeColor="text1"/>
          <w:sz w:val="32"/>
          <w:szCs w:val="32"/>
          <w:highlight w:val="none"/>
          <w14:textFill>
            <w14:solidFill>
              <w14:schemeClr w14:val="tx1"/>
            </w14:solidFill>
          </w14:textFill>
        </w:rPr>
      </w:pPr>
    </w:p>
    <w:p>
      <w:pPr>
        <w:spacing w:line="240" w:lineRule="atLeas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投标人基本情况表</w:t>
      </w:r>
    </w:p>
    <w:p>
      <w:pPr>
        <w:spacing w:line="240" w:lineRule="atLeast"/>
        <w:ind w:firstLine="2233" w:firstLineChars="695"/>
        <w:rPr>
          <w:rFonts w:hint="eastAsia" w:ascii="宋体" w:hAnsi="宋体" w:cs="宋体"/>
          <w:b/>
          <w:color w:val="000000" w:themeColor="text1"/>
          <w:sz w:val="32"/>
          <w:szCs w:val="32"/>
          <w:highlight w:val="none"/>
          <w14:textFill>
            <w14:solidFill>
              <w14:schemeClr w14:val="tx1"/>
            </w14:solidFill>
          </w14:textFill>
        </w:rPr>
      </w:pPr>
    </w:p>
    <w:tbl>
      <w:tblPr>
        <w:tblStyle w:val="48"/>
        <w:tblW w:w="9295" w:type="dxa"/>
        <w:tblInd w:w="0" w:type="dxa"/>
        <w:tblLayout w:type="fixed"/>
        <w:tblCellMar>
          <w:top w:w="0" w:type="dxa"/>
          <w:left w:w="28" w:type="dxa"/>
          <w:bottom w:w="0" w:type="dxa"/>
          <w:right w:w="28" w:type="dxa"/>
        </w:tblCellMar>
      </w:tblPr>
      <w:tblGrid>
        <w:gridCol w:w="2488"/>
        <w:gridCol w:w="2616"/>
        <w:gridCol w:w="1653"/>
        <w:gridCol w:w="2538"/>
      </w:tblGrid>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1.等级:            2.证书号:       3.发证单位: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1.编号:            2.营业范围:     3.发照单位: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建立日期</w:t>
            </w:r>
          </w:p>
        </w:tc>
        <w:tc>
          <w:tcPr>
            <w:tcW w:w="261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现有职工</w:t>
            </w:r>
          </w:p>
        </w:tc>
        <w:tc>
          <w:tcPr>
            <w:tcW w:w="253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固定资产净值(万元)</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w:t>
            </w:r>
          </w:p>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电话:  </w:t>
            </w:r>
          </w:p>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传真: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名称:                      账号:          </w:t>
            </w:r>
          </w:p>
        </w:tc>
      </w:tr>
      <w:tr>
        <w:tblPrEx>
          <w:tblCellMar>
            <w:top w:w="0" w:type="dxa"/>
            <w:left w:w="28" w:type="dxa"/>
            <w:bottom w:w="0" w:type="dxa"/>
            <w:right w:w="28" w:type="dxa"/>
          </w:tblCellMar>
        </w:tblPrEx>
        <w:trPr>
          <w:cantSplit/>
          <w:trHeight w:val="661"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专业履约能力介绍</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p>
        </w:tc>
      </w:tr>
      <w:tr>
        <w:tblPrEx>
          <w:tblCellMar>
            <w:top w:w="0" w:type="dxa"/>
            <w:left w:w="28" w:type="dxa"/>
            <w:bottom w:w="0" w:type="dxa"/>
            <w:right w:w="28" w:type="dxa"/>
          </w:tblCellMar>
        </w:tblPrEx>
        <w:trPr>
          <w:cantSplit/>
          <w:trHeight w:val="2325"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p>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p>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p>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组织机构框图</w:t>
            </w:r>
          </w:p>
          <w:p>
            <w:pPr>
              <w:widowControl/>
              <w:autoSpaceDE w:val="0"/>
              <w:autoSpaceDN w:val="0"/>
              <w:spacing w:line="440" w:lineRule="atLeast"/>
              <w:ind w:left="105"/>
              <w:jc w:val="center"/>
              <w:textAlignment w:val="bottom"/>
              <w:rPr>
                <w:rFonts w:hint="eastAsia" w:ascii="宋体" w:hAnsi="宋体" w:cs="宋体"/>
                <w:color w:val="000000" w:themeColor="text1"/>
                <w:sz w:val="24"/>
                <w:highlight w:val="none"/>
                <w14:textFill>
                  <w14:solidFill>
                    <w14:schemeClr w14:val="tx1"/>
                  </w14:solidFill>
                </w14:textFill>
              </w:rPr>
            </w:pPr>
          </w:p>
          <w:p>
            <w:pPr>
              <w:autoSpaceDE w:val="0"/>
              <w:autoSpaceDN w:val="0"/>
              <w:spacing w:line="440" w:lineRule="atLeast"/>
              <w:ind w:left="105"/>
              <w:textAlignment w:val="bottom"/>
              <w:rPr>
                <w:rFonts w:hint="eastAsia" w:ascii="宋体" w:hAnsi="宋体" w:cs="宋体"/>
                <w:color w:val="000000" w:themeColor="text1"/>
                <w:sz w:val="24"/>
                <w:highlight w:val="none"/>
                <w14:textFill>
                  <w14:solidFill>
                    <w14:schemeClr w14:val="tx1"/>
                  </w14:solidFill>
                </w14:textFill>
              </w:rPr>
            </w:pP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000000" w:themeColor="text1"/>
                <w:sz w:val="24"/>
                <w:highlight w:val="none"/>
                <w14:textFill>
                  <w14:solidFill>
                    <w14:schemeClr w14:val="tx1"/>
                  </w14:solidFill>
                </w14:textFill>
              </w:rPr>
            </w:pPr>
          </w:p>
        </w:tc>
      </w:tr>
    </w:tbl>
    <w:p>
      <w:pPr>
        <w:spacing w:line="360" w:lineRule="auto"/>
        <w:ind w:left="630" w:hanging="630" w:hangingChars="300"/>
        <w:rPr>
          <w:rFonts w:hint="eastAsia" w:ascii="宋体" w:hAnsi="宋体" w:cs="宋体"/>
          <w:color w:val="000000" w:themeColor="text1"/>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jc w:val="center"/>
        <w:rPr>
          <w:rFonts w:hint="eastAsia" w:ascii="宋体" w:hAnsi="宋体" w:cs="宋体"/>
          <w:b/>
          <w:bCs/>
          <w:snapToGrid w:val="0"/>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bCs/>
          <w:snapToGrid w:val="0"/>
          <w:color w:val="000000" w:themeColor="text1"/>
          <w:kern w:val="0"/>
          <w:sz w:val="28"/>
          <w:szCs w:val="28"/>
          <w:highlight w:val="none"/>
          <w14:textFill>
            <w14:solidFill>
              <w14:schemeClr w14:val="tx1"/>
            </w14:solidFill>
          </w14:textFill>
        </w:rPr>
        <w:t>法定代表人资格证明书</w:t>
      </w:r>
    </w:p>
    <w:p>
      <w:pPr>
        <w:pStyle w:val="10"/>
        <w:spacing w:line="600" w:lineRule="exact"/>
        <w:rPr>
          <w:rFonts w:hint="eastAsia" w:ascii="宋体" w:hAnsi="宋体" w:eastAsia="宋体" w:cs="宋体"/>
          <w:b/>
          <w:bCs/>
          <w:snapToGrid w:val="0"/>
          <w:color w:val="000000" w:themeColor="text1"/>
          <w:kern w:val="0"/>
          <w:sz w:val="36"/>
          <w:highlight w:val="none"/>
          <w14:textFill>
            <w14:solidFill>
              <w14:schemeClr w14:val="tx1"/>
            </w14:solidFill>
          </w14:textFill>
        </w:rPr>
      </w:pPr>
    </w:p>
    <w:p>
      <w:pPr>
        <w:pStyle w:val="10"/>
        <w:spacing w:line="600" w:lineRule="exact"/>
        <w:ind w:firstLine="480" w:firstLineChars="2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系</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的法定代表人。身份证号：</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w:t>
      </w:r>
    </w:p>
    <w:p>
      <w:pPr>
        <w:pStyle w:val="10"/>
        <w:spacing w:line="600" w:lineRule="exact"/>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特此证明</w:t>
      </w:r>
    </w:p>
    <w:p>
      <w:pPr>
        <w:pStyle w:val="10"/>
        <w:spacing w:line="60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投标人全称（盖电子公章）</w:t>
      </w:r>
    </w:p>
    <w:p>
      <w:pPr>
        <w:pStyle w:val="10"/>
        <w:spacing w:line="600" w:lineRule="exact"/>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日期：</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年</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月</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日</w:t>
      </w:r>
    </w:p>
    <w:p>
      <w:pPr>
        <w:adjustRightInd w:val="0"/>
        <w:spacing w:line="360" w:lineRule="auto"/>
        <w:rPr>
          <w:rFonts w:hint="eastAsia" w:ascii="宋体" w:hAnsi="宋体" w:cs="宋体"/>
          <w:snapToGrid w:val="0"/>
          <w:color w:val="000000" w:themeColor="text1"/>
          <w:kern w:val="0"/>
          <w:sz w:val="24"/>
          <w:highlight w:val="none"/>
          <w14:textFill>
            <w14:solidFill>
              <w14:schemeClr w14:val="tx1"/>
            </w14:solidFill>
          </w14:textFill>
        </w:rPr>
      </w:pPr>
    </w:p>
    <w:p>
      <w:pPr>
        <w:adjustRightIn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附：法定代表人身份证扫描件（正反面）</w:t>
      </w:r>
    </w:p>
    <w:p>
      <w:pPr>
        <w:adjustRightIn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pStyle w:val="20"/>
        <w:rPr>
          <w:rFonts w:hint="eastAsia" w:ascii="宋体" w:hAnsi="宋体" w:cs="宋体"/>
          <w:snapToGrid w:val="0"/>
          <w:color w:val="000000" w:themeColor="text1"/>
          <w:kern w:val="0"/>
          <w:szCs w:val="21"/>
          <w:highlight w:val="none"/>
          <w14:textFill>
            <w14:solidFill>
              <w14:schemeClr w14:val="tx1"/>
            </w14:solidFill>
          </w14:textFill>
        </w:rPr>
      </w:pPr>
    </w:p>
    <w:p>
      <w:pPr>
        <w:adjustRightInd w:val="0"/>
        <w:spacing w:line="360" w:lineRule="auto"/>
        <w:jc w:val="center"/>
        <w:rPr>
          <w:rFonts w:hint="eastAsia"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bCs/>
          <w:snapToGrid w:val="0"/>
          <w:color w:val="000000" w:themeColor="text1"/>
          <w:kern w:val="0"/>
          <w:sz w:val="28"/>
          <w:szCs w:val="28"/>
          <w:highlight w:val="none"/>
          <w14:textFill>
            <w14:solidFill>
              <w14:schemeClr w14:val="tx1"/>
            </w14:solidFill>
          </w14:textFill>
        </w:rPr>
        <w:t>授权委托书</w:t>
      </w:r>
    </w:p>
    <w:p>
      <w:pPr>
        <w:adjustRightInd w:val="0"/>
        <w:spacing w:line="360" w:lineRule="auto"/>
        <w:jc w:val="left"/>
        <w:rPr>
          <w:rFonts w:hint="eastAsia" w:ascii="宋体" w:hAnsi="宋体" w:cs="宋体"/>
          <w:b/>
          <w:snapToGrid w:val="0"/>
          <w:color w:val="000000" w:themeColor="text1"/>
          <w:kern w:val="0"/>
          <w:sz w:val="32"/>
          <w:szCs w:val="20"/>
          <w:highlight w:val="none"/>
          <w14:textFill>
            <w14:solidFill>
              <w14:schemeClr w14:val="tx1"/>
            </w14:solidFill>
          </w14:textFill>
        </w:rPr>
      </w:pPr>
    </w:p>
    <w:p>
      <w:pPr>
        <w:adjustRightInd w:val="0"/>
        <w:spacing w:line="520" w:lineRule="exact"/>
        <w:ind w:left="4" w:firstLine="520" w:firstLineChars="217"/>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我 </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（姓名）系</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（投标人名称）的法定代表人，现授权委托</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（姓名）为我公司授权代表，以本公司的名义参加</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（采购人）    </w:t>
      </w:r>
      <w:r>
        <w:rPr>
          <w:rFonts w:hint="eastAsia" w:ascii="宋体" w:hAnsi="宋体" w:cs="宋体"/>
          <w:snapToGrid w:val="0"/>
          <w:color w:val="000000" w:themeColor="text1"/>
          <w:kern w:val="0"/>
          <w:sz w:val="24"/>
          <w:highlight w:val="none"/>
          <w14:textFill>
            <w14:solidFill>
              <w14:schemeClr w14:val="tx1"/>
            </w14:solidFill>
          </w14:textFill>
        </w:rPr>
        <w:t xml:space="preserve">的 </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项目的投标活动。授权代表在开标、评标、合同谈判过程中所签署的一切文件和处理与之有关的一切事务，我均予以承认。</w:t>
      </w:r>
    </w:p>
    <w:p>
      <w:pPr>
        <w:adjustRightInd w:val="0"/>
        <w:spacing w:line="520" w:lineRule="exact"/>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授权代表无权转委托。特此委托。</w:t>
      </w:r>
    </w:p>
    <w:p>
      <w:pPr>
        <w:pStyle w:val="2"/>
        <w:rPr>
          <w:rFonts w:hint="eastAsia" w:ascii="宋体" w:hAnsi="宋体" w:eastAsia="宋体" w:cs="宋体"/>
          <w:color w:val="000000" w:themeColor="text1"/>
          <w:highlight w:val="none"/>
          <w14:textFill>
            <w14:solidFill>
              <w14:schemeClr w14:val="tx1"/>
            </w14:solidFill>
          </w14:textFill>
        </w:rPr>
      </w:pPr>
    </w:p>
    <w:p>
      <w:pPr>
        <w:pStyle w:val="10"/>
        <w:spacing w:line="600" w:lineRule="exact"/>
        <w:ind w:firstLine="3674" w:firstLineChars="1531"/>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 xml:space="preserve">投标人： </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盖电子公章</w:t>
      </w:r>
      <w:r>
        <w:rPr>
          <w:rFonts w:hint="eastAsia" w:ascii="宋体" w:hAnsi="宋体" w:eastAsia="宋体" w:cs="宋体"/>
          <w:snapToGrid w:val="0"/>
          <w:color w:val="000000" w:themeColor="text1"/>
          <w:kern w:val="0"/>
          <w:szCs w:val="24"/>
          <w:highlight w:val="none"/>
          <w14:textFill>
            <w14:solidFill>
              <w14:schemeClr w14:val="tx1"/>
            </w14:solidFill>
          </w14:textFill>
        </w:rPr>
        <w:t xml:space="preserve">）  </w:t>
      </w:r>
    </w:p>
    <w:p>
      <w:pPr>
        <w:autoSpaceDE w:val="0"/>
        <w:autoSpaceDN w:val="0"/>
        <w:adjustRightInd w:val="0"/>
        <w:spacing w:line="520" w:lineRule="exact"/>
        <w:ind w:right="420"/>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法定代表人： </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 xml:space="preserve">（签字或盖章） </w:t>
      </w:r>
    </w:p>
    <w:p>
      <w:pPr>
        <w:autoSpaceDE w:val="0"/>
        <w:autoSpaceDN w:val="0"/>
        <w:adjustRightInd w:val="0"/>
        <w:spacing w:line="520" w:lineRule="exact"/>
        <w:ind w:right="420"/>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法定代表人身份证号码：</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p>
    <w:p>
      <w:pPr>
        <w:autoSpaceDE w:val="0"/>
        <w:autoSpaceDN w:val="0"/>
        <w:adjustRightInd w:val="0"/>
        <w:spacing w:line="520" w:lineRule="exact"/>
        <w:ind w:right="420"/>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授权代表</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highlight w:val="none"/>
          <w14:textFill>
            <w14:solidFill>
              <w14:schemeClr w14:val="tx1"/>
            </w14:solidFill>
          </w14:textFill>
        </w:rPr>
        <w:t xml:space="preserve">（签字或盖章） </w:t>
      </w:r>
    </w:p>
    <w:p>
      <w:pPr>
        <w:autoSpaceDE w:val="0"/>
        <w:autoSpaceDN w:val="0"/>
        <w:adjustRightInd w:val="0"/>
        <w:spacing w:line="520" w:lineRule="exact"/>
        <w:ind w:right="420"/>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授权代表身份证号码：</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p>
    <w:p>
      <w:pPr>
        <w:autoSpaceDE w:val="0"/>
        <w:autoSpaceDN w:val="0"/>
        <w:adjustRightInd w:val="0"/>
        <w:spacing w:line="520" w:lineRule="exact"/>
        <w:ind w:right="420"/>
        <w:rPr>
          <w:rFonts w:hint="eastAsia"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pacing w:line="520" w:lineRule="exact"/>
        <w:ind w:right="420"/>
        <w:jc w:val="center"/>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 xml:space="preserve">                                                年    月    日</w:t>
      </w:r>
    </w:p>
    <w:p>
      <w:pPr>
        <w:autoSpaceDE w:val="0"/>
        <w:autoSpaceDN w:val="0"/>
        <w:adjustRightInd w:val="0"/>
        <w:snapToGrid w:val="0"/>
        <w:spacing w:line="360" w:lineRule="auto"/>
        <w:ind w:right="420"/>
        <w:rPr>
          <w:rFonts w:hint="eastAsia" w:ascii="宋体" w:hAnsi="宋体" w:cs="宋体"/>
          <w:b/>
          <w:snapToGrid w:val="0"/>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附：授权代表的身份证扫描件（正反面）</w:t>
      </w:r>
    </w:p>
    <w:p>
      <w:pPr>
        <w:autoSpaceDE w:val="0"/>
        <w:autoSpaceDN w:val="0"/>
        <w:adjustRightIn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廉 政 承 诺 书</w:t>
      </w:r>
    </w:p>
    <w:p>
      <w:pPr>
        <w:autoSpaceDE w:val="0"/>
        <w:autoSpaceDN w:val="0"/>
        <w:adjustRightInd w:val="0"/>
        <w:spacing w:line="360" w:lineRule="auto"/>
        <w:rPr>
          <w:rFonts w:hint="eastAsia" w:ascii="宋体" w:hAnsi="宋体" w:cs="宋体"/>
          <w:snapToGrid w:val="0"/>
          <w:color w:val="000000" w:themeColor="text1"/>
          <w:kern w:val="0"/>
          <w:sz w:val="24"/>
          <w:highlight w:val="none"/>
          <w:u w:val="single"/>
          <w:lang w:eastAsia="zh-CN"/>
          <w14:textFill>
            <w14:solidFill>
              <w14:schemeClr w14:val="tx1"/>
            </w14:solidFill>
          </w14:textFill>
        </w:rPr>
      </w:pP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u w:val="single"/>
          <w:lang w:eastAsia="zh-CN"/>
          <w14:textFill>
            <w14:solidFill>
              <w14:schemeClr w14:val="tx1"/>
            </w14:solidFill>
          </w14:textFill>
        </w:rPr>
        <w:t>浦江县城乡自来水有限公司</w:t>
      </w:r>
      <w:r>
        <w:rPr>
          <w:rFonts w:hint="eastAsia" w:ascii="宋体" w:hAnsi="宋体" w:cs="宋体"/>
          <w:bCs/>
          <w:color w:val="000000" w:themeColor="text1"/>
          <w:sz w:val="24"/>
          <w:highlight w:val="none"/>
          <w14:textFill>
            <w14:solidFill>
              <w14:schemeClr w14:val="tx1"/>
            </w14:solidFill>
          </w14:textFill>
        </w:rPr>
        <w:t>：</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四、不为项目有关人员及部门出国（境）、旅游等提供方便；</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六、严格遵守政府采购法、合同法等法律，诚实守信，合法经营，坚决抵制各种违法违纪行为。</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如违反上述承诺，你单位有权立即取消我单位应标、中标或在建项目的资格，有权拒绝我单位在一定时期内进入你单位进行工程建设或其他经营活动，并通报县国资办。由此引起的相应损失均由我单位承担。</w:t>
      </w: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p>
    <w:p>
      <w:pPr>
        <w:autoSpaceDE w:val="0"/>
        <w:autoSpaceDN w:val="0"/>
        <w:adjustRightInd w:val="0"/>
        <w:spacing w:line="360" w:lineRule="auto"/>
        <w:rPr>
          <w:rFonts w:hint="eastAsia" w:ascii="宋体" w:hAnsi="宋体" w:cs="宋体"/>
          <w:bCs/>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pStyle w:val="26"/>
        <w:tabs>
          <w:tab w:val="left" w:pos="900"/>
        </w:tabs>
        <w:snapToGrid w:val="0"/>
        <w:spacing w:before="120" w:after="12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商务响应表</w:t>
      </w:r>
    </w:p>
    <w:p>
      <w:pPr>
        <w:rPr>
          <w:color w:val="000000" w:themeColor="text1"/>
          <w:highlight w:val="none"/>
          <w14:textFill>
            <w14:solidFill>
              <w14:schemeClr w14:val="tx1"/>
            </w14:solidFill>
          </w14:textFill>
        </w:rPr>
      </w:pPr>
    </w:p>
    <w:tbl>
      <w:tblPr>
        <w:tblStyle w:val="48"/>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1260"/>
        <w:gridCol w:w="2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是否响应</w:t>
            </w: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售后技术服务要求</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交货时间及地点</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ind w:left="43"/>
              <w:rPr>
                <w:rFonts w:ascii="宋体" w:hAnsi="宋体"/>
                <w:color w:val="000000" w:themeColor="text1"/>
                <w:sz w:val="24"/>
                <w:szCs w:val="20"/>
                <w:highlight w:val="none"/>
                <w14:textFill>
                  <w14:solidFill>
                    <w14:schemeClr w14:val="tx1"/>
                  </w14:solidFill>
                </w14:textFill>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ind w:left="43"/>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000000" w:themeColor="text1"/>
                <w:sz w:val="24"/>
                <w:highlight w:val="none"/>
                <w14:textFill>
                  <w14:solidFill>
                    <w14:schemeClr w14:val="tx1"/>
                  </w14:solidFill>
                </w14:textFill>
              </w:rPr>
            </w:pP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000000" w:themeColor="text1"/>
                <w:sz w:val="24"/>
                <w:szCs w:val="20"/>
                <w:highlight w:val="none"/>
                <w14:textFill>
                  <w14:solidFill>
                    <w14:schemeClr w14:val="tx1"/>
                  </w14:solidFill>
                </w14:textFill>
              </w:rPr>
            </w:pPr>
          </w:p>
        </w:tc>
      </w:tr>
    </w:tbl>
    <w:p>
      <w:pPr>
        <w:snapToGrid w:val="0"/>
        <w:spacing w:before="120" w:beforeLines="50" w:line="440" w:lineRule="exac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注：如不填写，招标人将视为 “无偏离”。</w:t>
      </w:r>
    </w:p>
    <w:p>
      <w:pPr>
        <w:snapToGrid w:val="0"/>
        <w:spacing w:before="50" w:after="50"/>
        <w:rPr>
          <w:rFonts w:ascii="宋体" w:hAnsi="宋体"/>
          <w:color w:val="000000" w:themeColor="text1"/>
          <w:spacing w:val="20"/>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snapToGrid w:val="0"/>
        <w:spacing w:line="440" w:lineRule="exact"/>
        <w:jc w:val="left"/>
        <w:rPr>
          <w:rFonts w:ascii="宋体" w:hAnsi="宋体"/>
          <w:color w:val="000000" w:themeColor="text1"/>
          <w:sz w:val="24"/>
          <w:highlight w:val="none"/>
          <w14:textFill>
            <w14:solidFill>
              <w14:schemeClr w14:val="tx1"/>
            </w14:solidFill>
          </w14:textFill>
        </w:rPr>
        <w:sectPr>
          <w:footerReference r:id="rId7" w:type="default"/>
          <w:pgSz w:w="11906" w:h="16838"/>
          <w:pgMar w:top="1474" w:right="1191" w:bottom="1191" w:left="1474" w:header="851" w:footer="850" w:gutter="0"/>
          <w:pgBorders>
            <w:top w:val="none" w:sz="0" w:space="0"/>
            <w:left w:val="none" w:sz="0" w:space="0"/>
            <w:bottom w:val="none" w:sz="0" w:space="0"/>
            <w:right w:val="none" w:sz="0" w:space="0"/>
          </w:pgBorders>
          <w:cols w:space="720" w:num="1"/>
          <w:docGrid w:linePitch="312" w:charSpace="0"/>
        </w:sectPr>
      </w:pPr>
    </w:p>
    <w:p>
      <w:pPr>
        <w:pStyle w:val="3"/>
        <w:jc w:val="center"/>
        <w:rPr>
          <w:rFonts w:hint="eastAsia" w:ascii="宋体" w:hAnsi="宋体" w:eastAsia="宋体" w:cs="宋体"/>
          <w:color w:val="000000" w:themeColor="text1"/>
          <w:highlight w:val="none"/>
          <w14:textFill>
            <w14:solidFill>
              <w14:schemeClr w14:val="tx1"/>
            </w14:solidFill>
          </w14:textFill>
        </w:rPr>
      </w:pPr>
      <w:bookmarkStart w:id="166" w:name="_Toc30525"/>
      <w:bookmarkStart w:id="167" w:name="_Toc2962"/>
      <w:bookmarkStart w:id="168" w:name="_Toc7362"/>
      <w:bookmarkStart w:id="169" w:name="_Toc26383"/>
      <w:bookmarkStart w:id="170" w:name="_Toc24191"/>
      <w:r>
        <w:rPr>
          <w:rFonts w:hint="eastAsia" w:ascii="宋体" w:hAnsi="宋体" w:eastAsia="宋体" w:cs="宋体"/>
          <w:color w:val="000000" w:themeColor="text1"/>
          <w:highlight w:val="none"/>
          <w14:textFill>
            <w14:solidFill>
              <w14:schemeClr w14:val="tx1"/>
            </w14:solidFill>
          </w14:textFill>
        </w:rPr>
        <w:t>投标人曾承担过的类似项目业绩一览表</w:t>
      </w:r>
      <w:bookmarkEnd w:id="166"/>
      <w:bookmarkEnd w:id="167"/>
      <w:bookmarkEnd w:id="168"/>
      <w:bookmarkEnd w:id="169"/>
      <w:bookmarkEnd w:id="170"/>
    </w:p>
    <w:tbl>
      <w:tblPr>
        <w:tblStyle w:val="4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0"/>
                <w:sz w:val="24"/>
                <w:highlight w:val="none"/>
                <w14:textFill>
                  <w14:solidFill>
                    <w14:schemeClr w14:val="tx1"/>
                  </w14:solidFill>
                </w14:textFill>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0"/>
                <w:sz w:val="24"/>
                <w:highlight w:val="none"/>
                <w14:textFill>
                  <w14:solidFill>
                    <w14:schemeClr w14:val="tx1"/>
                  </w14:solidFill>
                </w14:textFill>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0"/>
                <w:sz w:val="24"/>
                <w:highlight w:val="none"/>
                <w14:textFill>
                  <w14:solidFill>
                    <w14:schemeClr w14:val="tx1"/>
                  </w14:solidFill>
                </w14:textFill>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pacing w:val="3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beforeLines="50" w:after="50" w:line="460" w:lineRule="exact"/>
              <w:ind w:left="5250"/>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color w:val="000000" w:themeColor="text1"/>
                <w:sz w:val="24"/>
                <w:highlight w:val="none"/>
                <w14:textFill>
                  <w14:solidFill>
                    <w14:schemeClr w14:val="tx1"/>
                  </w14:solidFill>
                </w14:textFill>
              </w:rPr>
            </w:pPr>
          </w:p>
        </w:tc>
      </w:tr>
    </w:tbl>
    <w:p>
      <w:pPr>
        <w:tabs>
          <w:tab w:val="left" w:pos="744"/>
        </w:tabs>
        <w:spacing w:line="400" w:lineRule="exact"/>
        <w:ind w:firstLine="352" w:firstLineChars="14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注：1.表后附清晰可辨的合同</w:t>
      </w:r>
      <w:r>
        <w:rPr>
          <w:rFonts w:hint="eastAsia" w:ascii="宋体" w:hAnsi="宋体" w:cs="宋体"/>
          <w:color w:val="000000" w:themeColor="text1"/>
          <w:sz w:val="24"/>
          <w:highlight w:val="none"/>
          <w:lang w:eastAsia="zh-CN"/>
          <w14:textFill>
            <w14:solidFill>
              <w14:schemeClr w14:val="tx1"/>
            </w14:solidFill>
          </w14:textFill>
        </w:rPr>
        <w:t>及发票</w:t>
      </w:r>
      <w:r>
        <w:rPr>
          <w:rFonts w:hint="eastAsia" w:ascii="宋体" w:hAnsi="宋体" w:cs="宋体"/>
          <w:color w:val="000000" w:themeColor="text1"/>
          <w:sz w:val="24"/>
          <w:highlight w:val="none"/>
          <w14:textFill>
            <w14:solidFill>
              <w14:schemeClr w14:val="tx1"/>
            </w14:solidFill>
          </w14:textFill>
        </w:rPr>
        <w:t>等扫描件；</w:t>
      </w:r>
    </w:p>
    <w:p>
      <w:pPr>
        <w:tabs>
          <w:tab w:val="left" w:pos="744"/>
        </w:tabs>
        <w:spacing w:line="400" w:lineRule="exact"/>
        <w:ind w:firstLine="352" w:firstLineChars="14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2.表中所列业绩如与评分有关的，出具的相关资料需满足评审依据，否则不予得分。</w:t>
      </w:r>
    </w:p>
    <w:p>
      <w:pPr>
        <w:pStyle w:val="26"/>
        <w:tabs>
          <w:tab w:val="left" w:pos="900"/>
        </w:tabs>
        <w:snapToGrid w:val="0"/>
        <w:spacing w:before="120" w:after="120"/>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26"/>
        <w:tabs>
          <w:tab w:val="left" w:pos="900"/>
        </w:tabs>
        <w:snapToGrid w:val="0"/>
        <w:spacing w:before="120" w:after="120"/>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26"/>
        <w:tabs>
          <w:tab w:val="left" w:pos="900"/>
        </w:tabs>
        <w:snapToGrid w:val="0"/>
        <w:spacing w:before="120" w:after="120"/>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26"/>
        <w:tabs>
          <w:tab w:val="left" w:pos="900"/>
        </w:tabs>
        <w:snapToGrid w:val="0"/>
        <w:spacing w:before="120" w:after="120"/>
        <w:jc w:val="center"/>
        <w:rPr>
          <w:rFonts w:hint="eastAsia" w:ascii="宋体" w:hAnsi="宋体" w:eastAsia="宋体" w:cs="宋体"/>
          <w:b/>
          <w:color w:val="000000" w:themeColor="text1"/>
          <w:sz w:val="32"/>
          <w:szCs w:val="32"/>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pStyle w:val="46"/>
        <w:rPr>
          <w:rFonts w:hint="eastAsia"/>
          <w:color w:val="000000" w:themeColor="text1"/>
          <w:highlight w:val="none"/>
          <w14:textFill>
            <w14:solidFill>
              <w14:schemeClr w14:val="tx1"/>
            </w14:solidFill>
          </w14:textFill>
        </w:rPr>
      </w:pPr>
    </w:p>
    <w:p>
      <w:pPr>
        <w:pStyle w:val="46"/>
        <w:rPr>
          <w:rFonts w:hint="eastAsia"/>
          <w:color w:val="000000" w:themeColor="text1"/>
          <w:highlight w:val="none"/>
          <w14:textFill>
            <w14:solidFill>
              <w14:schemeClr w14:val="tx1"/>
            </w14:solidFill>
          </w14:textFill>
        </w:rPr>
      </w:pPr>
    </w:p>
    <w:p>
      <w:pPr>
        <w:pStyle w:val="26"/>
        <w:tabs>
          <w:tab w:val="left" w:pos="900"/>
        </w:tabs>
        <w:snapToGrid w:val="0"/>
        <w:spacing w:before="120" w:after="120"/>
        <w:jc w:val="both"/>
        <w:rPr>
          <w:rFonts w:hint="eastAsia" w:ascii="宋体" w:hAnsi="宋体" w:cs="宋体"/>
          <w:color w:val="000000" w:themeColor="text1"/>
          <w:sz w:val="24"/>
          <w:highlight w:val="none"/>
          <w:lang w:val="en-US" w:eastAsia="zh-CN"/>
          <w14:textFill>
            <w14:solidFill>
              <w14:schemeClr w14:val="tx1"/>
            </w14:solidFill>
          </w14:textFill>
        </w:rPr>
      </w:pPr>
      <w:bookmarkStart w:id="171" w:name="_Toc17633"/>
    </w:p>
    <w:p>
      <w:pPr>
        <w:pStyle w:val="26"/>
        <w:tabs>
          <w:tab w:val="left" w:pos="900"/>
        </w:tabs>
        <w:snapToGrid w:val="0"/>
        <w:spacing w:before="120" w:after="12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技术响应表</w:t>
      </w:r>
    </w:p>
    <w:p>
      <w:pPr>
        <w:pStyle w:val="27"/>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594"/>
        <w:gridCol w:w="1800"/>
        <w:gridCol w:w="22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29" w:type="dxa"/>
            <w:noWrap w:val="0"/>
            <w:vAlign w:val="center"/>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129" w:type="dxa"/>
            <w:noWrap w:val="0"/>
            <w:vAlign w:val="center"/>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r>
              <w:rPr>
                <w:rFonts w:hAnsi="宋体" w:cs="Arial"/>
                <w:color w:val="000000" w:themeColor="text1"/>
                <w:sz w:val="24"/>
                <w:highlight w:val="none"/>
                <w14:textFill>
                  <w14:solidFill>
                    <w14:schemeClr w14:val="tx1"/>
                  </w14:solidFill>
                </w14:textFill>
              </w:rPr>
              <w:t>序号</w:t>
            </w:r>
          </w:p>
        </w:tc>
        <w:tc>
          <w:tcPr>
            <w:tcW w:w="1594" w:type="dxa"/>
            <w:noWrap w:val="0"/>
            <w:vAlign w:val="center"/>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r>
              <w:rPr>
                <w:rFonts w:hAnsi="宋体" w:cs="Arial"/>
                <w:color w:val="000000" w:themeColor="text1"/>
                <w:sz w:val="24"/>
                <w:highlight w:val="none"/>
                <w14:textFill>
                  <w14:solidFill>
                    <w14:schemeClr w14:val="tx1"/>
                  </w14:solidFill>
                </w14:textFill>
              </w:rPr>
              <w:t>内     容</w:t>
            </w:r>
          </w:p>
        </w:tc>
        <w:tc>
          <w:tcPr>
            <w:tcW w:w="1800" w:type="dxa"/>
            <w:noWrap w:val="0"/>
            <w:vAlign w:val="center"/>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r>
              <w:rPr>
                <w:rFonts w:hAnsi="宋体" w:cs="Arial"/>
                <w:color w:val="000000" w:themeColor="text1"/>
                <w:sz w:val="24"/>
                <w:highlight w:val="none"/>
                <w14:textFill>
                  <w14:solidFill>
                    <w14:schemeClr w14:val="tx1"/>
                  </w14:solidFill>
                </w14:textFill>
              </w:rPr>
              <w:t>招标文件要求</w:t>
            </w:r>
          </w:p>
        </w:tc>
        <w:tc>
          <w:tcPr>
            <w:tcW w:w="2205" w:type="dxa"/>
            <w:noWrap w:val="0"/>
            <w:vAlign w:val="center"/>
          </w:tcPr>
          <w:p>
            <w:pPr>
              <w:snapToGrid w:val="0"/>
              <w:spacing w:before="50" w:after="120" w:afterLines="50" w:line="400" w:lineRule="atLeast"/>
              <w:jc w:val="center"/>
              <w:rPr>
                <w:rFonts w:hAnsi="宋体" w:cs="Arial"/>
                <w:color w:val="000000" w:themeColor="text1"/>
                <w:sz w:val="24"/>
                <w:highlight w:val="none"/>
                <w14:textFill>
                  <w14:solidFill>
                    <w14:schemeClr w14:val="tx1"/>
                  </w14:solidFill>
                </w14:textFill>
              </w:rPr>
            </w:pPr>
            <w:r>
              <w:rPr>
                <w:rFonts w:hAnsi="宋体" w:cs="Arial"/>
                <w:color w:val="000000" w:themeColor="text1"/>
                <w:sz w:val="24"/>
                <w:highlight w:val="none"/>
                <w14:textFill>
                  <w14:solidFill>
                    <w14:schemeClr w14:val="tx1"/>
                  </w14:solidFill>
                </w14:textFill>
              </w:rPr>
              <w:t>投标文件对应内容</w:t>
            </w:r>
          </w:p>
        </w:tc>
        <w:tc>
          <w:tcPr>
            <w:tcW w:w="915" w:type="dxa"/>
            <w:noWrap w:val="0"/>
            <w:vAlign w:val="center"/>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r>
              <w:rPr>
                <w:rFonts w:hAnsi="宋体" w:cs="Arial"/>
                <w:color w:val="000000" w:themeColor="text1"/>
                <w:sz w:val="24"/>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r>
              <w:rPr>
                <w:rFonts w:hint="eastAsia" w:hAnsi="宋体" w:cs="Arial"/>
                <w:color w:val="000000" w:themeColor="text1"/>
                <w:sz w:val="24"/>
                <w:highlight w:val="none"/>
                <w14:textFill>
                  <w14:solidFill>
                    <w14:schemeClr w14:val="tx1"/>
                  </w14:solidFill>
                </w14:textFill>
              </w:rPr>
              <w:t>技术响应</w:t>
            </w:r>
            <w:r>
              <w:rPr>
                <w:rFonts w:hAnsi="宋体" w:cs="Arial"/>
                <w:color w:val="000000" w:themeColor="text1"/>
                <w:sz w:val="24"/>
                <w:highlight w:val="none"/>
                <w14:textFill>
                  <w14:solidFill>
                    <w14:schemeClr w14:val="tx1"/>
                  </w14:solidFill>
                </w14:textFill>
              </w:rPr>
              <w:t>内容</w:t>
            </w:r>
          </w:p>
        </w:tc>
        <w:tc>
          <w:tcPr>
            <w:tcW w:w="1129"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594"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800"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220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91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129"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594"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800"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220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91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129"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594"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800"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220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91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129"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594"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800"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220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91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129"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594"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800"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220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91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129"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594"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1800"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220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c>
          <w:tcPr>
            <w:tcW w:w="915" w:type="dxa"/>
            <w:noWrap w:val="0"/>
            <w:vAlign w:val="top"/>
          </w:tcPr>
          <w:p>
            <w:pPr>
              <w:snapToGrid w:val="0"/>
              <w:spacing w:before="50" w:after="120" w:afterLines="50" w:line="440" w:lineRule="exact"/>
              <w:jc w:val="left"/>
              <w:rPr>
                <w:rFonts w:ascii="宋体" w:hAnsi="宋体"/>
                <w:color w:val="000000" w:themeColor="text1"/>
                <w:sz w:val="24"/>
                <w:highlight w:val="none"/>
                <w14:textFill>
                  <w14:solidFill>
                    <w14:schemeClr w14:val="tx1"/>
                  </w14:solidFill>
                </w14:textFill>
              </w:rPr>
            </w:pPr>
          </w:p>
        </w:tc>
      </w:tr>
    </w:tbl>
    <w:p>
      <w:pPr>
        <w:snapToGrid w:val="0"/>
        <w:spacing w:before="50" w:after="120" w:afterLines="50" w:line="440" w:lineRule="exact"/>
        <w:jc w:val="left"/>
        <w:rPr>
          <w:rFonts w:ascii="宋体" w:hAnsi="宋体"/>
          <w:color w:val="000000" w:themeColor="text1"/>
          <w:sz w:val="24"/>
          <w:szCs w:val="20"/>
          <w:highlight w:val="none"/>
          <w14:textFill>
            <w14:solidFill>
              <w14:schemeClr w14:val="tx1"/>
            </w14:solidFill>
          </w14:textFill>
        </w:rPr>
      </w:pPr>
    </w:p>
    <w:p>
      <w:pPr>
        <w:pStyle w:val="19"/>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注：如不填写，招标人将视为 “无偏离”。</w:t>
      </w:r>
    </w:p>
    <w:p>
      <w:pPr>
        <w:snapToGrid w:val="0"/>
        <w:spacing w:before="50" w:after="50"/>
        <w:rPr>
          <w:rFonts w:ascii="宋体" w:hAnsi="宋体"/>
          <w:color w:val="000000" w:themeColor="text1"/>
          <w:spacing w:val="20"/>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pStyle w:val="26"/>
        <w:tabs>
          <w:tab w:val="left" w:pos="900"/>
        </w:tabs>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pStyle w:val="26"/>
        <w:tabs>
          <w:tab w:val="left" w:pos="900"/>
        </w:tabs>
        <w:snapToGrid w:val="0"/>
        <w:jc w:val="center"/>
        <w:rPr>
          <w:rFonts w:hint="eastAsia" w:ascii="宋体" w:hAnsi="宋体" w:cs="宋体"/>
          <w:color w:val="000000" w:themeColor="text1"/>
          <w:sz w:val="24"/>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lang w:eastAsia="zh-CN"/>
          <w14:textFill>
            <w14:solidFill>
              <w14:schemeClr w14:val="tx1"/>
            </w14:solidFill>
          </w14:textFill>
        </w:rPr>
      </w:pPr>
    </w:p>
    <w:p>
      <w:pPr>
        <w:autoSpaceDE w:val="0"/>
        <w:autoSpaceDN w:val="0"/>
        <w:adjustRightInd w:val="0"/>
        <w:spacing w:line="360" w:lineRule="auto"/>
        <w:jc w:val="center"/>
        <w:rPr>
          <w:rFonts w:hint="eastAsia" w:ascii="宋体" w:hAnsi="宋体" w:cs="宋体"/>
          <w:b/>
          <w:bCs/>
          <w:color w:val="000000" w:themeColor="text1"/>
          <w:sz w:val="32"/>
          <w:szCs w:val="32"/>
          <w:highlight w:val="none"/>
          <w:lang w:eastAsia="zh-CN"/>
          <w14:textFill>
            <w14:solidFill>
              <w14:schemeClr w14:val="tx1"/>
            </w14:solidFill>
          </w14:textFill>
        </w:rPr>
      </w:pPr>
    </w:p>
    <w:p>
      <w:pPr>
        <w:tabs>
          <w:tab w:val="left" w:pos="744"/>
        </w:tabs>
        <w:spacing w:line="400" w:lineRule="exact"/>
        <w:ind w:firstLine="472" w:firstLineChars="147"/>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货物</w:t>
      </w:r>
      <w:r>
        <w:rPr>
          <w:rFonts w:hint="eastAsia" w:ascii="宋体" w:hAnsi="宋体" w:eastAsia="宋体" w:cs="宋体"/>
          <w:b/>
          <w:bCs/>
          <w:color w:val="000000" w:themeColor="text1"/>
          <w:sz w:val="32"/>
          <w:szCs w:val="32"/>
          <w:highlight w:val="none"/>
          <w14:textFill>
            <w14:solidFill>
              <w14:schemeClr w14:val="tx1"/>
            </w14:solidFill>
          </w14:textFill>
        </w:rPr>
        <w:t>配置清单（均不含报价</w:t>
      </w:r>
      <w:r>
        <w:rPr>
          <w:rFonts w:hint="eastAsia" w:ascii="宋体" w:hAnsi="宋体" w:cs="宋体"/>
          <w:b/>
          <w:bCs/>
          <w:color w:val="000000" w:themeColor="text1"/>
          <w:sz w:val="32"/>
          <w:szCs w:val="32"/>
          <w:highlight w:val="none"/>
          <w14:textFill>
            <w14:solidFill>
              <w14:schemeClr w14:val="tx1"/>
            </w14:solidFill>
          </w14:textFill>
        </w:rPr>
        <w:t>）</w:t>
      </w:r>
      <w:bookmarkEnd w:id="171"/>
    </w:p>
    <w:p>
      <w:pPr>
        <w:pStyle w:val="46"/>
        <w:ind w:firstLine="480"/>
        <w:rPr>
          <w:rFonts w:hint="eastAsia"/>
          <w:color w:val="000000" w:themeColor="text1"/>
          <w:highlight w:val="none"/>
          <w14:textFill>
            <w14:solidFill>
              <w14:schemeClr w14:val="tx1"/>
            </w14:solidFill>
          </w14:textFill>
        </w:rPr>
      </w:pPr>
    </w:p>
    <w:tbl>
      <w:tblPr>
        <w:tblStyle w:val="48"/>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
        <w:gridCol w:w="1494"/>
        <w:gridCol w:w="746"/>
        <w:gridCol w:w="1349"/>
        <w:gridCol w:w="1476"/>
        <w:gridCol w:w="1553"/>
        <w:gridCol w:w="960"/>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货物名称</w:t>
            </w: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单位及数量</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性能及指标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产地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color w:val="000000" w:themeColor="text1"/>
                <w:sz w:val="24"/>
                <w:szCs w:val="20"/>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themeColor="text1"/>
                <w:sz w:val="24"/>
                <w:szCs w:val="20"/>
                <w:highlight w:val="none"/>
                <w14:textFill>
                  <w14:solidFill>
                    <w14:schemeClr w14:val="tx1"/>
                  </w14:solidFill>
                </w14:textFill>
              </w:rPr>
            </w:pPr>
          </w:p>
        </w:tc>
      </w:tr>
    </w:tbl>
    <w:p>
      <w:pPr>
        <w:pStyle w:val="46"/>
        <w:ind w:firstLine="480"/>
        <w:rPr>
          <w:color w:val="000000" w:themeColor="text1"/>
          <w:szCs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pStyle w:val="46"/>
        <w:rPr>
          <w:rFonts w:hint="eastAsia"/>
          <w:color w:val="000000" w:themeColor="text1"/>
          <w:highlight w:val="none"/>
          <w14:textFill>
            <w14:solidFill>
              <w14:schemeClr w14:val="tx1"/>
            </w14:solidFill>
          </w14:textFill>
        </w:rPr>
      </w:pPr>
    </w:p>
    <w:p>
      <w:pPr>
        <w:pStyle w:val="46"/>
        <w:rPr>
          <w:rFonts w:hint="eastAsia"/>
          <w:color w:val="000000" w:themeColor="text1"/>
          <w:highlight w:val="none"/>
          <w14:textFill>
            <w14:solidFill>
              <w14:schemeClr w14:val="tx1"/>
            </w14:solidFill>
          </w14:textFill>
        </w:rPr>
      </w:pPr>
    </w:p>
    <w:p>
      <w:pPr>
        <w:pStyle w:val="46"/>
        <w:spacing w:line="400" w:lineRule="exact"/>
        <w:ind w:firstLine="0" w:firstLineChars="0"/>
        <w:rPr>
          <w:rFonts w:hAnsi="宋体"/>
          <w:color w:val="000000" w:themeColor="text1"/>
          <w:spacing w:val="20"/>
          <w:szCs w:val="24"/>
          <w:highlight w:val="none"/>
          <w14:textFill>
            <w14:solidFill>
              <w14:schemeClr w14:val="tx1"/>
            </w14:solidFill>
          </w14:textFill>
        </w:rPr>
      </w:pPr>
      <w:r>
        <w:rPr>
          <w:rFonts w:hint="eastAsia" w:hAnsi="宋体"/>
          <w:color w:val="000000" w:themeColor="text1"/>
          <w:spacing w:val="20"/>
          <w:szCs w:val="24"/>
          <w:highlight w:val="none"/>
          <w14:textFill>
            <w14:solidFill>
              <w14:schemeClr w14:val="tx1"/>
            </w14:solidFill>
          </w14:textFill>
        </w:rPr>
        <w:t xml:space="preserve">   </w:t>
      </w:r>
    </w:p>
    <w:p>
      <w:pPr>
        <w:rPr>
          <w:rFonts w:ascii="宋体" w:hAnsi="宋体"/>
          <w:color w:val="000000" w:themeColor="text1"/>
          <w:spacing w:val="20"/>
          <w:sz w:val="24"/>
          <w:highlight w:val="none"/>
          <w14:textFill>
            <w14:solidFill>
              <w14:schemeClr w14:val="tx1"/>
            </w14:solidFill>
          </w14:textFill>
        </w:rPr>
      </w:pPr>
    </w:p>
    <w:p>
      <w:pPr>
        <w:rPr>
          <w:rFonts w:ascii="宋体" w:hAnsi="宋体"/>
          <w:color w:val="000000" w:themeColor="text1"/>
          <w:spacing w:val="20"/>
          <w:sz w:val="24"/>
          <w:highlight w:val="none"/>
          <w14:textFill>
            <w14:solidFill>
              <w14:schemeClr w14:val="tx1"/>
            </w14:solidFill>
          </w14:textFill>
        </w:rPr>
      </w:pPr>
    </w:p>
    <w:p>
      <w:pPr>
        <w:rPr>
          <w:rFonts w:ascii="宋体" w:hAnsi="宋体"/>
          <w:color w:val="000000" w:themeColor="text1"/>
          <w:spacing w:val="20"/>
          <w:sz w:val="24"/>
          <w:highlight w:val="none"/>
          <w14:textFill>
            <w14:solidFill>
              <w14:schemeClr w14:val="tx1"/>
            </w14:solidFill>
          </w14:textFill>
        </w:rPr>
      </w:pPr>
    </w:p>
    <w:p>
      <w:pPr>
        <w:rPr>
          <w:rFonts w:ascii="宋体" w:hAnsi="宋体"/>
          <w:color w:val="000000" w:themeColor="text1"/>
          <w:spacing w:val="20"/>
          <w:sz w:val="24"/>
          <w:highlight w:val="none"/>
          <w14:textFill>
            <w14:solidFill>
              <w14:schemeClr w14:val="tx1"/>
            </w14:solidFill>
          </w14:textFill>
        </w:rPr>
      </w:pPr>
    </w:p>
    <w:p>
      <w:pPr>
        <w:rPr>
          <w:rFonts w:ascii="宋体" w:hAnsi="宋体"/>
          <w:color w:val="000000" w:themeColor="text1"/>
          <w:spacing w:val="20"/>
          <w:sz w:val="24"/>
          <w:highlight w:val="none"/>
          <w14:textFill>
            <w14:solidFill>
              <w14:schemeClr w14:val="tx1"/>
            </w14:solidFill>
          </w14:textFill>
        </w:rPr>
      </w:pPr>
    </w:p>
    <w:p>
      <w:pPr>
        <w:rPr>
          <w:rFonts w:ascii="宋体" w:hAnsi="宋体"/>
          <w:color w:val="000000" w:themeColor="text1"/>
          <w:spacing w:val="20"/>
          <w:sz w:val="24"/>
          <w:highlight w:val="none"/>
          <w14:textFill>
            <w14:solidFill>
              <w14:schemeClr w14:val="tx1"/>
            </w14:solidFill>
          </w14:textFill>
        </w:rPr>
      </w:pPr>
    </w:p>
    <w:p>
      <w:pPr>
        <w:snapToGrid w:val="0"/>
        <w:spacing w:before="50" w:after="120" w:afterLines="50" w:line="440" w:lineRule="exact"/>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采购政策功能响应表</w:t>
      </w:r>
    </w:p>
    <w:p>
      <w:pPr>
        <w:pStyle w:val="46"/>
        <w:ind w:firstLine="480"/>
        <w:rPr>
          <w:color w:val="000000" w:themeColor="text1"/>
          <w:highlight w:val="none"/>
          <w14:textFill>
            <w14:solidFill>
              <w14:schemeClr w14:val="tx1"/>
            </w14:solidFill>
          </w14:textFill>
        </w:rPr>
      </w:pPr>
    </w:p>
    <w:tbl>
      <w:tblPr>
        <w:tblStyle w:val="48"/>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40"/>
        <w:gridCol w:w="936"/>
        <w:gridCol w:w="840"/>
        <w:gridCol w:w="852"/>
        <w:gridCol w:w="1056"/>
        <w:gridCol w:w="888"/>
        <w:gridCol w:w="1527"/>
        <w:gridCol w:w="9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8" w:type="dxa"/>
            <w:vMerge w:val="restart"/>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序号</w:t>
            </w:r>
          </w:p>
        </w:tc>
        <w:tc>
          <w:tcPr>
            <w:tcW w:w="840" w:type="dxa"/>
            <w:vMerge w:val="restart"/>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投标产品</w:t>
            </w:r>
          </w:p>
        </w:tc>
        <w:tc>
          <w:tcPr>
            <w:tcW w:w="936" w:type="dxa"/>
            <w:vMerge w:val="restart"/>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制造商</w:t>
            </w:r>
          </w:p>
        </w:tc>
        <w:tc>
          <w:tcPr>
            <w:tcW w:w="840" w:type="dxa"/>
            <w:vMerge w:val="restart"/>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品牌</w:t>
            </w:r>
          </w:p>
        </w:tc>
        <w:tc>
          <w:tcPr>
            <w:tcW w:w="852" w:type="dxa"/>
            <w:vMerge w:val="restart"/>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产品</w:t>
            </w:r>
          </w:p>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型号</w:t>
            </w:r>
          </w:p>
        </w:tc>
        <w:tc>
          <w:tcPr>
            <w:tcW w:w="3471" w:type="dxa"/>
            <w:gridSpan w:val="3"/>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节能产品</w:t>
            </w:r>
          </w:p>
        </w:tc>
        <w:tc>
          <w:tcPr>
            <w:tcW w:w="2016" w:type="dxa"/>
            <w:gridSpan w:val="2"/>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环保标志产品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8" w:type="dxa"/>
            <w:vMerge w:val="continue"/>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p>
        </w:tc>
        <w:tc>
          <w:tcPr>
            <w:tcW w:w="840" w:type="dxa"/>
            <w:vMerge w:val="continue"/>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p>
        </w:tc>
        <w:tc>
          <w:tcPr>
            <w:tcW w:w="936" w:type="dxa"/>
            <w:vMerge w:val="continue"/>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p>
        </w:tc>
        <w:tc>
          <w:tcPr>
            <w:tcW w:w="840" w:type="dxa"/>
            <w:vMerge w:val="continue"/>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p>
        </w:tc>
        <w:tc>
          <w:tcPr>
            <w:tcW w:w="852" w:type="dxa"/>
            <w:vMerge w:val="continue"/>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认证机</w:t>
            </w:r>
          </w:p>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构名称</w:t>
            </w:r>
          </w:p>
        </w:tc>
        <w:tc>
          <w:tcPr>
            <w:tcW w:w="888" w:type="dxa"/>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认证证书编号</w:t>
            </w:r>
          </w:p>
        </w:tc>
        <w:tc>
          <w:tcPr>
            <w:tcW w:w="1527" w:type="dxa"/>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是否属强制采购品目清单</w:t>
            </w:r>
          </w:p>
        </w:tc>
        <w:tc>
          <w:tcPr>
            <w:tcW w:w="912" w:type="dxa"/>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认证机构名称</w:t>
            </w:r>
          </w:p>
        </w:tc>
        <w:tc>
          <w:tcPr>
            <w:tcW w:w="1104" w:type="dxa"/>
            <w:noWrap w:val="0"/>
            <w:vAlign w:val="center"/>
          </w:tcPr>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认证证</w:t>
            </w:r>
          </w:p>
          <w:p>
            <w:pPr>
              <w:snapToGrid w:val="0"/>
              <w:spacing w:before="50" w:after="120" w:afterLines="50" w:line="440" w:lineRule="exact"/>
              <w:jc w:val="center"/>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r>
              <w:rPr>
                <w:rFonts w:hint="eastAsia" w:hAnsi="宋体" w:cs="Arial"/>
                <w:color w:val="000000" w:themeColor="text1"/>
                <w:szCs w:val="22"/>
                <w:highlight w:val="none"/>
                <w14:textFill>
                  <w14:solidFill>
                    <w14:schemeClr w14:val="tx1"/>
                  </w14:solidFill>
                </w14:textFill>
              </w:rPr>
              <w:t xml:space="preserve"> </w:t>
            </w: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r>
              <w:rPr>
                <w:rFonts w:hint="eastAsia" w:hAnsi="宋体" w:cs="Arial"/>
                <w:color w:val="000000" w:themeColor="text1"/>
                <w:szCs w:val="22"/>
                <w:highlight w:val="none"/>
                <w14:textFill>
                  <w14:solidFill>
                    <w14:schemeClr w14:val="tx1"/>
                  </w14:solidFill>
                </w14:textFill>
              </w:rPr>
              <w:t xml:space="preserve"> </w:t>
            </w: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r>
              <w:rPr>
                <w:rFonts w:hint="eastAsia" w:hAnsi="宋体" w:cs="Arial"/>
                <w:color w:val="000000" w:themeColor="text1"/>
                <w:szCs w:val="22"/>
                <w:highlight w:val="none"/>
                <w14:textFill>
                  <w14:solidFill>
                    <w14:schemeClr w14:val="tx1"/>
                  </w14:solidFill>
                </w14:textFill>
              </w:rPr>
              <w:t xml:space="preserve"> </w:t>
            </w: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r>
              <w:rPr>
                <w:rFonts w:hint="eastAsia" w:hAnsi="宋体" w:cs="Arial"/>
                <w:color w:val="000000" w:themeColor="text1"/>
                <w:szCs w:val="22"/>
                <w:highlight w:val="none"/>
                <w14:textFill>
                  <w14:solidFill>
                    <w14:schemeClr w14:val="tx1"/>
                  </w14:solidFill>
                </w14:textFill>
              </w:rPr>
              <w:t xml:space="preserve"> </w:t>
            </w: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hAnsi="宋体" w:cs="Arial"/>
                <w:color w:val="000000" w:themeColor="text1"/>
                <w:szCs w:val="22"/>
                <w:highlight w:val="none"/>
                <w14:textFill>
                  <w14:solidFill>
                    <w14:schemeClr w14:val="tx1"/>
                  </w14:solidFill>
                </w14:textFill>
              </w:rPr>
            </w:pPr>
          </w:p>
        </w:tc>
        <w:tc>
          <w:tcPr>
            <w:tcW w:w="93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40"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5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056"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888"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527"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912"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c>
          <w:tcPr>
            <w:tcW w:w="1104" w:type="dxa"/>
            <w:noWrap w:val="0"/>
            <w:vAlign w:val="center"/>
          </w:tcPr>
          <w:p>
            <w:pPr>
              <w:snapToGrid w:val="0"/>
              <w:spacing w:before="50" w:after="120" w:afterLines="50" w:line="440" w:lineRule="exact"/>
              <w:jc w:val="center"/>
              <w:rPr>
                <w:rFonts w:ascii="宋体" w:hAnsi="宋体"/>
                <w:color w:val="000000" w:themeColor="text1"/>
                <w:sz w:val="24"/>
                <w:szCs w:val="20"/>
                <w:highlight w:val="none"/>
                <w14:textFill>
                  <w14:solidFill>
                    <w14:schemeClr w14:val="tx1"/>
                  </w14:solidFill>
                </w14:textFill>
              </w:rPr>
            </w:pPr>
          </w:p>
        </w:tc>
      </w:tr>
    </w:tbl>
    <w:p>
      <w:pPr>
        <w:pStyle w:val="19"/>
        <w:spacing w:line="440" w:lineRule="exact"/>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注：</w:t>
      </w:r>
      <w:r>
        <w:rPr>
          <w:rFonts w:hint="eastAsia" w:hAnsi="宋体" w:cs="Arial"/>
          <w:b/>
          <w:bCs/>
          <w:color w:val="000000" w:themeColor="text1"/>
          <w:szCs w:val="22"/>
          <w:highlight w:val="none"/>
          <w14:textFill>
            <w14:solidFill>
              <w14:schemeClr w14:val="tx1"/>
            </w14:solidFill>
          </w14:textFill>
        </w:rPr>
        <w:t>本表适用于招标需求中拟采购产品属于政府部门发布的节能产品、环境标志政府采购品目清单时需提供；并附国家确定的认证机构出具的、处于有效期之内的节能产品认证证书扫描件。</w:t>
      </w:r>
    </w:p>
    <w:p>
      <w:pPr>
        <w:pStyle w:val="19"/>
        <w:spacing w:line="440" w:lineRule="exact"/>
        <w:rPr>
          <w:b/>
          <w:bCs/>
          <w:color w:val="000000" w:themeColor="text1"/>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autoSpaceDE w:val="0"/>
        <w:autoSpaceDN w:val="0"/>
        <w:adjustRightInd w:val="0"/>
        <w:rPr>
          <w:rFonts w:hint="eastAsia" w:ascii="宋体" w:hAnsi="宋体" w:cs="宋体"/>
          <w:bCs/>
          <w:color w:val="000000" w:themeColor="text1"/>
          <w:highlight w:val="none"/>
          <w14:textFill>
            <w14:solidFill>
              <w14:schemeClr w14:val="tx1"/>
            </w14:solidFill>
          </w14:textFill>
        </w:rPr>
      </w:pPr>
      <w:bookmarkStart w:id="172" w:name="_Toc19601"/>
      <w:bookmarkStart w:id="173" w:name="_Toc19453"/>
      <w:bookmarkStart w:id="174" w:name="_Toc2740"/>
      <w:bookmarkStart w:id="175" w:name="_Toc28558"/>
      <w:r>
        <w:rPr>
          <w:rFonts w:hint="eastAsia" w:ascii="宋体" w:hAnsi="宋体" w:cs="宋体"/>
          <w:b/>
          <w:color w:val="000000" w:themeColor="text1"/>
          <w:sz w:val="32"/>
          <w:szCs w:val="32"/>
          <w:highlight w:val="none"/>
          <w14:textFill>
            <w14:solidFill>
              <w14:schemeClr w14:val="tx1"/>
            </w14:solidFill>
          </w14:textFill>
        </w:rPr>
        <w:t>三、报价投标文件封面格式</w:t>
      </w:r>
    </w:p>
    <w:p>
      <w:pPr>
        <w:autoSpaceDE w:val="0"/>
        <w:autoSpaceDN w:val="0"/>
        <w:adjustRightInd w:val="0"/>
        <w:spacing w:line="360" w:lineRule="auto"/>
        <w:jc w:val="righ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color w:val="000000" w:themeColor="text1"/>
          <w:sz w:val="34"/>
          <w:szCs w:val="34"/>
          <w:highlight w:val="none"/>
          <w:lang w:eastAsia="zh-CN"/>
          <w14:textFill>
            <w14:solidFill>
              <w14:schemeClr w14:val="tx1"/>
            </w14:solidFill>
          </w14:textFill>
        </w:rPr>
      </w:pPr>
      <w:r>
        <w:rPr>
          <w:rFonts w:hint="eastAsia" w:ascii="宋体" w:hAnsi="宋体" w:cs="宋体"/>
          <w:b/>
          <w:color w:val="000000" w:themeColor="text1"/>
          <w:sz w:val="34"/>
          <w:szCs w:val="34"/>
          <w:highlight w:val="none"/>
          <w:lang w:eastAsia="zh-CN"/>
          <w14:textFill>
            <w14:solidFill>
              <w14:schemeClr w14:val="tx1"/>
            </w14:solidFill>
          </w14:textFill>
        </w:rPr>
        <w:t>浦江县城乡自来水有限公司涉水级液态聚合氯化铝及涉水级次氯酸钠溶液采购项目</w:t>
      </w:r>
    </w:p>
    <w:p>
      <w:pPr>
        <w:spacing w:line="360" w:lineRule="auto"/>
        <w:jc w:val="center"/>
        <w:rPr>
          <w:rFonts w:hint="eastAsia" w:ascii="宋体" w:hAnsi="宋体" w:cs="宋体"/>
          <w:color w:val="000000" w:themeColor="text1"/>
          <w:spacing w:val="40"/>
          <w:w w:val="90"/>
          <w:sz w:val="21"/>
          <w:szCs w:val="21"/>
          <w:highlight w:val="none"/>
          <w:lang w:bidi="th-TH"/>
          <w14:textFill>
            <w14:solidFill>
              <w14:schemeClr w14:val="tx1"/>
            </w14:solidFill>
          </w14:textFill>
        </w:rPr>
      </w:pPr>
    </w:p>
    <w:p>
      <w:pPr>
        <w:spacing w:line="360" w:lineRule="auto"/>
        <w:jc w:val="center"/>
        <w:rPr>
          <w:rFonts w:hint="eastAsia" w:ascii="宋体" w:hAnsi="宋体" w:cs="宋体"/>
          <w:color w:val="000000" w:themeColor="text1"/>
          <w:spacing w:val="40"/>
          <w:w w:val="90"/>
          <w:sz w:val="44"/>
          <w:szCs w:val="44"/>
          <w:highlight w:val="none"/>
          <w:lang w:bidi="th-TH"/>
          <w14:textFill>
            <w14:solidFill>
              <w14:schemeClr w14:val="tx1"/>
            </w14:solidFill>
          </w14:textFill>
        </w:rPr>
      </w:pPr>
    </w:p>
    <w:p>
      <w:pPr>
        <w:spacing w:line="360" w:lineRule="auto"/>
        <w:jc w:val="center"/>
        <w:rPr>
          <w:rFonts w:hint="eastAsia" w:ascii="宋体" w:hAnsi="宋体" w:cs="宋体"/>
          <w:color w:val="000000" w:themeColor="text1"/>
          <w:spacing w:val="40"/>
          <w:w w:val="90"/>
          <w:sz w:val="96"/>
          <w:szCs w:val="96"/>
          <w:highlight w:val="none"/>
          <w:lang w:bidi="th-TH"/>
          <w14:textFill>
            <w14:solidFill>
              <w14:schemeClr w14:val="tx1"/>
            </w14:solidFill>
          </w14:textFill>
        </w:rPr>
      </w:pPr>
      <w:r>
        <w:rPr>
          <w:rFonts w:hint="eastAsia" w:ascii="宋体" w:hAnsi="宋体" w:cs="宋体"/>
          <w:color w:val="000000" w:themeColor="text1"/>
          <w:spacing w:val="40"/>
          <w:w w:val="90"/>
          <w:sz w:val="96"/>
          <w:szCs w:val="96"/>
          <w:highlight w:val="none"/>
          <w:lang w:bidi="th-TH"/>
          <w14:textFill>
            <w14:solidFill>
              <w14:schemeClr w14:val="tx1"/>
            </w14:solidFill>
          </w14:textFill>
        </w:rPr>
        <w:t>投 标 文 件</w:t>
      </w:r>
    </w:p>
    <w:p>
      <w:pPr>
        <w:autoSpaceDE w:val="0"/>
        <w:autoSpaceDN w:val="0"/>
        <w:adjustRightInd w:val="0"/>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（报价投标文件）</w:t>
      </w: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（标项1/标项2）</w:t>
      </w:r>
    </w:p>
    <w:p>
      <w:pPr>
        <w:pStyle w:val="46"/>
        <w:ind w:firstLine="480"/>
        <w:rPr>
          <w:rFonts w:hint="eastAsia"/>
          <w:color w:val="000000" w:themeColor="text1"/>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项目编号：PJCQGK(</w:t>
      </w:r>
      <w:r>
        <w:rPr>
          <w:rFonts w:hint="eastAsia" w:ascii="宋体" w:hAnsi="宋体" w:cs="宋体"/>
          <w:b/>
          <w:color w:val="000000" w:themeColor="text1"/>
          <w:sz w:val="32"/>
          <w:szCs w:val="32"/>
          <w:highlight w:val="none"/>
          <w:lang w:eastAsia="zh-CN"/>
          <w14:textFill>
            <w14:solidFill>
              <w14:schemeClr w14:val="tx1"/>
            </w14:solidFill>
          </w14:textFill>
        </w:rPr>
        <w:t>ZLSGS</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lang w:eastAsia="zh-CN"/>
          <w14:textFill>
            <w14:solidFill>
              <w14:schemeClr w14:val="tx1"/>
            </w14:solidFill>
          </w14:textFill>
        </w:rPr>
        <w:t>2025-0117</w:t>
      </w:r>
      <w:r>
        <w:rPr>
          <w:rFonts w:hint="eastAsia" w:ascii="宋体" w:hAnsi="宋体" w:cs="宋体"/>
          <w:b/>
          <w:color w:val="000000" w:themeColor="text1"/>
          <w:sz w:val="32"/>
          <w:szCs w:val="32"/>
          <w:highlight w:val="none"/>
          <w14:textFill>
            <w14:solidFill>
              <w14:schemeClr w14:val="tx1"/>
            </w14:solidFill>
          </w14:textFill>
        </w:rPr>
        <w:t xml:space="preserve"> </w:t>
      </w:r>
    </w:p>
    <w:p>
      <w:pPr>
        <w:pStyle w:val="46"/>
        <w:ind w:firstLine="643"/>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color w:val="000000" w:themeColor="text1"/>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投标人名称（盖电子公章）：</w:t>
      </w:r>
      <w:r>
        <w:rPr>
          <w:rFonts w:hint="eastAsia" w:ascii="宋体" w:hAnsi="宋体" w:cs="宋体"/>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法定代表人或授权代表(签字或盖章)： </w:t>
      </w:r>
      <w:r>
        <w:rPr>
          <w:rFonts w:hint="eastAsia" w:ascii="宋体" w:hAnsi="宋体" w:cs="宋体"/>
          <w:b/>
          <w:color w:val="000000" w:themeColor="text1"/>
          <w:sz w:val="32"/>
          <w:szCs w:val="32"/>
          <w:highlight w:val="none"/>
          <w:u w:val="single"/>
          <w14:textFill>
            <w14:solidFill>
              <w14:schemeClr w14:val="tx1"/>
            </w14:solidFill>
          </w14:textFill>
        </w:rPr>
        <w:t xml:space="preserve">                  </w:t>
      </w:r>
    </w:p>
    <w:p>
      <w:pPr>
        <w:autoSpaceDE w:val="0"/>
        <w:autoSpaceDN w:val="0"/>
        <w:adjustRightInd w:val="0"/>
        <w:spacing w:line="360" w:lineRule="auto"/>
        <w:rPr>
          <w:rFonts w:hint="eastAsia" w:ascii="宋体" w:hAnsi="宋体" w:cs="宋体"/>
          <w:b/>
          <w:color w:val="000000" w:themeColor="text1"/>
          <w:sz w:val="32"/>
          <w:szCs w:val="32"/>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时间：    年   月   日</w:t>
      </w:r>
    </w:p>
    <w:p>
      <w:pPr>
        <w:pStyle w:val="46"/>
        <w:rPr>
          <w:rFonts w:hint="eastAsia"/>
          <w:color w:val="000000" w:themeColor="text1"/>
          <w:highlight w:val="none"/>
          <w14:textFill>
            <w14:solidFill>
              <w14:schemeClr w14:val="tx1"/>
            </w14:solidFill>
          </w14:textFill>
        </w:rPr>
      </w:pPr>
    </w:p>
    <w:p>
      <w:pPr>
        <w:autoSpaceDE w:val="0"/>
        <w:autoSpaceDN w:val="0"/>
        <w:adjustRightInd w:val="0"/>
        <w:spacing w:line="360" w:lineRule="auto"/>
        <w:jc w:val="center"/>
        <w:outlineLvl w:val="1"/>
        <w:rPr>
          <w:rFonts w:hint="eastAsia" w:ascii="宋体" w:hAnsi="宋体" w:cs="宋体"/>
          <w:b/>
          <w:bCs/>
          <w:color w:val="000000" w:themeColor="text1"/>
          <w:sz w:val="44"/>
          <w:szCs w:val="44"/>
          <w:highlight w:val="none"/>
          <w14:textFill>
            <w14:solidFill>
              <w14:schemeClr w14:val="tx1"/>
            </w14:solidFill>
          </w14:textFill>
        </w:rPr>
      </w:pPr>
      <w:bookmarkStart w:id="176" w:name="_Toc23488"/>
      <w:bookmarkStart w:id="177" w:name="_Toc6515"/>
      <w:bookmarkStart w:id="178" w:name="_Toc8157"/>
      <w:bookmarkStart w:id="179" w:name="_Toc7339"/>
      <w:r>
        <w:rPr>
          <w:rFonts w:hint="eastAsia" w:ascii="宋体" w:hAnsi="宋体" w:cs="宋体"/>
          <w:b/>
          <w:bCs/>
          <w:color w:val="000000" w:themeColor="text1"/>
          <w:sz w:val="44"/>
          <w:szCs w:val="44"/>
          <w:highlight w:val="none"/>
          <w14:textFill>
            <w14:solidFill>
              <w14:schemeClr w14:val="tx1"/>
            </w14:solidFill>
          </w14:textFill>
        </w:rPr>
        <w:t>目  录</w:t>
      </w:r>
      <w:bookmarkEnd w:id="176"/>
      <w:bookmarkEnd w:id="177"/>
      <w:bookmarkEnd w:id="178"/>
      <w:bookmarkEnd w:id="179"/>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（标项1/标项2）</w:t>
      </w:r>
    </w:p>
    <w:p>
      <w:pPr>
        <w:autoSpaceDE w:val="0"/>
        <w:autoSpaceDN w:val="0"/>
        <w:adjustRightInd w:val="0"/>
        <w:spacing w:line="360" w:lineRule="auto"/>
        <w:jc w:val="center"/>
        <w:outlineLvl w:val="1"/>
        <w:rPr>
          <w:rFonts w:hint="eastAsia" w:ascii="宋体" w:hAnsi="宋体" w:cs="宋体"/>
          <w:b/>
          <w:bCs/>
          <w:color w:val="000000" w:themeColor="text1"/>
          <w:sz w:val="44"/>
          <w:szCs w:val="44"/>
          <w:highlight w:val="none"/>
          <w14:textFill>
            <w14:solidFill>
              <w14:schemeClr w14:val="tx1"/>
            </w14:solidFill>
          </w14:textFill>
        </w:rPr>
      </w:pP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（1）投标函（格式见附件）；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（2）开标一览表（格式见附件）；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（3）投标报价明细表（格式见附件）；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（4）中小企业声明函（格式见附件）；</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（5）残疾人福利性单位声明函（格式见附件）；</w:t>
      </w:r>
    </w:p>
    <w:p>
      <w:pPr>
        <w:tabs>
          <w:tab w:val="left" w:pos="851"/>
          <w:tab w:val="left" w:pos="900"/>
          <w:tab w:val="left" w:pos="1080"/>
        </w:tabs>
        <w:adjustRightInd w:val="0"/>
        <w:snapToGrid w:val="0"/>
        <w:spacing w:line="360" w:lineRule="auto"/>
        <w:ind w:left="340"/>
        <w:jc w:val="left"/>
        <w:rPr>
          <w:rFonts w:hint="eastAsia"/>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（6）省级以上监狱管理局、戒毒管理局（含新疆生产建设兵团）出具的属于监狱企业的证明文件（格式自拟）；</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（7）投标人认为针对报价需要说明的其他文件及资料。</w:t>
      </w:r>
    </w:p>
    <w:p>
      <w:pPr>
        <w:tabs>
          <w:tab w:val="left" w:pos="851"/>
          <w:tab w:val="left" w:pos="900"/>
          <w:tab w:val="left" w:pos="1080"/>
        </w:tabs>
        <w:adjustRightInd w:val="0"/>
        <w:snapToGrid w:val="0"/>
        <w:spacing w:line="360" w:lineRule="auto"/>
        <w:ind w:left="340"/>
        <w:jc w:val="left"/>
        <w:rPr>
          <w:rFonts w:hint="eastAsia"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p>
      <w:pPr>
        <w:pStyle w:val="20"/>
        <w:rPr>
          <w:rFonts w:hint="eastAsia" w:ascii="宋体" w:hAnsi="宋体" w:cs="宋体"/>
          <w:b/>
          <w:color w:val="000000" w:themeColor="text1"/>
          <w:sz w:val="32"/>
          <w:szCs w:val="32"/>
          <w:highlight w:val="none"/>
          <w14:textFill>
            <w14:solidFill>
              <w14:schemeClr w14:val="tx1"/>
            </w14:solidFill>
          </w14:textFill>
        </w:rPr>
      </w:pPr>
    </w:p>
    <w:bookmarkEnd w:id="172"/>
    <w:bookmarkEnd w:id="173"/>
    <w:bookmarkEnd w:id="174"/>
    <w:bookmarkEnd w:id="175"/>
    <w:p>
      <w:pPr>
        <w:pStyle w:val="26"/>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投标函（标项1/标项2）</w:t>
      </w:r>
    </w:p>
    <w:p>
      <w:pPr>
        <w:pStyle w:val="26"/>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pStyle w:val="26"/>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浦江县城乡自来水有限公司</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(投标人全称)授权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(全权代表姓名)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(职务、职称)为全权代表，参加贵方组织的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 (项目编号：PJCQGK(</w:t>
      </w:r>
      <w:r>
        <w:rPr>
          <w:rFonts w:hint="eastAsia" w:ascii="宋体" w:hAnsi="宋体" w:eastAsia="宋体" w:cs="宋体"/>
          <w:color w:val="000000" w:themeColor="text1"/>
          <w:sz w:val="24"/>
          <w:szCs w:val="24"/>
          <w:highlight w:val="none"/>
          <w:lang w:eastAsia="zh-CN"/>
          <w14:textFill>
            <w14:solidFill>
              <w14:schemeClr w14:val="tx1"/>
            </w14:solidFill>
          </w14:textFill>
        </w:rPr>
        <w:t>ZLSGS</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2025-0117</w:t>
      </w:r>
      <w:r>
        <w:rPr>
          <w:rFonts w:hint="eastAsia" w:ascii="宋体" w:hAnsi="宋体" w:eastAsia="宋体" w:cs="宋体"/>
          <w:color w:val="000000" w:themeColor="text1"/>
          <w:sz w:val="24"/>
          <w:szCs w:val="24"/>
          <w:highlight w:val="none"/>
          <w14:textFill>
            <w14:solidFill>
              <w14:schemeClr w14:val="tx1"/>
            </w14:solidFill>
          </w14:textFill>
        </w:rPr>
        <w:t>)的有关活动，并对此项目进行投标。为此：</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1、我方同意在投标人编制和提交投标文件须知规定的开标日期起遵守本投标书中的承诺且在投标有效期满之前均具有约束力。</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2、我方承诺已经具备《中华人民共和国政府采购法》中规定的参加采购活动的投标人应当具备的条件：</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(2)遵守国家法律、行政法规，具有良好的信誉和商业道德；</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(3)具有履行合同的能力和良好的履行合同记录；</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(4)良好的资金、财务状况；</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(5)没有违反政府采购法规、政策的记录；</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(6)没有发生重大经济纠纷和走私犯罪记录。</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3、提供编制和提交投标文件须知规定的全部投标文件，具体内容为：</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(1)资格投标文件、商务技术投标文件、报价投标文件；</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(2)编制和提交投标文件须知要求投标人提交的全部文件；</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(3)按采购文件要求提供和交付的货物和服务的投标报价详见开标一览表；</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(4)保证忠实地执行双方所签订的合同，并承担合同规定的责任和义务；</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(5)保证遵守采购文件中的其他有关规定。</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4、我方完全理解贵方不一定要接受最低价的投标。</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5、我方愿意向贵方提供任何与该项投标有关的数据、情况和技术资料。若贵方需要，我方愿意提供我方作出的一切承诺的有效材料。</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6、我方已详细审核全部采购文件，包括采购文件修改书(如果有)、参考资料及有关附件，确认无误。</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a)提供虚假材料谋取中标、成交的；</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b)采取不正当手段诋毁、排挤其他投标人的；</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c)与采购人、其它投标人或者采购代理机构恶意串通的；</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d)向采购人、采购代理机构行贿或者提供其他不正当利益的；</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e)在招标采购过程中与采购人进行协商谈判的；</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f)拒绝有关部门监督检查或提供虚假情况的。</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投标人有前款第a)至e)项情形之一的，中标无效。</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投标人（盖电子公章）：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26"/>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传真号码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26"/>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autoSpaceDE w:val="0"/>
        <w:autoSpaceDN w:val="0"/>
        <w:adjustRightInd w:val="0"/>
        <w:spacing w:line="360" w:lineRule="auto"/>
        <w:jc w:val="center"/>
        <w:rPr>
          <w:rFonts w:hint="eastAsia" w:ascii="宋体" w:hAnsi="宋体" w:cs="宋体"/>
          <w:b/>
          <w:bCs/>
          <w:snapToGrid w:val="0"/>
          <w:color w:val="000000" w:themeColor="text1"/>
          <w:kern w:val="0"/>
          <w:sz w:val="28"/>
          <w:szCs w:val="28"/>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br w:type="page"/>
      </w:r>
      <w:r>
        <w:rPr>
          <w:rFonts w:hint="eastAsia" w:ascii="宋体" w:hAnsi="宋体" w:cs="宋体"/>
          <w:b/>
          <w:bCs/>
          <w:snapToGrid w:val="0"/>
          <w:color w:val="000000" w:themeColor="text1"/>
          <w:kern w:val="0"/>
          <w:sz w:val="28"/>
          <w:szCs w:val="28"/>
          <w:highlight w:val="none"/>
          <w14:textFill>
            <w14:solidFill>
              <w14:schemeClr w14:val="tx1"/>
            </w14:solidFill>
          </w14:textFill>
        </w:rPr>
        <w:t>开标一览表</w:t>
      </w:r>
    </w:p>
    <w:p>
      <w:pPr>
        <w:autoSpaceDE w:val="0"/>
        <w:autoSpaceDN w:val="0"/>
        <w:adjustRightIn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eastAsia="zh-CN"/>
          <w14:textFill>
            <w14:solidFill>
              <w14:schemeClr w14:val="tx1"/>
            </w14:solidFill>
          </w14:textFill>
        </w:rPr>
        <w:t>标项1/标项2</w:t>
      </w:r>
      <w:r>
        <w:rPr>
          <w:rFonts w:hint="eastAsia" w:ascii="宋体" w:hAnsi="宋体" w:eastAsia="宋体" w:cs="宋体"/>
          <w:b/>
          <w:bCs/>
          <w:color w:val="000000" w:themeColor="text1"/>
          <w:sz w:val="28"/>
          <w:szCs w:val="28"/>
          <w:highlight w:val="none"/>
          <w14:textFill>
            <w14:solidFill>
              <w14:schemeClr w14:val="tx1"/>
            </w14:solidFill>
          </w14:textFill>
        </w:rPr>
        <w:t>）</w:t>
      </w:r>
    </w:p>
    <w:p>
      <w:pPr>
        <w:autoSpaceDE w:val="0"/>
        <w:autoSpaceDN w:val="0"/>
        <w:adjustRightInd w:val="0"/>
        <w:spacing w:line="360" w:lineRule="auto"/>
        <w:jc w:val="center"/>
        <w:rPr>
          <w:rFonts w:hint="eastAsia" w:ascii="宋体" w:hAnsi="宋体" w:cs="宋体"/>
          <w:b/>
          <w:bCs/>
          <w:snapToGrid w:val="0"/>
          <w:color w:val="000000" w:themeColor="text1"/>
          <w:kern w:val="0"/>
          <w:sz w:val="28"/>
          <w:szCs w:val="28"/>
          <w:highlight w:val="none"/>
          <w14:textFill>
            <w14:solidFill>
              <w14:schemeClr w14:val="tx1"/>
            </w14:solidFill>
          </w14:textFill>
        </w:rPr>
      </w:pPr>
    </w:p>
    <w:p>
      <w:pPr>
        <w:adjustRightInd w:val="0"/>
        <w:spacing w:line="360" w:lineRule="auto"/>
        <w:rPr>
          <w:rFonts w:hint="eastAsia" w:ascii="宋体" w:hAnsi="宋体" w:cs="宋体"/>
          <w:color w:val="000000" w:themeColor="text1"/>
          <w:szCs w:val="21"/>
          <w:highlight w:val="none"/>
          <w14:textFill>
            <w14:solidFill>
              <w14:schemeClr w14:val="tx1"/>
            </w14:solidFill>
          </w14:textFill>
        </w:rPr>
      </w:pPr>
    </w:p>
    <w:p>
      <w:pPr>
        <w:adjustRightIn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                                 项目编号：</w:t>
      </w:r>
    </w:p>
    <w:tbl>
      <w:tblPr>
        <w:tblStyle w:val="48"/>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center"/>
          </w:tcPr>
          <w:p>
            <w:pPr>
              <w:adjustRightIn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总报价（人民币）¥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adjustRightInd w:val="0"/>
              <w:spacing w:line="360" w:lineRule="auto"/>
              <w:ind w:firstLine="1440" w:firstLineChars="6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相关说明（如有）：</w:t>
            </w:r>
          </w:p>
        </w:tc>
      </w:tr>
    </w:tbl>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注:总</w:t>
      </w:r>
      <w:r>
        <w:rPr>
          <w:rFonts w:hint="eastAsia" w:ascii="宋体" w:hAnsi="宋体" w:eastAsia="宋体" w:cs="宋体"/>
          <w:b/>
          <w:bCs/>
          <w:color w:val="000000" w:themeColor="text1"/>
          <w:sz w:val="24"/>
          <w:highlight w:val="none"/>
          <w14:textFill>
            <w14:solidFill>
              <w14:schemeClr w14:val="tx1"/>
            </w14:solidFill>
          </w14:textFill>
        </w:rPr>
        <w:t>报价</w:t>
      </w:r>
      <w:r>
        <w:rPr>
          <w:rFonts w:hint="eastAsia" w:ascii="宋体" w:hAnsi="宋体" w:cs="宋体"/>
          <w:b/>
          <w:bCs/>
          <w:color w:val="000000" w:themeColor="text1"/>
          <w:sz w:val="24"/>
          <w:highlight w:val="none"/>
          <w:lang w:eastAsia="zh-CN"/>
          <w14:textFill>
            <w14:solidFill>
              <w14:schemeClr w14:val="tx1"/>
            </w14:solidFill>
          </w14:textFill>
        </w:rPr>
        <w:t>包括但不限于括货物价款、人工费、企业管理费、利润、税金、包装费、运输费、装卸费、标准附件、检测检验、成品保护、验收、培训、技术指导、差旅费、标书费、招标代理费、售后服务、其他费用等完成招标内容及要求所提供的货物及服务过程中涉及的一切费用等。如有漏项也视为优惠已包括在投标总价中，合同价款结算时中标人须开具正式的税务发票。</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cs="宋体"/>
          <w:b/>
          <w:bCs/>
          <w:color w:val="000000" w:themeColor="text1"/>
          <w:sz w:val="24"/>
          <w:highlight w:val="none"/>
          <w:lang w:eastAsia="zh-CN"/>
          <w14:textFill>
            <w14:solidFill>
              <w14:schemeClr w14:val="tx1"/>
            </w14:solidFill>
          </w14:textFill>
        </w:rPr>
      </w:pPr>
    </w:p>
    <w:p>
      <w:pPr>
        <w:adjustRightInd w:val="0"/>
        <w:spacing w:line="360" w:lineRule="auto"/>
        <w:rPr>
          <w:rFonts w:hint="eastAsia" w:ascii="宋体" w:hAnsi="宋体" w:eastAsia="宋体" w:cs="宋体"/>
          <w:b/>
          <w:bCs/>
          <w:color w:val="000000" w:themeColor="text1"/>
          <w:sz w:val="24"/>
          <w:highlight w:val="none"/>
          <w:lang w:eastAsia="zh-CN"/>
          <w14:textFill>
            <w14:solidFill>
              <w14:schemeClr w14:val="tx1"/>
            </w14:solidFill>
          </w14:textFill>
        </w:rPr>
      </w:pPr>
    </w:p>
    <w:p>
      <w:pPr>
        <w:adjustRightIn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adjustRightIn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adjustRightIn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adjustRightIn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snapToGrid w:val="0"/>
          <w:color w:val="000000" w:themeColor="text1"/>
          <w:kern w:val="0"/>
          <w:sz w:val="28"/>
          <w:szCs w:val="28"/>
          <w:highlight w:val="none"/>
          <w14:textFill>
            <w14:solidFill>
              <w14:schemeClr w14:val="tx1"/>
            </w14:solidFill>
          </w14:textFill>
        </w:rPr>
        <w:t>投标报价明细表</w:t>
      </w:r>
      <w:r>
        <w:rPr>
          <w:rFonts w:hint="eastAsia" w:ascii="宋体" w:hAnsi="宋体" w:eastAsia="宋体" w:cs="宋体"/>
          <w:b/>
          <w:bCs/>
          <w:snapToGrid w:val="0"/>
          <w:color w:val="000000" w:themeColor="text1"/>
          <w:kern w:val="0"/>
          <w:sz w:val="28"/>
          <w:szCs w:val="28"/>
          <w:highlight w:val="none"/>
          <w:lang w:eastAsia="zh-CN"/>
          <w14:textFill>
            <w14:solidFill>
              <w14:schemeClr w14:val="tx1"/>
            </w14:solidFill>
          </w14:textFill>
        </w:rPr>
        <w:t>（标项</w:t>
      </w:r>
      <w:r>
        <w:rPr>
          <w:rFonts w:hint="eastAsia" w:ascii="宋体" w:hAnsi="宋体" w:eastAsia="宋体" w:cs="宋体"/>
          <w:b/>
          <w:bCs/>
          <w:snapToGrid w:val="0"/>
          <w:color w:val="000000" w:themeColor="text1"/>
          <w:kern w:val="0"/>
          <w:sz w:val="28"/>
          <w:szCs w:val="28"/>
          <w:highlight w:val="none"/>
          <w:lang w:val="en-US" w:eastAsia="zh-CN"/>
          <w14:textFill>
            <w14:solidFill>
              <w14:schemeClr w14:val="tx1"/>
            </w14:solidFill>
          </w14:textFill>
        </w:rPr>
        <w:t>1）</w:t>
      </w:r>
    </w:p>
    <w:p>
      <w:pPr>
        <w:pStyle w:val="26"/>
        <w:tabs>
          <w:tab w:val="left" w:pos="900"/>
        </w:tabs>
        <w:snapToGrid w:val="0"/>
        <w:spacing w:line="320" w:lineRule="exact"/>
        <w:jc w:val="left"/>
        <w:rPr>
          <w:rFonts w:hint="eastAsia" w:ascii="宋体" w:hAnsi="宋体" w:eastAsia="宋体" w:cs="宋体"/>
          <w:color w:val="000000" w:themeColor="text1"/>
          <w:sz w:val="24"/>
          <w:szCs w:val="24"/>
          <w:highlight w:val="none"/>
          <w14:textFill>
            <w14:solidFill>
              <w14:schemeClr w14:val="tx1"/>
            </w14:solidFill>
          </w14:textFill>
        </w:rPr>
      </w:pPr>
    </w:p>
    <w:p>
      <w:pPr>
        <w:pStyle w:val="26"/>
        <w:tabs>
          <w:tab w:val="left" w:pos="900"/>
        </w:tabs>
        <w:snapToGrid w:val="0"/>
        <w:spacing w:line="32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金额单位：人民币（元） </w:t>
      </w:r>
    </w:p>
    <w:p>
      <w:pPr>
        <w:pStyle w:val="27"/>
        <w:rPr>
          <w:rFonts w:hint="eastAsia"/>
          <w:color w:val="000000" w:themeColor="text1"/>
          <w:highlight w:val="none"/>
          <w14:textFill>
            <w14:solidFill>
              <w14:schemeClr w14:val="tx1"/>
            </w14:solidFill>
          </w14:textFill>
        </w:rPr>
      </w:pPr>
    </w:p>
    <w:tbl>
      <w:tblPr>
        <w:tblStyle w:val="49"/>
        <w:tblW w:w="10016"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09"/>
        <w:gridCol w:w="1161"/>
        <w:gridCol w:w="1129"/>
        <w:gridCol w:w="742"/>
        <w:gridCol w:w="1032"/>
        <w:gridCol w:w="127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518"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60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项目名称</w:t>
            </w:r>
          </w:p>
        </w:tc>
        <w:tc>
          <w:tcPr>
            <w:tcW w:w="1161"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预计供货量</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序号①</w:t>
            </w:r>
          </w:p>
        </w:tc>
        <w:tc>
          <w:tcPr>
            <w:tcW w:w="112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年限</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序号②</w:t>
            </w:r>
          </w:p>
        </w:tc>
        <w:tc>
          <w:tcPr>
            <w:tcW w:w="74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限价</w:t>
            </w:r>
          </w:p>
        </w:tc>
        <w:tc>
          <w:tcPr>
            <w:tcW w:w="103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  单价</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（元/吨）</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序号③</w:t>
            </w: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合计（元）</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序号④=序号①×序号②×序号③</w:t>
            </w:r>
          </w:p>
        </w:tc>
        <w:tc>
          <w:tcPr>
            <w:tcW w:w="1275" w:type="dxa"/>
            <w:noWrap w:val="0"/>
            <w:vAlign w:val="center"/>
          </w:tcPr>
          <w:p>
            <w:pPr>
              <w:spacing w:line="400" w:lineRule="atLeas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是否为小微、监狱、残疾人企业</w:t>
            </w:r>
          </w:p>
        </w:tc>
        <w:tc>
          <w:tcPr>
            <w:tcW w:w="1275" w:type="dxa"/>
            <w:noWrap w:val="0"/>
            <w:vAlign w:val="center"/>
          </w:tcPr>
          <w:p>
            <w:pPr>
              <w:spacing w:line="400" w:lineRule="atLeas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18"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60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涉水级液态聚合氯化铝</w:t>
            </w:r>
          </w:p>
        </w:tc>
        <w:tc>
          <w:tcPr>
            <w:tcW w:w="1161"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600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吨/年</w:t>
            </w:r>
          </w:p>
        </w:tc>
        <w:tc>
          <w:tcPr>
            <w:tcW w:w="112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2年</w:t>
            </w:r>
          </w:p>
        </w:tc>
        <w:tc>
          <w:tcPr>
            <w:tcW w:w="74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1000元/吨</w:t>
            </w:r>
          </w:p>
        </w:tc>
        <w:tc>
          <w:tcPr>
            <w:tcW w:w="103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18"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1609" w:type="dxa"/>
            <w:noWrap w:val="0"/>
            <w:vAlign w:val="center"/>
          </w:tcPr>
          <w:p>
            <w:pPr>
              <w:spacing w:line="400" w:lineRule="atLeast"/>
              <w:jc w:val="center"/>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4064" w:type="dxa"/>
            <w:gridSpan w:val="4"/>
            <w:noWrap w:val="0"/>
            <w:vAlign w:val="center"/>
          </w:tcPr>
          <w:p>
            <w:pPr>
              <w:spacing w:line="400" w:lineRule="atLeas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元</w:t>
            </w:r>
          </w:p>
        </w:tc>
        <w:tc>
          <w:tcPr>
            <w:tcW w:w="3825" w:type="dxa"/>
            <w:gridSpan w:val="3"/>
            <w:noWrap w:val="0"/>
            <w:vAlign w:val="center"/>
          </w:tcPr>
          <w:p>
            <w:pPr>
              <w:spacing w:line="400" w:lineRule="atLeast"/>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元</w:t>
            </w:r>
          </w:p>
        </w:tc>
      </w:tr>
    </w:tbl>
    <w:p>
      <w:pPr>
        <w:pStyle w:val="27"/>
        <w:rPr>
          <w:rFonts w:hint="eastAsia"/>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b/>
          <w:bCs/>
          <w:color w:val="000000" w:themeColor="text1"/>
          <w:sz w:val="24"/>
          <w:highlight w:val="none"/>
          <w14:textFill>
            <w14:solidFill>
              <w14:schemeClr w14:val="tx1"/>
            </w14:solidFill>
          </w14:textFill>
        </w:rPr>
        <w:t>本项</w:t>
      </w:r>
      <w:r>
        <w:rPr>
          <w:rFonts w:hint="eastAsia" w:ascii="宋体" w:hAnsi="宋体"/>
          <w:b/>
          <w:bCs/>
          <w:color w:val="000000" w:themeColor="text1"/>
          <w:sz w:val="24"/>
          <w:highlight w:val="none"/>
          <w:lang w:val="en-US" w:eastAsia="zh-CN"/>
          <w14:textFill>
            <w14:solidFill>
              <w14:schemeClr w14:val="tx1"/>
            </w14:solidFill>
          </w14:textFill>
        </w:rPr>
        <w:t>目单价最高限价1000元/吨，投标总价</w:t>
      </w:r>
      <w:r>
        <w:rPr>
          <w:rFonts w:hint="eastAsia" w:ascii="宋体" w:hAnsi="宋体"/>
          <w:b/>
          <w:bCs/>
          <w:color w:val="000000" w:themeColor="text1"/>
          <w:sz w:val="24"/>
          <w:highlight w:val="none"/>
          <w14:textFill>
            <w14:solidFill>
              <w14:schemeClr w14:val="tx1"/>
            </w14:solidFill>
          </w14:textFill>
        </w:rPr>
        <w:t>最高限价</w:t>
      </w:r>
      <w:r>
        <w:rPr>
          <w:rFonts w:hint="eastAsia" w:ascii="宋体" w:hAnsi="宋体"/>
          <w:b/>
          <w:bCs/>
          <w:color w:val="000000" w:themeColor="text1"/>
          <w:sz w:val="24"/>
          <w:highlight w:val="none"/>
          <w:lang w:val="en-US" w:eastAsia="zh-CN"/>
          <w14:textFill>
            <w14:solidFill>
              <w14:schemeClr w14:val="tx1"/>
            </w14:solidFill>
          </w14:textFill>
        </w:rPr>
        <w:t>120万元</w:t>
      </w:r>
      <w:r>
        <w:rPr>
          <w:rFonts w:hint="eastAsia" w:ascii="宋体" w:hAnsi="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投标人报价</w:t>
      </w:r>
      <w:r>
        <w:rPr>
          <w:rFonts w:hint="eastAsia" w:ascii="宋体" w:hAnsi="宋体"/>
          <w:b/>
          <w:bCs/>
          <w:color w:val="000000" w:themeColor="text1"/>
          <w:sz w:val="24"/>
          <w:highlight w:val="none"/>
          <w14:textFill>
            <w14:solidFill>
              <w14:schemeClr w14:val="tx1"/>
            </w14:solidFill>
          </w14:textFill>
        </w:rPr>
        <w:t>超过</w:t>
      </w:r>
      <w:r>
        <w:rPr>
          <w:rFonts w:hint="eastAsia" w:ascii="宋体" w:hAnsi="宋体"/>
          <w:b/>
          <w:bCs/>
          <w:color w:val="000000" w:themeColor="text1"/>
          <w:sz w:val="24"/>
          <w:highlight w:val="none"/>
          <w:lang w:val="en-US" w:eastAsia="zh-CN"/>
          <w14:textFill>
            <w14:solidFill>
              <w14:schemeClr w14:val="tx1"/>
            </w14:solidFill>
          </w14:textFill>
        </w:rPr>
        <w:t>相应最</w:t>
      </w:r>
      <w:r>
        <w:rPr>
          <w:rFonts w:hint="eastAsia" w:ascii="宋体" w:hAnsi="宋体"/>
          <w:b/>
          <w:bCs/>
          <w:color w:val="000000" w:themeColor="text1"/>
          <w:sz w:val="24"/>
          <w:highlight w:val="none"/>
          <w14:textFill>
            <w14:solidFill>
              <w14:schemeClr w14:val="tx1"/>
            </w14:solidFill>
          </w14:textFill>
        </w:rPr>
        <w:t>高限价的</w:t>
      </w:r>
      <w:r>
        <w:rPr>
          <w:rFonts w:hint="eastAsia" w:ascii="宋体" w:hAnsi="宋体"/>
          <w:b/>
          <w:bCs/>
          <w:color w:val="000000" w:themeColor="text1"/>
          <w:sz w:val="24"/>
          <w:highlight w:val="none"/>
          <w:lang w:val="en-US" w:eastAsia="zh-CN"/>
          <w14:textFill>
            <w14:solidFill>
              <w14:schemeClr w14:val="tx1"/>
            </w14:solidFill>
          </w14:textFill>
        </w:rPr>
        <w:t>均</w:t>
      </w:r>
      <w:r>
        <w:rPr>
          <w:rFonts w:hint="eastAsia" w:ascii="宋体" w:hAnsi="宋体"/>
          <w:b/>
          <w:bCs/>
          <w:color w:val="000000" w:themeColor="text1"/>
          <w:sz w:val="24"/>
          <w:highlight w:val="none"/>
          <w14:textFill>
            <w14:solidFill>
              <w14:schemeClr w14:val="tx1"/>
            </w14:solidFill>
          </w14:textFill>
        </w:rPr>
        <w:t>作无效标处理。</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投标人根据实际情况可在表中报价明细的基础上进行扩展。</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上表所述“总报价”应与“开标一览表”中的总报价一致，如有矛盾，以“开标一览表”中的为准。</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pStyle w:val="46"/>
        <w:rPr>
          <w:rFonts w:hint="eastAsia"/>
          <w:color w:val="000000" w:themeColor="text1"/>
          <w:highlight w:val="none"/>
          <w14:textFill>
            <w14:solidFill>
              <w14:schemeClr w14:val="tx1"/>
            </w14:solidFill>
          </w14:textFill>
        </w:rPr>
      </w:pPr>
    </w:p>
    <w:p>
      <w:pPr>
        <w:pStyle w:val="46"/>
        <w:rPr>
          <w:rFonts w:hint="eastAsia" w:ascii="宋体" w:hAnsi="宋体" w:cs="宋体"/>
          <w:color w:val="000000" w:themeColor="text1"/>
          <w:sz w:val="24"/>
          <w:highlight w:val="none"/>
          <w14:textFill>
            <w14:solidFill>
              <w14:schemeClr w14:val="tx1"/>
            </w14:solidFill>
          </w14:textFill>
        </w:rPr>
      </w:pPr>
    </w:p>
    <w:p>
      <w:pPr>
        <w:pStyle w:val="46"/>
        <w:rPr>
          <w:rFonts w:hint="eastAsia" w:ascii="宋体" w:hAnsi="宋体" w:cs="宋体"/>
          <w:color w:val="000000" w:themeColor="text1"/>
          <w:sz w:val="24"/>
          <w:highlight w:val="none"/>
          <w14:textFill>
            <w14:solidFill>
              <w14:schemeClr w14:val="tx1"/>
            </w14:solidFill>
          </w14:textFill>
        </w:rPr>
      </w:pPr>
    </w:p>
    <w:p>
      <w:pPr>
        <w:pStyle w:val="46"/>
        <w:rPr>
          <w:rFonts w:hint="eastAsia" w:ascii="宋体" w:hAnsi="宋体" w:cs="宋体"/>
          <w:color w:val="000000" w:themeColor="text1"/>
          <w:sz w:val="24"/>
          <w:highlight w:val="none"/>
          <w14:textFill>
            <w14:solidFill>
              <w14:schemeClr w14:val="tx1"/>
            </w14:solidFill>
          </w14:textFill>
        </w:rPr>
      </w:pPr>
    </w:p>
    <w:p>
      <w:pPr>
        <w:pStyle w:val="46"/>
        <w:rPr>
          <w:rFonts w:hint="eastAsia" w:ascii="宋体" w:hAnsi="宋体" w:cs="宋体"/>
          <w:color w:val="000000" w:themeColor="text1"/>
          <w:sz w:val="24"/>
          <w:highlight w:val="none"/>
          <w14:textFill>
            <w14:solidFill>
              <w14:schemeClr w14:val="tx1"/>
            </w14:solidFill>
          </w14:textFill>
        </w:rPr>
      </w:pPr>
    </w:p>
    <w:p>
      <w:pPr>
        <w:pStyle w:val="46"/>
        <w:rPr>
          <w:rFonts w:hint="eastAsia" w:ascii="宋体" w:hAnsi="宋体" w:cs="宋体"/>
          <w:color w:val="000000" w:themeColor="text1"/>
          <w:sz w:val="24"/>
          <w:highlight w:val="none"/>
          <w14:textFill>
            <w14:solidFill>
              <w14:schemeClr w14:val="tx1"/>
            </w14:solidFill>
          </w14:textFill>
        </w:rPr>
      </w:pPr>
    </w:p>
    <w:p>
      <w:pPr>
        <w:adjustRightIn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kern w:val="0"/>
          <w:sz w:val="28"/>
          <w:szCs w:val="28"/>
          <w:highlight w:val="none"/>
          <w14:textFill>
            <w14:solidFill>
              <w14:schemeClr w14:val="tx1"/>
            </w14:solidFill>
          </w14:textFill>
        </w:rPr>
        <w:t>投标报价明细表</w:t>
      </w:r>
      <w:r>
        <w:rPr>
          <w:rFonts w:hint="eastAsia" w:ascii="宋体" w:hAnsi="宋体" w:eastAsia="宋体" w:cs="宋体"/>
          <w:b/>
          <w:bCs/>
          <w:snapToGrid w:val="0"/>
          <w:color w:val="000000" w:themeColor="text1"/>
          <w:kern w:val="0"/>
          <w:sz w:val="28"/>
          <w:szCs w:val="28"/>
          <w:highlight w:val="none"/>
          <w:lang w:eastAsia="zh-CN"/>
          <w14:textFill>
            <w14:solidFill>
              <w14:schemeClr w14:val="tx1"/>
            </w14:solidFill>
          </w14:textFill>
        </w:rPr>
        <w:t>（标项</w:t>
      </w:r>
      <w:r>
        <w:rPr>
          <w:rFonts w:hint="eastAsia" w:ascii="宋体" w:hAnsi="宋体" w:eastAsia="宋体" w:cs="宋体"/>
          <w:b/>
          <w:bCs/>
          <w:snapToGrid w:val="0"/>
          <w:color w:val="000000" w:themeColor="text1"/>
          <w:kern w:val="0"/>
          <w:sz w:val="28"/>
          <w:szCs w:val="28"/>
          <w:highlight w:val="none"/>
          <w:lang w:val="en-US" w:eastAsia="zh-CN"/>
          <w14:textFill>
            <w14:solidFill>
              <w14:schemeClr w14:val="tx1"/>
            </w14:solidFill>
          </w14:textFill>
        </w:rPr>
        <w:t>2）</w:t>
      </w:r>
    </w:p>
    <w:p>
      <w:pPr>
        <w:pStyle w:val="26"/>
        <w:tabs>
          <w:tab w:val="left" w:pos="900"/>
        </w:tabs>
        <w:snapToGrid w:val="0"/>
        <w:spacing w:line="320" w:lineRule="exact"/>
        <w:jc w:val="left"/>
        <w:rPr>
          <w:rFonts w:hint="eastAsia" w:ascii="宋体" w:hAnsi="宋体" w:eastAsia="宋体" w:cs="宋体"/>
          <w:color w:val="000000" w:themeColor="text1"/>
          <w:sz w:val="24"/>
          <w:szCs w:val="24"/>
          <w:highlight w:val="none"/>
          <w14:textFill>
            <w14:solidFill>
              <w14:schemeClr w14:val="tx1"/>
            </w14:solidFill>
          </w14:textFill>
        </w:rPr>
      </w:pPr>
    </w:p>
    <w:p>
      <w:pPr>
        <w:pStyle w:val="26"/>
        <w:tabs>
          <w:tab w:val="left" w:pos="900"/>
        </w:tabs>
        <w:snapToGrid w:val="0"/>
        <w:spacing w:line="32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金额单位：人民币（元） </w:t>
      </w:r>
    </w:p>
    <w:p>
      <w:pPr>
        <w:pStyle w:val="27"/>
        <w:rPr>
          <w:rFonts w:hint="eastAsia"/>
          <w:color w:val="000000" w:themeColor="text1"/>
          <w:highlight w:val="none"/>
          <w14:textFill>
            <w14:solidFill>
              <w14:schemeClr w14:val="tx1"/>
            </w14:solidFill>
          </w14:textFill>
        </w:rPr>
      </w:pPr>
    </w:p>
    <w:tbl>
      <w:tblPr>
        <w:tblStyle w:val="49"/>
        <w:tblW w:w="10016"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09"/>
        <w:gridCol w:w="1161"/>
        <w:gridCol w:w="1129"/>
        <w:gridCol w:w="742"/>
        <w:gridCol w:w="1032"/>
        <w:gridCol w:w="127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518"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60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项目名称</w:t>
            </w:r>
          </w:p>
        </w:tc>
        <w:tc>
          <w:tcPr>
            <w:tcW w:w="1161"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预计供货量</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序号①</w:t>
            </w:r>
          </w:p>
        </w:tc>
        <w:tc>
          <w:tcPr>
            <w:tcW w:w="112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年限</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序号②</w:t>
            </w:r>
          </w:p>
        </w:tc>
        <w:tc>
          <w:tcPr>
            <w:tcW w:w="74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限价</w:t>
            </w:r>
          </w:p>
        </w:tc>
        <w:tc>
          <w:tcPr>
            <w:tcW w:w="103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  单价</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（元/吨）</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序号③</w:t>
            </w: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合计（元）</w:t>
            </w:r>
          </w:p>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序号④=序号①×序号②×序号③</w:t>
            </w:r>
          </w:p>
        </w:tc>
        <w:tc>
          <w:tcPr>
            <w:tcW w:w="1275" w:type="dxa"/>
            <w:noWrap w:val="0"/>
            <w:vAlign w:val="center"/>
          </w:tcPr>
          <w:p>
            <w:pPr>
              <w:spacing w:line="400" w:lineRule="atLeas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是否为小微、监狱、残疾人企业</w:t>
            </w:r>
          </w:p>
        </w:tc>
        <w:tc>
          <w:tcPr>
            <w:tcW w:w="1275" w:type="dxa"/>
            <w:noWrap w:val="0"/>
            <w:vAlign w:val="center"/>
          </w:tcPr>
          <w:p>
            <w:pPr>
              <w:spacing w:line="400" w:lineRule="atLeas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18"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60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涉水级次氯酸钠溶液</w:t>
            </w:r>
          </w:p>
        </w:tc>
        <w:tc>
          <w:tcPr>
            <w:tcW w:w="1161"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00吨/年</w:t>
            </w:r>
          </w:p>
        </w:tc>
        <w:tc>
          <w:tcPr>
            <w:tcW w:w="1129"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2年</w:t>
            </w:r>
          </w:p>
        </w:tc>
        <w:tc>
          <w:tcPr>
            <w:tcW w:w="74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1350元/吨</w:t>
            </w:r>
          </w:p>
        </w:tc>
        <w:tc>
          <w:tcPr>
            <w:tcW w:w="1032"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c>
          <w:tcPr>
            <w:tcW w:w="1275"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18" w:type="dxa"/>
            <w:noWrap w:val="0"/>
            <w:vAlign w:val="center"/>
          </w:tcPr>
          <w:p>
            <w:pPr>
              <w:keepNext w:val="0"/>
              <w:keepLines w:val="0"/>
              <w:pageBreakBefore w:val="0"/>
              <w:widowControl/>
              <w:kinsoku/>
              <w:wordWrap/>
              <w:topLinePunct w:val="0"/>
              <w:bidi w:val="0"/>
              <w:spacing w:line="340" w:lineRule="exact"/>
              <w:ind w:left="0" w:right="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1609" w:type="dxa"/>
            <w:noWrap w:val="0"/>
            <w:vAlign w:val="center"/>
          </w:tcPr>
          <w:p>
            <w:pPr>
              <w:spacing w:line="400" w:lineRule="atLeast"/>
              <w:jc w:val="center"/>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4064" w:type="dxa"/>
            <w:gridSpan w:val="4"/>
            <w:noWrap w:val="0"/>
            <w:vAlign w:val="center"/>
          </w:tcPr>
          <w:p>
            <w:pPr>
              <w:spacing w:line="400" w:lineRule="atLeas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元</w:t>
            </w:r>
          </w:p>
        </w:tc>
        <w:tc>
          <w:tcPr>
            <w:tcW w:w="3825" w:type="dxa"/>
            <w:gridSpan w:val="3"/>
            <w:noWrap w:val="0"/>
            <w:vAlign w:val="center"/>
          </w:tcPr>
          <w:p>
            <w:pPr>
              <w:spacing w:line="400" w:lineRule="atLeast"/>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元</w:t>
            </w:r>
          </w:p>
        </w:tc>
      </w:tr>
    </w:tbl>
    <w:p>
      <w:pPr>
        <w:pStyle w:val="27"/>
        <w:rPr>
          <w:rFonts w:hint="eastAsia"/>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b/>
          <w:bCs/>
          <w:color w:val="000000" w:themeColor="text1"/>
          <w:sz w:val="24"/>
          <w:highlight w:val="none"/>
          <w14:textFill>
            <w14:solidFill>
              <w14:schemeClr w14:val="tx1"/>
            </w14:solidFill>
          </w14:textFill>
        </w:rPr>
        <w:t>本项</w:t>
      </w:r>
      <w:r>
        <w:rPr>
          <w:rFonts w:hint="eastAsia" w:ascii="宋体" w:hAnsi="宋体"/>
          <w:b/>
          <w:bCs/>
          <w:color w:val="000000" w:themeColor="text1"/>
          <w:sz w:val="24"/>
          <w:highlight w:val="none"/>
          <w:lang w:val="en-US" w:eastAsia="zh-CN"/>
          <w14:textFill>
            <w14:solidFill>
              <w14:schemeClr w14:val="tx1"/>
            </w14:solidFill>
          </w14:textFill>
        </w:rPr>
        <w:t>目单价最高限价1350元/吨，投标总价</w:t>
      </w:r>
      <w:r>
        <w:rPr>
          <w:rFonts w:hint="eastAsia" w:ascii="宋体" w:hAnsi="宋体"/>
          <w:b/>
          <w:bCs/>
          <w:color w:val="000000" w:themeColor="text1"/>
          <w:sz w:val="24"/>
          <w:highlight w:val="none"/>
          <w14:textFill>
            <w14:solidFill>
              <w14:schemeClr w14:val="tx1"/>
            </w14:solidFill>
          </w14:textFill>
        </w:rPr>
        <w:t>最高限</w:t>
      </w:r>
      <w:r>
        <w:rPr>
          <w:rFonts w:hint="eastAsia" w:ascii="宋体" w:hAnsi="宋体"/>
          <w:b/>
          <w:bCs/>
          <w:color w:val="000000" w:themeColor="text1"/>
          <w:sz w:val="24"/>
          <w:highlight w:val="none"/>
          <w:lang w:eastAsia="zh-CN"/>
          <w14:textFill>
            <w14:solidFill>
              <w14:schemeClr w14:val="tx1"/>
            </w14:solidFill>
          </w14:textFill>
        </w:rPr>
        <w:t>价</w:t>
      </w:r>
      <w:r>
        <w:rPr>
          <w:rFonts w:hint="eastAsia" w:ascii="宋体" w:hAnsi="宋体"/>
          <w:b/>
          <w:bCs/>
          <w:color w:val="000000" w:themeColor="text1"/>
          <w:sz w:val="24"/>
          <w:highlight w:val="none"/>
          <w:lang w:val="en-US" w:eastAsia="zh-CN"/>
          <w14:textFill>
            <w14:solidFill>
              <w14:schemeClr w14:val="tx1"/>
            </w14:solidFill>
          </w14:textFill>
        </w:rPr>
        <w:t>189万元</w:t>
      </w:r>
      <w:r>
        <w:rPr>
          <w:rFonts w:hint="eastAsia" w:ascii="宋体" w:hAnsi="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投标人报价</w:t>
      </w:r>
      <w:r>
        <w:rPr>
          <w:rFonts w:hint="eastAsia" w:ascii="宋体" w:hAnsi="宋体"/>
          <w:b/>
          <w:bCs/>
          <w:color w:val="000000" w:themeColor="text1"/>
          <w:sz w:val="24"/>
          <w:highlight w:val="none"/>
          <w14:textFill>
            <w14:solidFill>
              <w14:schemeClr w14:val="tx1"/>
            </w14:solidFill>
          </w14:textFill>
        </w:rPr>
        <w:t>超过</w:t>
      </w:r>
      <w:r>
        <w:rPr>
          <w:rFonts w:hint="eastAsia" w:ascii="宋体" w:hAnsi="宋体"/>
          <w:b/>
          <w:bCs/>
          <w:color w:val="000000" w:themeColor="text1"/>
          <w:sz w:val="24"/>
          <w:highlight w:val="none"/>
          <w:lang w:val="en-US" w:eastAsia="zh-CN"/>
          <w14:textFill>
            <w14:solidFill>
              <w14:schemeClr w14:val="tx1"/>
            </w14:solidFill>
          </w14:textFill>
        </w:rPr>
        <w:t>相应最</w:t>
      </w:r>
      <w:r>
        <w:rPr>
          <w:rFonts w:hint="eastAsia" w:ascii="宋体" w:hAnsi="宋体"/>
          <w:b/>
          <w:bCs/>
          <w:color w:val="000000" w:themeColor="text1"/>
          <w:sz w:val="24"/>
          <w:highlight w:val="none"/>
          <w14:textFill>
            <w14:solidFill>
              <w14:schemeClr w14:val="tx1"/>
            </w14:solidFill>
          </w14:textFill>
        </w:rPr>
        <w:t>高限价的</w:t>
      </w:r>
      <w:r>
        <w:rPr>
          <w:rFonts w:hint="eastAsia" w:ascii="宋体" w:hAnsi="宋体"/>
          <w:b/>
          <w:bCs/>
          <w:color w:val="000000" w:themeColor="text1"/>
          <w:sz w:val="24"/>
          <w:highlight w:val="none"/>
          <w:lang w:val="en-US" w:eastAsia="zh-CN"/>
          <w14:textFill>
            <w14:solidFill>
              <w14:schemeClr w14:val="tx1"/>
            </w14:solidFill>
          </w14:textFill>
        </w:rPr>
        <w:t>均</w:t>
      </w:r>
      <w:r>
        <w:rPr>
          <w:rFonts w:hint="eastAsia" w:ascii="宋体" w:hAnsi="宋体"/>
          <w:b/>
          <w:bCs/>
          <w:color w:val="000000" w:themeColor="text1"/>
          <w:sz w:val="24"/>
          <w:highlight w:val="none"/>
          <w14:textFill>
            <w14:solidFill>
              <w14:schemeClr w14:val="tx1"/>
            </w14:solidFill>
          </w14:textFill>
        </w:rPr>
        <w:t>作无效标处理。</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投标人根据实际情况可在表中报价明细的基础上进行扩展。</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上表所述“总报价”应与“开标一览表”中的总报价一致，如有矛盾，以“开标一览表”中的为准。</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投标人全称（盖电子公章）：</w:t>
      </w:r>
    </w:p>
    <w:p>
      <w:pPr>
        <w:snapToGrid w:val="0"/>
        <w:spacing w:line="360" w:lineRule="auto"/>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日期：  </w:t>
      </w:r>
      <w:r>
        <w:rPr>
          <w:rFonts w:hint="eastAsia" w:ascii="宋体" w:hAnsi="宋体" w:cs="宋体"/>
          <w:color w:val="000000" w:themeColor="text1"/>
          <w:sz w:val="24"/>
          <w:highlight w:val="none"/>
          <w14:textFill>
            <w14:solidFill>
              <w14:schemeClr w14:val="tx1"/>
            </w14:solidFill>
          </w14:textFill>
        </w:rPr>
        <w:t>年  月  日</w:t>
      </w:r>
    </w:p>
    <w:p>
      <w:pPr>
        <w:pStyle w:val="46"/>
        <w:rPr>
          <w:rFonts w:hint="eastAsia" w:ascii="宋体" w:hAnsi="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autoSpaceDE w:val="0"/>
        <w:autoSpaceDN w:val="0"/>
        <w:adjustRightIn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bookmarkStart w:id="180" w:name="_Toc21808"/>
      <w:bookmarkStart w:id="181" w:name="_Toc61286949"/>
      <w:bookmarkStart w:id="182" w:name="_Toc30285"/>
      <w:bookmarkStart w:id="183" w:name="_Toc61343840"/>
      <w:r>
        <w:rPr>
          <w:rFonts w:ascii="宋体" w:hAnsi="宋体" w:eastAsia="宋体" w:cs="宋体"/>
          <w:b/>
          <w:color w:val="000000" w:themeColor="text1"/>
          <w:kern w:val="0"/>
          <w:sz w:val="32"/>
          <w:szCs w:val="32"/>
          <w:highlight w:val="none"/>
          <w14:textFill>
            <w14:solidFill>
              <w14:schemeClr w14:val="tx1"/>
            </w14:solidFill>
          </w14:textFill>
        </w:rPr>
        <w:t>中小企业声明函（</w:t>
      </w:r>
      <w:r>
        <w:rPr>
          <w:rFonts w:hint="eastAsia" w:ascii="宋体" w:hAnsi="宋体" w:eastAsia="宋体" w:cs="宋体"/>
          <w:b/>
          <w:color w:val="000000" w:themeColor="text1"/>
          <w:kern w:val="0"/>
          <w:sz w:val="32"/>
          <w:szCs w:val="32"/>
          <w:highlight w:val="none"/>
          <w14:textFill>
            <w14:solidFill>
              <w14:schemeClr w14:val="tx1"/>
            </w14:solidFill>
          </w14:textFill>
        </w:rPr>
        <w:t>货物</w:t>
      </w:r>
      <w:r>
        <w:rPr>
          <w:rFonts w:ascii="宋体" w:hAnsi="宋体" w:eastAsia="宋体" w:cs="宋体"/>
          <w:b/>
          <w:color w:val="000000" w:themeColor="text1"/>
          <w:kern w:val="0"/>
          <w:sz w:val="32"/>
          <w:szCs w:val="32"/>
          <w:highlight w:val="none"/>
          <w14:textFill>
            <w14:solidFill>
              <w14:schemeClr w14:val="tx1"/>
            </w14:solidFill>
          </w14:textFill>
        </w:rPr>
        <w:t>）</w:t>
      </w:r>
      <w:bookmarkEnd w:id="180"/>
      <w:bookmarkEnd w:id="181"/>
      <w:bookmarkEnd w:id="182"/>
      <w:bookmarkEnd w:id="183"/>
    </w:p>
    <w:p>
      <w:pPr>
        <w:autoSpaceDE w:val="0"/>
        <w:autoSpaceDN w:val="0"/>
        <w:adjustRightIn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（标项1/标项2）</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tabs>
          <w:tab w:val="left" w:pos="420"/>
        </w:tabs>
        <w:spacing w:line="480" w:lineRule="auto"/>
        <w:ind w:firstLine="480" w:firstLineChars="200"/>
        <w:jc w:val="left"/>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本公司（联合体）郑重声明，根据《政府采购促进中小企业发展管理办法》（财库﹝2020﹞46 号）的规定，本公司（联合体）参加___</w:t>
      </w:r>
      <w:r>
        <w:rPr>
          <w:rFonts w:hint="eastAsia" w:ascii="宋体" w:hAnsi="宋体" w:cs="Arial"/>
          <w:bCs/>
          <w:i/>
          <w:color w:val="000000" w:themeColor="text1"/>
          <w:kern w:val="0"/>
          <w:sz w:val="24"/>
          <w:highlight w:val="none"/>
          <w:u w:val="single"/>
          <w14:textFill>
            <w14:solidFill>
              <w14:schemeClr w14:val="tx1"/>
            </w14:solidFill>
          </w14:textFill>
        </w:rPr>
        <w:t>（单位名称）</w:t>
      </w:r>
      <w:r>
        <w:rPr>
          <w:rFonts w:hint="eastAsia" w:ascii="宋体" w:hAnsi="宋体" w:cs="Arial"/>
          <w:bCs/>
          <w:color w:val="000000" w:themeColor="text1"/>
          <w:kern w:val="0"/>
          <w:sz w:val="24"/>
          <w:highlight w:val="none"/>
          <w14:textFill>
            <w14:solidFill>
              <w14:schemeClr w14:val="tx1"/>
            </w14:solidFill>
          </w14:textFill>
        </w:rPr>
        <w:t>___ 的___</w:t>
      </w:r>
      <w:r>
        <w:rPr>
          <w:rFonts w:hint="eastAsia" w:ascii="宋体" w:hAnsi="宋体" w:cs="Arial"/>
          <w:bCs/>
          <w:i/>
          <w:color w:val="000000" w:themeColor="text1"/>
          <w:kern w:val="0"/>
          <w:sz w:val="24"/>
          <w:highlight w:val="none"/>
          <w:u w:val="single"/>
          <w14:textFill>
            <w14:solidFill>
              <w14:schemeClr w14:val="tx1"/>
            </w14:solidFill>
          </w14:textFill>
        </w:rPr>
        <w:t>（项目名称）</w:t>
      </w:r>
      <w:r>
        <w:rPr>
          <w:rFonts w:hint="eastAsia" w:ascii="宋体" w:hAnsi="宋体" w:cs="Arial"/>
          <w:bCs/>
          <w:color w:val="000000" w:themeColor="text1"/>
          <w:kern w:val="0"/>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tabs>
          <w:tab w:val="left" w:pos="420"/>
        </w:tabs>
        <w:spacing w:line="480" w:lineRule="auto"/>
        <w:ind w:firstLine="480" w:firstLineChars="200"/>
        <w:jc w:val="left"/>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 xml:space="preserve">1. </w:t>
      </w:r>
      <w:r>
        <w:rPr>
          <w:rFonts w:hint="eastAsia" w:ascii="宋体" w:hAnsi="宋体" w:cs="Arial"/>
          <w:bCs/>
          <w:i/>
          <w:color w:val="000000" w:themeColor="text1"/>
          <w:kern w:val="0"/>
          <w:sz w:val="24"/>
          <w:highlight w:val="none"/>
          <w:u w:val="single"/>
          <w14:textFill>
            <w14:solidFill>
              <w14:schemeClr w14:val="tx1"/>
            </w14:solidFill>
          </w14:textFill>
        </w:rPr>
        <w:t>（标的名称）</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，属于</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i/>
          <w:color w:val="000000" w:themeColor="text1"/>
          <w:kern w:val="0"/>
          <w:sz w:val="24"/>
          <w:highlight w:val="none"/>
          <w:u w:val="single"/>
          <w14:textFill>
            <w14:solidFill>
              <w14:schemeClr w14:val="tx1"/>
            </w14:solidFill>
          </w14:textFill>
        </w:rPr>
        <w:t>（采购文件中明确的所属行业）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行业 ；制造商为_</w:t>
      </w:r>
      <w:r>
        <w:rPr>
          <w:rFonts w:hint="eastAsia" w:ascii="宋体" w:hAnsi="宋体" w:cs="Arial"/>
          <w:bCs/>
          <w:i/>
          <w:color w:val="000000" w:themeColor="text1"/>
          <w:kern w:val="0"/>
          <w:sz w:val="24"/>
          <w:highlight w:val="none"/>
          <w:u w:val="single"/>
          <w14:textFill>
            <w14:solidFill>
              <w14:schemeClr w14:val="tx1"/>
            </w14:solidFill>
          </w14:textFill>
        </w:rPr>
        <w:t>（企业名称）</w:t>
      </w:r>
      <w:r>
        <w:rPr>
          <w:rFonts w:hint="eastAsia" w:ascii="宋体" w:hAnsi="宋体" w:cs="Arial"/>
          <w:bCs/>
          <w:i/>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，从业人员_____人，营业收入为_____万元，资产总额为_____万元，属于</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i/>
          <w:color w:val="000000" w:themeColor="text1"/>
          <w:kern w:val="0"/>
          <w:sz w:val="24"/>
          <w:highlight w:val="none"/>
          <w:u w:val="single"/>
          <w14:textFill>
            <w14:solidFill>
              <w14:schemeClr w14:val="tx1"/>
            </w14:solidFill>
          </w14:textFill>
        </w:rPr>
        <w:t>（中型企业、小型企业、微型企业）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w:t>
      </w:r>
    </w:p>
    <w:p>
      <w:pPr>
        <w:tabs>
          <w:tab w:val="left" w:pos="420"/>
        </w:tabs>
        <w:spacing w:line="480" w:lineRule="auto"/>
        <w:ind w:firstLine="480" w:firstLineChars="200"/>
        <w:jc w:val="left"/>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 xml:space="preserve">2. </w:t>
      </w:r>
      <w:r>
        <w:rPr>
          <w:rFonts w:hint="eastAsia" w:ascii="宋体" w:hAnsi="宋体" w:cs="Arial"/>
          <w:bCs/>
          <w:i/>
          <w:color w:val="000000" w:themeColor="text1"/>
          <w:kern w:val="0"/>
          <w:sz w:val="24"/>
          <w:highlight w:val="none"/>
          <w:u w:val="single"/>
          <w14:textFill>
            <w14:solidFill>
              <w14:schemeClr w14:val="tx1"/>
            </w14:solidFill>
          </w14:textFill>
        </w:rPr>
        <w:t>（标的名称）</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，属于</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i/>
          <w:color w:val="000000" w:themeColor="text1"/>
          <w:kern w:val="0"/>
          <w:sz w:val="24"/>
          <w:highlight w:val="none"/>
          <w:u w:val="single"/>
          <w14:textFill>
            <w14:solidFill>
              <w14:schemeClr w14:val="tx1"/>
            </w14:solidFill>
          </w14:textFill>
        </w:rPr>
        <w:t>（采购文件中明确的所属行业）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行业 ；制造商为__</w:t>
      </w:r>
      <w:r>
        <w:rPr>
          <w:rFonts w:hint="eastAsia" w:ascii="宋体" w:hAnsi="宋体" w:cs="Arial"/>
          <w:bCs/>
          <w:i/>
          <w:color w:val="000000" w:themeColor="text1"/>
          <w:kern w:val="0"/>
          <w:sz w:val="24"/>
          <w:highlight w:val="none"/>
          <w:u w:val="single"/>
          <w14:textFill>
            <w14:solidFill>
              <w14:schemeClr w14:val="tx1"/>
            </w14:solidFill>
          </w14:textFill>
        </w:rPr>
        <w:t>（企业名称）</w:t>
      </w:r>
      <w:r>
        <w:rPr>
          <w:rFonts w:hint="eastAsia" w:ascii="宋体" w:hAnsi="宋体" w:cs="Arial"/>
          <w:bCs/>
          <w:i/>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Arial"/>
          <w:bCs/>
          <w:color w:val="000000" w:themeColor="text1"/>
          <w:kern w:val="0"/>
          <w:sz w:val="24"/>
          <w:highlight w:val="none"/>
          <w:lang w:val="en-US" w:eastAsia="zh-CN"/>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，从业人员_____人，营业收入为_____万元，资产总额为_____万元，属于</w:t>
      </w:r>
      <w:r>
        <w:rPr>
          <w:rFonts w:hint="eastAsia" w:ascii="宋体" w:hAnsi="宋体" w:cs="Arial"/>
          <w:bCs/>
          <w:i/>
          <w:color w:val="000000" w:themeColor="text1"/>
          <w:kern w:val="0"/>
          <w:sz w:val="24"/>
          <w:highlight w:val="none"/>
          <w:u w:val="single"/>
          <w14:textFill>
            <w14:solidFill>
              <w14:schemeClr w14:val="tx1"/>
            </w14:solidFill>
          </w14:textFill>
        </w:rPr>
        <w:t>（中型企业、小型企业、微型企业）</w:t>
      </w:r>
      <w:r>
        <w:rPr>
          <w:rFonts w:hint="eastAsia" w:ascii="宋体" w:hAnsi="宋体" w:cs="Arial"/>
          <w:bCs/>
          <w:color w:val="000000" w:themeColor="text1"/>
          <w:kern w:val="0"/>
          <w:sz w:val="24"/>
          <w:highlight w:val="none"/>
          <w:u w:val="single"/>
          <w14:textFill>
            <w14:solidFill>
              <w14:schemeClr w14:val="tx1"/>
            </w14:solidFill>
          </w14:textFill>
        </w:rPr>
        <w:t xml:space="preserve">  </w:t>
      </w:r>
      <w:r>
        <w:rPr>
          <w:rFonts w:hint="eastAsia" w:ascii="宋体" w:hAnsi="宋体" w:cs="Arial"/>
          <w:bCs/>
          <w:color w:val="000000" w:themeColor="text1"/>
          <w:kern w:val="0"/>
          <w:sz w:val="24"/>
          <w:highlight w:val="none"/>
          <w14:textFill>
            <w14:solidFill>
              <w14:schemeClr w14:val="tx1"/>
            </w14:solidFill>
          </w14:textFill>
        </w:rPr>
        <w:t>；</w:t>
      </w:r>
    </w:p>
    <w:p>
      <w:pPr>
        <w:tabs>
          <w:tab w:val="left" w:pos="420"/>
        </w:tabs>
        <w:spacing w:line="480" w:lineRule="auto"/>
        <w:ind w:firstLine="480" w:firstLineChars="200"/>
        <w:jc w:val="left"/>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w:t>
      </w:r>
    </w:p>
    <w:p>
      <w:pPr>
        <w:tabs>
          <w:tab w:val="left" w:pos="420"/>
        </w:tabs>
        <w:spacing w:line="480" w:lineRule="auto"/>
        <w:ind w:firstLine="480" w:firstLineChars="200"/>
        <w:jc w:val="left"/>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pPr>
        <w:tabs>
          <w:tab w:val="left" w:pos="420"/>
        </w:tabs>
        <w:spacing w:line="480" w:lineRule="auto"/>
        <w:ind w:firstLine="480" w:firstLineChars="200"/>
        <w:jc w:val="left"/>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本企业对上述声明内容的真实性负责。如有虚假，将依法承担相应责任。</w:t>
      </w:r>
    </w:p>
    <w:p>
      <w:pPr>
        <w:pStyle w:val="42"/>
        <w:spacing w:before="0" w:beforeAutospacing="0" w:after="0" w:afterAutospacing="0" w:line="360" w:lineRule="auto"/>
        <w:ind w:firstLine="480" w:firstLineChars="200"/>
        <w:jc w:val="both"/>
        <w:rPr>
          <w:rFonts w:hint="eastAsia" w:ascii="宋体" w:hAnsi="宋体" w:cs="宋体"/>
          <w:color w:val="000000" w:themeColor="text1"/>
          <w:sz w:val="24"/>
          <w:szCs w:val="24"/>
          <w:highlight w:val="none"/>
          <w14:textFill>
            <w14:solidFill>
              <w14:schemeClr w14:val="tx1"/>
            </w14:solidFill>
          </w14:textFill>
        </w:rPr>
      </w:pPr>
    </w:p>
    <w:p>
      <w:pPr>
        <w:pStyle w:val="42"/>
        <w:spacing w:before="0" w:beforeAutospacing="0" w:after="0" w:afterAutospacing="0" w:line="360" w:lineRule="auto"/>
        <w:ind w:firstLine="480" w:firstLineChars="200"/>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投标人全称（盖电子公章）：</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tabs>
          <w:tab w:val="left" w:pos="420"/>
        </w:tabs>
        <w:adjustRightInd w:val="0"/>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注：</w:t>
      </w:r>
      <w:r>
        <w:rPr>
          <w:rFonts w:hint="eastAsia" w:ascii="宋体" w:hAnsi="宋体" w:cs="Arial"/>
          <w:b/>
          <w:bCs/>
          <w:color w:val="000000" w:themeColor="text1"/>
          <w:kern w:val="0"/>
          <w:sz w:val="24"/>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tabs>
          <w:tab w:val="left" w:pos="420"/>
        </w:tabs>
        <w:adjustRightInd w:val="0"/>
        <w:snapToGrid w:val="0"/>
        <w:spacing w:line="360" w:lineRule="auto"/>
        <w:ind w:firstLine="422" w:firstLineChars="200"/>
        <w:rPr>
          <w:rFonts w:hint="eastAsia" w:ascii="宋体" w:cs="宋体"/>
          <w:b/>
          <w:color w:val="000000" w:themeColor="text1"/>
          <w:sz w:val="28"/>
          <w:szCs w:val="28"/>
          <w:highlight w:val="none"/>
          <w14:textFill>
            <w14:solidFill>
              <w14:schemeClr w14:val="tx1"/>
            </w14:solidFill>
          </w14:textFill>
        </w:rPr>
      </w:pPr>
      <w:r>
        <w:rPr>
          <w:rFonts w:hint="eastAsia" w:ascii="宋体" w:hAnsi="宋体" w:eastAsia="宋体" w:cs="Times New Roman"/>
          <w:b/>
          <w:color w:val="000000" w:themeColor="text1"/>
          <w:szCs w:val="21"/>
          <w:highlight w:val="none"/>
          <w:lang w:val="en-US" w:eastAsia="zh-CN"/>
          <w14:textFill>
            <w14:solidFill>
              <w14:schemeClr w14:val="tx1"/>
            </w14:solidFill>
          </w14:textFill>
        </w:rPr>
        <w:t>2.项目对应的中小企业划分标准所属行业：</w:t>
      </w:r>
      <w:r>
        <w:rPr>
          <w:rFonts w:hint="eastAsia" w:ascii="宋体" w:hAnsi="宋体" w:eastAsia="宋体" w:cs="Times New Roman"/>
          <w:b/>
          <w:color w:val="000000" w:themeColor="text1"/>
          <w:szCs w:val="21"/>
          <w:highlight w:val="none"/>
          <w14:textFill>
            <w14:solidFill>
              <w14:schemeClr w14:val="tx1"/>
            </w14:solidFill>
          </w14:textFill>
        </w:rPr>
        <w:t>工业行业</w:t>
      </w:r>
      <w:r>
        <w:rPr>
          <w:rFonts w:hint="eastAsia" w:ascii="宋体" w:hAnsi="宋体" w:eastAsia="宋体" w:cs="Times New Roman"/>
          <w:b/>
          <w:color w:val="000000" w:themeColor="text1"/>
          <w:szCs w:val="21"/>
          <w:highlight w:val="none"/>
          <w:lang w:eastAsia="zh-CN"/>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Times New Roman"/>
          <w:b/>
          <w:color w:val="000000" w:themeColor="text1"/>
          <w:szCs w:val="21"/>
          <w:highlight w:val="none"/>
          <w:lang w:eastAsia="zh-CN"/>
          <w14:textFill>
            <w14:solidFill>
              <w14:schemeClr w14:val="tx1"/>
            </w14:solidFill>
          </w14:textFill>
        </w:rPr>
        <w:t>）。</w:t>
      </w:r>
      <w:r>
        <w:rPr>
          <w:rFonts w:hint="eastAsia" w:hAnsi="宋体" w:cs="Times New Roman"/>
          <w:b/>
          <w:color w:val="000000" w:themeColor="text1"/>
          <w:highlight w:val="none"/>
          <w14:textFill>
            <w14:solidFill>
              <w14:schemeClr w14:val="tx1"/>
            </w14:solidFill>
          </w14:textFill>
        </w:rPr>
        <w:t xml:space="preserve"> </w:t>
      </w:r>
    </w:p>
    <w:p>
      <w:pPr>
        <w:pStyle w:val="46"/>
        <w:spacing w:line="460" w:lineRule="exact"/>
        <w:ind w:firstLine="482"/>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 </w:t>
      </w:r>
    </w:p>
    <w:p>
      <w:pPr>
        <w:pStyle w:val="46"/>
        <w:spacing w:line="460" w:lineRule="exact"/>
        <w:ind w:firstLine="480"/>
        <w:rPr>
          <w:rFonts w:hint="eastAsia" w:hAnsi="宋体"/>
          <w:bCs/>
          <w:color w:val="000000" w:themeColor="text1"/>
          <w:highlight w:val="none"/>
          <w14:textFill>
            <w14:solidFill>
              <w14:schemeClr w14:val="tx1"/>
            </w14:solidFill>
          </w14:textFill>
        </w:rPr>
      </w:pPr>
    </w:p>
    <w:p>
      <w:pPr>
        <w:spacing w:line="588" w:lineRule="exact"/>
        <w:jc w:val="center"/>
        <w:rPr>
          <w:rFonts w:hint="eastAsia" w:ascii="宋体" w:hAnsi="宋体" w:cs="宋体"/>
          <w:b/>
          <w:color w:val="000000" w:themeColor="text1"/>
          <w:sz w:val="28"/>
          <w:szCs w:val="28"/>
          <w:highlight w:val="none"/>
          <w14:textFill>
            <w14:solidFill>
              <w14:schemeClr w14:val="tx1"/>
            </w14:solidFill>
          </w14:textFill>
        </w:rPr>
      </w:pPr>
      <w:bookmarkStart w:id="184" w:name="OLE_LINK13"/>
      <w:bookmarkStart w:id="185" w:name="OLE_LINK14"/>
      <w:r>
        <w:rPr>
          <w:rFonts w:hint="eastAsia" w:ascii="宋体" w:hAnsi="宋体" w:cs="宋体"/>
          <w:b/>
          <w:color w:val="000000" w:themeColor="text1"/>
          <w:sz w:val="28"/>
          <w:szCs w:val="28"/>
          <w:highlight w:val="none"/>
          <w14:textFill>
            <w14:solidFill>
              <w14:schemeClr w14:val="tx1"/>
            </w14:solidFill>
          </w14:textFill>
        </w:rPr>
        <w:t>残疾人福利性单位声明函</w:t>
      </w:r>
    </w:p>
    <w:p>
      <w:pPr>
        <w:autoSpaceDE w:val="0"/>
        <w:autoSpaceDN w:val="0"/>
        <w:adjustRightIn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（标项1/标项2）</w:t>
      </w:r>
    </w:p>
    <w:p>
      <w:pPr>
        <w:spacing w:line="588" w:lineRule="exact"/>
        <w:jc w:val="center"/>
        <w:rPr>
          <w:rFonts w:hint="eastAsia" w:ascii="宋体" w:hAnsi="宋体" w:cs="宋体"/>
          <w:b/>
          <w:color w:val="000000" w:themeColor="text1"/>
          <w:sz w:val="28"/>
          <w:szCs w:val="28"/>
          <w:highlight w:val="none"/>
          <w14:textFill>
            <w14:solidFill>
              <w14:schemeClr w14:val="tx1"/>
            </w14:solidFill>
          </w14:textFill>
        </w:rPr>
      </w:pPr>
    </w:p>
    <w:bookmarkEnd w:id="184"/>
    <w:bookmarkEnd w:id="185"/>
    <w:p>
      <w:pPr>
        <w:spacing w:line="588" w:lineRule="exact"/>
        <w:rPr>
          <w:rFonts w:hint="eastAsia" w:ascii="宋体" w:hAnsi="宋体" w:cs="宋体"/>
          <w:b/>
          <w:color w:val="000000" w:themeColor="text1"/>
          <w:spacing w:val="6"/>
          <w:sz w:val="30"/>
          <w:szCs w:val="30"/>
          <w:highlight w:val="none"/>
          <w14:textFill>
            <w14:solidFill>
              <w14:schemeClr w14:val="tx1"/>
            </w14:solidFill>
          </w14:textFill>
        </w:rPr>
      </w:pPr>
    </w:p>
    <w:p>
      <w:pPr>
        <w:pStyle w:val="46"/>
        <w:spacing w:line="460" w:lineRule="exact"/>
        <w:ind w:firstLine="48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本单位郑重声明，根据《财政部 民政部 中国残疾人联合会关于促进残疾人就业政府采购政策的通知》</w:t>
      </w:r>
      <w:r>
        <w:rPr>
          <w:rFonts w:hint="eastAsia" w:ascii="宋体" w:hAnsi="宋体" w:eastAsia="宋体" w:cs="宋体"/>
          <w:bCs/>
          <w:color w:val="000000" w:themeColor="text1"/>
          <w:szCs w:val="24"/>
          <w:highlight w:val="none"/>
          <w14:textFill>
            <w14:solidFill>
              <w14:schemeClr w14:val="tx1"/>
            </w14:solidFill>
          </w14:textFill>
        </w:rPr>
        <w:t>（财库[2017]141号</w:t>
      </w:r>
      <w:r>
        <w:rPr>
          <w:rFonts w:hint="eastAsia" w:hAnsi="宋体"/>
          <w:bCs/>
          <w:color w:val="000000" w:themeColor="text1"/>
          <w:szCs w:val="24"/>
          <w:highlight w:val="none"/>
          <w14:textFill>
            <w14:solidFill>
              <w14:schemeClr w14:val="tx1"/>
            </w14:solidFill>
          </w14:textFill>
        </w:rPr>
        <w:t>）的规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pPr>
        <w:pStyle w:val="46"/>
        <w:spacing w:line="460" w:lineRule="exact"/>
        <w:ind w:firstLine="48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本单位对上述声明的真实性负责。如有虚假，将依法承担相应责任。</w:t>
      </w:r>
    </w:p>
    <w:p>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p>
    <w:p>
      <w:pPr>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投标人全称（盖电子公章）</w:t>
      </w:r>
      <w:r>
        <w:rPr>
          <w:rFonts w:hint="eastAsia" w:ascii="宋体" w:hAnsi="宋体" w:cs="宋体"/>
          <w:color w:val="000000" w:themeColor="text1"/>
          <w:spacing w:val="6"/>
          <w:sz w:val="24"/>
          <w:highlight w:val="none"/>
          <w14:textFill>
            <w14:solidFill>
              <w14:schemeClr w14:val="tx1"/>
            </w14:solidFill>
          </w14:textFill>
        </w:rPr>
        <w:t>：</w:t>
      </w:r>
    </w:p>
    <w:p>
      <w:pPr>
        <w:tabs>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pPr>
        <w:pStyle w:val="46"/>
        <w:spacing w:line="460" w:lineRule="exact"/>
        <w:ind w:firstLine="482"/>
        <w:rPr>
          <w:rFonts w:hint="eastAsia" w:ascii="宋体" w:hAnsi="宋体" w:eastAsia="宋体" w:cs="宋体"/>
          <w:b/>
          <w:color w:val="000000" w:themeColor="text1"/>
          <w:szCs w:val="24"/>
          <w:highlight w:val="none"/>
          <w14:textFill>
            <w14:solidFill>
              <w14:schemeClr w14:val="tx1"/>
            </w14:solidFill>
          </w14:textFill>
        </w:rPr>
      </w:pPr>
    </w:p>
    <w:p>
      <w:pPr>
        <w:pStyle w:val="46"/>
        <w:spacing w:line="460" w:lineRule="exact"/>
        <w:ind w:firstLine="48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注：投标人为残疾人福利性单位时须满足财库[2017]141号文件第一条的规定同时提供“残疾人福利性单位声明函”。</w:t>
      </w:r>
    </w:p>
    <w:p>
      <w:pPr>
        <w:tabs>
          <w:tab w:val="left" w:pos="4860"/>
        </w:tabs>
        <w:spacing w:line="588" w:lineRule="exact"/>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p>
    <w:p>
      <w:pPr>
        <w:pStyle w:val="46"/>
        <w:ind w:firstLine="504"/>
        <w:rPr>
          <w:rFonts w:hint="eastAsia" w:ascii="宋体" w:hAnsi="宋体" w:cs="宋体"/>
          <w:color w:val="000000" w:themeColor="text1"/>
          <w:spacing w:val="6"/>
          <w:szCs w:val="21"/>
          <w:highlight w:val="none"/>
          <w14:textFill>
            <w14:solidFill>
              <w14:schemeClr w14:val="tx1"/>
            </w14:solidFill>
          </w14:textFill>
        </w:rPr>
        <w:sectPr>
          <w:footerReference r:id="rId8" w:type="default"/>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400" w:lineRule="exact"/>
        <w:jc w:val="center"/>
        <w:rPr>
          <w:rFonts w:ascii="宋体" w:hAnsi="宋体" w:cs="宋体"/>
          <w:color w:val="000000" w:themeColor="text1"/>
          <w:sz w:val="32"/>
          <w:szCs w:val="32"/>
          <w:highlight w:val="none"/>
          <w14:textFill>
            <w14:solidFill>
              <w14:schemeClr w14:val="tx1"/>
            </w14:solidFill>
          </w14:textFill>
        </w:rPr>
      </w:pPr>
    </w:p>
    <w:p>
      <w:pPr>
        <w:tabs>
          <w:tab w:val="left" w:pos="3870"/>
          <w:tab w:val="left" w:pos="4085"/>
        </w:tabs>
        <w:snapToGrid w:val="0"/>
        <w:spacing w:line="50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省级以上监狱管理局、戒毒管理局（含新疆生产建设兵团）出具的属于监狱企业的证明文件（格式自拟）</w:t>
      </w:r>
    </w:p>
    <w:p>
      <w:pPr>
        <w:pStyle w:val="46"/>
        <w:ind w:firstLine="640"/>
        <w:rPr>
          <w:rFonts w:hAnsi="宋体"/>
          <w:color w:val="000000" w:themeColor="text1"/>
          <w:sz w:val="32"/>
          <w:szCs w:val="32"/>
          <w:highlight w:val="none"/>
          <w14:textFill>
            <w14:solidFill>
              <w14:schemeClr w14:val="tx1"/>
            </w14:solidFill>
          </w14:textFill>
        </w:rPr>
      </w:pPr>
    </w:p>
    <w:p>
      <w:pPr>
        <w:pStyle w:val="46"/>
        <w:spacing w:line="460" w:lineRule="exact"/>
        <w:ind w:firstLine="482"/>
        <w:rPr>
          <w:rFonts w:hAnsi="宋体"/>
          <w:b/>
          <w:color w:val="000000" w:themeColor="text1"/>
          <w:szCs w:val="24"/>
          <w:highlight w:val="none"/>
          <w14:textFill>
            <w14:solidFill>
              <w14:schemeClr w14:val="tx1"/>
            </w14:solidFill>
          </w14:textFill>
        </w:rPr>
      </w:pPr>
    </w:p>
    <w:p>
      <w:pPr>
        <w:autoSpaceDE w:val="0"/>
        <w:autoSpaceDN w:val="0"/>
        <w:adjustRightInd w:val="0"/>
        <w:spacing w:line="360" w:lineRule="auto"/>
        <w:jc w:val="cente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（标项1/标项2）</w:t>
      </w:r>
    </w:p>
    <w:p>
      <w:pPr>
        <w:pStyle w:val="46"/>
        <w:spacing w:line="460" w:lineRule="exact"/>
        <w:ind w:firstLine="482"/>
        <w:rPr>
          <w:rFonts w:hAnsi="宋体"/>
          <w:b/>
          <w:color w:val="000000" w:themeColor="text1"/>
          <w:szCs w:val="24"/>
          <w:highlight w:val="none"/>
          <w14:textFill>
            <w14:solidFill>
              <w14:schemeClr w14:val="tx1"/>
            </w14:solidFill>
          </w14:textFill>
        </w:rPr>
      </w:pPr>
    </w:p>
    <w:p>
      <w:pPr>
        <w:pStyle w:val="46"/>
        <w:spacing w:line="460" w:lineRule="exact"/>
        <w:ind w:firstLine="482"/>
        <w:rPr>
          <w:rFonts w:hAnsi="宋体"/>
          <w:b/>
          <w:color w:val="000000" w:themeColor="text1"/>
          <w:szCs w:val="24"/>
          <w:highlight w:val="none"/>
          <w14:textFill>
            <w14:solidFill>
              <w14:schemeClr w14:val="tx1"/>
            </w14:solidFill>
          </w14:textFill>
        </w:rPr>
      </w:pPr>
    </w:p>
    <w:p>
      <w:pPr>
        <w:pStyle w:val="46"/>
        <w:spacing w:line="460" w:lineRule="exact"/>
        <w:ind w:firstLine="482"/>
        <w:rPr>
          <w:rFonts w:hAnsi="宋体"/>
          <w:b/>
          <w:color w:val="000000" w:themeColor="text1"/>
          <w:szCs w:val="24"/>
          <w:highlight w:val="none"/>
          <w14:textFill>
            <w14:solidFill>
              <w14:schemeClr w14:val="tx1"/>
            </w14:solidFill>
          </w14:textFill>
        </w:rPr>
      </w:pPr>
    </w:p>
    <w:p>
      <w:pPr>
        <w:pStyle w:val="46"/>
        <w:spacing w:line="460" w:lineRule="exact"/>
        <w:ind w:firstLine="241" w:firstLineChars="10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注：投标人为属于监狱企业时需提供。</w:t>
      </w:r>
    </w:p>
    <w:p>
      <w:pPr>
        <w:pStyle w:val="46"/>
        <w:ind w:firstLine="504"/>
        <w:rPr>
          <w:rFonts w:hint="eastAsia" w:ascii="宋体" w:hAnsi="宋体" w:cs="宋体"/>
          <w:color w:val="000000" w:themeColor="text1"/>
          <w:spacing w:val="6"/>
          <w:szCs w:val="21"/>
          <w:highlight w:val="none"/>
          <w14:textFill>
            <w14:solidFill>
              <w14:schemeClr w14:val="tx1"/>
            </w14:solidFill>
          </w14:textFill>
        </w:rPr>
        <w:sectPr>
          <w:footerReference r:id="rId9" w:type="default"/>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186" w:name="_Toc1813"/>
      <w:bookmarkStart w:id="187" w:name="_Toc29263"/>
      <w:bookmarkStart w:id="188" w:name="_Toc10683"/>
      <w:bookmarkStart w:id="189" w:name="_Toc19861"/>
      <w:bookmarkStart w:id="190" w:name="_Toc28316"/>
      <w:r>
        <w:rPr>
          <w:rFonts w:hint="eastAsia" w:ascii="宋体" w:hAnsi="宋体" w:eastAsia="宋体" w:cs="宋体"/>
          <w:color w:val="000000" w:themeColor="text1"/>
          <w:sz w:val="32"/>
          <w:szCs w:val="32"/>
          <w:highlight w:val="none"/>
          <w14:textFill>
            <w14:solidFill>
              <w14:schemeClr w14:val="tx1"/>
            </w14:solidFill>
          </w14:textFill>
        </w:rPr>
        <w:t>第七部分   其它</w:t>
      </w:r>
      <w:bookmarkEnd w:id="186"/>
      <w:bookmarkEnd w:id="187"/>
      <w:bookmarkEnd w:id="188"/>
      <w:bookmarkEnd w:id="189"/>
      <w:bookmarkEnd w:id="190"/>
    </w:p>
    <w:p>
      <w:pPr>
        <w:pStyle w:val="103"/>
        <w:widowControl w:val="0"/>
        <w:snapToGrid w:val="0"/>
        <w:spacing w:line="500" w:lineRule="exact"/>
        <w:jc w:val="center"/>
        <w:rPr>
          <w:rFonts w:hAnsi="宋体" w:cs="宋体"/>
          <w:b/>
          <w:color w:val="000000" w:themeColor="text1"/>
          <w:sz w:val="28"/>
          <w:szCs w:val="28"/>
          <w:highlight w:val="none"/>
          <w14:textFill>
            <w14:solidFill>
              <w14:schemeClr w14:val="tx1"/>
            </w14:solidFill>
          </w14:textFill>
        </w:rPr>
      </w:pPr>
      <w:r>
        <w:rPr>
          <w:rFonts w:hAnsi="宋体" w:cs="宋体"/>
          <w:b/>
          <w:color w:val="000000" w:themeColor="text1"/>
          <w:sz w:val="28"/>
          <w:szCs w:val="28"/>
          <w:highlight w:val="none"/>
          <w14:textFill>
            <w14:solidFill>
              <w14:schemeClr w14:val="tx1"/>
            </w14:solidFill>
          </w14:textFill>
        </w:rPr>
        <w:t>采购活动现场确认声明书</w:t>
      </w:r>
    </w:p>
    <w:p>
      <w:pPr>
        <w:pStyle w:val="103"/>
        <w:widowControl w:val="0"/>
        <w:adjustRightInd w:val="0"/>
        <w:snapToGrid w:val="0"/>
        <w:spacing w:line="360" w:lineRule="auto"/>
        <w:jc w:val="both"/>
        <w:rPr>
          <w:rFonts w:hAnsi="宋体" w:cs="宋体"/>
          <w:color w:val="000000" w:themeColor="text1"/>
          <w:kern w:val="0"/>
          <w:szCs w:val="21"/>
          <w:highlight w:val="none"/>
          <w:u w:val="single"/>
          <w14:textFill>
            <w14:solidFill>
              <w14:schemeClr w14:val="tx1"/>
            </w14:solidFill>
          </w14:textFill>
        </w:rPr>
      </w:pPr>
    </w:p>
    <w:p>
      <w:pPr>
        <w:pStyle w:val="103"/>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u w:val="single"/>
          <w:lang w:eastAsia="zh-CN"/>
          <w14:textFill>
            <w14:solidFill>
              <w14:schemeClr w14:val="tx1"/>
            </w14:solidFill>
          </w14:textFill>
        </w:rPr>
        <w:t>浦江县城乡自来水有限公司</w:t>
      </w:r>
      <w:r>
        <w:rPr>
          <w:rFonts w:hAnsi="宋体" w:cs="宋体"/>
          <w:color w:val="000000" w:themeColor="text1"/>
          <w:kern w:val="0"/>
          <w:szCs w:val="21"/>
          <w:highlight w:val="none"/>
          <w14:textFill>
            <w14:solidFill>
              <w14:schemeClr w14:val="tx1"/>
            </w14:solidFill>
          </w14:textFill>
        </w:rPr>
        <w:t>：</w:t>
      </w:r>
    </w:p>
    <w:p>
      <w:pPr>
        <w:pStyle w:val="103"/>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Ansi="宋体" w:cs="宋体"/>
          <w:color w:val="000000" w:themeColor="text1"/>
          <w:kern w:val="0"/>
          <w:szCs w:val="21"/>
          <w:highlight w:val="none"/>
          <w14:textFill>
            <w14:solidFill>
              <w14:schemeClr w14:val="tx1"/>
            </w14:solidFill>
          </w14:textFill>
        </w:rPr>
      </w:pPr>
      <w:r>
        <w:rPr>
          <w:rFonts w:hAnsi="宋体" w:cs="宋体"/>
          <w:color w:val="000000" w:themeColor="text1"/>
          <w:kern w:val="0"/>
          <w:szCs w:val="21"/>
          <w:highlight w:val="none"/>
          <w:u w:val="single"/>
          <w14:textFill>
            <w14:solidFill>
              <w14:schemeClr w14:val="tx1"/>
            </w14:solidFill>
          </w14:textFill>
        </w:rPr>
        <w:t>浦江县产权交易有限公司</w:t>
      </w:r>
      <w:r>
        <w:rPr>
          <w:rFonts w:hAnsi="宋体" w:cs="宋体"/>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Ansi="宋体" w:cs="宋体"/>
          <w:color w:val="000000" w:themeColor="text1"/>
          <w:spacing w:val="6"/>
          <w:szCs w:val="21"/>
          <w:highlight w:val="none"/>
          <w14:textFill>
            <w14:solidFill>
              <w14:schemeClr w14:val="tx1"/>
            </w14:solidFill>
          </w14:textFill>
        </w:rPr>
      </w:pPr>
      <w:r>
        <w:rPr>
          <w:rFonts w:hAnsi="宋体" w:cs="宋体"/>
          <w:color w:val="000000" w:themeColor="text1"/>
          <w:spacing w:val="6"/>
          <w:szCs w:val="21"/>
          <w:highlight w:val="none"/>
          <w14:textFill>
            <w14:solidFill>
              <w14:schemeClr w14:val="tx1"/>
            </w14:solidFill>
          </w14:textFill>
        </w:rPr>
        <w:t>本人经由</w:t>
      </w:r>
      <w:r>
        <w:rPr>
          <w:rFonts w:hAnsi="宋体" w:cs="宋体"/>
          <w:color w:val="000000" w:themeColor="text1"/>
          <w:spacing w:val="6"/>
          <w:szCs w:val="21"/>
          <w:highlight w:val="none"/>
          <w:u w:val="single"/>
          <w14:textFill>
            <w14:solidFill>
              <w14:schemeClr w14:val="tx1"/>
            </w14:solidFill>
          </w14:textFill>
        </w:rPr>
        <w:t xml:space="preserve">                    （单位）</w:t>
      </w:r>
      <w:r>
        <w:rPr>
          <w:rFonts w:hAnsi="宋体" w:cs="宋体"/>
          <w:color w:val="000000" w:themeColor="text1"/>
          <w:spacing w:val="6"/>
          <w:szCs w:val="21"/>
          <w:highlight w:val="none"/>
          <w14:textFill>
            <w14:solidFill>
              <w14:schemeClr w14:val="tx1"/>
            </w14:solidFill>
          </w14:textFill>
        </w:rPr>
        <w:t>负责人</w:t>
      </w:r>
      <w:r>
        <w:rPr>
          <w:rFonts w:hAnsi="宋体" w:cs="宋体"/>
          <w:color w:val="000000" w:themeColor="text1"/>
          <w:spacing w:val="6"/>
          <w:szCs w:val="21"/>
          <w:highlight w:val="none"/>
          <w:u w:val="single"/>
          <w14:textFill>
            <w14:solidFill>
              <w14:schemeClr w14:val="tx1"/>
            </w14:solidFill>
          </w14:textFill>
        </w:rPr>
        <w:t xml:space="preserve">        （姓名）</w:t>
      </w:r>
      <w:r>
        <w:rPr>
          <w:rFonts w:hAnsi="宋体" w:cs="宋体"/>
          <w:color w:val="000000" w:themeColor="text1"/>
          <w:spacing w:val="6"/>
          <w:szCs w:val="21"/>
          <w:highlight w:val="none"/>
          <w14:textFill>
            <w14:solidFill>
              <w14:schemeClr w14:val="tx1"/>
            </w14:solidFill>
          </w14:textFill>
        </w:rPr>
        <w:t>合法授权参加</w:t>
      </w:r>
      <w:r>
        <w:rPr>
          <w:rFonts w:hint="eastAsia" w:hAnsi="宋体" w:cs="宋体"/>
          <w:color w:val="000000" w:themeColor="text1"/>
          <w:spacing w:val="6"/>
          <w:szCs w:val="21"/>
          <w:highlight w:val="none"/>
          <w:lang w:eastAsia="zh-CN"/>
          <w14:textFill>
            <w14:solidFill>
              <w14:schemeClr w14:val="tx1"/>
            </w14:solidFill>
          </w14:textFill>
        </w:rPr>
        <w:t>浦江县城乡自来水有限公司涉水级液态聚合氯化铝及涉水级次氯酸钠溶液采购项目</w:t>
      </w:r>
      <w:r>
        <w:rPr>
          <w:rFonts w:hAnsi="宋体" w:cs="宋体"/>
          <w:color w:val="000000" w:themeColor="text1"/>
          <w:spacing w:val="6"/>
          <w:szCs w:val="21"/>
          <w:highlight w:val="none"/>
          <w14:textFill>
            <w14:solidFill>
              <w14:schemeClr w14:val="tx1"/>
            </w14:solidFill>
          </w14:textFill>
        </w:rPr>
        <w:t>（编号：</w:t>
      </w:r>
      <w:r>
        <w:rPr>
          <w:rFonts w:hAnsi="宋体" w:cs="宋体"/>
          <w:color w:val="000000" w:themeColor="text1"/>
          <w:spacing w:val="6"/>
          <w:szCs w:val="21"/>
          <w:highlight w:val="none"/>
          <w:u w:val="single"/>
          <w14:textFill>
            <w14:solidFill>
              <w14:schemeClr w14:val="tx1"/>
            </w14:solidFill>
          </w14:textFill>
        </w:rPr>
        <w:t>PJCQGK(</w:t>
      </w:r>
      <w:r>
        <w:rPr>
          <w:rFonts w:hint="eastAsia" w:hAnsi="宋体" w:cs="宋体"/>
          <w:color w:val="000000" w:themeColor="text1"/>
          <w:spacing w:val="6"/>
          <w:szCs w:val="21"/>
          <w:highlight w:val="none"/>
          <w:u w:val="single"/>
          <w:lang w:eastAsia="zh-CN"/>
          <w14:textFill>
            <w14:solidFill>
              <w14:schemeClr w14:val="tx1"/>
            </w14:solidFill>
          </w14:textFill>
        </w:rPr>
        <w:t>ZLSGS</w:t>
      </w:r>
      <w:r>
        <w:rPr>
          <w:rFonts w:hAnsi="宋体" w:cs="宋体"/>
          <w:color w:val="000000" w:themeColor="text1"/>
          <w:spacing w:val="6"/>
          <w:szCs w:val="21"/>
          <w:highlight w:val="none"/>
          <w:u w:val="single"/>
          <w14:textFill>
            <w14:solidFill>
              <w14:schemeClr w14:val="tx1"/>
            </w14:solidFill>
          </w14:textFill>
        </w:rPr>
        <w:t>)</w:t>
      </w:r>
      <w:r>
        <w:rPr>
          <w:rFonts w:hint="eastAsia" w:hAnsi="宋体" w:cs="宋体"/>
          <w:color w:val="000000" w:themeColor="text1"/>
          <w:spacing w:val="6"/>
          <w:szCs w:val="21"/>
          <w:highlight w:val="none"/>
          <w:u w:val="single"/>
          <w:lang w:eastAsia="zh-CN"/>
          <w14:textFill>
            <w14:solidFill>
              <w14:schemeClr w14:val="tx1"/>
            </w14:solidFill>
          </w14:textFill>
        </w:rPr>
        <w:t>2025-0117</w:t>
      </w:r>
      <w:r>
        <w:rPr>
          <w:rFonts w:hAnsi="宋体" w:cs="宋体"/>
          <w:color w:val="000000" w:themeColor="text1"/>
          <w:spacing w:val="6"/>
          <w:szCs w:val="21"/>
          <w:highlight w:val="none"/>
          <w14:textFill>
            <w14:solidFill>
              <w14:schemeClr w14:val="tx1"/>
            </w14:solidFill>
          </w14:textFill>
        </w:rPr>
        <w:t xml:space="preserve">）采购活动，经与本单位法人代表（负责人）联系确认，现就有关公平竞争事项郑重声明如下： </w:t>
      </w:r>
    </w:p>
    <w:p>
      <w:pPr>
        <w:pStyle w:val="104"/>
        <w:keepNext w:val="0"/>
        <w:keepLines w:val="0"/>
        <w:pageBreakBefore w:val="0"/>
        <w:widowControl/>
        <w:numPr>
          <w:ilvl w:val="0"/>
          <w:numId w:val="12"/>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本单位与采购人之间 □不存在利害关系 □存在下列利害关系</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w:t>
      </w:r>
    </w:p>
    <w:p>
      <w:pPr>
        <w:pStyle w:val="104"/>
        <w:keepNext w:val="0"/>
        <w:keepLines w:val="0"/>
        <w:pageBreakBefore w:val="0"/>
        <w:widowControl/>
        <w:kinsoku/>
        <w:wordWrap/>
        <w:overflowPunct/>
        <w:topLinePunct w:val="0"/>
        <w:autoSpaceDE/>
        <w:autoSpaceDN/>
        <w:bidi w:val="0"/>
        <w:adjustRightInd w:val="0"/>
        <w:snapToGrid w:val="0"/>
        <w:spacing w:line="360" w:lineRule="exact"/>
        <w:ind w:firstLine="200"/>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A.投资关系    B.行政隶属关系    C.业务指导关系</w:t>
      </w:r>
    </w:p>
    <w:p>
      <w:pPr>
        <w:pStyle w:val="104"/>
        <w:keepNext w:val="0"/>
        <w:keepLines w:val="0"/>
        <w:pageBreakBefore w:val="0"/>
        <w:widowControl/>
        <w:kinsoku/>
        <w:wordWrap/>
        <w:overflowPunct/>
        <w:topLinePunct w:val="0"/>
        <w:autoSpaceDE/>
        <w:autoSpaceDN/>
        <w:bidi w:val="0"/>
        <w:adjustRightInd w:val="0"/>
        <w:snapToGrid w:val="0"/>
        <w:spacing w:line="360" w:lineRule="exact"/>
        <w:ind w:firstLine="200"/>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D.其他可能</w:t>
      </w:r>
      <w:r>
        <w:rPr>
          <w:rFonts w:ascii="宋体" w:hAnsi="宋体" w:cs="宋体"/>
          <w:color w:val="000000" w:themeColor="text1"/>
          <w:szCs w:val="21"/>
          <w:highlight w:val="none"/>
          <w14:textFill>
            <w14:solidFill>
              <w14:schemeClr w14:val="tx1"/>
            </w14:solidFill>
          </w14:textFill>
        </w:rPr>
        <w:t>影响采购公正的</w:t>
      </w:r>
      <w:r>
        <w:rPr>
          <w:rFonts w:ascii="宋体" w:hAnsi="宋体" w:cs="宋体"/>
          <w:color w:val="000000" w:themeColor="text1"/>
          <w:kern w:val="0"/>
          <w:szCs w:val="21"/>
          <w:highlight w:val="none"/>
          <w14:textFill>
            <w14:solidFill>
              <w14:schemeClr w14:val="tx1"/>
            </w14:solidFill>
          </w14:textFill>
        </w:rPr>
        <w:t>利害关系</w:t>
      </w:r>
      <w:r>
        <w:rPr>
          <w:rFonts w:ascii="宋体" w:hAnsi="宋体" w:cs="宋体"/>
          <w:color w:val="000000" w:themeColor="text1"/>
          <w:kern w:val="0"/>
          <w:szCs w:val="21"/>
          <w:highlight w:val="none"/>
          <w:u w:val="single"/>
          <w14:textFill>
            <w14:solidFill>
              <w14:schemeClr w14:val="tx1"/>
            </w14:solidFill>
          </w14:textFill>
        </w:rPr>
        <w:t xml:space="preserve">（如有，请如实说明）                 </w:t>
      </w:r>
      <w:r>
        <w:rPr>
          <w:rFonts w:ascii="宋体" w:hAnsi="宋体" w:cs="宋体"/>
          <w:color w:val="000000" w:themeColor="text1"/>
          <w:kern w:val="0"/>
          <w:szCs w:val="21"/>
          <w:highlight w:val="none"/>
          <w14:textFill>
            <w14:solidFill>
              <w14:schemeClr w14:val="tx1"/>
            </w14:solidFill>
          </w14:textFill>
        </w:rPr>
        <w:t>。</w:t>
      </w:r>
    </w:p>
    <w:p>
      <w:pPr>
        <w:pStyle w:val="104"/>
        <w:keepNext w:val="0"/>
        <w:keepLines w:val="0"/>
        <w:pageBreakBefore w:val="0"/>
        <w:widowControl/>
        <w:kinsoku/>
        <w:wordWrap/>
        <w:overflowPunct/>
        <w:topLinePunct w:val="0"/>
        <w:autoSpaceDE/>
        <w:autoSpaceDN/>
        <w:bidi w:val="0"/>
        <w:adjustRightInd w:val="0"/>
        <w:snapToGrid w:val="0"/>
        <w:spacing w:line="360" w:lineRule="exact"/>
        <w:ind w:firstLine="200"/>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 xml:space="preserve">  二、</w:t>
      </w:r>
      <w:r>
        <w:rPr>
          <w:rFonts w:ascii="宋体" w:hAnsi="宋体" w:cs="宋体"/>
          <w:color w:val="000000" w:themeColor="text1"/>
          <w:kern w:val="0"/>
          <w:szCs w:val="21"/>
          <w:highlight w:val="none"/>
          <w14:textFill>
            <w14:solidFill>
              <w14:schemeClr w14:val="tx1"/>
            </w14:solidFill>
          </w14:textFill>
        </w:rPr>
        <w:t>现已清楚知道参加本项目采购活动的其他所有投标人名称，本单位 □与其他所有投标人之间均不存在利害关系 □与</w:t>
      </w:r>
      <w:r>
        <w:rPr>
          <w:rFonts w:ascii="宋体" w:hAnsi="宋体" w:cs="宋体"/>
          <w:color w:val="000000" w:themeColor="text1"/>
          <w:kern w:val="0"/>
          <w:szCs w:val="21"/>
          <w:highlight w:val="none"/>
          <w:u w:val="single"/>
          <w14:textFill>
            <w14:solidFill>
              <w14:schemeClr w14:val="tx1"/>
            </w14:solidFill>
          </w14:textFill>
        </w:rPr>
        <w:t xml:space="preserve">           （投标人名称）</w:t>
      </w:r>
      <w:r>
        <w:rPr>
          <w:rFonts w:ascii="宋体" w:hAnsi="宋体" w:cs="宋体"/>
          <w:color w:val="000000" w:themeColor="text1"/>
          <w:kern w:val="0"/>
          <w:szCs w:val="21"/>
          <w:highlight w:val="none"/>
          <w14:textFill>
            <w14:solidFill>
              <w14:schemeClr w14:val="tx1"/>
            </w14:solidFill>
          </w14:textFill>
        </w:rPr>
        <w:t>之间存在下列利害关系</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kern w:val="0"/>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A.法定代表人或负责人或实际控制人是同一人</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spacing w:val="6"/>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B.法定代表人或负责人或实际控制人是夫妻关系</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spacing w:val="6"/>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C.法定代表人或负责人或实际控制人是直系血亲关系</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spacing w:val="6"/>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D.法定代表人或负责人或实际控制人存在三代以内旁系血亲关系</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kern w:val="0"/>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E.法定代表人或负责人或实际控制人存在近姻亲关系</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kern w:val="0"/>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F.法定代表人或负责人或实际控制人存在股份控制或实际控制关系</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kern w:val="0"/>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G.存在共同直接或间接投资设立子公司、联营企业和合营企业情况</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szCs w:val="21"/>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t xml:space="preserve">  H.存在分级代理或代销关系、同一生产制造商关系、</w:t>
      </w:r>
      <w:r>
        <w:rPr>
          <w:rFonts w:hAnsi="宋体" w:cs="宋体"/>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200"/>
        <w:jc w:val="both"/>
        <w:textAlignment w:val="auto"/>
        <w:rPr>
          <w:rFonts w:hAnsi="宋体" w:cs="宋体"/>
          <w:color w:val="000000" w:themeColor="text1"/>
          <w:spacing w:val="6"/>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 xml:space="preserve">   I</w:t>
      </w:r>
      <w:r>
        <w:rPr>
          <w:rFonts w:hAnsi="宋体" w:cs="宋体"/>
          <w:color w:val="000000" w:themeColor="text1"/>
          <w:kern w:val="0"/>
          <w:szCs w:val="21"/>
          <w:highlight w:val="none"/>
          <w14:textFill>
            <w14:solidFill>
              <w14:schemeClr w14:val="tx1"/>
            </w14:solidFill>
          </w14:textFill>
        </w:rPr>
        <w:t>.</w:t>
      </w:r>
      <w:r>
        <w:rPr>
          <w:rFonts w:hAnsi="宋体" w:cs="宋体"/>
          <w:color w:val="000000" w:themeColor="text1"/>
          <w:szCs w:val="21"/>
          <w:highlight w:val="none"/>
          <w14:textFill>
            <w14:solidFill>
              <w14:schemeClr w14:val="tx1"/>
            </w14:solidFill>
          </w14:textFill>
        </w:rPr>
        <w:t>其他利害关系情况</w:t>
      </w:r>
      <w:r>
        <w:rPr>
          <w:rFonts w:hAnsi="宋体" w:cs="宋体"/>
          <w:color w:val="000000" w:themeColor="text1"/>
          <w:szCs w:val="21"/>
          <w:highlight w:val="none"/>
          <w:u w:val="single"/>
          <w14:textFill>
            <w14:solidFill>
              <w14:schemeClr w14:val="tx1"/>
            </w14:solidFill>
          </w14:textFill>
        </w:rPr>
        <w:t xml:space="preserve">                              </w:t>
      </w:r>
      <w:r>
        <w:rPr>
          <w:rFonts w:hAnsi="宋体" w:cs="宋体"/>
          <w:color w:val="000000" w:themeColor="text1"/>
          <w:kern w:val="0"/>
          <w:szCs w:val="21"/>
          <w:highlight w:val="none"/>
          <w14:textFill>
            <w14:solidFill>
              <w14:schemeClr w14:val="tx1"/>
            </w14:solidFill>
          </w14:textFill>
        </w:rPr>
        <w:t>。</w:t>
      </w:r>
    </w:p>
    <w:p>
      <w:pPr>
        <w:pStyle w:val="104"/>
        <w:keepNext w:val="0"/>
        <w:keepLines w:val="0"/>
        <w:pageBreakBefore w:val="0"/>
        <w:widowControl/>
        <w:numPr>
          <w:ilvl w:val="0"/>
          <w:numId w:val="13"/>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现已清楚知道并</w:t>
      </w:r>
      <w:r>
        <w:rPr>
          <w:rFonts w:ascii="宋体" w:hAnsi="宋体" w:cs="宋体"/>
          <w:color w:val="000000" w:themeColor="text1"/>
          <w:kern w:val="0"/>
          <w:szCs w:val="21"/>
          <w:highlight w:val="none"/>
          <w14:textFill>
            <w14:solidFill>
              <w14:schemeClr w14:val="tx1"/>
            </w14:solidFill>
          </w14:textFill>
        </w:rPr>
        <w:t>严格遵守采购法律法规和现场纪律。</w:t>
      </w:r>
    </w:p>
    <w:p>
      <w:pPr>
        <w:pStyle w:val="104"/>
        <w:keepNext w:val="0"/>
        <w:keepLines w:val="0"/>
        <w:pageBreakBefore w:val="0"/>
        <w:widowControl/>
        <w:numPr>
          <w:ilvl w:val="0"/>
          <w:numId w:val="13"/>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我发现</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投标人之间存在或可能存在上述第二条第</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项利害关系。</w:t>
      </w:r>
    </w:p>
    <w:p>
      <w:pPr>
        <w:pStyle w:val="104"/>
        <w:keepNext w:val="0"/>
        <w:keepLines w:val="0"/>
        <w:pageBreakBefore w:val="0"/>
        <w:widowControl/>
        <w:numPr>
          <w:ilvl w:val="0"/>
          <w:numId w:val="13"/>
        </w:numPr>
        <w:kinsoku/>
        <w:wordWrap/>
        <w:overflowPunct/>
        <w:topLinePunct w:val="0"/>
        <w:autoSpaceDE/>
        <w:autoSpaceDN/>
        <w:bidi w:val="0"/>
        <w:adjustRightInd w:val="0"/>
        <w:snapToGrid w:val="0"/>
        <w:spacing w:line="360" w:lineRule="exact"/>
        <w:ind w:firstLine="396" w:firstLineChars="189"/>
        <w:textAlignment w:val="auto"/>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经检查确认所有投标人投标文件□不存在密封包装问题  □存在密封包装问题（具体指出）</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14:textFill>
            <w14:solidFill>
              <w14:schemeClr w14:val="tx1"/>
            </w14:solidFill>
          </w14:textFill>
        </w:rPr>
        <w:t>。</w:t>
      </w:r>
    </w:p>
    <w:p>
      <w:pPr>
        <w:pStyle w:val="104"/>
        <w:keepNext w:val="0"/>
        <w:keepLines w:val="0"/>
        <w:pageBreakBefore w:val="0"/>
        <w:widowControl/>
        <w:kinsoku/>
        <w:wordWrap/>
        <w:overflowPunct/>
        <w:topLinePunct w:val="0"/>
        <w:autoSpaceDE/>
        <w:autoSpaceDN/>
        <w:bidi w:val="0"/>
        <w:adjustRightInd w:val="0"/>
        <w:snapToGrid w:val="0"/>
        <w:spacing w:line="360" w:lineRule="exact"/>
        <w:textAlignment w:val="auto"/>
        <w:rPr>
          <w:rFonts w:ascii="宋体" w:hAnsi="宋体" w:cs="宋体"/>
          <w:color w:val="000000" w:themeColor="text1"/>
          <w:kern w:val="0"/>
          <w:szCs w:val="21"/>
          <w:highlight w:val="none"/>
          <w14:textFill>
            <w14:solidFill>
              <w14:schemeClr w14:val="tx1"/>
            </w14:solidFill>
          </w14:textFill>
        </w:rPr>
      </w:pPr>
    </w:p>
    <w:p>
      <w:pPr>
        <w:pStyle w:val="103"/>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 xml:space="preserve">                                （投标人代表签名）</w:t>
      </w:r>
    </w:p>
    <w:p>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bookmarkEnd w:id="0"/>
    <w:p>
      <w:pPr>
        <w:spacing w:line="360" w:lineRule="auto"/>
        <w:jc w:val="center"/>
        <w:rPr>
          <w:rFonts w:hint="eastAsia" w:ascii="宋体" w:hAnsi="宋体" w:cs="宋体"/>
          <w:color w:val="000000" w:themeColor="text1"/>
          <w:sz w:val="30"/>
          <w:szCs w:val="30"/>
          <w:highlight w:val="none"/>
          <w14:textFill>
            <w14:solidFill>
              <w14:schemeClr w14:val="tx1"/>
            </w14:solidFill>
          </w14:textFill>
        </w:rPr>
      </w:pPr>
    </w:p>
    <w:p>
      <w:pPr>
        <w:widowControl/>
        <w:spacing w:before="100" w:beforeAutospacing="1" w:after="100" w:afterAutospacing="1" w:line="300" w:lineRule="atLeast"/>
        <w:jc w:val="left"/>
        <w:rPr>
          <w:rFonts w:hint="eastAsia" w:ascii="宋体" w:hAnsi="宋体" w:cs="宋体"/>
          <w:b/>
          <w:bCs/>
          <w:color w:val="000000" w:themeColor="text1"/>
          <w:kern w:val="0"/>
          <w:sz w:val="28"/>
          <w:szCs w:val="28"/>
          <w:highlight w:val="none"/>
          <w:lang w:eastAsia="zh-CN"/>
          <w14:textFill>
            <w14:solidFill>
              <w14:schemeClr w14:val="tx1"/>
            </w14:solidFill>
          </w14:textFill>
        </w:rPr>
      </w:pPr>
      <w:r>
        <w:rPr>
          <w:rFonts w:hint="eastAsia" w:ascii="宋体" w:hAnsi="宋体" w:cs="宋体"/>
          <w:b/>
          <w:bCs/>
          <w:color w:val="000000" w:themeColor="text1"/>
          <w:kern w:val="0"/>
          <w:sz w:val="24"/>
          <w:szCs w:val="24"/>
          <w:highlight w:val="none"/>
          <w:lang w:eastAsia="zh-CN"/>
          <w14:textFill>
            <w14:solidFill>
              <w14:schemeClr w14:val="tx1"/>
            </w14:solidFill>
          </w14:textFill>
        </w:rPr>
        <w:t>注：</w:t>
      </w:r>
      <w:r>
        <w:rPr>
          <w:rFonts w:hint="eastAsia" w:ascii="宋体" w:hAnsi="宋体" w:cs="宋体"/>
          <w:b/>
          <w:bCs/>
          <w:color w:val="000000" w:themeColor="text1"/>
          <w:kern w:val="0"/>
          <w:sz w:val="24"/>
          <w:szCs w:val="24"/>
          <w:highlight w:val="none"/>
          <w14:textFill>
            <w14:solidFill>
              <w14:schemeClr w14:val="tx1"/>
            </w14:solidFill>
          </w14:textFill>
        </w:rPr>
        <w:t>结束解密后，投标人通过邮件形式将经授权代表签署的《采购活动现场确认声明书》扫描件发至代理机构经办人邮箱（邮箱地址：524416712@qq.com）</w:t>
      </w:r>
      <w:r>
        <w:rPr>
          <w:rFonts w:hint="eastAsia" w:ascii="宋体" w:hAnsi="宋体" w:cs="宋体"/>
          <w:b/>
          <w:bCs/>
          <w:color w:val="000000" w:themeColor="text1"/>
          <w:kern w:val="0"/>
          <w:sz w:val="24"/>
          <w:szCs w:val="24"/>
          <w:highlight w:val="none"/>
          <w:lang w:eastAsia="zh-CN"/>
          <w14:textFill>
            <w14:solidFill>
              <w14:schemeClr w14:val="tx1"/>
            </w14:solidFill>
          </w14:textFill>
        </w:rPr>
        <w:t>。</w:t>
      </w:r>
    </w:p>
    <w:p>
      <w:pPr>
        <w:widowControl/>
        <w:spacing w:before="100" w:beforeAutospacing="1" w:after="100" w:afterAutospacing="1" w:line="300" w:lineRule="atLeast"/>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 招标代理服务收费标准</w:t>
      </w: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b/>
          <w:bCs/>
          <w:color w:val="000000" w:themeColor="text1"/>
          <w:kern w:val="0"/>
          <w:sz w:val="28"/>
          <w:szCs w:val="28"/>
          <w:highlight w:val="none"/>
          <w14:textFill>
            <w14:solidFill>
              <w14:schemeClr w14:val="tx1"/>
            </w14:solidFill>
          </w14:textFill>
        </w:rPr>
        <w:t>费 率)</w:t>
      </w:r>
      <w:r>
        <w:rPr>
          <w:rFonts w:hint="eastAsia" w:ascii="宋体" w:hAnsi="宋体" w:cs="宋体"/>
          <w:color w:val="000000" w:themeColor="text1"/>
          <w:kern w:val="0"/>
          <w:sz w:val="28"/>
          <w:szCs w:val="28"/>
          <w:highlight w:val="none"/>
          <w14:textFill>
            <w14:solidFill>
              <w14:schemeClr w14:val="tx1"/>
            </w14:solidFill>
          </w14:textFill>
        </w:rPr>
        <w:t xml:space="preserve"> </w:t>
      </w:r>
    </w:p>
    <w:tbl>
      <w:tblPr>
        <w:tblStyle w:val="48"/>
        <w:tblW w:w="833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 xml:space="preserve">服务类型     </w:t>
            </w:r>
          </w:p>
          <w:p>
            <w:pPr>
              <w:widowControl/>
              <w:spacing w:before="100" w:beforeAutospacing="1" w:after="100" w:afterAutospacing="1" w:line="300" w:lineRule="atLeas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p>
        </w:tc>
      </w:tr>
    </w:tbl>
    <w:p>
      <w:pPr>
        <w:widowControl/>
        <w:spacing w:line="432"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注：</w:t>
      </w: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招标代理服务收费按差额定率累进法计算。例如：某工程招标代理业务中标金额为6000万元，计算招标代理服务费额如下：</w:t>
      </w: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100万元×1.0％＝1万元</w:t>
      </w: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（500－100）万元×0.7％＝2.8万元</w:t>
      </w: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（1000－500）万元×0.55％＝2.75万元</w:t>
      </w: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（5000－1000）万元×0.35％＝14万元</w:t>
      </w:r>
    </w:p>
    <w:p>
      <w:pPr>
        <w:widowControl/>
        <w:spacing w:line="432" w:lineRule="auto"/>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（6000－5000）万元×0.2％＝2万元</w:t>
      </w:r>
    </w:p>
    <w:p>
      <w:pPr>
        <w:widowControl/>
        <w:spacing w:line="432"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合计收费＝1＋2.8＋2.75＋14＋2＝22.55(万元)</w:t>
      </w:r>
    </w:p>
    <w:p>
      <w:pPr>
        <w:snapToGrid w:val="0"/>
        <w:spacing w:before="50" w:after="50" w:line="440" w:lineRule="exact"/>
        <w:ind w:left="-3" w:leftChars="-72" w:right="-817" w:rightChars="-389" w:hanging="148" w:hangingChars="62"/>
        <w:rPr>
          <w:rFonts w:hint="eastAsia" w:ascii="宋体" w:hAnsi="宋体" w:cs="宋体"/>
          <w:color w:val="000000" w:themeColor="text1"/>
          <w:sz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sectPr>
      <w:pgSz w:w="11906" w:h="16838"/>
      <w:pgMar w:top="1247" w:right="1588" w:bottom="1089" w:left="158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E-F1">
    <w:altName w:val="Malgun Gothic"/>
    <w:panose1 w:val="00000000000000000000"/>
    <w:charset w:val="81"/>
    <w:family w:val="auto"/>
    <w:pitch w:val="default"/>
    <w:sig w:usb0="00000000" w:usb1="00000000" w:usb2="00000010" w:usb3="00000000" w:csb0="00080000" w:csb1="00000000"/>
  </w:font>
  <w:font w:name="TimesNewRomanPSMT">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4A651"/>
    <w:multiLevelType w:val="singleLevel"/>
    <w:tmpl w:val="C8E4A651"/>
    <w:lvl w:ilvl="0" w:tentative="0">
      <w:start w:val="1"/>
      <w:numFmt w:val="decimal"/>
      <w:lvlText w:val="(%1)"/>
      <w:lvlJc w:val="left"/>
      <w:pPr>
        <w:ind w:left="425" w:hanging="425"/>
      </w:pPr>
      <w:rPr>
        <w:rFonts w:hint="default"/>
      </w:rPr>
    </w:lvl>
  </w:abstractNum>
  <w:abstractNum w:abstractNumId="1">
    <w:nsid w:val="C98C86A2"/>
    <w:multiLevelType w:val="singleLevel"/>
    <w:tmpl w:val="C98C86A2"/>
    <w:lvl w:ilvl="0" w:tentative="0">
      <w:start w:val="2"/>
      <w:numFmt w:val="decimal"/>
      <w:lvlText w:val="%1."/>
      <w:lvlJc w:val="left"/>
      <w:pPr>
        <w:tabs>
          <w:tab w:val="left" w:pos="312"/>
        </w:tabs>
      </w:pPr>
    </w:lvl>
  </w:abstractNum>
  <w:abstractNum w:abstractNumId="2">
    <w:nsid w:val="ECFF2DD4"/>
    <w:multiLevelType w:val="singleLevel"/>
    <w:tmpl w:val="ECFF2DD4"/>
    <w:lvl w:ilvl="0" w:tentative="0">
      <w:start w:val="1"/>
      <w:numFmt w:val="decimal"/>
      <w:suff w:val="nothing"/>
      <w:lvlText w:val="（%1）"/>
      <w:lvlJc w:val="left"/>
    </w:lvl>
  </w:abstractNum>
  <w:abstractNum w:abstractNumId="3">
    <w:nsid w:val="02FCA2B6"/>
    <w:multiLevelType w:val="singleLevel"/>
    <w:tmpl w:val="02FCA2B6"/>
    <w:lvl w:ilvl="0" w:tentative="0">
      <w:start w:val="1"/>
      <w:numFmt w:val="decimal"/>
      <w:suff w:val="space"/>
      <w:lvlText w:val="%1."/>
      <w:lvlJc w:val="left"/>
    </w:lvl>
  </w:abstractNum>
  <w:abstractNum w:abstractNumId="4">
    <w:nsid w:val="2E09D3A6"/>
    <w:multiLevelType w:val="singleLevel"/>
    <w:tmpl w:val="2E09D3A6"/>
    <w:lvl w:ilvl="0" w:tentative="0">
      <w:start w:val="1"/>
      <w:numFmt w:val="decimal"/>
      <w:suff w:val="nothing"/>
      <w:lvlText w:val="%1、"/>
      <w:lvlJc w:val="left"/>
    </w:lvl>
  </w:abstractNum>
  <w:abstractNum w:abstractNumId="5">
    <w:nsid w:val="47A7DCD3"/>
    <w:multiLevelType w:val="singleLevel"/>
    <w:tmpl w:val="47A7DCD3"/>
    <w:lvl w:ilvl="0" w:tentative="0">
      <w:start w:val="1"/>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0790BD9"/>
    <w:multiLevelType w:val="singleLevel"/>
    <w:tmpl w:val="60790BD9"/>
    <w:lvl w:ilvl="0" w:tentative="0">
      <w:start w:val="1"/>
      <w:numFmt w:val="chineseCounting"/>
      <w:suff w:val="nothing"/>
      <w:lvlText w:val="%1、"/>
      <w:lvlJc w:val="left"/>
      <w:rPr>
        <w:rFonts w:hint="eastAsia"/>
      </w:rPr>
    </w:lvl>
  </w:abstractNum>
  <w:abstractNum w:abstractNumId="9">
    <w:nsid w:val="620F8904"/>
    <w:multiLevelType w:val="singleLevel"/>
    <w:tmpl w:val="620F8904"/>
    <w:lvl w:ilvl="0" w:tentative="0">
      <w:start w:val="2"/>
      <w:numFmt w:val="chineseCounting"/>
      <w:suff w:val="space"/>
      <w:lvlText w:val="第%1部分"/>
      <w:lvlJc w:val="left"/>
      <w:rPr>
        <w:rFonts w:hint="eastAsia"/>
      </w:rPr>
    </w:lvl>
  </w:abstractNum>
  <w:abstractNum w:abstractNumId="10">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46260FA"/>
    <w:multiLevelType w:val="multilevel"/>
    <w:tmpl w:val="646260FA"/>
    <w:lvl w:ilvl="0" w:tentative="0">
      <w:start w:val="1"/>
      <w:numFmt w:val="decimal"/>
      <w:pStyle w:val="159"/>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7D4C19BB"/>
    <w:multiLevelType w:val="multilevel"/>
    <w:tmpl w:val="7D4C19BB"/>
    <w:lvl w:ilvl="0" w:tentative="0">
      <w:start w:val="1"/>
      <w:numFmt w:val="decimal"/>
      <w:lvlText w:val="（%1）"/>
      <w:lvlJc w:val="left"/>
      <w:pPr>
        <w:ind w:left="1249" w:hanging="420"/>
      </w:pPr>
      <w:rPr>
        <w:rFonts w:hint="eastAsia"/>
      </w:rPr>
    </w:lvl>
    <w:lvl w:ilvl="1" w:tentative="0">
      <w:start w:val="1"/>
      <w:numFmt w:val="decimal"/>
      <w:lvlText w:val="（%2）"/>
      <w:lvlJc w:val="left"/>
      <w:pPr>
        <w:ind w:left="3398" w:hanging="420"/>
      </w:pPr>
      <w:rPr>
        <w:rFonts w:hint="eastAsia"/>
      </w:r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11"/>
  </w:num>
  <w:num w:numId="2">
    <w:abstractNumId w:val="1"/>
  </w:num>
  <w:num w:numId="3">
    <w:abstractNumId w:val="5"/>
  </w:num>
  <w:num w:numId="4">
    <w:abstractNumId w:val="3"/>
  </w:num>
  <w:num w:numId="5">
    <w:abstractNumId w:val="4"/>
  </w:num>
  <w:num w:numId="6">
    <w:abstractNumId w:val="9"/>
  </w:num>
  <w:num w:numId="7">
    <w:abstractNumId w:val="10"/>
  </w:num>
  <w:num w:numId="8">
    <w:abstractNumId w:val="0"/>
  </w:num>
  <w:num w:numId="9">
    <w:abstractNumId w:val="2"/>
  </w:num>
  <w:num w:numId="10">
    <w:abstractNumId w:val="8"/>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U1ZTFmZDQ0OWZkNGUxMjdlNWY1ODg2NjExYTIifQ=="/>
  </w:docVars>
  <w:rsids>
    <w:rsidRoot w:val="00172A27"/>
    <w:rsid w:val="00001E56"/>
    <w:rsid w:val="0000396E"/>
    <w:rsid w:val="000042E7"/>
    <w:rsid w:val="00004478"/>
    <w:rsid w:val="000151EB"/>
    <w:rsid w:val="000173D9"/>
    <w:rsid w:val="00023C95"/>
    <w:rsid w:val="00033EE6"/>
    <w:rsid w:val="0003576A"/>
    <w:rsid w:val="000364DE"/>
    <w:rsid w:val="00036535"/>
    <w:rsid w:val="000371E8"/>
    <w:rsid w:val="000445EB"/>
    <w:rsid w:val="000451B7"/>
    <w:rsid w:val="00050BD9"/>
    <w:rsid w:val="00053E49"/>
    <w:rsid w:val="00063A1A"/>
    <w:rsid w:val="0006711B"/>
    <w:rsid w:val="0006742A"/>
    <w:rsid w:val="00067A80"/>
    <w:rsid w:val="00067D63"/>
    <w:rsid w:val="0007753E"/>
    <w:rsid w:val="0008108E"/>
    <w:rsid w:val="00082EC3"/>
    <w:rsid w:val="000870E1"/>
    <w:rsid w:val="00091E58"/>
    <w:rsid w:val="00096A49"/>
    <w:rsid w:val="000A002F"/>
    <w:rsid w:val="000A26A0"/>
    <w:rsid w:val="000A7899"/>
    <w:rsid w:val="000B0696"/>
    <w:rsid w:val="000B1A41"/>
    <w:rsid w:val="000B7C98"/>
    <w:rsid w:val="000C296B"/>
    <w:rsid w:val="000C314E"/>
    <w:rsid w:val="000E5537"/>
    <w:rsid w:val="0011283B"/>
    <w:rsid w:val="00114CF3"/>
    <w:rsid w:val="001220E7"/>
    <w:rsid w:val="001236DA"/>
    <w:rsid w:val="001307EB"/>
    <w:rsid w:val="00132FF2"/>
    <w:rsid w:val="00140949"/>
    <w:rsid w:val="001474A4"/>
    <w:rsid w:val="001662B9"/>
    <w:rsid w:val="00175AAD"/>
    <w:rsid w:val="001A2705"/>
    <w:rsid w:val="001A3C11"/>
    <w:rsid w:val="001B3D36"/>
    <w:rsid w:val="001B666B"/>
    <w:rsid w:val="001C45D1"/>
    <w:rsid w:val="001C5282"/>
    <w:rsid w:val="001D028B"/>
    <w:rsid w:val="001D0DE0"/>
    <w:rsid w:val="001D5FB4"/>
    <w:rsid w:val="001E07E0"/>
    <w:rsid w:val="001F136F"/>
    <w:rsid w:val="001F4AAA"/>
    <w:rsid w:val="0020144A"/>
    <w:rsid w:val="00205FDC"/>
    <w:rsid w:val="002161CA"/>
    <w:rsid w:val="00244BE9"/>
    <w:rsid w:val="00245594"/>
    <w:rsid w:val="00252D74"/>
    <w:rsid w:val="00255979"/>
    <w:rsid w:val="00255D75"/>
    <w:rsid w:val="00257D41"/>
    <w:rsid w:val="00260A47"/>
    <w:rsid w:val="00261C5B"/>
    <w:rsid w:val="00271A3C"/>
    <w:rsid w:val="00273D40"/>
    <w:rsid w:val="002777A3"/>
    <w:rsid w:val="00280335"/>
    <w:rsid w:val="002851C3"/>
    <w:rsid w:val="002A0A4C"/>
    <w:rsid w:val="002A6597"/>
    <w:rsid w:val="002B7F8B"/>
    <w:rsid w:val="002C2B43"/>
    <w:rsid w:val="002C3E6B"/>
    <w:rsid w:val="002D3FEA"/>
    <w:rsid w:val="002D780C"/>
    <w:rsid w:val="002E4523"/>
    <w:rsid w:val="002E7540"/>
    <w:rsid w:val="002E77FB"/>
    <w:rsid w:val="002F5751"/>
    <w:rsid w:val="00301170"/>
    <w:rsid w:val="00301A3B"/>
    <w:rsid w:val="00312338"/>
    <w:rsid w:val="003167FF"/>
    <w:rsid w:val="0033728A"/>
    <w:rsid w:val="00340FBD"/>
    <w:rsid w:val="003458DD"/>
    <w:rsid w:val="00346FD6"/>
    <w:rsid w:val="00351550"/>
    <w:rsid w:val="0035269E"/>
    <w:rsid w:val="003538F2"/>
    <w:rsid w:val="003577F6"/>
    <w:rsid w:val="00361C53"/>
    <w:rsid w:val="00366E35"/>
    <w:rsid w:val="00371116"/>
    <w:rsid w:val="0037302D"/>
    <w:rsid w:val="00373E7F"/>
    <w:rsid w:val="00375001"/>
    <w:rsid w:val="00376577"/>
    <w:rsid w:val="00377D84"/>
    <w:rsid w:val="00380738"/>
    <w:rsid w:val="003846B2"/>
    <w:rsid w:val="00391928"/>
    <w:rsid w:val="003919E1"/>
    <w:rsid w:val="003A48E1"/>
    <w:rsid w:val="003B3663"/>
    <w:rsid w:val="003D0F5F"/>
    <w:rsid w:val="003D4FE5"/>
    <w:rsid w:val="003D62AA"/>
    <w:rsid w:val="003E445D"/>
    <w:rsid w:val="003E4D6D"/>
    <w:rsid w:val="003E76A2"/>
    <w:rsid w:val="003F19B5"/>
    <w:rsid w:val="003F298D"/>
    <w:rsid w:val="004241E3"/>
    <w:rsid w:val="004278F1"/>
    <w:rsid w:val="0043095A"/>
    <w:rsid w:val="00431055"/>
    <w:rsid w:val="00433B4B"/>
    <w:rsid w:val="0043651D"/>
    <w:rsid w:val="00437005"/>
    <w:rsid w:val="0046312D"/>
    <w:rsid w:val="004652D2"/>
    <w:rsid w:val="00471CFD"/>
    <w:rsid w:val="00474574"/>
    <w:rsid w:val="0048410E"/>
    <w:rsid w:val="00486072"/>
    <w:rsid w:val="0049164C"/>
    <w:rsid w:val="004A1324"/>
    <w:rsid w:val="004A3F59"/>
    <w:rsid w:val="004B212A"/>
    <w:rsid w:val="004D09F0"/>
    <w:rsid w:val="004D1FE1"/>
    <w:rsid w:val="004D4D0B"/>
    <w:rsid w:val="004E0815"/>
    <w:rsid w:val="004F220B"/>
    <w:rsid w:val="004F29EC"/>
    <w:rsid w:val="004F2FE1"/>
    <w:rsid w:val="004F3A58"/>
    <w:rsid w:val="004F54AA"/>
    <w:rsid w:val="004F550E"/>
    <w:rsid w:val="004F653D"/>
    <w:rsid w:val="00500F82"/>
    <w:rsid w:val="00521158"/>
    <w:rsid w:val="00521913"/>
    <w:rsid w:val="00522102"/>
    <w:rsid w:val="0052516E"/>
    <w:rsid w:val="00527F3E"/>
    <w:rsid w:val="00542801"/>
    <w:rsid w:val="005429FE"/>
    <w:rsid w:val="005432AE"/>
    <w:rsid w:val="0054542F"/>
    <w:rsid w:val="0055099D"/>
    <w:rsid w:val="0055186A"/>
    <w:rsid w:val="0055500B"/>
    <w:rsid w:val="00565B42"/>
    <w:rsid w:val="00566AEF"/>
    <w:rsid w:val="005916E4"/>
    <w:rsid w:val="005923FB"/>
    <w:rsid w:val="0059694F"/>
    <w:rsid w:val="005A1025"/>
    <w:rsid w:val="005B0789"/>
    <w:rsid w:val="005B5D4C"/>
    <w:rsid w:val="005C0581"/>
    <w:rsid w:val="005D3123"/>
    <w:rsid w:val="005E181F"/>
    <w:rsid w:val="005E6149"/>
    <w:rsid w:val="005F4032"/>
    <w:rsid w:val="005F78E6"/>
    <w:rsid w:val="00600A3F"/>
    <w:rsid w:val="00602253"/>
    <w:rsid w:val="006140F3"/>
    <w:rsid w:val="0062225F"/>
    <w:rsid w:val="006358C5"/>
    <w:rsid w:val="00645F95"/>
    <w:rsid w:val="00646EED"/>
    <w:rsid w:val="0066425D"/>
    <w:rsid w:val="006802A2"/>
    <w:rsid w:val="006907C1"/>
    <w:rsid w:val="006939FC"/>
    <w:rsid w:val="00697C01"/>
    <w:rsid w:val="006A232A"/>
    <w:rsid w:val="006A5767"/>
    <w:rsid w:val="006B55CD"/>
    <w:rsid w:val="006D3A10"/>
    <w:rsid w:val="006D753A"/>
    <w:rsid w:val="006E2A6C"/>
    <w:rsid w:val="006E3886"/>
    <w:rsid w:val="006E4A62"/>
    <w:rsid w:val="006F15FC"/>
    <w:rsid w:val="006F3E6E"/>
    <w:rsid w:val="00700BC8"/>
    <w:rsid w:val="007031BD"/>
    <w:rsid w:val="0071174F"/>
    <w:rsid w:val="0071519C"/>
    <w:rsid w:val="00720826"/>
    <w:rsid w:val="00722F57"/>
    <w:rsid w:val="007239AA"/>
    <w:rsid w:val="00723BA4"/>
    <w:rsid w:val="007347A8"/>
    <w:rsid w:val="007524E0"/>
    <w:rsid w:val="007536BE"/>
    <w:rsid w:val="007704B1"/>
    <w:rsid w:val="00775D40"/>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412F6"/>
    <w:rsid w:val="008523D4"/>
    <w:rsid w:val="008561C8"/>
    <w:rsid w:val="00863B15"/>
    <w:rsid w:val="00873832"/>
    <w:rsid w:val="0087417C"/>
    <w:rsid w:val="00882251"/>
    <w:rsid w:val="008915FE"/>
    <w:rsid w:val="0089426F"/>
    <w:rsid w:val="008A049C"/>
    <w:rsid w:val="008A27A6"/>
    <w:rsid w:val="008B365F"/>
    <w:rsid w:val="008B6EF3"/>
    <w:rsid w:val="008C194F"/>
    <w:rsid w:val="008C4BC7"/>
    <w:rsid w:val="008C597D"/>
    <w:rsid w:val="008D0582"/>
    <w:rsid w:val="008D3C24"/>
    <w:rsid w:val="008D3E1F"/>
    <w:rsid w:val="008E0C60"/>
    <w:rsid w:val="008E1AD7"/>
    <w:rsid w:val="008E637C"/>
    <w:rsid w:val="008F72BD"/>
    <w:rsid w:val="008F7D01"/>
    <w:rsid w:val="009072E5"/>
    <w:rsid w:val="00910F4C"/>
    <w:rsid w:val="00917B9E"/>
    <w:rsid w:val="00932BD4"/>
    <w:rsid w:val="0093363C"/>
    <w:rsid w:val="00940047"/>
    <w:rsid w:val="009506F2"/>
    <w:rsid w:val="009648F4"/>
    <w:rsid w:val="0097032D"/>
    <w:rsid w:val="00971B09"/>
    <w:rsid w:val="00975676"/>
    <w:rsid w:val="00977B14"/>
    <w:rsid w:val="00986446"/>
    <w:rsid w:val="009A13B3"/>
    <w:rsid w:val="009B2C10"/>
    <w:rsid w:val="009B59D2"/>
    <w:rsid w:val="009C0E6D"/>
    <w:rsid w:val="009C1567"/>
    <w:rsid w:val="009C554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3582E"/>
    <w:rsid w:val="00A365BC"/>
    <w:rsid w:val="00A50C08"/>
    <w:rsid w:val="00A63A54"/>
    <w:rsid w:val="00A64A15"/>
    <w:rsid w:val="00A702A9"/>
    <w:rsid w:val="00A70D13"/>
    <w:rsid w:val="00A8066B"/>
    <w:rsid w:val="00A818D0"/>
    <w:rsid w:val="00A92BC0"/>
    <w:rsid w:val="00A92FFB"/>
    <w:rsid w:val="00A93FC0"/>
    <w:rsid w:val="00A94D98"/>
    <w:rsid w:val="00A97D06"/>
    <w:rsid w:val="00AA410D"/>
    <w:rsid w:val="00AA6793"/>
    <w:rsid w:val="00AA7912"/>
    <w:rsid w:val="00AB1E3E"/>
    <w:rsid w:val="00AB3040"/>
    <w:rsid w:val="00AB3F6B"/>
    <w:rsid w:val="00AC0163"/>
    <w:rsid w:val="00AD5656"/>
    <w:rsid w:val="00AD77EE"/>
    <w:rsid w:val="00AE0282"/>
    <w:rsid w:val="00AE1A20"/>
    <w:rsid w:val="00AE4E6E"/>
    <w:rsid w:val="00AF341D"/>
    <w:rsid w:val="00AF6214"/>
    <w:rsid w:val="00AF7634"/>
    <w:rsid w:val="00B0444C"/>
    <w:rsid w:val="00B057FD"/>
    <w:rsid w:val="00B12E13"/>
    <w:rsid w:val="00B14E38"/>
    <w:rsid w:val="00B16BA8"/>
    <w:rsid w:val="00B234C2"/>
    <w:rsid w:val="00B27DD7"/>
    <w:rsid w:val="00B36FC1"/>
    <w:rsid w:val="00B46D44"/>
    <w:rsid w:val="00B51CF4"/>
    <w:rsid w:val="00B51E27"/>
    <w:rsid w:val="00B63DF2"/>
    <w:rsid w:val="00B750BD"/>
    <w:rsid w:val="00B8103A"/>
    <w:rsid w:val="00B878F6"/>
    <w:rsid w:val="00B94A8E"/>
    <w:rsid w:val="00B96E56"/>
    <w:rsid w:val="00BA1E0D"/>
    <w:rsid w:val="00BA2DA8"/>
    <w:rsid w:val="00BA577A"/>
    <w:rsid w:val="00BA64EB"/>
    <w:rsid w:val="00BB2521"/>
    <w:rsid w:val="00BB6771"/>
    <w:rsid w:val="00BB7915"/>
    <w:rsid w:val="00BC170D"/>
    <w:rsid w:val="00BC46F3"/>
    <w:rsid w:val="00BD0F29"/>
    <w:rsid w:val="00BD2D21"/>
    <w:rsid w:val="00BE42E0"/>
    <w:rsid w:val="00BE4640"/>
    <w:rsid w:val="00BF40B3"/>
    <w:rsid w:val="00C022FB"/>
    <w:rsid w:val="00C024F7"/>
    <w:rsid w:val="00C06B0F"/>
    <w:rsid w:val="00C1372F"/>
    <w:rsid w:val="00C13CF4"/>
    <w:rsid w:val="00C146B3"/>
    <w:rsid w:val="00C147DF"/>
    <w:rsid w:val="00C15D7E"/>
    <w:rsid w:val="00C17F0A"/>
    <w:rsid w:val="00C239C7"/>
    <w:rsid w:val="00C338EE"/>
    <w:rsid w:val="00C36642"/>
    <w:rsid w:val="00C3672B"/>
    <w:rsid w:val="00C36CB6"/>
    <w:rsid w:val="00C37ACA"/>
    <w:rsid w:val="00C44C0F"/>
    <w:rsid w:val="00C4636D"/>
    <w:rsid w:val="00C51659"/>
    <w:rsid w:val="00C568C3"/>
    <w:rsid w:val="00C747A1"/>
    <w:rsid w:val="00C76B54"/>
    <w:rsid w:val="00C76F02"/>
    <w:rsid w:val="00C772A7"/>
    <w:rsid w:val="00C772C0"/>
    <w:rsid w:val="00C77444"/>
    <w:rsid w:val="00C80386"/>
    <w:rsid w:val="00C81CE0"/>
    <w:rsid w:val="00C83733"/>
    <w:rsid w:val="00C90DED"/>
    <w:rsid w:val="00C95402"/>
    <w:rsid w:val="00CA39B1"/>
    <w:rsid w:val="00CA4188"/>
    <w:rsid w:val="00CA4F76"/>
    <w:rsid w:val="00CB2774"/>
    <w:rsid w:val="00CB5D2B"/>
    <w:rsid w:val="00CB6394"/>
    <w:rsid w:val="00CC1307"/>
    <w:rsid w:val="00CC3B8E"/>
    <w:rsid w:val="00CC6586"/>
    <w:rsid w:val="00CC7090"/>
    <w:rsid w:val="00CD0199"/>
    <w:rsid w:val="00CD4ED5"/>
    <w:rsid w:val="00CE70F7"/>
    <w:rsid w:val="00CE78DD"/>
    <w:rsid w:val="00CF4CC8"/>
    <w:rsid w:val="00D027DA"/>
    <w:rsid w:val="00D05FAF"/>
    <w:rsid w:val="00D074CA"/>
    <w:rsid w:val="00D11F79"/>
    <w:rsid w:val="00D15320"/>
    <w:rsid w:val="00D1761F"/>
    <w:rsid w:val="00D20019"/>
    <w:rsid w:val="00D2195C"/>
    <w:rsid w:val="00D227EA"/>
    <w:rsid w:val="00D23DFB"/>
    <w:rsid w:val="00D2534B"/>
    <w:rsid w:val="00D31DA9"/>
    <w:rsid w:val="00D34B9F"/>
    <w:rsid w:val="00D35E8E"/>
    <w:rsid w:val="00D61159"/>
    <w:rsid w:val="00D61F52"/>
    <w:rsid w:val="00D65057"/>
    <w:rsid w:val="00D71BDF"/>
    <w:rsid w:val="00D71F9C"/>
    <w:rsid w:val="00D755AB"/>
    <w:rsid w:val="00DA2635"/>
    <w:rsid w:val="00DA692B"/>
    <w:rsid w:val="00DC2D9B"/>
    <w:rsid w:val="00DD1A81"/>
    <w:rsid w:val="00DE7222"/>
    <w:rsid w:val="00DF070C"/>
    <w:rsid w:val="00DF1ACE"/>
    <w:rsid w:val="00DF5042"/>
    <w:rsid w:val="00DF56AD"/>
    <w:rsid w:val="00DF5723"/>
    <w:rsid w:val="00E13E5D"/>
    <w:rsid w:val="00E169CF"/>
    <w:rsid w:val="00E16BA3"/>
    <w:rsid w:val="00E23444"/>
    <w:rsid w:val="00E25909"/>
    <w:rsid w:val="00E260E6"/>
    <w:rsid w:val="00E309C7"/>
    <w:rsid w:val="00E32D71"/>
    <w:rsid w:val="00E35723"/>
    <w:rsid w:val="00E41D4E"/>
    <w:rsid w:val="00E438FF"/>
    <w:rsid w:val="00E43DC1"/>
    <w:rsid w:val="00E44726"/>
    <w:rsid w:val="00E465CF"/>
    <w:rsid w:val="00E53716"/>
    <w:rsid w:val="00E54D24"/>
    <w:rsid w:val="00E56245"/>
    <w:rsid w:val="00E568CF"/>
    <w:rsid w:val="00E76F26"/>
    <w:rsid w:val="00E865C2"/>
    <w:rsid w:val="00E901C8"/>
    <w:rsid w:val="00E94094"/>
    <w:rsid w:val="00E941BD"/>
    <w:rsid w:val="00EA55DA"/>
    <w:rsid w:val="00EB17DC"/>
    <w:rsid w:val="00EC4FF2"/>
    <w:rsid w:val="00ED0811"/>
    <w:rsid w:val="00ED23D6"/>
    <w:rsid w:val="00ED3FDB"/>
    <w:rsid w:val="00EF231F"/>
    <w:rsid w:val="00EF502F"/>
    <w:rsid w:val="00F057E6"/>
    <w:rsid w:val="00F07243"/>
    <w:rsid w:val="00F11557"/>
    <w:rsid w:val="00F1191B"/>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3E05"/>
    <w:rsid w:val="00F64AA5"/>
    <w:rsid w:val="00F6671F"/>
    <w:rsid w:val="00F67079"/>
    <w:rsid w:val="00F723A9"/>
    <w:rsid w:val="00F8405C"/>
    <w:rsid w:val="00F86D16"/>
    <w:rsid w:val="00F93265"/>
    <w:rsid w:val="00F93EFE"/>
    <w:rsid w:val="00FA1C44"/>
    <w:rsid w:val="00FA3B25"/>
    <w:rsid w:val="00FC1946"/>
    <w:rsid w:val="00FC43EC"/>
    <w:rsid w:val="00FC6360"/>
    <w:rsid w:val="00FD5426"/>
    <w:rsid w:val="00FE2BA1"/>
    <w:rsid w:val="00FE56AD"/>
    <w:rsid w:val="00FE6D09"/>
    <w:rsid w:val="00FF3F0D"/>
    <w:rsid w:val="00FF466A"/>
    <w:rsid w:val="010764E3"/>
    <w:rsid w:val="010D7DD7"/>
    <w:rsid w:val="01154EDD"/>
    <w:rsid w:val="01242C13"/>
    <w:rsid w:val="01265791"/>
    <w:rsid w:val="01303AC5"/>
    <w:rsid w:val="01453A14"/>
    <w:rsid w:val="014925F1"/>
    <w:rsid w:val="0153345C"/>
    <w:rsid w:val="015B3238"/>
    <w:rsid w:val="016A18BB"/>
    <w:rsid w:val="016D0077"/>
    <w:rsid w:val="0175017E"/>
    <w:rsid w:val="017B7436"/>
    <w:rsid w:val="018F6A3E"/>
    <w:rsid w:val="01944B97"/>
    <w:rsid w:val="019D55FE"/>
    <w:rsid w:val="019E3125"/>
    <w:rsid w:val="01A026F0"/>
    <w:rsid w:val="01A324E9"/>
    <w:rsid w:val="01A95E98"/>
    <w:rsid w:val="01AC59EF"/>
    <w:rsid w:val="01AD5116"/>
    <w:rsid w:val="01B42A40"/>
    <w:rsid w:val="01B6046E"/>
    <w:rsid w:val="01C42B8B"/>
    <w:rsid w:val="01CE2E52"/>
    <w:rsid w:val="01D34B7C"/>
    <w:rsid w:val="02005B8D"/>
    <w:rsid w:val="020E2058"/>
    <w:rsid w:val="020E3E06"/>
    <w:rsid w:val="02205968"/>
    <w:rsid w:val="022E3F19"/>
    <w:rsid w:val="023B43AB"/>
    <w:rsid w:val="023C6755"/>
    <w:rsid w:val="023D593B"/>
    <w:rsid w:val="02587777"/>
    <w:rsid w:val="025F28B4"/>
    <w:rsid w:val="026223A4"/>
    <w:rsid w:val="026C4AF7"/>
    <w:rsid w:val="02785724"/>
    <w:rsid w:val="02B80255"/>
    <w:rsid w:val="02BE3A7E"/>
    <w:rsid w:val="02C00B3F"/>
    <w:rsid w:val="02C941D1"/>
    <w:rsid w:val="02EB239A"/>
    <w:rsid w:val="02EB7596"/>
    <w:rsid w:val="02EE59E6"/>
    <w:rsid w:val="02F72AEC"/>
    <w:rsid w:val="030516AD"/>
    <w:rsid w:val="030B6598"/>
    <w:rsid w:val="031713E0"/>
    <w:rsid w:val="031A67DB"/>
    <w:rsid w:val="031B25E0"/>
    <w:rsid w:val="031D432A"/>
    <w:rsid w:val="03231B33"/>
    <w:rsid w:val="03265180"/>
    <w:rsid w:val="03350E4E"/>
    <w:rsid w:val="03353615"/>
    <w:rsid w:val="03372A1A"/>
    <w:rsid w:val="033A2E64"/>
    <w:rsid w:val="033F29FA"/>
    <w:rsid w:val="03685798"/>
    <w:rsid w:val="036D7B71"/>
    <w:rsid w:val="037957E4"/>
    <w:rsid w:val="038626A9"/>
    <w:rsid w:val="038652C6"/>
    <w:rsid w:val="03870314"/>
    <w:rsid w:val="038A7E04"/>
    <w:rsid w:val="038F7C74"/>
    <w:rsid w:val="03936BB9"/>
    <w:rsid w:val="03942A31"/>
    <w:rsid w:val="03976619"/>
    <w:rsid w:val="03990047"/>
    <w:rsid w:val="039E565E"/>
    <w:rsid w:val="039F00F1"/>
    <w:rsid w:val="03A13FE0"/>
    <w:rsid w:val="03A9328A"/>
    <w:rsid w:val="03B27594"/>
    <w:rsid w:val="03B44E81"/>
    <w:rsid w:val="03BD5AE4"/>
    <w:rsid w:val="03BE7AAE"/>
    <w:rsid w:val="03C2134C"/>
    <w:rsid w:val="03D60954"/>
    <w:rsid w:val="03E533B5"/>
    <w:rsid w:val="03E77005"/>
    <w:rsid w:val="03F82FC0"/>
    <w:rsid w:val="040000C7"/>
    <w:rsid w:val="04253689"/>
    <w:rsid w:val="04366AF4"/>
    <w:rsid w:val="04390C0B"/>
    <w:rsid w:val="044B7594"/>
    <w:rsid w:val="044B7DF2"/>
    <w:rsid w:val="045339BE"/>
    <w:rsid w:val="045B70AB"/>
    <w:rsid w:val="046532AA"/>
    <w:rsid w:val="04706659"/>
    <w:rsid w:val="047F723D"/>
    <w:rsid w:val="04846602"/>
    <w:rsid w:val="048670A4"/>
    <w:rsid w:val="048713D1"/>
    <w:rsid w:val="04891AA2"/>
    <w:rsid w:val="048A6C60"/>
    <w:rsid w:val="049525BD"/>
    <w:rsid w:val="049A4077"/>
    <w:rsid w:val="049F343C"/>
    <w:rsid w:val="04A24CDA"/>
    <w:rsid w:val="04A62A1C"/>
    <w:rsid w:val="04A722F0"/>
    <w:rsid w:val="04AE2BC2"/>
    <w:rsid w:val="04BC4752"/>
    <w:rsid w:val="04C2712A"/>
    <w:rsid w:val="04DC0AA0"/>
    <w:rsid w:val="04DC4690"/>
    <w:rsid w:val="04F25C61"/>
    <w:rsid w:val="04FC5702"/>
    <w:rsid w:val="05065269"/>
    <w:rsid w:val="0510201E"/>
    <w:rsid w:val="05235E1B"/>
    <w:rsid w:val="052D6C99"/>
    <w:rsid w:val="052F2A11"/>
    <w:rsid w:val="053E4A03"/>
    <w:rsid w:val="05414BC9"/>
    <w:rsid w:val="05461B81"/>
    <w:rsid w:val="05524952"/>
    <w:rsid w:val="05856AD5"/>
    <w:rsid w:val="05882122"/>
    <w:rsid w:val="05950818"/>
    <w:rsid w:val="05BA7A81"/>
    <w:rsid w:val="05C173E2"/>
    <w:rsid w:val="05C649F8"/>
    <w:rsid w:val="05C95224"/>
    <w:rsid w:val="05E03D0C"/>
    <w:rsid w:val="05EC3CFE"/>
    <w:rsid w:val="05F477B7"/>
    <w:rsid w:val="05F851DA"/>
    <w:rsid w:val="06007F0A"/>
    <w:rsid w:val="060317A8"/>
    <w:rsid w:val="060519C4"/>
    <w:rsid w:val="06082E84"/>
    <w:rsid w:val="060A3E85"/>
    <w:rsid w:val="06113CB0"/>
    <w:rsid w:val="061C43EC"/>
    <w:rsid w:val="06231E4A"/>
    <w:rsid w:val="06247AF0"/>
    <w:rsid w:val="06344057"/>
    <w:rsid w:val="063B2B4D"/>
    <w:rsid w:val="063E67A8"/>
    <w:rsid w:val="066A7A79"/>
    <w:rsid w:val="067870EA"/>
    <w:rsid w:val="068A4E6D"/>
    <w:rsid w:val="0695698B"/>
    <w:rsid w:val="06AC0092"/>
    <w:rsid w:val="06CA5CAD"/>
    <w:rsid w:val="06CD1FE9"/>
    <w:rsid w:val="06D74D2C"/>
    <w:rsid w:val="06DC0977"/>
    <w:rsid w:val="06DF5D71"/>
    <w:rsid w:val="06E14DD1"/>
    <w:rsid w:val="06EC56CE"/>
    <w:rsid w:val="06F5714A"/>
    <w:rsid w:val="07155C37"/>
    <w:rsid w:val="071A3882"/>
    <w:rsid w:val="071B7454"/>
    <w:rsid w:val="071C09FE"/>
    <w:rsid w:val="071F60F2"/>
    <w:rsid w:val="071F6AB6"/>
    <w:rsid w:val="07272FEF"/>
    <w:rsid w:val="07277F44"/>
    <w:rsid w:val="0728596A"/>
    <w:rsid w:val="07320597"/>
    <w:rsid w:val="07443E4B"/>
    <w:rsid w:val="075C73C2"/>
    <w:rsid w:val="075E138C"/>
    <w:rsid w:val="07611FC2"/>
    <w:rsid w:val="07630750"/>
    <w:rsid w:val="07656BC6"/>
    <w:rsid w:val="0767791B"/>
    <w:rsid w:val="0774295E"/>
    <w:rsid w:val="077566D6"/>
    <w:rsid w:val="077E34BC"/>
    <w:rsid w:val="07810992"/>
    <w:rsid w:val="07A01F66"/>
    <w:rsid w:val="07A86617"/>
    <w:rsid w:val="07B266A6"/>
    <w:rsid w:val="07BB058C"/>
    <w:rsid w:val="07BF4EA6"/>
    <w:rsid w:val="07C766EF"/>
    <w:rsid w:val="07E072B5"/>
    <w:rsid w:val="07F6398C"/>
    <w:rsid w:val="07F7533D"/>
    <w:rsid w:val="07F910B5"/>
    <w:rsid w:val="07FB4E2D"/>
    <w:rsid w:val="080F5EFD"/>
    <w:rsid w:val="0825634E"/>
    <w:rsid w:val="08297BEC"/>
    <w:rsid w:val="083234D9"/>
    <w:rsid w:val="084C7436"/>
    <w:rsid w:val="08677673"/>
    <w:rsid w:val="0870581B"/>
    <w:rsid w:val="0878022B"/>
    <w:rsid w:val="087C6132"/>
    <w:rsid w:val="08833E24"/>
    <w:rsid w:val="08940DDD"/>
    <w:rsid w:val="08954965"/>
    <w:rsid w:val="08954DFE"/>
    <w:rsid w:val="089D18E5"/>
    <w:rsid w:val="08A90D2D"/>
    <w:rsid w:val="08A96637"/>
    <w:rsid w:val="08C16076"/>
    <w:rsid w:val="08D37B58"/>
    <w:rsid w:val="08DD1D65"/>
    <w:rsid w:val="08E17195"/>
    <w:rsid w:val="08E73603"/>
    <w:rsid w:val="08E7715F"/>
    <w:rsid w:val="08F31FA8"/>
    <w:rsid w:val="09023E0B"/>
    <w:rsid w:val="090E10A8"/>
    <w:rsid w:val="09376339"/>
    <w:rsid w:val="094E5EB9"/>
    <w:rsid w:val="095347F5"/>
    <w:rsid w:val="095531B4"/>
    <w:rsid w:val="09594501"/>
    <w:rsid w:val="09647A9E"/>
    <w:rsid w:val="0969226A"/>
    <w:rsid w:val="096C67E0"/>
    <w:rsid w:val="098470A4"/>
    <w:rsid w:val="098F4655"/>
    <w:rsid w:val="09972933"/>
    <w:rsid w:val="09AA6B0A"/>
    <w:rsid w:val="09C53944"/>
    <w:rsid w:val="09E244F6"/>
    <w:rsid w:val="09ED4C49"/>
    <w:rsid w:val="0A0F4BBF"/>
    <w:rsid w:val="0A1026E6"/>
    <w:rsid w:val="0A122902"/>
    <w:rsid w:val="0A236287"/>
    <w:rsid w:val="0A312D88"/>
    <w:rsid w:val="0A3E54A5"/>
    <w:rsid w:val="0A51342A"/>
    <w:rsid w:val="0A551F45"/>
    <w:rsid w:val="0A690634"/>
    <w:rsid w:val="0A6C2012"/>
    <w:rsid w:val="0A7113D6"/>
    <w:rsid w:val="0A79028B"/>
    <w:rsid w:val="0AA30A0F"/>
    <w:rsid w:val="0AA350C7"/>
    <w:rsid w:val="0AAF0151"/>
    <w:rsid w:val="0AB15C77"/>
    <w:rsid w:val="0AB16EAD"/>
    <w:rsid w:val="0AB2552F"/>
    <w:rsid w:val="0AB94B2B"/>
    <w:rsid w:val="0AC14905"/>
    <w:rsid w:val="0AC168AF"/>
    <w:rsid w:val="0AC927D0"/>
    <w:rsid w:val="0ACA55D0"/>
    <w:rsid w:val="0AD060A1"/>
    <w:rsid w:val="0AE67C59"/>
    <w:rsid w:val="0AE75B3C"/>
    <w:rsid w:val="0AEB64A8"/>
    <w:rsid w:val="0AED05B0"/>
    <w:rsid w:val="0AED3445"/>
    <w:rsid w:val="0AFF69E2"/>
    <w:rsid w:val="0B095B30"/>
    <w:rsid w:val="0B122BFF"/>
    <w:rsid w:val="0B14392D"/>
    <w:rsid w:val="0B276F9A"/>
    <w:rsid w:val="0B37679D"/>
    <w:rsid w:val="0B3A06A9"/>
    <w:rsid w:val="0B48684A"/>
    <w:rsid w:val="0B4D00CB"/>
    <w:rsid w:val="0B50521E"/>
    <w:rsid w:val="0B533B29"/>
    <w:rsid w:val="0B5A04AF"/>
    <w:rsid w:val="0B631A54"/>
    <w:rsid w:val="0B6B051B"/>
    <w:rsid w:val="0B70448E"/>
    <w:rsid w:val="0B705C98"/>
    <w:rsid w:val="0B857C26"/>
    <w:rsid w:val="0B8C2821"/>
    <w:rsid w:val="0B940A17"/>
    <w:rsid w:val="0BAD4690"/>
    <w:rsid w:val="0BC83278"/>
    <w:rsid w:val="0BD45D3D"/>
    <w:rsid w:val="0BE0144B"/>
    <w:rsid w:val="0BE10566"/>
    <w:rsid w:val="0BE15F86"/>
    <w:rsid w:val="0BE90AC2"/>
    <w:rsid w:val="0BF26547"/>
    <w:rsid w:val="0BF401BE"/>
    <w:rsid w:val="0BFB5CEE"/>
    <w:rsid w:val="0BFD2056"/>
    <w:rsid w:val="0C1E771C"/>
    <w:rsid w:val="0C3236E7"/>
    <w:rsid w:val="0C403756"/>
    <w:rsid w:val="0C4F5747"/>
    <w:rsid w:val="0C596B87"/>
    <w:rsid w:val="0C6632C1"/>
    <w:rsid w:val="0C670CE3"/>
    <w:rsid w:val="0C6D71DA"/>
    <w:rsid w:val="0C831895"/>
    <w:rsid w:val="0C9475FE"/>
    <w:rsid w:val="0C970A8B"/>
    <w:rsid w:val="0C9910B8"/>
    <w:rsid w:val="0CAE6912"/>
    <w:rsid w:val="0CB832EC"/>
    <w:rsid w:val="0CBE2103"/>
    <w:rsid w:val="0CC25F19"/>
    <w:rsid w:val="0CC9374C"/>
    <w:rsid w:val="0CD31EEE"/>
    <w:rsid w:val="0CDF2ABA"/>
    <w:rsid w:val="0CE307A8"/>
    <w:rsid w:val="0CEA0261"/>
    <w:rsid w:val="0CF167FE"/>
    <w:rsid w:val="0CF7024C"/>
    <w:rsid w:val="0D094F20"/>
    <w:rsid w:val="0D0B5B12"/>
    <w:rsid w:val="0D125C0A"/>
    <w:rsid w:val="0D196300"/>
    <w:rsid w:val="0D1D28A2"/>
    <w:rsid w:val="0D272220"/>
    <w:rsid w:val="0D3037CB"/>
    <w:rsid w:val="0D374B59"/>
    <w:rsid w:val="0D472AE4"/>
    <w:rsid w:val="0D583C4A"/>
    <w:rsid w:val="0D5864B2"/>
    <w:rsid w:val="0D5A0848"/>
    <w:rsid w:val="0D646FBB"/>
    <w:rsid w:val="0D674D12"/>
    <w:rsid w:val="0D6A1AC0"/>
    <w:rsid w:val="0D741854"/>
    <w:rsid w:val="0D75536F"/>
    <w:rsid w:val="0D804797"/>
    <w:rsid w:val="0D821B4C"/>
    <w:rsid w:val="0D8E73AA"/>
    <w:rsid w:val="0D9A0057"/>
    <w:rsid w:val="0DAD0977"/>
    <w:rsid w:val="0DBC0C0C"/>
    <w:rsid w:val="0DC67C8B"/>
    <w:rsid w:val="0DCA6D17"/>
    <w:rsid w:val="0DDE3227"/>
    <w:rsid w:val="0DE018AD"/>
    <w:rsid w:val="0DE40111"/>
    <w:rsid w:val="0DF26CD2"/>
    <w:rsid w:val="0DF53D0E"/>
    <w:rsid w:val="0DFC545B"/>
    <w:rsid w:val="0DFC6ECD"/>
    <w:rsid w:val="0E107158"/>
    <w:rsid w:val="0E1337FA"/>
    <w:rsid w:val="0E1C5AFD"/>
    <w:rsid w:val="0E230C39"/>
    <w:rsid w:val="0E2826F4"/>
    <w:rsid w:val="0E2844A2"/>
    <w:rsid w:val="0E2B14A4"/>
    <w:rsid w:val="0E370B89"/>
    <w:rsid w:val="0E5D1E3B"/>
    <w:rsid w:val="0E60507D"/>
    <w:rsid w:val="0E666D78"/>
    <w:rsid w:val="0E6A1E1E"/>
    <w:rsid w:val="0E713D4A"/>
    <w:rsid w:val="0E7C4C67"/>
    <w:rsid w:val="0E8D5582"/>
    <w:rsid w:val="0E8E5690"/>
    <w:rsid w:val="0E910299"/>
    <w:rsid w:val="0E963C30"/>
    <w:rsid w:val="0E972280"/>
    <w:rsid w:val="0E990EFC"/>
    <w:rsid w:val="0E9C279A"/>
    <w:rsid w:val="0EA12D23"/>
    <w:rsid w:val="0EAA425E"/>
    <w:rsid w:val="0EAA475B"/>
    <w:rsid w:val="0EAC0AC2"/>
    <w:rsid w:val="0EC02A06"/>
    <w:rsid w:val="0EC341CA"/>
    <w:rsid w:val="0ECA7307"/>
    <w:rsid w:val="0ED10695"/>
    <w:rsid w:val="0ED92A5D"/>
    <w:rsid w:val="0EDB32C2"/>
    <w:rsid w:val="0EE0696C"/>
    <w:rsid w:val="0EE41B4B"/>
    <w:rsid w:val="0EEA5BFB"/>
    <w:rsid w:val="0EEC3721"/>
    <w:rsid w:val="0EF820C6"/>
    <w:rsid w:val="0F0C791F"/>
    <w:rsid w:val="0F242BC3"/>
    <w:rsid w:val="0F245F5A"/>
    <w:rsid w:val="0F3A26DF"/>
    <w:rsid w:val="0F595A5B"/>
    <w:rsid w:val="0F6239E3"/>
    <w:rsid w:val="0F655282"/>
    <w:rsid w:val="0F720FBB"/>
    <w:rsid w:val="0F7B764B"/>
    <w:rsid w:val="0F866934"/>
    <w:rsid w:val="0F8825C5"/>
    <w:rsid w:val="0F8F00B0"/>
    <w:rsid w:val="0F9541B3"/>
    <w:rsid w:val="0F986DD1"/>
    <w:rsid w:val="0F9F2542"/>
    <w:rsid w:val="0FC1695C"/>
    <w:rsid w:val="0FCC70AF"/>
    <w:rsid w:val="0FCD5369"/>
    <w:rsid w:val="0FD1163D"/>
    <w:rsid w:val="0FD41F31"/>
    <w:rsid w:val="0FD96366"/>
    <w:rsid w:val="0FE64614"/>
    <w:rsid w:val="0FE97C61"/>
    <w:rsid w:val="0FF07241"/>
    <w:rsid w:val="0FF44281"/>
    <w:rsid w:val="0FFA5589"/>
    <w:rsid w:val="100067E7"/>
    <w:rsid w:val="10014FAA"/>
    <w:rsid w:val="102173FB"/>
    <w:rsid w:val="10376513"/>
    <w:rsid w:val="103A4BB0"/>
    <w:rsid w:val="103E73DD"/>
    <w:rsid w:val="10437371"/>
    <w:rsid w:val="104D01F0"/>
    <w:rsid w:val="104D6C53"/>
    <w:rsid w:val="104E4A31"/>
    <w:rsid w:val="1051038C"/>
    <w:rsid w:val="105A290D"/>
    <w:rsid w:val="106D32AB"/>
    <w:rsid w:val="10765998"/>
    <w:rsid w:val="10795489"/>
    <w:rsid w:val="1081433D"/>
    <w:rsid w:val="1082485A"/>
    <w:rsid w:val="108856CC"/>
    <w:rsid w:val="108A1444"/>
    <w:rsid w:val="108F6A88"/>
    <w:rsid w:val="109220A6"/>
    <w:rsid w:val="1097590F"/>
    <w:rsid w:val="10991687"/>
    <w:rsid w:val="109C580E"/>
    <w:rsid w:val="10A87615"/>
    <w:rsid w:val="10B22749"/>
    <w:rsid w:val="10C5422A"/>
    <w:rsid w:val="10CD7582"/>
    <w:rsid w:val="10D01A7F"/>
    <w:rsid w:val="10D80401"/>
    <w:rsid w:val="10E723F2"/>
    <w:rsid w:val="10ED0901"/>
    <w:rsid w:val="10ED552F"/>
    <w:rsid w:val="10F11AEC"/>
    <w:rsid w:val="10F378F4"/>
    <w:rsid w:val="10F55783"/>
    <w:rsid w:val="10F7568C"/>
    <w:rsid w:val="10FD39C4"/>
    <w:rsid w:val="1105249A"/>
    <w:rsid w:val="111156C1"/>
    <w:rsid w:val="111725AC"/>
    <w:rsid w:val="111814CE"/>
    <w:rsid w:val="11210BF1"/>
    <w:rsid w:val="112B6B7F"/>
    <w:rsid w:val="113D5C2B"/>
    <w:rsid w:val="113E3FDC"/>
    <w:rsid w:val="11421D1E"/>
    <w:rsid w:val="114306D4"/>
    <w:rsid w:val="114333A1"/>
    <w:rsid w:val="11586E4C"/>
    <w:rsid w:val="11706E6D"/>
    <w:rsid w:val="11717F0E"/>
    <w:rsid w:val="11754E74"/>
    <w:rsid w:val="117901BD"/>
    <w:rsid w:val="117D2D05"/>
    <w:rsid w:val="1181033B"/>
    <w:rsid w:val="11881DE2"/>
    <w:rsid w:val="11883AE7"/>
    <w:rsid w:val="11967974"/>
    <w:rsid w:val="119D2C66"/>
    <w:rsid w:val="11AC0F46"/>
    <w:rsid w:val="11B30526"/>
    <w:rsid w:val="11B562D3"/>
    <w:rsid w:val="11C6025A"/>
    <w:rsid w:val="11D30BC8"/>
    <w:rsid w:val="11D706B9"/>
    <w:rsid w:val="11DA1F57"/>
    <w:rsid w:val="11DD37F5"/>
    <w:rsid w:val="11EE77B0"/>
    <w:rsid w:val="11F72B09"/>
    <w:rsid w:val="11F748B7"/>
    <w:rsid w:val="11F900C1"/>
    <w:rsid w:val="11FF44AE"/>
    <w:rsid w:val="1222745A"/>
    <w:rsid w:val="12301B77"/>
    <w:rsid w:val="12307DC9"/>
    <w:rsid w:val="123478B9"/>
    <w:rsid w:val="12356305"/>
    <w:rsid w:val="12371D74"/>
    <w:rsid w:val="123A47A4"/>
    <w:rsid w:val="12506C20"/>
    <w:rsid w:val="12521AED"/>
    <w:rsid w:val="126420E9"/>
    <w:rsid w:val="1272218F"/>
    <w:rsid w:val="12723F3D"/>
    <w:rsid w:val="127777A6"/>
    <w:rsid w:val="12863E8D"/>
    <w:rsid w:val="129A3494"/>
    <w:rsid w:val="12A400B1"/>
    <w:rsid w:val="12AF5F7A"/>
    <w:rsid w:val="12B409FA"/>
    <w:rsid w:val="12BB577E"/>
    <w:rsid w:val="12C34799"/>
    <w:rsid w:val="12EA7F78"/>
    <w:rsid w:val="12EB69CE"/>
    <w:rsid w:val="12F652D6"/>
    <w:rsid w:val="130354DD"/>
    <w:rsid w:val="130A23C8"/>
    <w:rsid w:val="130C4392"/>
    <w:rsid w:val="131B2827"/>
    <w:rsid w:val="131C20FB"/>
    <w:rsid w:val="132A57E8"/>
    <w:rsid w:val="132F62D2"/>
    <w:rsid w:val="132F6B1C"/>
    <w:rsid w:val="13367661"/>
    <w:rsid w:val="1338504A"/>
    <w:rsid w:val="133D279D"/>
    <w:rsid w:val="133F3EF2"/>
    <w:rsid w:val="1340228E"/>
    <w:rsid w:val="13465BC3"/>
    <w:rsid w:val="13473662"/>
    <w:rsid w:val="1349179B"/>
    <w:rsid w:val="1351449B"/>
    <w:rsid w:val="13590ECD"/>
    <w:rsid w:val="135915A9"/>
    <w:rsid w:val="135D5FC2"/>
    <w:rsid w:val="1379231B"/>
    <w:rsid w:val="137E7A43"/>
    <w:rsid w:val="137F2DB6"/>
    <w:rsid w:val="13854EAE"/>
    <w:rsid w:val="13887871"/>
    <w:rsid w:val="13903C28"/>
    <w:rsid w:val="139879D4"/>
    <w:rsid w:val="139D148E"/>
    <w:rsid w:val="139E5A9A"/>
    <w:rsid w:val="13B53D9F"/>
    <w:rsid w:val="13B80076"/>
    <w:rsid w:val="13BA51EA"/>
    <w:rsid w:val="13BB084D"/>
    <w:rsid w:val="13CA1266"/>
    <w:rsid w:val="13CC3B21"/>
    <w:rsid w:val="13CF1179"/>
    <w:rsid w:val="13E94203"/>
    <w:rsid w:val="13EB3FA7"/>
    <w:rsid w:val="13F15346"/>
    <w:rsid w:val="14065285"/>
    <w:rsid w:val="140E3D0B"/>
    <w:rsid w:val="141A042D"/>
    <w:rsid w:val="143431C3"/>
    <w:rsid w:val="14442727"/>
    <w:rsid w:val="144638D4"/>
    <w:rsid w:val="144D4C62"/>
    <w:rsid w:val="144E7A07"/>
    <w:rsid w:val="14535FF1"/>
    <w:rsid w:val="145B492E"/>
    <w:rsid w:val="14607FC4"/>
    <w:rsid w:val="146513CE"/>
    <w:rsid w:val="146F2E2A"/>
    <w:rsid w:val="147E52F8"/>
    <w:rsid w:val="14816319"/>
    <w:rsid w:val="148166BA"/>
    <w:rsid w:val="148461AA"/>
    <w:rsid w:val="14847F58"/>
    <w:rsid w:val="1485023A"/>
    <w:rsid w:val="14961447"/>
    <w:rsid w:val="149A1143"/>
    <w:rsid w:val="149C10C1"/>
    <w:rsid w:val="14A16D5C"/>
    <w:rsid w:val="14A8633C"/>
    <w:rsid w:val="14AF52CE"/>
    <w:rsid w:val="14B20F69"/>
    <w:rsid w:val="14B67DA5"/>
    <w:rsid w:val="14D64C58"/>
    <w:rsid w:val="14D709D0"/>
    <w:rsid w:val="14D77DE4"/>
    <w:rsid w:val="14E7655D"/>
    <w:rsid w:val="14E837DA"/>
    <w:rsid w:val="14F023DF"/>
    <w:rsid w:val="14F43330"/>
    <w:rsid w:val="150E63D4"/>
    <w:rsid w:val="150F1F18"/>
    <w:rsid w:val="15103A7D"/>
    <w:rsid w:val="151632A6"/>
    <w:rsid w:val="1525173B"/>
    <w:rsid w:val="152A0AFF"/>
    <w:rsid w:val="152E7014"/>
    <w:rsid w:val="153100E0"/>
    <w:rsid w:val="15340A5C"/>
    <w:rsid w:val="15485429"/>
    <w:rsid w:val="15543DCE"/>
    <w:rsid w:val="155E69FB"/>
    <w:rsid w:val="15604361"/>
    <w:rsid w:val="15643B27"/>
    <w:rsid w:val="156D6C3E"/>
    <w:rsid w:val="15784BF0"/>
    <w:rsid w:val="15842905"/>
    <w:rsid w:val="158D108E"/>
    <w:rsid w:val="15973CBB"/>
    <w:rsid w:val="159E5049"/>
    <w:rsid w:val="15B55363"/>
    <w:rsid w:val="15B6365C"/>
    <w:rsid w:val="15B66837"/>
    <w:rsid w:val="15BB5BFB"/>
    <w:rsid w:val="15BD1974"/>
    <w:rsid w:val="15C169AC"/>
    <w:rsid w:val="15C42D02"/>
    <w:rsid w:val="15C943BA"/>
    <w:rsid w:val="15E20504"/>
    <w:rsid w:val="15E77CBD"/>
    <w:rsid w:val="160B3089"/>
    <w:rsid w:val="16135A37"/>
    <w:rsid w:val="161517B0"/>
    <w:rsid w:val="161D1CE9"/>
    <w:rsid w:val="161F43DC"/>
    <w:rsid w:val="163360DA"/>
    <w:rsid w:val="16433E47"/>
    <w:rsid w:val="164B41EA"/>
    <w:rsid w:val="165416AD"/>
    <w:rsid w:val="167034B5"/>
    <w:rsid w:val="16864046"/>
    <w:rsid w:val="16865F56"/>
    <w:rsid w:val="168D3A3C"/>
    <w:rsid w:val="168E5998"/>
    <w:rsid w:val="16993E12"/>
    <w:rsid w:val="16A843D2"/>
    <w:rsid w:val="16E1175C"/>
    <w:rsid w:val="16E802DA"/>
    <w:rsid w:val="16ED0036"/>
    <w:rsid w:val="16F5513D"/>
    <w:rsid w:val="17085D7B"/>
    <w:rsid w:val="170B19CF"/>
    <w:rsid w:val="17137B51"/>
    <w:rsid w:val="17251084"/>
    <w:rsid w:val="173810E2"/>
    <w:rsid w:val="174671E3"/>
    <w:rsid w:val="17563E2E"/>
    <w:rsid w:val="17583772"/>
    <w:rsid w:val="175A008A"/>
    <w:rsid w:val="175C7847"/>
    <w:rsid w:val="1767787C"/>
    <w:rsid w:val="176A78D9"/>
    <w:rsid w:val="17712132"/>
    <w:rsid w:val="17777536"/>
    <w:rsid w:val="17797B1C"/>
    <w:rsid w:val="178F10EE"/>
    <w:rsid w:val="179606CE"/>
    <w:rsid w:val="17A12968"/>
    <w:rsid w:val="17B46DA6"/>
    <w:rsid w:val="17BF5E77"/>
    <w:rsid w:val="17CB0631"/>
    <w:rsid w:val="17CD1386"/>
    <w:rsid w:val="180841A7"/>
    <w:rsid w:val="18110CF1"/>
    <w:rsid w:val="181F06C4"/>
    <w:rsid w:val="1820443C"/>
    <w:rsid w:val="18251A52"/>
    <w:rsid w:val="182F467F"/>
    <w:rsid w:val="18336D8A"/>
    <w:rsid w:val="183F1D11"/>
    <w:rsid w:val="1844637C"/>
    <w:rsid w:val="186121A5"/>
    <w:rsid w:val="1869193F"/>
    <w:rsid w:val="18787DD4"/>
    <w:rsid w:val="188E2D9A"/>
    <w:rsid w:val="188E4285"/>
    <w:rsid w:val="18A03A8F"/>
    <w:rsid w:val="18B3705E"/>
    <w:rsid w:val="18C66D91"/>
    <w:rsid w:val="18D74616"/>
    <w:rsid w:val="18D86AC4"/>
    <w:rsid w:val="18DF60A5"/>
    <w:rsid w:val="18E35B95"/>
    <w:rsid w:val="18E9167E"/>
    <w:rsid w:val="18F71640"/>
    <w:rsid w:val="19094ED0"/>
    <w:rsid w:val="190C374D"/>
    <w:rsid w:val="19102092"/>
    <w:rsid w:val="1913373C"/>
    <w:rsid w:val="19197809"/>
    <w:rsid w:val="19265A82"/>
    <w:rsid w:val="192C1745"/>
    <w:rsid w:val="192F2891"/>
    <w:rsid w:val="19306900"/>
    <w:rsid w:val="193759CE"/>
    <w:rsid w:val="193C0384"/>
    <w:rsid w:val="193E2DCB"/>
    <w:rsid w:val="1945415A"/>
    <w:rsid w:val="194A5C14"/>
    <w:rsid w:val="19533227"/>
    <w:rsid w:val="19561140"/>
    <w:rsid w:val="195C5947"/>
    <w:rsid w:val="195F7AEF"/>
    <w:rsid w:val="19636CD6"/>
    <w:rsid w:val="19662322"/>
    <w:rsid w:val="19741B41"/>
    <w:rsid w:val="19786206"/>
    <w:rsid w:val="19834C82"/>
    <w:rsid w:val="198527A8"/>
    <w:rsid w:val="198A6011"/>
    <w:rsid w:val="19A540AB"/>
    <w:rsid w:val="19AC7816"/>
    <w:rsid w:val="19B27315"/>
    <w:rsid w:val="19C84D8B"/>
    <w:rsid w:val="19D27DA3"/>
    <w:rsid w:val="19DE635C"/>
    <w:rsid w:val="19E26DAC"/>
    <w:rsid w:val="19E51499"/>
    <w:rsid w:val="19E905F6"/>
    <w:rsid w:val="19EA6AAF"/>
    <w:rsid w:val="19F142E2"/>
    <w:rsid w:val="1A063F55"/>
    <w:rsid w:val="1A073B05"/>
    <w:rsid w:val="1A1678A4"/>
    <w:rsid w:val="1A2924A5"/>
    <w:rsid w:val="1A2C70C8"/>
    <w:rsid w:val="1A3641C6"/>
    <w:rsid w:val="1A55661F"/>
    <w:rsid w:val="1A5959E3"/>
    <w:rsid w:val="1A5A1E87"/>
    <w:rsid w:val="1A5D1977"/>
    <w:rsid w:val="1A7433B7"/>
    <w:rsid w:val="1A81585F"/>
    <w:rsid w:val="1A8A114C"/>
    <w:rsid w:val="1A8B2040"/>
    <w:rsid w:val="1A9D26D5"/>
    <w:rsid w:val="1AAD4D6B"/>
    <w:rsid w:val="1AB33345"/>
    <w:rsid w:val="1AB538EA"/>
    <w:rsid w:val="1AB64BE3"/>
    <w:rsid w:val="1AB835BF"/>
    <w:rsid w:val="1ABA0B77"/>
    <w:rsid w:val="1ABC11BE"/>
    <w:rsid w:val="1AC5149A"/>
    <w:rsid w:val="1AC6675E"/>
    <w:rsid w:val="1AC72DB7"/>
    <w:rsid w:val="1AC75FC3"/>
    <w:rsid w:val="1ACB500E"/>
    <w:rsid w:val="1ACE3F43"/>
    <w:rsid w:val="1AE525DC"/>
    <w:rsid w:val="1AE94111"/>
    <w:rsid w:val="1AF776D6"/>
    <w:rsid w:val="1B005AA3"/>
    <w:rsid w:val="1B0433A1"/>
    <w:rsid w:val="1B075EB3"/>
    <w:rsid w:val="1B2B55D1"/>
    <w:rsid w:val="1B304996"/>
    <w:rsid w:val="1B3418ED"/>
    <w:rsid w:val="1B3A2729"/>
    <w:rsid w:val="1B474FB9"/>
    <w:rsid w:val="1B55025B"/>
    <w:rsid w:val="1B5A7181"/>
    <w:rsid w:val="1B5C1C2F"/>
    <w:rsid w:val="1B612DA1"/>
    <w:rsid w:val="1B7C5E2D"/>
    <w:rsid w:val="1B950C9D"/>
    <w:rsid w:val="1B9D3B8B"/>
    <w:rsid w:val="1BA64C58"/>
    <w:rsid w:val="1BAB1DBB"/>
    <w:rsid w:val="1BAF5235"/>
    <w:rsid w:val="1BB05AD7"/>
    <w:rsid w:val="1BB47375"/>
    <w:rsid w:val="1BB750B7"/>
    <w:rsid w:val="1BC55301"/>
    <w:rsid w:val="1BD01CD5"/>
    <w:rsid w:val="1BDF3D94"/>
    <w:rsid w:val="1BE614F8"/>
    <w:rsid w:val="1BEF2AA3"/>
    <w:rsid w:val="1C1B3898"/>
    <w:rsid w:val="1C1D13BE"/>
    <w:rsid w:val="1C1E2754"/>
    <w:rsid w:val="1C204A0A"/>
    <w:rsid w:val="1C225C02"/>
    <w:rsid w:val="1C235E41"/>
    <w:rsid w:val="1C427076"/>
    <w:rsid w:val="1C47468D"/>
    <w:rsid w:val="1C477673"/>
    <w:rsid w:val="1C4C7E65"/>
    <w:rsid w:val="1C534DE0"/>
    <w:rsid w:val="1C577B84"/>
    <w:rsid w:val="1C682378"/>
    <w:rsid w:val="1C6C09D5"/>
    <w:rsid w:val="1C850D11"/>
    <w:rsid w:val="1C932D3D"/>
    <w:rsid w:val="1CA643DD"/>
    <w:rsid w:val="1CA728DC"/>
    <w:rsid w:val="1CB6536F"/>
    <w:rsid w:val="1CBD62EE"/>
    <w:rsid w:val="1CC32D57"/>
    <w:rsid w:val="1CC57360"/>
    <w:rsid w:val="1CC62A2C"/>
    <w:rsid w:val="1CD83055"/>
    <w:rsid w:val="1CD960BC"/>
    <w:rsid w:val="1CFD2F9D"/>
    <w:rsid w:val="1D1C3424"/>
    <w:rsid w:val="1D2170A7"/>
    <w:rsid w:val="1D267ABF"/>
    <w:rsid w:val="1D2B5F1E"/>
    <w:rsid w:val="1D3C7D94"/>
    <w:rsid w:val="1D454C63"/>
    <w:rsid w:val="1D4B5AB7"/>
    <w:rsid w:val="1D4E5FC1"/>
    <w:rsid w:val="1D4F6A84"/>
    <w:rsid w:val="1D593FE0"/>
    <w:rsid w:val="1D5A03F0"/>
    <w:rsid w:val="1D5F77B4"/>
    <w:rsid w:val="1D620969"/>
    <w:rsid w:val="1D6B1F9B"/>
    <w:rsid w:val="1D6B43AB"/>
    <w:rsid w:val="1D7577F8"/>
    <w:rsid w:val="1D767C76"/>
    <w:rsid w:val="1D8334A3"/>
    <w:rsid w:val="1D8B324F"/>
    <w:rsid w:val="1D8F2F1D"/>
    <w:rsid w:val="1D90008F"/>
    <w:rsid w:val="1D97460A"/>
    <w:rsid w:val="1D98237B"/>
    <w:rsid w:val="1D9E77CA"/>
    <w:rsid w:val="1DAA2853"/>
    <w:rsid w:val="1DB45D52"/>
    <w:rsid w:val="1DC15D79"/>
    <w:rsid w:val="1DC87107"/>
    <w:rsid w:val="1DCD0BC2"/>
    <w:rsid w:val="1DCF5CAF"/>
    <w:rsid w:val="1DDC31B9"/>
    <w:rsid w:val="1DDF351A"/>
    <w:rsid w:val="1DE4094A"/>
    <w:rsid w:val="1DE44205"/>
    <w:rsid w:val="1DF80BEA"/>
    <w:rsid w:val="1DFF0A15"/>
    <w:rsid w:val="1E0A5972"/>
    <w:rsid w:val="1E1E766F"/>
    <w:rsid w:val="1E2E1C5F"/>
    <w:rsid w:val="1E344BB7"/>
    <w:rsid w:val="1E4644CC"/>
    <w:rsid w:val="1E4C5F8A"/>
    <w:rsid w:val="1E4C7E68"/>
    <w:rsid w:val="1E60512C"/>
    <w:rsid w:val="1E8E3A7F"/>
    <w:rsid w:val="1E996E54"/>
    <w:rsid w:val="1EA57449"/>
    <w:rsid w:val="1EA731B6"/>
    <w:rsid w:val="1EAA4A5F"/>
    <w:rsid w:val="1EAF02C7"/>
    <w:rsid w:val="1EC2785D"/>
    <w:rsid w:val="1EC57AEB"/>
    <w:rsid w:val="1EC64A9D"/>
    <w:rsid w:val="1ECC2C27"/>
    <w:rsid w:val="1ED31E03"/>
    <w:rsid w:val="1ED92F13"/>
    <w:rsid w:val="1EDB2E6A"/>
    <w:rsid w:val="1EE36EF9"/>
    <w:rsid w:val="1EF02DBA"/>
    <w:rsid w:val="1EF34658"/>
    <w:rsid w:val="1EFD2727"/>
    <w:rsid w:val="1EFD54D7"/>
    <w:rsid w:val="1F070103"/>
    <w:rsid w:val="1F2F22C9"/>
    <w:rsid w:val="1F433CC9"/>
    <w:rsid w:val="1F4D3D68"/>
    <w:rsid w:val="1F5F1CED"/>
    <w:rsid w:val="1F604D5F"/>
    <w:rsid w:val="1F6A3BAE"/>
    <w:rsid w:val="1F737547"/>
    <w:rsid w:val="1F7E03C6"/>
    <w:rsid w:val="1F8B4890"/>
    <w:rsid w:val="1F9A4AD4"/>
    <w:rsid w:val="1FA13150"/>
    <w:rsid w:val="1FA912D2"/>
    <w:rsid w:val="1FB3007D"/>
    <w:rsid w:val="1FBE6D9E"/>
    <w:rsid w:val="1FC86FB2"/>
    <w:rsid w:val="1FCF761E"/>
    <w:rsid w:val="1FE12702"/>
    <w:rsid w:val="1FE31210"/>
    <w:rsid w:val="1FE47B4B"/>
    <w:rsid w:val="1FE8583F"/>
    <w:rsid w:val="1FF02946"/>
    <w:rsid w:val="1FF17619"/>
    <w:rsid w:val="1FF27875"/>
    <w:rsid w:val="20017C8D"/>
    <w:rsid w:val="20105C4A"/>
    <w:rsid w:val="201A79C2"/>
    <w:rsid w:val="202F16C0"/>
    <w:rsid w:val="203521F9"/>
    <w:rsid w:val="203767C6"/>
    <w:rsid w:val="203C5F6F"/>
    <w:rsid w:val="204F58BE"/>
    <w:rsid w:val="20541126"/>
    <w:rsid w:val="2056004D"/>
    <w:rsid w:val="20680AB3"/>
    <w:rsid w:val="206B7D6A"/>
    <w:rsid w:val="206D3F96"/>
    <w:rsid w:val="206E7C3C"/>
    <w:rsid w:val="20745325"/>
    <w:rsid w:val="20781741"/>
    <w:rsid w:val="20893CB3"/>
    <w:rsid w:val="208B0BAA"/>
    <w:rsid w:val="208D5545"/>
    <w:rsid w:val="209542E2"/>
    <w:rsid w:val="20A25436"/>
    <w:rsid w:val="20C3677A"/>
    <w:rsid w:val="20CD4D43"/>
    <w:rsid w:val="20D91FEB"/>
    <w:rsid w:val="20DB53A4"/>
    <w:rsid w:val="20EC03FB"/>
    <w:rsid w:val="20FE67B3"/>
    <w:rsid w:val="20FF1092"/>
    <w:rsid w:val="210B41D8"/>
    <w:rsid w:val="2110133D"/>
    <w:rsid w:val="211120A0"/>
    <w:rsid w:val="211D3C0E"/>
    <w:rsid w:val="211E47B1"/>
    <w:rsid w:val="212E5E1B"/>
    <w:rsid w:val="21374CD0"/>
    <w:rsid w:val="213B0E23"/>
    <w:rsid w:val="21621621"/>
    <w:rsid w:val="216830DB"/>
    <w:rsid w:val="216B08FE"/>
    <w:rsid w:val="21805DD1"/>
    <w:rsid w:val="2193528F"/>
    <w:rsid w:val="21A8797C"/>
    <w:rsid w:val="21B209BC"/>
    <w:rsid w:val="21B657DB"/>
    <w:rsid w:val="21BB449B"/>
    <w:rsid w:val="21BF6859"/>
    <w:rsid w:val="21C83B7A"/>
    <w:rsid w:val="21CB5418"/>
    <w:rsid w:val="21CE6CB6"/>
    <w:rsid w:val="21DB0BBB"/>
    <w:rsid w:val="21E066F1"/>
    <w:rsid w:val="21E650FB"/>
    <w:rsid w:val="21EF7359"/>
    <w:rsid w:val="21FD6753"/>
    <w:rsid w:val="22047442"/>
    <w:rsid w:val="220F3557"/>
    <w:rsid w:val="22162B37"/>
    <w:rsid w:val="22192627"/>
    <w:rsid w:val="221A3D34"/>
    <w:rsid w:val="22235254"/>
    <w:rsid w:val="224156DA"/>
    <w:rsid w:val="22452F24"/>
    <w:rsid w:val="224C7E9B"/>
    <w:rsid w:val="224F6049"/>
    <w:rsid w:val="225B2C40"/>
    <w:rsid w:val="226A69DF"/>
    <w:rsid w:val="22743D02"/>
    <w:rsid w:val="227710FC"/>
    <w:rsid w:val="2278210B"/>
    <w:rsid w:val="228B768D"/>
    <w:rsid w:val="2298179E"/>
    <w:rsid w:val="229B4DEB"/>
    <w:rsid w:val="22B1623E"/>
    <w:rsid w:val="22B81625"/>
    <w:rsid w:val="22BD1205"/>
    <w:rsid w:val="22CC1448"/>
    <w:rsid w:val="22CF2CE6"/>
    <w:rsid w:val="22D60519"/>
    <w:rsid w:val="22F261C6"/>
    <w:rsid w:val="23061CAF"/>
    <w:rsid w:val="230963C7"/>
    <w:rsid w:val="231F74AD"/>
    <w:rsid w:val="23206105"/>
    <w:rsid w:val="232E5C5F"/>
    <w:rsid w:val="233B436A"/>
    <w:rsid w:val="234D7183"/>
    <w:rsid w:val="23503E27"/>
    <w:rsid w:val="235F050E"/>
    <w:rsid w:val="236A5261"/>
    <w:rsid w:val="238166D6"/>
    <w:rsid w:val="23821018"/>
    <w:rsid w:val="238276E5"/>
    <w:rsid w:val="23835116"/>
    <w:rsid w:val="23865A9B"/>
    <w:rsid w:val="23943D0E"/>
    <w:rsid w:val="23983A20"/>
    <w:rsid w:val="239F090A"/>
    <w:rsid w:val="23A777BF"/>
    <w:rsid w:val="23AF33C6"/>
    <w:rsid w:val="23B819CC"/>
    <w:rsid w:val="23BC0851"/>
    <w:rsid w:val="23BE2E5C"/>
    <w:rsid w:val="23BF2B98"/>
    <w:rsid w:val="23C16AD3"/>
    <w:rsid w:val="23D52A7A"/>
    <w:rsid w:val="23D63E81"/>
    <w:rsid w:val="23EB3B50"/>
    <w:rsid w:val="23F13E30"/>
    <w:rsid w:val="23FE2357"/>
    <w:rsid w:val="23FE7D27"/>
    <w:rsid w:val="24013373"/>
    <w:rsid w:val="240B50B5"/>
    <w:rsid w:val="24125580"/>
    <w:rsid w:val="241F7AA4"/>
    <w:rsid w:val="24213A15"/>
    <w:rsid w:val="24286B52"/>
    <w:rsid w:val="242D5F16"/>
    <w:rsid w:val="24390D5F"/>
    <w:rsid w:val="243A0633"/>
    <w:rsid w:val="2446347C"/>
    <w:rsid w:val="244A5ABB"/>
    <w:rsid w:val="24561911"/>
    <w:rsid w:val="246A0F18"/>
    <w:rsid w:val="246B6A3F"/>
    <w:rsid w:val="247104F9"/>
    <w:rsid w:val="247808B9"/>
    <w:rsid w:val="248A15BB"/>
    <w:rsid w:val="24931081"/>
    <w:rsid w:val="249B5576"/>
    <w:rsid w:val="24A769E9"/>
    <w:rsid w:val="24A80C22"/>
    <w:rsid w:val="24AE34FB"/>
    <w:rsid w:val="24C45466"/>
    <w:rsid w:val="24C63A20"/>
    <w:rsid w:val="24CA7C09"/>
    <w:rsid w:val="24DF31A3"/>
    <w:rsid w:val="24E54D65"/>
    <w:rsid w:val="24F10479"/>
    <w:rsid w:val="24F800E1"/>
    <w:rsid w:val="24FA2B76"/>
    <w:rsid w:val="24FB302E"/>
    <w:rsid w:val="250273A3"/>
    <w:rsid w:val="25175353"/>
    <w:rsid w:val="251E443A"/>
    <w:rsid w:val="251F0264"/>
    <w:rsid w:val="251F3280"/>
    <w:rsid w:val="25270BB7"/>
    <w:rsid w:val="252E18B4"/>
    <w:rsid w:val="253009F4"/>
    <w:rsid w:val="25315EDA"/>
    <w:rsid w:val="25357778"/>
    <w:rsid w:val="253B4663"/>
    <w:rsid w:val="253D487F"/>
    <w:rsid w:val="253F4153"/>
    <w:rsid w:val="25416241"/>
    <w:rsid w:val="254554E2"/>
    <w:rsid w:val="254B6F9C"/>
    <w:rsid w:val="254C061E"/>
    <w:rsid w:val="255319AC"/>
    <w:rsid w:val="25706A02"/>
    <w:rsid w:val="257A518B"/>
    <w:rsid w:val="257D111F"/>
    <w:rsid w:val="257F5E70"/>
    <w:rsid w:val="25861E87"/>
    <w:rsid w:val="25931026"/>
    <w:rsid w:val="259A582D"/>
    <w:rsid w:val="25A75937"/>
    <w:rsid w:val="25B02157"/>
    <w:rsid w:val="25BC5CB5"/>
    <w:rsid w:val="25C25F8A"/>
    <w:rsid w:val="25C94365"/>
    <w:rsid w:val="25D061BB"/>
    <w:rsid w:val="25D30D3F"/>
    <w:rsid w:val="25D7082F"/>
    <w:rsid w:val="25DD2610"/>
    <w:rsid w:val="25F81E87"/>
    <w:rsid w:val="25F94A58"/>
    <w:rsid w:val="26140373"/>
    <w:rsid w:val="261E645E"/>
    <w:rsid w:val="261F5B7A"/>
    <w:rsid w:val="2628108B"/>
    <w:rsid w:val="263C18BA"/>
    <w:rsid w:val="26405F1F"/>
    <w:rsid w:val="264E7AE5"/>
    <w:rsid w:val="26543C2E"/>
    <w:rsid w:val="26641DB0"/>
    <w:rsid w:val="266427D3"/>
    <w:rsid w:val="266C293C"/>
    <w:rsid w:val="2675674A"/>
    <w:rsid w:val="26846979"/>
    <w:rsid w:val="268B606C"/>
    <w:rsid w:val="268D3A21"/>
    <w:rsid w:val="269F0C21"/>
    <w:rsid w:val="26AA5F44"/>
    <w:rsid w:val="26B02E2F"/>
    <w:rsid w:val="26B53FC9"/>
    <w:rsid w:val="26B80661"/>
    <w:rsid w:val="26C32B62"/>
    <w:rsid w:val="26C64400"/>
    <w:rsid w:val="271433BD"/>
    <w:rsid w:val="27165388"/>
    <w:rsid w:val="271672DF"/>
    <w:rsid w:val="27273C5D"/>
    <w:rsid w:val="27305F3A"/>
    <w:rsid w:val="27351CB2"/>
    <w:rsid w:val="273566E0"/>
    <w:rsid w:val="27426D58"/>
    <w:rsid w:val="27465173"/>
    <w:rsid w:val="274D2199"/>
    <w:rsid w:val="2758774E"/>
    <w:rsid w:val="2768071D"/>
    <w:rsid w:val="276964E0"/>
    <w:rsid w:val="276A122F"/>
    <w:rsid w:val="276A62AA"/>
    <w:rsid w:val="276E6F72"/>
    <w:rsid w:val="2790513A"/>
    <w:rsid w:val="27983FEE"/>
    <w:rsid w:val="27A04C51"/>
    <w:rsid w:val="27A110F5"/>
    <w:rsid w:val="27AE2C9C"/>
    <w:rsid w:val="27B133EB"/>
    <w:rsid w:val="27B22181"/>
    <w:rsid w:val="27BB1A8B"/>
    <w:rsid w:val="27DD40F7"/>
    <w:rsid w:val="27DE115B"/>
    <w:rsid w:val="27E02D17"/>
    <w:rsid w:val="27E64D5A"/>
    <w:rsid w:val="27E95599"/>
    <w:rsid w:val="27EB411E"/>
    <w:rsid w:val="27ED433A"/>
    <w:rsid w:val="27FC3EFE"/>
    <w:rsid w:val="28043432"/>
    <w:rsid w:val="280C2F29"/>
    <w:rsid w:val="281226B9"/>
    <w:rsid w:val="281279CE"/>
    <w:rsid w:val="281523B6"/>
    <w:rsid w:val="28302479"/>
    <w:rsid w:val="283830DC"/>
    <w:rsid w:val="283D06F2"/>
    <w:rsid w:val="283E6B68"/>
    <w:rsid w:val="283F26BC"/>
    <w:rsid w:val="284A7FD7"/>
    <w:rsid w:val="284F6DA3"/>
    <w:rsid w:val="28575C58"/>
    <w:rsid w:val="28595F19"/>
    <w:rsid w:val="285C501C"/>
    <w:rsid w:val="286013AA"/>
    <w:rsid w:val="28785447"/>
    <w:rsid w:val="28940C5A"/>
    <w:rsid w:val="2895234A"/>
    <w:rsid w:val="289F2FF8"/>
    <w:rsid w:val="28B30360"/>
    <w:rsid w:val="28B44557"/>
    <w:rsid w:val="28BC5ABB"/>
    <w:rsid w:val="28C50E13"/>
    <w:rsid w:val="28C80903"/>
    <w:rsid w:val="28D948BF"/>
    <w:rsid w:val="28F2659B"/>
    <w:rsid w:val="28FA3A29"/>
    <w:rsid w:val="28FF44FC"/>
    <w:rsid w:val="29263F95"/>
    <w:rsid w:val="292D69B8"/>
    <w:rsid w:val="29303A19"/>
    <w:rsid w:val="293715E5"/>
    <w:rsid w:val="293E708B"/>
    <w:rsid w:val="294A756A"/>
    <w:rsid w:val="294E0E09"/>
    <w:rsid w:val="29543F45"/>
    <w:rsid w:val="2959155B"/>
    <w:rsid w:val="2964062C"/>
    <w:rsid w:val="29657F00"/>
    <w:rsid w:val="29695291"/>
    <w:rsid w:val="296D6B85"/>
    <w:rsid w:val="2970518F"/>
    <w:rsid w:val="29824F56"/>
    <w:rsid w:val="298C7B83"/>
    <w:rsid w:val="29BD120F"/>
    <w:rsid w:val="29C63095"/>
    <w:rsid w:val="29C769C8"/>
    <w:rsid w:val="29CC7A9D"/>
    <w:rsid w:val="29D016F8"/>
    <w:rsid w:val="29DF1D88"/>
    <w:rsid w:val="29F36D30"/>
    <w:rsid w:val="2A1C2CB5"/>
    <w:rsid w:val="2A3E688B"/>
    <w:rsid w:val="2A4B359A"/>
    <w:rsid w:val="2A500B96"/>
    <w:rsid w:val="2A594F8B"/>
    <w:rsid w:val="2A794881"/>
    <w:rsid w:val="2A7C0667"/>
    <w:rsid w:val="2A840B6B"/>
    <w:rsid w:val="2AA2085A"/>
    <w:rsid w:val="2ACA1641"/>
    <w:rsid w:val="2ACF5A8C"/>
    <w:rsid w:val="2AD92954"/>
    <w:rsid w:val="2ADF4AAE"/>
    <w:rsid w:val="2AEC737C"/>
    <w:rsid w:val="2AF51552"/>
    <w:rsid w:val="2B053426"/>
    <w:rsid w:val="2B074524"/>
    <w:rsid w:val="2B2621F1"/>
    <w:rsid w:val="2B5244B4"/>
    <w:rsid w:val="2B612949"/>
    <w:rsid w:val="2B620B9B"/>
    <w:rsid w:val="2B634913"/>
    <w:rsid w:val="2B69794E"/>
    <w:rsid w:val="2B6E13F3"/>
    <w:rsid w:val="2B7B7EAF"/>
    <w:rsid w:val="2B807316"/>
    <w:rsid w:val="2B833DCF"/>
    <w:rsid w:val="2B876702"/>
    <w:rsid w:val="2B8D373E"/>
    <w:rsid w:val="2B9B773E"/>
    <w:rsid w:val="2B9C72A6"/>
    <w:rsid w:val="2BA066B9"/>
    <w:rsid w:val="2BA2368E"/>
    <w:rsid w:val="2BB34E4D"/>
    <w:rsid w:val="2BB37649"/>
    <w:rsid w:val="2BB46F1D"/>
    <w:rsid w:val="2BC43604"/>
    <w:rsid w:val="2BCA04EF"/>
    <w:rsid w:val="2BE05F64"/>
    <w:rsid w:val="2BEA69B2"/>
    <w:rsid w:val="2BF67580"/>
    <w:rsid w:val="2BFD6B16"/>
    <w:rsid w:val="2C161986"/>
    <w:rsid w:val="2C2F3124"/>
    <w:rsid w:val="2C5018BD"/>
    <w:rsid w:val="2C584791"/>
    <w:rsid w:val="2C640A05"/>
    <w:rsid w:val="2C710575"/>
    <w:rsid w:val="2C7219A3"/>
    <w:rsid w:val="2C854463"/>
    <w:rsid w:val="2C8903AA"/>
    <w:rsid w:val="2C8B42A1"/>
    <w:rsid w:val="2CA02338"/>
    <w:rsid w:val="2CB949F3"/>
    <w:rsid w:val="2CBA4DC4"/>
    <w:rsid w:val="2CBB6EF5"/>
    <w:rsid w:val="2CC71C54"/>
    <w:rsid w:val="2CC87E48"/>
    <w:rsid w:val="2CD05FD9"/>
    <w:rsid w:val="2CD31625"/>
    <w:rsid w:val="2CE11404"/>
    <w:rsid w:val="2CE37ABA"/>
    <w:rsid w:val="2CEC3704"/>
    <w:rsid w:val="2CF00429"/>
    <w:rsid w:val="2D410C84"/>
    <w:rsid w:val="2D430559"/>
    <w:rsid w:val="2D474B6D"/>
    <w:rsid w:val="2D5B1D46"/>
    <w:rsid w:val="2D625A0F"/>
    <w:rsid w:val="2D74105A"/>
    <w:rsid w:val="2D752421"/>
    <w:rsid w:val="2D7E033B"/>
    <w:rsid w:val="2D8B25AD"/>
    <w:rsid w:val="2D962D8D"/>
    <w:rsid w:val="2DA336ED"/>
    <w:rsid w:val="2DA65AC5"/>
    <w:rsid w:val="2DB5595A"/>
    <w:rsid w:val="2DC07DFB"/>
    <w:rsid w:val="2DC21DC5"/>
    <w:rsid w:val="2DD14808"/>
    <w:rsid w:val="2DD30C45"/>
    <w:rsid w:val="2DDC0D17"/>
    <w:rsid w:val="2DEF248E"/>
    <w:rsid w:val="2DF53F49"/>
    <w:rsid w:val="2DF745EF"/>
    <w:rsid w:val="2E0221C2"/>
    <w:rsid w:val="2E0226E0"/>
    <w:rsid w:val="2E0627FD"/>
    <w:rsid w:val="2E0E500A"/>
    <w:rsid w:val="2E0F49FC"/>
    <w:rsid w:val="2E114AFB"/>
    <w:rsid w:val="2E293021"/>
    <w:rsid w:val="2E2E0121"/>
    <w:rsid w:val="2E3D3071"/>
    <w:rsid w:val="2E41718E"/>
    <w:rsid w:val="2E597998"/>
    <w:rsid w:val="2E697A92"/>
    <w:rsid w:val="2E7F2464"/>
    <w:rsid w:val="2E98638E"/>
    <w:rsid w:val="2E9D013C"/>
    <w:rsid w:val="2E9D1EEA"/>
    <w:rsid w:val="2EA345E4"/>
    <w:rsid w:val="2EB3170E"/>
    <w:rsid w:val="2EB434C2"/>
    <w:rsid w:val="2EBC2658"/>
    <w:rsid w:val="2EBE7EAF"/>
    <w:rsid w:val="2EC51345"/>
    <w:rsid w:val="2EE23DA1"/>
    <w:rsid w:val="2EFA3BC1"/>
    <w:rsid w:val="2F022252"/>
    <w:rsid w:val="2F08379D"/>
    <w:rsid w:val="2F0913C9"/>
    <w:rsid w:val="2F2A799C"/>
    <w:rsid w:val="2F301BBD"/>
    <w:rsid w:val="2F34284F"/>
    <w:rsid w:val="2F350375"/>
    <w:rsid w:val="2F3660FB"/>
    <w:rsid w:val="2F382AB3"/>
    <w:rsid w:val="2F4C602F"/>
    <w:rsid w:val="2F4D1B62"/>
    <w:rsid w:val="2F59024D"/>
    <w:rsid w:val="2F643F8E"/>
    <w:rsid w:val="2F662DFD"/>
    <w:rsid w:val="2F6971AB"/>
    <w:rsid w:val="2F6D7B0F"/>
    <w:rsid w:val="2F7D607E"/>
    <w:rsid w:val="2F835584"/>
    <w:rsid w:val="2F8D01B1"/>
    <w:rsid w:val="2FA33530"/>
    <w:rsid w:val="2FB058A3"/>
    <w:rsid w:val="2FB76FDC"/>
    <w:rsid w:val="2FBB6ACC"/>
    <w:rsid w:val="2FDB0F1C"/>
    <w:rsid w:val="2FDD5A67"/>
    <w:rsid w:val="2FE204FD"/>
    <w:rsid w:val="2FE23FCB"/>
    <w:rsid w:val="2FED29FE"/>
    <w:rsid w:val="300A35B0"/>
    <w:rsid w:val="301461DC"/>
    <w:rsid w:val="30275401"/>
    <w:rsid w:val="302A5482"/>
    <w:rsid w:val="302C7114"/>
    <w:rsid w:val="30305023"/>
    <w:rsid w:val="30387810"/>
    <w:rsid w:val="30424923"/>
    <w:rsid w:val="304F5466"/>
    <w:rsid w:val="30564A47"/>
    <w:rsid w:val="305D7B83"/>
    <w:rsid w:val="30637F81"/>
    <w:rsid w:val="306A5958"/>
    <w:rsid w:val="306C426A"/>
    <w:rsid w:val="308570DA"/>
    <w:rsid w:val="308B144B"/>
    <w:rsid w:val="30A06D34"/>
    <w:rsid w:val="30CF7407"/>
    <w:rsid w:val="30DA5678"/>
    <w:rsid w:val="30E70F4D"/>
    <w:rsid w:val="310D28FD"/>
    <w:rsid w:val="310F3573"/>
    <w:rsid w:val="311D73F4"/>
    <w:rsid w:val="312622CD"/>
    <w:rsid w:val="3129097E"/>
    <w:rsid w:val="31295CB7"/>
    <w:rsid w:val="31321010"/>
    <w:rsid w:val="313C3C3D"/>
    <w:rsid w:val="313E0517"/>
    <w:rsid w:val="31490108"/>
    <w:rsid w:val="314A45AB"/>
    <w:rsid w:val="315E3BB3"/>
    <w:rsid w:val="31603737"/>
    <w:rsid w:val="3163452A"/>
    <w:rsid w:val="316D029A"/>
    <w:rsid w:val="317A6513"/>
    <w:rsid w:val="3183186B"/>
    <w:rsid w:val="318C7438"/>
    <w:rsid w:val="31985804"/>
    <w:rsid w:val="3199022D"/>
    <w:rsid w:val="31AF08B2"/>
    <w:rsid w:val="31C132B8"/>
    <w:rsid w:val="31D80455"/>
    <w:rsid w:val="31D9592F"/>
    <w:rsid w:val="31E02532"/>
    <w:rsid w:val="31E22A36"/>
    <w:rsid w:val="31F41E38"/>
    <w:rsid w:val="31F606B6"/>
    <w:rsid w:val="31F65A58"/>
    <w:rsid w:val="31F97990"/>
    <w:rsid w:val="31FB6CFB"/>
    <w:rsid w:val="32020D52"/>
    <w:rsid w:val="320311F3"/>
    <w:rsid w:val="32081D71"/>
    <w:rsid w:val="322546D1"/>
    <w:rsid w:val="32263C46"/>
    <w:rsid w:val="3227669B"/>
    <w:rsid w:val="322E7A9C"/>
    <w:rsid w:val="3234700A"/>
    <w:rsid w:val="32425283"/>
    <w:rsid w:val="32435C17"/>
    <w:rsid w:val="325F092B"/>
    <w:rsid w:val="326A2A2B"/>
    <w:rsid w:val="327A2C6E"/>
    <w:rsid w:val="327A560B"/>
    <w:rsid w:val="32A457A0"/>
    <w:rsid w:val="32AE2918"/>
    <w:rsid w:val="32BA750F"/>
    <w:rsid w:val="32D4231F"/>
    <w:rsid w:val="32E2418D"/>
    <w:rsid w:val="32F02F31"/>
    <w:rsid w:val="32F114C4"/>
    <w:rsid w:val="32F55324"/>
    <w:rsid w:val="33022B65"/>
    <w:rsid w:val="33245508"/>
    <w:rsid w:val="332901F1"/>
    <w:rsid w:val="33294EB7"/>
    <w:rsid w:val="332C1A8F"/>
    <w:rsid w:val="332D4B00"/>
    <w:rsid w:val="333A063B"/>
    <w:rsid w:val="33423F49"/>
    <w:rsid w:val="334603F1"/>
    <w:rsid w:val="334943EF"/>
    <w:rsid w:val="335214F5"/>
    <w:rsid w:val="335921D0"/>
    <w:rsid w:val="33655348"/>
    <w:rsid w:val="33680D19"/>
    <w:rsid w:val="33705E1F"/>
    <w:rsid w:val="33843679"/>
    <w:rsid w:val="338779DA"/>
    <w:rsid w:val="338B0EAB"/>
    <w:rsid w:val="33991C35"/>
    <w:rsid w:val="339E6810"/>
    <w:rsid w:val="33A0343A"/>
    <w:rsid w:val="33A41CCA"/>
    <w:rsid w:val="33A65CE5"/>
    <w:rsid w:val="33B73A4E"/>
    <w:rsid w:val="33C30645"/>
    <w:rsid w:val="33C51D03"/>
    <w:rsid w:val="33DA6533"/>
    <w:rsid w:val="33DD3C5A"/>
    <w:rsid w:val="33E16B0C"/>
    <w:rsid w:val="33F00F36"/>
    <w:rsid w:val="33F24A86"/>
    <w:rsid w:val="340B78F6"/>
    <w:rsid w:val="341664F4"/>
    <w:rsid w:val="341A06B8"/>
    <w:rsid w:val="341E587B"/>
    <w:rsid w:val="342A7C20"/>
    <w:rsid w:val="34345F13"/>
    <w:rsid w:val="34441786"/>
    <w:rsid w:val="34543C79"/>
    <w:rsid w:val="345E7AE8"/>
    <w:rsid w:val="346C2CC0"/>
    <w:rsid w:val="34732316"/>
    <w:rsid w:val="347E456C"/>
    <w:rsid w:val="34831B82"/>
    <w:rsid w:val="34832720"/>
    <w:rsid w:val="34911C7D"/>
    <w:rsid w:val="34916A44"/>
    <w:rsid w:val="34940253"/>
    <w:rsid w:val="34A3421F"/>
    <w:rsid w:val="34A913BC"/>
    <w:rsid w:val="34B113F4"/>
    <w:rsid w:val="34B32468"/>
    <w:rsid w:val="34B40E55"/>
    <w:rsid w:val="34C401D1"/>
    <w:rsid w:val="34C46423"/>
    <w:rsid w:val="34C518B3"/>
    <w:rsid w:val="34D4475A"/>
    <w:rsid w:val="34D643A8"/>
    <w:rsid w:val="34DE118C"/>
    <w:rsid w:val="34E16FD5"/>
    <w:rsid w:val="34F34F5A"/>
    <w:rsid w:val="34F72F2B"/>
    <w:rsid w:val="34F82570"/>
    <w:rsid w:val="34F8592A"/>
    <w:rsid w:val="350565C6"/>
    <w:rsid w:val="35171FC3"/>
    <w:rsid w:val="352E1AEE"/>
    <w:rsid w:val="35324E37"/>
    <w:rsid w:val="35463A62"/>
    <w:rsid w:val="354B6B44"/>
    <w:rsid w:val="354C5D51"/>
    <w:rsid w:val="35522E02"/>
    <w:rsid w:val="355359F9"/>
    <w:rsid w:val="35563ECB"/>
    <w:rsid w:val="355F614C"/>
    <w:rsid w:val="35661288"/>
    <w:rsid w:val="356727C6"/>
    <w:rsid w:val="35730EFC"/>
    <w:rsid w:val="35852EE6"/>
    <w:rsid w:val="358871FC"/>
    <w:rsid w:val="3589693D"/>
    <w:rsid w:val="35935DF5"/>
    <w:rsid w:val="3598340C"/>
    <w:rsid w:val="359B10BA"/>
    <w:rsid w:val="359C2CD9"/>
    <w:rsid w:val="359F0C3E"/>
    <w:rsid w:val="35B46497"/>
    <w:rsid w:val="35BA6262"/>
    <w:rsid w:val="35DF7319"/>
    <w:rsid w:val="35F3574A"/>
    <w:rsid w:val="36032233"/>
    <w:rsid w:val="360A255B"/>
    <w:rsid w:val="361362EA"/>
    <w:rsid w:val="36237179"/>
    <w:rsid w:val="36276A76"/>
    <w:rsid w:val="36301CAE"/>
    <w:rsid w:val="36392E40"/>
    <w:rsid w:val="3656754F"/>
    <w:rsid w:val="365D08DD"/>
    <w:rsid w:val="36687282"/>
    <w:rsid w:val="366B14B6"/>
    <w:rsid w:val="366E25F0"/>
    <w:rsid w:val="36745C27"/>
    <w:rsid w:val="367B5207"/>
    <w:rsid w:val="36847F4C"/>
    <w:rsid w:val="36891AAE"/>
    <w:rsid w:val="36911A0A"/>
    <w:rsid w:val="369179E3"/>
    <w:rsid w:val="36A24CBE"/>
    <w:rsid w:val="36AA1648"/>
    <w:rsid w:val="36AA789A"/>
    <w:rsid w:val="36B32FDF"/>
    <w:rsid w:val="36BC7D30"/>
    <w:rsid w:val="36C24BE4"/>
    <w:rsid w:val="36C719CD"/>
    <w:rsid w:val="36DF7544"/>
    <w:rsid w:val="36E81580"/>
    <w:rsid w:val="36EF1242"/>
    <w:rsid w:val="36F80606"/>
    <w:rsid w:val="36F823B4"/>
    <w:rsid w:val="36FC3260"/>
    <w:rsid w:val="36FF3742"/>
    <w:rsid w:val="3715036C"/>
    <w:rsid w:val="37160A8C"/>
    <w:rsid w:val="37282D41"/>
    <w:rsid w:val="373158C6"/>
    <w:rsid w:val="37362EDC"/>
    <w:rsid w:val="3746105F"/>
    <w:rsid w:val="37534083"/>
    <w:rsid w:val="37543839"/>
    <w:rsid w:val="37585C03"/>
    <w:rsid w:val="37646B7B"/>
    <w:rsid w:val="376F3BFD"/>
    <w:rsid w:val="37767F31"/>
    <w:rsid w:val="37775AE4"/>
    <w:rsid w:val="379245B6"/>
    <w:rsid w:val="37A83712"/>
    <w:rsid w:val="37A91F2C"/>
    <w:rsid w:val="37B71B23"/>
    <w:rsid w:val="37B72222"/>
    <w:rsid w:val="37BF1123"/>
    <w:rsid w:val="37C329C2"/>
    <w:rsid w:val="37C80F06"/>
    <w:rsid w:val="37D3697D"/>
    <w:rsid w:val="37D73755"/>
    <w:rsid w:val="37DB610F"/>
    <w:rsid w:val="37E079B5"/>
    <w:rsid w:val="37EF25FC"/>
    <w:rsid w:val="37EF34CB"/>
    <w:rsid w:val="37F7421E"/>
    <w:rsid w:val="37FE39FA"/>
    <w:rsid w:val="37FF7772"/>
    <w:rsid w:val="3801798E"/>
    <w:rsid w:val="380C3C8E"/>
    <w:rsid w:val="38134DDD"/>
    <w:rsid w:val="38163439"/>
    <w:rsid w:val="382472C8"/>
    <w:rsid w:val="38417D8A"/>
    <w:rsid w:val="38543F62"/>
    <w:rsid w:val="38547C0B"/>
    <w:rsid w:val="38622B72"/>
    <w:rsid w:val="386A5533"/>
    <w:rsid w:val="38AB6509"/>
    <w:rsid w:val="38AD71CE"/>
    <w:rsid w:val="38BB7B3D"/>
    <w:rsid w:val="38C2711D"/>
    <w:rsid w:val="38C34C43"/>
    <w:rsid w:val="38C5276A"/>
    <w:rsid w:val="38C67BAB"/>
    <w:rsid w:val="38D17360"/>
    <w:rsid w:val="38D40BFF"/>
    <w:rsid w:val="38DA77C6"/>
    <w:rsid w:val="38F03CF0"/>
    <w:rsid w:val="38FB291B"/>
    <w:rsid w:val="3905525C"/>
    <w:rsid w:val="39154A37"/>
    <w:rsid w:val="39184F8F"/>
    <w:rsid w:val="3924172D"/>
    <w:rsid w:val="39243F17"/>
    <w:rsid w:val="392576AC"/>
    <w:rsid w:val="393B53E7"/>
    <w:rsid w:val="394C4C39"/>
    <w:rsid w:val="394C66DD"/>
    <w:rsid w:val="394E275F"/>
    <w:rsid w:val="39627FB8"/>
    <w:rsid w:val="396C52DB"/>
    <w:rsid w:val="39764D37"/>
    <w:rsid w:val="397E7D6B"/>
    <w:rsid w:val="397F19E8"/>
    <w:rsid w:val="398C3287"/>
    <w:rsid w:val="39A700C1"/>
    <w:rsid w:val="39A9208B"/>
    <w:rsid w:val="39CD4C01"/>
    <w:rsid w:val="39D54C2E"/>
    <w:rsid w:val="39F17820"/>
    <w:rsid w:val="39F6758D"/>
    <w:rsid w:val="3A0A1C54"/>
    <w:rsid w:val="3A0D2FC1"/>
    <w:rsid w:val="3A163157"/>
    <w:rsid w:val="3A175247"/>
    <w:rsid w:val="3A22640E"/>
    <w:rsid w:val="3A233BEC"/>
    <w:rsid w:val="3A2A1737"/>
    <w:rsid w:val="3A437DEA"/>
    <w:rsid w:val="3A443B62"/>
    <w:rsid w:val="3A465B2C"/>
    <w:rsid w:val="3A4678DA"/>
    <w:rsid w:val="3A4A73CA"/>
    <w:rsid w:val="3A4D0C68"/>
    <w:rsid w:val="3A573895"/>
    <w:rsid w:val="3A575643"/>
    <w:rsid w:val="3A5E1DCC"/>
    <w:rsid w:val="3A6753E3"/>
    <w:rsid w:val="3A8C79E3"/>
    <w:rsid w:val="3A95616C"/>
    <w:rsid w:val="3A9E14C4"/>
    <w:rsid w:val="3AA0348E"/>
    <w:rsid w:val="3AA06196"/>
    <w:rsid w:val="3AA1107E"/>
    <w:rsid w:val="3AA71118"/>
    <w:rsid w:val="3AA976C2"/>
    <w:rsid w:val="3AAB43EB"/>
    <w:rsid w:val="3AB93B70"/>
    <w:rsid w:val="3ABB3E24"/>
    <w:rsid w:val="3AC05546"/>
    <w:rsid w:val="3AC670FB"/>
    <w:rsid w:val="3AD43138"/>
    <w:rsid w:val="3AD60676"/>
    <w:rsid w:val="3AE3337B"/>
    <w:rsid w:val="3AE42A27"/>
    <w:rsid w:val="3AF1423A"/>
    <w:rsid w:val="3B056593"/>
    <w:rsid w:val="3B0C034B"/>
    <w:rsid w:val="3B1176AD"/>
    <w:rsid w:val="3B3B31B7"/>
    <w:rsid w:val="3B3D0765"/>
    <w:rsid w:val="3B443E1A"/>
    <w:rsid w:val="3B50142C"/>
    <w:rsid w:val="3B697D24"/>
    <w:rsid w:val="3B7625D0"/>
    <w:rsid w:val="3B7A5AB0"/>
    <w:rsid w:val="3B7D23D0"/>
    <w:rsid w:val="3B802375"/>
    <w:rsid w:val="3B90705F"/>
    <w:rsid w:val="3BAB20EB"/>
    <w:rsid w:val="3BB13E90"/>
    <w:rsid w:val="3BB70A8F"/>
    <w:rsid w:val="3BB84B37"/>
    <w:rsid w:val="3BC95E3A"/>
    <w:rsid w:val="3BCD2B88"/>
    <w:rsid w:val="3BE70C49"/>
    <w:rsid w:val="3BED2703"/>
    <w:rsid w:val="3BFC46F4"/>
    <w:rsid w:val="3BFF2436"/>
    <w:rsid w:val="3C0D06AF"/>
    <w:rsid w:val="3C131A3E"/>
    <w:rsid w:val="3C1E436A"/>
    <w:rsid w:val="3C266052"/>
    <w:rsid w:val="3C2E5359"/>
    <w:rsid w:val="3C2E5791"/>
    <w:rsid w:val="3C2F3A49"/>
    <w:rsid w:val="3C30439E"/>
    <w:rsid w:val="3C3B7168"/>
    <w:rsid w:val="3C5263CE"/>
    <w:rsid w:val="3C5D4916"/>
    <w:rsid w:val="3C5D50E1"/>
    <w:rsid w:val="3C696293"/>
    <w:rsid w:val="3C6C7E8D"/>
    <w:rsid w:val="3C771991"/>
    <w:rsid w:val="3C880E9F"/>
    <w:rsid w:val="3C9A5EEE"/>
    <w:rsid w:val="3C9B6136"/>
    <w:rsid w:val="3CA40291"/>
    <w:rsid w:val="3CA82BF5"/>
    <w:rsid w:val="3CAA4535"/>
    <w:rsid w:val="3CB925E5"/>
    <w:rsid w:val="3CC428FE"/>
    <w:rsid w:val="3CD411CD"/>
    <w:rsid w:val="3CD9456A"/>
    <w:rsid w:val="3CE755C0"/>
    <w:rsid w:val="3CF4186F"/>
    <w:rsid w:val="3CF96E86"/>
    <w:rsid w:val="3CFC5061"/>
    <w:rsid w:val="3D0221DE"/>
    <w:rsid w:val="3D0A1E70"/>
    <w:rsid w:val="3D2364DC"/>
    <w:rsid w:val="3D263D3A"/>
    <w:rsid w:val="3D3313E5"/>
    <w:rsid w:val="3D477BF1"/>
    <w:rsid w:val="3D4A76E1"/>
    <w:rsid w:val="3D5D16CB"/>
    <w:rsid w:val="3D6469F5"/>
    <w:rsid w:val="3D686779"/>
    <w:rsid w:val="3D70539A"/>
    <w:rsid w:val="3D8A5D30"/>
    <w:rsid w:val="3D942165"/>
    <w:rsid w:val="3D9D0729"/>
    <w:rsid w:val="3DAC39CF"/>
    <w:rsid w:val="3DAE434A"/>
    <w:rsid w:val="3DB159B2"/>
    <w:rsid w:val="3DBD2964"/>
    <w:rsid w:val="3DC254CA"/>
    <w:rsid w:val="3DCC16EC"/>
    <w:rsid w:val="3DDD0529"/>
    <w:rsid w:val="3DE74F30"/>
    <w:rsid w:val="3DEB2C72"/>
    <w:rsid w:val="3DF53AF1"/>
    <w:rsid w:val="3E0029FB"/>
    <w:rsid w:val="3E024673"/>
    <w:rsid w:val="3E196E16"/>
    <w:rsid w:val="3E1B4CA2"/>
    <w:rsid w:val="3E234D34"/>
    <w:rsid w:val="3E3143FD"/>
    <w:rsid w:val="3E375EB7"/>
    <w:rsid w:val="3E3839DE"/>
    <w:rsid w:val="3E4B6981"/>
    <w:rsid w:val="3E515734"/>
    <w:rsid w:val="3E595229"/>
    <w:rsid w:val="3E611186"/>
    <w:rsid w:val="3E6B35D7"/>
    <w:rsid w:val="3E6F38A3"/>
    <w:rsid w:val="3E772758"/>
    <w:rsid w:val="3E7A3FF6"/>
    <w:rsid w:val="3E7D2E24"/>
    <w:rsid w:val="3E970704"/>
    <w:rsid w:val="3E9A3738"/>
    <w:rsid w:val="3EB80D47"/>
    <w:rsid w:val="3EB92D70"/>
    <w:rsid w:val="3EBE084F"/>
    <w:rsid w:val="3EC32B74"/>
    <w:rsid w:val="3EC967DD"/>
    <w:rsid w:val="3ECD05CA"/>
    <w:rsid w:val="3ECD1247"/>
    <w:rsid w:val="3ED92825"/>
    <w:rsid w:val="3ED951C1"/>
    <w:rsid w:val="3EDB7087"/>
    <w:rsid w:val="3EE13847"/>
    <w:rsid w:val="3EED47C8"/>
    <w:rsid w:val="3EF04BF2"/>
    <w:rsid w:val="3EF47905"/>
    <w:rsid w:val="3EFC2C5D"/>
    <w:rsid w:val="3EFF28D2"/>
    <w:rsid w:val="3F062266"/>
    <w:rsid w:val="3F0A7128"/>
    <w:rsid w:val="3F12345B"/>
    <w:rsid w:val="3F1C50AD"/>
    <w:rsid w:val="3F226974"/>
    <w:rsid w:val="3F326DBB"/>
    <w:rsid w:val="3F3441A5"/>
    <w:rsid w:val="3F4E4B32"/>
    <w:rsid w:val="3F5860E5"/>
    <w:rsid w:val="3F5B3839"/>
    <w:rsid w:val="3F61039D"/>
    <w:rsid w:val="3F695775"/>
    <w:rsid w:val="3F6E1839"/>
    <w:rsid w:val="3F787367"/>
    <w:rsid w:val="3F79CE41"/>
    <w:rsid w:val="3F7A6D73"/>
    <w:rsid w:val="3F7F7398"/>
    <w:rsid w:val="3F806AA9"/>
    <w:rsid w:val="3F917849"/>
    <w:rsid w:val="3FAA29F5"/>
    <w:rsid w:val="3FAB68BC"/>
    <w:rsid w:val="3FB672B0"/>
    <w:rsid w:val="3FB778B9"/>
    <w:rsid w:val="3FBF43B6"/>
    <w:rsid w:val="3FCF2120"/>
    <w:rsid w:val="3FD17C46"/>
    <w:rsid w:val="3FD332A4"/>
    <w:rsid w:val="3FD71BC8"/>
    <w:rsid w:val="3FDA1D33"/>
    <w:rsid w:val="3FE536F1"/>
    <w:rsid w:val="3FE815EE"/>
    <w:rsid w:val="3FEB2035"/>
    <w:rsid w:val="3FF12096"/>
    <w:rsid w:val="3FF646C7"/>
    <w:rsid w:val="3FF760EB"/>
    <w:rsid w:val="4000052B"/>
    <w:rsid w:val="40112738"/>
    <w:rsid w:val="401F1DB3"/>
    <w:rsid w:val="40291830"/>
    <w:rsid w:val="40307062"/>
    <w:rsid w:val="4033445D"/>
    <w:rsid w:val="403976F5"/>
    <w:rsid w:val="404364B8"/>
    <w:rsid w:val="404572A7"/>
    <w:rsid w:val="404C551E"/>
    <w:rsid w:val="405C7E57"/>
    <w:rsid w:val="40614CD5"/>
    <w:rsid w:val="406A5EE6"/>
    <w:rsid w:val="40746E7C"/>
    <w:rsid w:val="407B2BDA"/>
    <w:rsid w:val="407C4056"/>
    <w:rsid w:val="4086758E"/>
    <w:rsid w:val="409F7D44"/>
    <w:rsid w:val="40C44A5B"/>
    <w:rsid w:val="40C854ED"/>
    <w:rsid w:val="40C8729B"/>
    <w:rsid w:val="40CF0629"/>
    <w:rsid w:val="40DC05C4"/>
    <w:rsid w:val="40EC294D"/>
    <w:rsid w:val="40F55BB6"/>
    <w:rsid w:val="41007C3C"/>
    <w:rsid w:val="41055DF9"/>
    <w:rsid w:val="410D73A4"/>
    <w:rsid w:val="41120516"/>
    <w:rsid w:val="411C6AA7"/>
    <w:rsid w:val="411E510D"/>
    <w:rsid w:val="412F0C3F"/>
    <w:rsid w:val="41340BF0"/>
    <w:rsid w:val="41567FFC"/>
    <w:rsid w:val="41636264"/>
    <w:rsid w:val="41686388"/>
    <w:rsid w:val="417327CB"/>
    <w:rsid w:val="41744D2D"/>
    <w:rsid w:val="418C35EF"/>
    <w:rsid w:val="41943621"/>
    <w:rsid w:val="419F3437"/>
    <w:rsid w:val="41B24C4F"/>
    <w:rsid w:val="41BC7A4D"/>
    <w:rsid w:val="41C55588"/>
    <w:rsid w:val="41CA0DF1"/>
    <w:rsid w:val="41CD097A"/>
    <w:rsid w:val="41CD1DB8"/>
    <w:rsid w:val="41D1217F"/>
    <w:rsid w:val="41DA0BDC"/>
    <w:rsid w:val="41E304D3"/>
    <w:rsid w:val="41F83BB0"/>
    <w:rsid w:val="41FB2635"/>
    <w:rsid w:val="42007BC3"/>
    <w:rsid w:val="421A58D4"/>
    <w:rsid w:val="421C222A"/>
    <w:rsid w:val="421D7172"/>
    <w:rsid w:val="422723C1"/>
    <w:rsid w:val="42274495"/>
    <w:rsid w:val="423C09A7"/>
    <w:rsid w:val="424503FA"/>
    <w:rsid w:val="42602AF3"/>
    <w:rsid w:val="426E3E72"/>
    <w:rsid w:val="42776D38"/>
    <w:rsid w:val="427B0293"/>
    <w:rsid w:val="427E59B9"/>
    <w:rsid w:val="42855E43"/>
    <w:rsid w:val="4286740D"/>
    <w:rsid w:val="42867761"/>
    <w:rsid w:val="429338D8"/>
    <w:rsid w:val="42975177"/>
    <w:rsid w:val="42995FCE"/>
    <w:rsid w:val="429A6A15"/>
    <w:rsid w:val="42AC1AFD"/>
    <w:rsid w:val="42C80099"/>
    <w:rsid w:val="42D03DF9"/>
    <w:rsid w:val="42E004E2"/>
    <w:rsid w:val="42F00D2B"/>
    <w:rsid w:val="42F75C15"/>
    <w:rsid w:val="42FE0D52"/>
    <w:rsid w:val="430438B2"/>
    <w:rsid w:val="430B16C1"/>
    <w:rsid w:val="430D368B"/>
    <w:rsid w:val="43192030"/>
    <w:rsid w:val="431C4773"/>
    <w:rsid w:val="432033BE"/>
    <w:rsid w:val="43234C5C"/>
    <w:rsid w:val="4326283B"/>
    <w:rsid w:val="432675D2"/>
    <w:rsid w:val="432D7889"/>
    <w:rsid w:val="43322CB6"/>
    <w:rsid w:val="433C187A"/>
    <w:rsid w:val="434121F7"/>
    <w:rsid w:val="434F5A51"/>
    <w:rsid w:val="4351111A"/>
    <w:rsid w:val="43615785"/>
    <w:rsid w:val="436456F5"/>
    <w:rsid w:val="436F1C50"/>
    <w:rsid w:val="43782F6E"/>
    <w:rsid w:val="43804A43"/>
    <w:rsid w:val="438751EB"/>
    <w:rsid w:val="43883495"/>
    <w:rsid w:val="43891467"/>
    <w:rsid w:val="43910F3B"/>
    <w:rsid w:val="43A0243A"/>
    <w:rsid w:val="43A05748"/>
    <w:rsid w:val="43B14016"/>
    <w:rsid w:val="43BB30E7"/>
    <w:rsid w:val="43BD0C0D"/>
    <w:rsid w:val="43CF6B25"/>
    <w:rsid w:val="43D56AEB"/>
    <w:rsid w:val="43DB1093"/>
    <w:rsid w:val="43DC17D0"/>
    <w:rsid w:val="43E22422"/>
    <w:rsid w:val="43E30065"/>
    <w:rsid w:val="43E41F85"/>
    <w:rsid w:val="43E51F12"/>
    <w:rsid w:val="43EC66C0"/>
    <w:rsid w:val="441060A4"/>
    <w:rsid w:val="44376845"/>
    <w:rsid w:val="443B0C0F"/>
    <w:rsid w:val="444E27E0"/>
    <w:rsid w:val="444E7AB7"/>
    <w:rsid w:val="44550E45"/>
    <w:rsid w:val="44561C36"/>
    <w:rsid w:val="44586B88"/>
    <w:rsid w:val="44594502"/>
    <w:rsid w:val="445C25FF"/>
    <w:rsid w:val="446374FE"/>
    <w:rsid w:val="446C706E"/>
    <w:rsid w:val="446F7A2D"/>
    <w:rsid w:val="447137A5"/>
    <w:rsid w:val="44897E3F"/>
    <w:rsid w:val="448C151A"/>
    <w:rsid w:val="449328CD"/>
    <w:rsid w:val="449523A9"/>
    <w:rsid w:val="449A179A"/>
    <w:rsid w:val="44A75FC8"/>
    <w:rsid w:val="44A92F3F"/>
    <w:rsid w:val="44AF78F9"/>
    <w:rsid w:val="44B505D2"/>
    <w:rsid w:val="44BB7408"/>
    <w:rsid w:val="44C24001"/>
    <w:rsid w:val="44C61D43"/>
    <w:rsid w:val="44D12F1C"/>
    <w:rsid w:val="44D426B2"/>
    <w:rsid w:val="44D75CFE"/>
    <w:rsid w:val="44D833CE"/>
    <w:rsid w:val="44E328F5"/>
    <w:rsid w:val="44E47A78"/>
    <w:rsid w:val="44FF0AA4"/>
    <w:rsid w:val="44FF34A7"/>
    <w:rsid w:val="450B3BFA"/>
    <w:rsid w:val="45102FBE"/>
    <w:rsid w:val="451231DA"/>
    <w:rsid w:val="45156827"/>
    <w:rsid w:val="45201CD0"/>
    <w:rsid w:val="4521341D"/>
    <w:rsid w:val="452D591E"/>
    <w:rsid w:val="453729BF"/>
    <w:rsid w:val="45372C41"/>
    <w:rsid w:val="4538393C"/>
    <w:rsid w:val="453B4135"/>
    <w:rsid w:val="453B4205"/>
    <w:rsid w:val="453E3FCF"/>
    <w:rsid w:val="453F29DF"/>
    <w:rsid w:val="45440DD2"/>
    <w:rsid w:val="455C71C7"/>
    <w:rsid w:val="455E48AC"/>
    <w:rsid w:val="457236DE"/>
    <w:rsid w:val="457C68A6"/>
    <w:rsid w:val="45806396"/>
    <w:rsid w:val="458F0464"/>
    <w:rsid w:val="459050A5"/>
    <w:rsid w:val="459B6D2C"/>
    <w:rsid w:val="459D6299"/>
    <w:rsid w:val="45A41345"/>
    <w:rsid w:val="45A95584"/>
    <w:rsid w:val="45AD4CB1"/>
    <w:rsid w:val="45AE5BA0"/>
    <w:rsid w:val="45C15F63"/>
    <w:rsid w:val="45C67B21"/>
    <w:rsid w:val="45CA7611"/>
    <w:rsid w:val="45D60C4F"/>
    <w:rsid w:val="45EB3020"/>
    <w:rsid w:val="45EE1552"/>
    <w:rsid w:val="45F4643C"/>
    <w:rsid w:val="45F96148"/>
    <w:rsid w:val="45FD6F20"/>
    <w:rsid w:val="46054AED"/>
    <w:rsid w:val="461934A2"/>
    <w:rsid w:val="462B7D2E"/>
    <w:rsid w:val="464A0752"/>
    <w:rsid w:val="464B69A4"/>
    <w:rsid w:val="464C44CA"/>
    <w:rsid w:val="465864D0"/>
    <w:rsid w:val="466B2BA2"/>
    <w:rsid w:val="46717A8D"/>
    <w:rsid w:val="46872C73"/>
    <w:rsid w:val="46935C55"/>
    <w:rsid w:val="46944964"/>
    <w:rsid w:val="469519CD"/>
    <w:rsid w:val="46B31D9B"/>
    <w:rsid w:val="46B40B6B"/>
    <w:rsid w:val="46B417FC"/>
    <w:rsid w:val="46D1677D"/>
    <w:rsid w:val="46D22C21"/>
    <w:rsid w:val="46D64DD7"/>
    <w:rsid w:val="46DA7D28"/>
    <w:rsid w:val="46DE59B9"/>
    <w:rsid w:val="46F43BD9"/>
    <w:rsid w:val="46FA2178"/>
    <w:rsid w:val="470807F1"/>
    <w:rsid w:val="471545AF"/>
    <w:rsid w:val="471825FE"/>
    <w:rsid w:val="472C3214"/>
    <w:rsid w:val="473B494C"/>
    <w:rsid w:val="474456A1"/>
    <w:rsid w:val="47451645"/>
    <w:rsid w:val="47503B46"/>
    <w:rsid w:val="4757377B"/>
    <w:rsid w:val="475A2C17"/>
    <w:rsid w:val="475A6773"/>
    <w:rsid w:val="47743CD8"/>
    <w:rsid w:val="47777325"/>
    <w:rsid w:val="477E152E"/>
    <w:rsid w:val="47803EE3"/>
    <w:rsid w:val="478B5F81"/>
    <w:rsid w:val="47924127"/>
    <w:rsid w:val="479E48B1"/>
    <w:rsid w:val="47A83982"/>
    <w:rsid w:val="47AA0C6D"/>
    <w:rsid w:val="47AA594C"/>
    <w:rsid w:val="47AB2F39"/>
    <w:rsid w:val="47BA4746"/>
    <w:rsid w:val="47C01EFF"/>
    <w:rsid w:val="47CC13A9"/>
    <w:rsid w:val="47CD5197"/>
    <w:rsid w:val="47CF53EA"/>
    <w:rsid w:val="47E0092D"/>
    <w:rsid w:val="47FE7A46"/>
    <w:rsid w:val="480537F3"/>
    <w:rsid w:val="48164085"/>
    <w:rsid w:val="48166B3E"/>
    <w:rsid w:val="482079BC"/>
    <w:rsid w:val="483C6D09"/>
    <w:rsid w:val="484E239E"/>
    <w:rsid w:val="48537D92"/>
    <w:rsid w:val="48561630"/>
    <w:rsid w:val="485F1209"/>
    <w:rsid w:val="48653621"/>
    <w:rsid w:val="48711FC6"/>
    <w:rsid w:val="48757D08"/>
    <w:rsid w:val="487A1E2A"/>
    <w:rsid w:val="489363E0"/>
    <w:rsid w:val="48945CB4"/>
    <w:rsid w:val="48967C7F"/>
    <w:rsid w:val="489B34E7"/>
    <w:rsid w:val="489D056C"/>
    <w:rsid w:val="48A279E5"/>
    <w:rsid w:val="48CF33A1"/>
    <w:rsid w:val="48D21904"/>
    <w:rsid w:val="48D367DD"/>
    <w:rsid w:val="48D662CD"/>
    <w:rsid w:val="48E5581B"/>
    <w:rsid w:val="48E7673D"/>
    <w:rsid w:val="48EB27B9"/>
    <w:rsid w:val="490D6193"/>
    <w:rsid w:val="491D214E"/>
    <w:rsid w:val="4921579A"/>
    <w:rsid w:val="49215FEB"/>
    <w:rsid w:val="492C1447"/>
    <w:rsid w:val="492C413F"/>
    <w:rsid w:val="4936213F"/>
    <w:rsid w:val="49391B65"/>
    <w:rsid w:val="493A2D00"/>
    <w:rsid w:val="494B2817"/>
    <w:rsid w:val="494C6E4D"/>
    <w:rsid w:val="496917C6"/>
    <w:rsid w:val="49720FA3"/>
    <w:rsid w:val="499573D5"/>
    <w:rsid w:val="49A52622"/>
    <w:rsid w:val="49A870A3"/>
    <w:rsid w:val="49BB4DFF"/>
    <w:rsid w:val="49CA7BE0"/>
    <w:rsid w:val="49D56585"/>
    <w:rsid w:val="49D722FD"/>
    <w:rsid w:val="49DD3E4B"/>
    <w:rsid w:val="49DD6967"/>
    <w:rsid w:val="49EB6176"/>
    <w:rsid w:val="49ED7D72"/>
    <w:rsid w:val="49F21C08"/>
    <w:rsid w:val="49F60647"/>
    <w:rsid w:val="4A027711"/>
    <w:rsid w:val="4A056E6A"/>
    <w:rsid w:val="4A280DAA"/>
    <w:rsid w:val="4A4F6337"/>
    <w:rsid w:val="4A5078FD"/>
    <w:rsid w:val="4A5A4D46"/>
    <w:rsid w:val="4A6B109E"/>
    <w:rsid w:val="4A702F34"/>
    <w:rsid w:val="4A8E3303"/>
    <w:rsid w:val="4A9F72BE"/>
    <w:rsid w:val="4AAA5C63"/>
    <w:rsid w:val="4AAB7AF7"/>
    <w:rsid w:val="4AB95273"/>
    <w:rsid w:val="4ABA6312"/>
    <w:rsid w:val="4ABF7122"/>
    <w:rsid w:val="4AC175BC"/>
    <w:rsid w:val="4AD7736C"/>
    <w:rsid w:val="4AD9673E"/>
    <w:rsid w:val="4ADF3B5F"/>
    <w:rsid w:val="4AE81F71"/>
    <w:rsid w:val="4AE9143A"/>
    <w:rsid w:val="4B0435C5"/>
    <w:rsid w:val="4B052E99"/>
    <w:rsid w:val="4B0A170C"/>
    <w:rsid w:val="4B0A5EBD"/>
    <w:rsid w:val="4B101F6A"/>
    <w:rsid w:val="4B1D397A"/>
    <w:rsid w:val="4B375749"/>
    <w:rsid w:val="4B3C4B0D"/>
    <w:rsid w:val="4B3D4D2C"/>
    <w:rsid w:val="4B413ED2"/>
    <w:rsid w:val="4B425E9C"/>
    <w:rsid w:val="4B441C14"/>
    <w:rsid w:val="4B49722A"/>
    <w:rsid w:val="4B5F07FC"/>
    <w:rsid w:val="4B657589"/>
    <w:rsid w:val="4B660844"/>
    <w:rsid w:val="4B8535CF"/>
    <w:rsid w:val="4B8A2A0D"/>
    <w:rsid w:val="4B8D5369"/>
    <w:rsid w:val="4B944949"/>
    <w:rsid w:val="4B963A09"/>
    <w:rsid w:val="4BA6213D"/>
    <w:rsid w:val="4BA97CC9"/>
    <w:rsid w:val="4BB02E05"/>
    <w:rsid w:val="4BB15C21"/>
    <w:rsid w:val="4BC94F46"/>
    <w:rsid w:val="4BCB2AEB"/>
    <w:rsid w:val="4BD023EF"/>
    <w:rsid w:val="4BE3771B"/>
    <w:rsid w:val="4BE60F1D"/>
    <w:rsid w:val="4BEE392E"/>
    <w:rsid w:val="4C0103BF"/>
    <w:rsid w:val="4C0D5716"/>
    <w:rsid w:val="4C251A45"/>
    <w:rsid w:val="4C275D4F"/>
    <w:rsid w:val="4C325E8E"/>
    <w:rsid w:val="4C51283A"/>
    <w:rsid w:val="4C6407C8"/>
    <w:rsid w:val="4C647B85"/>
    <w:rsid w:val="4C650094"/>
    <w:rsid w:val="4C695CDA"/>
    <w:rsid w:val="4C6E0C92"/>
    <w:rsid w:val="4C721EBE"/>
    <w:rsid w:val="4C820C46"/>
    <w:rsid w:val="4C89719B"/>
    <w:rsid w:val="4CA566E2"/>
    <w:rsid w:val="4CA87F80"/>
    <w:rsid w:val="4CAC55D8"/>
    <w:rsid w:val="4CB22BAD"/>
    <w:rsid w:val="4CB90E3B"/>
    <w:rsid w:val="4CC11B8A"/>
    <w:rsid w:val="4CEA67EB"/>
    <w:rsid w:val="4CEC0F33"/>
    <w:rsid w:val="4CED7717"/>
    <w:rsid w:val="4CF56E73"/>
    <w:rsid w:val="4CF84A64"/>
    <w:rsid w:val="4CFE5DF2"/>
    <w:rsid w:val="4D043409"/>
    <w:rsid w:val="4D1069F2"/>
    <w:rsid w:val="4D1542DA"/>
    <w:rsid w:val="4D1A1400"/>
    <w:rsid w:val="4D227D33"/>
    <w:rsid w:val="4D2515D1"/>
    <w:rsid w:val="4D2D785A"/>
    <w:rsid w:val="4D330192"/>
    <w:rsid w:val="4D3C743E"/>
    <w:rsid w:val="4D433130"/>
    <w:rsid w:val="4D4F3090"/>
    <w:rsid w:val="4D512840"/>
    <w:rsid w:val="4D550108"/>
    <w:rsid w:val="4D720CBA"/>
    <w:rsid w:val="4D765AF8"/>
    <w:rsid w:val="4D785296"/>
    <w:rsid w:val="4D884895"/>
    <w:rsid w:val="4D9627C3"/>
    <w:rsid w:val="4D9A5B1B"/>
    <w:rsid w:val="4DA4699A"/>
    <w:rsid w:val="4DA70A60"/>
    <w:rsid w:val="4DB93CE6"/>
    <w:rsid w:val="4DC4703C"/>
    <w:rsid w:val="4DDC4386"/>
    <w:rsid w:val="4DDF3E76"/>
    <w:rsid w:val="4DE63297"/>
    <w:rsid w:val="4DEE4A39"/>
    <w:rsid w:val="4DF25C03"/>
    <w:rsid w:val="4DF61518"/>
    <w:rsid w:val="4DFE7189"/>
    <w:rsid w:val="4DFF763B"/>
    <w:rsid w:val="4E0B07C7"/>
    <w:rsid w:val="4E0F6509"/>
    <w:rsid w:val="4E12415A"/>
    <w:rsid w:val="4E2F4B6D"/>
    <w:rsid w:val="4E340BD7"/>
    <w:rsid w:val="4E361A17"/>
    <w:rsid w:val="4E3653FD"/>
    <w:rsid w:val="4E412659"/>
    <w:rsid w:val="4E471E75"/>
    <w:rsid w:val="4E473566"/>
    <w:rsid w:val="4E4837C9"/>
    <w:rsid w:val="4E5135E1"/>
    <w:rsid w:val="4E573A0C"/>
    <w:rsid w:val="4E585736"/>
    <w:rsid w:val="4E5959D6"/>
    <w:rsid w:val="4E5972CA"/>
    <w:rsid w:val="4E5A55A3"/>
    <w:rsid w:val="4E6D76D3"/>
    <w:rsid w:val="4E706335"/>
    <w:rsid w:val="4E746B5D"/>
    <w:rsid w:val="4E7520E4"/>
    <w:rsid w:val="4E816CDB"/>
    <w:rsid w:val="4E8311EF"/>
    <w:rsid w:val="4E850579"/>
    <w:rsid w:val="4E895F67"/>
    <w:rsid w:val="4E8B47DA"/>
    <w:rsid w:val="4E9609D8"/>
    <w:rsid w:val="4EA0308E"/>
    <w:rsid w:val="4EA5389D"/>
    <w:rsid w:val="4EA84268"/>
    <w:rsid w:val="4EAA4484"/>
    <w:rsid w:val="4EB733D6"/>
    <w:rsid w:val="4EB93137"/>
    <w:rsid w:val="4EBB3F9B"/>
    <w:rsid w:val="4EC1438F"/>
    <w:rsid w:val="4EC90D1A"/>
    <w:rsid w:val="4EDD03B5"/>
    <w:rsid w:val="4F192ACE"/>
    <w:rsid w:val="4F1D45B9"/>
    <w:rsid w:val="4F204A3C"/>
    <w:rsid w:val="4F22735C"/>
    <w:rsid w:val="4F321DBF"/>
    <w:rsid w:val="4F3617B5"/>
    <w:rsid w:val="4F403F4C"/>
    <w:rsid w:val="4F4C72E9"/>
    <w:rsid w:val="4F4D1362"/>
    <w:rsid w:val="4F5F526E"/>
    <w:rsid w:val="4F6B3C13"/>
    <w:rsid w:val="4F7505EE"/>
    <w:rsid w:val="4F8627FB"/>
    <w:rsid w:val="4F960564"/>
    <w:rsid w:val="4F9A0054"/>
    <w:rsid w:val="4F9E1E25"/>
    <w:rsid w:val="4FA25CE5"/>
    <w:rsid w:val="4FA47125"/>
    <w:rsid w:val="4FA47740"/>
    <w:rsid w:val="4FA64C4B"/>
    <w:rsid w:val="4FB20036"/>
    <w:rsid w:val="4FB40055"/>
    <w:rsid w:val="4FB82BD0"/>
    <w:rsid w:val="4FC926E8"/>
    <w:rsid w:val="4FD277EE"/>
    <w:rsid w:val="4FDE263F"/>
    <w:rsid w:val="4FE17A31"/>
    <w:rsid w:val="4FE45773"/>
    <w:rsid w:val="4FF918CD"/>
    <w:rsid w:val="50096F88"/>
    <w:rsid w:val="500F3523"/>
    <w:rsid w:val="5019443A"/>
    <w:rsid w:val="5036106A"/>
    <w:rsid w:val="5040163C"/>
    <w:rsid w:val="504A2829"/>
    <w:rsid w:val="505D24D2"/>
    <w:rsid w:val="50610B72"/>
    <w:rsid w:val="50744D60"/>
    <w:rsid w:val="50794D06"/>
    <w:rsid w:val="50803083"/>
    <w:rsid w:val="508825A3"/>
    <w:rsid w:val="508D5E0B"/>
    <w:rsid w:val="50921001"/>
    <w:rsid w:val="50AD68A1"/>
    <w:rsid w:val="50BD5F00"/>
    <w:rsid w:val="50C11611"/>
    <w:rsid w:val="50EF43D0"/>
    <w:rsid w:val="50F31FF0"/>
    <w:rsid w:val="50F6750C"/>
    <w:rsid w:val="51071986"/>
    <w:rsid w:val="510762F3"/>
    <w:rsid w:val="510C3ECB"/>
    <w:rsid w:val="511A58F1"/>
    <w:rsid w:val="511D2CEB"/>
    <w:rsid w:val="511D6A6F"/>
    <w:rsid w:val="512B012E"/>
    <w:rsid w:val="512F0C70"/>
    <w:rsid w:val="51431745"/>
    <w:rsid w:val="51475FBA"/>
    <w:rsid w:val="514F4E6E"/>
    <w:rsid w:val="5153495F"/>
    <w:rsid w:val="51703763"/>
    <w:rsid w:val="51722F47"/>
    <w:rsid w:val="517F39A6"/>
    <w:rsid w:val="51894824"/>
    <w:rsid w:val="51905BB3"/>
    <w:rsid w:val="519D1737"/>
    <w:rsid w:val="51A33A92"/>
    <w:rsid w:val="51B678C8"/>
    <w:rsid w:val="51C70692"/>
    <w:rsid w:val="51D60BB3"/>
    <w:rsid w:val="51DB6702"/>
    <w:rsid w:val="51DD4713"/>
    <w:rsid w:val="51DF731B"/>
    <w:rsid w:val="51E15B4E"/>
    <w:rsid w:val="51E1640E"/>
    <w:rsid w:val="51E47CAD"/>
    <w:rsid w:val="51E5304A"/>
    <w:rsid w:val="51ED6B61"/>
    <w:rsid w:val="51F538B7"/>
    <w:rsid w:val="51FA4455"/>
    <w:rsid w:val="51FA5F47"/>
    <w:rsid w:val="51FC1EF7"/>
    <w:rsid w:val="52392818"/>
    <w:rsid w:val="523A167B"/>
    <w:rsid w:val="523C2CD5"/>
    <w:rsid w:val="523D116B"/>
    <w:rsid w:val="52462715"/>
    <w:rsid w:val="524C3FFD"/>
    <w:rsid w:val="524D4EE6"/>
    <w:rsid w:val="52524C16"/>
    <w:rsid w:val="526158D9"/>
    <w:rsid w:val="528079D5"/>
    <w:rsid w:val="528374C6"/>
    <w:rsid w:val="528F6BDC"/>
    <w:rsid w:val="5290573F"/>
    <w:rsid w:val="52912868"/>
    <w:rsid w:val="52923265"/>
    <w:rsid w:val="52934BCD"/>
    <w:rsid w:val="52971029"/>
    <w:rsid w:val="52A36D3A"/>
    <w:rsid w:val="52A9647D"/>
    <w:rsid w:val="52B0193D"/>
    <w:rsid w:val="52B96A43"/>
    <w:rsid w:val="52C5188C"/>
    <w:rsid w:val="52EC715A"/>
    <w:rsid w:val="52F630B7"/>
    <w:rsid w:val="52FF5D4F"/>
    <w:rsid w:val="530048AA"/>
    <w:rsid w:val="53073C53"/>
    <w:rsid w:val="531C6B04"/>
    <w:rsid w:val="53312A7E"/>
    <w:rsid w:val="53362D2A"/>
    <w:rsid w:val="53365130"/>
    <w:rsid w:val="533F163E"/>
    <w:rsid w:val="533F33D8"/>
    <w:rsid w:val="535B7AFB"/>
    <w:rsid w:val="536363F4"/>
    <w:rsid w:val="53636B01"/>
    <w:rsid w:val="536746F1"/>
    <w:rsid w:val="538046D4"/>
    <w:rsid w:val="5382152B"/>
    <w:rsid w:val="538708F0"/>
    <w:rsid w:val="539D0113"/>
    <w:rsid w:val="53B00275"/>
    <w:rsid w:val="53C102A5"/>
    <w:rsid w:val="53C30095"/>
    <w:rsid w:val="53CD3DC9"/>
    <w:rsid w:val="53DB172D"/>
    <w:rsid w:val="53E53868"/>
    <w:rsid w:val="53F71F19"/>
    <w:rsid w:val="53F8656D"/>
    <w:rsid w:val="541960F0"/>
    <w:rsid w:val="541C6BA0"/>
    <w:rsid w:val="54232D0E"/>
    <w:rsid w:val="543640C4"/>
    <w:rsid w:val="54365D54"/>
    <w:rsid w:val="543F11CA"/>
    <w:rsid w:val="54823369"/>
    <w:rsid w:val="548B151F"/>
    <w:rsid w:val="548D42B6"/>
    <w:rsid w:val="548D43CD"/>
    <w:rsid w:val="548E3F00"/>
    <w:rsid w:val="54992FD0"/>
    <w:rsid w:val="54A05D0E"/>
    <w:rsid w:val="54AE3D6E"/>
    <w:rsid w:val="54AF45A2"/>
    <w:rsid w:val="54AF6350"/>
    <w:rsid w:val="54B8031D"/>
    <w:rsid w:val="54B81F28"/>
    <w:rsid w:val="54B83F4D"/>
    <w:rsid w:val="54C6369A"/>
    <w:rsid w:val="54CC7653"/>
    <w:rsid w:val="54D67D81"/>
    <w:rsid w:val="54DB1C81"/>
    <w:rsid w:val="54F63F7F"/>
    <w:rsid w:val="550541C2"/>
    <w:rsid w:val="550A2AE2"/>
    <w:rsid w:val="55136B7E"/>
    <w:rsid w:val="551476B8"/>
    <w:rsid w:val="551D5901"/>
    <w:rsid w:val="552A5783"/>
    <w:rsid w:val="552C5BF2"/>
    <w:rsid w:val="552F3D56"/>
    <w:rsid w:val="55327769"/>
    <w:rsid w:val="55393E6B"/>
    <w:rsid w:val="553B7BE4"/>
    <w:rsid w:val="55526B28"/>
    <w:rsid w:val="555E7B37"/>
    <w:rsid w:val="55630EE8"/>
    <w:rsid w:val="55700164"/>
    <w:rsid w:val="55767D2F"/>
    <w:rsid w:val="55787787"/>
    <w:rsid w:val="558E065B"/>
    <w:rsid w:val="558E0FC6"/>
    <w:rsid w:val="559D264C"/>
    <w:rsid w:val="55A734CB"/>
    <w:rsid w:val="55B85833"/>
    <w:rsid w:val="55BB0D24"/>
    <w:rsid w:val="55BF392A"/>
    <w:rsid w:val="55C523D8"/>
    <w:rsid w:val="55C94ECA"/>
    <w:rsid w:val="55D12672"/>
    <w:rsid w:val="55D500BE"/>
    <w:rsid w:val="55D67725"/>
    <w:rsid w:val="55D903ED"/>
    <w:rsid w:val="55DD41F5"/>
    <w:rsid w:val="55F123F9"/>
    <w:rsid w:val="562770B6"/>
    <w:rsid w:val="56313C5B"/>
    <w:rsid w:val="56327C6C"/>
    <w:rsid w:val="56486A5C"/>
    <w:rsid w:val="564B3E56"/>
    <w:rsid w:val="56582A17"/>
    <w:rsid w:val="56667CD8"/>
    <w:rsid w:val="56723096"/>
    <w:rsid w:val="56861332"/>
    <w:rsid w:val="568D1ECF"/>
    <w:rsid w:val="56A143BE"/>
    <w:rsid w:val="56A81C1A"/>
    <w:rsid w:val="56A93273"/>
    <w:rsid w:val="56AD2D63"/>
    <w:rsid w:val="56AF5F57"/>
    <w:rsid w:val="56BF20BE"/>
    <w:rsid w:val="56D976B4"/>
    <w:rsid w:val="56DA4FD5"/>
    <w:rsid w:val="56EB73E7"/>
    <w:rsid w:val="570021ED"/>
    <w:rsid w:val="57087F99"/>
    <w:rsid w:val="570C4289"/>
    <w:rsid w:val="57272B15"/>
    <w:rsid w:val="573214BA"/>
    <w:rsid w:val="57362D58"/>
    <w:rsid w:val="573C40E7"/>
    <w:rsid w:val="57454E17"/>
    <w:rsid w:val="576158FB"/>
    <w:rsid w:val="5795577C"/>
    <w:rsid w:val="57A71560"/>
    <w:rsid w:val="57B43C7D"/>
    <w:rsid w:val="57B70667"/>
    <w:rsid w:val="57BC345F"/>
    <w:rsid w:val="57C27F27"/>
    <w:rsid w:val="57C34AC9"/>
    <w:rsid w:val="57CF0AB7"/>
    <w:rsid w:val="57D17F4B"/>
    <w:rsid w:val="57DB3900"/>
    <w:rsid w:val="57F934C0"/>
    <w:rsid w:val="57FE0822"/>
    <w:rsid w:val="58044C05"/>
    <w:rsid w:val="580764A3"/>
    <w:rsid w:val="58092A15"/>
    <w:rsid w:val="580D1A9A"/>
    <w:rsid w:val="580F0C00"/>
    <w:rsid w:val="581D7A74"/>
    <w:rsid w:val="582232DD"/>
    <w:rsid w:val="58264EEA"/>
    <w:rsid w:val="582B03E3"/>
    <w:rsid w:val="583F6838"/>
    <w:rsid w:val="58415EB1"/>
    <w:rsid w:val="585D60C3"/>
    <w:rsid w:val="58677863"/>
    <w:rsid w:val="586E0339"/>
    <w:rsid w:val="58951C97"/>
    <w:rsid w:val="58A837E2"/>
    <w:rsid w:val="58AB0BF5"/>
    <w:rsid w:val="58B0410D"/>
    <w:rsid w:val="58B06B3A"/>
    <w:rsid w:val="58B14612"/>
    <w:rsid w:val="58BA519E"/>
    <w:rsid w:val="58C058EB"/>
    <w:rsid w:val="58C3106F"/>
    <w:rsid w:val="58C44068"/>
    <w:rsid w:val="58C62C27"/>
    <w:rsid w:val="58C963C2"/>
    <w:rsid w:val="58CC2A45"/>
    <w:rsid w:val="58D00F8B"/>
    <w:rsid w:val="58DE5456"/>
    <w:rsid w:val="58F0455A"/>
    <w:rsid w:val="58FC5AEF"/>
    <w:rsid w:val="591B6943"/>
    <w:rsid w:val="591E45BB"/>
    <w:rsid w:val="59357EBA"/>
    <w:rsid w:val="593C03CE"/>
    <w:rsid w:val="593F6D80"/>
    <w:rsid w:val="59411F8B"/>
    <w:rsid w:val="594D6137"/>
    <w:rsid w:val="594F15EA"/>
    <w:rsid w:val="596379A9"/>
    <w:rsid w:val="596C601D"/>
    <w:rsid w:val="597C1E81"/>
    <w:rsid w:val="597D0736"/>
    <w:rsid w:val="59831B59"/>
    <w:rsid w:val="598558D1"/>
    <w:rsid w:val="598D29D8"/>
    <w:rsid w:val="59A10231"/>
    <w:rsid w:val="59B166C6"/>
    <w:rsid w:val="59C02DAD"/>
    <w:rsid w:val="59D17D75"/>
    <w:rsid w:val="59D471D7"/>
    <w:rsid w:val="59D50BF5"/>
    <w:rsid w:val="59DB1995"/>
    <w:rsid w:val="59DD7B7C"/>
    <w:rsid w:val="59E56370"/>
    <w:rsid w:val="59EC76FE"/>
    <w:rsid w:val="59F36CDF"/>
    <w:rsid w:val="59F93F3C"/>
    <w:rsid w:val="5A0762C7"/>
    <w:rsid w:val="5A094754"/>
    <w:rsid w:val="5A0C5FF2"/>
    <w:rsid w:val="5A156717"/>
    <w:rsid w:val="5A1F51DD"/>
    <w:rsid w:val="5A3155B4"/>
    <w:rsid w:val="5A320ADD"/>
    <w:rsid w:val="5A366F84"/>
    <w:rsid w:val="5A3E7EE1"/>
    <w:rsid w:val="5A3F0176"/>
    <w:rsid w:val="5A403ED8"/>
    <w:rsid w:val="5A4A5632"/>
    <w:rsid w:val="5A5A6003"/>
    <w:rsid w:val="5A625B6B"/>
    <w:rsid w:val="5A6A06C9"/>
    <w:rsid w:val="5A7476F4"/>
    <w:rsid w:val="5A755946"/>
    <w:rsid w:val="5A7A6A7D"/>
    <w:rsid w:val="5AA004E9"/>
    <w:rsid w:val="5AA1147E"/>
    <w:rsid w:val="5AA63351"/>
    <w:rsid w:val="5AA63D51"/>
    <w:rsid w:val="5AB21A7A"/>
    <w:rsid w:val="5AB346C0"/>
    <w:rsid w:val="5AB521E6"/>
    <w:rsid w:val="5AC16DDD"/>
    <w:rsid w:val="5ADC59C5"/>
    <w:rsid w:val="5ADF36CE"/>
    <w:rsid w:val="5AE047D0"/>
    <w:rsid w:val="5AE8322E"/>
    <w:rsid w:val="5AEC372E"/>
    <w:rsid w:val="5AF01C54"/>
    <w:rsid w:val="5B0D7295"/>
    <w:rsid w:val="5B12588A"/>
    <w:rsid w:val="5B174AC2"/>
    <w:rsid w:val="5B1B23FA"/>
    <w:rsid w:val="5B206399"/>
    <w:rsid w:val="5B254A59"/>
    <w:rsid w:val="5B2C65A4"/>
    <w:rsid w:val="5B2E3D47"/>
    <w:rsid w:val="5B3F3EA4"/>
    <w:rsid w:val="5B465A60"/>
    <w:rsid w:val="5B4E5B3B"/>
    <w:rsid w:val="5B5A2D8E"/>
    <w:rsid w:val="5B647768"/>
    <w:rsid w:val="5B675186"/>
    <w:rsid w:val="5B765E19"/>
    <w:rsid w:val="5B84161B"/>
    <w:rsid w:val="5B866118"/>
    <w:rsid w:val="5B8878FB"/>
    <w:rsid w:val="5B8B6467"/>
    <w:rsid w:val="5B90055D"/>
    <w:rsid w:val="5B981DF4"/>
    <w:rsid w:val="5BC8336C"/>
    <w:rsid w:val="5BC83C6E"/>
    <w:rsid w:val="5BCE54F7"/>
    <w:rsid w:val="5BD07456"/>
    <w:rsid w:val="5BD133DF"/>
    <w:rsid w:val="5BD366A4"/>
    <w:rsid w:val="5BDD7C46"/>
    <w:rsid w:val="5BE03293"/>
    <w:rsid w:val="5BF705DC"/>
    <w:rsid w:val="5C1E3DBB"/>
    <w:rsid w:val="5C225659"/>
    <w:rsid w:val="5C254F93"/>
    <w:rsid w:val="5C2A6B4C"/>
    <w:rsid w:val="5C3208F4"/>
    <w:rsid w:val="5C3E78DA"/>
    <w:rsid w:val="5C4C0928"/>
    <w:rsid w:val="5C4C76A2"/>
    <w:rsid w:val="5C58107B"/>
    <w:rsid w:val="5C5D0D87"/>
    <w:rsid w:val="5C640E34"/>
    <w:rsid w:val="5C6D3417"/>
    <w:rsid w:val="5C855BE8"/>
    <w:rsid w:val="5CA1761B"/>
    <w:rsid w:val="5CAE541B"/>
    <w:rsid w:val="5CB84210"/>
    <w:rsid w:val="5CC775B7"/>
    <w:rsid w:val="5CEB4C0A"/>
    <w:rsid w:val="5D121942"/>
    <w:rsid w:val="5D126FB2"/>
    <w:rsid w:val="5D153410"/>
    <w:rsid w:val="5D213B7C"/>
    <w:rsid w:val="5D445B70"/>
    <w:rsid w:val="5D475E5E"/>
    <w:rsid w:val="5D5201C0"/>
    <w:rsid w:val="5D577585"/>
    <w:rsid w:val="5D584F8B"/>
    <w:rsid w:val="5D6B04F1"/>
    <w:rsid w:val="5D700646"/>
    <w:rsid w:val="5D730EDB"/>
    <w:rsid w:val="5D9A4243"/>
    <w:rsid w:val="5DA458BA"/>
    <w:rsid w:val="5DA550B9"/>
    <w:rsid w:val="5DB6074F"/>
    <w:rsid w:val="5DB712A0"/>
    <w:rsid w:val="5DC65500"/>
    <w:rsid w:val="5DCF41F8"/>
    <w:rsid w:val="5DDE58EA"/>
    <w:rsid w:val="5DEC1883"/>
    <w:rsid w:val="5E0D2339"/>
    <w:rsid w:val="5E137E31"/>
    <w:rsid w:val="5E1A05BA"/>
    <w:rsid w:val="5E1F592C"/>
    <w:rsid w:val="5E21062F"/>
    <w:rsid w:val="5E2753FD"/>
    <w:rsid w:val="5E3873B6"/>
    <w:rsid w:val="5E456EF2"/>
    <w:rsid w:val="5E487415"/>
    <w:rsid w:val="5E4A70E9"/>
    <w:rsid w:val="5E51686E"/>
    <w:rsid w:val="5E5844DE"/>
    <w:rsid w:val="5E587A58"/>
    <w:rsid w:val="5E6737F7"/>
    <w:rsid w:val="5E6B7A3B"/>
    <w:rsid w:val="5E800D5D"/>
    <w:rsid w:val="5E820631"/>
    <w:rsid w:val="5E8F255B"/>
    <w:rsid w:val="5EA61489"/>
    <w:rsid w:val="5EA70098"/>
    <w:rsid w:val="5EB662D8"/>
    <w:rsid w:val="5EBA080D"/>
    <w:rsid w:val="5EEB645E"/>
    <w:rsid w:val="5EFA0B0F"/>
    <w:rsid w:val="5EFF0ED2"/>
    <w:rsid w:val="5F090D52"/>
    <w:rsid w:val="5F1216B0"/>
    <w:rsid w:val="5F1A2F60"/>
    <w:rsid w:val="5F245B8C"/>
    <w:rsid w:val="5F335DCF"/>
    <w:rsid w:val="5F3439F6"/>
    <w:rsid w:val="5F3701E9"/>
    <w:rsid w:val="5F3A4948"/>
    <w:rsid w:val="5F3D09FC"/>
    <w:rsid w:val="5F526256"/>
    <w:rsid w:val="5F683CCB"/>
    <w:rsid w:val="5F702B80"/>
    <w:rsid w:val="5F7731F7"/>
    <w:rsid w:val="5F7B5CE9"/>
    <w:rsid w:val="5F8214AF"/>
    <w:rsid w:val="5F947321"/>
    <w:rsid w:val="5F9525E6"/>
    <w:rsid w:val="5F9C1BC7"/>
    <w:rsid w:val="5FA0247D"/>
    <w:rsid w:val="5FA34D03"/>
    <w:rsid w:val="5FB76A00"/>
    <w:rsid w:val="5FBE1B3D"/>
    <w:rsid w:val="5FCD1D80"/>
    <w:rsid w:val="5FD41360"/>
    <w:rsid w:val="5FD73AA6"/>
    <w:rsid w:val="5FD85EAF"/>
    <w:rsid w:val="5FDE3F8D"/>
    <w:rsid w:val="5FE51FB6"/>
    <w:rsid w:val="5FE84C9E"/>
    <w:rsid w:val="5FF04C3D"/>
    <w:rsid w:val="5FF462FE"/>
    <w:rsid w:val="5FF70E60"/>
    <w:rsid w:val="601A779C"/>
    <w:rsid w:val="602A71D2"/>
    <w:rsid w:val="602B6AA7"/>
    <w:rsid w:val="60326060"/>
    <w:rsid w:val="603E2C7E"/>
    <w:rsid w:val="60433DF0"/>
    <w:rsid w:val="606F1089"/>
    <w:rsid w:val="607D5554"/>
    <w:rsid w:val="608847A6"/>
    <w:rsid w:val="608F1BD3"/>
    <w:rsid w:val="609E371C"/>
    <w:rsid w:val="60A41C39"/>
    <w:rsid w:val="60A52A68"/>
    <w:rsid w:val="60A7067E"/>
    <w:rsid w:val="60B0356D"/>
    <w:rsid w:val="60B24F81"/>
    <w:rsid w:val="60BD3BA3"/>
    <w:rsid w:val="60C97884"/>
    <w:rsid w:val="60CF1B28"/>
    <w:rsid w:val="60DA0BF8"/>
    <w:rsid w:val="60E27AAD"/>
    <w:rsid w:val="60F11A9E"/>
    <w:rsid w:val="60F375C4"/>
    <w:rsid w:val="610A4651"/>
    <w:rsid w:val="61151C31"/>
    <w:rsid w:val="611B6999"/>
    <w:rsid w:val="611D6D37"/>
    <w:rsid w:val="611E3995"/>
    <w:rsid w:val="61251748"/>
    <w:rsid w:val="61273712"/>
    <w:rsid w:val="613C71BD"/>
    <w:rsid w:val="613F6CAD"/>
    <w:rsid w:val="614F38BC"/>
    <w:rsid w:val="61581B1D"/>
    <w:rsid w:val="617050B9"/>
    <w:rsid w:val="61742C47"/>
    <w:rsid w:val="61790FB6"/>
    <w:rsid w:val="617A7CE6"/>
    <w:rsid w:val="618004B4"/>
    <w:rsid w:val="61880654"/>
    <w:rsid w:val="61A905CB"/>
    <w:rsid w:val="61CD250B"/>
    <w:rsid w:val="61F01D56"/>
    <w:rsid w:val="61F730E4"/>
    <w:rsid w:val="62137FFF"/>
    <w:rsid w:val="62173786"/>
    <w:rsid w:val="6220263B"/>
    <w:rsid w:val="624125B1"/>
    <w:rsid w:val="62461BBC"/>
    <w:rsid w:val="62487C8B"/>
    <w:rsid w:val="624B51DE"/>
    <w:rsid w:val="625978FB"/>
    <w:rsid w:val="625D62A0"/>
    <w:rsid w:val="62607EDA"/>
    <w:rsid w:val="62645B50"/>
    <w:rsid w:val="62886432"/>
    <w:rsid w:val="628B5453"/>
    <w:rsid w:val="62976675"/>
    <w:rsid w:val="62983D63"/>
    <w:rsid w:val="62A212A2"/>
    <w:rsid w:val="62A3501A"/>
    <w:rsid w:val="62AE40EB"/>
    <w:rsid w:val="62CF2FBC"/>
    <w:rsid w:val="62D84CC4"/>
    <w:rsid w:val="62DF39AC"/>
    <w:rsid w:val="62EF200D"/>
    <w:rsid w:val="62F85366"/>
    <w:rsid w:val="62FD2CC5"/>
    <w:rsid w:val="631378C7"/>
    <w:rsid w:val="631B3596"/>
    <w:rsid w:val="631D301E"/>
    <w:rsid w:val="63202864"/>
    <w:rsid w:val="63252675"/>
    <w:rsid w:val="63302D52"/>
    <w:rsid w:val="633769A9"/>
    <w:rsid w:val="63604E6B"/>
    <w:rsid w:val="636522D0"/>
    <w:rsid w:val="63691DC0"/>
    <w:rsid w:val="63696264"/>
    <w:rsid w:val="63750765"/>
    <w:rsid w:val="637657B2"/>
    <w:rsid w:val="637D586B"/>
    <w:rsid w:val="638C120E"/>
    <w:rsid w:val="63920832"/>
    <w:rsid w:val="63AF2E7A"/>
    <w:rsid w:val="63B34F3F"/>
    <w:rsid w:val="63B374DF"/>
    <w:rsid w:val="63B425DD"/>
    <w:rsid w:val="63B951DE"/>
    <w:rsid w:val="63C60FC0"/>
    <w:rsid w:val="63D80CF3"/>
    <w:rsid w:val="63FA2CE9"/>
    <w:rsid w:val="63FE569C"/>
    <w:rsid w:val="64022E19"/>
    <w:rsid w:val="6416019A"/>
    <w:rsid w:val="64371EBE"/>
    <w:rsid w:val="643C6AED"/>
    <w:rsid w:val="643E149E"/>
    <w:rsid w:val="643E324C"/>
    <w:rsid w:val="643E5896"/>
    <w:rsid w:val="64460353"/>
    <w:rsid w:val="64485A88"/>
    <w:rsid w:val="644E2285"/>
    <w:rsid w:val="64591E34"/>
    <w:rsid w:val="645A1BD3"/>
    <w:rsid w:val="646B6E06"/>
    <w:rsid w:val="646D5A4C"/>
    <w:rsid w:val="646D768E"/>
    <w:rsid w:val="647C3D75"/>
    <w:rsid w:val="648D1ADE"/>
    <w:rsid w:val="648F4AF0"/>
    <w:rsid w:val="648F5856"/>
    <w:rsid w:val="6496439A"/>
    <w:rsid w:val="649B244D"/>
    <w:rsid w:val="64B0068F"/>
    <w:rsid w:val="64B0634B"/>
    <w:rsid w:val="64B11C70"/>
    <w:rsid w:val="64B21544"/>
    <w:rsid w:val="64BB2AEF"/>
    <w:rsid w:val="64BD3EE2"/>
    <w:rsid w:val="64C03C61"/>
    <w:rsid w:val="64C60289"/>
    <w:rsid w:val="64CC4C37"/>
    <w:rsid w:val="64D12312"/>
    <w:rsid w:val="64D5360F"/>
    <w:rsid w:val="64D7635D"/>
    <w:rsid w:val="64E0732B"/>
    <w:rsid w:val="64E262CE"/>
    <w:rsid w:val="64E738E4"/>
    <w:rsid w:val="64F658D5"/>
    <w:rsid w:val="64F94FD9"/>
    <w:rsid w:val="65063DE0"/>
    <w:rsid w:val="65075D34"/>
    <w:rsid w:val="650A1380"/>
    <w:rsid w:val="650C334B"/>
    <w:rsid w:val="650F0589"/>
    <w:rsid w:val="650F616D"/>
    <w:rsid w:val="650F6997"/>
    <w:rsid w:val="651421FF"/>
    <w:rsid w:val="65142BB9"/>
    <w:rsid w:val="651E34F7"/>
    <w:rsid w:val="6522491C"/>
    <w:rsid w:val="652B36B2"/>
    <w:rsid w:val="652D6F8B"/>
    <w:rsid w:val="6530590C"/>
    <w:rsid w:val="654B3E73"/>
    <w:rsid w:val="655C2B7E"/>
    <w:rsid w:val="65660992"/>
    <w:rsid w:val="65691302"/>
    <w:rsid w:val="657B5DDA"/>
    <w:rsid w:val="65896749"/>
    <w:rsid w:val="658E7B84"/>
    <w:rsid w:val="658F1D57"/>
    <w:rsid w:val="65932F5E"/>
    <w:rsid w:val="65A04C05"/>
    <w:rsid w:val="65A2617E"/>
    <w:rsid w:val="65A4133F"/>
    <w:rsid w:val="65A50C19"/>
    <w:rsid w:val="65A73073"/>
    <w:rsid w:val="65AD379D"/>
    <w:rsid w:val="65C6799D"/>
    <w:rsid w:val="65CB6D62"/>
    <w:rsid w:val="65D75707"/>
    <w:rsid w:val="65DD0D4C"/>
    <w:rsid w:val="65DE3EE0"/>
    <w:rsid w:val="65DE4CE7"/>
    <w:rsid w:val="65E6167B"/>
    <w:rsid w:val="65F6710A"/>
    <w:rsid w:val="66074602"/>
    <w:rsid w:val="661B428A"/>
    <w:rsid w:val="661C4F50"/>
    <w:rsid w:val="662925FC"/>
    <w:rsid w:val="662F16C8"/>
    <w:rsid w:val="6646716E"/>
    <w:rsid w:val="66482D7B"/>
    <w:rsid w:val="66650F64"/>
    <w:rsid w:val="6674570B"/>
    <w:rsid w:val="668313EA"/>
    <w:rsid w:val="668A2779"/>
    <w:rsid w:val="6695111E"/>
    <w:rsid w:val="66A01F9C"/>
    <w:rsid w:val="66AE597A"/>
    <w:rsid w:val="66C7577B"/>
    <w:rsid w:val="66CC0FE3"/>
    <w:rsid w:val="66D375C8"/>
    <w:rsid w:val="66DB4D83"/>
    <w:rsid w:val="66EA1469"/>
    <w:rsid w:val="66FC2F4B"/>
    <w:rsid w:val="66FE6CC3"/>
    <w:rsid w:val="66FF3F09"/>
    <w:rsid w:val="670F0ED0"/>
    <w:rsid w:val="67144738"/>
    <w:rsid w:val="67184229"/>
    <w:rsid w:val="6723497B"/>
    <w:rsid w:val="67297ED0"/>
    <w:rsid w:val="673426E5"/>
    <w:rsid w:val="67420658"/>
    <w:rsid w:val="675178A4"/>
    <w:rsid w:val="6764746E"/>
    <w:rsid w:val="67650811"/>
    <w:rsid w:val="67657423"/>
    <w:rsid w:val="67674868"/>
    <w:rsid w:val="67833864"/>
    <w:rsid w:val="67856378"/>
    <w:rsid w:val="6792697A"/>
    <w:rsid w:val="6796339F"/>
    <w:rsid w:val="679909C4"/>
    <w:rsid w:val="679D028A"/>
    <w:rsid w:val="67A50830"/>
    <w:rsid w:val="67AF4EBA"/>
    <w:rsid w:val="67B25F31"/>
    <w:rsid w:val="67C04657"/>
    <w:rsid w:val="67E21E43"/>
    <w:rsid w:val="67FD341E"/>
    <w:rsid w:val="68000819"/>
    <w:rsid w:val="68072DD9"/>
    <w:rsid w:val="680B5B3B"/>
    <w:rsid w:val="681D13CB"/>
    <w:rsid w:val="683A3D2B"/>
    <w:rsid w:val="683C7CBB"/>
    <w:rsid w:val="68400AB2"/>
    <w:rsid w:val="68496A8F"/>
    <w:rsid w:val="684D1CB0"/>
    <w:rsid w:val="684F357F"/>
    <w:rsid w:val="685748DD"/>
    <w:rsid w:val="685B745D"/>
    <w:rsid w:val="68660FC4"/>
    <w:rsid w:val="68686AEA"/>
    <w:rsid w:val="6873723D"/>
    <w:rsid w:val="68905F80"/>
    <w:rsid w:val="689A0C6D"/>
    <w:rsid w:val="689A44D2"/>
    <w:rsid w:val="689F3C47"/>
    <w:rsid w:val="68A26A9D"/>
    <w:rsid w:val="68B41F83"/>
    <w:rsid w:val="68B54A77"/>
    <w:rsid w:val="68CA5810"/>
    <w:rsid w:val="68CF43D5"/>
    <w:rsid w:val="68D75A1D"/>
    <w:rsid w:val="68E47A64"/>
    <w:rsid w:val="68E77CC4"/>
    <w:rsid w:val="68E94352"/>
    <w:rsid w:val="68EA5751"/>
    <w:rsid w:val="68ED0E6D"/>
    <w:rsid w:val="68F058E5"/>
    <w:rsid w:val="68F20AA9"/>
    <w:rsid w:val="68F22857"/>
    <w:rsid w:val="68FC6CDB"/>
    <w:rsid w:val="68FE744E"/>
    <w:rsid w:val="69093A68"/>
    <w:rsid w:val="69230C63"/>
    <w:rsid w:val="69347BB2"/>
    <w:rsid w:val="6938470E"/>
    <w:rsid w:val="69427570"/>
    <w:rsid w:val="69442485"/>
    <w:rsid w:val="694675AC"/>
    <w:rsid w:val="694766FF"/>
    <w:rsid w:val="694D5CE0"/>
    <w:rsid w:val="696778E1"/>
    <w:rsid w:val="69781887"/>
    <w:rsid w:val="69796AD5"/>
    <w:rsid w:val="698572FC"/>
    <w:rsid w:val="69945F1A"/>
    <w:rsid w:val="69A0437F"/>
    <w:rsid w:val="69A94AF3"/>
    <w:rsid w:val="69AC2A06"/>
    <w:rsid w:val="69B55D5F"/>
    <w:rsid w:val="69B750D7"/>
    <w:rsid w:val="69C356D6"/>
    <w:rsid w:val="69CA5F4A"/>
    <w:rsid w:val="69CA7330"/>
    <w:rsid w:val="69D152E0"/>
    <w:rsid w:val="69D837FB"/>
    <w:rsid w:val="69DC353A"/>
    <w:rsid w:val="69DF2DDC"/>
    <w:rsid w:val="69EC72A7"/>
    <w:rsid w:val="69F0301E"/>
    <w:rsid w:val="69F10D61"/>
    <w:rsid w:val="69F26D9C"/>
    <w:rsid w:val="69F525FF"/>
    <w:rsid w:val="69F533C1"/>
    <w:rsid w:val="69FF345D"/>
    <w:rsid w:val="6A040E7B"/>
    <w:rsid w:val="6A044156"/>
    <w:rsid w:val="6A0C5551"/>
    <w:rsid w:val="6A19277B"/>
    <w:rsid w:val="6A266D38"/>
    <w:rsid w:val="6A53034A"/>
    <w:rsid w:val="6A5F7EB4"/>
    <w:rsid w:val="6A706BD7"/>
    <w:rsid w:val="6A793230"/>
    <w:rsid w:val="6A813E93"/>
    <w:rsid w:val="6A841BD5"/>
    <w:rsid w:val="6A892D47"/>
    <w:rsid w:val="6A8A4093"/>
    <w:rsid w:val="6A962FC7"/>
    <w:rsid w:val="6AA27F5C"/>
    <w:rsid w:val="6AA33E09"/>
    <w:rsid w:val="6AA739D9"/>
    <w:rsid w:val="6AAA0A08"/>
    <w:rsid w:val="6AAB53B4"/>
    <w:rsid w:val="6AB97AD1"/>
    <w:rsid w:val="6ABF49BB"/>
    <w:rsid w:val="6ABF6769"/>
    <w:rsid w:val="6ACF2E50"/>
    <w:rsid w:val="6ADD5D33"/>
    <w:rsid w:val="6B1314D3"/>
    <w:rsid w:val="6B157539"/>
    <w:rsid w:val="6B330653"/>
    <w:rsid w:val="6B353BDC"/>
    <w:rsid w:val="6B355C79"/>
    <w:rsid w:val="6B372AEF"/>
    <w:rsid w:val="6B480E55"/>
    <w:rsid w:val="6B637A3C"/>
    <w:rsid w:val="6B6C4B43"/>
    <w:rsid w:val="6B6F63E1"/>
    <w:rsid w:val="6B8428B4"/>
    <w:rsid w:val="6B896A77"/>
    <w:rsid w:val="6B8D6867"/>
    <w:rsid w:val="6B9A16B0"/>
    <w:rsid w:val="6B9A7B11"/>
    <w:rsid w:val="6B9F6CC6"/>
    <w:rsid w:val="6BAA11C7"/>
    <w:rsid w:val="6BB40298"/>
    <w:rsid w:val="6BB53650"/>
    <w:rsid w:val="6BB67B6C"/>
    <w:rsid w:val="6BBD0EFB"/>
    <w:rsid w:val="6BC77FCB"/>
    <w:rsid w:val="6BC820D3"/>
    <w:rsid w:val="6BD8113A"/>
    <w:rsid w:val="6BF16DF6"/>
    <w:rsid w:val="6BF453B7"/>
    <w:rsid w:val="6BF80185"/>
    <w:rsid w:val="6C113FF7"/>
    <w:rsid w:val="6C1F5711"/>
    <w:rsid w:val="6C267CEF"/>
    <w:rsid w:val="6C271424"/>
    <w:rsid w:val="6C321A1D"/>
    <w:rsid w:val="6C3E7505"/>
    <w:rsid w:val="6C496EB7"/>
    <w:rsid w:val="6C4E15E0"/>
    <w:rsid w:val="6C5D623A"/>
    <w:rsid w:val="6C5F150C"/>
    <w:rsid w:val="6C613539"/>
    <w:rsid w:val="6C6B28BF"/>
    <w:rsid w:val="6C711CE5"/>
    <w:rsid w:val="6C983716"/>
    <w:rsid w:val="6C9E3F84"/>
    <w:rsid w:val="6CA95923"/>
    <w:rsid w:val="6CB06CB1"/>
    <w:rsid w:val="6CBE317C"/>
    <w:rsid w:val="6CCB2A5C"/>
    <w:rsid w:val="6CCE109B"/>
    <w:rsid w:val="6CD34CF6"/>
    <w:rsid w:val="6CD500FD"/>
    <w:rsid w:val="6CD72490"/>
    <w:rsid w:val="6CDB1F80"/>
    <w:rsid w:val="6CE47F86"/>
    <w:rsid w:val="6CEF474A"/>
    <w:rsid w:val="6CF941B4"/>
    <w:rsid w:val="6CFA7C5B"/>
    <w:rsid w:val="6D25144D"/>
    <w:rsid w:val="6D271E1B"/>
    <w:rsid w:val="6D307C84"/>
    <w:rsid w:val="6D350F65"/>
    <w:rsid w:val="6D3A387C"/>
    <w:rsid w:val="6D3A60CF"/>
    <w:rsid w:val="6D3C22F3"/>
    <w:rsid w:val="6D417909"/>
    <w:rsid w:val="6D475F5F"/>
    <w:rsid w:val="6D4B1888"/>
    <w:rsid w:val="6D5E495F"/>
    <w:rsid w:val="6D633D24"/>
    <w:rsid w:val="6D652811"/>
    <w:rsid w:val="6D702A59"/>
    <w:rsid w:val="6D716441"/>
    <w:rsid w:val="6D725D15"/>
    <w:rsid w:val="6D742357"/>
    <w:rsid w:val="6D836174"/>
    <w:rsid w:val="6DA25D69"/>
    <w:rsid w:val="6DA31C56"/>
    <w:rsid w:val="6DB1468E"/>
    <w:rsid w:val="6DC36570"/>
    <w:rsid w:val="6DC5678C"/>
    <w:rsid w:val="6DC76061"/>
    <w:rsid w:val="6DCA36E6"/>
    <w:rsid w:val="6DCE5641"/>
    <w:rsid w:val="6DE64813"/>
    <w:rsid w:val="6DEF3963"/>
    <w:rsid w:val="6DF13CC9"/>
    <w:rsid w:val="6E1517E1"/>
    <w:rsid w:val="6E15666D"/>
    <w:rsid w:val="6E192634"/>
    <w:rsid w:val="6E251F4A"/>
    <w:rsid w:val="6E292877"/>
    <w:rsid w:val="6E2D5AB5"/>
    <w:rsid w:val="6E35541C"/>
    <w:rsid w:val="6E394E39"/>
    <w:rsid w:val="6E3F653F"/>
    <w:rsid w:val="6E451788"/>
    <w:rsid w:val="6E541B46"/>
    <w:rsid w:val="6E581D88"/>
    <w:rsid w:val="6E5A5127"/>
    <w:rsid w:val="6E6A010D"/>
    <w:rsid w:val="6E84369D"/>
    <w:rsid w:val="6E881C94"/>
    <w:rsid w:val="6E890338"/>
    <w:rsid w:val="6E8D72AA"/>
    <w:rsid w:val="6E9C573F"/>
    <w:rsid w:val="6E9F2B3A"/>
    <w:rsid w:val="6EA14B04"/>
    <w:rsid w:val="6EC16F54"/>
    <w:rsid w:val="6EC26274"/>
    <w:rsid w:val="6EC46A44"/>
    <w:rsid w:val="6EC553D5"/>
    <w:rsid w:val="6ED053E9"/>
    <w:rsid w:val="6ED24CBD"/>
    <w:rsid w:val="6EDB1F3B"/>
    <w:rsid w:val="6EE51CFE"/>
    <w:rsid w:val="6F03131A"/>
    <w:rsid w:val="6F074349"/>
    <w:rsid w:val="6F0E2622"/>
    <w:rsid w:val="6F1D10D4"/>
    <w:rsid w:val="6F262186"/>
    <w:rsid w:val="6F3516F0"/>
    <w:rsid w:val="6F3A0AB4"/>
    <w:rsid w:val="6F3B6D06"/>
    <w:rsid w:val="6F4D07E7"/>
    <w:rsid w:val="6F524050"/>
    <w:rsid w:val="6F571666"/>
    <w:rsid w:val="6F5A2F04"/>
    <w:rsid w:val="6F5B667B"/>
    <w:rsid w:val="6F616041"/>
    <w:rsid w:val="6F63625D"/>
    <w:rsid w:val="6F7C10CD"/>
    <w:rsid w:val="6F863CF9"/>
    <w:rsid w:val="6F9B4DC7"/>
    <w:rsid w:val="6F9C52CB"/>
    <w:rsid w:val="6FB40867"/>
    <w:rsid w:val="6FBB7E47"/>
    <w:rsid w:val="6FC52F86"/>
    <w:rsid w:val="6FC844B0"/>
    <w:rsid w:val="6FC91D09"/>
    <w:rsid w:val="6FDE7692"/>
    <w:rsid w:val="6FE32EFA"/>
    <w:rsid w:val="6FE67825"/>
    <w:rsid w:val="6FEA3F10"/>
    <w:rsid w:val="6FED12D5"/>
    <w:rsid w:val="6FF37517"/>
    <w:rsid w:val="701058B3"/>
    <w:rsid w:val="702F33A6"/>
    <w:rsid w:val="70366B8A"/>
    <w:rsid w:val="70375FC5"/>
    <w:rsid w:val="70383246"/>
    <w:rsid w:val="703E6382"/>
    <w:rsid w:val="705636CC"/>
    <w:rsid w:val="70676A08"/>
    <w:rsid w:val="706A7177"/>
    <w:rsid w:val="70853FB1"/>
    <w:rsid w:val="708C533F"/>
    <w:rsid w:val="709366CE"/>
    <w:rsid w:val="709D754D"/>
    <w:rsid w:val="709F5073"/>
    <w:rsid w:val="70A04FBC"/>
    <w:rsid w:val="70BF7C42"/>
    <w:rsid w:val="70C745CA"/>
    <w:rsid w:val="70CE3CD6"/>
    <w:rsid w:val="70D171F6"/>
    <w:rsid w:val="70E0438E"/>
    <w:rsid w:val="70E64A50"/>
    <w:rsid w:val="70FD7FEB"/>
    <w:rsid w:val="710B6BAC"/>
    <w:rsid w:val="711749AA"/>
    <w:rsid w:val="711A5B46"/>
    <w:rsid w:val="711B7FC3"/>
    <w:rsid w:val="71233EF6"/>
    <w:rsid w:val="71347EB1"/>
    <w:rsid w:val="713E7B4E"/>
    <w:rsid w:val="71614A1E"/>
    <w:rsid w:val="7176061E"/>
    <w:rsid w:val="71775FF0"/>
    <w:rsid w:val="71777D9E"/>
    <w:rsid w:val="71904743"/>
    <w:rsid w:val="719646C8"/>
    <w:rsid w:val="71B23F18"/>
    <w:rsid w:val="71B63544"/>
    <w:rsid w:val="71C765D1"/>
    <w:rsid w:val="71CA218E"/>
    <w:rsid w:val="71CB5AA2"/>
    <w:rsid w:val="71CF3736"/>
    <w:rsid w:val="71D821BD"/>
    <w:rsid w:val="71DF7E8D"/>
    <w:rsid w:val="71F118FE"/>
    <w:rsid w:val="71F238C8"/>
    <w:rsid w:val="71F41913"/>
    <w:rsid w:val="71F60B5D"/>
    <w:rsid w:val="71F9183F"/>
    <w:rsid w:val="72007A43"/>
    <w:rsid w:val="72023B0B"/>
    <w:rsid w:val="72031631"/>
    <w:rsid w:val="722E04E1"/>
    <w:rsid w:val="722E4900"/>
    <w:rsid w:val="7233731C"/>
    <w:rsid w:val="72347A3D"/>
    <w:rsid w:val="723B0DCB"/>
    <w:rsid w:val="72616DCA"/>
    <w:rsid w:val="72773728"/>
    <w:rsid w:val="72802404"/>
    <w:rsid w:val="728E02C1"/>
    <w:rsid w:val="729A01E8"/>
    <w:rsid w:val="729C6340"/>
    <w:rsid w:val="72A050D2"/>
    <w:rsid w:val="72C94629"/>
    <w:rsid w:val="72CA46A5"/>
    <w:rsid w:val="72E177CA"/>
    <w:rsid w:val="72ED0E2A"/>
    <w:rsid w:val="72F40F30"/>
    <w:rsid w:val="72F719E1"/>
    <w:rsid w:val="72FD0776"/>
    <w:rsid w:val="73125FD0"/>
    <w:rsid w:val="731A6169"/>
    <w:rsid w:val="73223DF1"/>
    <w:rsid w:val="73306456"/>
    <w:rsid w:val="73357F10"/>
    <w:rsid w:val="733C4DFB"/>
    <w:rsid w:val="734343DB"/>
    <w:rsid w:val="7351635F"/>
    <w:rsid w:val="735F4F8D"/>
    <w:rsid w:val="7369292E"/>
    <w:rsid w:val="737419BD"/>
    <w:rsid w:val="739F35DC"/>
    <w:rsid w:val="73A226E5"/>
    <w:rsid w:val="73A34E7A"/>
    <w:rsid w:val="73BB0416"/>
    <w:rsid w:val="73BD4146"/>
    <w:rsid w:val="73C51294"/>
    <w:rsid w:val="73D2750D"/>
    <w:rsid w:val="73DA3E1F"/>
    <w:rsid w:val="73DB7DE8"/>
    <w:rsid w:val="73E07E7C"/>
    <w:rsid w:val="73E3171A"/>
    <w:rsid w:val="73F14A9B"/>
    <w:rsid w:val="73F52BF8"/>
    <w:rsid w:val="74001E13"/>
    <w:rsid w:val="740A4EF9"/>
    <w:rsid w:val="7416389E"/>
    <w:rsid w:val="741F38E3"/>
    <w:rsid w:val="74232A0F"/>
    <w:rsid w:val="74281823"/>
    <w:rsid w:val="7428537F"/>
    <w:rsid w:val="742B4E91"/>
    <w:rsid w:val="7437184C"/>
    <w:rsid w:val="743B1556"/>
    <w:rsid w:val="74405CBC"/>
    <w:rsid w:val="744301B0"/>
    <w:rsid w:val="74446FFE"/>
    <w:rsid w:val="744A3547"/>
    <w:rsid w:val="74633D61"/>
    <w:rsid w:val="7467007F"/>
    <w:rsid w:val="74671991"/>
    <w:rsid w:val="747131CA"/>
    <w:rsid w:val="74756912"/>
    <w:rsid w:val="7476433D"/>
    <w:rsid w:val="747B7BA5"/>
    <w:rsid w:val="748325C0"/>
    <w:rsid w:val="74844CAB"/>
    <w:rsid w:val="74902E80"/>
    <w:rsid w:val="74981804"/>
    <w:rsid w:val="74A013B9"/>
    <w:rsid w:val="74A62A32"/>
    <w:rsid w:val="74B60228"/>
    <w:rsid w:val="74CB28DA"/>
    <w:rsid w:val="74CC0400"/>
    <w:rsid w:val="74DA01CE"/>
    <w:rsid w:val="74E11CE7"/>
    <w:rsid w:val="74E97204"/>
    <w:rsid w:val="74EF65B0"/>
    <w:rsid w:val="74F04E6F"/>
    <w:rsid w:val="75102B2C"/>
    <w:rsid w:val="75186C19"/>
    <w:rsid w:val="751C1388"/>
    <w:rsid w:val="75285984"/>
    <w:rsid w:val="753412AC"/>
    <w:rsid w:val="75355FA6"/>
    <w:rsid w:val="75394176"/>
    <w:rsid w:val="75402F9E"/>
    <w:rsid w:val="7541494A"/>
    <w:rsid w:val="754601B3"/>
    <w:rsid w:val="754B7577"/>
    <w:rsid w:val="75510906"/>
    <w:rsid w:val="75596138"/>
    <w:rsid w:val="755D72AA"/>
    <w:rsid w:val="75662603"/>
    <w:rsid w:val="757765BE"/>
    <w:rsid w:val="757A24EA"/>
    <w:rsid w:val="75956A44"/>
    <w:rsid w:val="75AD0CA7"/>
    <w:rsid w:val="75B74C0D"/>
    <w:rsid w:val="75BE3CB5"/>
    <w:rsid w:val="75C61904"/>
    <w:rsid w:val="75D02172"/>
    <w:rsid w:val="75D21A46"/>
    <w:rsid w:val="75D40448"/>
    <w:rsid w:val="75DE4487"/>
    <w:rsid w:val="75DE488F"/>
    <w:rsid w:val="75DE663D"/>
    <w:rsid w:val="75E53387"/>
    <w:rsid w:val="75E84097"/>
    <w:rsid w:val="75EE34F9"/>
    <w:rsid w:val="75FC2F67"/>
    <w:rsid w:val="760140DA"/>
    <w:rsid w:val="76045978"/>
    <w:rsid w:val="761402B1"/>
    <w:rsid w:val="76200837"/>
    <w:rsid w:val="76373F9F"/>
    <w:rsid w:val="764A2F00"/>
    <w:rsid w:val="765605D2"/>
    <w:rsid w:val="765C2289"/>
    <w:rsid w:val="76633BD3"/>
    <w:rsid w:val="76736AD0"/>
    <w:rsid w:val="76976535"/>
    <w:rsid w:val="769B0408"/>
    <w:rsid w:val="76A038F3"/>
    <w:rsid w:val="76A04084"/>
    <w:rsid w:val="76AD7DBE"/>
    <w:rsid w:val="76AF247D"/>
    <w:rsid w:val="76AF6C28"/>
    <w:rsid w:val="76BD6253"/>
    <w:rsid w:val="76C07AF1"/>
    <w:rsid w:val="76D670F1"/>
    <w:rsid w:val="76DF3444"/>
    <w:rsid w:val="76E00627"/>
    <w:rsid w:val="76F0487A"/>
    <w:rsid w:val="76FD4338"/>
    <w:rsid w:val="7702378C"/>
    <w:rsid w:val="770245AD"/>
    <w:rsid w:val="77052BDB"/>
    <w:rsid w:val="770E6AAE"/>
    <w:rsid w:val="772671C1"/>
    <w:rsid w:val="772E0EFE"/>
    <w:rsid w:val="773C7ABF"/>
    <w:rsid w:val="77417E22"/>
    <w:rsid w:val="77521091"/>
    <w:rsid w:val="77530965"/>
    <w:rsid w:val="776008AF"/>
    <w:rsid w:val="7768567B"/>
    <w:rsid w:val="77826D95"/>
    <w:rsid w:val="778851DF"/>
    <w:rsid w:val="778A38E9"/>
    <w:rsid w:val="7791148D"/>
    <w:rsid w:val="779C230C"/>
    <w:rsid w:val="77B5517C"/>
    <w:rsid w:val="77BD2282"/>
    <w:rsid w:val="77BE2401"/>
    <w:rsid w:val="77C33D3D"/>
    <w:rsid w:val="77C46274"/>
    <w:rsid w:val="77CF1D1D"/>
    <w:rsid w:val="77D73344"/>
    <w:rsid w:val="77F307A1"/>
    <w:rsid w:val="77FA5285"/>
    <w:rsid w:val="77FD2ABF"/>
    <w:rsid w:val="780659D7"/>
    <w:rsid w:val="78284117"/>
    <w:rsid w:val="78346968"/>
    <w:rsid w:val="783562BD"/>
    <w:rsid w:val="78420E77"/>
    <w:rsid w:val="784C1F84"/>
    <w:rsid w:val="7866291A"/>
    <w:rsid w:val="78686692"/>
    <w:rsid w:val="7887216D"/>
    <w:rsid w:val="788860C0"/>
    <w:rsid w:val="78970D25"/>
    <w:rsid w:val="789F7F95"/>
    <w:rsid w:val="78A05677"/>
    <w:rsid w:val="78AF606F"/>
    <w:rsid w:val="78C37D6C"/>
    <w:rsid w:val="78C5645E"/>
    <w:rsid w:val="78D6184E"/>
    <w:rsid w:val="78D665EA"/>
    <w:rsid w:val="78DB0D01"/>
    <w:rsid w:val="78DE0702"/>
    <w:rsid w:val="78E026CC"/>
    <w:rsid w:val="78E05ACF"/>
    <w:rsid w:val="78E26444"/>
    <w:rsid w:val="78E71CAD"/>
    <w:rsid w:val="78E9231B"/>
    <w:rsid w:val="78F817C4"/>
    <w:rsid w:val="791A21AC"/>
    <w:rsid w:val="791F2A74"/>
    <w:rsid w:val="79202AC9"/>
    <w:rsid w:val="792841C7"/>
    <w:rsid w:val="792A1B99"/>
    <w:rsid w:val="79311F01"/>
    <w:rsid w:val="793568AF"/>
    <w:rsid w:val="793F68CB"/>
    <w:rsid w:val="79420C91"/>
    <w:rsid w:val="7946174C"/>
    <w:rsid w:val="79587F07"/>
    <w:rsid w:val="795B63DC"/>
    <w:rsid w:val="796429E7"/>
    <w:rsid w:val="79647BD1"/>
    <w:rsid w:val="79654980"/>
    <w:rsid w:val="796804BC"/>
    <w:rsid w:val="79690914"/>
    <w:rsid w:val="796B01E8"/>
    <w:rsid w:val="797A12D2"/>
    <w:rsid w:val="797D7F1B"/>
    <w:rsid w:val="79821501"/>
    <w:rsid w:val="7984461F"/>
    <w:rsid w:val="7984574E"/>
    <w:rsid w:val="79863274"/>
    <w:rsid w:val="799A287B"/>
    <w:rsid w:val="799B7B11"/>
    <w:rsid w:val="799F7E92"/>
    <w:rsid w:val="79A578DE"/>
    <w:rsid w:val="79A64908"/>
    <w:rsid w:val="79AD57E2"/>
    <w:rsid w:val="79B80F53"/>
    <w:rsid w:val="79BA116F"/>
    <w:rsid w:val="79BA4CCB"/>
    <w:rsid w:val="79BC4EE7"/>
    <w:rsid w:val="79C16FDE"/>
    <w:rsid w:val="79C409C9"/>
    <w:rsid w:val="79C91C0B"/>
    <w:rsid w:val="79CD2C51"/>
    <w:rsid w:val="79D17055"/>
    <w:rsid w:val="79DF2984"/>
    <w:rsid w:val="79E93CD4"/>
    <w:rsid w:val="79E968D4"/>
    <w:rsid w:val="79F00B9B"/>
    <w:rsid w:val="79F521A7"/>
    <w:rsid w:val="7A016D9E"/>
    <w:rsid w:val="7A1269A3"/>
    <w:rsid w:val="7A150154"/>
    <w:rsid w:val="7A1545F8"/>
    <w:rsid w:val="7A2856E2"/>
    <w:rsid w:val="7A2F0100"/>
    <w:rsid w:val="7A344A7E"/>
    <w:rsid w:val="7A354C06"/>
    <w:rsid w:val="7A390C1A"/>
    <w:rsid w:val="7A3C2224"/>
    <w:rsid w:val="7A5C6BE6"/>
    <w:rsid w:val="7A620C58"/>
    <w:rsid w:val="7A652E89"/>
    <w:rsid w:val="7A6D4434"/>
    <w:rsid w:val="7A7A0605"/>
    <w:rsid w:val="7A854B36"/>
    <w:rsid w:val="7A9B02A0"/>
    <w:rsid w:val="7AA634A2"/>
    <w:rsid w:val="7AAD2A82"/>
    <w:rsid w:val="7AC34054"/>
    <w:rsid w:val="7ACF47A6"/>
    <w:rsid w:val="7AD1051F"/>
    <w:rsid w:val="7AD7365B"/>
    <w:rsid w:val="7AD973D3"/>
    <w:rsid w:val="7ADD5362"/>
    <w:rsid w:val="7AF83CFD"/>
    <w:rsid w:val="7B2F5245"/>
    <w:rsid w:val="7B3215A7"/>
    <w:rsid w:val="7B38234C"/>
    <w:rsid w:val="7B4231CA"/>
    <w:rsid w:val="7B4A1A3B"/>
    <w:rsid w:val="7B6C262C"/>
    <w:rsid w:val="7B707D38"/>
    <w:rsid w:val="7B8437E3"/>
    <w:rsid w:val="7B86755B"/>
    <w:rsid w:val="7B8A1681"/>
    <w:rsid w:val="7B917CAE"/>
    <w:rsid w:val="7B9764D4"/>
    <w:rsid w:val="7B9D2AF7"/>
    <w:rsid w:val="7BA21E8B"/>
    <w:rsid w:val="7BAA33A3"/>
    <w:rsid w:val="7BB6791E"/>
    <w:rsid w:val="7BBC6656"/>
    <w:rsid w:val="7BDF69EA"/>
    <w:rsid w:val="7BF344C5"/>
    <w:rsid w:val="7BF5648F"/>
    <w:rsid w:val="7BFD5343"/>
    <w:rsid w:val="7C070AEE"/>
    <w:rsid w:val="7C142DB9"/>
    <w:rsid w:val="7C2057AF"/>
    <w:rsid w:val="7C347785"/>
    <w:rsid w:val="7C350F81"/>
    <w:rsid w:val="7C352D2F"/>
    <w:rsid w:val="7C39281F"/>
    <w:rsid w:val="7C3946D8"/>
    <w:rsid w:val="7C41114A"/>
    <w:rsid w:val="7C492337"/>
    <w:rsid w:val="7C5A528B"/>
    <w:rsid w:val="7C5E4034"/>
    <w:rsid w:val="7C7575D0"/>
    <w:rsid w:val="7C762E6C"/>
    <w:rsid w:val="7C7E237D"/>
    <w:rsid w:val="7C8415C1"/>
    <w:rsid w:val="7CA273D9"/>
    <w:rsid w:val="7CAA54CB"/>
    <w:rsid w:val="7CAD2C5F"/>
    <w:rsid w:val="7CCE5944"/>
    <w:rsid w:val="7CCF6CE0"/>
    <w:rsid w:val="7CDE29FF"/>
    <w:rsid w:val="7CE6425C"/>
    <w:rsid w:val="7CEF71DA"/>
    <w:rsid w:val="7CF245AB"/>
    <w:rsid w:val="7CFF04C8"/>
    <w:rsid w:val="7D020E63"/>
    <w:rsid w:val="7D0217C2"/>
    <w:rsid w:val="7D197F5B"/>
    <w:rsid w:val="7D20753B"/>
    <w:rsid w:val="7D2232B3"/>
    <w:rsid w:val="7D231D04"/>
    <w:rsid w:val="7D250FF6"/>
    <w:rsid w:val="7D254B52"/>
    <w:rsid w:val="7D2E490B"/>
    <w:rsid w:val="7D467003"/>
    <w:rsid w:val="7D524164"/>
    <w:rsid w:val="7D5E51E5"/>
    <w:rsid w:val="7D656FF6"/>
    <w:rsid w:val="7D69612A"/>
    <w:rsid w:val="7D7D2BE0"/>
    <w:rsid w:val="7D957F29"/>
    <w:rsid w:val="7DBC38D5"/>
    <w:rsid w:val="7DBF4FA6"/>
    <w:rsid w:val="7DC75C09"/>
    <w:rsid w:val="7DD345AE"/>
    <w:rsid w:val="7DDE2123"/>
    <w:rsid w:val="7DDF2F52"/>
    <w:rsid w:val="7DE37724"/>
    <w:rsid w:val="7DEE0D61"/>
    <w:rsid w:val="7DF245F6"/>
    <w:rsid w:val="7DF54524"/>
    <w:rsid w:val="7DFF35F5"/>
    <w:rsid w:val="7E022D8D"/>
    <w:rsid w:val="7E094473"/>
    <w:rsid w:val="7E1150D6"/>
    <w:rsid w:val="7E2554ED"/>
    <w:rsid w:val="7E372D8F"/>
    <w:rsid w:val="7E374B3D"/>
    <w:rsid w:val="7E386B07"/>
    <w:rsid w:val="7E3E1B66"/>
    <w:rsid w:val="7E3F7E95"/>
    <w:rsid w:val="7E4A0ED6"/>
    <w:rsid w:val="7E4F632A"/>
    <w:rsid w:val="7E515E23"/>
    <w:rsid w:val="7E54046F"/>
    <w:rsid w:val="7E5971A9"/>
    <w:rsid w:val="7E5A3003"/>
    <w:rsid w:val="7E5D74F0"/>
    <w:rsid w:val="7E73447D"/>
    <w:rsid w:val="7E7A0ECD"/>
    <w:rsid w:val="7E8104AE"/>
    <w:rsid w:val="7E865AC4"/>
    <w:rsid w:val="7E8A7362"/>
    <w:rsid w:val="7E902E46"/>
    <w:rsid w:val="7E9417F3"/>
    <w:rsid w:val="7E9F36DB"/>
    <w:rsid w:val="7EA26F87"/>
    <w:rsid w:val="7EA36676"/>
    <w:rsid w:val="7EA36F10"/>
    <w:rsid w:val="7EB0669D"/>
    <w:rsid w:val="7EBA751C"/>
    <w:rsid w:val="7EC00FD6"/>
    <w:rsid w:val="7EC8295F"/>
    <w:rsid w:val="7ECB0608"/>
    <w:rsid w:val="7ECF746B"/>
    <w:rsid w:val="7ED700CE"/>
    <w:rsid w:val="7EF46ED2"/>
    <w:rsid w:val="7EF974E5"/>
    <w:rsid w:val="7F005876"/>
    <w:rsid w:val="7F08297D"/>
    <w:rsid w:val="7F093C4D"/>
    <w:rsid w:val="7F181840"/>
    <w:rsid w:val="7F1E3F4E"/>
    <w:rsid w:val="7F2751BF"/>
    <w:rsid w:val="7F3C7F1C"/>
    <w:rsid w:val="7F4034D8"/>
    <w:rsid w:val="7F4939E8"/>
    <w:rsid w:val="7F4B5825"/>
    <w:rsid w:val="7F4E72B8"/>
    <w:rsid w:val="7F533BF8"/>
    <w:rsid w:val="7F62208D"/>
    <w:rsid w:val="7F6776A3"/>
    <w:rsid w:val="7F6A2CF0"/>
    <w:rsid w:val="7F8679A6"/>
    <w:rsid w:val="7F914720"/>
    <w:rsid w:val="7F942DB0"/>
    <w:rsid w:val="7F9E0BEB"/>
    <w:rsid w:val="7FA52A96"/>
    <w:rsid w:val="7FAE7080"/>
    <w:rsid w:val="7FB16B71"/>
    <w:rsid w:val="7FB73304"/>
    <w:rsid w:val="7FE164AF"/>
    <w:rsid w:val="7FF01F3D"/>
    <w:rsid w:val="7FF07699"/>
    <w:rsid w:val="7FFB31D3"/>
    <w:rsid w:val="7FFF168A"/>
    <w:rsid w:val="8F2504E5"/>
    <w:rsid w:val="AEFFEC5A"/>
    <w:rsid w:val="B5DFBC13"/>
    <w:rsid w:val="BFFEA330"/>
    <w:rsid w:val="D7FDDA36"/>
    <w:rsid w:val="DFF421C4"/>
    <w:rsid w:val="F12F289A"/>
    <w:rsid w:val="FB16EBE2"/>
    <w:rsid w:val="FBBF50D1"/>
    <w:rsid w:val="FCED87C7"/>
    <w:rsid w:val="FDDF0A1C"/>
    <w:rsid w:val="FFEACE2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340" w:beforeLines="0" w:after="330" w:afterLines="0" w:line="578" w:lineRule="auto"/>
      <w:outlineLvl w:val="0"/>
    </w:pPr>
    <w:rPr>
      <w:rFonts w:eastAsia="Century Gothic"/>
      <w:b/>
      <w:bCs/>
      <w:kern w:val="44"/>
      <w:sz w:val="44"/>
      <w:szCs w:val="44"/>
    </w:rPr>
  </w:style>
  <w:style w:type="paragraph" w:styleId="3">
    <w:name w:val="heading 2"/>
    <w:basedOn w:val="1"/>
    <w:next w:val="1"/>
    <w:autoRedefine/>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autoRedefine/>
    <w:qFormat/>
    <w:uiPriority w:val="0"/>
    <w:pPr>
      <w:widowControl/>
      <w:spacing w:before="240" w:beforeLines="0" w:after="60" w:afterLines="0"/>
      <w:jc w:val="left"/>
      <w:outlineLvl w:val="4"/>
    </w:pPr>
    <w:rPr>
      <w:rFonts w:ascii="MS Sans Serif" w:eastAsia="MS Sans Serif"/>
      <w:kern w:val="0"/>
      <w:sz w:val="24"/>
      <w:szCs w:val="20"/>
    </w:rPr>
  </w:style>
  <w:style w:type="paragraph" w:styleId="7">
    <w:name w:val="heading 6"/>
    <w:basedOn w:val="1"/>
    <w:next w:val="1"/>
    <w:autoRedefine/>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8">
    <w:name w:val="heading 7"/>
    <w:basedOn w:val="1"/>
    <w:next w:val="9"/>
    <w:autoRedefine/>
    <w:qFormat/>
    <w:uiPriority w:val="0"/>
    <w:pPr>
      <w:keepNext/>
      <w:keepLines/>
      <w:spacing w:before="240" w:beforeLines="0" w:after="64" w:afterLines="0" w:line="320" w:lineRule="auto"/>
      <w:outlineLvl w:val="6"/>
    </w:pPr>
    <w:rPr>
      <w:b/>
      <w:sz w:val="24"/>
      <w:szCs w:val="20"/>
    </w:rPr>
  </w:style>
  <w:style w:type="paragraph" w:styleId="11">
    <w:name w:val="heading 8"/>
    <w:basedOn w:val="1"/>
    <w:next w:val="9"/>
    <w:autoRedefine/>
    <w:qFormat/>
    <w:uiPriority w:val="0"/>
    <w:pPr>
      <w:keepNext/>
      <w:keepLines/>
      <w:spacing w:before="240" w:beforeLines="0" w:after="64" w:afterLines="0" w:line="320" w:lineRule="auto"/>
      <w:outlineLvl w:val="7"/>
    </w:pPr>
    <w:rPr>
      <w:rFonts w:ascii="黑体" w:hAnsi="黑体" w:eastAsia="楷体"/>
      <w:sz w:val="24"/>
      <w:szCs w:val="20"/>
    </w:rPr>
  </w:style>
  <w:style w:type="paragraph" w:styleId="12">
    <w:name w:val="heading 9"/>
    <w:basedOn w:val="1"/>
    <w:next w:val="9"/>
    <w:autoRedefine/>
    <w:qFormat/>
    <w:uiPriority w:val="0"/>
    <w:pPr>
      <w:keepNext/>
      <w:keepLines/>
      <w:spacing w:before="240" w:beforeLines="0" w:after="64" w:afterLines="0" w:line="320" w:lineRule="auto"/>
      <w:outlineLvl w:val="8"/>
    </w:pPr>
    <w:rPr>
      <w:rFonts w:ascii="黑体" w:hAnsi="黑体" w:eastAsia="楷体"/>
      <w:szCs w:val="20"/>
    </w:rPr>
  </w:style>
  <w:style w:type="character" w:default="1" w:styleId="50">
    <w:name w:val="Default Paragraph Font"/>
    <w:autoRedefine/>
    <w:semiHidden/>
    <w:qFormat/>
    <w:uiPriority w:val="0"/>
  </w:style>
  <w:style w:type="table" w:default="1" w:styleId="48">
    <w:name w:val="Normal Table"/>
    <w:autoRedefine/>
    <w:semiHidden/>
    <w:qFormat/>
    <w:uiPriority w:val="0"/>
    <w:tblPr>
      <w:tblCellMar>
        <w:top w:w="0" w:type="dxa"/>
        <w:left w:w="108" w:type="dxa"/>
        <w:bottom w:w="0" w:type="dxa"/>
        <w:right w:w="108" w:type="dxa"/>
      </w:tblCellMar>
    </w:tblPr>
  </w:style>
  <w:style w:type="paragraph" w:styleId="9">
    <w:name w:val="Normal Indent"/>
    <w:basedOn w:val="1"/>
    <w:next w:val="10"/>
    <w:link w:val="57"/>
    <w:autoRedefine/>
    <w:qFormat/>
    <w:uiPriority w:val="0"/>
    <w:pPr>
      <w:widowControl/>
      <w:ind w:firstLine="420"/>
      <w:jc w:val="left"/>
    </w:pPr>
    <w:rPr>
      <w:rFonts w:ascii="Arial" w:hAnsi="Arial" w:cs="Arial"/>
      <w:kern w:val="0"/>
      <w:sz w:val="20"/>
      <w:szCs w:val="20"/>
    </w:rPr>
  </w:style>
  <w:style w:type="paragraph" w:styleId="10">
    <w:name w:val="Body Text Indent"/>
    <w:basedOn w:val="1"/>
    <w:next w:val="9"/>
    <w:link w:val="58"/>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13">
    <w:name w:val="toc 7"/>
    <w:basedOn w:val="1"/>
    <w:next w:val="1"/>
    <w:autoRedefine/>
    <w:semiHidden/>
    <w:qFormat/>
    <w:uiPriority w:val="0"/>
    <w:pPr>
      <w:ind w:left="1260"/>
      <w:jc w:val="left"/>
    </w:pPr>
    <w:rPr>
      <w:sz w:val="18"/>
      <w:szCs w:val="18"/>
    </w:rPr>
  </w:style>
  <w:style w:type="paragraph" w:styleId="14">
    <w:name w:val="List Number"/>
    <w:basedOn w:val="1"/>
    <w:autoRedefine/>
    <w:qFormat/>
    <w:uiPriority w:val="0"/>
    <w:pPr>
      <w:widowControl/>
      <w:tabs>
        <w:tab w:val="left" w:pos="420"/>
        <w:tab w:val="left" w:pos="454"/>
      </w:tabs>
      <w:spacing w:after="156" w:afterLines="50"/>
      <w:ind w:left="454" w:hanging="284"/>
      <w:jc w:val="left"/>
    </w:pPr>
    <w:rPr>
      <w:kern w:val="0"/>
      <w:sz w:val="24"/>
      <w:szCs w:val="20"/>
    </w:rPr>
  </w:style>
  <w:style w:type="paragraph" w:styleId="15">
    <w:name w:val="caption"/>
    <w:basedOn w:val="1"/>
    <w:next w:val="1"/>
    <w:autoRedefine/>
    <w:qFormat/>
    <w:uiPriority w:val="0"/>
    <w:rPr>
      <w:rFonts w:ascii="黑体" w:hAnsi="黑体" w:eastAsia="楷体" w:cs="黑体"/>
      <w:sz w:val="20"/>
      <w:szCs w:val="20"/>
    </w:rPr>
  </w:style>
  <w:style w:type="paragraph" w:styleId="16">
    <w:name w:val="Document Map"/>
    <w:basedOn w:val="1"/>
    <w:autoRedefine/>
    <w:semiHidden/>
    <w:qFormat/>
    <w:uiPriority w:val="0"/>
    <w:pPr>
      <w:shd w:val="clear" w:color="auto" w:fill="000080"/>
    </w:pPr>
  </w:style>
  <w:style w:type="paragraph" w:styleId="17">
    <w:name w:val="toa heading"/>
    <w:basedOn w:val="1"/>
    <w:next w:val="1"/>
    <w:autoRedefine/>
    <w:qFormat/>
    <w:uiPriority w:val="0"/>
    <w:pPr>
      <w:spacing w:before="120"/>
    </w:pPr>
    <w:rPr>
      <w:rFonts w:ascii="Arial" w:hAnsi="Arial"/>
      <w:sz w:val="24"/>
    </w:rPr>
  </w:style>
  <w:style w:type="paragraph" w:styleId="18">
    <w:name w:val="annotation text"/>
    <w:basedOn w:val="1"/>
    <w:autoRedefine/>
    <w:semiHidden/>
    <w:qFormat/>
    <w:uiPriority w:val="0"/>
    <w:pPr>
      <w:jc w:val="left"/>
    </w:pPr>
  </w:style>
  <w:style w:type="paragraph" w:styleId="19">
    <w:name w:val="Body Text 3"/>
    <w:basedOn w:val="1"/>
    <w:autoRedefine/>
    <w:qFormat/>
    <w:uiPriority w:val="99"/>
    <w:pPr>
      <w:snapToGrid w:val="0"/>
      <w:spacing w:before="50" w:after="50"/>
    </w:pPr>
  </w:style>
  <w:style w:type="paragraph" w:styleId="20">
    <w:name w:val="Body Text"/>
    <w:basedOn w:val="1"/>
    <w:next w:val="21"/>
    <w:autoRedefine/>
    <w:qFormat/>
    <w:uiPriority w:val="0"/>
    <w:pPr>
      <w:spacing w:after="120" w:afterLines="0"/>
    </w:pPr>
  </w:style>
  <w:style w:type="paragraph" w:customStyle="1" w:styleId="2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styleId="22">
    <w:name w:val="List Number 3"/>
    <w:basedOn w:val="1"/>
    <w:autoRedefine/>
    <w:qFormat/>
    <w:uiPriority w:val="0"/>
    <w:pPr>
      <w:widowControl/>
      <w:tabs>
        <w:tab w:val="left" w:pos="482"/>
        <w:tab w:val="left" w:pos="1157"/>
      </w:tabs>
      <w:spacing w:after="156" w:afterLines="50"/>
      <w:ind w:left="482" w:hanging="340"/>
      <w:jc w:val="left"/>
    </w:pPr>
    <w:rPr>
      <w:kern w:val="0"/>
      <w:sz w:val="24"/>
      <w:szCs w:val="20"/>
    </w:rPr>
  </w:style>
  <w:style w:type="paragraph" w:styleId="23">
    <w:name w:val="Block Text"/>
    <w:basedOn w:val="1"/>
    <w:autoRedefine/>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4">
    <w:name w:val="toc 5"/>
    <w:basedOn w:val="1"/>
    <w:next w:val="1"/>
    <w:autoRedefine/>
    <w:semiHidden/>
    <w:qFormat/>
    <w:uiPriority w:val="0"/>
    <w:pPr>
      <w:ind w:left="840"/>
      <w:jc w:val="left"/>
    </w:pPr>
    <w:rPr>
      <w:sz w:val="18"/>
      <w:szCs w:val="18"/>
    </w:rPr>
  </w:style>
  <w:style w:type="paragraph" w:styleId="25">
    <w:name w:val="toc 3"/>
    <w:basedOn w:val="1"/>
    <w:next w:val="1"/>
    <w:autoRedefine/>
    <w:semiHidden/>
    <w:qFormat/>
    <w:uiPriority w:val="0"/>
    <w:pPr>
      <w:ind w:left="420"/>
      <w:jc w:val="left"/>
    </w:pPr>
    <w:rPr>
      <w:i/>
      <w:iCs/>
      <w:sz w:val="20"/>
      <w:szCs w:val="20"/>
    </w:rPr>
  </w:style>
  <w:style w:type="paragraph" w:styleId="26">
    <w:name w:val="Plain Text"/>
    <w:basedOn w:val="1"/>
    <w:next w:val="27"/>
    <w:link w:val="59"/>
    <w:autoRedefine/>
    <w:qFormat/>
    <w:uiPriority w:val="0"/>
    <w:rPr>
      <w:rFonts w:ascii="Century Gothic" w:hAnsi="楷体_GB2312" w:eastAsia="Century Gothic" w:cs="楷体_GB2312"/>
      <w:szCs w:val="21"/>
    </w:rPr>
  </w:style>
  <w:style w:type="paragraph" w:customStyle="1" w:styleId="27">
    <w:name w:val="Default"/>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styleId="28">
    <w:name w:val="toc 8"/>
    <w:basedOn w:val="1"/>
    <w:next w:val="1"/>
    <w:autoRedefine/>
    <w:semiHidden/>
    <w:qFormat/>
    <w:uiPriority w:val="0"/>
    <w:pPr>
      <w:ind w:left="1470"/>
      <w:jc w:val="left"/>
    </w:pPr>
    <w:rPr>
      <w:sz w:val="18"/>
      <w:szCs w:val="18"/>
    </w:rPr>
  </w:style>
  <w:style w:type="paragraph" w:styleId="29">
    <w:name w:val="Date"/>
    <w:basedOn w:val="1"/>
    <w:next w:val="1"/>
    <w:autoRedefine/>
    <w:qFormat/>
    <w:uiPriority w:val="0"/>
    <w:pPr>
      <w:ind w:left="100" w:leftChars="2500"/>
    </w:pPr>
  </w:style>
  <w:style w:type="paragraph" w:styleId="30">
    <w:name w:val="Body Text Indent 2"/>
    <w:basedOn w:val="1"/>
    <w:autoRedefine/>
    <w:qFormat/>
    <w:uiPriority w:val="0"/>
    <w:pPr>
      <w:adjustRightInd w:val="0"/>
      <w:spacing w:line="360" w:lineRule="auto"/>
      <w:ind w:firstLine="504" w:firstLineChars="210"/>
      <w:jc w:val="left"/>
    </w:pPr>
    <w:rPr>
      <w:rFonts w:hint="eastAsia" w:ascii="Century Gothic" w:hAnsi="Century Gothic"/>
      <w:sz w:val="24"/>
      <w:szCs w:val="20"/>
    </w:rPr>
  </w:style>
  <w:style w:type="paragraph" w:styleId="31">
    <w:name w:val="Balloon Text"/>
    <w:basedOn w:val="1"/>
    <w:autoRedefine/>
    <w:semiHidden/>
    <w:qFormat/>
    <w:uiPriority w:val="0"/>
    <w:rPr>
      <w:sz w:val="18"/>
      <w:szCs w:val="18"/>
    </w:rPr>
  </w:style>
  <w:style w:type="paragraph" w:styleId="32">
    <w:name w:val="footer"/>
    <w:basedOn w:val="1"/>
    <w:link w:val="60"/>
    <w:autoRedefine/>
    <w:qFormat/>
    <w:uiPriority w:val="99"/>
    <w:pPr>
      <w:tabs>
        <w:tab w:val="center" w:pos="4153"/>
        <w:tab w:val="right" w:pos="8306"/>
      </w:tabs>
      <w:adjustRightInd w:val="0"/>
      <w:jc w:val="left"/>
    </w:pPr>
    <w:rPr>
      <w:rFonts w:eastAsia="Century Gothic"/>
      <w:sz w:val="18"/>
      <w:szCs w:val="20"/>
    </w:rPr>
  </w:style>
  <w:style w:type="paragraph" w:styleId="33">
    <w:name w:val="header"/>
    <w:basedOn w:val="1"/>
    <w:link w:val="61"/>
    <w:autoRedefine/>
    <w:qFormat/>
    <w:uiPriority w:val="0"/>
    <w:pPr>
      <w:pBdr>
        <w:bottom w:val="single" w:color="auto" w:sz="6" w:space="1"/>
      </w:pBdr>
      <w:tabs>
        <w:tab w:val="center" w:pos="4153"/>
        <w:tab w:val="right" w:pos="8306"/>
      </w:tabs>
      <w:adjustRightInd w:val="0"/>
      <w:jc w:val="center"/>
    </w:pPr>
    <w:rPr>
      <w:sz w:val="18"/>
      <w:szCs w:val="20"/>
    </w:rPr>
  </w:style>
  <w:style w:type="paragraph" w:styleId="34">
    <w:name w:val="toc 1"/>
    <w:basedOn w:val="1"/>
    <w:next w:val="1"/>
    <w:autoRedefine/>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35">
    <w:name w:val="toc 4"/>
    <w:basedOn w:val="1"/>
    <w:next w:val="1"/>
    <w:autoRedefine/>
    <w:semiHidden/>
    <w:qFormat/>
    <w:uiPriority w:val="0"/>
    <w:pPr>
      <w:ind w:left="630"/>
      <w:jc w:val="left"/>
    </w:pPr>
    <w:rPr>
      <w:sz w:val="18"/>
      <w:szCs w:val="18"/>
    </w:rPr>
  </w:style>
  <w:style w:type="paragraph" w:styleId="36">
    <w:name w:val="toc 6"/>
    <w:basedOn w:val="1"/>
    <w:next w:val="1"/>
    <w:autoRedefine/>
    <w:semiHidden/>
    <w:qFormat/>
    <w:uiPriority w:val="0"/>
    <w:pPr>
      <w:ind w:left="1050"/>
      <w:jc w:val="left"/>
    </w:pPr>
    <w:rPr>
      <w:sz w:val="18"/>
      <w:szCs w:val="18"/>
    </w:rPr>
  </w:style>
  <w:style w:type="paragraph" w:styleId="37">
    <w:name w:val="List 5"/>
    <w:basedOn w:val="1"/>
    <w:autoRedefine/>
    <w:qFormat/>
    <w:uiPriority w:val="0"/>
    <w:pPr>
      <w:ind w:left="100" w:leftChars="800" w:hanging="200" w:hangingChars="200"/>
    </w:pPr>
    <w:rPr>
      <w:szCs w:val="20"/>
    </w:rPr>
  </w:style>
  <w:style w:type="paragraph" w:styleId="38">
    <w:name w:val="Body Text Indent 3"/>
    <w:basedOn w:val="1"/>
    <w:autoRedefine/>
    <w:qFormat/>
    <w:uiPriority w:val="0"/>
    <w:pPr>
      <w:spacing w:after="120" w:afterLines="0"/>
      <w:ind w:left="420" w:leftChars="200"/>
    </w:pPr>
    <w:rPr>
      <w:sz w:val="16"/>
      <w:szCs w:val="16"/>
    </w:rPr>
  </w:style>
  <w:style w:type="paragraph" w:styleId="39">
    <w:name w:val="toc 2"/>
    <w:basedOn w:val="1"/>
    <w:next w:val="1"/>
    <w:autoRedefine/>
    <w:qFormat/>
    <w:uiPriority w:val="39"/>
    <w:pPr>
      <w:tabs>
        <w:tab w:val="right" w:leader="dot" w:pos="8720"/>
      </w:tabs>
      <w:adjustRightInd w:val="0"/>
      <w:snapToGrid w:val="0"/>
      <w:jc w:val="left"/>
    </w:pPr>
    <w:rPr>
      <w:smallCaps/>
      <w:sz w:val="20"/>
      <w:szCs w:val="20"/>
    </w:rPr>
  </w:style>
  <w:style w:type="paragraph" w:styleId="40">
    <w:name w:val="toc 9"/>
    <w:basedOn w:val="1"/>
    <w:next w:val="1"/>
    <w:autoRedefine/>
    <w:semiHidden/>
    <w:qFormat/>
    <w:uiPriority w:val="0"/>
    <w:pPr>
      <w:ind w:left="1680"/>
      <w:jc w:val="left"/>
    </w:pPr>
    <w:rPr>
      <w:sz w:val="18"/>
      <w:szCs w:val="18"/>
    </w:rPr>
  </w:style>
  <w:style w:type="paragraph" w:styleId="41">
    <w:name w:val="Body Text 2"/>
    <w:basedOn w:val="1"/>
    <w:autoRedefine/>
    <w:qFormat/>
    <w:uiPriority w:val="0"/>
    <w:rPr>
      <w:sz w:val="24"/>
    </w:rPr>
  </w:style>
  <w:style w:type="paragraph" w:styleId="42">
    <w:name w:val="Normal (Web)"/>
    <w:basedOn w:val="1"/>
    <w:next w:val="1"/>
    <w:autoRedefine/>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3">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44">
    <w:name w:val="annotation subject"/>
    <w:basedOn w:val="18"/>
    <w:next w:val="18"/>
    <w:autoRedefine/>
    <w:semiHidden/>
    <w:qFormat/>
    <w:uiPriority w:val="0"/>
    <w:rPr>
      <w:b/>
      <w:bCs/>
    </w:rPr>
  </w:style>
  <w:style w:type="paragraph" w:styleId="45">
    <w:name w:val="Body Text First Indent"/>
    <w:basedOn w:val="20"/>
    <w:next w:val="36"/>
    <w:autoRedefine/>
    <w:qFormat/>
    <w:uiPriority w:val="0"/>
    <w:pPr>
      <w:ind w:firstLine="420"/>
    </w:pPr>
  </w:style>
  <w:style w:type="paragraph" w:styleId="46">
    <w:name w:val="Body Text First Indent 2"/>
    <w:basedOn w:val="10"/>
    <w:next w:val="47"/>
    <w:autoRedefine/>
    <w:qFormat/>
    <w:uiPriority w:val="99"/>
    <w:pPr>
      <w:ind w:firstLine="420" w:firstLineChars="200"/>
    </w:pPr>
  </w:style>
  <w:style w:type="paragraph" w:customStyle="1" w:styleId="47">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rPr>
  </w:style>
  <w:style w:type="character" w:styleId="52">
    <w:name w:val="page number"/>
    <w:autoRedefine/>
    <w:qFormat/>
    <w:uiPriority w:val="0"/>
  </w:style>
  <w:style w:type="character" w:styleId="53">
    <w:name w:val="FollowedHyperlink"/>
    <w:autoRedefine/>
    <w:qFormat/>
    <w:uiPriority w:val="0"/>
    <w:rPr>
      <w:color w:val="800080"/>
      <w:u w:val="single"/>
    </w:rPr>
  </w:style>
  <w:style w:type="character" w:styleId="54">
    <w:name w:val="Hyperlink"/>
    <w:autoRedefine/>
    <w:qFormat/>
    <w:uiPriority w:val="0"/>
    <w:rPr>
      <w:color w:val="0000FF"/>
      <w:u w:val="single"/>
    </w:rPr>
  </w:style>
  <w:style w:type="character" w:styleId="55">
    <w:name w:val="annotation reference"/>
    <w:autoRedefine/>
    <w:semiHidden/>
    <w:qFormat/>
    <w:uiPriority w:val="0"/>
    <w:rPr>
      <w:sz w:val="21"/>
      <w:szCs w:val="21"/>
    </w:rPr>
  </w:style>
  <w:style w:type="character" w:customStyle="1" w:styleId="56">
    <w:name w:val="标题 1 Char"/>
    <w:link w:val="2"/>
    <w:autoRedefine/>
    <w:qFormat/>
    <w:uiPriority w:val="0"/>
    <w:rPr>
      <w:rFonts w:eastAsia="Century Gothic"/>
      <w:b/>
      <w:bCs/>
      <w:kern w:val="44"/>
      <w:sz w:val="44"/>
      <w:szCs w:val="44"/>
      <w:lang w:val="en-US" w:eastAsia="zh-CN" w:bidi="ar-SA"/>
    </w:rPr>
  </w:style>
  <w:style w:type="character" w:customStyle="1" w:styleId="57">
    <w:name w:val="正文缩进 Char"/>
    <w:link w:val="9"/>
    <w:autoRedefine/>
    <w:qFormat/>
    <w:uiPriority w:val="0"/>
    <w:rPr>
      <w:rFonts w:ascii="Arial" w:hAnsi="Arial" w:eastAsia="宋体" w:cs="Arial"/>
      <w:lang w:val="en-US" w:eastAsia="zh-CN" w:bidi="ar-SA"/>
    </w:rPr>
  </w:style>
  <w:style w:type="character" w:customStyle="1" w:styleId="58">
    <w:name w:val="正文文本缩进 Char"/>
    <w:link w:val="10"/>
    <w:autoRedefine/>
    <w:semiHidden/>
    <w:qFormat/>
    <w:uiPriority w:val="0"/>
    <w:rPr>
      <w:rFonts w:ascii="Century Gothic" w:hAnsi="Century Gothic" w:eastAsia="Century Gothic"/>
      <w:kern w:val="2"/>
      <w:sz w:val="24"/>
      <w:lang w:val="en-US" w:eastAsia="zh-CN" w:bidi="ar-SA"/>
    </w:rPr>
  </w:style>
  <w:style w:type="character" w:customStyle="1" w:styleId="59">
    <w:name w:val="纯文本 Char"/>
    <w:link w:val="26"/>
    <w:autoRedefine/>
    <w:qFormat/>
    <w:uiPriority w:val="0"/>
    <w:rPr>
      <w:rFonts w:ascii="Century Gothic" w:hAnsi="楷体_GB2312" w:eastAsia="Century Gothic" w:cs="楷体_GB2312"/>
      <w:kern w:val="2"/>
      <w:sz w:val="21"/>
      <w:szCs w:val="21"/>
      <w:lang w:val="en-US" w:eastAsia="zh-CN" w:bidi="ar-SA"/>
    </w:rPr>
  </w:style>
  <w:style w:type="character" w:customStyle="1" w:styleId="60">
    <w:name w:val="页脚 Char"/>
    <w:link w:val="32"/>
    <w:autoRedefine/>
    <w:qFormat/>
    <w:uiPriority w:val="99"/>
    <w:rPr>
      <w:rFonts w:eastAsia="Century Gothic"/>
      <w:kern w:val="2"/>
      <w:sz w:val="18"/>
      <w:lang w:val="en-US" w:eastAsia="zh-CN" w:bidi="ar-SA"/>
    </w:rPr>
  </w:style>
  <w:style w:type="character" w:customStyle="1" w:styleId="61">
    <w:name w:val="页眉 Char"/>
    <w:link w:val="33"/>
    <w:autoRedefine/>
    <w:qFormat/>
    <w:uiPriority w:val="0"/>
    <w:rPr>
      <w:kern w:val="2"/>
      <w:sz w:val="18"/>
    </w:rPr>
  </w:style>
  <w:style w:type="character" w:customStyle="1" w:styleId="62">
    <w:name w:val=" Char Char12"/>
    <w:autoRedefine/>
    <w:qFormat/>
    <w:uiPriority w:val="0"/>
    <w:rPr>
      <w:rFonts w:ascii="Century Gothic" w:hAnsi="楷体_GB2312" w:eastAsia="Century Gothic" w:cs="楷体_GB2312"/>
      <w:kern w:val="2"/>
      <w:sz w:val="21"/>
      <w:szCs w:val="21"/>
      <w:lang w:val="en-US" w:eastAsia="zh-CN" w:bidi="ar-SA"/>
    </w:rPr>
  </w:style>
  <w:style w:type="character" w:customStyle="1" w:styleId="63">
    <w:name w:val="tpc_content1"/>
    <w:autoRedefine/>
    <w:qFormat/>
    <w:uiPriority w:val="0"/>
    <w:rPr>
      <w:sz w:val="20"/>
      <w:szCs w:val="20"/>
    </w:rPr>
  </w:style>
  <w:style w:type="character" w:customStyle="1" w:styleId="64">
    <w:name w:val="bulletintext1"/>
    <w:autoRedefine/>
    <w:qFormat/>
    <w:uiPriority w:val="0"/>
    <w:rPr>
      <w:color w:val="000000"/>
      <w:sz w:val="18"/>
    </w:rPr>
  </w:style>
  <w:style w:type="character" w:customStyle="1" w:styleId="65">
    <w:name w:val="正文2 Char"/>
    <w:link w:val="66"/>
    <w:autoRedefine/>
    <w:qFormat/>
    <w:uiPriority w:val="0"/>
    <w:rPr>
      <w:rFonts w:eastAsia="宋体"/>
      <w:kern w:val="2"/>
      <w:sz w:val="24"/>
      <w:lang w:val="en-US" w:eastAsia="zh-CN" w:bidi="ar-SA"/>
    </w:rPr>
  </w:style>
  <w:style w:type="paragraph" w:customStyle="1" w:styleId="66">
    <w:name w:val="正文2"/>
    <w:basedOn w:val="1"/>
    <w:link w:val="65"/>
    <w:autoRedefine/>
    <w:qFormat/>
    <w:uiPriority w:val="0"/>
    <w:pPr>
      <w:spacing w:before="156" w:beforeLines="0" w:line="360" w:lineRule="auto"/>
      <w:ind w:firstLine="510" w:firstLineChars="200"/>
    </w:pPr>
    <w:rPr>
      <w:sz w:val="24"/>
      <w:szCs w:val="20"/>
    </w:rPr>
  </w:style>
  <w:style w:type="character" w:customStyle="1" w:styleId="67">
    <w:name w:val=" Char Char21"/>
    <w:autoRedefine/>
    <w:qFormat/>
    <w:uiPriority w:val="0"/>
    <w:rPr>
      <w:rFonts w:eastAsia="Century Gothic"/>
      <w:b/>
      <w:bCs/>
      <w:kern w:val="44"/>
      <w:sz w:val="32"/>
      <w:szCs w:val="44"/>
      <w:lang w:val="en-US" w:eastAsia="zh-CN" w:bidi="ar-SA"/>
    </w:rPr>
  </w:style>
  <w:style w:type="character" w:customStyle="1" w:styleId="68">
    <w:name w:val="font101"/>
    <w:autoRedefine/>
    <w:qFormat/>
    <w:uiPriority w:val="0"/>
    <w:rPr>
      <w:rFonts w:hint="eastAsia" w:ascii="宋体" w:hAnsi="宋体" w:eastAsia="宋体" w:cs="宋体"/>
      <w:color w:val="FF0000"/>
      <w:sz w:val="16"/>
      <w:szCs w:val="16"/>
      <w:u w:val="none"/>
    </w:rPr>
  </w:style>
  <w:style w:type="character" w:customStyle="1" w:styleId="69">
    <w:name w:val=" Char Char"/>
    <w:autoRedefine/>
    <w:qFormat/>
    <w:uiPriority w:val="0"/>
    <w:rPr>
      <w:rFonts w:ascii="Courier New" w:eastAsia="Courier New"/>
      <w:color w:val="FF0000"/>
      <w:kern w:val="2"/>
      <w:sz w:val="24"/>
      <w:szCs w:val="24"/>
      <w:u w:val="single"/>
      <w:lang w:val="en-US" w:eastAsia="zh-CN" w:bidi="ar-SA"/>
    </w:rPr>
  </w:style>
  <w:style w:type="character" w:customStyle="1" w:styleId="70">
    <w:name w:val="font31"/>
    <w:autoRedefine/>
    <w:qFormat/>
    <w:uiPriority w:val="0"/>
    <w:rPr>
      <w:rFonts w:hint="eastAsia" w:ascii="宋体" w:hAnsi="宋体" w:eastAsia="宋体" w:cs="宋体"/>
      <w:color w:val="000000"/>
      <w:sz w:val="16"/>
      <w:szCs w:val="16"/>
      <w:u w:val="none"/>
    </w:rPr>
  </w:style>
  <w:style w:type="character" w:customStyle="1" w:styleId="71">
    <w:name w:val="标准文本 Char"/>
    <w:link w:val="72"/>
    <w:autoRedefine/>
    <w:qFormat/>
    <w:uiPriority w:val="0"/>
    <w:rPr>
      <w:rFonts w:eastAsia="宋体" w:cs="宋体"/>
      <w:kern w:val="2"/>
      <w:sz w:val="24"/>
      <w:lang w:val="en-US" w:eastAsia="zh-CN" w:bidi="ar-SA"/>
    </w:rPr>
  </w:style>
  <w:style w:type="paragraph" w:customStyle="1" w:styleId="72">
    <w:name w:val="标准文本"/>
    <w:basedOn w:val="1"/>
    <w:link w:val="71"/>
    <w:autoRedefine/>
    <w:qFormat/>
    <w:uiPriority w:val="0"/>
    <w:pPr>
      <w:spacing w:line="360" w:lineRule="auto"/>
      <w:ind w:firstLine="480" w:firstLineChars="200"/>
    </w:pPr>
    <w:rPr>
      <w:rFonts w:cs="宋体"/>
      <w:sz w:val="24"/>
      <w:szCs w:val="20"/>
    </w:rPr>
  </w:style>
  <w:style w:type="character" w:customStyle="1" w:styleId="73">
    <w:name w:val="zbggmain style9"/>
    <w:autoRedefine/>
    <w:qFormat/>
    <w:uiPriority w:val="0"/>
    <w:rPr>
      <w:rFonts w:ascii="Courier New" w:eastAsia="Courier New"/>
      <w:b/>
      <w:kern w:val="2"/>
      <w:sz w:val="32"/>
      <w:szCs w:val="32"/>
      <w:lang w:val="en-US" w:eastAsia="zh-CN" w:bidi="ar-SA"/>
    </w:rPr>
  </w:style>
  <w:style w:type="character" w:customStyle="1" w:styleId="74">
    <w:name w:val="zbggtop11 style5"/>
    <w:autoRedefine/>
    <w:qFormat/>
    <w:uiPriority w:val="0"/>
  </w:style>
  <w:style w:type="character" w:customStyle="1" w:styleId="75">
    <w:name w:val="style1"/>
    <w:autoRedefine/>
    <w:qFormat/>
    <w:uiPriority w:val="0"/>
  </w:style>
  <w:style w:type="character" w:customStyle="1" w:styleId="76">
    <w:name w:val="普通文字 Char Char1"/>
    <w:autoRedefine/>
    <w:qFormat/>
    <w:uiPriority w:val="0"/>
    <w:rPr>
      <w:rFonts w:ascii="Century Gothic" w:hAnsi="楷体_GB2312" w:eastAsia="Century Gothic" w:cs="楷体_GB2312"/>
      <w:kern w:val="2"/>
      <w:sz w:val="21"/>
      <w:szCs w:val="21"/>
      <w:lang w:val="en-US" w:eastAsia="zh-CN" w:bidi="ar-SA"/>
    </w:rPr>
  </w:style>
  <w:style w:type="paragraph" w:customStyle="1" w:styleId="77">
    <w:name w:val="正文_13"/>
    <w:autoRedefine/>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8">
    <w:name w:val="No Spacing"/>
    <w:autoRedefine/>
    <w:qFormat/>
    <w:uiPriority w:val="0"/>
    <w:rPr>
      <w:rFonts w:ascii="Times New Roman" w:hAnsi="Times New Roman" w:eastAsia="宋体" w:cs="Times New Roman"/>
      <w:sz w:val="22"/>
      <w:szCs w:val="22"/>
      <w:lang w:val="en-US" w:eastAsia="en-US" w:bidi="ar-SA"/>
    </w:rPr>
  </w:style>
  <w:style w:type="paragraph" w:customStyle="1" w:styleId="79">
    <w:name w:val=" Char Char Char Char"/>
    <w:basedOn w:val="1"/>
    <w:autoRedefine/>
    <w:qFormat/>
    <w:uiPriority w:val="0"/>
    <w:rPr>
      <w:rFonts w:cs="Times New Roman"/>
      <w:szCs w:val="20"/>
    </w:rPr>
  </w:style>
  <w:style w:type="paragraph" w:customStyle="1" w:styleId="80">
    <w:name w:val="xl2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81">
    <w:name w:val="标书标题4"/>
    <w:basedOn w:val="5"/>
    <w:autoRedefine/>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82">
    <w:name w:val=" Char1"/>
    <w:basedOn w:val="1"/>
    <w:autoRedefine/>
    <w:qFormat/>
    <w:uiPriority w:val="0"/>
    <w:pPr>
      <w:widowControl/>
      <w:spacing w:after="160" w:afterLines="0" w:line="240" w:lineRule="exact"/>
      <w:jc w:val="left"/>
    </w:pPr>
    <w:rPr>
      <w:szCs w:val="20"/>
    </w:rPr>
  </w:style>
  <w:style w:type="paragraph" w:customStyle="1" w:styleId="83">
    <w:name w:val="xl3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小节"/>
    <w:basedOn w:val="4"/>
    <w:autoRedefine/>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6">
    <w:name w:val="节"/>
    <w:basedOn w:val="3"/>
    <w:autoRedefine/>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87">
    <w:name w:val=" Char3 Char Char Char"/>
    <w:basedOn w:val="1"/>
    <w:autoRedefine/>
    <w:qFormat/>
    <w:uiPriority w:val="0"/>
    <w:pPr>
      <w:widowControl/>
      <w:spacing w:after="160" w:afterLines="0" w:line="240" w:lineRule="exact"/>
      <w:jc w:val="left"/>
    </w:pPr>
    <w:rPr>
      <w:szCs w:val="20"/>
    </w:rPr>
  </w:style>
  <w:style w:type="paragraph" w:customStyle="1" w:styleId="88">
    <w:name w:val="A_正文_注释"/>
    <w:basedOn w:val="1"/>
    <w:autoRedefine/>
    <w:qFormat/>
    <w:uiPriority w:val="0"/>
    <w:pPr>
      <w:tabs>
        <w:tab w:val="left" w:pos="1547"/>
      </w:tabs>
      <w:ind w:firstLine="600" w:firstLineChars="200"/>
    </w:pPr>
    <w:rPr>
      <w:rFonts w:eastAsia="仿宋"/>
      <w:color w:val="0070C0"/>
      <w:sz w:val="30"/>
    </w:rPr>
  </w:style>
  <w:style w:type="paragraph" w:customStyle="1" w:styleId="89">
    <w:name w:val="font1"/>
    <w:basedOn w:val="1"/>
    <w:autoRedefine/>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9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1">
    <w:name w:val="font5"/>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92">
    <w:name w:val=" Char Char Char Char Char Char Char Char"/>
    <w:basedOn w:val="1"/>
    <w:autoRedefine/>
    <w:qFormat/>
    <w:uiPriority w:val="0"/>
    <w:pPr>
      <w:tabs>
        <w:tab w:val="left" w:pos="360"/>
      </w:tabs>
    </w:pPr>
    <w:rPr>
      <w:rFonts w:ascii="Calibri" w:hAnsi="Calibri" w:cs="Times New Roman"/>
      <w:szCs w:val="20"/>
    </w:rPr>
  </w:style>
  <w:style w:type="paragraph" w:customStyle="1" w:styleId="93">
    <w:name w:val="xl35"/>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4">
    <w:name w:val="Proposals body"/>
    <w:basedOn w:val="1"/>
    <w:next w:val="1"/>
    <w:autoRedefine/>
    <w:qFormat/>
    <w:uiPriority w:val="0"/>
    <w:pPr>
      <w:widowControl/>
      <w:spacing w:line="360" w:lineRule="auto"/>
      <w:jc w:val="left"/>
    </w:pPr>
    <w:rPr>
      <w:rFonts w:ascii="宋体" w:hAnsi="Calibri"/>
      <w:snapToGrid w:val="0"/>
      <w:color w:val="000000"/>
      <w:kern w:val="0"/>
      <w:sz w:val="24"/>
      <w:szCs w:val="20"/>
    </w:rPr>
  </w:style>
  <w:style w:type="paragraph" w:customStyle="1" w:styleId="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 Char"/>
    <w:basedOn w:val="1"/>
    <w:autoRedefine/>
    <w:qFormat/>
    <w:uiPriority w:val="0"/>
    <w:rPr>
      <w:rFonts w:ascii="Courier New" w:eastAsia="Courier New"/>
      <w:b/>
      <w:sz w:val="32"/>
      <w:szCs w:val="32"/>
    </w:rPr>
  </w:style>
  <w:style w:type="paragraph" w:customStyle="1" w:styleId="97">
    <w:name w:val="xl3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8">
    <w:name w:val="Plain Text1"/>
    <w:basedOn w:val="1"/>
    <w:autoRedefine/>
    <w:qFormat/>
    <w:uiPriority w:val="0"/>
    <w:pPr>
      <w:autoSpaceDE w:val="0"/>
      <w:autoSpaceDN w:val="0"/>
      <w:adjustRightInd w:val="0"/>
      <w:spacing w:line="360" w:lineRule="auto"/>
    </w:pPr>
    <w:rPr>
      <w:rFonts w:hint="eastAsia" w:ascii="宋体" w:hAnsi="宋体" w:eastAsia="仿宋" w:cs="Times New Roman"/>
      <w:sz w:val="24"/>
      <w:szCs w:val="20"/>
    </w:rPr>
  </w:style>
  <w:style w:type="paragraph" w:customStyle="1" w:styleId="99">
    <w:name w:val="SANGFOR_6_正文"/>
    <w:basedOn w:val="1"/>
    <w:autoRedefine/>
    <w:qFormat/>
    <w:uiPriority w:val="0"/>
    <w:pPr>
      <w:ind w:firstLine="420"/>
    </w:pPr>
    <w:rPr>
      <w:sz w:val="21"/>
      <w:szCs w:val="24"/>
      <w:lang w:val="zh-CN"/>
    </w:rPr>
  </w:style>
  <w:style w:type="paragraph" w:customStyle="1" w:styleId="100">
    <w:name w:val="p0"/>
    <w:basedOn w:val="1"/>
    <w:autoRedefine/>
    <w:unhideWhenUsed/>
    <w:qFormat/>
    <w:uiPriority w:val="0"/>
    <w:pPr>
      <w:widowControl/>
    </w:pPr>
    <w:rPr>
      <w:rFonts w:hint="eastAsia"/>
    </w:rPr>
  </w:style>
  <w:style w:type="paragraph" w:customStyle="1" w:styleId="101">
    <w:name w:val="样式5"/>
    <w:basedOn w:val="5"/>
    <w:autoRedefine/>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02">
    <w:name w:val="标书标题3"/>
    <w:basedOn w:val="4"/>
    <w:autoRedefine/>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103">
    <w:name w:val="Plain Text"/>
    <w:basedOn w:val="104"/>
    <w:autoRedefine/>
    <w:qFormat/>
    <w:uiPriority w:val="0"/>
    <w:pPr>
      <w:widowControl/>
      <w:jc w:val="left"/>
    </w:pPr>
    <w:rPr>
      <w:rFonts w:ascii="宋体" w:hAnsi="Courier New"/>
    </w:rPr>
  </w:style>
  <w:style w:type="paragraph" w:customStyle="1" w:styleId="10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font6"/>
    <w:basedOn w:val="1"/>
    <w:autoRedefine/>
    <w:qFormat/>
    <w:uiPriority w:val="0"/>
    <w:pPr>
      <w:widowControl/>
      <w:spacing w:before="100" w:beforeLines="0" w:beforeAutospacing="1" w:after="100" w:afterLines="0" w:afterAutospacing="1"/>
      <w:jc w:val="left"/>
    </w:pPr>
    <w:rPr>
      <w:kern w:val="0"/>
      <w:sz w:val="18"/>
      <w:szCs w:val="18"/>
    </w:rPr>
  </w:style>
  <w:style w:type="paragraph" w:customStyle="1" w:styleId="106">
    <w:name w:val="xl33"/>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7">
    <w:name w:val="首行缩进"/>
    <w:basedOn w:val="1"/>
    <w:autoRedefine/>
    <w:qFormat/>
    <w:uiPriority w:val="0"/>
    <w:pPr>
      <w:spacing w:line="360" w:lineRule="auto"/>
      <w:ind w:firstLine="480" w:firstLineChars="200"/>
    </w:pPr>
    <w:rPr>
      <w:rFonts w:ascii="Calibri" w:hAnsi="Calibri" w:eastAsia="宋体"/>
      <w:sz w:val="24"/>
      <w:szCs w:val="22"/>
      <w:lang w:val="zh-CN"/>
    </w:rPr>
  </w:style>
  <w:style w:type="paragraph" w:customStyle="1" w:styleId="108">
    <w:name w:val="title11"/>
    <w:basedOn w:val="1"/>
    <w:autoRedefine/>
    <w:qFormat/>
    <w:uiPriority w:val="0"/>
    <w:pPr>
      <w:spacing w:before="150" w:beforeAutospacing="0" w:after="0" w:afterAutospacing="0"/>
      <w:ind w:left="0" w:right="0" w:firstLine="0"/>
      <w:jc w:val="left"/>
    </w:pPr>
    <w:rPr>
      <w:b/>
      <w:kern w:val="0"/>
      <w:lang w:val="en-US" w:eastAsia="zh-CN" w:bidi="ar"/>
    </w:rPr>
  </w:style>
  <w:style w:type="paragraph" w:customStyle="1" w:styleId="109">
    <w:name w:val="xl3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0">
    <w:name w:val="Body Text 2"/>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11">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12">
    <w:name w:val=" Char Char Char Char Char"/>
    <w:basedOn w:val="1"/>
    <w:autoRedefine/>
    <w:qFormat/>
    <w:uiPriority w:val="0"/>
    <w:pPr>
      <w:widowControl/>
      <w:spacing w:after="160" w:afterLines="0" w:line="240" w:lineRule="exact"/>
      <w:jc w:val="left"/>
    </w:pPr>
    <w:rPr>
      <w:rFonts w:ascii="Verdana" w:hAnsi="Verdana" w:eastAsia="华文细黑" w:cs="Times New Roman"/>
    </w:rPr>
  </w:style>
  <w:style w:type="paragraph" w:customStyle="1" w:styleId="113">
    <w:name w:val=" Char Char11 Char Char Char Char Char Char Char Char Char Char Char"/>
    <w:basedOn w:val="1"/>
    <w:autoRedefine/>
    <w:qFormat/>
    <w:uiPriority w:val="0"/>
    <w:pPr>
      <w:spacing w:line="360" w:lineRule="auto"/>
    </w:pPr>
    <w:rPr>
      <w:rFonts w:eastAsia="黑体"/>
      <w:snapToGrid w:val="0"/>
      <w:kern w:val="0"/>
      <w:szCs w:val="21"/>
    </w:rPr>
  </w:style>
  <w:style w:type="paragraph" w:customStyle="1" w:styleId="114">
    <w:name w:val="xl36"/>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5">
    <w:name w:val="xl32"/>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6">
    <w:name w:val="List Paragraph"/>
    <w:basedOn w:val="1"/>
    <w:autoRedefine/>
    <w:qFormat/>
    <w:uiPriority w:val="0"/>
    <w:pPr>
      <w:spacing w:line="360" w:lineRule="auto"/>
      <w:ind w:firstLine="420" w:firstLineChars="200"/>
    </w:pPr>
    <w:rPr>
      <w:rFonts w:ascii="宋体" w:hAnsi="宋体"/>
      <w:sz w:val="24"/>
    </w:rPr>
  </w:style>
  <w:style w:type="paragraph" w:customStyle="1" w:styleId="117">
    <w:name w:val="xl34"/>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1">
    <w:name w:val="列出段落1"/>
    <w:basedOn w:val="1"/>
    <w:next w:val="122"/>
    <w:autoRedefine/>
    <w:qFormat/>
    <w:uiPriority w:val="0"/>
    <w:pPr>
      <w:widowControl w:val="0"/>
      <w:ind w:firstLine="420" w:firstLineChars="200"/>
    </w:pPr>
    <w:rPr>
      <w:kern w:val="2"/>
      <w:szCs w:val="22"/>
    </w:rPr>
  </w:style>
  <w:style w:type="paragraph" w:customStyle="1" w:styleId="122">
    <w:name w:val="正文文字 7"/>
    <w:basedOn w:val="1"/>
    <w:next w:val="1"/>
    <w:autoRedefine/>
    <w:qFormat/>
    <w:uiPriority w:val="0"/>
    <w:pPr>
      <w:ind w:left="240"/>
    </w:pPr>
    <w:rPr>
      <w:sz w:val="20"/>
    </w:rPr>
  </w:style>
  <w:style w:type="paragraph" w:customStyle="1" w:styleId="123">
    <w:name w:val="正文首行缩进1(Crlf+Shift+M)"/>
    <w:autoRedefine/>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124">
    <w:name w:val="Normal1"/>
    <w:autoRedefine/>
    <w:qFormat/>
    <w:uiPriority w:val="0"/>
    <w:rPr>
      <w:rFonts w:ascii="Times New Roman" w:hAnsi="Times New Roman" w:eastAsia="Times New Roman" w:cs="Times New Roman"/>
      <w:sz w:val="24"/>
      <w:szCs w:val="24"/>
      <w:lang w:val="en-US" w:eastAsia="zh-CN" w:bidi="ar-SA"/>
    </w:rPr>
  </w:style>
  <w:style w:type="paragraph" w:customStyle="1" w:styleId="125">
    <w:name w:val="彩色列表1"/>
    <w:basedOn w:val="1"/>
    <w:autoRedefine/>
    <w:qFormat/>
    <w:uiPriority w:val="0"/>
    <w:pPr>
      <w:ind w:firstLine="420" w:firstLineChars="200"/>
    </w:pPr>
    <w:rPr>
      <w:rFonts w:ascii="Times New Roman" w:hAnsi="Times New Roman" w:cs="Times New Roman"/>
    </w:rPr>
  </w:style>
  <w:style w:type="paragraph" w:customStyle="1" w:styleId="126">
    <w:name w:val="List Paragraph2"/>
    <w:basedOn w:val="1"/>
    <w:autoRedefine/>
    <w:qFormat/>
    <w:uiPriority w:val="99"/>
    <w:pPr>
      <w:ind w:firstLine="420" w:firstLineChars="200"/>
    </w:pPr>
  </w:style>
  <w:style w:type="paragraph" w:customStyle="1" w:styleId="127">
    <w:name w:val="Char"/>
    <w:basedOn w:val="1"/>
    <w:autoRedefine/>
    <w:qFormat/>
    <w:uiPriority w:val="0"/>
  </w:style>
  <w:style w:type="paragraph" w:customStyle="1" w:styleId="128">
    <w:name w:val="表头"/>
    <w:basedOn w:val="1"/>
    <w:autoRedefine/>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2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30">
    <w:name w:val="标书标题2"/>
    <w:basedOn w:val="3"/>
    <w:autoRedefine/>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31">
    <w:name w:val="居中表格内容"/>
    <w:basedOn w:val="1"/>
    <w:next w:val="1"/>
    <w:autoRedefine/>
    <w:qFormat/>
    <w:uiPriority w:val="0"/>
    <w:pPr>
      <w:jc w:val="left"/>
    </w:pPr>
    <w:rPr>
      <w:szCs w:val="20"/>
    </w:rPr>
  </w:style>
  <w:style w:type="paragraph" w:customStyle="1" w:styleId="132">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3">
    <w:name w:val="xl2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4">
    <w:name w:val="xl27"/>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35">
    <w:name w:val="List Paragraph1"/>
    <w:basedOn w:val="1"/>
    <w:autoRedefine/>
    <w:qFormat/>
    <w:uiPriority w:val="0"/>
    <w:pPr>
      <w:ind w:firstLine="420" w:firstLineChars="200"/>
    </w:pPr>
    <w:rPr>
      <w:szCs w:val="24"/>
    </w:rPr>
  </w:style>
  <w:style w:type="paragraph" w:customStyle="1" w:styleId="136">
    <w:name w:val="xl38"/>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3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8">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9">
    <w:name w:val="font11"/>
    <w:autoRedefine/>
    <w:qFormat/>
    <w:uiPriority w:val="0"/>
    <w:rPr>
      <w:rFonts w:hint="eastAsia" w:ascii="宋体" w:hAnsi="宋体" w:eastAsia="宋体" w:cs="宋体"/>
      <w:color w:val="000000"/>
      <w:sz w:val="21"/>
      <w:szCs w:val="21"/>
      <w:u w:val="none"/>
    </w:rPr>
  </w:style>
  <w:style w:type="paragraph" w:customStyle="1" w:styleId="140">
    <w:name w:val="_正文"/>
    <w:basedOn w:val="1"/>
    <w:autoRedefine/>
    <w:qFormat/>
    <w:uiPriority w:val="0"/>
    <w:pPr>
      <w:widowControl w:val="0"/>
      <w:tabs>
        <w:tab w:val="left" w:pos="540"/>
      </w:tabs>
      <w:ind w:firstLine="200" w:firstLineChars="200"/>
    </w:pPr>
    <w:rPr>
      <w:rFonts w:ascii="Times New Roman" w:hAnsi="Times New Roman" w:cs="Arial"/>
    </w:rPr>
  </w:style>
  <w:style w:type="paragraph" w:customStyle="1" w:styleId="141">
    <w:name w:val="+正文"/>
    <w:basedOn w:val="1"/>
    <w:autoRedefine/>
    <w:qFormat/>
    <w:uiPriority w:val="0"/>
    <w:rPr>
      <w:szCs w:val="28"/>
    </w:rPr>
  </w:style>
  <w:style w:type="paragraph" w:customStyle="1" w:styleId="142">
    <w:name w:val="纯文本1"/>
    <w:basedOn w:val="1"/>
    <w:autoRedefine/>
    <w:qFormat/>
    <w:uiPriority w:val="0"/>
    <w:pPr>
      <w:spacing w:beforeLines="50" w:afterLines="50" w:line="400" w:lineRule="exact"/>
    </w:pPr>
    <w:rPr>
      <w:rFonts w:ascii="宋体" w:hAnsi="Courier New"/>
      <w:sz w:val="24"/>
    </w:rPr>
  </w:style>
  <w:style w:type="paragraph" w:customStyle="1" w:styleId="143">
    <w:name w:val="列表段落1"/>
    <w:basedOn w:val="1"/>
    <w:autoRedefine/>
    <w:qFormat/>
    <w:uiPriority w:val="99"/>
    <w:pPr>
      <w:ind w:firstLine="420" w:firstLineChars="200"/>
    </w:pPr>
    <w:rPr>
      <w:rFonts w:ascii="Calibri" w:hAnsi="Calibri"/>
      <w:szCs w:val="22"/>
    </w:rPr>
  </w:style>
  <w:style w:type="paragraph" w:customStyle="1" w:styleId="144">
    <w:name w:val="Body text|1"/>
    <w:basedOn w:val="1"/>
    <w:autoRedefine/>
    <w:qFormat/>
    <w:uiPriority w:val="0"/>
    <w:pPr>
      <w:spacing w:line="480" w:lineRule="auto"/>
      <w:ind w:firstLine="400"/>
    </w:pPr>
    <w:rPr>
      <w:rFonts w:ascii="宋体" w:hAnsi="宋体" w:cs="宋体"/>
      <w:sz w:val="20"/>
      <w:szCs w:val="20"/>
      <w:lang w:val="zh-TW" w:eastAsia="zh-TW" w:bidi="zh-TW"/>
    </w:rPr>
  </w:style>
  <w:style w:type="character" w:customStyle="1" w:styleId="145">
    <w:name w:val="font91"/>
    <w:basedOn w:val="50"/>
    <w:autoRedefine/>
    <w:qFormat/>
    <w:uiPriority w:val="0"/>
    <w:rPr>
      <w:rFonts w:ascii="Arial" w:hAnsi="Arial" w:cs="Arial"/>
      <w:color w:val="000000"/>
      <w:sz w:val="20"/>
      <w:szCs w:val="20"/>
      <w:u w:val="none"/>
    </w:rPr>
  </w:style>
  <w:style w:type="paragraph" w:customStyle="1" w:styleId="146">
    <w:name w:val=" Char Char1"/>
    <w:basedOn w:val="1"/>
    <w:autoRedefine/>
    <w:qFormat/>
    <w:uiPriority w:val="0"/>
    <w:rPr>
      <w:rFonts w:ascii="Tahoma" w:hAnsi="Tahoma"/>
      <w:sz w:val="24"/>
      <w:szCs w:val="20"/>
    </w:rPr>
  </w:style>
  <w:style w:type="character" w:customStyle="1" w:styleId="147">
    <w:name w:val="NormalCharacter"/>
    <w:autoRedefine/>
    <w:semiHidden/>
    <w:qFormat/>
    <w:uiPriority w:val="0"/>
  </w:style>
  <w:style w:type="paragraph" w:customStyle="1" w:styleId="148">
    <w:name w:val="Table Paragraph"/>
    <w:basedOn w:val="1"/>
    <w:autoRedefine/>
    <w:qFormat/>
    <w:uiPriority w:val="1"/>
    <w:rPr>
      <w:rFonts w:ascii="宋体" w:hAnsi="宋体" w:eastAsia="宋体" w:cs="宋体"/>
      <w:lang w:val="zh-CN" w:eastAsia="zh-CN" w:bidi="zh-CN"/>
    </w:rPr>
  </w:style>
  <w:style w:type="character" w:customStyle="1" w:styleId="149">
    <w:name w:val="font21"/>
    <w:basedOn w:val="50"/>
    <w:autoRedefine/>
    <w:qFormat/>
    <w:uiPriority w:val="0"/>
    <w:rPr>
      <w:rFonts w:hint="eastAsia" w:ascii="宋体" w:hAnsi="宋体" w:eastAsia="宋体" w:cs="宋体"/>
      <w:b/>
      <w:bCs/>
      <w:color w:val="000000"/>
      <w:sz w:val="21"/>
      <w:szCs w:val="21"/>
      <w:u w:val="none"/>
    </w:rPr>
  </w:style>
  <w:style w:type="paragraph" w:customStyle="1" w:styleId="150">
    <w:name w:val="纯文本11"/>
    <w:basedOn w:val="1"/>
    <w:autoRedefine/>
    <w:qFormat/>
    <w:uiPriority w:val="0"/>
    <w:pPr>
      <w:spacing w:beforeLines="50" w:afterLines="50" w:line="400" w:lineRule="exact"/>
    </w:pPr>
    <w:rPr>
      <w:rFonts w:ascii="宋体" w:hAnsi="Courier New"/>
      <w:sz w:val="24"/>
    </w:rPr>
  </w:style>
  <w:style w:type="character" w:customStyle="1" w:styleId="151">
    <w:name w:val="font41"/>
    <w:basedOn w:val="50"/>
    <w:autoRedefine/>
    <w:qFormat/>
    <w:uiPriority w:val="0"/>
    <w:rPr>
      <w:rFonts w:hint="eastAsia" w:ascii="宋体" w:hAnsi="宋体" w:eastAsia="宋体" w:cs="宋体"/>
      <w:color w:val="000000"/>
      <w:sz w:val="20"/>
      <w:szCs w:val="20"/>
      <w:u w:val="none"/>
    </w:rPr>
  </w:style>
  <w:style w:type="paragraph" w:customStyle="1" w:styleId="152">
    <w:name w:val="Table Text"/>
    <w:basedOn w:val="1"/>
    <w:autoRedefine/>
    <w:semiHidden/>
    <w:qFormat/>
    <w:uiPriority w:val="0"/>
    <w:rPr>
      <w:rFonts w:ascii="宋体" w:hAnsi="宋体" w:eastAsia="宋体" w:cs="宋体"/>
      <w:sz w:val="16"/>
      <w:szCs w:val="16"/>
      <w:lang w:val="en-US" w:eastAsia="en-US" w:bidi="ar-SA"/>
    </w:rPr>
  </w:style>
  <w:style w:type="table" w:customStyle="1" w:styleId="153">
    <w:name w:val="Table Normal"/>
    <w:autoRedefine/>
    <w:semiHidden/>
    <w:unhideWhenUsed/>
    <w:qFormat/>
    <w:uiPriority w:val="0"/>
    <w:tblPr>
      <w:tblCellMar>
        <w:top w:w="0" w:type="dxa"/>
        <w:left w:w="0" w:type="dxa"/>
        <w:bottom w:w="0" w:type="dxa"/>
        <w:right w:w="0" w:type="dxa"/>
      </w:tblCellMar>
    </w:tblPr>
  </w:style>
  <w:style w:type="paragraph" w:customStyle="1" w:styleId="154">
    <w:name w:val="正文缩进2"/>
    <w:basedOn w:val="1"/>
    <w:autoRedefine/>
    <w:qFormat/>
    <w:uiPriority w:val="0"/>
    <w:pPr>
      <w:ind w:firstLine="420"/>
    </w:pPr>
    <w:rPr>
      <w:szCs w:val="21"/>
    </w:rPr>
  </w:style>
  <w:style w:type="paragraph" w:customStyle="1" w:styleId="155">
    <w:name w:val="正文文本缩进2"/>
    <w:basedOn w:val="1"/>
    <w:autoRedefine/>
    <w:qFormat/>
    <w:uiPriority w:val="0"/>
    <w:pPr>
      <w:ind w:firstLine="480" w:firstLineChars="200"/>
    </w:pPr>
    <w:rPr>
      <w:rFonts w:eastAsia="楷体_GB2312"/>
      <w:sz w:val="24"/>
    </w:rPr>
  </w:style>
  <w:style w:type="paragraph" w:customStyle="1" w:styleId="156">
    <w:name w:val="B"/>
    <w:basedOn w:val="1"/>
    <w:autoRedefine/>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157">
    <w:name w:val="表格内字体字号"/>
    <w:basedOn w:val="1"/>
    <w:autoRedefine/>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 w:type="paragraph" w:customStyle="1" w:styleId="158">
    <w:name w:val="段"/>
    <w:autoRedefine/>
    <w:qFormat/>
    <w:uiPriority w:val="0"/>
    <w:pPr>
      <w:ind w:firstLine="200" w:firstLineChars="200"/>
      <w:jc w:val="both"/>
    </w:pPr>
    <w:rPr>
      <w:rFonts w:ascii="Calibri" w:hAnsi="Calibri" w:eastAsia="宋体" w:cs="Arial"/>
      <w:lang w:val="en-US" w:eastAsia="zh-CN" w:bidi="ar-SA"/>
    </w:rPr>
  </w:style>
  <w:style w:type="paragraph" w:customStyle="1" w:styleId="159">
    <w:name w:val="正文表标题"/>
    <w:next w:val="1"/>
    <w:autoRedefine/>
    <w:qFormat/>
    <w:uiPriority w:val="0"/>
    <w:pPr>
      <w:numPr>
        <w:ilvl w:val="0"/>
        <w:numId w:val="1"/>
      </w:numPr>
      <w:spacing w:beforeLines="50"/>
      <w:jc w:val="center"/>
    </w:pPr>
    <w:rPr>
      <w:rFonts w:ascii="黑体" w:hAnsi="Calibri" w:eastAsia="黑体" w:cs="Arial"/>
      <w:sz w:val="21"/>
      <w:lang w:val="en-US" w:eastAsia="zh-CN" w:bidi="ar-SA"/>
    </w:rPr>
  </w:style>
  <w:style w:type="character" w:customStyle="1" w:styleId="160">
    <w:name w:val="fontstyle01"/>
    <w:basedOn w:val="50"/>
    <w:autoRedefine/>
    <w:qFormat/>
    <w:uiPriority w:val="0"/>
    <w:rPr>
      <w:rFonts w:hint="default" w:ascii="TimesNewRomanPSMT" w:hAnsi="TimesNewRomanPSMT"/>
      <w:color w:val="000000"/>
    </w:rPr>
  </w:style>
  <w:style w:type="character" w:customStyle="1" w:styleId="161">
    <w:name w:val="fontstyle11"/>
    <w:basedOn w:val="50"/>
    <w:autoRedefine/>
    <w:qFormat/>
    <w:uiPriority w:val="0"/>
    <w:rPr>
      <w:rFonts w:hint="eastAsia" w:ascii="宋体" w:hAnsi="宋体" w:eastAsia="宋体"/>
      <w:color w:val="000000"/>
    </w:rPr>
  </w:style>
  <w:style w:type="paragraph" w:customStyle="1" w:styleId="16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kern w:val="2"/>
      <w:sz w:val="21"/>
      <w:szCs w:val="22"/>
      <w:lang w:val="en-US" w:eastAsia="zh-CN" w:bidi="ar-SA"/>
    </w:rPr>
  </w:style>
  <w:style w:type="paragraph" w:customStyle="1" w:styleId="163">
    <w:name w:val="2级标题"/>
    <w:basedOn w:val="162"/>
    <w:next w:val="162"/>
    <w:autoRedefine/>
    <w:qFormat/>
    <w:uiPriority w:val="0"/>
    <w:pPr>
      <w:spacing w:line="640" w:lineRule="exact"/>
      <w:ind w:left="770" w:hanging="770" w:hangingChars="275"/>
      <w:outlineLvl w:val="1"/>
    </w:pPr>
    <w:rPr>
      <w:rFonts w:ascii="微软雅黑" w:hAnsi="微软雅黑" w:eastAsia="微软雅黑" w:cs="Times New Roman"/>
      <w:kern w:val="0"/>
      <w:sz w:val="28"/>
      <w:szCs w:val="20"/>
    </w:rPr>
  </w:style>
  <w:style w:type="paragraph" w:customStyle="1" w:styleId="164">
    <w:name w:val="[Normal]"/>
    <w:autoRedefine/>
    <w:qFormat/>
    <w:uiPriority w:val="0"/>
    <w:rPr>
      <w:rFonts w:ascii="宋体" w:hAnsi="宋体" w:eastAsia="宋体" w:cs="Times New Roman"/>
      <w:sz w:val="24"/>
      <w:szCs w:val="22"/>
      <w:lang w:val="zh-CN" w:eastAsia="zh-CN" w:bidi="ar-SA"/>
    </w:rPr>
  </w:style>
  <w:style w:type="paragraph" w:customStyle="1" w:styleId="165">
    <w:name w:val="表格"/>
    <w:autoRedefine/>
    <w:qFormat/>
    <w:uiPriority w:val="0"/>
    <w:pPr>
      <w:spacing w:line="360" w:lineRule="auto"/>
      <w:jc w:val="center"/>
    </w:pPr>
    <w:rPr>
      <w:rFonts w:ascii="Times New Roman" w:hAnsi="Times New Roman" w:eastAsia="宋体" w:cs="Times New Roman"/>
      <w:kern w:val="10"/>
      <w:szCs w:val="21"/>
      <w:lang w:val="en-US" w:eastAsia="zh-CN" w:bidi="ar-SA"/>
    </w:rPr>
  </w:style>
  <w:style w:type="character" w:customStyle="1" w:styleId="166">
    <w:name w:val="px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71</Pages>
  <Words>21037</Words>
  <Characters>22324</Characters>
  <Lines>326</Lines>
  <Paragraphs>91</Paragraphs>
  <TotalTime>40</TotalTime>
  <ScaleCrop>false</ScaleCrop>
  <LinksUpToDate>false</LinksUpToDate>
  <CharactersWithSpaces>22637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2020-04-23T00:18:00Z</dcterms:created>
  <dc:creator>微软用户</dc:creator>
  <cp:lastModifiedBy>黄银凤</cp:lastModifiedBy>
  <cp:lastPrinted>2024-11-02T08:51:00Z</cp:lastPrinted>
  <dcterms:modified xsi:type="dcterms:W3CDTF">2025-01-17T03:25:43Z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AFFCD9A460FB4BBFA323A87ABC8DA0C3_13</vt:lpwstr>
  </property>
</Properties>
</file>