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p>
    <w:p>
      <w:pPr>
        <w:adjustRightInd/>
        <w:spacing w:line="360" w:lineRule="auto"/>
        <w:rPr>
          <w:rFonts w:asciiTheme="minorEastAsia" w:hAnsiTheme="minorEastAsia" w:eastAsiaTheme="minorEastAsia" w:cstheme="minorEastAsia"/>
          <w:b/>
          <w:color w:val="000000" w:themeColor="text1"/>
          <w:sz w:val="36"/>
          <w:szCs w:val="36"/>
          <w:highlight w:val="none"/>
          <w14:textFill>
            <w14:solidFill>
              <w14:schemeClr w14:val="tx1"/>
            </w14:solidFill>
          </w14:textFill>
        </w:rPr>
      </w:pPr>
    </w:p>
    <w:p>
      <w:pPr>
        <w:spacing w:line="360" w:lineRule="auto"/>
        <w:ind w:firstLine="480"/>
        <w:jc w:val="center"/>
        <w:rPr>
          <w:rFonts w:asciiTheme="minorEastAsia" w:hAnsiTheme="minorEastAsia" w:eastAsiaTheme="minorEastAsia" w:cstheme="minorEastAsia"/>
          <w:b/>
          <w:bCs/>
          <w:snapToGrid w:val="0"/>
          <w:color w:val="000000" w:themeColor="text1"/>
          <w:kern w:val="28"/>
          <w:sz w:val="44"/>
          <w:szCs w:val="44"/>
          <w:highlight w:val="none"/>
          <w14:textFill>
            <w14:solidFill>
              <w14:schemeClr w14:val="tx1"/>
            </w14:solidFill>
          </w14:textFill>
        </w:rPr>
      </w:pPr>
      <w:r>
        <w:rPr>
          <w:rFonts w:hint="eastAsia" w:asciiTheme="minorEastAsia" w:hAnsiTheme="minorEastAsia" w:eastAsiaTheme="minorEastAsia" w:cstheme="minorEastAsia"/>
          <w:b/>
          <w:bCs/>
          <w:snapToGrid w:val="0"/>
          <w:color w:val="000000" w:themeColor="text1"/>
          <w:kern w:val="28"/>
          <w:sz w:val="44"/>
          <w:szCs w:val="44"/>
          <w:highlight w:val="none"/>
          <w14:textFill>
            <w14:solidFill>
              <w14:schemeClr w14:val="tx1"/>
            </w14:solidFill>
          </w14:textFill>
        </w:rPr>
        <w:t>所前镇樟宜翠湾社会组织综合服务中心运营服务项目</w:t>
      </w:r>
      <w:bookmarkStart w:id="404" w:name="_GoBack"/>
      <w:bookmarkEnd w:id="404"/>
    </w:p>
    <w:p>
      <w:pPr>
        <w:pStyle w:val="3"/>
        <w:rPr>
          <w:rFonts w:asciiTheme="minorEastAsia" w:hAnsiTheme="minorEastAsia" w:eastAsiaTheme="minorEastAsia" w:cstheme="minorEastAsia"/>
          <w:snapToGrid w:val="0"/>
          <w:color w:val="000000" w:themeColor="text1"/>
          <w:kern w:val="28"/>
          <w:sz w:val="48"/>
          <w:szCs w:val="48"/>
          <w:highlight w:val="none"/>
          <w14:textFill>
            <w14:solidFill>
              <w14:schemeClr w14:val="tx1"/>
            </w14:solidFill>
          </w14:textFill>
        </w:rPr>
      </w:pPr>
    </w:p>
    <w:p>
      <w:pPr>
        <w:rPr>
          <w:rFonts w:asciiTheme="minorEastAsia" w:hAnsiTheme="minorEastAsia" w:eastAsiaTheme="minorEastAsia" w:cstheme="minorEastAsia"/>
          <w:color w:val="000000" w:themeColor="text1"/>
          <w:highlight w:val="none"/>
          <w14:textFill>
            <w14:solidFill>
              <w14:schemeClr w14:val="tx1"/>
            </w14:solidFill>
          </w14:textFill>
        </w:rPr>
      </w:pPr>
    </w:p>
    <w:p>
      <w:pPr>
        <w:spacing w:line="360" w:lineRule="auto"/>
        <w:ind w:firstLine="480"/>
        <w:jc w:val="center"/>
        <w:rPr>
          <w:rFonts w:asciiTheme="minorEastAsia" w:hAnsiTheme="minorEastAsia" w:eastAsiaTheme="minorEastAsia" w:cstheme="minorEastAsia"/>
          <w:b/>
          <w:bCs/>
          <w:snapToGrid w:val="0"/>
          <w:color w:val="000000" w:themeColor="text1"/>
          <w:kern w:val="28"/>
          <w:sz w:val="48"/>
          <w:szCs w:val="48"/>
          <w:highlight w:val="none"/>
          <w14:textFill>
            <w14:solidFill>
              <w14:schemeClr w14:val="tx1"/>
            </w14:solidFill>
          </w14:textFill>
        </w:rPr>
      </w:pPr>
      <w:r>
        <w:rPr>
          <w:rFonts w:hint="eastAsia" w:asciiTheme="minorEastAsia" w:hAnsiTheme="minorEastAsia" w:eastAsiaTheme="minorEastAsia" w:cstheme="minorEastAsia"/>
          <w:b/>
          <w:bCs/>
          <w:snapToGrid w:val="0"/>
          <w:color w:val="000000" w:themeColor="text1"/>
          <w:kern w:val="28"/>
          <w:sz w:val="48"/>
          <w:szCs w:val="48"/>
          <w:highlight w:val="none"/>
          <w14:textFill>
            <w14:solidFill>
              <w14:schemeClr w14:val="tx1"/>
            </w14:solidFill>
          </w14:textFill>
        </w:rPr>
        <w:t>交易文件</w:t>
      </w:r>
    </w:p>
    <w:p>
      <w:pPr>
        <w:adjustRightInd/>
        <w:spacing w:line="360" w:lineRule="auto"/>
        <w:jc w:val="center"/>
        <w:rPr>
          <w:rFonts w:asciiTheme="minorEastAsia" w:hAnsiTheme="minorEastAsia" w:eastAsiaTheme="minorEastAsia" w:cs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6"/>
          <w:szCs w:val="36"/>
          <w:highlight w:val="none"/>
          <w14:textFill>
            <w14:solidFill>
              <w14:schemeClr w14:val="tx1"/>
            </w14:solidFill>
          </w14:textFill>
        </w:rPr>
        <w:t xml:space="preserve"> （电子招投标）</w:t>
      </w:r>
    </w:p>
    <w:p>
      <w:pPr>
        <w:snapToGrid w:val="0"/>
        <w:spacing w:line="360" w:lineRule="auto"/>
        <w:jc w:val="center"/>
        <w:rPr>
          <w:rFonts w:asciiTheme="minorEastAsia" w:hAnsiTheme="minorEastAsia" w:eastAsiaTheme="minorEastAsia" w:cstheme="minorEastAsia"/>
          <w:color w:val="000000" w:themeColor="text1"/>
          <w:sz w:val="28"/>
          <w:szCs w:val="28"/>
          <w:highlight w:val="none"/>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t>编号:HCZX(XS)2025-012</w:t>
      </w:r>
    </w:p>
    <w:p>
      <w:pPr>
        <w:adjustRightInd/>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w:t>
      </w:r>
    </w:p>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jc w:val="center"/>
        <w:rPr>
          <w:rFonts w:asciiTheme="minorEastAsia" w:hAnsiTheme="minorEastAsia" w:eastAsiaTheme="minorEastAsia" w:cstheme="minorEastAsia"/>
          <w:bCs/>
          <w:color w:val="000000" w:themeColor="text1"/>
          <w:sz w:val="32"/>
          <w:szCs w:val="32"/>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32"/>
          <w:szCs w:val="32"/>
          <w:highlight w:val="none"/>
          <w14:textFill>
            <w14:solidFill>
              <w14:schemeClr w14:val="tx1"/>
            </w14:solidFill>
          </w14:textFill>
        </w:rPr>
        <w:t>杭州市萧山区所前镇人民政府</w:t>
      </w:r>
    </w:p>
    <w:p>
      <w:pPr>
        <w:snapToGrid w:val="0"/>
        <w:spacing w:line="360" w:lineRule="auto"/>
        <w:jc w:val="center"/>
        <w:rPr>
          <w:rFonts w:asciiTheme="minorEastAsia" w:hAnsiTheme="minorEastAsia" w:eastAsiaTheme="minorEastAsia" w:cstheme="minorEastAsia"/>
          <w:bCs/>
          <w:color w:val="000000" w:themeColor="text1"/>
          <w:sz w:val="32"/>
          <w:szCs w:val="32"/>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32"/>
          <w:szCs w:val="32"/>
          <w:highlight w:val="none"/>
          <w14:textFill>
            <w14:solidFill>
              <w14:schemeClr w14:val="tx1"/>
            </w14:solidFill>
          </w14:textFill>
        </w:rPr>
        <w:t>华诚工程咨询集团有限公司</w:t>
      </w:r>
    </w:p>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32"/>
          <w:szCs w:val="32"/>
          <w:highlight w:val="none"/>
          <w14:textFill>
            <w14:solidFill>
              <w14:schemeClr w14:val="tx1"/>
            </w14:solidFill>
          </w14:textFill>
        </w:rPr>
        <w:t>2025年3月</w:t>
      </w:r>
      <w:r>
        <w:rPr>
          <w:rFonts w:hint="eastAsia" w:asciiTheme="minorEastAsia" w:hAnsiTheme="minorEastAsia" w:eastAsiaTheme="minorEastAsia" w:cstheme="minorEastAsia"/>
          <w:bCs/>
          <w:color w:val="000000" w:themeColor="text1"/>
          <w:sz w:val="32"/>
          <w:szCs w:val="32"/>
          <w:highlight w:val="none"/>
          <w:lang w:val="en-US" w:eastAsia="zh-CN"/>
          <w14:textFill>
            <w14:solidFill>
              <w14:schemeClr w14:val="tx1"/>
            </w14:solidFill>
          </w14:textFill>
        </w:rPr>
        <w:t>31</w:t>
      </w:r>
      <w:r>
        <w:rPr>
          <w:rFonts w:hint="eastAsia" w:asciiTheme="minorEastAsia" w:hAnsiTheme="minorEastAsia" w:eastAsiaTheme="minorEastAsia" w:cstheme="minorEastAsia"/>
          <w:bCs/>
          <w:color w:val="000000" w:themeColor="text1"/>
          <w:sz w:val="32"/>
          <w:szCs w:val="32"/>
          <w:highlight w:val="none"/>
          <w14:textFill>
            <w14:solidFill>
              <w14:schemeClr w14:val="tx1"/>
            </w14:solidFill>
          </w14:textFill>
        </w:rPr>
        <w:t>日</w:t>
      </w:r>
    </w:p>
    <w:p>
      <w:pPr>
        <w:spacing w:line="360" w:lineRule="auto"/>
        <w:jc w:val="center"/>
        <w:rPr>
          <w:rFonts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br w:type="page"/>
      </w:r>
      <w:bookmarkStart w:id="0" w:name="_Hlt67893495"/>
      <w:bookmarkEnd w:id="0"/>
    </w:p>
    <w:p>
      <w:pPr>
        <w:spacing w:line="360" w:lineRule="auto"/>
        <w:jc w:val="center"/>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目  录</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第一部分      交易公告</w:t>
      </w: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第二部分      供应商须知</w:t>
      </w: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第三部分      交易需求</w:t>
      </w: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第四部分      评审办法</w:t>
      </w: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第五部分      拟签订的合同文本</w:t>
      </w:r>
    </w:p>
    <w:p>
      <w:pPr>
        <w:spacing w:line="360" w:lineRule="auto"/>
        <w:ind w:firstLine="1440" w:firstLineChars="400"/>
        <w:rPr>
          <w:rFonts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第六部分      应提交的有关格式范例</w:t>
      </w: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bookmarkStart w:id="1" w:name="_Hlt91233176"/>
      <w:bookmarkEnd w:id="1"/>
      <w:bookmarkStart w:id="2" w:name="_Toc91899869"/>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549" w:firstLineChars="229"/>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adjustRightInd/>
        <w:spacing w:line="360" w:lineRule="auto"/>
        <w:jc w:val="center"/>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bookmarkStart w:id="3" w:name="第一部分"/>
      <w:r>
        <w:rPr>
          <w:rFonts w:hint="eastAsia" w:asciiTheme="minorEastAsia" w:hAnsiTheme="minorEastAsia" w:eastAsiaTheme="minorEastAsia" w:cstheme="minorEastAsia"/>
          <w:b/>
          <w:color w:val="000000" w:themeColor="text1"/>
          <w:sz w:val="24"/>
          <w:highlight w:val="none"/>
          <w14:textFill>
            <w14:solidFill>
              <w14:schemeClr w14:val="tx1"/>
            </w14:solidFill>
          </w14:textFill>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第一部分 交易公告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stheme="minorEastAsia"/>
          <w:color w:val="000000" w:themeColor="text1"/>
          <w:sz w:val="24"/>
          <w:highlight w:val="none"/>
          <w:u w:val="singl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（所前镇樟宜翠湾社会组织综合服务中心运营服务项目）</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的潜在供应商应在乐采云平台（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www.lecaiyun.com</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）获取（下载）交易文件，并于20</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 xml:space="preserve">25年 </w:t>
      </w:r>
      <w:r>
        <w:rPr>
          <w:rStyle w:val="76"/>
          <w:rFonts w:hint="eastAsia" w:asciiTheme="minorEastAsia" w:hAnsiTheme="minorEastAsia" w:eastAsiaTheme="minorEastAsia" w:cstheme="minorEastAsia"/>
          <w:snapToGrid/>
          <w:color w:val="000000" w:themeColor="text1"/>
          <w:kern w:val="2"/>
          <w:sz w:val="24"/>
          <w:szCs w:val="24"/>
          <w:highlight w:val="none"/>
          <w:lang w:val="en-US" w:eastAsia="zh-CN"/>
          <w14:textFill>
            <w14:solidFill>
              <w14:schemeClr w14:val="tx1"/>
            </w14:solidFill>
          </w14:textFill>
        </w:rPr>
        <w:t>4</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 xml:space="preserve"> 月 </w:t>
      </w:r>
      <w:r>
        <w:rPr>
          <w:rStyle w:val="76"/>
          <w:rFonts w:hint="eastAsia" w:asciiTheme="minorEastAsia" w:hAnsiTheme="minorEastAsia" w:eastAsiaTheme="minorEastAsia" w:cstheme="minorEastAsia"/>
          <w:snapToGrid/>
          <w:color w:val="000000" w:themeColor="text1"/>
          <w:kern w:val="2"/>
          <w:sz w:val="24"/>
          <w:szCs w:val="24"/>
          <w:highlight w:val="none"/>
          <w:lang w:val="en-US" w:eastAsia="zh-CN"/>
          <w14:textFill>
            <w14:solidFill>
              <w14:schemeClr w14:val="tx1"/>
            </w14:solidFill>
          </w14:textFill>
        </w:rPr>
        <w:t>9</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 xml:space="preserve"> 日</w:t>
      </w:r>
      <w:r>
        <w:rPr>
          <w:rStyle w:val="76"/>
          <w:rFonts w:hint="eastAsia" w:asciiTheme="minorEastAsia" w:hAnsiTheme="minorEastAsia" w:eastAsiaTheme="minorEastAsia" w:cstheme="minorEastAsia"/>
          <w:snapToGrid/>
          <w:color w:val="000000" w:themeColor="text1"/>
          <w:kern w:val="2"/>
          <w:sz w:val="24"/>
          <w:szCs w:val="24"/>
          <w:highlight w:val="none"/>
          <w:lang w:val="en-US" w:eastAsia="zh-CN"/>
          <w14:textFill>
            <w14:solidFill>
              <w14:schemeClr w14:val="tx1"/>
            </w14:solidFill>
          </w14:textFill>
        </w:rPr>
        <w:t>9</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点</w:t>
      </w:r>
      <w:r>
        <w:rPr>
          <w:rStyle w:val="76"/>
          <w:rFonts w:hint="eastAsia" w:asciiTheme="minorEastAsia" w:hAnsiTheme="minorEastAsia" w:eastAsiaTheme="minorEastAsia" w:cstheme="minorEastAsia"/>
          <w:snapToGrid/>
          <w:color w:val="000000" w:themeColor="text1"/>
          <w:kern w:val="2"/>
          <w:sz w:val="24"/>
          <w:szCs w:val="24"/>
          <w:highlight w:val="none"/>
          <w:lang w:val="en-US" w:eastAsia="zh-CN"/>
          <w14:textFill>
            <w14:solidFill>
              <w14:schemeClr w14:val="tx1"/>
            </w14:solidFill>
          </w14:textFill>
        </w:rPr>
        <w:t>3</w:t>
      </w:r>
      <w:r>
        <w:rPr>
          <w:rStyle w:val="76"/>
          <w:rFonts w:hint="eastAsia" w:asciiTheme="minorEastAsia" w:hAnsiTheme="minorEastAsia" w:eastAsiaTheme="minorEastAsia" w:cstheme="minorEastAsia"/>
          <w:snapToGrid/>
          <w:color w:val="000000" w:themeColor="text1"/>
          <w:kern w:val="2"/>
          <w:sz w:val="24"/>
          <w:szCs w:val="24"/>
          <w:highlight w:val="none"/>
          <w14:textFill>
            <w14:solidFill>
              <w14:schemeClr w14:val="tx1"/>
            </w14:solidFill>
          </w14:textFill>
        </w:rPr>
        <w:t>0分</w:t>
      </w:r>
      <w:r>
        <w:rPr>
          <w:rStyle w:val="76"/>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00秒</w:t>
      </w:r>
      <w:r>
        <w:rPr>
          <w:rStyle w:val="76"/>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fldChar w:fldCharType="end"/>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（北京时间）前</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递交（上传）响应文件。</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一、项目基本情况</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项目编号：HCZX(XS)2025-012</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项目名称：所前镇樟宜翠湾社会组织综合服务中心运营服务项目</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预算金额（元）： 350000   </w:t>
      </w:r>
    </w:p>
    <w:p>
      <w:pPr>
        <w:spacing w:line="360" w:lineRule="auto"/>
        <w:ind w:firstLine="48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最高限价（元）： 350000   </w:t>
      </w:r>
    </w:p>
    <w:p>
      <w:pPr>
        <w:pStyle w:val="5"/>
        <w:spacing w:line="360" w:lineRule="auto"/>
        <w:ind w:firstLine="480"/>
        <w:rPr>
          <w:rFonts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交易需求：所前镇樟宜翠湾社会组织综合服务中心运营服务项目</w:t>
      </w:r>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主要内容：所前镇樟宜翠湾社会组织综合服务中心运营服务，具体以交易文件第三部分交易需求为准，供应商可点击本公告下方“浏览采购文件”查看交易需求。</w:t>
      </w:r>
    </w:p>
    <w:p>
      <w:pPr>
        <w:pStyle w:val="5"/>
        <w:spacing w:line="360" w:lineRule="auto"/>
        <w:ind w:firstLine="480"/>
        <w:rPr>
          <w:rFonts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pPr>
      <w:r>
        <w:rPr>
          <w:rFonts w:hint="eastAsia" w:asciiTheme="minorEastAsia" w:hAnsiTheme="minorEastAsia" w:eastAsiaTheme="minorEastAsia" w:cstheme="minorEastAsia"/>
          <w:b/>
          <w:snapToGrid/>
          <w:color w:val="000000" w:themeColor="text1"/>
          <w:kern w:val="2"/>
          <w:sz w:val="24"/>
          <w:szCs w:val="24"/>
          <w:highlight w:val="none"/>
          <w14:textFill>
            <w14:solidFill>
              <w14:schemeClr w14:val="tx1"/>
            </w14:solidFill>
          </w14:textFill>
        </w:rPr>
        <w:t>合同履约期限：</w:t>
      </w:r>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 xml:space="preserve"> 1年</w:t>
      </w:r>
    </w:p>
    <w:p>
      <w:pPr>
        <w:pStyle w:val="5"/>
        <w:spacing w:line="360" w:lineRule="auto"/>
        <w:ind w:firstLine="480"/>
        <w:rPr>
          <w:rFonts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pPr>
      <w:r>
        <w:rPr>
          <w:rFonts w:hint="eastAsia" w:asciiTheme="minorEastAsia" w:hAnsiTheme="minorEastAsia" w:eastAsiaTheme="minorEastAsia" w:cstheme="minorEastAsia"/>
          <w:b/>
          <w:snapToGrid/>
          <w:color w:val="000000" w:themeColor="text1"/>
          <w:kern w:val="2"/>
          <w:sz w:val="24"/>
          <w:szCs w:val="24"/>
          <w:highlight w:val="none"/>
          <w14:textFill>
            <w14:solidFill>
              <w14:schemeClr w14:val="tx1"/>
            </w14:solidFill>
          </w14:textFill>
        </w:rPr>
        <w:t>本项目接受联合体投标：</w:t>
      </w:r>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 xml:space="preserve"> </w:t>
      </w:r>
      <w:sdt>
        <w:sdtP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id w:val="-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sdtEndPr>
        <w:sdtContent>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w:t>
          </w:r>
        </w:sdtContent>
      </w:sdt>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是；</w:t>
      </w:r>
      <w:sdt>
        <w:sdtP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id w:val="147472453"/>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sdtEndPr>
        <w:sdtContent>
          <w:r>
            <w:rPr>
              <w:rFonts w:hint="eastAsia" w:ascii="Wingdings" w:hAnsi="Wingdings" w:eastAsiaTheme="minorEastAsia" w:cstheme="minorEastAsia"/>
              <w:bCs/>
              <w:snapToGrid/>
              <w:color w:val="000000" w:themeColor="text1"/>
              <w:kern w:val="2"/>
              <w:sz w:val="24"/>
              <w:szCs w:val="24"/>
              <w:highlight w:val="none"/>
              <w:lang w:val="en-US" w:eastAsia="zh-CN" w:bidi="ar-SA"/>
              <w14:textFill>
                <w14:solidFill>
                  <w14:schemeClr w14:val="tx1"/>
                </w14:solidFill>
              </w14:textFill>
            </w:rPr>
            <w:t>þ</w:t>
          </w:r>
        </w:sdtContent>
      </w:sdt>
      <w:r>
        <w:rPr>
          <w:rFonts w:hint="eastAsia" w:asciiTheme="minorEastAsia" w:hAnsiTheme="minorEastAsia" w:eastAsiaTheme="minorEastAsia" w:cstheme="minorEastAsia"/>
          <w:bCs/>
          <w:snapToGrid/>
          <w:color w:val="000000" w:themeColor="text1"/>
          <w:kern w:val="2"/>
          <w:sz w:val="24"/>
          <w:szCs w:val="24"/>
          <w:highlight w:val="none"/>
          <w14:textFill>
            <w14:solidFill>
              <w14:schemeClr w14:val="tx1"/>
            </w14:solidFill>
          </w14:textFill>
        </w:rPr>
        <w:t>否。</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二、申请人的资格要求：</w:t>
      </w:r>
    </w:p>
    <w:p>
      <w:pPr>
        <w:spacing w:line="360" w:lineRule="auto"/>
        <w:ind w:firstLine="480"/>
        <w:rPr>
          <w:rFonts w:asciiTheme="minorEastAsia" w:hAnsiTheme="minorEastAsia" w:eastAsiaTheme="minorEastAsia" w:cstheme="minorEastAsia"/>
          <w:snapToGrid w:val="0"/>
          <w:color w:val="000000" w:themeColor="text1"/>
          <w:kern w:val="28"/>
          <w:sz w:val="24"/>
          <w:highlight w:val="none"/>
          <w14:textFill>
            <w14:solidFill>
              <w14:schemeClr w14:val="tx1"/>
            </w14:solidFill>
          </w14:textFill>
        </w:rPr>
      </w:pPr>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本项目的特定资格要求：</w:t>
      </w: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56012"/>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hint="eastAsia" w:ascii="Wingdings" w:hAnsi="Wingdings" w:eastAsiaTheme="minorEastAsia" w:cstheme="minorEastAsia"/>
              <w:color w:val="000000" w:themeColor="text1"/>
              <w:kern w:val="0"/>
              <w:sz w:val="24"/>
              <w:szCs w:val="24"/>
              <w:highlight w:val="none"/>
              <w:lang w:val="en-US" w:eastAsia="zh-CN" w:bidi="ar-SA"/>
              <w14:textFill>
                <w14:solidFill>
                  <w14:schemeClr w14:val="tx1"/>
                </w14:solidFill>
              </w14:textFill>
            </w:rPr>
            <w:t>þ</w:t>
          </w:r>
        </w:sdtContent>
      </w:sdt>
      <w:r>
        <w:rPr>
          <w:rFonts w:hint="eastAsia" w:asciiTheme="minorEastAsia" w:hAnsiTheme="minorEastAsia" w:eastAsiaTheme="minorEastAsia" w:cstheme="minorEastAsia"/>
          <w:color w:val="000000" w:themeColor="text1"/>
          <w:sz w:val="24"/>
          <w:highlight w:val="none"/>
          <w14:textFill>
            <w14:solidFill>
              <w14:schemeClr w14:val="tx1"/>
            </w14:solidFill>
          </w14:textFill>
        </w:rPr>
        <w:t>无</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三、获取交易文件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bookmarkStart w:id="11" w:name="_Toc28359005"/>
      <w:bookmarkStart w:id="12" w:name="_Toc28359082"/>
      <w:bookmarkStart w:id="13" w:name="_Toc35393624"/>
      <w:bookmarkStart w:id="14" w:name="_Toc35393793"/>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时间：</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/至2025年 </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月 </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日，每天上午00:00至12:00，下午12:00至23:59（北京时间，线上获取法定节假日均可，线下获取文件法定节假日除外）</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地点（网址）：</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乐采云平台（https://www.lecaiyun.com/）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方式：</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供应商登录乐采云平台https://www.lecaiyun.com/在线申请获取采购文件（进入“项目采购”应用，在获取采购文件菜单中选择项目，申请获取采购文件）。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售价（元）：</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0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ab/>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四、提交响应文件</w:t>
      </w:r>
      <w:bookmarkEnd w:id="11"/>
      <w:bookmarkEnd w:id="12"/>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截止时间、开标时间和地点</w:t>
      </w:r>
      <w:bookmarkEnd w:id="13"/>
      <w:bookmarkEnd w:id="14"/>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提交响应文件截止时间：2025年 </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4</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月 </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9</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日</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9</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点</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3</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0分</w:t>
      </w:r>
      <w:r>
        <w:rPr>
          <w:rFonts w:hint="eastAsia" w:asciiTheme="minorEastAsia" w:hAnsiTheme="minorEastAsia" w:eastAsiaTheme="minorEastAsia" w:cstheme="minorEastAsia"/>
          <w:b/>
          <w:bCs w:val="0"/>
          <w:color w:val="000000" w:themeColor="text1"/>
          <w:sz w:val="24"/>
          <w:szCs w:val="28"/>
          <w:highlight w:val="none"/>
          <w14:textFill>
            <w14:solidFill>
              <w14:schemeClr w14:val="tx1"/>
            </w14:solidFill>
          </w14:textFill>
        </w:rPr>
        <w:t>00秒</w:t>
      </w:r>
      <w:r>
        <w:rPr>
          <w:rFonts w:hint="eastAsia" w:asciiTheme="minorEastAsia" w:hAnsiTheme="minorEastAsia" w:eastAsiaTheme="minorEastAsia" w:cstheme="minorEastAsia"/>
          <w:color w:val="000000" w:themeColor="text1"/>
          <w:sz w:val="24"/>
          <w:szCs w:val="28"/>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北京时间）</w:t>
      </w:r>
    </w:p>
    <w:p>
      <w:pPr>
        <w:spacing w:line="360" w:lineRule="auto"/>
        <w:ind w:firstLine="480" w:firstLineChars="200"/>
        <w:rPr>
          <w:rFonts w:asciiTheme="minorEastAsia" w:hAnsiTheme="minorEastAsia" w:eastAsiaTheme="minorEastAsia" w:cstheme="minorEastAsia"/>
          <w:color w:val="000000" w:themeColor="text1"/>
          <w:sz w:val="24"/>
          <w:szCs w:val="28"/>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开标时间：2025年 </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4</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月 </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9</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日</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9</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点</w:t>
      </w:r>
      <w:r>
        <w:rPr>
          <w:rFonts w:hint="eastAsia" w:asciiTheme="minorEastAsia" w:hAnsiTheme="minorEastAsia" w:eastAsiaTheme="minorEastAsia" w:cstheme="minorEastAsia"/>
          <w:b/>
          <w:color w:val="000000" w:themeColor="text1"/>
          <w:sz w:val="24"/>
          <w:highlight w:val="none"/>
          <w:lang w:val="en-US" w:eastAsia="zh-CN"/>
          <w14:textFill>
            <w14:solidFill>
              <w14:schemeClr w14:val="tx1"/>
            </w14:solidFill>
          </w14:textFill>
        </w:rPr>
        <w:t>3</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0分</w:t>
      </w:r>
      <w:r>
        <w:rPr>
          <w:rFonts w:hint="eastAsia" w:asciiTheme="minorEastAsia" w:hAnsiTheme="minorEastAsia" w:eastAsiaTheme="minorEastAsia" w:cstheme="minorEastAsia"/>
          <w:b/>
          <w:bCs/>
          <w:color w:val="000000" w:themeColor="text1"/>
          <w:sz w:val="24"/>
          <w:szCs w:val="28"/>
          <w:highlight w:val="none"/>
          <w14:textFill>
            <w14:solidFill>
              <w14:schemeClr w14:val="tx1"/>
            </w14:solidFill>
          </w14:textFill>
        </w:rPr>
        <w:t>00秒</w:t>
      </w:r>
      <w:r>
        <w:rPr>
          <w:rFonts w:hint="eastAsia" w:asciiTheme="minorEastAsia" w:hAnsiTheme="minorEastAsia" w:eastAsiaTheme="minorEastAsia" w:cstheme="minorEastAsia"/>
          <w:color w:val="000000" w:themeColor="text1"/>
          <w:sz w:val="24"/>
          <w:szCs w:val="28"/>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北京时间）</w:t>
      </w:r>
    </w:p>
    <w:p>
      <w:pPr>
        <w:spacing w:line="360" w:lineRule="auto"/>
        <w:ind w:firstLine="480" w:firstLineChars="200"/>
        <w:rPr>
          <w:rFonts w:asciiTheme="minorEastAsia" w:hAnsiTheme="minorEastAsia" w:eastAsiaTheme="minorEastAsia" w:cstheme="minorEastAsia"/>
          <w:color w:val="000000" w:themeColor="text1"/>
          <w:sz w:val="24"/>
          <w:szCs w:val="28"/>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开标地点：</w:t>
      </w:r>
      <w:r>
        <w:rPr>
          <w:rFonts w:hint="eastAsia" w:asciiTheme="minorEastAsia" w:hAnsiTheme="minorEastAsia" w:eastAsiaTheme="minorEastAsia" w:cstheme="minorEastAsia"/>
          <w:color w:val="000000" w:themeColor="text1"/>
          <w:sz w:val="24"/>
          <w:szCs w:val="28"/>
          <w:highlight w:val="none"/>
          <w14:textFill>
            <w14:solidFill>
              <w14:schemeClr w14:val="tx1"/>
            </w14:solidFill>
          </w14:textFill>
        </w:rPr>
        <w:t>乐采云平台。</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五、公告期限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自本公告发布之日起5个工作日。</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六、其他补充事宜</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其他事项：（1）电子招投标的说明: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乐采云电子交易客户端”----前往“浙江政府采购网-下载专区-电子交易客户端”进行下载并安装。3）交易文件的获取：使用账号登录或者使用CA登录乐采云平台；进入“项目采购”应用，在获取采购文件菜单中选择项目，获取交易文件。4）投标文件的制作：在“乐采云电子交易客户端”中完成“填写基本信息”、“导入投标文件”、“标书关联”、“标书检查”、“电子签章”、“生成电子标书”等操作。5）采购人、采购机构将依托乐采云平台完成本项目的电子交易活动，平台不接受未按上述方式获取交易文件的供应商进行投标活动。6）对未按上述方式获取交易文件的供应商对该文件提出的质疑，采购人或采购代理机构将不予处理。7）不提供交易文件纸质版。8）投标文件的传输递交：供应商在投标截止时间前将加密的投标文件上传至政府采购云平台，还可以在投标截止时间前直接提交。备份投标文件的制作、存储、密封详见交易文件第二部分。9）投标文件的解密：供应商按照平台提示和交易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10）具体操作指南：详见乐采云平台“服务中心-帮助文档-项目采购-操作流程-电子招投标-政府采购项目电子交易管理操作指南-供应商”。</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七、对本次采购提出询问、质疑、投诉，请按以下方式联系</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1.采购人信息</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名 称：杭州市萧山区所前镇人民政府</w:t>
      </w:r>
    </w:p>
    <w:p>
      <w:pPr>
        <w:spacing w:line="360" w:lineRule="auto"/>
        <w:ind w:firstLine="480"/>
        <w:rPr>
          <w:rFonts w:hint="eastAsia"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地址：杭州市萧山区所前镇</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传    真： /</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项目联系人（询问）：陈平</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项目联系方式（询问）：0571-82772556</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2.采购代理机构信息            </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名    称：华诚工程咨询集团有限公司</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地    址：杭州市萧山区杭州南站东广场1号楼902室</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传    真： /</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项目联系人（询问）： 武婷</w:t>
      </w:r>
    </w:p>
    <w:p>
      <w:pPr>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项目联系方式（询问）：18814892672</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若对项目采购电子交易系统操作有疑问，可登录萧采云（https://www.zcygov.cn/），点击右侧咨询小采，获取采小蜜智能服务管家帮助，或拨打萧采云服务热线400-881-7190获取热线服务帮助。</w:t>
      </w:r>
    </w:p>
    <w:p>
      <w:pPr>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CA问题联系电话（人工）：汇信CA 400-888-4636；天谷CA 400-087-8198。</w:t>
      </w:r>
    </w:p>
    <w:p>
      <w:pPr>
        <w:widowControl/>
        <w:adjustRightInd/>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p>
    <w:p>
      <w:pPr>
        <w:widowControl/>
        <w:adjustRightInd/>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p>
    <w:p>
      <w:pPr>
        <w:widowControl/>
        <w:adjustRightInd/>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br w:type="page"/>
      </w:r>
    </w:p>
    <w:p>
      <w:pPr>
        <w:adjustRightInd/>
        <w:spacing w:line="360" w:lineRule="auto"/>
        <w:jc w:val="center"/>
        <w:outlineLvl w:val="0"/>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第二部分</w:t>
      </w:r>
      <w:bookmarkEnd w:id="8"/>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 xml:space="preserve"> 供应商须知</w:t>
      </w:r>
      <w:bookmarkEnd w:id="9"/>
    </w:p>
    <w:p>
      <w:pPr>
        <w:adjustRightInd/>
        <w:spacing w:line="360" w:lineRule="auto"/>
        <w:jc w:val="center"/>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前附表</w:t>
      </w:r>
    </w:p>
    <w:tbl>
      <w:tblPr>
        <w:tblStyle w:val="62"/>
        <w:tblW w:w="9466" w:type="dxa"/>
        <w:tblInd w:w="-27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66"/>
        <w:gridCol w:w="1984"/>
        <w:gridCol w:w="6616"/>
      </w:tblGrid>
      <w:tr>
        <w:trPr>
          <w:trHeight w:val="712"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序号</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事项</w:t>
            </w:r>
          </w:p>
        </w:tc>
        <w:tc>
          <w:tcPr>
            <w:tcW w:w="661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本项目的特别规定</w:t>
            </w:r>
          </w:p>
        </w:tc>
      </w:tr>
      <w:tr>
        <w:trPr>
          <w:trHeight w:val="714"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项目属性</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服务类。</w:t>
            </w:r>
          </w:p>
        </w:tc>
      </w:tr>
      <w:tr>
        <w:trPr>
          <w:trHeight w:val="1174"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是否允许采购进口产品</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57460"/>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ym w:font="Wingdings" w:char="F0FE"/>
                </w:r>
              </w:sdtContent>
            </w:sd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本项目不允许采购进口产品。</w:t>
            </w:r>
          </w:p>
        </w:tc>
      </w:tr>
      <w:tr>
        <w:trPr>
          <w:trHeight w:val="1176"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分包</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63576"/>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ascii="Wingdings" w:hAnsi="Wingdings" w:eastAsiaTheme="minorEastAsia" w:cstheme="minorEastAsia"/>
                    <w:color w:val="000000" w:themeColor="text1"/>
                    <w:kern w:val="0"/>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B</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不同意分包。</w:t>
            </w:r>
          </w:p>
        </w:tc>
      </w:tr>
      <w:tr>
        <w:trPr>
          <w:trHeight w:val="1017"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开标前答疑会或现场考察</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69284"/>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ascii="Wingdings" w:hAnsi="Wingdings" w:eastAsiaTheme="minorEastAsia" w:cstheme="minorEastAsia"/>
                    <w:color w:val="000000" w:themeColor="text1"/>
                    <w:kern w:val="0"/>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A</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不组织。</w:t>
            </w:r>
          </w:p>
        </w:tc>
      </w:tr>
      <w:tr>
        <w:trPr>
          <w:trHeight w:val="1283"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样品提供</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59428"/>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ascii="Wingdings" w:hAnsi="Wingdings" w:eastAsiaTheme="minorEastAsia" w:cstheme="minorEastAsia"/>
                    <w:color w:val="000000" w:themeColor="text1"/>
                    <w:kern w:val="0"/>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A</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不要求提供。</w:t>
            </w:r>
          </w:p>
        </w:tc>
      </w:tr>
      <w:tr>
        <w:trPr>
          <w:trHeight w:val="896"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方案讲解演示</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jc w:val="left"/>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sdt>
              <w:sdt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id w:val="147474633"/>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dtEndPr>
              <w:sdtContent>
                <w:r>
                  <w:rPr>
                    <w:rFonts w:ascii="Wingdings" w:hAnsi="Wingdings" w:eastAsiaTheme="minorEastAsia" w:cstheme="minorEastAsia"/>
                    <w:color w:val="000000" w:themeColor="text1"/>
                    <w:kern w:val="0"/>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A</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不组织。</w:t>
            </w:r>
          </w:p>
        </w:tc>
      </w:tr>
      <w:tr>
        <w:trPr>
          <w:trHeight w:val="1040" w:hRule="atLeast"/>
          <w:tblHeader/>
        </w:trPr>
        <w:tc>
          <w:tcPr>
            <w:tcW w:w="86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7</w:t>
            </w:r>
          </w:p>
        </w:tc>
        <w:tc>
          <w:tcPr>
            <w:tcW w:w="198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投标人应当提供的资格、资信证明文件</w:t>
            </w:r>
          </w:p>
        </w:tc>
        <w:tc>
          <w:tcPr>
            <w:tcW w:w="6616" w:type="dxa"/>
            <w:tcBorders>
              <w:top w:val="single" w:color="000000" w:sz="8" w:space="0"/>
              <w:left w:val="single" w:color="000000" w:sz="2" w:space="0"/>
              <w:bottom w:val="single" w:color="000000" w:sz="8" w:space="0"/>
              <w:right w:val="single" w:color="000000" w:sz="8" w:space="0"/>
            </w:tcBorders>
            <w:vAlign w:val="center"/>
          </w:tcPr>
          <w:p>
            <w:pPr>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（1）资格证明文件：见交易文件第二部分11.1。</w:t>
            </w:r>
          </w:p>
          <w:p>
            <w:pPr>
              <w:spacing w:line="360" w:lineRule="auto"/>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投标人未提供有效的资格证明文件的，视为投标人不具备交易文件中规定的资格要求，投标无效。</w:t>
            </w:r>
          </w:p>
          <w:p>
            <w:pPr>
              <w:spacing w:line="360" w:lineRule="auto"/>
              <w:jc w:val="left"/>
              <w:rPr>
                <w:rFonts w:asciiTheme="minorEastAsia" w:hAnsiTheme="minorEastAsia" w:eastAsiaTheme="minorEastAsia" w:cstheme="minorEastAsia"/>
                <w:snapToGrid w:val="0"/>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（2）资信证明文件：根据交易文件第四部分评标标准提供。</w:t>
            </w:r>
          </w:p>
        </w:tc>
      </w:tr>
      <w:tr>
        <w:trPr>
          <w:trHeight w:val="6649" w:hRule="atLeast"/>
          <w:tblHeader/>
        </w:trPr>
        <w:tc>
          <w:tcPr>
            <w:tcW w:w="866" w:type="dxa"/>
            <w:tcBorders>
              <w:top w:val="single" w:color="auto" w:sz="4" w:space="0"/>
              <w:left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8</w:t>
            </w:r>
          </w:p>
        </w:tc>
        <w:tc>
          <w:tcPr>
            <w:tcW w:w="1984" w:type="dxa"/>
            <w:tcBorders>
              <w:top w:val="single" w:color="000000" w:sz="8" w:space="0"/>
              <w:left w:val="single" w:color="auto" w:sz="4" w:space="0"/>
              <w:right w:val="single" w:color="000000" w:sz="8" w:space="0"/>
            </w:tcBorders>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报价要求</w:t>
            </w:r>
          </w:p>
        </w:tc>
        <w:tc>
          <w:tcPr>
            <w:tcW w:w="661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Theme="minorEastAsia" w:hAnsiTheme="minorEastAsia" w:eastAsiaTheme="minorEastAsia" w:cstheme="minorEastAsia"/>
                <w:b/>
                <w:bCs/>
                <w:color w:val="000000" w:themeColor="text1"/>
                <w:kern w:val="0"/>
                <w:sz w:val="24"/>
                <w:highlight w:val="none"/>
                <w:lang w:val="zh-CN"/>
                <w14:textFill>
                  <w14:solidFill>
                    <w14:schemeClr w14:val="tx1"/>
                  </w14:solidFill>
                </w14:textFill>
              </w:rPr>
              <w:t>投标文件</w:t>
            </w: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投标文件中价格全部采用人民币报价。交易文件未列明，而投标人认为必需的费用也需列入报价。</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提醒：验收时检测费用由采购人承担，不包含在投标总价中。</w:t>
            </w:r>
          </w:p>
          <w:p>
            <w:pPr>
              <w:snapToGrid w:val="0"/>
              <w:spacing w:line="360" w:lineRule="auto"/>
              <w:jc w:val="left"/>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投标报价出现下列情形的，投标无效：</w:t>
            </w:r>
          </w:p>
          <w:p>
            <w:pPr>
              <w:snapToGrid w:val="0"/>
              <w:spacing w:line="360" w:lineRule="auto"/>
              <w:ind w:firstLine="240" w:firstLineChars="100"/>
              <w:jc w:val="left"/>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投标文件出现不是唯一的、有选择性投标报价的；</w:t>
            </w:r>
          </w:p>
          <w:p>
            <w:pPr>
              <w:snapToGrid w:val="0"/>
              <w:spacing w:line="360" w:lineRule="auto"/>
              <w:ind w:firstLine="240" w:firstLineChars="1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投标报价超过交易文件中规定的预算金额或者最高限价的;</w:t>
            </w:r>
          </w:p>
          <w:p>
            <w:pPr>
              <w:spacing w:line="360" w:lineRule="auto"/>
              <w:ind w:firstLine="240" w:firstLineChars="1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w:t>
            </w:r>
          </w:p>
          <w:p>
            <w:pPr>
              <w:spacing w:line="360" w:lineRule="auto"/>
              <w:ind w:firstLine="240" w:firstLineChars="1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投标人对根据修正原则修正后的报价不确认的</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w:t>
            </w:r>
          </w:p>
        </w:tc>
      </w:tr>
      <w:tr>
        <w:trPr>
          <w:trHeight w:val="1278" w:hRule="atLeast"/>
          <w:tblHeader/>
        </w:trPr>
        <w:tc>
          <w:tcPr>
            <w:tcW w:w="86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9</w:t>
            </w:r>
          </w:p>
        </w:tc>
        <w:tc>
          <w:tcPr>
            <w:tcW w:w="1984"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备份投标文件送达地点和签收人员</w:t>
            </w:r>
          </w:p>
        </w:tc>
        <w:tc>
          <w:tcPr>
            <w:tcW w:w="6616" w:type="dxa"/>
            <w:tcBorders>
              <w:top w:val="single" w:color="000000" w:sz="8" w:space="0"/>
              <w:left w:val="single" w:color="000000" w:sz="2" w:space="0"/>
              <w:bottom w:val="single" w:color="000000" w:sz="8" w:space="0"/>
              <w:right w:val="single" w:color="000000" w:sz="8" w:space="0"/>
            </w:tcBorders>
            <w:shd w:val="clear" w:color="auto" w:fill="auto"/>
            <w:vAlign w:val="center"/>
          </w:tcPr>
          <w:p>
            <w:pPr>
              <w:pStyle w:val="32"/>
              <w:spacing w:line="360" w:lineRule="auto"/>
              <w:rPr>
                <w:rFonts w:asciiTheme="minorEastAsia" w:hAnsiTheme="minorEastAsia" w:eastAsiaTheme="minorEastAsia" w:cstheme="minorEastAsia"/>
                <w:color w:val="000000" w:themeColor="text1"/>
                <w:kern w:val="28"/>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28"/>
                <w:sz w:val="24"/>
                <w:szCs w:val="24"/>
                <w:highlight w:val="none"/>
                <w14:textFill>
                  <w14:solidFill>
                    <w14:schemeClr w14:val="tx1"/>
                  </w14:solidFill>
                </w14:textFill>
              </w:rPr>
              <w:t>本项目备份文件是否收取：不收取</w:t>
            </w:r>
          </w:p>
        </w:tc>
      </w:tr>
      <w:tr>
        <w:trPr>
          <w:trHeight w:val="1200" w:hRule="atLeast"/>
          <w:tblHeader/>
        </w:trPr>
        <w:tc>
          <w:tcPr>
            <w:tcW w:w="86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w:t>
            </w:r>
          </w:p>
        </w:tc>
        <w:tc>
          <w:tcPr>
            <w:tcW w:w="1984"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代理服务费</w:t>
            </w:r>
          </w:p>
        </w:tc>
        <w:tc>
          <w:tcPr>
            <w:tcW w:w="6616" w:type="dxa"/>
            <w:tcBorders>
              <w:top w:val="single" w:color="000000" w:sz="8" w:space="0"/>
              <w:left w:val="single" w:color="000000" w:sz="2" w:space="0"/>
              <w:bottom w:val="single" w:color="000000" w:sz="8" w:space="0"/>
              <w:right w:val="single" w:color="000000" w:sz="8" w:space="0"/>
            </w:tcBorders>
            <w:shd w:val="clear" w:color="auto" w:fill="auto"/>
            <w:vAlign w:val="center"/>
          </w:tcPr>
          <w:p>
            <w:pPr>
              <w:pStyle w:val="32"/>
              <w:spacing w:line="360" w:lineRule="auto"/>
              <w:rPr>
                <w:rFonts w:asciiTheme="minorEastAsia" w:hAnsiTheme="minorEastAsia" w:eastAsiaTheme="minorEastAsia" w:cstheme="minorEastAsia"/>
                <w:color w:val="000000" w:themeColor="text1"/>
                <w:kern w:val="28"/>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28"/>
                <w:sz w:val="24"/>
                <w:szCs w:val="24"/>
                <w:highlight w:val="none"/>
                <w14:textFill>
                  <w14:solidFill>
                    <w14:schemeClr w14:val="tx1"/>
                  </w14:solidFill>
                </w14:textFill>
              </w:rPr>
              <w:t>本次代理服务费由</w:t>
            </w:r>
            <w:r>
              <w:rPr>
                <w:rFonts w:hint="eastAsia" w:asciiTheme="minorEastAsia" w:hAnsiTheme="minorEastAsia" w:eastAsiaTheme="minorEastAsia" w:cstheme="minorEastAsia"/>
                <w:b/>
                <w:bCs/>
                <w:color w:val="000000" w:themeColor="text1"/>
                <w:kern w:val="28"/>
                <w:sz w:val="24"/>
                <w:szCs w:val="24"/>
                <w:highlight w:val="none"/>
                <w:u w:val="single"/>
                <w14:textFill>
                  <w14:solidFill>
                    <w14:schemeClr w14:val="tx1"/>
                  </w14:solidFill>
                </w14:textFill>
              </w:rPr>
              <w:t>采购人</w:t>
            </w:r>
            <w:r>
              <w:rPr>
                <w:rFonts w:hint="eastAsia" w:asciiTheme="minorEastAsia" w:hAnsiTheme="minorEastAsia" w:eastAsiaTheme="minorEastAsia" w:cstheme="minorEastAsia"/>
                <w:color w:val="000000" w:themeColor="text1"/>
                <w:kern w:val="28"/>
                <w:sz w:val="24"/>
                <w:szCs w:val="24"/>
                <w:highlight w:val="none"/>
                <w14:textFill>
                  <w14:solidFill>
                    <w14:schemeClr w14:val="tx1"/>
                  </w14:solidFill>
                </w14:textFill>
              </w:rPr>
              <w:t>支付。</w:t>
            </w:r>
          </w:p>
        </w:tc>
      </w:tr>
      <w:tr>
        <w:trPr>
          <w:trHeight w:val="828" w:hRule="atLeast"/>
          <w:tblHeader/>
        </w:trPr>
        <w:tc>
          <w:tcPr>
            <w:tcW w:w="866" w:type="dxa"/>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1</w:t>
            </w:r>
          </w:p>
        </w:tc>
        <w:tc>
          <w:tcPr>
            <w:tcW w:w="1984" w:type="dxa"/>
            <w:tcBorders>
              <w:top w:val="single" w:color="000000" w:sz="8" w:space="0"/>
              <w:left w:val="single" w:color="000000" w:sz="2" w:space="0"/>
              <w:right w:val="single" w:color="000000" w:sz="8" w:space="0"/>
            </w:tcBorders>
            <w:shd w:val="clear" w:color="auto" w:fill="auto"/>
            <w:vAlign w:val="center"/>
          </w:tcPr>
          <w:p>
            <w:p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资格审查和信用信息审查</w:t>
            </w:r>
          </w:p>
        </w:tc>
        <w:tc>
          <w:tcPr>
            <w:tcW w:w="6616" w:type="dxa"/>
            <w:tcBorders>
              <w:top w:val="single" w:color="000000" w:sz="8" w:space="0"/>
              <w:left w:val="single" w:color="000000" w:sz="2" w:space="0"/>
              <w:right w:val="single" w:color="000000" w:sz="8" w:space="0"/>
            </w:tcBorders>
            <w:shd w:val="clear" w:color="auto" w:fill="auto"/>
            <w:vAlign w:val="center"/>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本项目由采购人进行资格文件及信用信息查询。</w:t>
            </w:r>
          </w:p>
        </w:tc>
      </w:tr>
      <w:tr>
        <w:trPr>
          <w:trHeight w:val="944" w:hRule="atLeast"/>
          <w:tblHeader/>
        </w:trPr>
        <w:tc>
          <w:tcPr>
            <w:tcW w:w="86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2</w:t>
            </w:r>
          </w:p>
        </w:tc>
        <w:tc>
          <w:tcPr>
            <w:tcW w:w="1984" w:type="dxa"/>
            <w:tcBorders>
              <w:top w:val="single" w:color="000000" w:sz="8" w:space="0"/>
              <w:left w:val="single" w:color="000000" w:sz="2" w:space="0"/>
              <w:bottom w:val="single" w:color="000000" w:sz="8" w:space="0"/>
              <w:right w:val="single" w:color="000000" w:sz="8" w:space="0"/>
            </w:tcBorders>
            <w:shd w:val="clear" w:color="auto" w:fill="auto"/>
            <w:vAlign w:val="center"/>
          </w:tcPr>
          <w:p>
            <w:pPr>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质疑接收人及答复</w:t>
            </w:r>
          </w:p>
        </w:tc>
        <w:tc>
          <w:tcPr>
            <w:tcW w:w="6616"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rPr>
                <w:rFonts w:asciiTheme="minorEastAsia" w:hAnsiTheme="minorEastAsia" w:eastAsiaTheme="minorEastAsia" w:cstheme="minorEastAsia"/>
                <w:color w:val="000000" w:themeColor="text1"/>
                <w:sz w:val="24"/>
                <w:highlight w:val="none"/>
                <w:u w:val="singl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采购人、采购机构质疑接收人、联系方式：详见公告</w:t>
            </w:r>
          </w:p>
          <w:p>
            <w:pPr>
              <w:snapToGrid w:val="0"/>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线上提交质疑方式：政采云线上质疑路径：项目采购-询问质疑投诉-质疑列表。请使用ca签章在每一页质疑文件中加盖电子公章，上传完整附件。</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本项目涉及资格条件、交易需求、评分办法及采购过程中有关现场考察或开标前答疑会等事项由采购人进行答复。</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涉及流程规范性、组织程序等相关事项，由采购机构进行答复。</w:t>
            </w:r>
          </w:p>
        </w:tc>
      </w:tr>
      <w:tr>
        <w:trPr>
          <w:trHeight w:val="1194" w:hRule="atLeast"/>
          <w:tblHeader/>
        </w:trPr>
        <w:tc>
          <w:tcPr>
            <w:tcW w:w="86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13</w:t>
            </w:r>
          </w:p>
        </w:tc>
        <w:tc>
          <w:tcPr>
            <w:tcW w:w="1984"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特别说明</w:t>
            </w:r>
          </w:p>
        </w:tc>
        <w:tc>
          <w:tcPr>
            <w:tcW w:w="6616" w:type="dxa"/>
            <w:tcBorders>
              <w:top w:val="single" w:color="000000" w:sz="8" w:space="0"/>
              <w:left w:val="single" w:color="000000" w:sz="2" w:space="0"/>
              <w:bottom w:val="single" w:color="000000" w:sz="8" w:space="0"/>
              <w:right w:val="single" w:color="000000" w:sz="8" w:space="0"/>
            </w:tcBorders>
            <w:shd w:val="clear" w:color="auto" w:fill="auto"/>
            <w:vAlign w:val="center"/>
          </w:tcPr>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本项目通用总则条款与前附表等专用特别规定有冲突之处，以专用条款（特别规定）为准</w:t>
            </w:r>
          </w:p>
        </w:tc>
      </w:tr>
      <w:tr>
        <w:trPr>
          <w:trHeight w:val="1194" w:hRule="atLeast"/>
          <w:tblHeader/>
        </w:trPr>
        <w:tc>
          <w:tcPr>
            <w:tcW w:w="866" w:type="dxa"/>
            <w:tcBorders>
              <w:top w:val="single" w:color="auto" w:sz="4" w:space="0"/>
              <w:left w:val="single" w:color="000000" w:sz="8" w:space="0"/>
              <w:bottom w:val="single" w:color="auto" w:sz="4" w:space="0"/>
              <w:right w:val="single" w:color="000000" w:sz="2" w:space="0"/>
            </w:tcBorders>
            <w:vAlign w:val="center"/>
          </w:tcPr>
          <w:p>
            <w:pPr>
              <w:jc w:val="center"/>
              <w:rPr>
                <w:rFonts w:hint="eastAsia" w:asciiTheme="minorEastAsia" w:hAnsiTheme="minorEastAsia" w:eastAsiaTheme="minorEastAsia" w:cstheme="minorEastAsia"/>
                <w:color w:val="000000" w:themeColor="text1"/>
                <w:sz w:val="22"/>
                <w:szCs w:val="22"/>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2"/>
                <w:szCs w:val="22"/>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2"/>
                <w:szCs w:val="22"/>
                <w:highlight w:val="none"/>
                <w:lang w:val="en-US" w:eastAsia="zh-CN"/>
                <w14:textFill>
                  <w14:solidFill>
                    <w14:schemeClr w14:val="tx1"/>
                  </w14:solidFill>
                </w14:textFill>
              </w:rPr>
              <w:t>4</w:t>
            </w:r>
          </w:p>
        </w:tc>
        <w:tc>
          <w:tcPr>
            <w:tcW w:w="1984" w:type="dxa"/>
            <w:tcBorders>
              <w:top w:val="single" w:color="000000" w:sz="8" w:space="0"/>
              <w:left w:val="single" w:color="000000" w:sz="2" w:space="0"/>
              <w:bottom w:val="single" w:color="000000" w:sz="8" w:space="0"/>
              <w:right w:val="single" w:color="000000" w:sz="8" w:space="0"/>
            </w:tcBorders>
            <w:shd w:val="clear" w:color="auto" w:fill="auto"/>
            <w:vAlign w:val="center"/>
          </w:tcPr>
          <w:p>
            <w:pPr>
              <w:jc w:val="center"/>
              <w:rPr>
                <w:rFonts w:asciiTheme="minorEastAsia" w:hAnsiTheme="minorEastAsia" w:eastAsiaTheme="minorEastAsia" w:cstheme="minorEastAsia"/>
                <w:b/>
                <w:color w:val="000000" w:themeColor="text1"/>
                <w:sz w:val="22"/>
                <w:szCs w:val="2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2"/>
                <w:szCs w:val="22"/>
                <w:highlight w:val="none"/>
                <w14:textFill>
                  <w14:solidFill>
                    <w14:schemeClr w14:val="tx1"/>
                  </w14:solidFill>
                </w14:textFill>
              </w:rPr>
              <w:t>其他</w:t>
            </w:r>
          </w:p>
        </w:tc>
        <w:tc>
          <w:tcPr>
            <w:tcW w:w="6616" w:type="dxa"/>
            <w:tcBorders>
              <w:top w:val="single" w:color="000000" w:sz="8" w:space="0"/>
              <w:left w:val="single" w:color="000000" w:sz="2" w:space="0"/>
              <w:bottom w:val="single" w:color="000000" w:sz="8" w:space="0"/>
              <w:right w:val="single" w:color="000000" w:sz="8" w:space="0"/>
            </w:tcBorders>
            <w:shd w:val="clear" w:color="auto" w:fill="auto"/>
            <w:vAlign w:val="center"/>
          </w:tcPr>
          <w:p>
            <w:pPr>
              <w:rPr>
                <w:rFonts w:asciiTheme="minorEastAsia" w:hAnsiTheme="minorEastAsia" w:eastAsiaTheme="minorEastAsia" w:cstheme="minorEastAsia"/>
                <w:b/>
                <w:color w:val="000000" w:themeColor="text1"/>
                <w:sz w:val="22"/>
                <w:szCs w:val="2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2"/>
                <w:szCs w:val="22"/>
                <w:highlight w:val="none"/>
                <w14:textFill>
                  <w14:solidFill>
                    <w14:schemeClr w14:val="tx1"/>
                  </w14:solidFill>
                </w14:textFill>
              </w:rPr>
              <w:t>成交人成交后需提供一正五副纸质版本响应文件，加盖公章及法人章（不包括电子章）。</w:t>
            </w:r>
          </w:p>
        </w:tc>
      </w:tr>
    </w:tbl>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p>
    <w:bookmarkEnd w:id="10"/>
    <w:p>
      <w:pPr>
        <w:rPr>
          <w:rFonts w:asciiTheme="minorEastAsia" w:hAnsiTheme="minorEastAsia" w:eastAsiaTheme="minorEastAsia" w:cstheme="minorEastAsia"/>
          <w:b/>
          <w:color w:val="000000" w:themeColor="text1"/>
          <w:sz w:val="32"/>
          <w:szCs w:val="20"/>
          <w:highlight w:val="none"/>
          <w14:textFill>
            <w14:solidFill>
              <w14:schemeClr w14:val="tx1"/>
            </w14:solidFill>
          </w14:textFill>
        </w:rPr>
      </w:pPr>
      <w:bookmarkStart w:id="15" w:name="_Toc91899903"/>
      <w:bookmarkStart w:id="16" w:name="_Toc164416483"/>
      <w:bookmarkStart w:id="17" w:name="第三部分"/>
      <w:r>
        <w:rPr>
          <w:rFonts w:hint="eastAsia" w:asciiTheme="minorEastAsia" w:hAnsiTheme="minorEastAsia" w:eastAsiaTheme="minorEastAsia" w:cstheme="minorEastAsia"/>
          <w:b/>
          <w:color w:val="000000" w:themeColor="text1"/>
          <w:sz w:val="32"/>
          <w:szCs w:val="20"/>
          <w:highlight w:val="none"/>
          <w14:textFill>
            <w14:solidFill>
              <w14:schemeClr w14:val="tx1"/>
            </w14:solidFill>
          </w14:textFill>
        </w:rPr>
        <w:br w:type="page"/>
      </w:r>
    </w:p>
    <w:p>
      <w:pPr>
        <w:adjustRightInd/>
        <w:spacing w:line="360" w:lineRule="auto"/>
        <w:ind w:firstLine="3834" w:firstLineChars="1197"/>
        <w:outlineLvl w:val="0"/>
        <w:rPr>
          <w:rFonts w:asciiTheme="minorEastAsia" w:hAnsiTheme="minorEastAsia" w:eastAsiaTheme="minorEastAsia" w:cstheme="minorEastAsia"/>
          <w:b/>
          <w:color w:val="000000" w:themeColor="text1"/>
          <w:sz w:val="32"/>
          <w:szCs w:val="20"/>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szCs w:val="20"/>
          <w:highlight w:val="none"/>
          <w14:textFill>
            <w14:solidFill>
              <w14:schemeClr w14:val="tx1"/>
            </w14:solidFill>
          </w14:textFill>
        </w:rPr>
        <w:t>一、总则</w:t>
      </w:r>
    </w:p>
    <w:p>
      <w:p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1. 适用范围</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本交易文件适用于该项目的交易、响应、开标、资格审查及信用信息查询、评审、定标、合同、验收等行为（法律、法规另有规定的，从其规定）。</w:t>
      </w:r>
    </w:p>
    <w:p>
      <w:pPr>
        <w:numPr>
          <w:ilvl w:val="0"/>
          <w:numId w:val="1"/>
        </w:num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定义</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2.1 “采购人”系指交易公告中载明的本项目的采购人。</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 “采购代理机构”系指交易公告中载明的本项目的采购代理机构。</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2.3 “供应商”系指是指响应交易、参加投标竞争的法人、其他组织或者自然人。</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2.6“▲” 系指实质性要求条款，“</w:t>
      </w:r>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147460685"/>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147451332"/>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147482429"/>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r>
                    <w:rPr>
                      <w:rFonts w:hint="eastAsia" w:asciiTheme="minorEastAsia" w:hAnsiTheme="minorEastAsia" w:eastAsiaTheme="minorEastAsia" w:cstheme="minorEastAsia"/>
                      <w:color w:val="000000" w:themeColor="text1"/>
                      <w:sz w:val="24"/>
                      <w:highlight w:val="none"/>
                      <w14:textFill>
                        <w14:solidFill>
                          <w14:schemeClr w14:val="tx1"/>
                        </w14:solidFill>
                      </w14:textFill>
                    </w:rPr>
                    <w:sym w:font="Wingdings 2" w:char="0052"/>
                  </w:r>
                </w:sdtContent>
              </w:sdt>
            </w:sdtContent>
          </w:sdt>
        </w:sdtContent>
      </w:sdt>
      <w:r>
        <w:rPr>
          <w:rFonts w:hint="eastAsia" w:asciiTheme="minorEastAsia" w:hAnsiTheme="minorEastAsia" w:eastAsiaTheme="minorEastAsia" w:cstheme="minorEastAsia"/>
          <w:color w:val="000000" w:themeColor="text1"/>
          <w:sz w:val="24"/>
          <w:highlight w:val="none"/>
          <w14:textFill>
            <w14:solidFill>
              <w14:schemeClr w14:val="tx1"/>
            </w14:solidFill>
          </w14:textFill>
        </w:rPr>
        <w:t>” 系指适用本项目的要求，“</w:t>
      </w:r>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147461241"/>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sz w:val="24"/>
          <w:highlight w:val="none"/>
          <w14:textFill>
            <w14:solidFill>
              <w14:schemeClr w14:val="tx1"/>
            </w14:solidFill>
          </w14:textFill>
        </w:rPr>
        <w:t>” 系指不适用本项目的要求。</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cr/>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3. 询问、质疑、投诉</w:t>
      </w:r>
    </w:p>
    <w:p>
      <w:pPr>
        <w:autoSpaceDE w:val="0"/>
        <w:autoSpaceDN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3.1</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供应商询问</w:t>
      </w:r>
    </w:p>
    <w:p>
      <w:pPr>
        <w:autoSpaceDE w:val="0"/>
        <w:autoSpaceDN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供应商质疑</w:t>
      </w:r>
    </w:p>
    <w:p>
      <w:pPr>
        <w:pStyle w:val="32"/>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.1提出质疑的供应商应当是参与所质疑项目采购活动的供应商。潜在供应商已依法获取其可质疑的交易文件的，可以对该文件提出质疑。</w:t>
      </w:r>
    </w:p>
    <w:p>
      <w:pPr>
        <w:pStyle w:val="32"/>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供应商认为交易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asciiTheme="minorEastAsia" w:hAnsiTheme="minorEastAsia" w:eastAsiaTheme="minorEastAsia" w:cstheme="minorEastAsia"/>
          <w:snapToGrid/>
          <w:color w:val="000000" w:themeColor="text1"/>
          <w:kern w:val="2"/>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snapToGrid/>
          <w:color w:val="000000" w:themeColor="text1"/>
          <w:kern w:val="2"/>
          <w:sz w:val="24"/>
          <w:highlight w:val="none"/>
          <w14:textFill>
            <w14:solidFill>
              <w14:schemeClr w14:val="tx1"/>
            </w14:solidFill>
          </w14:textFill>
        </w:rPr>
        <w:t>.2.1对交易文件提出质疑的，质疑期限为供应商获得交易文件之日或者交易文件公告期限届满之日起计算。</w:t>
      </w:r>
    </w:p>
    <w:p>
      <w:pPr>
        <w:pStyle w:val="32"/>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.2.2对采购过程提出质疑的，质疑期限为各采购程序环节结束之日起计算。</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.2.3对采购结果提出质疑的，质疑期限自采购结果公告期限届满之日起计算。</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供应商提出质疑应当提交质疑函和必要的证明材料。质疑函应当包括下列内容：</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.3.1供应商的姓名或者名称、地址、邮编、联系人及联系电话；</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.3.2质疑项目的名称、编号；</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.3.3具体、明确的质疑事项和与质疑事项相关的请求；</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.3.4事实依据；</w:t>
      </w:r>
    </w:p>
    <w:p>
      <w:pPr>
        <w:pStyle w:val="32"/>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.3.5必要的法律依据；</w:t>
      </w:r>
    </w:p>
    <w:p>
      <w:pPr>
        <w:pStyle w:val="32"/>
        <w:spacing w:line="360" w:lineRule="auto"/>
        <w:ind w:firstLine="960" w:firstLineChars="4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3.2</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.3.6提出质疑的日期。</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质疑函范本及制作说明详见附件2。</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3.2.4采购人或者采购代理机构应当在收到供应商的书面质疑后3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3.2.5询问或者质疑事项可能影响采购结果的，采购人应当暂停签订合同，已经签订合同的，应当中止履行合同。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asciiTheme="minorEastAsia" w:hAnsiTheme="minorEastAsia" w:eastAsiaTheme="minorEastAsia" w:cstheme="minorEastAsia"/>
          <w:color w:val="000000" w:themeColor="text1"/>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3.3</w:t>
      </w:r>
      <w:r>
        <w:rPr>
          <w:rFonts w:hint="eastAsia" w:asciiTheme="minorEastAsia" w:hAnsiTheme="minorEastAsia" w:eastAsiaTheme="minorEastAsia" w:cstheme="minorEastAsia"/>
          <w:color w:val="000000" w:themeColor="text1"/>
          <w:highlight w:val="none"/>
          <w:lang w:val="zh-CN"/>
          <w14:textFill>
            <w14:solidFill>
              <w14:schemeClr w14:val="tx1"/>
            </w14:solidFill>
          </w14:textFill>
        </w:rPr>
        <w:t>供应商投诉</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3.3.1质疑供应商对采购人、采购代理机构的答复不满意或者采购人、采购代理机构未在规定的时间内作出答复的，可以在答复期满后十五个工作日内向同级政府采购监督管理部门提出投诉。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3.3.</w:t>
      </w:r>
      <w:r>
        <w:rPr>
          <w:rFonts w:hint="eastAsia" w:asciiTheme="minorEastAsia" w:hAnsiTheme="minorEastAsia" w:eastAsiaTheme="minorEastAsia" w:cstheme="minorEastAsia"/>
          <w:color w:val="000000" w:themeColor="text1"/>
          <w:highlight w:val="none"/>
          <w:lang w:val="zh-CN"/>
          <w14:textFill>
            <w14:solidFill>
              <w14:schemeClr w14:val="tx1"/>
            </w14:solidFill>
          </w14:textFill>
        </w:rPr>
        <w:t>2</w:t>
      </w:r>
      <w:r>
        <w:rPr>
          <w:rFonts w:hint="eastAsia" w:asciiTheme="minorEastAsia" w:hAnsiTheme="minorEastAsia" w:eastAsiaTheme="minorEastAsia" w:cstheme="minorEastAsia"/>
          <w:color w:val="000000" w:themeColor="text1"/>
          <w:highlight w:val="none"/>
          <w14:textFill>
            <w14:solidFill>
              <w14:schemeClr w14:val="tx1"/>
            </w14:solidFill>
          </w14:textFill>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3.3.3供应商投诉应当有明确的请求和必要的证明材料。</w:t>
      </w:r>
    </w:p>
    <w:p>
      <w:pPr>
        <w:pStyle w:val="128"/>
        <w:snapToGrid w:val="0"/>
        <w:spacing w:before="0"/>
        <w:ind w:firstLine="0" w:firstLineChars="0"/>
        <w:rPr>
          <w:rFonts w:asciiTheme="minorEastAsia" w:hAnsiTheme="minorEastAsia" w:eastAsiaTheme="minorEastAsia" w:cstheme="minorEastAsia"/>
          <w:color w:val="000000" w:themeColor="text1"/>
          <w:sz w:val="18"/>
          <w:szCs w:val="18"/>
          <w:highlight w:val="none"/>
          <w14:textFill>
            <w14:solidFill>
              <w14:schemeClr w14:val="tx1"/>
            </w14:solidFill>
          </w14:textFill>
        </w:rPr>
      </w:pPr>
    </w:p>
    <w:p>
      <w:pPr>
        <w:adjustRightInd/>
        <w:spacing w:line="360" w:lineRule="auto"/>
        <w:jc w:val="center"/>
        <w:outlineLvl w:val="0"/>
        <w:rPr>
          <w:rFonts w:asciiTheme="minorEastAsia" w:hAnsiTheme="minorEastAsia" w:eastAsiaTheme="minorEastAsia" w:cstheme="minorEastAsia"/>
          <w:b/>
          <w:color w:val="000000" w:themeColor="text1"/>
          <w:sz w:val="32"/>
          <w:szCs w:val="20"/>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szCs w:val="20"/>
          <w:highlight w:val="none"/>
          <w14:textFill>
            <w14:solidFill>
              <w14:schemeClr w14:val="tx1"/>
            </w14:solidFill>
          </w14:textFill>
        </w:rPr>
        <w:t xml:space="preserve">      二、交易文件的构成、澄清、修改</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4．交易文件的构成</w:t>
      </w:r>
    </w:p>
    <w:p>
      <w:pPr>
        <w:pStyle w:val="32"/>
        <w:spacing w:line="360" w:lineRule="auto"/>
        <w:ind w:firstLine="480" w:firstLineChars="2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 交易文件包括下列文件及附件：</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4.1.1交易公告；</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4.1.2供应商须知；</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4.1.3交易需求；</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4.1.4评审办法；</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4.1.5拟签订的合同文本；</w:t>
      </w:r>
    </w:p>
    <w:p>
      <w:pPr>
        <w:pStyle w:val="32"/>
        <w:tabs>
          <w:tab w:val="left" w:pos="840"/>
        </w:tabs>
        <w:spacing w:line="360" w:lineRule="auto"/>
        <w:ind w:firstLine="960" w:firstLineChars="4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.6</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4.2与本项目有关的</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澄清或者修改的内容为交易文件的组成部分</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5. 交易文件的澄清、修改</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5.1已获取交易文件的潜在供应商，若有问题需要澄清，应于投标截止时间前，以书面形式向采购代理机构提出。</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5.2 采购代理机构对交易文件进行澄清或修改的，将同时通过电子交易平台通知已获取交易文件的潜在供应商。依法应当公告的，将按规定公告，同时视情况延长投标截止时间和开标时间。该澄清或者修改的内容为交易文件的组成部分。</w:t>
      </w:r>
    </w:p>
    <w:p>
      <w:pPr>
        <w:pStyle w:val="23"/>
        <w:rPr>
          <w:rFonts w:asciiTheme="minorEastAsia" w:hAnsiTheme="minorEastAsia" w:eastAsiaTheme="minorEastAsia" w:cstheme="minorEastAsia"/>
          <w:color w:val="000000" w:themeColor="text1"/>
          <w:sz w:val="18"/>
          <w:szCs w:val="18"/>
          <w:highlight w:val="none"/>
          <w:lang w:val="en-US"/>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14:textFill>
            <w14:solidFill>
              <w14:schemeClr w14:val="tx1"/>
            </w14:solidFill>
          </w14:textFill>
        </w:rPr>
        <w:t xml:space="preserve">    </w:t>
      </w:r>
    </w:p>
    <w:p>
      <w:pPr>
        <w:adjustRightInd/>
        <w:spacing w:line="360" w:lineRule="auto"/>
        <w:jc w:val="center"/>
        <w:outlineLvl w:val="0"/>
        <w:rPr>
          <w:rFonts w:asciiTheme="minorEastAsia" w:hAnsiTheme="minorEastAsia" w:eastAsiaTheme="minorEastAsia" w:cstheme="minorEastAsia"/>
          <w:b/>
          <w:color w:val="000000" w:themeColor="text1"/>
          <w:sz w:val="30"/>
          <w:szCs w:val="20"/>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0"/>
          <w:szCs w:val="20"/>
          <w:highlight w:val="none"/>
          <w14:textFill>
            <w14:solidFill>
              <w14:schemeClr w14:val="tx1"/>
            </w14:solidFill>
          </w14:textFill>
        </w:rPr>
        <w:t>三、投标</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6. 交易文件的获取</w:t>
      </w:r>
    </w:p>
    <w:p>
      <w:pPr>
        <w:spacing w:line="360" w:lineRule="auto"/>
        <w:ind w:firstLine="480" w:firstLineChars="200"/>
        <w:rPr>
          <w:rFonts w:asciiTheme="minorEastAsia" w:hAnsiTheme="minorEastAsia" w:eastAsiaTheme="minorEastAsia" w:cstheme="minorEastAsia"/>
          <w:snapToGrid w:val="0"/>
          <w:color w:val="000000" w:themeColor="text1"/>
          <w:kern w:val="28"/>
          <w:sz w:val="24"/>
          <w:highlight w:val="none"/>
          <w14:textFill>
            <w14:solidFill>
              <w14:schemeClr w14:val="tx1"/>
            </w14:solidFill>
          </w14:textFill>
        </w:rPr>
      </w:pPr>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详见交易公告中获取交易文件的时间期限、地点、方式及交易文件售价。</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7.开标前答疑会或现场考察</w:t>
      </w:r>
    </w:p>
    <w:p>
      <w:pPr>
        <w:pStyle w:val="32"/>
        <w:spacing w:line="360" w:lineRule="auto"/>
        <w:ind w:firstLine="480" w:firstLineChars="20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采购人组织潜在供应商现场考察或者召开开标前答疑会的，潜在供应商按第二部分供应商须知前附表的规定参加现场考察或者开标前答疑会。</w:t>
      </w:r>
    </w:p>
    <w:p>
      <w:pPr>
        <w:pStyle w:val="32"/>
        <w:spacing w:line="360" w:lineRule="auto"/>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28"/>
          <w:sz w:val="24"/>
          <w:szCs w:val="24"/>
          <w:highlight w:val="none"/>
          <w14:textFill>
            <w14:solidFill>
              <w14:schemeClr w14:val="tx1"/>
            </w14:solidFill>
          </w14:textFill>
        </w:rPr>
        <w:t>8.投标保证金</w:t>
      </w:r>
    </w:p>
    <w:p>
      <w:pPr>
        <w:pStyle w:val="5"/>
        <w:spacing w:line="360" w:lineRule="auto"/>
        <w:ind w:firstLine="470" w:firstLineChars="196"/>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本项目不需缴纳投标保证金。</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9. 响应文件的语言</w:t>
      </w:r>
    </w:p>
    <w:p>
      <w:pPr>
        <w:autoSpaceDE w:val="0"/>
        <w:autoSpaceDN w:val="0"/>
        <w:spacing w:line="360" w:lineRule="auto"/>
        <w:ind w:firstLine="480" w:firstLineChars="200"/>
        <w:rPr>
          <w:rFonts w:asciiTheme="minorEastAsia" w:hAnsiTheme="minorEastAsia" w:eastAsiaTheme="minorEastAsia" w:cs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响应文件及供应商与采购有关的来往通知、函件和文件均应使用中文。</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10. 响应文件的组成</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10.1</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资格文件</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10.1.1符合参加政府采购活动应当具备的一般条件的承诺函；</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10.1.2本项目的特定资格要求</w:t>
      </w:r>
      <w:r>
        <w:rPr>
          <w:rFonts w:hint="eastAsia" w:asciiTheme="minorEastAsia" w:hAnsiTheme="minorEastAsia" w:eastAsiaTheme="minorEastAsia" w:cstheme="minorEastAsia"/>
          <w:snapToGrid w:val="0"/>
          <w:color w:val="000000" w:themeColor="text1"/>
          <w:kern w:val="28"/>
          <w:sz w:val="24"/>
          <w:szCs w:val="20"/>
          <w:highlight w:val="none"/>
          <w14:textFill>
            <w14:solidFill>
              <w14:schemeClr w14:val="tx1"/>
            </w14:solidFill>
          </w14:textFill>
        </w:rPr>
        <w:t>（如果有)</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商务技术</w:t>
      </w:r>
      <w:r>
        <w:rPr>
          <w:rFonts w:hint="eastAsia" w:asciiTheme="minorEastAsia" w:hAnsiTheme="minorEastAsia" w:eastAsiaTheme="minorEastAsia" w:cstheme="minorEastAsia"/>
          <w:b/>
          <w:bCs/>
          <w:color w:val="000000" w:themeColor="text1"/>
          <w:sz w:val="24"/>
          <w:highlight w:val="none"/>
          <w:lang w:val="zh-CN"/>
          <w14:textFill>
            <w14:solidFill>
              <w14:schemeClr w14:val="tx1"/>
            </w14:solidFill>
          </w14:textFill>
        </w:rPr>
        <w:t>文件</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0.2.1响应函；</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0.2.2授权委托书或法定代表人（单位负责人、自然人本人）身份证明；</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0.2.3分包意向协议</w:t>
      </w:r>
      <w:r>
        <w:rPr>
          <w:rFonts w:hint="eastAsia" w:asciiTheme="minorEastAsia" w:hAnsiTheme="minorEastAsia" w:eastAsiaTheme="minorEastAsia" w:cstheme="minorEastAsia"/>
          <w:snapToGrid w:val="0"/>
          <w:color w:val="000000" w:themeColor="text1"/>
          <w:kern w:val="28"/>
          <w:sz w:val="24"/>
          <w:szCs w:val="20"/>
          <w:highlight w:val="none"/>
          <w14:textFill>
            <w14:solidFill>
              <w14:schemeClr w14:val="tx1"/>
            </w14:solidFill>
          </w14:textFill>
        </w:rPr>
        <w:t>（如果有)</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0.2.4符合性审查资料；</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0.2.5评审标准相应的商务技术资料；</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10.2.6投标标的清单；</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10.2.7商务技术偏离表；</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8</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政府采购供应商廉洁自律承诺书；</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u w:val="singl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10</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报价文件：</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10.3.1响应一览表（报价表）；</w:t>
      </w:r>
    </w:p>
    <w:p>
      <w:pPr>
        <w:snapToGrid w:val="0"/>
        <w:spacing w:line="360" w:lineRule="auto"/>
        <w:ind w:firstLine="960" w:firstLineChars="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10.3.2供应商针对报价需要说明的其他文件和资料（格式自拟）。</w:t>
      </w:r>
    </w:p>
    <w:p>
      <w:pPr>
        <w:spacing w:line="360" w:lineRule="auto"/>
        <w:ind w:firstLine="721" w:firstLineChars="3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响应文件含有采购人不能接受的附加条件的，投标无效；</w:t>
      </w:r>
    </w:p>
    <w:p>
      <w:pPr>
        <w:spacing w:line="360" w:lineRule="auto"/>
        <w:ind w:firstLine="721" w:firstLineChars="300"/>
        <w:rPr>
          <w:rFonts w:asciiTheme="minorEastAsia" w:hAnsiTheme="minorEastAsia" w:eastAsiaTheme="minorEastAsia" w:cstheme="minorEastAsia"/>
          <w:b/>
          <w:color w:val="000000" w:themeColor="text1"/>
          <w:sz w:val="24"/>
          <w:szCs w:val="21"/>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供应商提供虚假材料投标的，投标无效。</w:t>
      </w:r>
    </w:p>
    <w:p>
      <w:pPr>
        <w:pStyle w:val="128"/>
        <w:snapToGrid w:val="0"/>
        <w:spacing w:before="0"/>
        <w:ind w:firstLine="0" w:firstLineChars="0"/>
        <w:outlineLvl w:val="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11</w:t>
      </w:r>
      <w:r>
        <w:rPr>
          <w:rFonts w:hint="eastAsia" w:asciiTheme="minorEastAsia" w:hAnsiTheme="minorEastAsia" w:eastAsiaTheme="minorEastAsia" w:cstheme="minorEastAsia"/>
          <w:b/>
          <w:color w:val="000000" w:themeColor="text1"/>
          <w:kern w:val="0"/>
          <w:szCs w:val="24"/>
          <w:highlight w:val="none"/>
          <w:lang w:val="zh-CN"/>
          <w14:textFill>
            <w14:solidFill>
              <w14:schemeClr w14:val="tx1"/>
            </w14:solidFill>
          </w14:textFill>
        </w:rPr>
        <w:t xml:space="preserve">. </w:t>
      </w: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响应文件的编制</w:t>
      </w:r>
    </w:p>
    <w:p>
      <w:p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文件分为资格文件、商务技术文件、报价文件三部分。各供应商在编制</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文件时请按照</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交易</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文件第六部分规定的格式进行，混乱的编排导致</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文件被误读或评审委员会查找不到有效文件是供应商的风险。</w:t>
      </w:r>
    </w:p>
    <w:p>
      <w:pPr>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.2供应商进行电子投标应安装客户端软件—“政采云电子交易客户端”，并按照</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交易</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文件和电子交易平台的要求编制并加密</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文件。供应商未按规定加密的</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文件，电子交易平台将拒收并提示。</w:t>
      </w:r>
    </w:p>
    <w:p>
      <w:pPr>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pPr>
        <w:snapToGrid w:val="0"/>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12.响应文件的签署、盖章</w:t>
      </w:r>
    </w:p>
    <w:p>
      <w:pPr>
        <w:pStyle w:val="128"/>
        <w:snapToGrid w:val="0"/>
        <w:spacing w:before="0"/>
        <w:ind w:firstLine="480"/>
        <w:rPr>
          <w:rFonts w:asciiTheme="minorEastAsia" w:hAnsiTheme="minorEastAsia" w:eastAsiaTheme="minorEastAsia" w:cstheme="minorEastAsia"/>
          <w:b/>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12.1响应文件按照交易文件第六部分格式要</w:t>
      </w:r>
      <w:r>
        <w:rPr>
          <w:rFonts w:hint="eastAsia" w:asciiTheme="minorEastAsia" w:hAnsiTheme="minorEastAsia" w:eastAsiaTheme="minorEastAsia" w:cstheme="minorEastAsia"/>
          <w:color w:val="000000" w:themeColor="text1"/>
          <w:highlight w:val="none"/>
          <w14:textFill>
            <w14:solidFill>
              <w14:schemeClr w14:val="tx1"/>
            </w14:solidFill>
          </w14:textFill>
        </w:rPr>
        <w:t>求进行签署、盖章。</w:t>
      </w:r>
      <w:r>
        <w:rPr>
          <w:rFonts w:hint="eastAsia" w:asciiTheme="minorEastAsia" w:hAnsiTheme="minorEastAsia" w:eastAsiaTheme="minorEastAsia" w:cstheme="minorEastAsia"/>
          <w:b/>
          <w:color w:val="000000" w:themeColor="text1"/>
          <w:highlight w:val="none"/>
          <w14:textFill>
            <w14:solidFill>
              <w14:schemeClr w14:val="tx1"/>
            </w14:solidFill>
          </w14:textFill>
        </w:rPr>
        <w:t>▲供应商的响应文件未按照交易文件要求签署、盖章的，其投标无效</w:t>
      </w: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12.2为确保网上操作合法、有效和安全，供应商应当在投标截止时间前完成在“政府采购云平台”的身份认证，确保在电子投标过程中能够对相关数据电文进行加密和使用电子签名。</w:t>
      </w:r>
    </w:p>
    <w:p>
      <w:pPr>
        <w:pStyle w:val="128"/>
        <w:snapToGrid w:val="0"/>
        <w:spacing w:before="0"/>
        <w:ind w:firstLine="480"/>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12.3交易文件对响应文件签署、盖章的要求适用于电子签名。</w:t>
      </w:r>
    </w:p>
    <w:p>
      <w:pPr>
        <w:pStyle w:val="128"/>
        <w:spacing w:before="0"/>
        <w:ind w:firstLine="0" w:firstLineChars="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13. 响应文件的提交、补充、修改、撤回</w:t>
      </w:r>
    </w:p>
    <w:p>
      <w:pPr>
        <w:pStyle w:val="128"/>
        <w:ind w:firstLine="480"/>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13.1 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pPr>
        <w:pStyle w:val="128"/>
        <w:spacing w:before="0"/>
        <w:ind w:firstLine="480"/>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13.2电子交易平台收到响应文件，将妥善保存。在投标截止时间前，除供应商补充、修改或者撤回响应文件外，任何单位和个人不得解密或提取响应文件。</w:t>
      </w:r>
    </w:p>
    <w:p>
      <w:pPr>
        <w:pStyle w:val="128"/>
        <w:spacing w:before="0"/>
        <w:ind w:firstLine="480"/>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13.3采购人、采购代理机构可以视情况延长响应文件提交的截止时间。在上述情况下，采购代理机构与供应商以前在投标截止期方面的全部权利、责任和义务，将适用于延长至新的投标截止期。</w:t>
      </w:r>
    </w:p>
    <w:p>
      <w:pPr>
        <w:pStyle w:val="32"/>
        <w:spacing w:line="360" w:lineRule="auto"/>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14.备份响应文件</w:t>
      </w:r>
    </w:p>
    <w:p>
      <w:pPr>
        <w:pStyle w:val="32"/>
        <w:spacing w:line="360" w:lineRule="auto"/>
        <w:ind w:firstLine="360" w:firstLineChars="150"/>
        <w:rPr>
          <w:rFonts w:asciiTheme="minorEastAsia" w:hAnsiTheme="minorEastAsia" w:eastAsiaTheme="minorEastAsia" w:cs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不收取备份响应文件。</w:t>
      </w:r>
    </w:p>
    <w:p>
      <w:pPr>
        <w:pStyle w:val="128"/>
        <w:spacing w:before="0"/>
        <w:ind w:firstLine="0" w:firstLineChars="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15.响应文件的无效处理</w:t>
      </w:r>
    </w:p>
    <w:p>
      <w:pPr>
        <w:pStyle w:val="128"/>
        <w:spacing w:before="0"/>
        <w:ind w:firstLine="480"/>
        <w:rPr>
          <w:rFonts w:asciiTheme="minorEastAsia" w:hAnsiTheme="minorEastAsia" w:eastAsiaTheme="minorEastAsia" w:cstheme="minorEastAsia"/>
          <w:bCs/>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Cs w:val="24"/>
          <w:highlight w:val="none"/>
          <w14:textFill>
            <w14:solidFill>
              <w14:schemeClr w14:val="tx1"/>
            </w14:solidFill>
          </w14:textFill>
        </w:rPr>
        <w:t>有交易文件第四部分4.2规定的情形之一的，投标无效：</w:t>
      </w:r>
    </w:p>
    <w:p>
      <w:pPr>
        <w:pStyle w:val="128"/>
        <w:spacing w:before="0"/>
        <w:ind w:firstLine="0" w:firstLineChars="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16.投标有效期</w:t>
      </w:r>
    </w:p>
    <w:p>
      <w:pPr>
        <w:spacing w:line="360" w:lineRule="auto"/>
        <w:ind w:firstLine="480" w:firstLineChars="200"/>
        <w:rPr>
          <w:rFonts w:asciiTheme="minorEastAsia" w:hAnsiTheme="minorEastAsia" w:eastAsiaTheme="minorEastAsia" w:cstheme="minorEastAsia"/>
          <w:b/>
          <w:color w:val="000000" w:themeColor="text1"/>
          <w:sz w:val="24"/>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0"/>
          <w:highlight w:val="none"/>
          <w14:textFill>
            <w14:solidFill>
              <w14:schemeClr w14:val="tx1"/>
            </w14:solidFill>
          </w14:textFill>
        </w:rPr>
        <w:t>16.1投标有效期为从提交响应文件的截止之日起90天。▲</w:t>
      </w:r>
      <w:r>
        <w:rPr>
          <w:rFonts w:hint="eastAsia" w:asciiTheme="minorEastAsia" w:hAnsiTheme="minorEastAsia" w:eastAsiaTheme="minorEastAsia" w:cstheme="minorEastAsia"/>
          <w:b/>
          <w:color w:val="000000" w:themeColor="text1"/>
          <w:sz w:val="24"/>
          <w:szCs w:val="20"/>
          <w:highlight w:val="none"/>
          <w14:textFill>
            <w14:solidFill>
              <w14:schemeClr w14:val="tx1"/>
            </w14:solidFill>
          </w14:textFill>
        </w:rPr>
        <w:t>供应商的响应文件中承</w:t>
      </w:r>
      <w:r>
        <w:rPr>
          <w:rFonts w:hint="eastAsia" w:asciiTheme="minorEastAsia" w:hAnsiTheme="minorEastAsia" w:eastAsiaTheme="minorEastAsia" w:cstheme="minorEastAsia"/>
          <w:b/>
          <w:color w:val="000000" w:themeColor="text1"/>
          <w:sz w:val="24"/>
          <w:szCs w:val="21"/>
          <w:highlight w:val="none"/>
          <w14:textFill>
            <w14:solidFill>
              <w14:schemeClr w14:val="tx1"/>
            </w14:solidFill>
          </w14:textFill>
        </w:rPr>
        <w:t>诺的投标有效期少于交易文件中载明的投标有效期的，投标无效。</w:t>
      </w:r>
    </w:p>
    <w:p>
      <w:pPr>
        <w:pStyle w:val="128"/>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16.2响应文件合格投递后，自投标截止日期起，在投标有效期内有效。</w:t>
      </w:r>
    </w:p>
    <w:p>
      <w:pPr>
        <w:pStyle w:val="128"/>
        <w:spacing w:before="0"/>
        <w:ind w:firstLine="480"/>
        <w:jc w:val="left"/>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16.3在在原定投标有效期满之前，如果出现特殊情况，采购代理机构可以以书面形式通知供应商延长投标有效期。供应商同意延长的，不得要求或被允许修改其响应文件，供应商拒绝延长的，其投标无效。</w:t>
      </w:r>
    </w:p>
    <w:p>
      <w:pPr>
        <w:pStyle w:val="128"/>
        <w:spacing w:before="0"/>
        <w:ind w:firstLine="643"/>
        <w:rPr>
          <w:rFonts w:asciiTheme="minorEastAsia" w:hAnsiTheme="minorEastAsia" w:eastAsiaTheme="minorEastAsia" w:cstheme="minorEastAsia"/>
          <w:b/>
          <w:color w:val="000000" w:themeColor="text1"/>
          <w:sz w:val="32"/>
          <w:highlight w:val="none"/>
          <w14:textFill>
            <w14:solidFill>
              <w14:schemeClr w14:val="tx1"/>
            </w14:solidFill>
          </w14:textFill>
        </w:rPr>
      </w:pPr>
    </w:p>
    <w:p>
      <w:pPr>
        <w:pStyle w:val="128"/>
        <w:spacing w:before="0"/>
        <w:ind w:firstLine="1922" w:firstLineChars="600"/>
        <w:rPr>
          <w:rFonts w:asciiTheme="minorEastAsia" w:hAnsiTheme="minorEastAsia" w:eastAsiaTheme="minorEastAsia" w:cstheme="minorEastAsia"/>
          <w:b/>
          <w:color w:val="000000" w:themeColor="text1"/>
          <w:sz w:val="3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highlight w:val="none"/>
          <w14:textFill>
            <w14:solidFill>
              <w14:schemeClr w14:val="tx1"/>
            </w14:solidFill>
          </w14:textFill>
        </w:rPr>
        <w:t>四、开标、资格审查与信用信息查询</w:t>
      </w:r>
    </w:p>
    <w:p>
      <w:pPr>
        <w:pStyle w:val="554"/>
        <w:spacing w:before="0" w:line="360" w:lineRule="auto"/>
        <w:ind w:left="0" w:firstLine="240" w:firstLineChars="100"/>
        <w:contextualSpacing/>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17.开标</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p>
    <w:p>
      <w:pPr>
        <w:pStyle w:val="554"/>
        <w:spacing w:before="0" w:line="360" w:lineRule="auto"/>
        <w:ind w:left="0" w:firstLine="480" w:firstLineChars="200"/>
        <w:contextualSpacing/>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17.1采购代理机构按照交易文件规定的时间通过电子交易平台组织开标，所有供应商均应当准时在线参加。供应商不足3家的，不得开标。</w:t>
      </w:r>
    </w:p>
    <w:p>
      <w:pPr>
        <w:pStyle w:val="554"/>
        <w:spacing w:before="0" w:line="360" w:lineRule="auto"/>
        <w:ind w:left="0" w:firstLine="480" w:firstLineChars="200"/>
        <w:contextualSpacing/>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17.2开标时，电子交易平台按开标时间自动提取所有响应文件。采购代理机构依托电子交易平台发起开始解密指令，供应商按照平台提示和交易文件的规定在半小时内完成在线解密。</w:t>
      </w:r>
    </w:p>
    <w:p>
      <w:pPr>
        <w:pStyle w:val="554"/>
        <w:spacing w:before="0" w:line="360" w:lineRule="auto"/>
        <w:ind w:left="0" w:firstLine="480" w:firstLineChars="200"/>
        <w:contextualSpacing/>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17.3响应文件未按时解密，供应商提供了备份响应文件的，以备份响应文件作为依据，否则视为响应文件撤回。响应文件已按时解密的，备份响应文件自动失效。</w:t>
      </w:r>
    </w:p>
    <w:p>
      <w:pPr>
        <w:widowControl/>
        <w:spacing w:before="100" w:beforeAutospacing="1" w:after="240" w:line="360" w:lineRule="auto"/>
        <w:jc w:val="left"/>
        <w:rPr>
          <w:rFonts w:asciiTheme="minorEastAsia" w:hAnsiTheme="minorEastAsia" w:eastAsiaTheme="minorEastAsia" w:cstheme="minorEastAsia"/>
          <w:b/>
          <w:color w:val="000000" w:themeColor="text1"/>
          <w:sz w:val="24"/>
          <w:szCs w:val="20"/>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0"/>
          <w:highlight w:val="none"/>
          <w14:textFill>
            <w14:solidFill>
              <w14:schemeClr w14:val="tx1"/>
            </w14:solidFill>
          </w14:textFill>
        </w:rPr>
        <w:t>18、资格审查</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18.1开标后，采购人将依据法律法规和交易文件的规定，对供应商的资格进行审查。</w:t>
      </w:r>
    </w:p>
    <w:p>
      <w:pPr>
        <w:pStyle w:val="128"/>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18.2供应商未按照交易文件要求提供与</w:t>
      </w:r>
      <w:r>
        <w:rPr>
          <w:rFonts w:hint="eastAsia" w:asciiTheme="minorEastAsia" w:hAnsiTheme="minorEastAsia" w:eastAsiaTheme="minorEastAsia" w:cstheme="minorEastAsia"/>
          <w:color w:val="000000" w:themeColor="text1"/>
          <w:highlight w:val="none"/>
          <w14:textFill>
            <w14:solidFill>
              <w14:schemeClr w14:val="tx1"/>
            </w14:solidFill>
          </w14:textFill>
        </w:rPr>
        <w:t>资格条件相应的</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有效资格证明材料的，视为</w:t>
      </w:r>
      <w:r>
        <w:rPr>
          <w:rFonts w:hint="eastAsia" w:asciiTheme="minorEastAsia" w:hAnsiTheme="minorEastAsia" w:eastAsiaTheme="minorEastAsia" w:cstheme="minorEastAsia"/>
          <w:color w:val="000000" w:themeColor="text1"/>
          <w:highlight w:val="none"/>
          <w14:textFill>
            <w14:solidFill>
              <w14:schemeClr w14:val="tx1"/>
            </w14:solidFill>
          </w14:textFill>
        </w:rPr>
        <w:t>供应商不具备交易文件中规定的资格要求，其投标无效。</w:t>
      </w:r>
    </w:p>
    <w:p>
      <w:pPr>
        <w:pStyle w:val="128"/>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18.</w:t>
      </w:r>
      <w:r>
        <w:rPr>
          <w:rFonts w:hint="eastAsia" w:asciiTheme="minorEastAsia" w:hAnsiTheme="minorEastAsia" w:eastAsiaTheme="minorEastAsia" w:cstheme="minorEastAsia"/>
          <w:color w:val="000000" w:themeColor="text1"/>
          <w:highlight w:val="none"/>
          <w14:textFill>
            <w14:solidFill>
              <w14:schemeClr w14:val="tx1"/>
            </w14:solidFill>
          </w14:textFill>
        </w:rPr>
        <w:t>3对未通过资格审查的供应商，告知其未通过的原因。</w:t>
      </w:r>
    </w:p>
    <w:p>
      <w:pPr>
        <w:pStyle w:val="128"/>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18.</w:t>
      </w:r>
      <w:r>
        <w:rPr>
          <w:rFonts w:hint="eastAsia" w:asciiTheme="minorEastAsia" w:hAnsiTheme="minorEastAsia" w:eastAsiaTheme="minorEastAsia" w:cstheme="minorEastAsia"/>
          <w:color w:val="000000" w:themeColor="text1"/>
          <w:highlight w:val="none"/>
          <w14:textFill>
            <w14:solidFill>
              <w14:schemeClr w14:val="tx1"/>
            </w14:solidFill>
          </w14:textFill>
        </w:rPr>
        <w:t>4合格供应商不足3家的，不再评审。</w:t>
      </w:r>
    </w:p>
    <w:p>
      <w:pPr>
        <w:pStyle w:val="128"/>
        <w:spacing w:before="0"/>
        <w:ind w:firstLine="0" w:firstLineChars="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19、信用信息查询</w:t>
      </w:r>
    </w:p>
    <w:p>
      <w:pPr>
        <w:pStyle w:val="128"/>
        <w:spacing w:before="0"/>
        <w:ind w:firstLine="495"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19.1信用信息查询渠道及截止时间：采购人将在资格审查时通过“信用中国”网站(www.creditchina.gov.cn)、中国政府采购网(www.ccgp.gov.cn)渠道查询供应商接受资格时的信用记录。</w:t>
      </w:r>
    </w:p>
    <w:p>
      <w:pPr>
        <w:pStyle w:val="128"/>
        <w:spacing w:before="0"/>
        <w:ind w:firstLine="495"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19.2信用信息查询记录和证据留存的具体方式：现场查询的供应商的信用记录、查询结果经确认后将与采购文件一起存档。</w:t>
      </w:r>
    </w:p>
    <w:p>
      <w:pPr>
        <w:pStyle w:val="128"/>
        <w:spacing w:before="0"/>
        <w:ind w:firstLine="495"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19.3信用信息的使用规则：经查询列入失信被执行人名单、重大税收违法案件当事人名单、政府采购严重违法失信行为记录名单的供应商将被拒绝参与政府采购活动。</w:t>
      </w:r>
    </w:p>
    <w:p>
      <w:pPr>
        <w:pStyle w:val="128"/>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Theme="minorEastAsia" w:hAnsiTheme="minorEastAsia" w:eastAsiaTheme="minorEastAsia" w:cstheme="minorEastAsia"/>
          <w:color w:val="000000" w:themeColor="text1"/>
          <w:highlight w:val="none"/>
          <w14:textFill>
            <w14:solidFill>
              <w14:schemeClr w14:val="tx1"/>
            </w14:solidFill>
          </w14:textFill>
        </w:rPr>
        <w:t>。</w:t>
      </w:r>
    </w:p>
    <w:p>
      <w:pPr>
        <w:pStyle w:val="128"/>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p>
    <w:p>
      <w:pPr>
        <w:snapToGrid w:val="0"/>
        <w:spacing w:line="360" w:lineRule="auto"/>
        <w:jc w:val="center"/>
        <w:outlineLvl w:val="0"/>
        <w:rPr>
          <w:rFonts w:asciiTheme="minorEastAsia" w:hAnsiTheme="minorEastAsia" w:eastAsiaTheme="minorEastAsia" w:cs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6"/>
          <w:szCs w:val="36"/>
          <w:highlight w:val="none"/>
          <w14:textFill>
            <w14:solidFill>
              <w14:schemeClr w14:val="tx1"/>
            </w14:solidFill>
          </w14:textFill>
        </w:rPr>
        <w:t>五、评审</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20.</w:t>
      </w:r>
      <w:r>
        <w:rPr>
          <w:rFonts w:hint="eastAsia" w:asciiTheme="minorEastAsia" w:hAnsiTheme="minorEastAsia" w:eastAsiaTheme="minorEastAsia" w:cstheme="minorEastAsia"/>
          <w:color w:val="000000" w:themeColor="text1"/>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评审委员会将根据交易文件和有关规定，履行评审工作职责，并按照评审方法及评分标准，全面衡量各供应商对交易文件的响应情况。对实质上响应交易文件的供应商，按照评审因素的量化指标排出推荐中标的供应商的先后顺序，并按顺序提出授标建议。</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详见交易文件第四部分评审办法。</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napToGrid w:val="0"/>
        <w:spacing w:line="360" w:lineRule="auto"/>
        <w:jc w:val="center"/>
        <w:outlineLvl w:val="0"/>
        <w:rPr>
          <w:rFonts w:asciiTheme="minorEastAsia" w:hAnsiTheme="minorEastAsia" w:eastAsiaTheme="minorEastAsia" w:cs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6"/>
          <w:szCs w:val="36"/>
          <w:highlight w:val="none"/>
          <w14:textFill>
            <w14:solidFill>
              <w14:schemeClr w14:val="tx1"/>
            </w14:solidFill>
          </w14:textFill>
        </w:rPr>
        <w:t>六、定标</w:t>
      </w:r>
    </w:p>
    <w:p>
      <w:pPr>
        <w:pStyle w:val="24"/>
        <w:spacing w:line="360" w:lineRule="auto"/>
        <w:ind w:left="479" w:hanging="478" w:hangingChars="199"/>
        <w:rPr>
          <w:rFonts w:asciiTheme="minorEastAsia" w:hAnsiTheme="minorEastAsia" w:eastAsiaTheme="minorEastAsia" w:cstheme="minorEastAsia"/>
          <w:b/>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21. 确定中标供应商</w:t>
      </w:r>
    </w:p>
    <w:p>
      <w:pPr>
        <w:pStyle w:val="128"/>
        <w:snapToGrid w:val="0"/>
        <w:spacing w:before="0"/>
        <w:ind w:firstLine="48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成交）候选人撤销投标（响应）文件不能成为采购人不确认采购结果的正当理由。中标、成交通知书和中标、成交结果公告应当在规定时间内同时发出。</w:t>
      </w:r>
    </w:p>
    <w:p>
      <w:pPr>
        <w:pStyle w:val="128"/>
        <w:snapToGrid w:val="0"/>
        <w:spacing w:before="0"/>
        <w:ind w:firstLine="0" w:firstLineChars="0"/>
        <w:rPr>
          <w:rFonts w:asciiTheme="minorEastAsia" w:hAnsiTheme="minorEastAsia" w:eastAsiaTheme="minorEastAsia" w:cs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22. 中标通知与中标结果公告</w:t>
      </w:r>
    </w:p>
    <w:p>
      <w:pPr>
        <w:widowControl/>
        <w:shd w:val="clear" w:color="auto" w:fill="FFFFFF"/>
        <w:spacing w:line="360" w:lineRule="auto"/>
        <w:ind w:firstLine="48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22.2中标结果公告内容包括采购人及其委托的采购代理机构的名称、地址、联系方式，项目名称和项目编号，中标人名称、地址和中标金额，主要中标标的的名称、规格型号、数量、单价、服务要求，开标记录、</w:t>
      </w:r>
      <w:bookmarkStart w:id="18" w:name="_Hlk101184471"/>
      <w:r>
        <w:rPr>
          <w:rFonts w:hint="eastAsia" w:asciiTheme="minorEastAsia" w:hAnsiTheme="minorEastAsia" w:eastAsiaTheme="minorEastAsia" w:cstheme="minorEastAsia"/>
          <w:color w:val="000000" w:themeColor="text1"/>
          <w:sz w:val="24"/>
          <w:highlight w:val="none"/>
          <w14:textFill>
            <w14:solidFill>
              <w14:schemeClr w14:val="tx1"/>
            </w14:solidFill>
          </w14:textFill>
        </w:rPr>
        <w:t>资格审查情况、评审专家抽取规则、符合性审查情况、</w:t>
      </w:r>
      <w:bookmarkEnd w:id="18"/>
      <w:r>
        <w:rPr>
          <w:rFonts w:hint="eastAsia" w:asciiTheme="minorEastAsia" w:hAnsiTheme="minorEastAsia" w:eastAsiaTheme="minorEastAsia" w:cstheme="minorEastAsia"/>
          <w:color w:val="000000" w:themeColor="text1"/>
          <w:sz w:val="24"/>
          <w:highlight w:val="none"/>
          <w14:textFill>
            <w14:solidFill>
              <w14:schemeClr w14:val="tx1"/>
            </w14:solidFill>
          </w14:textFill>
        </w:rPr>
        <w:t>未中标情况说明、中标公告期限以及评审专家名单、评分汇总及明细。</w:t>
      </w:r>
    </w:p>
    <w:p>
      <w:pPr>
        <w:widowControl/>
        <w:shd w:val="clear" w:color="auto" w:fill="FFFFFF"/>
        <w:spacing w:line="360" w:lineRule="auto"/>
        <w:ind w:firstLine="48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22.3公告期限为1个工作日。</w:t>
      </w:r>
    </w:p>
    <w:p>
      <w:pPr>
        <w:pStyle w:val="24"/>
        <w:rPr>
          <w:rFonts w:asciiTheme="minorEastAsia" w:hAnsiTheme="minorEastAsia" w:eastAsiaTheme="minorEastAsia" w:cstheme="minorEastAsia"/>
          <w:color w:val="000000" w:themeColor="text1"/>
          <w:highlight w:val="none"/>
          <w14:textFill>
            <w14:solidFill>
              <w14:schemeClr w14:val="tx1"/>
            </w14:solidFill>
          </w14:textFill>
        </w:rPr>
      </w:pPr>
    </w:p>
    <w:p>
      <w:pPr>
        <w:snapToGrid w:val="0"/>
        <w:spacing w:line="360" w:lineRule="auto"/>
        <w:ind w:left="120" w:leftChars="57" w:firstLine="480" w:firstLineChars="150"/>
        <w:jc w:val="center"/>
        <w:rPr>
          <w:rFonts w:asciiTheme="minorEastAsia" w:hAnsiTheme="minorEastAsia" w:eastAsiaTheme="minorEastAsia" w:cstheme="minorEastAsia"/>
          <w:b/>
          <w:color w:val="000000" w:themeColor="text1"/>
          <w:sz w:val="3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highlight w:val="none"/>
          <w14:textFill>
            <w14:solidFill>
              <w14:schemeClr w14:val="tx1"/>
            </w14:solidFill>
          </w14:textFill>
        </w:rPr>
        <w:t>七、合同授予</w:t>
      </w:r>
    </w:p>
    <w:p>
      <w:pPr>
        <w:pStyle w:val="24"/>
        <w:spacing w:line="360" w:lineRule="auto"/>
        <w:ind w:left="479" w:hanging="478" w:hangingChars="199"/>
        <w:rPr>
          <w:rFonts w:asciiTheme="minorEastAsia" w:hAnsiTheme="minorEastAsia" w:eastAsiaTheme="minorEastAsia" w:cstheme="minorEastAsia"/>
          <w:b/>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23. 合同的签订</w:t>
      </w:r>
    </w:p>
    <w:p>
      <w:pPr>
        <w:widowControl/>
        <w:shd w:val="clear" w:color="auto" w:fill="FFFFFF"/>
        <w:spacing w:line="360" w:lineRule="auto"/>
        <w:ind w:firstLine="480"/>
        <w:jc w:val="left"/>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23.1</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采购人与中标人应当在中标通知书发出之日起30个工作日内，与中标供应商按照采购文件确定的事项签订采购合同。</w:t>
      </w:r>
    </w:p>
    <w:p>
      <w:pPr>
        <w:pStyle w:val="128"/>
        <w:snapToGrid w:val="0"/>
        <w:spacing w:before="0"/>
        <w:ind w:firstLine="480"/>
        <w:rPr>
          <w:rFonts w:asciiTheme="minorEastAsia" w:hAnsiTheme="minorEastAsia" w:eastAsiaTheme="minorEastAsia" w:cstheme="minorEastAsia"/>
          <w:color w:val="000000" w:themeColor="text1"/>
          <w:kern w:val="0"/>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highlight w:val="none"/>
          <w:lang w:val="zh-CN"/>
          <w14:textFill>
            <w14:solidFill>
              <w14:schemeClr w14:val="tx1"/>
            </w14:solidFill>
          </w14:textFill>
        </w:rPr>
        <w:t>2</w:t>
      </w:r>
      <w:r>
        <w:rPr>
          <w:rFonts w:hint="eastAsia" w:asciiTheme="minorEastAsia" w:hAnsiTheme="minorEastAsia" w:eastAsiaTheme="minorEastAsia" w:cstheme="minorEastAsia"/>
          <w:color w:val="000000" w:themeColor="text1"/>
          <w:kern w:val="0"/>
          <w:highlight w:val="none"/>
          <w14:textFill>
            <w14:solidFill>
              <w14:schemeClr w14:val="tx1"/>
            </w14:solidFill>
          </w14:textFill>
        </w:rPr>
        <w:t>3</w:t>
      </w:r>
      <w:r>
        <w:rPr>
          <w:rFonts w:hint="eastAsia" w:asciiTheme="minorEastAsia" w:hAnsiTheme="minorEastAsia" w:eastAsiaTheme="minorEastAsia" w:cstheme="minorEastAsia"/>
          <w:color w:val="000000" w:themeColor="text1"/>
          <w:kern w:val="0"/>
          <w:highlight w:val="none"/>
          <w:lang w:val="zh-CN"/>
          <w14:textFill>
            <w14:solidFill>
              <w14:schemeClr w14:val="tx1"/>
            </w14:solidFill>
          </w14:textFill>
        </w:rPr>
        <w:t>.2中标人按规定的日期、时间、地点，由法定代表人或其授权代表与采购人代表签订合同。如中标人为联合体的，由联合体成员各方法定代表人或其授权代表与采购人代表签订合同。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23.3如签订合同并生效后，供应商无故拒绝或延期，除按照合同条款处理外，列入不良行为记录一次，并给予通报。</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23.4中标供应商拒绝与采购人签订合同的，采购人可以按照评审报告推荐的中标或者成交候选人名单排序，确定下一候选人为中标供应商，也可以重新开展政府采购活动。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23.5采购合同由采购人与中标供应商根据交易文件、响应文件等内容线签订。</w:t>
      </w:r>
    </w:p>
    <w:p>
      <w:pPr>
        <w:pStyle w:val="128"/>
        <w:snapToGrid w:val="0"/>
        <w:spacing w:before="0" w:after="120"/>
        <w:ind w:firstLine="480"/>
        <w:rPr>
          <w:rFonts w:asciiTheme="minorEastAsia" w:hAnsiTheme="minorEastAsia" w:eastAsiaTheme="minorEastAsia" w:cstheme="minorEastAsia"/>
          <w:color w:val="000000" w:themeColor="text1"/>
          <w:highlight w:val="none"/>
          <w14:textFill>
            <w14:solidFill>
              <w14:schemeClr w14:val="tx1"/>
            </w14:solidFill>
          </w14:textFill>
        </w:rPr>
      </w:pPr>
    </w:p>
    <w:p>
      <w:pPr>
        <w:pStyle w:val="24"/>
        <w:spacing w:line="360" w:lineRule="auto"/>
        <w:ind w:left="479" w:hanging="478" w:hangingChars="199"/>
        <w:rPr>
          <w:rFonts w:asciiTheme="minorEastAsia" w:hAnsiTheme="minorEastAsia" w:eastAsiaTheme="minorEastAsia" w:cstheme="minorEastAsia"/>
          <w:b/>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24. 履约保证金</w:t>
      </w:r>
    </w:p>
    <w:p>
      <w:pPr>
        <w:tabs>
          <w:tab w:val="left" w:pos="0"/>
        </w:tabs>
        <w:spacing w:line="360" w:lineRule="auto"/>
        <w:ind w:firstLine="482"/>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本项目不收取履约保证金。</w:t>
      </w:r>
    </w:p>
    <w:p>
      <w:pPr>
        <w:snapToGrid w:val="0"/>
        <w:spacing w:line="360" w:lineRule="auto"/>
        <w:ind w:firstLine="3347" w:firstLineChars="1045"/>
        <w:rPr>
          <w:rFonts w:asciiTheme="minorEastAsia" w:hAnsiTheme="minorEastAsia" w:eastAsiaTheme="minorEastAsia" w:cstheme="minorEastAsia"/>
          <w:b/>
          <w:color w:val="000000" w:themeColor="text1"/>
          <w:sz w:val="32"/>
          <w:highlight w:val="none"/>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highlight w:val="none"/>
          <w14:textFill>
            <w14:solidFill>
              <w14:schemeClr w14:val="tx1"/>
            </w14:solidFill>
          </w14:textFill>
        </w:rPr>
        <w:t>八、电子交易活动的中止</w:t>
      </w:r>
    </w:p>
    <w:p>
      <w:pPr>
        <w:pStyle w:val="128"/>
        <w:snapToGrid w:val="0"/>
        <w:spacing w:before="0"/>
        <w:ind w:firstLine="0" w:firstLineChars="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
          <w:bCs/>
          <w:color w:val="000000" w:themeColor="text1"/>
          <w:highlight w:val="none"/>
          <w14:textFill>
            <w14:solidFill>
              <w14:schemeClr w14:val="tx1"/>
            </w14:solidFill>
          </w14:textFill>
        </w:rPr>
        <w:t>2</w:t>
      </w:r>
      <w:r>
        <w:rPr>
          <w:rFonts w:hint="eastAsia" w:asciiTheme="minorEastAsia" w:hAnsiTheme="minorEastAsia" w:eastAsiaTheme="minorEastAsia" w:cstheme="minorEastAsia"/>
          <w:b/>
          <w:bCs/>
          <w:color w:val="000000" w:themeColor="text1"/>
          <w:szCs w:val="24"/>
          <w:highlight w:val="none"/>
          <w14:textFill>
            <w14:solidFill>
              <w14:schemeClr w14:val="tx1"/>
            </w14:solidFill>
          </w14:textFill>
        </w:rPr>
        <w:t>5</w:t>
      </w:r>
      <w:r>
        <w:rPr>
          <w:rFonts w:hint="eastAsia" w:asciiTheme="minorEastAsia" w:hAnsiTheme="minorEastAsia" w:eastAsiaTheme="minorEastAsia" w:cstheme="minorEastAsia"/>
          <w:b/>
          <w:color w:val="000000" w:themeColor="text1"/>
          <w:szCs w:val="24"/>
          <w:highlight w:val="none"/>
          <w14:textFill>
            <w14:solidFill>
              <w14:schemeClr w14:val="tx1"/>
            </w14:solidFill>
          </w14:textFill>
        </w:rPr>
        <w:t>. 电子交易活动的中止。</w:t>
      </w:r>
      <w:r>
        <w:rPr>
          <w:rFonts w:hint="eastAsia" w:asciiTheme="minorEastAsia" w:hAnsiTheme="minorEastAsia" w:eastAsiaTheme="minorEastAsia" w:cstheme="minorEastAsia"/>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 xml:space="preserve">25.1电子交易平台发生故障而无法登录访问的； </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25.2电子交易平台应用或数据库出现错误，不能进行正常操作的；</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25.3电子交易平台发现严重安全漏洞，有潜在泄密危险的；</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 xml:space="preserve">25.4病毒发作导致不能进行正常操作的； </w:t>
      </w:r>
    </w:p>
    <w:p>
      <w:pPr>
        <w:pStyle w:val="128"/>
        <w:snapToGrid w:val="0"/>
        <w:spacing w:before="0"/>
        <w:ind w:firstLine="48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25.5其他无法保证电子交易的公平、公正和安全的情况。</w:t>
      </w:r>
    </w:p>
    <w:p>
      <w:pPr>
        <w:pStyle w:val="128"/>
        <w:snapToGrid w:val="0"/>
        <w:spacing w:before="0"/>
        <w:ind w:firstLine="0" w:firstLineChars="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 xml:space="preserve"> 26.出现以上情形，不影响采购公平、公正性的，采购组织机构可以待上述情形消除后继续组织电子交易活动，也可以决定某些环节以纸质形式进行；影响或可能影响采购公平、公正性的，应当重新采购。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ind w:left="120" w:leftChars="57" w:firstLine="480" w:firstLineChars="150"/>
        <w:jc w:val="center"/>
        <w:rPr>
          <w:rFonts w:asciiTheme="minorEastAsia" w:hAnsiTheme="minorEastAsia" w:eastAsiaTheme="minorEastAsia" w:cstheme="minorEastAsia"/>
          <w:b/>
          <w:color w:val="000000" w:themeColor="text1"/>
          <w:sz w:val="3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highlight w:val="none"/>
          <w14:textFill>
            <w14:solidFill>
              <w14:schemeClr w14:val="tx1"/>
            </w14:solidFill>
          </w14:textFill>
        </w:rPr>
        <w:t>九、验收</w:t>
      </w:r>
    </w:p>
    <w:p>
      <w:pPr>
        <w:pStyle w:val="24"/>
        <w:spacing w:line="360" w:lineRule="auto"/>
        <w:ind w:firstLine="0" w:firstLineChars="0"/>
        <w:rPr>
          <w:rFonts w:asciiTheme="minorEastAsia" w:hAnsiTheme="minorEastAsia" w:eastAsiaTheme="minorEastAsia" w:cstheme="minorEastAsia"/>
          <w:b/>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27.验收</w:t>
      </w:r>
    </w:p>
    <w:p>
      <w:pPr>
        <w:tabs>
          <w:tab w:val="left" w:pos="0"/>
        </w:tabs>
        <w:spacing w:line="360" w:lineRule="auto"/>
        <w:ind w:firstLine="48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27.1采购人组织对供应商履约的验收。</w:t>
      </w:r>
    </w:p>
    <w:bookmarkEnd w:id="15"/>
    <w:p>
      <w:pPr>
        <w:tabs>
          <w:tab w:val="left" w:pos="0"/>
        </w:tabs>
        <w:spacing w:line="360" w:lineRule="auto"/>
        <w:ind w:firstLine="480"/>
        <w:rPr>
          <w:rFonts w:asciiTheme="minorEastAsia" w:hAnsiTheme="minorEastAsia" w:eastAsiaTheme="minorEastAsia" w:cstheme="minorEastAsia"/>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68072998"/>
      <w:bookmarkEnd w:id="19"/>
      <w:bookmarkStart w:id="20" w:name="_Hlt74707468"/>
      <w:bookmarkEnd w:id="20"/>
      <w:bookmarkStart w:id="21" w:name="_Hlt74730295"/>
      <w:bookmarkEnd w:id="21"/>
      <w:bookmarkStart w:id="22" w:name="_Hlt74729768"/>
      <w:bookmarkEnd w:id="22"/>
      <w:bookmarkStart w:id="23" w:name="_Hlt75236101"/>
      <w:bookmarkEnd w:id="23"/>
      <w:bookmarkStart w:id="24" w:name="_Hlt68057669"/>
      <w:bookmarkEnd w:id="24"/>
      <w:bookmarkStart w:id="25" w:name="_Hlt75236290"/>
      <w:bookmarkEnd w:id="25"/>
      <w:bookmarkStart w:id="26" w:name="_Hlt68072990"/>
      <w:bookmarkEnd w:id="26"/>
      <w:bookmarkStart w:id="27" w:name="_Hlt74714665"/>
      <w:bookmarkEnd w:id="27"/>
      <w:bookmarkStart w:id="28" w:name="_Hlt68073093"/>
      <w:bookmarkEnd w:id="28"/>
      <w:bookmarkStart w:id="29" w:name="_Hlt68403820"/>
      <w:bookmarkEnd w:id="29"/>
      <w:bookmarkStart w:id="30" w:name="_Hlt75236011"/>
      <w:bookmarkEnd w:id="30"/>
    </w:p>
    <w:bookmarkEnd w:id="16"/>
    <w:bookmarkEnd w:id="17"/>
    <w:p>
      <w:pPr>
        <w:spacing w:line="360" w:lineRule="auto"/>
        <w:jc w:val="center"/>
        <w:outlineLvl w:val="0"/>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bookmarkStart w:id="31" w:name="第四部分"/>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第三部分   交易需求</w:t>
      </w:r>
    </w:p>
    <w:p>
      <w:pPr>
        <w:snapToGrid w:val="0"/>
        <w:rPr>
          <w:rStyle w:val="962"/>
          <w:rFonts w:asciiTheme="minorEastAsia" w:hAnsiTheme="minorEastAsia" w:eastAsiaTheme="minorEastAsia" w:cstheme="minorEastAsia"/>
          <w:color w:val="000000" w:themeColor="text1"/>
          <w:sz w:val="24"/>
          <w:highlight w:val="none"/>
          <w14:textFill>
            <w14:solidFill>
              <w14:schemeClr w14:val="tx1"/>
            </w14:solidFill>
          </w14:textFill>
        </w:rPr>
      </w:pPr>
      <w:r>
        <w:rPr>
          <w:rStyle w:val="962"/>
          <w:rFonts w:hint="eastAsia" w:asciiTheme="minorEastAsia" w:hAnsiTheme="minorEastAsia" w:eastAsiaTheme="minorEastAsia" w:cstheme="minorEastAsia"/>
          <w:color w:val="000000" w:themeColor="text1"/>
          <w:sz w:val="24"/>
          <w:highlight w:val="none"/>
          <w14:textFill>
            <w14:solidFill>
              <w14:schemeClr w14:val="tx1"/>
            </w14:solidFill>
          </w14:textFill>
        </w:rPr>
        <w:t>属于实质性要求条款的，请用符号“▲”标明，否则属于非实质性要求。</w:t>
      </w:r>
    </w:p>
    <w:p>
      <w:pPr>
        <w:pStyle w:val="3"/>
        <w:ind w:left="0" w:firstLine="0"/>
        <w:rPr>
          <w:rFonts w:asciiTheme="minorEastAsia" w:hAnsiTheme="minorEastAsia" w:eastAsiaTheme="minorEastAsia" w:cstheme="minorEastAsia"/>
          <w:color w:val="000000" w:themeColor="text1"/>
          <w:sz w:val="24"/>
          <w:szCs w:val="24"/>
          <w:highlight w:val="none"/>
          <w14:textFill>
            <w14:solidFill>
              <w14:schemeClr w14:val="tx1"/>
            </w14:solidFill>
          </w14:textFill>
        </w:rPr>
      </w:pPr>
    </w:p>
    <w:p>
      <w:pPr>
        <w:pStyle w:val="3"/>
        <w:numPr>
          <w:ilvl w:val="0"/>
          <w:numId w:val="2"/>
        </w:numPr>
        <w:jc w:val="center"/>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14:textFill>
            <w14:solidFill>
              <w14:schemeClr w14:val="tx1"/>
            </w14:solidFill>
          </w14:textFill>
        </w:rPr>
        <w:t>交易</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一览表</w:t>
      </w:r>
    </w:p>
    <w:p>
      <w:pPr>
        <w:pStyle w:val="6"/>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标项一：</w:t>
      </w:r>
    </w:p>
    <w:tbl>
      <w:tblPr>
        <w:tblStyle w:val="62"/>
        <w:tblpPr w:leftFromText="180" w:rightFromText="180" w:vertAnchor="text" w:horzAnchor="margin" w:tblpX="-784" w:tblpY="63"/>
        <w:tblOverlap w:val="never"/>
        <w:tblW w:w="10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80"/>
        <w:gridCol w:w="3020"/>
        <w:gridCol w:w="960"/>
        <w:gridCol w:w="1140"/>
        <w:gridCol w:w="1317"/>
        <w:gridCol w:w="1667"/>
        <w:gridCol w:w="1296"/>
      </w:tblGrid>
      <w:tr>
        <w:trPr>
          <w:cantSplit/>
          <w:trHeight w:val="793" w:hRule="atLeast"/>
        </w:trPr>
        <w:tc>
          <w:tcPr>
            <w:tcW w:w="780" w:type="dxa"/>
            <w:tcMar>
              <w:top w:w="15" w:type="dxa"/>
              <w:left w:w="15" w:type="dxa"/>
              <w:bottom w:w="0" w:type="dxa"/>
              <w:right w:w="15" w:type="dxa"/>
            </w:tcMar>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序号</w:t>
            </w:r>
          </w:p>
        </w:tc>
        <w:tc>
          <w:tcPr>
            <w:tcW w:w="3020" w:type="dxa"/>
            <w:tcMar>
              <w:top w:w="15" w:type="dxa"/>
              <w:left w:w="15" w:type="dxa"/>
              <w:bottom w:w="0" w:type="dxa"/>
              <w:right w:w="15" w:type="dxa"/>
            </w:tcMar>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名称</w:t>
            </w:r>
          </w:p>
        </w:tc>
        <w:tc>
          <w:tcPr>
            <w:tcW w:w="960" w:type="dxa"/>
            <w:tcMar>
              <w:top w:w="15" w:type="dxa"/>
              <w:left w:w="15" w:type="dxa"/>
              <w:bottom w:w="0" w:type="dxa"/>
              <w:right w:w="15" w:type="dxa"/>
            </w:tcMar>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数量</w:t>
            </w:r>
          </w:p>
        </w:tc>
        <w:tc>
          <w:tcPr>
            <w:tcW w:w="1140" w:type="dxa"/>
            <w:tcMar>
              <w:top w:w="15" w:type="dxa"/>
              <w:left w:w="15" w:type="dxa"/>
              <w:bottom w:w="0" w:type="dxa"/>
              <w:right w:w="15" w:type="dxa"/>
            </w:tcMar>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单位</w:t>
            </w:r>
          </w:p>
        </w:tc>
        <w:tc>
          <w:tcPr>
            <w:tcW w:w="1317" w:type="dxa"/>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服务要求</w:t>
            </w:r>
          </w:p>
        </w:tc>
        <w:tc>
          <w:tcPr>
            <w:tcW w:w="1667" w:type="dxa"/>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限价（元）</w:t>
            </w:r>
          </w:p>
        </w:tc>
        <w:tc>
          <w:tcPr>
            <w:tcW w:w="1296" w:type="dxa"/>
            <w:vAlign w:val="center"/>
          </w:tcPr>
          <w:p>
            <w:pPr>
              <w:tabs>
                <w:tab w:val="left" w:pos="0"/>
              </w:tabs>
              <w:snapToGrid w:val="0"/>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备注</w:t>
            </w:r>
          </w:p>
        </w:tc>
      </w:tr>
      <w:tr>
        <w:trPr>
          <w:cantSplit/>
          <w:trHeight w:val="2061" w:hRule="atLeast"/>
        </w:trPr>
        <w:tc>
          <w:tcPr>
            <w:tcW w:w="780" w:type="dxa"/>
            <w:tcMar>
              <w:top w:w="15" w:type="dxa"/>
              <w:left w:w="15" w:type="dxa"/>
              <w:bottom w:w="0" w:type="dxa"/>
              <w:right w:w="15" w:type="dxa"/>
            </w:tcMar>
            <w:vAlign w:val="center"/>
          </w:tcPr>
          <w:p>
            <w:pPr>
              <w:tabs>
                <w:tab w:val="left" w:pos="0"/>
              </w:tabs>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3020" w:type="dxa"/>
            <w:tcMar>
              <w:top w:w="15" w:type="dxa"/>
              <w:left w:w="15" w:type="dxa"/>
              <w:bottom w:w="0" w:type="dxa"/>
              <w:right w:w="15" w:type="dxa"/>
            </w:tcMar>
            <w:vAlign w:val="center"/>
          </w:tcPr>
          <w:p>
            <w:pPr>
              <w:jc w:val="center"/>
              <w:textAlignment w:val="center"/>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所前镇樟宜翠湾社会组织综合服务中心运营服务项目</w:t>
            </w:r>
          </w:p>
        </w:tc>
        <w:tc>
          <w:tcPr>
            <w:tcW w:w="960" w:type="dxa"/>
            <w:tcMar>
              <w:top w:w="15" w:type="dxa"/>
              <w:left w:w="15" w:type="dxa"/>
              <w:bottom w:w="0" w:type="dxa"/>
              <w:right w:w="15" w:type="dxa"/>
            </w:tcMar>
            <w:vAlign w:val="center"/>
          </w:tcPr>
          <w:p>
            <w:pPr>
              <w:jc w:val="center"/>
              <w:textAlignment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1140" w:type="dxa"/>
            <w:tcMar>
              <w:top w:w="15" w:type="dxa"/>
              <w:left w:w="15" w:type="dxa"/>
              <w:bottom w:w="0" w:type="dxa"/>
              <w:right w:w="15" w:type="dxa"/>
            </w:tcMar>
            <w:vAlign w:val="center"/>
          </w:tcPr>
          <w:p>
            <w:pPr>
              <w:jc w:val="center"/>
              <w:textAlignment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w:t>
            </w:r>
          </w:p>
        </w:tc>
        <w:tc>
          <w:tcPr>
            <w:tcW w:w="1317" w:type="dxa"/>
            <w:vAlign w:val="center"/>
          </w:tcPr>
          <w:p>
            <w:pPr>
              <w:tabs>
                <w:tab w:val="left" w:pos="0"/>
              </w:tabs>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详见交易需求</w:t>
            </w:r>
          </w:p>
        </w:tc>
        <w:tc>
          <w:tcPr>
            <w:tcW w:w="1667" w:type="dxa"/>
            <w:vAlign w:val="center"/>
          </w:tcPr>
          <w:p>
            <w:pPr>
              <w:tabs>
                <w:tab w:val="left" w:pos="0"/>
              </w:tabs>
              <w:jc w:val="center"/>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350000.00</w:t>
            </w:r>
          </w:p>
        </w:tc>
        <w:tc>
          <w:tcPr>
            <w:tcW w:w="1296" w:type="dxa"/>
            <w:vAlign w:val="center"/>
          </w:tcPr>
          <w:p>
            <w:pPr>
              <w:tabs>
                <w:tab w:val="left" w:pos="0"/>
              </w:tabs>
              <w:jc w:val="center"/>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w:t>
            </w:r>
          </w:p>
        </w:tc>
      </w:tr>
    </w:tbl>
    <w:p>
      <w:pPr>
        <w:rPr>
          <w:rFonts w:asciiTheme="minorEastAsia" w:hAnsiTheme="minorEastAsia" w:eastAsiaTheme="minorEastAsia" w:cstheme="minorEastAsia"/>
          <w:b/>
          <w:color w:val="000000" w:themeColor="text1"/>
          <w:sz w:val="24"/>
          <w:highlight w:val="none"/>
          <w14:textFill>
            <w14:solidFill>
              <w14:schemeClr w14:val="tx1"/>
            </w14:solidFill>
          </w14:textFill>
        </w:rPr>
      </w:pPr>
    </w:p>
    <w:p>
      <w:pPr>
        <w:pStyle w:val="3"/>
        <w:numPr>
          <w:ilvl w:val="0"/>
          <w:numId w:val="2"/>
        </w:numPr>
        <w:jc w:val="center"/>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14:textFill>
            <w14:solidFill>
              <w14:schemeClr w14:val="tx1"/>
            </w14:solidFill>
          </w14:textFill>
        </w:rPr>
        <w:t>交易</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需求</w:t>
      </w:r>
    </w:p>
    <w:p>
      <w:pPr>
        <w:widowControl/>
        <w:adjustRightInd/>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（一）项目概况：</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本项</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目为所前镇樟宜翠湾社会组织综合服务中心运营服务项目，基本情况如下：所前镇社会组织综合服务平台（含镇社会工作站、镇社会组织服务中心、镇未成年人保护工作站、社会救助联合体、居家养老服务中心、婴幼儿成长驿站</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共6个驿站</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社会工作站、社会组织服务中心实体化运营，包括提供党建工作、需求调研、政策咨询、年检辅导、登记咨询、注册协助、等级评估、特色活动等服务，开展社区业务辅导、业务技能提升等相关课程活动不少于</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6</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次，积极</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引进优质资源链接；</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按照上级考核要求开展所前镇特色项目培育，培育区级重点项目不少于2个；孵化开展镇级公益创投，孵化提升公益组织不少于</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5个</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区级公众号信息宣传发布不少于10次。</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镇未成年人保护工作站、社会救助联合体、居家养老服务中心、婴幼儿成长驿站等上级考核检查验收台账整理。</w:t>
      </w:r>
    </w:p>
    <w:p>
      <w:pPr>
        <w:widowControl/>
        <w:adjustRightInd/>
        <w:spacing w:line="360" w:lineRule="auto"/>
        <w:rPr>
          <w:rFonts w:asciiTheme="minorEastAsia" w:hAnsiTheme="minorEastAsia" w:eastAsiaTheme="minorEastAsia" w:cstheme="minorEastAsia"/>
          <w:b/>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lang w:val="zh-CN"/>
          <w14:textFill>
            <w14:solidFill>
              <w14:schemeClr w14:val="tx1"/>
            </w14:solidFill>
          </w14:textFill>
        </w:rPr>
        <w:t>（二）项目要求：</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1.</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按照社会工作站、社会组织服务中心实体化运行标准，常驻</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3人，</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其中</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两</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人为持证社工，</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且其中一人持有中级及以上社工证；</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协助所前镇社工站、社会组织服务中心建设运营，</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重点培育所前特色项目，不于于2个（包括“熟人社区”十大破难项目不少于一个，“熟人社区”十大友好场景不少于一个），开展社区业务辅导、提升课程全年不少于</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6</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场；</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按照省、市、区各级要求以及年终考核标准，开展相关活动，报送相关材料，做好台账归档工作，全年开展活动不低于24场（</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其中志愿者服务不少于4场</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妇儿权益类宣传活动不少于4场</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社区社工类活动不少于4场</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3.按照杭州市星级助联体评定标准，创建市、区级星级助联体；</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4.打造萧山区儿童福利和权益保护特色品牌，创建市、区级优秀未保站；</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5.</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培育本土社会组织，负责本镇社会组织服务中心及下属社会组织管理服务工作，以及专业问题解答和指导，</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开展业务培训活动不少于</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4场</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6.</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负责完成所前镇社会组织服务中心的年终审计、年检等事务性工作，协助督导所前镇完成审计和年检工作，开展镇级公益创投活动；</w:t>
      </w:r>
    </w:p>
    <w:p>
      <w:pPr>
        <w:widowControl/>
        <w:numPr>
          <w:ilvl w:val="255"/>
          <w:numId w:val="0"/>
        </w:numPr>
        <w:adjustRightInd/>
        <w:spacing w:line="360" w:lineRule="auto"/>
        <w:ind w:firstLine="480" w:firstLineChars="200"/>
        <w:rPr>
          <w:rFonts w:asciiTheme="minorEastAsia" w:hAnsiTheme="minorEastAsia" w:eastAsiaTheme="minorEastAsia" w:cstheme="minorEastAsia"/>
          <w:bCs/>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7.</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完成镇未成年人保护工作站、社会救助联合体、居家养老照料中心、婴幼儿成长驿站等相关台账整理和报送；</w:t>
      </w:r>
    </w:p>
    <w:p>
      <w:pPr>
        <w:widowControl/>
        <w:numPr>
          <w:ilvl w:val="255"/>
          <w:numId w:val="0"/>
        </w:numPr>
        <w:adjustRightInd/>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8.</w:t>
      </w:r>
      <w:r>
        <w:rPr>
          <w:rFonts w:hint="eastAsia" w:asciiTheme="minorEastAsia" w:hAnsiTheme="minorEastAsia" w:eastAsiaTheme="minorEastAsia" w:cstheme="minorEastAsia"/>
          <w:bCs/>
          <w:color w:val="000000" w:themeColor="text1"/>
          <w:sz w:val="24"/>
          <w:highlight w:val="none"/>
          <w:lang w:val="zh-CN"/>
          <w14:textFill>
            <w14:solidFill>
              <w14:schemeClr w14:val="tx1"/>
            </w14:solidFill>
          </w14:textFill>
        </w:rPr>
        <w:t>协助所前镇完成交代的其他行政性工作。</w:t>
      </w:r>
    </w:p>
    <w:p>
      <w:pPr>
        <w:widowControl/>
        <w:adjustRightInd/>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widowControl/>
        <w:adjustRightInd/>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（三）商务要求：</w:t>
      </w:r>
    </w:p>
    <w:p>
      <w:pPr>
        <w:widowControl/>
        <w:adjustRightInd/>
        <w:spacing w:line="360" w:lineRule="auto"/>
        <w:ind w:firstLine="420" w:firstLineChars="200"/>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1、服务期：1年（具体起止时间以合同签订为准）合同期结束，在未找到接替单位前，成交单位应继续服务，费用按原合同签订的费用标准支付。</w:t>
      </w:r>
    </w:p>
    <w:p>
      <w:pPr>
        <w:widowControl/>
        <w:adjustRightInd/>
        <w:spacing w:line="360" w:lineRule="auto"/>
        <w:ind w:firstLine="480" w:firstLineChars="20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2、付款方式：本项目</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第一、二、三</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季度款项</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按季度分期付款</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；第四季度款项在验收合格后支付。</w:t>
      </w:r>
    </w:p>
    <w:p>
      <w:pPr>
        <w:widowControl/>
        <w:adjustRightInd/>
        <w:spacing w:line="360" w:lineRule="auto"/>
        <w:ind w:firstLine="480" w:firstLineChars="200"/>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注：交易文件中打▲内容为实质性要求，不允许有负偏离，否则将以涉及无效响应条款作无效响应。</w:t>
      </w:r>
    </w:p>
    <w:p>
      <w:pP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br w:type="page"/>
      </w:r>
    </w:p>
    <w:p>
      <w:pPr>
        <w:spacing w:line="360" w:lineRule="auto"/>
        <w:jc w:val="center"/>
        <w:outlineLvl w:val="0"/>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 xml:space="preserve">第四部分   </w:t>
      </w:r>
      <w:bookmarkStart w:id="32" w:name="_Toc184312130"/>
      <w:bookmarkEnd w:id="32"/>
      <w:bookmarkStart w:id="33" w:name="_Toc184308072"/>
      <w:bookmarkEnd w:id="33"/>
      <w:bookmarkStart w:id="34" w:name="_Toc184313245"/>
      <w:bookmarkEnd w:id="34"/>
      <w:bookmarkStart w:id="35" w:name="_Toc184310308"/>
      <w:bookmarkEnd w:id="35"/>
      <w:bookmarkStart w:id="36" w:name="_Toc184312116"/>
      <w:bookmarkEnd w:id="36"/>
      <w:bookmarkStart w:id="37" w:name="_Toc184313279"/>
      <w:bookmarkEnd w:id="37"/>
      <w:bookmarkStart w:id="38" w:name="_Toc184310283"/>
      <w:bookmarkEnd w:id="38"/>
      <w:bookmarkStart w:id="39" w:name="_Toc184314471"/>
      <w:bookmarkEnd w:id="39"/>
      <w:bookmarkStart w:id="40" w:name="_Toc184313306"/>
      <w:bookmarkEnd w:id="40"/>
      <w:bookmarkStart w:id="41" w:name="_Toc184313302"/>
      <w:bookmarkEnd w:id="41"/>
      <w:bookmarkStart w:id="42" w:name="_Toc184312093"/>
      <w:bookmarkEnd w:id="42"/>
      <w:bookmarkStart w:id="43" w:name="_Toc184310287"/>
      <w:bookmarkEnd w:id="43"/>
      <w:bookmarkStart w:id="44" w:name="_Toc184308054"/>
      <w:bookmarkEnd w:id="44"/>
      <w:bookmarkStart w:id="45" w:name="_Toc184310298"/>
      <w:bookmarkEnd w:id="45"/>
      <w:bookmarkStart w:id="46" w:name="_Toc184312109"/>
      <w:bookmarkEnd w:id="46"/>
      <w:bookmarkStart w:id="47" w:name="_Toc184313246"/>
      <w:bookmarkEnd w:id="47"/>
      <w:bookmarkStart w:id="48" w:name="_Toc184314426"/>
      <w:bookmarkEnd w:id="48"/>
      <w:bookmarkStart w:id="49" w:name="_Toc184308066"/>
      <w:bookmarkEnd w:id="49"/>
      <w:bookmarkStart w:id="50" w:name="_Toc184310300"/>
      <w:bookmarkEnd w:id="50"/>
      <w:bookmarkStart w:id="51" w:name="_Toc184314423"/>
      <w:bookmarkEnd w:id="51"/>
      <w:bookmarkStart w:id="52" w:name="_Toc184310341"/>
      <w:bookmarkEnd w:id="52"/>
      <w:bookmarkStart w:id="53" w:name="_Toc184313240"/>
      <w:bookmarkEnd w:id="53"/>
      <w:bookmarkStart w:id="54" w:name="_Toc184310304"/>
      <w:bookmarkEnd w:id="54"/>
      <w:bookmarkStart w:id="55" w:name="_Toc184312117"/>
      <w:bookmarkEnd w:id="55"/>
      <w:bookmarkStart w:id="56" w:name="_Toc184308096"/>
      <w:bookmarkEnd w:id="56"/>
      <w:bookmarkStart w:id="57" w:name="_Toc184313260"/>
      <w:bookmarkEnd w:id="57"/>
      <w:bookmarkStart w:id="58" w:name="_Toc184310307"/>
      <w:bookmarkEnd w:id="58"/>
      <w:bookmarkStart w:id="59" w:name="_Toc184314414"/>
      <w:bookmarkEnd w:id="59"/>
      <w:bookmarkStart w:id="60" w:name="_Toc184314478"/>
      <w:bookmarkEnd w:id="60"/>
      <w:bookmarkStart w:id="61" w:name="_Toc184314468"/>
      <w:bookmarkEnd w:id="61"/>
      <w:bookmarkStart w:id="62" w:name="_Toc184313266"/>
      <w:bookmarkEnd w:id="62"/>
      <w:bookmarkStart w:id="63" w:name="_Toc184312071"/>
      <w:bookmarkEnd w:id="63"/>
      <w:bookmarkStart w:id="64" w:name="_Toc184310286"/>
      <w:bookmarkEnd w:id="64"/>
      <w:bookmarkStart w:id="65" w:name="_Toc184314438"/>
      <w:bookmarkEnd w:id="65"/>
      <w:bookmarkStart w:id="66" w:name="_Toc184314472"/>
      <w:bookmarkEnd w:id="66"/>
      <w:bookmarkStart w:id="67" w:name="_Toc184308084"/>
      <w:bookmarkEnd w:id="67"/>
      <w:bookmarkStart w:id="68" w:name="_Toc184308036"/>
      <w:bookmarkEnd w:id="68"/>
      <w:bookmarkStart w:id="69" w:name="_Toc184312137"/>
      <w:bookmarkEnd w:id="69"/>
      <w:bookmarkStart w:id="70" w:name="_Toc184313242"/>
      <w:bookmarkEnd w:id="70"/>
      <w:bookmarkStart w:id="71" w:name="_Toc184313301"/>
      <w:bookmarkEnd w:id="71"/>
      <w:bookmarkStart w:id="72" w:name="_Toc184312120"/>
      <w:bookmarkEnd w:id="72"/>
      <w:bookmarkStart w:id="73" w:name="_Toc184308089"/>
      <w:bookmarkEnd w:id="73"/>
      <w:bookmarkStart w:id="74" w:name="_Toc184313248"/>
      <w:bookmarkEnd w:id="74"/>
      <w:bookmarkStart w:id="75" w:name="_Toc184314482"/>
      <w:bookmarkEnd w:id="75"/>
      <w:bookmarkStart w:id="76" w:name="_Toc184308060"/>
      <w:bookmarkEnd w:id="76"/>
      <w:bookmarkStart w:id="77" w:name="_Toc184310338"/>
      <w:bookmarkEnd w:id="77"/>
      <w:bookmarkStart w:id="78" w:name="_Toc184312127"/>
      <w:bookmarkEnd w:id="78"/>
      <w:bookmarkStart w:id="79" w:name="_Toc184313283"/>
      <w:bookmarkEnd w:id="79"/>
      <w:bookmarkStart w:id="80" w:name="_Toc184313258"/>
      <w:bookmarkEnd w:id="80"/>
      <w:bookmarkStart w:id="81" w:name="_Toc184313284"/>
      <w:bookmarkEnd w:id="81"/>
      <w:bookmarkStart w:id="82" w:name="_Toc184308092"/>
      <w:bookmarkEnd w:id="82"/>
      <w:bookmarkStart w:id="83" w:name="_Toc184312126"/>
      <w:bookmarkEnd w:id="83"/>
      <w:bookmarkStart w:id="84" w:name="_Toc184308048"/>
      <w:bookmarkEnd w:id="84"/>
      <w:bookmarkStart w:id="85" w:name="_Toc184308064"/>
      <w:bookmarkEnd w:id="85"/>
      <w:bookmarkStart w:id="86" w:name="_Toc184312114"/>
      <w:bookmarkEnd w:id="86"/>
      <w:bookmarkStart w:id="87" w:name="_Toc184314448"/>
      <w:bookmarkEnd w:id="87"/>
      <w:bookmarkStart w:id="88" w:name="_Toc184310280"/>
      <w:bookmarkEnd w:id="88"/>
      <w:bookmarkStart w:id="89" w:name="_Toc184312123"/>
      <w:bookmarkEnd w:id="89"/>
      <w:bookmarkStart w:id="90" w:name="_Toc184313257"/>
      <w:bookmarkEnd w:id="90"/>
      <w:bookmarkStart w:id="91" w:name="_Toc184314474"/>
      <w:bookmarkEnd w:id="91"/>
      <w:bookmarkStart w:id="92" w:name="_Toc184314413"/>
      <w:bookmarkEnd w:id="92"/>
      <w:bookmarkStart w:id="93" w:name="_Toc184308058"/>
      <w:bookmarkEnd w:id="93"/>
      <w:bookmarkStart w:id="94" w:name="_Toc184313289"/>
      <w:bookmarkEnd w:id="94"/>
      <w:bookmarkStart w:id="95" w:name="_Toc184312131"/>
      <w:bookmarkEnd w:id="95"/>
      <w:bookmarkStart w:id="96" w:name="_Toc184314475"/>
      <w:bookmarkEnd w:id="96"/>
      <w:bookmarkStart w:id="97" w:name="_Toc184308065"/>
      <w:bookmarkEnd w:id="97"/>
      <w:bookmarkStart w:id="98" w:name="_Toc184312138"/>
      <w:bookmarkEnd w:id="98"/>
      <w:bookmarkStart w:id="99" w:name="_Toc184308097"/>
      <w:bookmarkEnd w:id="99"/>
      <w:bookmarkStart w:id="100" w:name="_Toc184313264"/>
      <w:bookmarkEnd w:id="100"/>
      <w:bookmarkStart w:id="101" w:name="_Toc184312085"/>
      <w:bookmarkEnd w:id="101"/>
      <w:bookmarkStart w:id="102" w:name="_Toc184314415"/>
      <w:bookmarkEnd w:id="102"/>
      <w:bookmarkStart w:id="103" w:name="_Toc184310327"/>
      <w:bookmarkEnd w:id="103"/>
      <w:bookmarkStart w:id="104" w:name="_Toc184313297"/>
      <w:bookmarkEnd w:id="104"/>
      <w:bookmarkStart w:id="105" w:name="_Toc184314454"/>
      <w:bookmarkEnd w:id="105"/>
      <w:bookmarkStart w:id="106" w:name="_Toc184308101"/>
      <w:bookmarkEnd w:id="106"/>
      <w:bookmarkStart w:id="107" w:name="_Toc184312082"/>
      <w:bookmarkEnd w:id="107"/>
      <w:bookmarkStart w:id="108" w:name="_Toc184313241"/>
      <w:bookmarkEnd w:id="108"/>
      <w:bookmarkStart w:id="109" w:name="_Toc184313290"/>
      <w:bookmarkEnd w:id="109"/>
      <w:bookmarkStart w:id="110" w:name="_Toc184310301"/>
      <w:bookmarkEnd w:id="110"/>
      <w:bookmarkStart w:id="111" w:name="_Toc184313276"/>
      <w:bookmarkEnd w:id="111"/>
      <w:bookmarkStart w:id="112" w:name="_Toc184313249"/>
      <w:bookmarkEnd w:id="112"/>
      <w:bookmarkStart w:id="113" w:name="_Toc184308091"/>
      <w:bookmarkEnd w:id="113"/>
      <w:bookmarkStart w:id="114" w:name="_Toc184314473"/>
      <w:bookmarkEnd w:id="114"/>
      <w:bookmarkStart w:id="115" w:name="_Toc184310302"/>
      <w:bookmarkEnd w:id="115"/>
      <w:bookmarkStart w:id="116" w:name="_Toc184312073"/>
      <w:bookmarkEnd w:id="116"/>
      <w:bookmarkStart w:id="117" w:name="_Toc184312115"/>
      <w:bookmarkEnd w:id="117"/>
      <w:bookmarkStart w:id="118" w:name="_Toc184308076"/>
      <w:bookmarkEnd w:id="118"/>
      <w:bookmarkStart w:id="119" w:name="_Toc184314479"/>
      <w:bookmarkEnd w:id="119"/>
      <w:bookmarkStart w:id="120" w:name="_Toc184314470"/>
      <w:bookmarkEnd w:id="120"/>
      <w:bookmarkStart w:id="121" w:name="_Toc184314419"/>
      <w:bookmarkEnd w:id="121"/>
      <w:bookmarkStart w:id="122" w:name="_Toc184310323"/>
      <w:bookmarkEnd w:id="122"/>
      <w:bookmarkStart w:id="123" w:name="_Toc184312095"/>
      <w:bookmarkEnd w:id="123"/>
      <w:bookmarkStart w:id="124" w:name="_Toc184313269"/>
      <w:bookmarkEnd w:id="124"/>
      <w:bookmarkStart w:id="125" w:name="_Toc184314450"/>
      <w:bookmarkEnd w:id="125"/>
      <w:bookmarkStart w:id="126" w:name="_Toc184312101"/>
      <w:bookmarkEnd w:id="126"/>
      <w:bookmarkStart w:id="127" w:name="_Toc184308099"/>
      <w:bookmarkEnd w:id="127"/>
      <w:bookmarkStart w:id="128" w:name="_Toc184312106"/>
      <w:bookmarkEnd w:id="128"/>
      <w:bookmarkStart w:id="129" w:name="_Toc184313259"/>
      <w:bookmarkEnd w:id="129"/>
      <w:bookmarkStart w:id="130" w:name="_Toc184312125"/>
      <w:bookmarkEnd w:id="130"/>
      <w:bookmarkStart w:id="131" w:name="_Toc184310305"/>
      <w:bookmarkEnd w:id="131"/>
      <w:bookmarkStart w:id="132" w:name="_Toc184308050"/>
      <w:bookmarkEnd w:id="132"/>
      <w:bookmarkStart w:id="133" w:name="_Toc184313238"/>
      <w:bookmarkEnd w:id="133"/>
      <w:bookmarkStart w:id="134" w:name="_Toc184314480"/>
      <w:bookmarkEnd w:id="134"/>
      <w:bookmarkStart w:id="135" w:name="_Toc184310296"/>
      <w:bookmarkEnd w:id="135"/>
      <w:bookmarkStart w:id="136" w:name="_Toc184314476"/>
      <w:bookmarkEnd w:id="136"/>
      <w:bookmarkStart w:id="137" w:name="_Toc184313250"/>
      <w:bookmarkEnd w:id="137"/>
      <w:bookmarkStart w:id="138" w:name="_Toc184310312"/>
      <w:bookmarkEnd w:id="138"/>
      <w:bookmarkStart w:id="139" w:name="_Toc184308079"/>
      <w:bookmarkEnd w:id="139"/>
      <w:bookmarkStart w:id="140" w:name="_Toc184313244"/>
      <w:bookmarkEnd w:id="140"/>
      <w:bookmarkStart w:id="141" w:name="_Toc184314462"/>
      <w:bookmarkEnd w:id="141"/>
      <w:bookmarkStart w:id="142" w:name="_Toc184312105"/>
      <w:bookmarkEnd w:id="142"/>
      <w:bookmarkStart w:id="143" w:name="_Toc184314455"/>
      <w:bookmarkEnd w:id="143"/>
      <w:bookmarkStart w:id="144" w:name="_Toc184314459"/>
      <w:bookmarkEnd w:id="144"/>
      <w:bookmarkStart w:id="145" w:name="_Toc184310320"/>
      <w:bookmarkEnd w:id="145"/>
      <w:bookmarkStart w:id="146" w:name="_Toc184313255"/>
      <w:bookmarkEnd w:id="146"/>
      <w:bookmarkStart w:id="147" w:name="_Toc184310310"/>
      <w:bookmarkEnd w:id="147"/>
      <w:bookmarkStart w:id="148" w:name="_Toc184313271"/>
      <w:bookmarkEnd w:id="148"/>
      <w:bookmarkStart w:id="149" w:name="_Toc184313268"/>
      <w:bookmarkEnd w:id="149"/>
      <w:bookmarkStart w:id="150" w:name="_Toc184312089"/>
      <w:bookmarkEnd w:id="150"/>
      <w:bookmarkStart w:id="151" w:name="_Toc184308106"/>
      <w:bookmarkEnd w:id="151"/>
      <w:bookmarkStart w:id="152" w:name="_Toc184310274"/>
      <w:bookmarkEnd w:id="152"/>
      <w:bookmarkStart w:id="153" w:name="_Toc184312068"/>
      <w:bookmarkEnd w:id="153"/>
      <w:bookmarkStart w:id="154" w:name="_Toc184308094"/>
      <w:bookmarkEnd w:id="154"/>
      <w:bookmarkStart w:id="155" w:name="_Toc184314456"/>
      <w:bookmarkEnd w:id="155"/>
      <w:bookmarkStart w:id="156" w:name="_Toc184310316"/>
      <w:bookmarkEnd w:id="156"/>
      <w:bookmarkStart w:id="157" w:name="_Toc184314416"/>
      <w:bookmarkEnd w:id="157"/>
      <w:bookmarkStart w:id="158" w:name="_Toc184310331"/>
      <w:bookmarkEnd w:id="158"/>
      <w:bookmarkStart w:id="159" w:name="_Toc184314428"/>
      <w:bookmarkEnd w:id="159"/>
      <w:bookmarkStart w:id="160" w:name="_Toc184313309"/>
      <w:bookmarkEnd w:id="160"/>
      <w:bookmarkStart w:id="161" w:name="_Toc184312118"/>
      <w:bookmarkEnd w:id="161"/>
      <w:bookmarkStart w:id="162" w:name="_Toc184314444"/>
      <w:bookmarkEnd w:id="162"/>
      <w:bookmarkStart w:id="163" w:name="_Toc184314453"/>
      <w:bookmarkEnd w:id="163"/>
      <w:bookmarkStart w:id="164" w:name="_Toc184312099"/>
      <w:bookmarkEnd w:id="164"/>
      <w:bookmarkStart w:id="165" w:name="_Toc184308061"/>
      <w:bookmarkEnd w:id="165"/>
      <w:bookmarkStart w:id="166" w:name="_Toc184314446"/>
      <w:bookmarkEnd w:id="166"/>
      <w:bookmarkStart w:id="167" w:name="_Toc184313251"/>
      <w:bookmarkEnd w:id="167"/>
      <w:bookmarkStart w:id="168" w:name="_Toc184308052"/>
      <w:bookmarkEnd w:id="168"/>
      <w:bookmarkStart w:id="169" w:name="_Toc184308095"/>
      <w:bookmarkEnd w:id="169"/>
      <w:bookmarkStart w:id="170" w:name="_Toc184312067"/>
      <w:bookmarkEnd w:id="170"/>
      <w:bookmarkStart w:id="171" w:name="_Toc184310332"/>
      <w:bookmarkEnd w:id="171"/>
      <w:bookmarkStart w:id="172" w:name="_Toc184310334"/>
      <w:bookmarkEnd w:id="172"/>
      <w:bookmarkStart w:id="173" w:name="_Toc184308063"/>
      <w:bookmarkEnd w:id="173"/>
      <w:bookmarkStart w:id="174" w:name="_Toc184312070"/>
      <w:bookmarkEnd w:id="174"/>
      <w:bookmarkStart w:id="175" w:name="_Toc184310318"/>
      <w:bookmarkEnd w:id="175"/>
      <w:bookmarkStart w:id="176" w:name="_Toc184308043"/>
      <w:bookmarkEnd w:id="176"/>
      <w:bookmarkStart w:id="177" w:name="_Toc184308078"/>
      <w:bookmarkEnd w:id="177"/>
      <w:bookmarkStart w:id="178" w:name="_Toc184310340"/>
      <w:bookmarkEnd w:id="178"/>
      <w:bookmarkStart w:id="179" w:name="_Toc184313270"/>
      <w:bookmarkEnd w:id="179"/>
      <w:bookmarkStart w:id="180" w:name="_Toc184313285"/>
      <w:bookmarkEnd w:id="180"/>
      <w:bookmarkStart w:id="181" w:name="_Toc184314463"/>
      <w:bookmarkEnd w:id="181"/>
      <w:bookmarkStart w:id="182" w:name="_Toc184313247"/>
      <w:bookmarkEnd w:id="182"/>
      <w:bookmarkStart w:id="183" w:name="_Toc184312072"/>
      <w:bookmarkEnd w:id="183"/>
      <w:bookmarkStart w:id="184" w:name="_Toc184308082"/>
      <w:bookmarkEnd w:id="184"/>
      <w:bookmarkStart w:id="185" w:name="_Toc184312134"/>
      <w:bookmarkEnd w:id="185"/>
      <w:bookmarkStart w:id="186" w:name="_Toc184314451"/>
      <w:bookmarkEnd w:id="186"/>
      <w:bookmarkStart w:id="187" w:name="_Toc184313263"/>
      <w:bookmarkEnd w:id="187"/>
      <w:bookmarkStart w:id="188" w:name="_Toc184313253"/>
      <w:bookmarkEnd w:id="188"/>
      <w:bookmarkStart w:id="189" w:name="_Toc184314460"/>
      <w:bookmarkEnd w:id="189"/>
      <w:bookmarkStart w:id="190" w:name="_Toc184308068"/>
      <w:bookmarkEnd w:id="190"/>
      <w:bookmarkStart w:id="191" w:name="_Toc184308055"/>
      <w:bookmarkEnd w:id="191"/>
      <w:bookmarkStart w:id="192" w:name="_Toc184314430"/>
      <w:bookmarkEnd w:id="192"/>
      <w:bookmarkStart w:id="193" w:name="_Toc184314436"/>
      <w:bookmarkEnd w:id="193"/>
      <w:bookmarkStart w:id="194" w:name="_Toc184314443"/>
      <w:bookmarkEnd w:id="194"/>
      <w:bookmarkStart w:id="195" w:name="_Toc184313305"/>
      <w:bookmarkEnd w:id="195"/>
      <w:bookmarkStart w:id="196" w:name="_Toc184312092"/>
      <w:bookmarkEnd w:id="196"/>
      <w:bookmarkStart w:id="197" w:name="_Toc184312119"/>
      <w:bookmarkEnd w:id="197"/>
      <w:bookmarkStart w:id="198" w:name="_Toc184313280"/>
      <w:bookmarkEnd w:id="198"/>
      <w:bookmarkStart w:id="199" w:name="_Toc184314467"/>
      <w:bookmarkEnd w:id="199"/>
      <w:bookmarkStart w:id="200" w:name="_Toc184308088"/>
      <w:bookmarkEnd w:id="200"/>
      <w:bookmarkStart w:id="201" w:name="_Toc184313275"/>
      <w:bookmarkEnd w:id="201"/>
      <w:bookmarkStart w:id="202" w:name="_Toc184313307"/>
      <w:bookmarkEnd w:id="202"/>
      <w:bookmarkStart w:id="203" w:name="_Toc184312088"/>
      <w:bookmarkEnd w:id="203"/>
      <w:bookmarkStart w:id="204" w:name="_Toc184310275"/>
      <w:bookmarkEnd w:id="204"/>
      <w:bookmarkStart w:id="205" w:name="_Toc184312103"/>
      <w:bookmarkEnd w:id="205"/>
      <w:bookmarkStart w:id="206" w:name="_Toc184313304"/>
      <w:bookmarkEnd w:id="206"/>
      <w:bookmarkStart w:id="207" w:name="_Toc184310295"/>
      <w:bookmarkEnd w:id="207"/>
      <w:bookmarkStart w:id="208" w:name="_Toc184308051"/>
      <w:bookmarkEnd w:id="208"/>
      <w:bookmarkStart w:id="209" w:name="_Toc184313254"/>
      <w:bookmarkEnd w:id="209"/>
      <w:bookmarkStart w:id="210" w:name="_Toc184310293"/>
      <w:bookmarkEnd w:id="210"/>
      <w:bookmarkStart w:id="211" w:name="_Toc184314442"/>
      <w:bookmarkEnd w:id="211"/>
      <w:bookmarkStart w:id="212" w:name="_Toc184314477"/>
      <w:bookmarkEnd w:id="212"/>
      <w:bookmarkStart w:id="213" w:name="_Toc184314461"/>
      <w:bookmarkEnd w:id="213"/>
      <w:bookmarkStart w:id="214" w:name="_Toc184314427"/>
      <w:bookmarkEnd w:id="214"/>
      <w:bookmarkStart w:id="215" w:name="_Toc184310309"/>
      <w:bookmarkEnd w:id="215"/>
      <w:bookmarkStart w:id="216" w:name="_Toc184312077"/>
      <w:bookmarkEnd w:id="216"/>
      <w:bookmarkStart w:id="217" w:name="_Toc184314412"/>
      <w:bookmarkEnd w:id="217"/>
      <w:bookmarkStart w:id="218" w:name="_Toc184308047"/>
      <w:bookmarkEnd w:id="218"/>
      <w:bookmarkStart w:id="219" w:name="_Toc184310278"/>
      <w:bookmarkEnd w:id="219"/>
      <w:bookmarkStart w:id="220" w:name="_Toc184310288"/>
      <w:bookmarkEnd w:id="220"/>
      <w:bookmarkStart w:id="221" w:name="_Toc184310339"/>
      <w:bookmarkEnd w:id="221"/>
      <w:bookmarkStart w:id="222" w:name="_Toc184308071"/>
      <w:bookmarkEnd w:id="222"/>
      <w:bookmarkStart w:id="223" w:name="_Toc184310344"/>
      <w:bookmarkEnd w:id="223"/>
      <w:bookmarkStart w:id="224" w:name="_Toc184308057"/>
      <w:bookmarkEnd w:id="224"/>
      <w:bookmarkStart w:id="225" w:name="_Toc184310282"/>
      <w:bookmarkEnd w:id="225"/>
      <w:bookmarkStart w:id="226" w:name="_Toc184312136"/>
      <w:bookmarkEnd w:id="226"/>
      <w:bookmarkStart w:id="227" w:name="_Toc184314439"/>
      <w:bookmarkEnd w:id="227"/>
      <w:bookmarkStart w:id="228" w:name="_Toc184310329"/>
      <w:bookmarkEnd w:id="228"/>
      <w:bookmarkStart w:id="229" w:name="_Toc184310311"/>
      <w:bookmarkEnd w:id="229"/>
      <w:bookmarkStart w:id="230" w:name="_Toc184310313"/>
      <w:bookmarkEnd w:id="230"/>
      <w:bookmarkStart w:id="231" w:name="_Toc184313265"/>
      <w:bookmarkEnd w:id="231"/>
      <w:bookmarkStart w:id="232" w:name="_Toc184310326"/>
      <w:bookmarkEnd w:id="232"/>
      <w:bookmarkStart w:id="233" w:name="_Toc184314425"/>
      <w:bookmarkEnd w:id="233"/>
      <w:bookmarkStart w:id="234" w:name="_Toc184314421"/>
      <w:bookmarkEnd w:id="234"/>
      <w:bookmarkStart w:id="235" w:name="_Toc184308108"/>
      <w:bookmarkEnd w:id="235"/>
      <w:bookmarkStart w:id="236" w:name="_Toc184312090"/>
      <w:bookmarkEnd w:id="236"/>
      <w:bookmarkStart w:id="237" w:name="_Toc184310276"/>
      <w:bookmarkEnd w:id="237"/>
      <w:bookmarkStart w:id="238" w:name="_Toc184308090"/>
      <w:bookmarkEnd w:id="238"/>
      <w:bookmarkStart w:id="239" w:name="_Toc184310336"/>
      <w:bookmarkEnd w:id="239"/>
      <w:bookmarkStart w:id="240" w:name="_Toc184310292"/>
      <w:bookmarkEnd w:id="240"/>
      <w:bookmarkStart w:id="241" w:name="_Toc184314481"/>
      <w:bookmarkEnd w:id="241"/>
      <w:bookmarkStart w:id="242" w:name="_Toc184308041"/>
      <w:bookmarkEnd w:id="242"/>
      <w:bookmarkStart w:id="243" w:name="_Toc184314411"/>
      <w:bookmarkEnd w:id="243"/>
      <w:bookmarkStart w:id="244" w:name="_Toc184310284"/>
      <w:bookmarkEnd w:id="244"/>
      <w:bookmarkStart w:id="245" w:name="_Toc184308038"/>
      <w:bookmarkEnd w:id="245"/>
      <w:bookmarkStart w:id="246" w:name="_Toc184313243"/>
      <w:bookmarkEnd w:id="246"/>
      <w:bookmarkStart w:id="247" w:name="_Toc184310322"/>
      <w:bookmarkEnd w:id="247"/>
      <w:bookmarkStart w:id="248" w:name="_Toc184314422"/>
      <w:bookmarkEnd w:id="248"/>
      <w:bookmarkStart w:id="249" w:name="_Toc184313292"/>
      <w:bookmarkEnd w:id="249"/>
      <w:bookmarkStart w:id="250" w:name="_Toc184312139"/>
      <w:bookmarkEnd w:id="250"/>
      <w:bookmarkStart w:id="251" w:name="_Toc184313288"/>
      <w:bookmarkEnd w:id="251"/>
      <w:bookmarkStart w:id="252" w:name="_Toc184312121"/>
      <w:bookmarkEnd w:id="252"/>
      <w:bookmarkStart w:id="253" w:name="_Toc184312075"/>
      <w:bookmarkEnd w:id="253"/>
      <w:bookmarkStart w:id="254" w:name="_Toc184312079"/>
      <w:bookmarkEnd w:id="254"/>
      <w:bookmarkStart w:id="255" w:name="_Toc184310342"/>
      <w:bookmarkEnd w:id="255"/>
      <w:bookmarkStart w:id="256" w:name="_Toc184314441"/>
      <w:bookmarkEnd w:id="256"/>
      <w:bookmarkStart w:id="257" w:name="_Toc184312107"/>
      <w:bookmarkEnd w:id="257"/>
      <w:bookmarkStart w:id="258" w:name="_Toc184308080"/>
      <w:bookmarkEnd w:id="258"/>
      <w:bookmarkStart w:id="259" w:name="_Toc184312081"/>
      <w:bookmarkEnd w:id="259"/>
      <w:bookmarkStart w:id="260" w:name="_Toc184308045"/>
      <w:bookmarkEnd w:id="260"/>
      <w:bookmarkStart w:id="261" w:name="_Toc184310281"/>
      <w:bookmarkEnd w:id="261"/>
      <w:bookmarkStart w:id="262" w:name="_Toc184308081"/>
      <w:bookmarkEnd w:id="262"/>
      <w:bookmarkStart w:id="263" w:name="_Toc184314449"/>
      <w:bookmarkEnd w:id="263"/>
      <w:bookmarkStart w:id="264" w:name="_Toc184312087"/>
      <w:bookmarkEnd w:id="264"/>
      <w:bookmarkStart w:id="265" w:name="_Toc184310291"/>
      <w:bookmarkEnd w:id="265"/>
      <w:bookmarkStart w:id="266" w:name="_Toc184314424"/>
      <w:bookmarkEnd w:id="266"/>
      <w:bookmarkStart w:id="267" w:name="_Toc184313303"/>
      <w:bookmarkEnd w:id="267"/>
      <w:bookmarkStart w:id="268" w:name="_Toc184312097"/>
      <w:bookmarkEnd w:id="268"/>
      <w:bookmarkStart w:id="269" w:name="_Toc184308107"/>
      <w:bookmarkEnd w:id="269"/>
      <w:bookmarkStart w:id="270" w:name="_Toc184310297"/>
      <w:bookmarkEnd w:id="270"/>
      <w:bookmarkStart w:id="271" w:name="_Toc184310273"/>
      <w:bookmarkEnd w:id="271"/>
      <w:bookmarkStart w:id="272" w:name="_Toc184312086"/>
      <w:bookmarkEnd w:id="272"/>
      <w:bookmarkStart w:id="273" w:name="_Toc184313277"/>
      <w:bookmarkEnd w:id="273"/>
      <w:bookmarkStart w:id="274" w:name="_Toc184310289"/>
      <w:bookmarkEnd w:id="274"/>
      <w:bookmarkStart w:id="275" w:name="_Toc184313298"/>
      <w:bookmarkEnd w:id="275"/>
      <w:bookmarkStart w:id="276" w:name="_Toc184308056"/>
      <w:bookmarkEnd w:id="276"/>
      <w:bookmarkStart w:id="277" w:name="_Toc184314417"/>
      <w:bookmarkEnd w:id="277"/>
      <w:bookmarkStart w:id="278" w:name="_Toc184308067"/>
      <w:bookmarkEnd w:id="278"/>
      <w:bookmarkStart w:id="279" w:name="_Toc184313274"/>
      <w:bookmarkEnd w:id="279"/>
      <w:bookmarkStart w:id="280" w:name="_Toc184313261"/>
      <w:bookmarkEnd w:id="280"/>
      <w:bookmarkStart w:id="281" w:name="_Toc184313252"/>
      <w:bookmarkEnd w:id="281"/>
      <w:bookmarkStart w:id="282" w:name="_Toc184310321"/>
      <w:bookmarkEnd w:id="282"/>
      <w:bookmarkStart w:id="283" w:name="_Toc184308093"/>
      <w:bookmarkEnd w:id="283"/>
      <w:bookmarkStart w:id="284" w:name="_Toc184314429"/>
      <w:bookmarkEnd w:id="284"/>
      <w:bookmarkStart w:id="285" w:name="_Toc184308073"/>
      <w:bookmarkEnd w:id="285"/>
      <w:bookmarkStart w:id="286" w:name="_Toc184314466"/>
      <w:bookmarkEnd w:id="286"/>
      <w:bookmarkStart w:id="287" w:name="_Toc184310272"/>
      <w:bookmarkEnd w:id="287"/>
      <w:bookmarkStart w:id="288" w:name="_Toc184308070"/>
      <w:bookmarkEnd w:id="288"/>
      <w:bookmarkStart w:id="289" w:name="_Toc184308040"/>
      <w:bookmarkEnd w:id="289"/>
      <w:bookmarkStart w:id="290" w:name="_Toc184314452"/>
      <w:bookmarkEnd w:id="290"/>
      <w:bookmarkStart w:id="291" w:name="_Toc184314432"/>
      <w:bookmarkEnd w:id="291"/>
      <w:bookmarkStart w:id="292" w:name="_Toc184312098"/>
      <w:bookmarkEnd w:id="292"/>
      <w:bookmarkStart w:id="293" w:name="_Toc184310325"/>
      <w:bookmarkEnd w:id="293"/>
      <w:bookmarkStart w:id="294" w:name="_Toc184312078"/>
      <w:bookmarkEnd w:id="294"/>
      <w:bookmarkStart w:id="295" w:name="_Toc184312104"/>
      <w:bookmarkEnd w:id="295"/>
      <w:bookmarkStart w:id="296" w:name="_Toc184313281"/>
      <w:bookmarkEnd w:id="296"/>
      <w:bookmarkStart w:id="297" w:name="_Toc184313256"/>
      <w:bookmarkEnd w:id="297"/>
      <w:bookmarkStart w:id="298" w:name="_Toc184313310"/>
      <w:bookmarkEnd w:id="298"/>
      <w:bookmarkStart w:id="299" w:name="_Toc184314457"/>
      <w:bookmarkEnd w:id="299"/>
      <w:bookmarkStart w:id="300" w:name="_Toc184310303"/>
      <w:bookmarkEnd w:id="300"/>
      <w:bookmarkStart w:id="301" w:name="_Toc184314434"/>
      <w:bookmarkEnd w:id="301"/>
      <w:bookmarkStart w:id="302" w:name="_Toc184312110"/>
      <w:bookmarkEnd w:id="302"/>
      <w:bookmarkStart w:id="303" w:name="_Toc184308085"/>
      <w:bookmarkEnd w:id="303"/>
      <w:bookmarkStart w:id="304" w:name="_Toc184312069"/>
      <w:bookmarkEnd w:id="304"/>
      <w:bookmarkStart w:id="305" w:name="_Toc184308039"/>
      <w:bookmarkEnd w:id="305"/>
      <w:bookmarkStart w:id="306" w:name="_Toc184312083"/>
      <w:bookmarkEnd w:id="306"/>
      <w:bookmarkStart w:id="307" w:name="_Toc184310285"/>
      <w:bookmarkEnd w:id="307"/>
      <w:bookmarkStart w:id="308" w:name="_Toc184313272"/>
      <w:bookmarkEnd w:id="308"/>
      <w:bookmarkStart w:id="309" w:name="_Toc184308087"/>
      <w:bookmarkEnd w:id="309"/>
      <w:bookmarkStart w:id="310" w:name="_Toc184310277"/>
      <w:bookmarkEnd w:id="310"/>
      <w:bookmarkStart w:id="311" w:name="_Toc184308103"/>
      <w:bookmarkEnd w:id="311"/>
      <w:bookmarkStart w:id="312" w:name="_Toc184308086"/>
      <w:bookmarkEnd w:id="312"/>
      <w:bookmarkStart w:id="313" w:name="_Toc184313239"/>
      <w:bookmarkEnd w:id="313"/>
      <w:bookmarkStart w:id="314" w:name="_Toc184312135"/>
      <w:bookmarkEnd w:id="314"/>
      <w:bookmarkStart w:id="315" w:name="_Toc184314433"/>
      <w:bookmarkEnd w:id="315"/>
      <w:bookmarkStart w:id="316" w:name="_Toc184313295"/>
      <w:bookmarkEnd w:id="316"/>
      <w:bookmarkStart w:id="317" w:name="_Toc184310328"/>
      <w:bookmarkEnd w:id="317"/>
      <w:bookmarkStart w:id="318" w:name="_Toc184308069"/>
      <w:bookmarkEnd w:id="318"/>
      <w:bookmarkStart w:id="319" w:name="_Toc184313308"/>
      <w:bookmarkEnd w:id="319"/>
      <w:bookmarkStart w:id="320" w:name="_Toc184312091"/>
      <w:bookmarkEnd w:id="320"/>
      <w:bookmarkStart w:id="321" w:name="_Toc184308083"/>
      <w:bookmarkEnd w:id="321"/>
      <w:bookmarkStart w:id="322" w:name="_Toc184314469"/>
      <w:bookmarkEnd w:id="322"/>
      <w:bookmarkStart w:id="323" w:name="_Toc184313300"/>
      <w:bookmarkEnd w:id="323"/>
      <w:bookmarkStart w:id="324" w:name="_Toc184310294"/>
      <w:bookmarkEnd w:id="324"/>
      <w:bookmarkStart w:id="325" w:name="_Toc184312124"/>
      <w:bookmarkEnd w:id="325"/>
      <w:bookmarkStart w:id="326" w:name="_Toc184312112"/>
      <w:bookmarkEnd w:id="326"/>
      <w:bookmarkStart w:id="327" w:name="_Toc184310315"/>
      <w:bookmarkEnd w:id="327"/>
      <w:bookmarkStart w:id="328" w:name="_Toc184314458"/>
      <w:bookmarkEnd w:id="328"/>
      <w:bookmarkStart w:id="329" w:name="_Toc184310299"/>
      <w:bookmarkEnd w:id="329"/>
      <w:bookmarkStart w:id="330" w:name="_Toc184313262"/>
      <w:bookmarkEnd w:id="330"/>
      <w:bookmarkStart w:id="331" w:name="_Toc184312133"/>
      <w:bookmarkEnd w:id="331"/>
      <w:bookmarkStart w:id="332" w:name="_Toc184310337"/>
      <w:bookmarkEnd w:id="332"/>
      <w:bookmarkStart w:id="333" w:name="_Toc184308077"/>
      <w:bookmarkEnd w:id="333"/>
      <w:bookmarkStart w:id="334" w:name="_Toc184314447"/>
      <w:bookmarkEnd w:id="334"/>
      <w:bookmarkStart w:id="335" w:name="_Toc184308098"/>
      <w:bookmarkEnd w:id="335"/>
      <w:bookmarkStart w:id="336" w:name="_Toc184312094"/>
      <w:bookmarkEnd w:id="336"/>
      <w:bookmarkStart w:id="337" w:name="_Toc184310324"/>
      <w:bookmarkEnd w:id="337"/>
      <w:bookmarkStart w:id="338" w:name="_Toc184313294"/>
      <w:bookmarkEnd w:id="338"/>
      <w:bookmarkStart w:id="339" w:name="_Toc184314465"/>
      <w:bookmarkEnd w:id="339"/>
      <w:bookmarkStart w:id="340" w:name="_Toc184313291"/>
      <w:bookmarkEnd w:id="340"/>
      <w:bookmarkStart w:id="341" w:name="_Toc184314420"/>
      <w:bookmarkEnd w:id="341"/>
      <w:bookmarkStart w:id="342" w:name="_Toc184313278"/>
      <w:bookmarkEnd w:id="342"/>
      <w:bookmarkStart w:id="343" w:name="_Toc184312129"/>
      <w:bookmarkEnd w:id="343"/>
      <w:bookmarkStart w:id="344" w:name="_Toc184313299"/>
      <w:bookmarkEnd w:id="344"/>
      <w:bookmarkStart w:id="345" w:name="_Toc184313286"/>
      <w:bookmarkEnd w:id="345"/>
      <w:bookmarkStart w:id="346" w:name="_Toc184308046"/>
      <w:bookmarkEnd w:id="346"/>
      <w:bookmarkStart w:id="347" w:name="_Toc184313267"/>
      <w:bookmarkEnd w:id="347"/>
      <w:bookmarkStart w:id="348" w:name="_Toc184308059"/>
      <w:bookmarkEnd w:id="348"/>
      <w:bookmarkStart w:id="349" w:name="_Toc184310343"/>
      <w:bookmarkEnd w:id="349"/>
      <w:bookmarkStart w:id="350" w:name="_Toc184314431"/>
      <w:bookmarkEnd w:id="350"/>
      <w:bookmarkStart w:id="351" w:name="_Toc184310335"/>
      <w:bookmarkEnd w:id="351"/>
      <w:bookmarkStart w:id="352" w:name="_Toc184314410"/>
      <w:bookmarkEnd w:id="352"/>
      <w:bookmarkStart w:id="353" w:name="_Toc184312100"/>
      <w:bookmarkEnd w:id="353"/>
      <w:bookmarkStart w:id="354" w:name="_Toc184310319"/>
      <w:bookmarkEnd w:id="354"/>
      <w:bookmarkStart w:id="355" w:name="_Toc184308042"/>
      <w:bookmarkEnd w:id="355"/>
      <w:bookmarkStart w:id="356" w:name="_Toc184310330"/>
      <w:bookmarkEnd w:id="356"/>
      <w:bookmarkStart w:id="357" w:name="_Toc184308049"/>
      <w:bookmarkEnd w:id="357"/>
      <w:bookmarkStart w:id="358" w:name="_Toc184308075"/>
      <w:bookmarkEnd w:id="358"/>
      <w:bookmarkStart w:id="359" w:name="_Toc184314418"/>
      <w:bookmarkEnd w:id="359"/>
      <w:bookmarkStart w:id="360" w:name="_Toc184312074"/>
      <w:bookmarkEnd w:id="360"/>
      <w:bookmarkStart w:id="361" w:name="_Toc184313287"/>
      <w:bookmarkEnd w:id="361"/>
      <w:bookmarkStart w:id="362" w:name="_Toc184312080"/>
      <w:bookmarkEnd w:id="362"/>
      <w:bookmarkStart w:id="363" w:name="_Toc184308102"/>
      <w:bookmarkEnd w:id="363"/>
      <w:bookmarkStart w:id="364" w:name="_Toc184312132"/>
      <w:bookmarkEnd w:id="364"/>
      <w:bookmarkStart w:id="365" w:name="_Toc184312076"/>
      <w:bookmarkEnd w:id="365"/>
      <w:bookmarkStart w:id="366" w:name="_Toc184312122"/>
      <w:bookmarkEnd w:id="366"/>
      <w:bookmarkStart w:id="367" w:name="_Toc184308053"/>
      <w:bookmarkEnd w:id="367"/>
      <w:bookmarkStart w:id="368" w:name="_Toc184308062"/>
      <w:bookmarkEnd w:id="368"/>
      <w:bookmarkStart w:id="369" w:name="_Toc184310279"/>
      <w:bookmarkEnd w:id="369"/>
      <w:bookmarkStart w:id="370" w:name="_Toc184312111"/>
      <w:bookmarkEnd w:id="370"/>
      <w:bookmarkStart w:id="371" w:name="_Toc184308074"/>
      <w:bookmarkEnd w:id="371"/>
      <w:bookmarkStart w:id="372" w:name="_Toc184314445"/>
      <w:bookmarkEnd w:id="372"/>
      <w:bookmarkStart w:id="373" w:name="_Toc184312096"/>
      <w:bookmarkEnd w:id="373"/>
      <w:bookmarkStart w:id="374" w:name="_Toc184312084"/>
      <w:bookmarkEnd w:id="374"/>
      <w:bookmarkStart w:id="375" w:name="_Toc184308037"/>
      <w:bookmarkEnd w:id="375"/>
      <w:bookmarkStart w:id="376" w:name="_Toc184313282"/>
      <w:bookmarkEnd w:id="376"/>
      <w:bookmarkStart w:id="377" w:name="_Toc184308044"/>
      <w:bookmarkEnd w:id="377"/>
      <w:bookmarkStart w:id="378" w:name="_Toc184313273"/>
      <w:bookmarkEnd w:id="378"/>
      <w:bookmarkStart w:id="379" w:name="_Toc184312102"/>
      <w:bookmarkEnd w:id="379"/>
      <w:bookmarkStart w:id="380" w:name="_Toc184310333"/>
      <w:bookmarkEnd w:id="380"/>
      <w:bookmarkStart w:id="381" w:name="_Toc184312113"/>
      <w:bookmarkEnd w:id="381"/>
      <w:bookmarkStart w:id="382" w:name="_Toc184314464"/>
      <w:bookmarkEnd w:id="382"/>
      <w:bookmarkStart w:id="383" w:name="_Toc184314440"/>
      <w:bookmarkEnd w:id="383"/>
      <w:bookmarkStart w:id="384" w:name="_Toc184308100"/>
      <w:bookmarkEnd w:id="384"/>
      <w:bookmarkStart w:id="385" w:name="_Toc184312108"/>
      <w:bookmarkEnd w:id="385"/>
      <w:bookmarkStart w:id="386" w:name="_Toc184313293"/>
      <w:bookmarkEnd w:id="386"/>
      <w:bookmarkStart w:id="387" w:name="_Toc184308105"/>
      <w:bookmarkEnd w:id="387"/>
      <w:bookmarkStart w:id="388" w:name="_Toc184310290"/>
      <w:bookmarkEnd w:id="388"/>
      <w:bookmarkStart w:id="389" w:name="_Toc184312128"/>
      <w:bookmarkEnd w:id="389"/>
      <w:bookmarkStart w:id="390" w:name="_Toc184314435"/>
      <w:bookmarkEnd w:id="390"/>
      <w:bookmarkStart w:id="391" w:name="_Toc184308104"/>
      <w:bookmarkEnd w:id="391"/>
      <w:bookmarkStart w:id="392" w:name="_Toc184310317"/>
      <w:bookmarkEnd w:id="392"/>
      <w:bookmarkStart w:id="393" w:name="_Toc184314437"/>
      <w:bookmarkEnd w:id="393"/>
      <w:bookmarkStart w:id="394" w:name="_Toc184313296"/>
      <w:bookmarkEnd w:id="394"/>
      <w:bookmarkStart w:id="395" w:name="_Toc184310314"/>
      <w:bookmarkEnd w:id="395"/>
      <w:bookmarkStart w:id="396" w:name="_Toc184310306"/>
      <w:bookmarkEnd w:id="396"/>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评审办法</w:t>
      </w: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评审办法前附表</w:t>
      </w:r>
    </w:p>
    <w:p>
      <w:pPr>
        <w:widowControl/>
        <w:adjustRightInd/>
        <w:spacing w:line="360" w:lineRule="auto"/>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1、商务技术部分（80分）</w:t>
      </w:r>
    </w:p>
    <w:p>
      <w:pPr>
        <w:widowControl/>
        <w:adjustRightInd/>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1.1 商务资信（2分）</w:t>
      </w:r>
    </w:p>
    <w:tbl>
      <w:tblPr>
        <w:tblStyle w:val="62"/>
        <w:tblW w:w="5891" w:type="pct"/>
        <w:tblInd w:w="-7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22"/>
        <w:gridCol w:w="1074"/>
        <w:gridCol w:w="5608"/>
        <w:gridCol w:w="1492"/>
        <w:gridCol w:w="1402"/>
      </w:tblGrid>
      <w:tr>
        <w:trPr>
          <w:trHeight w:val="436" w:hRule="atLeast"/>
        </w:trPr>
        <w:tc>
          <w:tcPr>
            <w:tcW w:w="524" w:type="pct"/>
            <w:vAlign w:val="center"/>
          </w:tcPr>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项目</w:t>
            </w:r>
          </w:p>
        </w:tc>
        <w:tc>
          <w:tcPr>
            <w:tcW w:w="502" w:type="pct"/>
            <w:vAlign w:val="center"/>
          </w:tcPr>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序号</w:t>
            </w:r>
          </w:p>
        </w:tc>
        <w:tc>
          <w:tcPr>
            <w:tcW w:w="2620" w:type="pct"/>
            <w:vAlign w:val="center"/>
          </w:tcPr>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评分内容和标准具体描述</w:t>
            </w:r>
          </w:p>
        </w:tc>
        <w:tc>
          <w:tcPr>
            <w:tcW w:w="697" w:type="pct"/>
            <w:vAlign w:val="center"/>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权重</w:t>
            </w:r>
          </w:p>
        </w:tc>
        <w:tc>
          <w:tcPr>
            <w:tcW w:w="655" w:type="pct"/>
            <w:vAlign w:val="center"/>
          </w:tcPr>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主/客</w:t>
            </w:r>
          </w:p>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观分</w:t>
            </w:r>
          </w:p>
        </w:tc>
      </w:tr>
      <w:tr>
        <w:trPr>
          <w:trHeight w:val="2072" w:hRule="atLeast"/>
        </w:trPr>
        <w:tc>
          <w:tcPr>
            <w:tcW w:w="524" w:type="pct"/>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商务资信</w:t>
            </w:r>
          </w:p>
        </w:tc>
        <w:tc>
          <w:tcPr>
            <w:tcW w:w="502" w:type="pct"/>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2620" w:type="pct"/>
            <w:vAlign w:val="center"/>
          </w:tcPr>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供应商自2022年1月1日（含）以来（以合同签订时间为准）承担过类似服务项目业绩，每提供一个业绩得1分，最高得2分。（提供合同扫描件，否则不得分。）</w:t>
            </w:r>
          </w:p>
        </w:tc>
        <w:tc>
          <w:tcPr>
            <w:tcW w:w="697" w:type="pct"/>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0-2分</w:t>
            </w:r>
          </w:p>
        </w:tc>
        <w:tc>
          <w:tcPr>
            <w:tcW w:w="655" w:type="pct"/>
            <w:vAlign w:val="center"/>
          </w:tcPr>
          <w:p>
            <w:pPr>
              <w:pStyle w:val="954"/>
              <w:autoSpaceDE w:val="0"/>
              <w:autoSpaceDN w:val="0"/>
              <w:adjustRightInd w:val="0"/>
              <w:snapToGrid w:val="0"/>
              <w:spacing w:line="360" w:lineRule="auto"/>
              <w:jc w:val="center"/>
              <w:rPr>
                <w:rFonts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kern w:val="28"/>
                <w:sz w:val="24"/>
                <w:szCs w:val="24"/>
                <w:highlight w:val="none"/>
                <w:lang w:eastAsia="zh-CN"/>
                <w14:textFill>
                  <w14:solidFill>
                    <w14:schemeClr w14:val="tx1"/>
                  </w14:solidFill>
                </w14:textFill>
              </w:rPr>
              <w:t>客观分</w:t>
            </w:r>
          </w:p>
        </w:tc>
      </w:tr>
    </w:tbl>
    <w:p>
      <w:pPr>
        <w:widowControl/>
        <w:adjustRightInd/>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p>
      <w:pPr>
        <w:widowControl/>
        <w:adjustRightInd/>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1.2 技术部分（78分）</w:t>
      </w:r>
    </w:p>
    <w:tbl>
      <w:tblPr>
        <w:tblStyle w:val="62"/>
        <w:tblW w:w="10684" w:type="dxa"/>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023"/>
        <w:gridCol w:w="1139"/>
        <w:gridCol w:w="5611"/>
        <w:gridCol w:w="1511"/>
        <w:gridCol w:w="1400"/>
      </w:tblGrid>
      <w:tr>
        <w:trPr>
          <w:trHeight w:val="937" w:hRule="atLeast"/>
        </w:trPr>
        <w:tc>
          <w:tcPr>
            <w:tcW w:w="102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w:t>
            </w: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序号</w:t>
            </w:r>
          </w:p>
        </w:tc>
        <w:tc>
          <w:tcPr>
            <w:tcW w:w="56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评分内容和标准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权重</w:t>
            </w:r>
          </w:p>
        </w:tc>
        <w:tc>
          <w:tcPr>
            <w:tcW w:w="1400" w:type="dxa"/>
            <w:tcBorders>
              <w:top w:val="single" w:color="auto" w:sz="4" w:space="0"/>
              <w:left w:val="single" w:color="auto" w:sz="4" w:space="0"/>
              <w:bottom w:val="single" w:color="auto" w:sz="4" w:space="0"/>
              <w:right w:val="single" w:color="auto" w:sz="4" w:space="0"/>
            </w:tcBorders>
            <w:shd w:val="clear" w:color="auto" w:fill="FFFFFF"/>
          </w:tcPr>
          <w:p>
            <w:pPr>
              <w:widowControl/>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主/客观分</w:t>
            </w:r>
          </w:p>
        </w:tc>
      </w:tr>
      <w:tr>
        <w:trPr>
          <w:trHeight w:val="23" w:hRule="atLeast"/>
        </w:trPr>
        <w:tc>
          <w:tcPr>
            <w:tcW w:w="102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1"/>
                <w:sz w:val="24"/>
                <w:highlight w:val="none"/>
                <w14:textFill>
                  <w14:solidFill>
                    <w14:schemeClr w14:val="tx1"/>
                  </w14:solidFill>
                </w14:textFill>
              </w:rPr>
              <w:t>技术分</w:t>
            </w: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56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根据对本项目的理解、服务定位、工作目标和服务方案等的理解的深入性、响应的准确性、方案的合理性和可操作性等情况综合评定对比打分。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①理解深刻、定位准确、目标清晰、服务方案合理可行的，得9-12分。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②能够理解本项目、定位合理、有目标、服务方案一般的，得5-8分。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③对本项目的理解有偏差，定位不合理、目标不清晰，服务方案不合理的，得1-4分。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④未提供不得分。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0-12分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641"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p>
        </w:tc>
        <w:tc>
          <w:tcPr>
            <w:tcW w:w="5611" w:type="dxa"/>
            <w:tcBorders>
              <w:top w:val="single" w:color="auto" w:sz="4" w:space="0"/>
              <w:left w:val="single" w:color="auto" w:sz="4" w:space="0"/>
              <w:right w:val="single" w:color="auto" w:sz="4" w:space="0"/>
            </w:tcBorders>
            <w:shd w:val="clear" w:color="auto" w:fill="FFFFFF"/>
            <w:vAlign w:val="center"/>
          </w:tcPr>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根据供应商对项目设计的亮点、创新点，区别以往项目的特色设计、推陈出新等情况综合评定对比打分。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①亮点突出、创新性强、合理可行的，得7-10分。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②有一定亮点和创新性的，得4-6分。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③亮点一般、创新性不够强的，得1-3分。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④未提供不得分。</w:t>
            </w:r>
          </w:p>
        </w:tc>
        <w:tc>
          <w:tcPr>
            <w:tcW w:w="1511" w:type="dxa"/>
            <w:tcBorders>
              <w:top w:val="single" w:color="auto" w:sz="4" w:space="0"/>
              <w:left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0-10分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1046"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w:t>
            </w:r>
          </w:p>
        </w:tc>
        <w:tc>
          <w:tcPr>
            <w:tcW w:w="56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根据供应商提供的重大活动、节假日方案及意外事件应急预案等措施，综合评定对比打分。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①应急预案措施合理可行、全面的，得7-9分。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②应急预案措施一般、不够全面的，得4-6分。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③应急预案措施不具操作性、不全面的，得1-3分。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④未提供不得分。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0-9分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986"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w:t>
            </w:r>
          </w:p>
        </w:tc>
        <w:tc>
          <w:tcPr>
            <w:tcW w:w="5611" w:type="dxa"/>
            <w:tcBorders>
              <w:top w:val="single" w:color="auto" w:sz="4" w:space="0"/>
              <w:left w:val="single" w:color="auto" w:sz="4" w:space="0"/>
              <w:right w:val="single" w:color="auto" w:sz="4" w:space="0"/>
            </w:tcBorders>
            <w:shd w:val="clear" w:color="auto" w:fill="FFFFFF"/>
            <w:vAlign w:val="center"/>
          </w:tcPr>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管理模式以及组织架构的完善性、科学行、合理性，是否保证管理落实到位等情况综合评定对比打分。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①管理模式科学合理、组织架构健全完善、管理措施可行到位的，得7-8分。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②有管理模式和组织架构，管理措施基本可行的，得4-6分。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③管理模式不尽合理，组织架构不健全，管理措施不完善的，得1-3分。</w:t>
            </w:r>
          </w:p>
          <w:p>
            <w:pPr>
              <w:widowControl/>
              <w:spacing w:line="360" w:lineRule="auto"/>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PingFang SC" w:hAnsi="PingFang SC" w:eastAsia="PingFang SC" w:cs="PingFang SC"/>
                <w:color w:val="000000" w:themeColor="text1"/>
                <w:kern w:val="0"/>
                <w:sz w:val="24"/>
                <w:highlight w:val="none"/>
                <w14:textFill>
                  <w14:solidFill>
                    <w14:schemeClr w14:val="tx1"/>
                  </w14:solidFill>
                </w14:textFill>
              </w:rPr>
              <w:t>④</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未提供不得分。</w:t>
            </w:r>
          </w:p>
        </w:tc>
        <w:tc>
          <w:tcPr>
            <w:tcW w:w="1511" w:type="dxa"/>
            <w:tcBorders>
              <w:top w:val="single" w:color="auto" w:sz="4" w:space="0"/>
              <w:left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0-8分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1006"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w:t>
            </w:r>
          </w:p>
        </w:tc>
        <w:tc>
          <w:tcPr>
            <w:tcW w:w="56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针对本项目具体活动内容投入的人员配置、文化水平及年龄结构、相应的人员专业程度等情况综合评定对比打分，本评分项满分9分。</w:t>
            </w:r>
          </w:p>
          <w:p>
            <w:pPr>
              <w:widowControl/>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配置的人员不得少于3人，在此前提下，所配置的人员具备以下条件的得相应分值：</w:t>
            </w:r>
          </w:p>
          <w:p>
            <w:pPr>
              <w:widowControl/>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同时具备：年龄不超过40岁，社会工作专业本科或以上毕业，每有1人得3分。</w:t>
            </w:r>
          </w:p>
          <w:p>
            <w:pPr>
              <w:widowControl/>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提供身份证、毕业证或学位证或学信网下载的认证信息、职称证扫描件，证件证书均须有效。</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0-9分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客观分</w:t>
            </w:r>
          </w:p>
        </w:tc>
      </w:tr>
      <w:tr>
        <w:trPr>
          <w:trHeight w:val="23"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w:t>
            </w:r>
          </w:p>
        </w:tc>
        <w:tc>
          <w:tcPr>
            <w:tcW w:w="5611" w:type="dxa"/>
            <w:tcBorders>
              <w:top w:val="single" w:color="auto" w:sz="4" w:space="0"/>
              <w:left w:val="single" w:color="auto" w:sz="4" w:space="0"/>
              <w:bottom w:val="single" w:color="auto" w:sz="4" w:space="0"/>
              <w:right w:val="single" w:color="auto" w:sz="4" w:space="0"/>
            </w:tcBorders>
            <w:shd w:val="clear" w:color="auto" w:fill="FFFFFF"/>
          </w:tcPr>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财务人员1人，年龄不超过40岁，财会专业大专或大专以上毕业，得3分。满分3分。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提供有效的身份证、毕业证或学位证或学信网下载的认证信息、证件证书均须有效。</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0-3分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客观分</w:t>
            </w:r>
          </w:p>
        </w:tc>
      </w:tr>
      <w:tr>
        <w:trPr>
          <w:trHeight w:val="23"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7</w:t>
            </w:r>
          </w:p>
        </w:tc>
        <w:tc>
          <w:tcPr>
            <w:tcW w:w="5611" w:type="dxa"/>
            <w:tcBorders>
              <w:top w:val="single" w:color="auto" w:sz="4" w:space="0"/>
              <w:left w:val="single" w:color="auto" w:sz="4" w:space="0"/>
              <w:bottom w:val="single" w:color="auto" w:sz="4" w:space="0"/>
              <w:right w:val="single" w:color="auto" w:sz="4" w:space="0"/>
            </w:tcBorders>
            <w:shd w:val="clear" w:color="auto" w:fill="FFFFFF"/>
          </w:tcPr>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建立档案管理制度，服务档案信息由专人管理，并做好信息保密工作，及时向业主方反馈等情况综合评定对比打分。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有健全的档案管理制度，有明确的专人管理服务档案信息，信息安全保密工作措施严谨完善，建立了及时向业主方反馈机制的，得7-8分。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②</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有档案管理制度，服务档案信息有人管理，有信息保密工作措施，可以及时向业主方反馈的，得4-6分。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③</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档案管理制度不完善，服务档案信息没有指定管理人员，信息保密工作措施不健全，没有建立及时向业主方反馈机制的，得1-3分。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PingFang SC" w:hAnsi="PingFang SC" w:eastAsia="PingFang SC" w:cs="PingFang SC"/>
                <w:color w:val="000000" w:themeColor="text1"/>
                <w:kern w:val="0"/>
                <w:sz w:val="24"/>
                <w:highlight w:val="none"/>
                <w14:textFill>
                  <w14:solidFill>
                    <w14:schemeClr w14:val="tx1"/>
                  </w14:solidFill>
                </w14:textFill>
              </w:rPr>
              <w:t>④</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0-8分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23"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8</w:t>
            </w:r>
          </w:p>
        </w:tc>
        <w:tc>
          <w:tcPr>
            <w:tcW w:w="5611" w:type="dxa"/>
            <w:tcBorders>
              <w:top w:val="single" w:color="auto" w:sz="4" w:space="0"/>
              <w:left w:val="single" w:color="auto" w:sz="4" w:space="0"/>
              <w:bottom w:val="single" w:color="auto" w:sz="4" w:space="0"/>
              <w:right w:val="single" w:color="auto" w:sz="4" w:space="0"/>
            </w:tcBorders>
            <w:shd w:val="clear" w:color="auto" w:fill="FFFFFF"/>
          </w:tcPr>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建立服务本项目的服务质量和服务效果内部考核机制。</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考核机制有针对性、全面、合理可行的，得4-5分。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②</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考核机制不够全面、可行，针对性不强的，得1-3分。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③</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0-5分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23"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9</w:t>
            </w:r>
          </w:p>
        </w:tc>
        <w:tc>
          <w:tcPr>
            <w:tcW w:w="5611" w:type="dxa"/>
            <w:tcBorders>
              <w:top w:val="single" w:color="auto" w:sz="4" w:space="0"/>
              <w:left w:val="single" w:color="auto" w:sz="4" w:space="0"/>
              <w:bottom w:val="single" w:color="auto" w:sz="4" w:space="0"/>
              <w:right w:val="single" w:color="auto" w:sz="4" w:space="0"/>
            </w:tcBorders>
            <w:shd w:val="clear" w:color="auto" w:fill="FFFFFF"/>
          </w:tcPr>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根据供应商提供的项目宣传方案，包括但不限于通过社区公告栏等途径进行区级及以上媒体宣传以及推广，根据方案的科学性、合理性以及宣传力度等方面进行综合评定对比打分。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Theme="minorEastAsia" w:hAnsiTheme="minorEastAsia" w:eastAsiaTheme="minorEastAsia" w:cstheme="minorEastAsia"/>
                <w:color w:val="000000" w:themeColor="text1"/>
                <w:sz w:val="24"/>
                <w:highlight w:val="none"/>
                <w14:textFill>
                  <w14:solidFill>
                    <w14:schemeClr w14:val="tx1"/>
                  </w14:solidFill>
                </w14:textFill>
              </w:rPr>
              <w:t>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宣传方案科学全面、合理可行，渠道多元、力度大的，得7-8分。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Theme="minorEastAsia" w:hAnsiTheme="minorEastAsia" w:eastAsiaTheme="minorEastAsia" w:cstheme="minorEastAsia"/>
                <w:color w:val="000000" w:themeColor="text1"/>
                <w:sz w:val="24"/>
                <w:highlight w:val="none"/>
                <w14:textFill>
                  <w14:solidFill>
                    <w14:schemeClr w14:val="tx1"/>
                  </w14:solidFill>
                </w14:textFill>
              </w:rPr>
              <w:t>②</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宣传方案可行，渠道和力度一般的，得4-6分。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Theme="minorEastAsia" w:hAnsiTheme="minorEastAsia" w:eastAsiaTheme="minorEastAsia" w:cstheme="minorEastAsia"/>
                <w:color w:val="000000" w:themeColor="text1"/>
                <w:sz w:val="24"/>
                <w:highlight w:val="none"/>
                <w14:textFill>
                  <w14:solidFill>
                    <w14:schemeClr w14:val="tx1"/>
                  </w14:solidFill>
                </w14:textFill>
              </w:rPr>
              <w:t>③</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宣传方案简单，渠道少和力度不大的，得1-3分。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④未提供不得分。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0-8分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r>
        <w:trPr>
          <w:trHeight w:val="23" w:hRule="atLeast"/>
        </w:trPr>
        <w:tc>
          <w:tcPr>
            <w:tcW w:w="1023" w:type="dxa"/>
            <w:vMerge w:val="continue"/>
            <w:tcBorders>
              <w:left w:val="single" w:color="auto" w:sz="4" w:space="0"/>
              <w:right w:val="single" w:color="auto" w:sz="4" w:space="0"/>
            </w:tcBorders>
            <w:shd w:val="clear" w:color="auto" w:fill="FFFFFF"/>
            <w:vAlign w:val="center"/>
          </w:tcPr>
          <w:p>
            <w:pPr>
              <w:widowControl/>
              <w:snapToGrid w:val="0"/>
              <w:spacing w:line="360" w:lineRule="auto"/>
              <w:jc w:val="left"/>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13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10</w:t>
            </w:r>
          </w:p>
        </w:tc>
        <w:tc>
          <w:tcPr>
            <w:tcW w:w="5611" w:type="dxa"/>
            <w:tcBorders>
              <w:top w:val="single" w:color="auto" w:sz="4" w:space="0"/>
              <w:left w:val="single" w:color="auto" w:sz="4" w:space="0"/>
              <w:bottom w:val="single" w:color="auto" w:sz="4" w:space="0"/>
              <w:right w:val="single" w:color="auto" w:sz="4" w:space="0"/>
            </w:tcBorders>
            <w:shd w:val="clear" w:color="auto" w:fill="FFFFFF"/>
          </w:tcPr>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根据响应文件内容是否全面、条理是否清晰、编制有序等情况综合评定对比打分。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响应文件逐条响应交易文件要求，内容全面完整、条理清晰、文字表述准确得5-6分。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②</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响应文件响应交易文件的要求、文字表述有内容有部分缺漏、一般的，得3-4分。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ascii="Calibri" w:hAnsi="Calibri" w:cs="Calibri" w:eastAsiaTheme="minorEastAsia"/>
                <w:color w:val="000000" w:themeColor="text1"/>
                <w:sz w:val="24"/>
                <w:highlight w:val="none"/>
                <w14:textFill>
                  <w14:solidFill>
                    <w14:schemeClr w14:val="tx1"/>
                  </w14:solidFill>
                </w14:textFill>
              </w:rPr>
              <w:t>③</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响应文件基本响应交易文件的要求、内容不够全面准确、条理不够清晰的得1-2分。</w:t>
            </w:r>
          </w:p>
          <w:p>
            <w:pPr>
              <w:spacing w:line="360" w:lineRule="auto"/>
              <w:textAlignment w:val="baseline"/>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④未提供不得分。</w:t>
            </w:r>
          </w:p>
        </w:tc>
        <w:tc>
          <w:tcPr>
            <w:tcW w:w="15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0-6分</w:t>
            </w:r>
          </w:p>
        </w:tc>
        <w:tc>
          <w:tcPr>
            <w:tcW w:w="140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360" w:lineRule="auto"/>
              <w:jc w:val="center"/>
              <w:textAlignment w:val="baseline"/>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主观分</w:t>
            </w:r>
          </w:p>
        </w:tc>
      </w:tr>
    </w:tbl>
    <w:p>
      <w:pPr>
        <w:widowControl/>
        <w:adjustRightInd/>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p>
    <w:p>
      <w:pPr>
        <w:widowControl/>
        <w:adjustRightInd/>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备注：</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1、评分条款中涉及的业绩、荣誉、人员、社保等分公司均有效。</w:t>
      </w:r>
    </w:p>
    <w:p>
      <w:pPr>
        <w:widowControl/>
        <w:adjustRightInd/>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响应文件中如附有外文资料，必须逐一对应翻译成中文并加盖供应商公章后附在相关外文资料后面，否则外文资料不予认可。翻译的中文资料与外文资料不符的，均不予认可。翻译严重错误的，将视同提供虚假资料。</w:t>
      </w:r>
    </w:p>
    <w:p>
      <w:pPr>
        <w:widowControl/>
        <w:adjustRightInd/>
        <w:spacing w:line="360" w:lineRule="auto"/>
        <w:ind w:firstLine="480" w:firstLineChars="200"/>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3、供应商编制响应文件（商务技术文件部分）时，建议按此目录（序号和内容）提供评审标准相应的商务技术资料。</w:t>
      </w:r>
    </w:p>
    <w:p>
      <w:pPr>
        <w:widowControl/>
        <w:adjustRightInd/>
        <w:spacing w:line="360" w:lineRule="auto"/>
        <w:ind w:firstLine="480" w:firstLineChars="200"/>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2.价格分（20分）</w:t>
      </w:r>
    </w:p>
    <w:tbl>
      <w:tblPr>
        <w:tblStyle w:val="62"/>
        <w:tblW w:w="84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203"/>
      </w:tblGrid>
      <w:tr>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vAlign w:val="center"/>
          </w:tcPr>
          <w:p>
            <w:pPr>
              <w:widowControl/>
              <w:adjustRightInd/>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价格权值</w:t>
            </w:r>
          </w:p>
        </w:tc>
        <w:tc>
          <w:tcPr>
            <w:tcW w:w="6203" w:type="dxa"/>
            <w:tcBorders>
              <w:top w:val="single" w:color="auto" w:sz="4" w:space="0"/>
              <w:left w:val="single" w:color="auto" w:sz="4" w:space="0"/>
              <w:bottom w:val="single" w:color="auto" w:sz="4" w:space="0"/>
              <w:right w:val="single" w:color="auto" w:sz="4" w:space="0"/>
            </w:tcBorders>
            <w:vAlign w:val="center"/>
          </w:tcPr>
          <w:p>
            <w:pPr>
              <w:widowControl/>
              <w:adjustRightInd/>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计算方法</w:t>
            </w:r>
          </w:p>
        </w:tc>
      </w:tr>
      <w:tr>
        <w:trPr>
          <w:trHeight w:val="1036" w:hRule="atLeast"/>
          <w:jc w:val="center"/>
        </w:trPr>
        <w:tc>
          <w:tcPr>
            <w:tcW w:w="2210" w:type="dxa"/>
            <w:tcBorders>
              <w:top w:val="single" w:color="auto" w:sz="4" w:space="0"/>
              <w:left w:val="single" w:color="auto" w:sz="4" w:space="0"/>
              <w:bottom w:val="single" w:color="auto" w:sz="4" w:space="0"/>
              <w:right w:val="single" w:color="auto" w:sz="4" w:space="0"/>
            </w:tcBorders>
            <w:vAlign w:val="center"/>
          </w:tcPr>
          <w:p>
            <w:pPr>
              <w:widowControl/>
              <w:adjustRightInd/>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价格权值=0.2</w:t>
            </w:r>
          </w:p>
        </w:tc>
        <w:tc>
          <w:tcPr>
            <w:tcW w:w="6203" w:type="dxa"/>
            <w:tcBorders>
              <w:top w:val="single" w:color="auto" w:sz="4" w:space="0"/>
              <w:left w:val="single" w:color="auto" w:sz="4" w:space="0"/>
              <w:bottom w:val="single" w:color="auto" w:sz="4" w:space="0"/>
              <w:right w:val="single" w:color="auto" w:sz="4" w:space="0"/>
            </w:tcBorders>
            <w:vAlign w:val="center"/>
          </w:tcPr>
          <w:p>
            <w:pPr>
              <w:widowControl/>
              <w:adjustRightInd/>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最低有效响应价格为评审基准价</w:t>
            </w:r>
          </w:p>
          <w:p>
            <w:pPr>
              <w:widowControl/>
              <w:adjustRightInd/>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报价得分=(评审基准价／响应报价)×价格权值×100 （计算得分保留小数点后2位）</w:t>
            </w:r>
          </w:p>
        </w:tc>
      </w:tr>
    </w:tbl>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一、评审方法</w:t>
      </w:r>
    </w:p>
    <w:p>
      <w:pPr>
        <w:adjustRightInd/>
        <w:spacing w:line="360" w:lineRule="auto"/>
        <w:ind w:firstLine="471" w:firstLineChars="19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1.本项目采用综合评分法。</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综合评分法，是指投标文件满足交易文件全部实质性要求，且按照评审因素的量化指标评审得分最高的供应商为中标候选人的评标方法。</w:t>
      </w:r>
    </w:p>
    <w:p>
      <w:pPr>
        <w:adjustRightInd/>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二、评标标准</w:t>
      </w:r>
    </w:p>
    <w:p>
      <w:pPr>
        <w:spacing w:line="360" w:lineRule="auto"/>
        <w:ind w:firstLine="471" w:firstLineChars="196"/>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评标标准：</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见评审办法前附表。</w:t>
      </w:r>
    </w:p>
    <w:p>
      <w:pPr>
        <w:spacing w:line="360" w:lineRule="auto"/>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三、评标程序</w:t>
      </w:r>
    </w:p>
    <w:p>
      <w:pPr>
        <w:spacing w:line="360" w:lineRule="auto"/>
        <w:ind w:firstLine="471" w:firstLineChars="19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3.1符合性审查。</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评标委员会应当对符合资格的投标人的投标文件进行符合性审查，以确定其是否满足交易文件的实质性要求。不满足交易文件的实质性要求的，投标无效。</w:t>
      </w:r>
    </w:p>
    <w:p>
      <w:pPr>
        <w:spacing w:line="360" w:lineRule="auto"/>
        <w:ind w:firstLine="471" w:firstLineChars="19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3.2 比较与评价。</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评标委员会应当按照交易文件中规定的评标方法和标准，对符合性审查合格的投标文件进行商务和技术评估，综合比较与评价。</w:t>
      </w:r>
    </w:p>
    <w:p>
      <w:pPr>
        <w:spacing w:line="360" w:lineRule="auto"/>
        <w:ind w:firstLine="471" w:firstLineChars="19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3.3汇总商务技术得分。</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pPr>
        <w:spacing w:line="360" w:lineRule="auto"/>
        <w:ind w:firstLine="471" w:firstLineChars="196"/>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3.4报价评审。</w:t>
      </w:r>
    </w:p>
    <w:p>
      <w:pPr>
        <w:pStyle w:val="128"/>
        <w:spacing w:before="0"/>
        <w:ind w:firstLine="508" w:firstLineChars="212"/>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3.4.1投标文件报价出现前后不一致的，按照下列规定修正：</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3.4.1.2大写金额和小写金额不一致的，以大写金额为准;</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3.4.1.4总价金额与按单价汇总金额不一致的，以单价金额计算结果为准。</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3.4.2投标文件出现不是唯一的、有选择性投标报价的，投标无效。</w:t>
      </w:r>
    </w:p>
    <w:p>
      <w:pPr>
        <w:snapToGrid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3.4.3投标报价超过交易文件中规定的预算金额或者最高限价的，投标无效。</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3.5排序与推荐。</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交易文件全部实质性要求，且按照评审因素的量化指标评审得分最高的投标人为排名第一的中标候选人。</w:t>
      </w:r>
    </w:p>
    <w:p>
      <w:pPr>
        <w:spacing w:line="360" w:lineRule="auto"/>
        <w:ind w:firstLine="480" w:firstLineChars="20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1" w:firstLineChars="19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3.6编写评标报告。</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四、评标中的其他事项</w:t>
      </w:r>
    </w:p>
    <w:p>
      <w:pPr>
        <w:pStyle w:val="128"/>
        <w:spacing w:before="0"/>
        <w:ind w:firstLine="471" w:firstLineChars="196"/>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Cs w:val="24"/>
          <w:highlight w:val="none"/>
          <w14:textFill>
            <w14:solidFill>
              <w14:schemeClr w14:val="tx1"/>
            </w14:solidFill>
          </w14:textFill>
        </w:rPr>
        <w:t>4.1投标人澄清、说明或者补正。</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highlight w:val="none"/>
          <w14:textFill>
            <w14:solidFill>
              <w14:schemeClr w14:val="tx1"/>
            </w14:solidFill>
          </w14:textFill>
        </w:rPr>
        <w:t>4.2投标无效。</w:t>
      </w:r>
      <w:r>
        <w:rPr>
          <w:rFonts w:hint="eastAsia" w:asciiTheme="minorEastAsia" w:hAnsiTheme="minorEastAsia" w:eastAsiaTheme="minorEastAsia" w:cstheme="minorEastAsia"/>
          <w:color w:val="000000" w:themeColor="text1"/>
          <w:highlight w:val="none"/>
          <w14:textFill>
            <w14:solidFill>
              <w14:schemeClr w14:val="tx1"/>
            </w14:solidFill>
          </w14:textFill>
        </w:rPr>
        <w:t>有下列情形之一的，投标无效：</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4.2.1投标人不具备交易文件中规定的资格要求的（投标人未提供有效的资格文件的，视为投标人不具备交易文件中规定的资格要求）；</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4.2.2投标文件未按照交易文件要求签署、盖章的；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4.2.4投标文件含有采购人不能接受的附加条件的；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4.2.5投标文件中承诺的投标有效期少于交易文件中载明的投标有效期的；</w:t>
      </w:r>
    </w:p>
    <w:p>
      <w:pPr>
        <w:snapToGrid w:val="0"/>
        <w:spacing w:line="360" w:lineRule="auto"/>
        <w:ind w:firstLine="120" w:firstLineChars="50"/>
        <w:jc w:val="left"/>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4.2.6投标文件出现不是唯一的、有选择性投标报价的;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4.2.7投标报价超过交易文件中规定的预算金额或者最高限价的;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4.2.9投标人对根据修正原则修正后的报价不确认的；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4.2.10投标人提供虚假材料投标的；</w:t>
      </w:r>
    </w:p>
    <w:p>
      <w:pPr>
        <w:spacing w:line="360" w:lineRule="auto"/>
        <w:ind w:firstLine="240" w:firstLineChars="1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4.2.11投标人有恶意串通、妨碍其他投标人的竞争行为、损害采购人或者其他投标人的合法权益情形的；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4.2.12投标人仅提交备份投标文件，未在电子交易平台传输递交投标文件的，投标无效；</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4.2.13投标人未提供样品或提供的样品不满足交易需求实质性条件的，投标无效；</w:t>
      </w:r>
    </w:p>
    <w:p>
      <w:pPr>
        <w:pStyle w:val="3"/>
        <w:ind w:left="862" w:leftChars="205"/>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4"/>
          <w:szCs w:val="24"/>
          <w:highlight w:val="none"/>
          <w:lang w:val="en-US"/>
          <w14:textFill>
            <w14:solidFill>
              <w14:schemeClr w14:val="tx1"/>
            </w14:solidFill>
          </w14:textFill>
        </w:rPr>
        <w:t>4.2.14 投标文件不满足交易文件的实质性要求的；</w:t>
      </w:r>
    </w:p>
    <w:p>
      <w:pPr>
        <w:spacing w:line="360" w:lineRule="auto"/>
        <w:ind w:firstLine="480" w:firstLineChars="2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4.2.15法律、法规、规章（适用本市的）及省级以上规范性文件（适用本市的）规定的其他无效情形。</w:t>
      </w:r>
    </w:p>
    <w:p>
      <w:pPr>
        <w:pStyle w:val="24"/>
        <w:snapToGrid w:val="0"/>
        <w:spacing w:line="360" w:lineRule="auto"/>
        <w:ind w:firstLine="471" w:firstLineChars="196"/>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5.废标。</w:t>
      </w:r>
      <w:r>
        <w:rPr>
          <w:rFonts w:hint="eastAsia" w:asciiTheme="minorEastAsia" w:hAnsiTheme="minorEastAsia" w:eastAsiaTheme="minorEastAsia" w:cstheme="minorEastAsia"/>
          <w:color w:val="000000" w:themeColor="text1"/>
          <w:highlight w:val="none"/>
          <w14:textFill>
            <w14:solidFill>
              <w14:schemeClr w14:val="tx1"/>
            </w14:solidFill>
          </w14:textFill>
        </w:rPr>
        <w:t>根据《中华人民共和国政府采购法》第三十六条之规定，在采购中，出现下列情形之一的，应予废标：</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5.1符合专业条件的供应商或者对交易文件作实质响应的供应商不足3家的；</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5.2出现影响采购公正的违法、违规行为的；</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5.3投标人的报价均超过了采购预算，采购人不能支付的；</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5.4因重大变故，采购任务取消的。</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废标后，采购代理机构应当将废标理由通知所有投标人。</w:t>
      </w:r>
    </w:p>
    <w:p>
      <w:pPr>
        <w:pStyle w:val="24"/>
        <w:snapToGrid w:val="0"/>
        <w:spacing w:line="360" w:lineRule="auto"/>
        <w:ind w:firstLine="589" w:firstLineChars="245"/>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highlight w:val="none"/>
          <w14:textFill>
            <w14:solidFill>
              <w14:schemeClr w14:val="tx1"/>
            </w14:solidFill>
          </w14:textFill>
        </w:rPr>
        <w:t>6.修改交易文件，重新组织采购活动。</w:t>
      </w:r>
      <w:r>
        <w:rPr>
          <w:rFonts w:hint="eastAsia" w:asciiTheme="minorEastAsia" w:hAnsiTheme="minorEastAsia" w:eastAsiaTheme="minorEastAsia" w:cstheme="minorEastAsia"/>
          <w:color w:val="000000" w:themeColor="text1"/>
          <w:highlight w:val="none"/>
          <w14:textFill>
            <w14:solidFill>
              <w14:schemeClr w14:val="tx1"/>
            </w14:solidFill>
          </w14:textFill>
        </w:rPr>
        <w:t>评标委员会发现交易文件存在歧义、重大缺陷导致评标工作无法进行，或者交易文件内容违反国家有关强制性规定的，将停止评标工作，并与采购人、采购代理机构沟通并作书面记录。采购人、采购代理机构确认后，将修改交易文件，重新组织采购活动。</w:t>
      </w:r>
    </w:p>
    <w:p>
      <w:pPr>
        <w:pStyle w:val="24"/>
        <w:snapToGrid w:val="0"/>
        <w:spacing w:line="360" w:lineRule="auto"/>
        <w:ind w:firstLine="482"/>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highlight w:val="none"/>
          <w14:textFill>
            <w14:solidFill>
              <w14:schemeClr w14:val="tx1"/>
            </w14:solidFill>
          </w14:textFill>
        </w:rPr>
        <w:t>7.重新开展采购。</w:t>
      </w:r>
      <w:r>
        <w:rPr>
          <w:rFonts w:hint="eastAsia" w:asciiTheme="minorEastAsia" w:hAnsiTheme="minorEastAsia" w:eastAsiaTheme="minorEastAsia" w:cstheme="minorEastAsia"/>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7.1未确定中标供应商的，终止本次政府采购活动，重新开展政府采购活动。</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7.4政府采购合同已经履行，给采购人、供应商造成损失的，由责任人承担赔偿责任。</w:t>
      </w:r>
    </w:p>
    <w:p>
      <w:pPr>
        <w:pStyle w:val="24"/>
        <w:snapToGrid w:val="0"/>
        <w:spacing w:line="360" w:lineRule="auto"/>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asciiTheme="minorEastAsia" w:hAnsiTheme="minorEastAsia" w:eastAsiaTheme="minorEastAsia" w:cstheme="minorEastAsia"/>
          <w:color w:val="000000" w:themeColor="text1"/>
          <w:highlight w:val="none"/>
          <w14:textFill>
            <w14:solidFill>
              <w14:schemeClr w14:val="tx1"/>
            </w14:solidFill>
          </w14:textFill>
        </w:rPr>
      </w:pPr>
    </w:p>
    <w:bookmarkEnd w:id="31"/>
    <w:p>
      <w:pPr>
        <w:spacing w:line="360" w:lineRule="auto"/>
        <w:ind w:left="720" w:leftChars="343" w:firstLine="721" w:firstLineChars="300"/>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bookmarkStart w:id="397" w:name="第五部分"/>
      <w:bookmarkStart w:id="398" w:name="_Toc86217003"/>
    </w:p>
    <w:p>
      <w:pPr>
        <w:spacing w:line="360" w:lineRule="auto"/>
        <w:ind w:left="720" w:leftChars="343" w:firstLine="721" w:firstLineChars="300"/>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 xml:space="preserve">    </w:t>
      </w:r>
    </w:p>
    <w:p>
      <w:pPr>
        <w:widowControl/>
        <w:adjustRightInd/>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br w:type="page"/>
      </w:r>
    </w:p>
    <w:p>
      <w:pPr>
        <w:spacing w:line="360" w:lineRule="auto"/>
        <w:jc w:val="center"/>
        <w:outlineLvl w:val="0"/>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第五部分 拟签订的合同文本</w:t>
      </w:r>
    </w:p>
    <w:p>
      <w:pPr>
        <w:pStyle w:val="2"/>
        <w:jc w:val="center"/>
        <w:rPr>
          <w:rFonts w:ascii="仿宋" w:hAnsi="仿宋" w:eastAsia="仿宋" w:cs="仿宋"/>
          <w:color w:val="000000" w:themeColor="text1"/>
          <w:sz w:val="30"/>
          <w:szCs w:val="30"/>
          <w:highlight w:val="none"/>
          <w14:textFill>
            <w14:solidFill>
              <w14:schemeClr w14:val="tx1"/>
            </w14:solidFill>
          </w14:textFill>
        </w:rPr>
      </w:pPr>
      <w:r>
        <w:rPr>
          <w:rFonts w:hint="eastAsia" w:ascii="仿宋" w:eastAsia="仿宋" w:cs="仿宋"/>
          <w:color w:val="000000" w:themeColor="text1"/>
          <w:sz w:val="30"/>
          <w:szCs w:val="30"/>
          <w:highlight w:val="none"/>
          <w14:textFill>
            <w14:solidFill>
              <w14:schemeClr w14:val="tx1"/>
            </w14:solidFill>
          </w14:textFill>
        </w:rPr>
        <w:t>（具体以实际签订为准）</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签订地点：                                  签订时间：20</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p>
    <w:p>
      <w:pPr>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甲方（需方）：                                     </w:t>
      </w:r>
    </w:p>
    <w:p>
      <w:pPr>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乙方（供方）：                                     </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供、需双方根据杭州市萧山区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项目（项目编号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cs="仿宋"/>
          <w:color w:val="000000" w:themeColor="text1"/>
          <w:sz w:val="24"/>
          <w:highlight w:val="none"/>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结果和公开竞争文件的要求，并经双方协调一致，订立本采购合同。</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一、合同文件：</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1、合同条款。</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通知书。</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3、公开竞争文件。</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4、更正公告。</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单位</w:t>
      </w:r>
      <w:r>
        <w:rPr>
          <w:rFonts w:hint="eastAsia" w:cs="仿宋"/>
          <w:color w:val="000000" w:themeColor="text1"/>
          <w:sz w:val="24"/>
          <w:highlight w:val="none"/>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文件。</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6、其他。</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二、合同金额: 本合同金额为(大写)_______________元（￥</w:t>
      </w:r>
      <w:r>
        <w:rPr>
          <w:rFonts w:hint="eastAsia" w:ascii="仿宋" w:hAnsi="仿宋" w:eastAsia="仿宋" w:cs="仿宋"/>
          <w:color w:val="000000" w:themeColor="text1"/>
          <w:sz w:val="24"/>
          <w:highlight w:val="none"/>
          <w:u w:val="single"/>
          <w14:textFill>
            <w14:solidFill>
              <w14:schemeClr w14:val="tx1"/>
            </w14:solidFill>
          </w14:textFill>
        </w:rPr>
        <w:t>　　　　</w:t>
      </w:r>
      <w:r>
        <w:rPr>
          <w:rFonts w:hint="eastAsia" w:ascii="仿宋" w:hAnsi="仿宋" w:eastAsia="仿宋" w:cs="仿宋"/>
          <w:color w:val="000000" w:themeColor="text1"/>
          <w:sz w:val="24"/>
          <w:highlight w:val="none"/>
          <w14:textFill>
            <w14:solidFill>
              <w14:schemeClr w14:val="tx1"/>
            </w14:solidFill>
          </w14:textFill>
        </w:rPr>
        <w:t>元）人民币附：</w:t>
      </w:r>
    </w:p>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《采购项目清单内容》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169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内容</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单价（元）</w:t>
            </w:r>
          </w:p>
        </w:tc>
        <w:tc>
          <w:tcPr>
            <w:tcW w:w="76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数量</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总价（元）</w:t>
            </w:r>
          </w:p>
        </w:tc>
      </w:tr>
      <w:tr>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69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76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r>
      <w:tr>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69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76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仿宋" w:hAnsi="仿宋" w:eastAsia="仿宋" w:cs="仿宋"/>
                <w:color w:val="000000" w:themeColor="text1"/>
                <w:sz w:val="24"/>
                <w:highlight w:val="none"/>
                <w14:textFill>
                  <w14:solidFill>
                    <w14:schemeClr w14:val="tx1"/>
                  </w14:solidFill>
                </w14:textFill>
              </w:rPr>
            </w:pPr>
          </w:p>
        </w:tc>
      </w:tr>
    </w:tbl>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三、技术资料</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1.乙方应按公开竞争文件规定的时间向甲方提供有关技术资料。</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四、知识产权</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乙方应保证提供服务过程中不会侵犯任何第三方的知识产权。</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五、履约保证金</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乙方交纳人民币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元作为本合同的履约保证金。</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六、转包或分包</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1.本合同范围的服务，应由乙方直接供应，不得转让他人供应；</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 除非得到甲方的书面同意，乙方不得将本合同范围的服务全部或部分分包给他人供应；</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3.如有转让和未经甲方同意的分包行为，甲方有权解除合同，没收履约保证金并追究乙方的违约责任。</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七、合同履行时间、履行方式及履行地点</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 履行时间：</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 履行方式：</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 履行地点：</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八、款项支付</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1.付款方式：</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按季度分期付款，第四季度款项在</w:t>
      </w:r>
      <w:r>
        <w:rPr>
          <w:rFonts w:hint="eastAsia" w:ascii="仿宋" w:hAnsi="仿宋" w:eastAsia="仿宋" w:cs="仿宋"/>
          <w:color w:val="000000" w:themeColor="text1"/>
          <w:sz w:val="24"/>
          <w:highlight w:val="none"/>
          <w14:textFill>
            <w14:solidFill>
              <w14:schemeClr w14:val="tx1"/>
            </w14:solidFill>
          </w14:textFill>
        </w:rPr>
        <w:t>验收合格后</w:t>
      </w:r>
      <w:r>
        <w:rPr>
          <w:rFonts w:hint="eastAsia" w:ascii="仿宋" w:hAnsi="仿宋" w:eastAsia="仿宋" w:cs="仿宋"/>
          <w:color w:val="000000" w:themeColor="text1"/>
          <w:sz w:val="24"/>
          <w:highlight w:val="none"/>
          <w:lang w:eastAsia="zh-CN"/>
          <w14:textFill>
            <w14:solidFill>
              <w14:schemeClr w14:val="tx1"/>
            </w14:solidFill>
          </w14:textFill>
        </w:rPr>
        <w:t>支付</w:t>
      </w:r>
      <w:r>
        <w:rPr>
          <w:rFonts w:hint="eastAsia" w:ascii="仿宋" w:hAnsi="仿宋" w:eastAsia="仿宋" w:cs="仿宋"/>
          <w:color w:val="000000" w:themeColor="text1"/>
          <w:sz w:val="24"/>
          <w:highlight w:val="none"/>
          <w14:textFill>
            <w14:solidFill>
              <w14:schemeClr w14:val="tx1"/>
            </w14:solidFill>
          </w14:textFill>
        </w:rPr>
        <w:t>。</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九、税费</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本合同执行中相关的一切税费均由乙方负担。</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十、质量保证及后续服务</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 乙方应按公开竞争文件规定向甲方提供服务。</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 乙方提供的服务成果在服务质量保证期内发生故障，乙方应负责免费提供后续服务。对达不到要求者，根据实际情况，经双方协商，可按以下办法处理：</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⑴重做：由乙方承担所发生的全部费用。</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⑵贬值处理：由甲乙双方合议定价。</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⑶解除合同。</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 如在使用过程中发生问题，乙方在接到甲方通知后在</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小时内到达甲方现场。</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4.在服务质量保证期内，乙方应对出现的质量及安全问题负责处理解决并承担一切费用。</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十一、违约责任</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1.甲方无正当理由拒绝接收服务的，甲方向乙方偿付合同款项百分之</w:t>
      </w:r>
      <w:r>
        <w:rPr>
          <w:rFonts w:hint="eastAsia" w:ascii="仿宋" w:hAnsi="仿宋" w:eastAsia="仿宋" w:cs="仿宋"/>
          <w:color w:val="000000" w:themeColor="text1"/>
          <w:sz w:val="24"/>
          <w:highlight w:val="none"/>
          <w:u w:val="single"/>
          <w14:textFill>
            <w14:solidFill>
              <w14:schemeClr w14:val="tx1"/>
            </w14:solidFill>
          </w14:textFill>
        </w:rPr>
        <w:t xml:space="preserve"> 五 </w:t>
      </w:r>
      <w:r>
        <w:rPr>
          <w:rFonts w:hint="eastAsia" w:ascii="仿宋" w:hAnsi="仿宋" w:eastAsia="仿宋" w:cs="仿宋"/>
          <w:color w:val="000000" w:themeColor="text1"/>
          <w:sz w:val="24"/>
          <w:highlight w:val="none"/>
          <w14:textFill>
            <w14:solidFill>
              <w14:schemeClr w14:val="tx1"/>
            </w14:solidFill>
          </w14:textFill>
        </w:rPr>
        <w:t>作为违约金。</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2.甲方无故逾期验收和办理款项支付手续的，甲方应按逾期付款总额每日万分之</w:t>
      </w:r>
      <w:r>
        <w:rPr>
          <w:rFonts w:hint="eastAsia" w:ascii="仿宋" w:hAnsi="仿宋" w:eastAsia="仿宋" w:cs="仿宋"/>
          <w:color w:val="000000" w:themeColor="text1"/>
          <w:sz w:val="24"/>
          <w:highlight w:val="none"/>
          <w:u w:val="single"/>
          <w14:textFill>
            <w14:solidFill>
              <w14:schemeClr w14:val="tx1"/>
            </w14:solidFill>
          </w14:textFill>
        </w:rPr>
        <w:t xml:space="preserve"> 五</w:t>
      </w:r>
      <w:r>
        <w:rPr>
          <w:rFonts w:hint="eastAsia" w:ascii="仿宋" w:hAnsi="仿宋" w:eastAsia="仿宋" w:cs="仿宋"/>
          <w:color w:val="000000" w:themeColor="text1"/>
          <w:sz w:val="24"/>
          <w:highlight w:val="none"/>
          <w14:textFill>
            <w14:solidFill>
              <w14:schemeClr w14:val="tx1"/>
            </w14:solidFill>
          </w14:textFill>
        </w:rPr>
        <w:t>向乙方支付违约金。</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3.乙方未能如期提供服务的，每日向甲方支付合同款项的千分之</w:t>
      </w:r>
      <w:r>
        <w:rPr>
          <w:rFonts w:hint="eastAsia" w:ascii="仿宋" w:hAnsi="仿宋" w:eastAsia="仿宋" w:cs="仿宋"/>
          <w:color w:val="000000" w:themeColor="text1"/>
          <w:sz w:val="24"/>
          <w:highlight w:val="none"/>
          <w:u w:val="single"/>
          <w14:textFill>
            <w14:solidFill>
              <w14:schemeClr w14:val="tx1"/>
            </w14:solidFill>
          </w14:textFill>
        </w:rPr>
        <w:t xml:space="preserve"> 六 </w:t>
      </w:r>
      <w:r>
        <w:rPr>
          <w:rFonts w:hint="eastAsia" w:ascii="仿宋" w:hAnsi="仿宋" w:eastAsia="仿宋" w:cs="仿宋"/>
          <w:color w:val="000000" w:themeColor="text1"/>
          <w:sz w:val="24"/>
          <w:highlight w:val="none"/>
          <w14:textFill>
            <w14:solidFill>
              <w14:schemeClr w14:val="tx1"/>
            </w14:solidFill>
          </w14:textFill>
        </w:rPr>
        <w:t>作为违约金。乙方超过约定日期10个工作日仍不能提供服务的，甲方可解除本合同，不予退还履约保证金，如造成甲方损失超过履约保证金的，超出部分由乙方继续承担赔偿责任。</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4.供方在服务项目验收合格之日起保修期内违反本合同有关承诺保证的，需方采购人将有权不予退还质量保证金，损失赔偿不足部分，由乙方承担赔偿。</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5.如发现乙方违反招</w:t>
      </w:r>
      <w:r>
        <w:rPr>
          <w:rFonts w:hint="eastAsia" w:cs="仿宋"/>
          <w:color w:val="000000" w:themeColor="text1"/>
          <w:sz w:val="24"/>
          <w:highlight w:val="none"/>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文件和合同的有关规定，甲方有权根据约定和《杭州市政府采购供应商合同履行和售后服务考核暂行办法》，对乙方进行处罚，并有权提前终止合同。</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十二、争议的解决</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因本合同引起的或与本合同有关的任何争议，合同双方应首先通过协商解决，达成书面协议，如协商不成，可选择下列第      种方式解决。</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（1）提请杭州仲裁委员会按照该会仲裁规则进行仲裁，仲裁裁决是终局的，对合同双方均有约束力。</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（2）向有管辖权的人民法院提起诉讼。</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十三、合同生效</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cs="仿宋"/>
          <w:color w:val="000000" w:themeColor="text1"/>
          <w:sz w:val="24"/>
          <w:highlight w:val="none"/>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持</w:t>
      </w:r>
      <w:r>
        <w:rPr>
          <w:rFonts w:hint="eastAsia" w:cs="仿宋"/>
          <w:color w:val="000000" w:themeColor="text1"/>
          <w:sz w:val="24"/>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通知书作为与需方签订合同的凭证。</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2.本合同经需、供双方法定代表人或其委托人签字并加盖公章后生效。</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3.本合同一式四份，需、供双方各执二份。</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需方（盖章）：                      供方（盖章）：</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                             地址：</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                       法定代表人：</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委托代理人：                       委托代理人：</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电话：                             电话：</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邮政编码：                         邮政编码：</w:t>
      </w:r>
    </w:p>
    <w:p>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pPr>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帐号：                             帐号：</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br w:type="page"/>
      </w:r>
    </w:p>
    <w:p>
      <w:pPr>
        <w:spacing w:line="360" w:lineRule="auto"/>
        <w:jc w:val="center"/>
        <w:outlineLvl w:val="0"/>
        <w:rPr>
          <w:rFonts w:asciiTheme="minorEastAsia" w:hAnsiTheme="minorEastAsia" w:eastAsiaTheme="minorEastAsia" w:cstheme="minorEastAsia"/>
          <w:b/>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第六部分</w:t>
      </w:r>
      <w:bookmarkEnd w:id="397"/>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 xml:space="preserve"> </w:t>
      </w:r>
      <w:bookmarkEnd w:id="398"/>
      <w:r>
        <w:rPr>
          <w:rFonts w:hint="eastAsia" w:asciiTheme="minorEastAsia" w:hAnsiTheme="minorEastAsia" w:eastAsiaTheme="minorEastAsia" w:cstheme="minorEastAsia"/>
          <w:b/>
          <w:color w:val="000000" w:themeColor="text1"/>
          <w:sz w:val="44"/>
          <w:szCs w:val="44"/>
          <w:highlight w:val="none"/>
          <w14:textFill>
            <w14:solidFill>
              <w14:schemeClr w14:val="tx1"/>
            </w14:solidFill>
          </w14:textFill>
        </w:rPr>
        <w:t>应提交的有关格式范例</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资格文件部分</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目录</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（1）符合参加政府采购活动应当具备的一般条件的承诺函………………………（页码）</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（2）联合协议（如果有）</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……………………………………………………………（页码）</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（3）本项目的特定资格要求（如果有）……………………………………………（页码）</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br w:type="page"/>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 xml:space="preserve">  一、 符合参加政府采购活动应当具备的一般条件的承诺函</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（采购人）、（采购代理机构）：</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我方参与（项目名称）【招标编号：（采购编号）】政府采购活动，郑重承诺：</w:t>
      </w:r>
    </w:p>
    <w:p>
      <w:pPr>
        <w:snapToGrid w:val="0"/>
        <w:spacing w:line="360" w:lineRule="auto"/>
        <w:ind w:firstLine="360" w:firstLineChars="15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（一）具备《中华人民共和国政府采购法》第二十二条第一款规定的条件：</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1、具有独立承担民事责任的能力；</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2、具有良好的商业信誉和健全的财务会计制度； </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3、具有履行合同所必需的设备和专业技术能力；</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4、有依法缴纳税收和社会保障资金的良好记录；</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5、参加政府采购活动前三年内，在经营活动中没有重大违法记录；</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6、具有法律、行政法规规定的其他条件。</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（三）不存在以下情况：</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5520" w:firstLineChars="2300"/>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投标人名称(电子签名)：</w:t>
      </w:r>
    </w:p>
    <w:p>
      <w:pPr>
        <w:snapToGrid w:val="0"/>
        <w:spacing w:line="360" w:lineRule="auto"/>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日期</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年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月</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日</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widowControl/>
        <w:adjustRightInd/>
        <w:jc w:val="left"/>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br w:type="page"/>
      </w:r>
    </w:p>
    <w:p>
      <w:pPr>
        <w:widowControl/>
        <w:spacing w:line="360" w:lineRule="auto"/>
        <w:ind w:firstLine="480" w:firstLineChars="20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二、联合协议（如果有）</w:t>
      </w:r>
    </w:p>
    <w:p>
      <w:pPr>
        <w:widowControl/>
        <w:spacing w:line="360" w:lineRule="auto"/>
        <w:ind w:firstLine="480" w:firstLineChars="200"/>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widowControl/>
        <w:spacing w:line="360" w:lineRule="auto"/>
        <w:ind w:left="15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三、本项目的特定资格要求</w:t>
      </w: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（根据招标公告本项目的特定资格要求提供相应的材料；未要求的，无需提供）</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widowControl/>
        <w:adjustRightInd/>
        <w:jc w:val="left"/>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br w:type="page"/>
      </w:r>
    </w:p>
    <w:p>
      <w:pPr>
        <w:spacing w:line="360" w:lineRule="auto"/>
        <w:ind w:right="42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商务技术文件部分</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目录</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（1）投标函………………………………………………………………………（页码）（2）授权委托书或法定代表人（单位负责人、自然人本人）身份证明……（页码）</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（3）分包意向协议（如果有）…………………………………………………（页码）</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（4）符合性审查资料……………………………………………………………（页码）</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（5）评标标准相应的商务技术资料……………………………………………（页码）</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（6）投标标的清单………………………………………………………………（页码）</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（7）商务技术偏离表……………………………………………………………（页码）</w:t>
      </w:r>
    </w:p>
    <w:p>
      <w:pPr>
        <w:snapToGrid w:val="0"/>
        <w:spacing w:line="360" w:lineRule="auto"/>
        <w:ind w:left="479" w:leftChars="228"/>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8</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）政府采购供应商廉洁自律承诺书</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………………………………………（页码）</w:t>
      </w: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snapToGrid w:val="0"/>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p>
    <w:p>
      <w:pPr>
        <w:widowControl/>
        <w:adjustRightInd/>
        <w:jc w:val="left"/>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br w:type="page"/>
      </w:r>
    </w:p>
    <w:p>
      <w:pPr>
        <w:snapToGrid w:val="0"/>
        <w:spacing w:line="360" w:lineRule="auto"/>
        <w:jc w:val="center"/>
        <w:outlineLvl w:val="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一、投标</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函</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（采购人）、（采购代理机构）：</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我方参加你方组织的（项目名称）【招标编号：（采购编号）】招标的有关活动，并对此项目进行投标。为此：</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1、我方承诺投标有效期从提交投标文件的截止之日起</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天（不少于90天），本投标文件在投标有效期满之前均具有约束力。</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2、我方的投标文件包括以下内容：</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2.1资格文件：</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2.1.1承诺函；</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2.1.2</w:t>
      </w:r>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联合协议</w:t>
      </w:r>
      <w:bookmarkStart w:id="399" w:name="_Hlk101257010"/>
      <w:r>
        <w:rPr>
          <w:rFonts w:hint="eastAsia" w:asciiTheme="minorEastAsia" w:hAnsiTheme="minorEastAsia" w:eastAsiaTheme="minorEastAsia" w:cstheme="minorEastAsia"/>
          <w:color w:val="000000" w:themeColor="text1"/>
          <w:sz w:val="24"/>
          <w:highlight w:val="none"/>
          <w14:textFill>
            <w14:solidFill>
              <w14:schemeClr w14:val="tx1"/>
            </w14:solidFill>
          </w14:textFill>
        </w:rPr>
        <w:t>（如果有)</w:t>
      </w:r>
      <w:bookmarkEnd w:id="399"/>
      <w:r>
        <w:rPr>
          <w:rFonts w:hint="eastAsia" w:asciiTheme="minorEastAsia" w:hAnsiTheme="minorEastAsia" w:eastAsiaTheme="minorEastAsia" w:cstheme="minorEastAsia"/>
          <w:snapToGrid w:val="0"/>
          <w:color w:val="000000" w:themeColor="text1"/>
          <w:kern w:val="28"/>
          <w:sz w:val="24"/>
          <w:highlight w:val="none"/>
          <w14:textFill>
            <w14:solidFill>
              <w14:schemeClr w14:val="tx1"/>
            </w14:solidFill>
          </w14:textFill>
        </w:rPr>
        <w:t>；</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2.1.3本项目的特定资格要求（如果有)。</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商务技术</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文件：</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2.2.1投标函；</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2.2.2授权委托书或法定代表人（单位负责人）身份证明；</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2.2.3分包意向协议（如果有)；</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2.2.4符合性审查资料；</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2.2.5评标标准相应的商务技术资料；</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2.2.6投标标的清单；</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2.2.7商务技术偏离表；</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8</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政府采购供应商廉洁自律承诺书；</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3报价文件</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2.3.1开标一览表（报价表）；</w:t>
      </w:r>
    </w:p>
    <w:p>
      <w:pPr>
        <w:snapToGrid w:val="0"/>
        <w:spacing w:line="360" w:lineRule="auto"/>
        <w:ind w:left="420" w:leftChars="2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2.3.2供应商针对报价需要说明的其他文件和资料（格式自拟）。</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3、我方承诺除商务技术偏离表列出的偏离外，我方响应交易文件的全部要求。</w:t>
      </w:r>
    </w:p>
    <w:p>
      <w:pPr>
        <w:snapToGrid w:val="0"/>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4、如我方中标，我方承诺：</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4.1在收到中标通知书后，在中标通知书规定的期限内与你方签订合同； </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4.2在签订合同时不向你方提出附加条件； </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4.3按照交易文件要求提交履约保证金； </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4.4在合同约定的期限内完成合同规定的全部义务。 </w:t>
      </w:r>
    </w:p>
    <w:p>
      <w:pPr>
        <w:snapToGrid w:val="0"/>
        <w:spacing w:line="360" w:lineRule="auto"/>
        <w:ind w:left="210" w:leftChars="100"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5、其他补充说明:</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pacing w:line="360" w:lineRule="auto"/>
        <w:ind w:firstLine="3600" w:firstLineChars="15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投标人名称（电子签名）：                          </w:t>
      </w:r>
    </w:p>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日期：  年   月   日</w:t>
      </w:r>
    </w:p>
    <w:p>
      <w:pPr>
        <w:snapToGrid w:val="0"/>
        <w:spacing w:line="360" w:lineRule="auto"/>
        <w:ind w:left="420" w:leftChars="200" w:firstLine="4200" w:firstLineChars="1750"/>
        <w:rPr>
          <w:rFonts w:asciiTheme="minorEastAsia" w:hAnsiTheme="minorEastAsia" w:eastAsiaTheme="minorEastAsia" w:cstheme="minorEastAsia"/>
          <w:color w:val="000000" w:themeColor="text1"/>
          <w:kern w:val="0"/>
          <w:sz w:val="24"/>
          <w:highlight w:val="none"/>
          <w:u w:val="single"/>
          <w14:textFill>
            <w14:solidFill>
              <w14:schemeClr w14:val="tx1"/>
            </w14:solidFill>
          </w14:textFill>
        </w:rPr>
      </w:pPr>
    </w:p>
    <w:p>
      <w:pPr>
        <w:spacing w:line="360" w:lineRule="auto"/>
        <w:ind w:right="42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注：按本格式和要求提供。</w:t>
      </w:r>
    </w:p>
    <w:p>
      <w:pP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br w:type="page"/>
      </w:r>
    </w:p>
    <w:p>
      <w:pPr>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二、授权委托书或法定代表人（单位负责人、自然人本人）身份证明</w:t>
      </w:r>
    </w:p>
    <w:p>
      <w:pPr>
        <w:snapToGrid w:val="0"/>
        <w:spacing w:line="360" w:lineRule="auto"/>
        <w:ind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注：▲供应商委派不在本单位缴纳社保的人员作为授权代表（代理人）的，应当在投标（响应）文件中，说明具体原因、授权代表缴纳社保的单位，并附列该授权代表缴纳社保清单。</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ind w:firstLine="2148" w:firstLineChars="894"/>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授权委托书（适用于非联合体投标）</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（采购人）、（采购代理机构）</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pPr>
        <w:snapToGrid w:val="0"/>
        <w:spacing w:line="360" w:lineRule="auto"/>
        <w:ind w:firstLine="576"/>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委托</w:t>
      </w:r>
      <w:r>
        <w:rPr>
          <w:rFonts w:hint="eastAsia" w:asciiTheme="minorEastAsia" w:hAnsiTheme="minorEastAsia" w:eastAsiaTheme="minorEastAsia" w:cstheme="minorEastAsia"/>
          <w:color w:val="000000" w:themeColor="text1"/>
          <w:kern w:val="0"/>
          <w:sz w:val="24"/>
          <w:highlight w:val="none"/>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（姓名）为我方代理人（身份证号码：</w:t>
      </w:r>
      <w:r>
        <w:rPr>
          <w:rFonts w:hint="eastAsia" w:asciiTheme="minorEastAsia" w:hAnsiTheme="minorEastAsia" w:eastAsiaTheme="minorEastAsia" w:cstheme="minorEastAsia"/>
          <w:color w:val="000000" w:themeColor="text1"/>
          <w:kern w:val="0"/>
          <w:sz w:val="24"/>
          <w:highlight w:val="none"/>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，手机：</w:t>
      </w:r>
      <w:r>
        <w:rPr>
          <w:rFonts w:hint="eastAsia" w:asciiTheme="minorEastAsia" w:hAnsiTheme="minorEastAsia" w:eastAsiaTheme="minorEastAsia" w:cstheme="minorEastAsia"/>
          <w:color w:val="000000" w:themeColor="text1"/>
          <w:kern w:val="0"/>
          <w:sz w:val="24"/>
          <w:highlight w:val="none"/>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），以我方名义处理</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（项目名称）【招标编号：（采购编号）】</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委托期限</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自</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年</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月</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日起至</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年</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月</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日止。</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特此告知。</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投标人名称(电子签名)：</w:t>
      </w:r>
    </w:p>
    <w:p>
      <w:pPr>
        <w:snapToGrid w:val="0"/>
        <w:spacing w:line="360" w:lineRule="auto"/>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签发日期：  年  月   日</w:t>
      </w:r>
    </w:p>
    <w:p>
      <w:pPr>
        <w:autoSpaceDE w:val="0"/>
        <w:autoSpaceDN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法定代表人、单位负责人或自然人本人</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的身份证明（适用于法定代表人、单位负责人或者自然人本人代表投标人参加投标）</w:t>
      </w:r>
    </w:p>
    <w:p>
      <w:pPr>
        <w:pStyle w:val="146"/>
        <w:spacing w:line="360" w:lineRule="auto"/>
        <w:rPr>
          <w:rFonts w:asciiTheme="minorEastAsia" w:hAnsiTheme="minorEastAsia" w:eastAsiaTheme="minorEastAsia" w:cstheme="minorEastAsia"/>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szCs w:val="24"/>
          <w:highlight w:val="none"/>
          <w14:textFill>
            <w14:solidFill>
              <w14:schemeClr w14:val="tx1"/>
            </w14:solidFill>
          </w14:textFill>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rPr>
          <w:trHeight w:val="4101" w:hRule="atLeast"/>
          <w:jc w:val="center"/>
        </w:trPr>
        <w:tc>
          <w:tcPr>
            <w:tcW w:w="9207" w:type="dxa"/>
          </w:tcPr>
          <w:p>
            <w:pPr>
              <w:pStyle w:val="146"/>
              <w:adjustRightInd w:val="0"/>
              <w:spacing w:line="360" w:lineRule="auto"/>
              <w:rPr>
                <w:rFonts w:asciiTheme="minorEastAsia" w:hAnsiTheme="minorEastAsia" w:eastAsiaTheme="minorEastAsia" w:cstheme="minorEastAsia"/>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szCs w:val="24"/>
                <w:highlight w:val="none"/>
                <w14:textFill>
                  <w14:solidFill>
                    <w14:schemeClr w14:val="tx1"/>
                  </w14:solidFill>
                </w14:textFill>
              </w:rPr>
              <w:t>正面：                                 反面：</w:t>
            </w:r>
          </w:p>
          <w:p>
            <w:pPr>
              <w:pStyle w:val="146"/>
              <w:adjustRightInd w:val="0"/>
              <w:spacing w:line="360" w:lineRule="auto"/>
              <w:rPr>
                <w:rFonts w:asciiTheme="minorEastAsia" w:hAnsiTheme="minorEastAsia" w:eastAsiaTheme="minorEastAsia" w:cstheme="minorEastAsia"/>
                <w:bCs/>
                <w:color w:val="000000" w:themeColor="text1"/>
                <w:sz w:val="24"/>
                <w:szCs w:val="24"/>
                <w:highlight w:val="none"/>
                <w14:textFill>
                  <w14:solidFill>
                    <w14:schemeClr w14:val="tx1"/>
                  </w14:solidFill>
                </w14:textFill>
              </w:rPr>
            </w:pPr>
          </w:p>
        </w:tc>
      </w:tr>
    </w:tbl>
    <w:p>
      <w:pPr>
        <w:snapToGrid w:val="0"/>
        <w:spacing w:line="360" w:lineRule="auto"/>
        <w:ind w:firstLine="576"/>
        <w:jc w:val="center"/>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w:t>
      </w:r>
    </w:p>
    <w:p>
      <w:pPr>
        <w:snapToGrid w:val="0"/>
        <w:spacing w:line="360" w:lineRule="auto"/>
        <w:ind w:firstLine="576"/>
        <w:jc w:val="center"/>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投标人名称(电子签名)： </w:t>
      </w:r>
    </w:p>
    <w:p>
      <w:pPr>
        <w:spacing w:line="360" w:lineRule="auto"/>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日期：  年  月  日</w:t>
      </w:r>
    </w:p>
    <w:p>
      <w:pPr>
        <w:snapToGrid w:val="0"/>
        <w:spacing w:line="360" w:lineRule="auto"/>
        <w:ind w:right="480"/>
        <w:rPr>
          <w:rFonts w:asciiTheme="minorEastAsia" w:hAnsiTheme="minorEastAsia" w:eastAsiaTheme="minorEastAsia" w:cstheme="minorEastAsia"/>
          <w:b/>
          <w:color w:val="000000" w:themeColor="text1"/>
          <w:kern w:val="0"/>
          <w:sz w:val="24"/>
          <w:highlight w:val="none"/>
          <w14:textFill>
            <w14:solidFill>
              <w14:schemeClr w14:val="tx1"/>
            </w14:solidFill>
          </w14:textFill>
        </w:rPr>
        <w:sectPr>
          <w:footerReference r:id="rId9" w:type="first"/>
          <w:footerReference r:id="rId8" w:type="default"/>
          <w:pgSz w:w="11906" w:h="16838"/>
          <w:pgMar w:top="1276" w:right="1418" w:bottom="1247" w:left="1418" w:header="851" w:footer="992" w:gutter="0"/>
          <w:cols w:space="720" w:num="1"/>
          <w:titlePg/>
          <w:docGrid w:linePitch="312" w:charSpace="0"/>
        </w:sectPr>
      </w:pPr>
    </w:p>
    <w:p>
      <w:pPr>
        <w:snapToGrid w:val="0"/>
        <w:spacing w:line="360" w:lineRule="auto"/>
        <w:ind w:firstLine="2643" w:firstLineChars="110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三、分包意向协议（如果有）</w:t>
      </w:r>
    </w:p>
    <w:p>
      <w:pPr>
        <w:widowControl/>
        <w:spacing w:line="360" w:lineRule="auto"/>
        <w:ind w:firstLine="120" w:firstLineChars="5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中标后以分包方式履行合同的，提供分包意向协议(附件6)；采购人不同意分包或者投标人中标后不以分包方式履行合同的，则不需要提供。</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四、符合性审查资料</w:t>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bl>
      <w:tblPr>
        <w:tblStyle w:val="62"/>
        <w:tblW w:w="9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4728"/>
        <w:gridCol w:w="2416"/>
        <w:gridCol w:w="1343"/>
      </w:tblGrid>
      <w:tr>
        <w:trPr>
          <w:trHeight w:val="954" w:hRule="atLeast"/>
        </w:trPr>
        <w:tc>
          <w:tcPr>
            <w:tcW w:w="611" w:type="dxa"/>
            <w:vAlign w:val="center"/>
          </w:tcPr>
          <w:p>
            <w:pPr>
              <w:snapToGrid w:val="0"/>
              <w:spacing w:line="240" w:lineRule="atLeast"/>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序号</w:t>
            </w:r>
          </w:p>
        </w:tc>
        <w:tc>
          <w:tcPr>
            <w:tcW w:w="4728" w:type="dxa"/>
            <w:vAlign w:val="center"/>
          </w:tcPr>
          <w:p>
            <w:pPr>
              <w:snapToGrid w:val="0"/>
              <w:spacing w:line="240" w:lineRule="atLeast"/>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实质性要求</w:t>
            </w:r>
          </w:p>
        </w:tc>
        <w:tc>
          <w:tcPr>
            <w:tcW w:w="2416" w:type="dxa"/>
            <w:vAlign w:val="center"/>
          </w:tcPr>
          <w:p>
            <w:pPr>
              <w:snapToGrid w:val="0"/>
              <w:spacing w:line="240" w:lineRule="atLeast"/>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需要提供的符合性审查资料</w:t>
            </w:r>
          </w:p>
        </w:tc>
        <w:tc>
          <w:tcPr>
            <w:tcW w:w="1343" w:type="dxa"/>
            <w:vAlign w:val="center"/>
          </w:tcPr>
          <w:p>
            <w:pPr>
              <w:snapToGrid w:val="0"/>
              <w:spacing w:line="240" w:lineRule="atLeast"/>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投标文件中的</w:t>
            </w:r>
          </w:p>
          <w:p>
            <w:pPr>
              <w:snapToGrid w:val="0"/>
              <w:spacing w:line="240" w:lineRule="atLeast"/>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页码位置</w:t>
            </w:r>
          </w:p>
        </w:tc>
      </w:tr>
      <w:tr>
        <w:trPr>
          <w:trHeight w:val="954" w:hRule="atLeast"/>
        </w:trPr>
        <w:tc>
          <w:tcPr>
            <w:tcW w:w="611" w:type="dxa"/>
            <w:vAlign w:val="center"/>
          </w:tcPr>
          <w:p>
            <w:p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4728" w:type="dxa"/>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投标文件按照交易文件要求签署、盖章。</w:t>
            </w:r>
          </w:p>
        </w:tc>
        <w:tc>
          <w:tcPr>
            <w:tcW w:w="2416" w:type="dxa"/>
            <w:vAlign w:val="center"/>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需要使用电子签名或者签字盖章的投标文件的组成部分</w:t>
            </w:r>
          </w:p>
        </w:tc>
        <w:tc>
          <w:tcPr>
            <w:tcW w:w="1343" w:type="dxa"/>
          </w:tcPr>
          <w:p>
            <w:pPr>
              <w:rPr>
                <w:rFonts w:asciiTheme="minorEastAsia" w:hAnsiTheme="minorEastAsia" w:eastAsiaTheme="minorEastAsia" w:cstheme="minorEastAsia"/>
                <w:color w:val="000000" w:themeColor="text1"/>
                <w:sz w:val="24"/>
                <w:highlight w:val="none"/>
                <w14:textFill>
                  <w14:solidFill>
                    <w14:schemeClr w14:val="tx1"/>
                  </w14:solidFill>
                </w14:textFill>
              </w:rPr>
            </w:pPr>
          </w:p>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见投标文件</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第</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页</w:t>
            </w:r>
          </w:p>
        </w:tc>
      </w:tr>
      <w:tr>
        <w:trPr>
          <w:trHeight w:val="954" w:hRule="atLeast"/>
        </w:trPr>
        <w:tc>
          <w:tcPr>
            <w:tcW w:w="611" w:type="dxa"/>
            <w:vAlign w:val="center"/>
          </w:tcPr>
          <w:p>
            <w:p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p>
        </w:tc>
        <w:tc>
          <w:tcPr>
            <w:tcW w:w="4728" w:type="dxa"/>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投标文件中承诺的投标有效期不少于交易文件中载明的投标有效期。</w:t>
            </w:r>
          </w:p>
        </w:tc>
        <w:tc>
          <w:tcPr>
            <w:tcW w:w="2416" w:type="dxa"/>
            <w:vAlign w:val="center"/>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投标函</w:t>
            </w:r>
          </w:p>
        </w:tc>
        <w:tc>
          <w:tcPr>
            <w:tcW w:w="1343" w:type="dxa"/>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见投标文件第</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页</w:t>
            </w:r>
          </w:p>
        </w:tc>
      </w:tr>
      <w:tr>
        <w:trPr>
          <w:trHeight w:val="1595" w:hRule="atLeast"/>
        </w:trPr>
        <w:tc>
          <w:tcPr>
            <w:tcW w:w="611" w:type="dxa"/>
            <w:vAlign w:val="center"/>
          </w:tcPr>
          <w:p>
            <w:p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w:t>
            </w:r>
          </w:p>
        </w:tc>
        <w:tc>
          <w:tcPr>
            <w:tcW w:w="4728" w:type="dxa"/>
          </w:tcPr>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投标文件满足交易文件的其它实质性要求。</w:t>
            </w:r>
          </w:p>
        </w:tc>
        <w:tc>
          <w:tcPr>
            <w:tcW w:w="2416" w:type="dxa"/>
            <w:vAlign w:val="center"/>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交易文件其它实质性要求相应的材料（“▲” 系指实质性要求条款，交易文件无其它实质性要求的，无需提供）</w:t>
            </w:r>
          </w:p>
        </w:tc>
        <w:tc>
          <w:tcPr>
            <w:tcW w:w="1343" w:type="dxa"/>
          </w:tcPr>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见投标文件第</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页</w:t>
            </w:r>
          </w:p>
        </w:tc>
      </w:tr>
    </w:tbl>
    <w:p>
      <w:pPr>
        <w:spacing w:line="360" w:lineRule="auto"/>
        <w:ind w:right="42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注：按本格式和要求提供。</w:t>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五、评标标准相应的商务技术资料</w:t>
      </w:r>
    </w:p>
    <w:p>
      <w:pPr>
        <w:snapToGrid w:val="0"/>
        <w:spacing w:line="360" w:lineRule="auto"/>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（按交易文件第四部分评标办法前附表中“投标文件中评标标准相应的商务技术资料目录”提供资料。）</w:t>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pStyle w:val="3"/>
        <w:rPr>
          <w:rFonts w:asciiTheme="minorEastAsia" w:hAnsiTheme="minorEastAsia" w:eastAsiaTheme="minorEastAsia" w:cstheme="minorEastAsia"/>
          <w:color w:val="000000" w:themeColor="text1"/>
          <w:highlight w:val="none"/>
          <w14:textFill>
            <w14:solidFill>
              <w14:schemeClr w14:val="tx1"/>
            </w14:solidFill>
          </w14:textFill>
        </w:rPr>
      </w:pPr>
    </w:p>
    <w:p>
      <w:pP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br w:type="page"/>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六、投标标的清单</w:t>
      </w:r>
    </w:p>
    <w:tbl>
      <w:tblPr>
        <w:tblStyle w:val="62"/>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294"/>
        <w:gridCol w:w="1286"/>
        <w:gridCol w:w="1355"/>
        <w:gridCol w:w="2226"/>
        <w:gridCol w:w="879"/>
        <w:gridCol w:w="1442"/>
      </w:tblGrid>
      <w:tr>
        <w:trPr>
          <w:trHeight w:val="1923"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序号</w:t>
            </w:r>
          </w:p>
        </w:tc>
        <w:tc>
          <w:tcPr>
            <w:tcW w:w="129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名称</w:t>
            </w:r>
          </w:p>
        </w:tc>
        <w:tc>
          <w:tcPr>
            <w:tcW w:w="12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服务范围</w:t>
            </w:r>
          </w:p>
        </w:tc>
        <w:tc>
          <w:tcPr>
            <w:tcW w:w="13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服务要求</w:t>
            </w: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服务时间</w:t>
            </w: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服务标准</w:t>
            </w: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备注（如果有）</w:t>
            </w:r>
          </w:p>
        </w:tc>
      </w:tr>
      <w:tr>
        <w:trPr>
          <w:trHeight w:val="487"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87"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98"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bl>
    <w:p>
      <w:pPr>
        <w:spacing w:line="360" w:lineRule="auto"/>
        <w:ind w:right="42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注：按本格式和要求提供。</w:t>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七、商务技术偏离表</w:t>
      </w:r>
    </w:p>
    <w:tbl>
      <w:tblPr>
        <w:tblStyle w:val="63"/>
        <w:tblW w:w="90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
        <w:gridCol w:w="3533"/>
        <w:gridCol w:w="3402"/>
        <w:gridCol w:w="1224"/>
      </w:tblGrid>
      <w:tr>
        <w:trPr>
          <w:trHeight w:val="345" w:hRule="atLeast"/>
        </w:trPr>
        <w:tc>
          <w:tcPr>
            <w:tcW w:w="920" w:type="dxa"/>
          </w:tcPr>
          <w:p>
            <w:pPr>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序号</w:t>
            </w:r>
          </w:p>
        </w:tc>
        <w:tc>
          <w:tcPr>
            <w:tcW w:w="3533" w:type="dxa"/>
          </w:tcPr>
          <w:p>
            <w:pPr>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交易文件章节及具体内容</w:t>
            </w:r>
          </w:p>
        </w:tc>
        <w:tc>
          <w:tcPr>
            <w:tcW w:w="3402" w:type="dxa"/>
          </w:tcPr>
          <w:p>
            <w:pPr>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投标文件章节及具体内容</w:t>
            </w:r>
          </w:p>
        </w:tc>
        <w:tc>
          <w:tcPr>
            <w:tcW w:w="1224" w:type="dxa"/>
          </w:tcPr>
          <w:p>
            <w:pPr>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偏离说明</w:t>
            </w:r>
          </w:p>
        </w:tc>
      </w:tr>
      <w:tr>
        <w:trPr>
          <w:trHeight w:val="345" w:hRule="atLeast"/>
        </w:trPr>
        <w:tc>
          <w:tcPr>
            <w:tcW w:w="920" w:type="dxa"/>
          </w:tcPr>
          <w:p>
            <w:pPr>
              <w:jc w:val="center"/>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p>
        </w:tc>
        <w:tc>
          <w:tcPr>
            <w:tcW w:w="3533"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3402"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1224"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r>
      <w:tr>
        <w:trPr>
          <w:trHeight w:val="345" w:hRule="atLeast"/>
        </w:trPr>
        <w:tc>
          <w:tcPr>
            <w:tcW w:w="920" w:type="dxa"/>
          </w:tcPr>
          <w:p>
            <w:pPr>
              <w:jc w:val="center"/>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2</w:t>
            </w:r>
          </w:p>
        </w:tc>
        <w:tc>
          <w:tcPr>
            <w:tcW w:w="3533"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3402"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1224"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r>
      <w:tr>
        <w:trPr>
          <w:trHeight w:val="356" w:hRule="atLeast"/>
        </w:trPr>
        <w:tc>
          <w:tcPr>
            <w:tcW w:w="920" w:type="dxa"/>
          </w:tcPr>
          <w:p>
            <w:pPr>
              <w:jc w:val="center"/>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w:t>
            </w:r>
          </w:p>
        </w:tc>
        <w:tc>
          <w:tcPr>
            <w:tcW w:w="3533"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3402"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c>
          <w:tcPr>
            <w:tcW w:w="1224" w:type="dxa"/>
          </w:tcPr>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tc>
      </w:tr>
    </w:tbl>
    <w:p>
      <w:pPr>
        <w:jc w:val="left"/>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投标人保证：除商务技术偏离表列出的偏离外，投标人响应交易文件的全部要求</w:t>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pacing w:line="360" w:lineRule="auto"/>
        <w:ind w:right="42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注：按本格式和要求提供。</w:t>
      </w:r>
    </w:p>
    <w:p>
      <w:pPr>
        <w:ind w:firstLine="1429" w:firstLineChars="595"/>
        <w:rPr>
          <w:rFonts w:asciiTheme="minorEastAsia" w:hAnsiTheme="minorEastAsia" w:eastAsiaTheme="minorEastAsia" w:cstheme="minorEastAsia"/>
          <w:b/>
          <w:bCs/>
          <w:color w:val="000000" w:themeColor="text1"/>
          <w:sz w:val="24"/>
          <w:highlight w:val="none"/>
          <w14:textFill>
            <w14:solidFill>
              <w14:schemeClr w14:val="tx1"/>
            </w14:solidFill>
          </w14:textFill>
        </w:rPr>
      </w:pPr>
    </w:p>
    <w:p>
      <w:pPr>
        <w:ind w:firstLine="1429" w:firstLineChars="595"/>
        <w:rPr>
          <w:rFonts w:asciiTheme="minorEastAsia" w:hAnsiTheme="minorEastAsia" w:eastAsiaTheme="minorEastAsia" w:cstheme="minorEastAsia"/>
          <w:b/>
          <w:bCs/>
          <w:color w:val="000000" w:themeColor="text1"/>
          <w:sz w:val="24"/>
          <w:highlight w:val="none"/>
          <w14:textFill>
            <w14:solidFill>
              <w14:schemeClr w14:val="tx1"/>
            </w14:solidFill>
          </w14:textFill>
        </w:rPr>
      </w:pPr>
    </w:p>
    <w:p>
      <w:pPr>
        <w:ind w:firstLine="1429" w:firstLineChars="595"/>
        <w:rPr>
          <w:rFonts w:asciiTheme="minorEastAsia" w:hAnsiTheme="minorEastAsia" w:eastAsiaTheme="minorEastAsia" w:cstheme="minorEastAsia"/>
          <w:b/>
          <w:bCs/>
          <w:color w:val="000000" w:themeColor="text1"/>
          <w:sz w:val="24"/>
          <w:highlight w:val="none"/>
          <w14:textFill>
            <w14:solidFill>
              <w14:schemeClr w14:val="tx1"/>
            </w14:solidFill>
          </w14:textFill>
        </w:rPr>
      </w:pPr>
    </w:p>
    <w:p>
      <w:pPr>
        <w:widowControl/>
        <w:adjustRightInd/>
        <w:jc w:val="left"/>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br w:type="page"/>
      </w:r>
    </w:p>
    <w:p>
      <w:pPr>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八</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政府采购供应商廉洁自律承诺书</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（采购人）、（采购代理机构）</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pPr>
        <w:autoSpaceDE w:val="0"/>
        <w:autoSpaceDN w:val="0"/>
        <w:spacing w:line="360" w:lineRule="auto"/>
        <w:ind w:left="2" w:leftChars="1"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我单位响应你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单位</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好处；</w:t>
      </w:r>
    </w:p>
    <w:p>
      <w:pPr>
        <w:autoSpaceDE w:val="0"/>
        <w:autoSpaceDN w:val="0"/>
        <w:spacing w:line="360" w:lineRule="auto"/>
        <w:ind w:left="481" w:leftChars="229"/>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六、严格遵守《</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中华人民共和国</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政府采购法》《</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中华人民共和国</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招标投标</w:t>
      </w:r>
    </w:p>
    <w:p>
      <w:pPr>
        <w:autoSpaceDE w:val="0"/>
        <w:autoSpaceDN w:val="0"/>
        <w:spacing w:line="360" w:lineRule="auto"/>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法》</w:t>
      </w:r>
      <w:r>
        <w:rPr>
          <w:rFonts w:hint="eastAsia" w:asciiTheme="minorEastAsia" w:hAnsiTheme="minorEastAsia" w:eastAsiaTheme="minorEastAsia" w:cstheme="minorEastAsia"/>
          <w:color w:val="000000" w:themeColor="text1"/>
          <w:sz w:val="24"/>
          <w:highlight w:val="none"/>
          <w:lang w:val="zh-CN"/>
          <w14:textFill>
            <w14:solidFill>
              <w14:schemeClr w14:val="tx1"/>
            </w14:solidFill>
          </w14:textFill>
        </w:rPr>
        <w:t>《中华人民共和国民法典》</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pPr>
        <w:autoSpaceDE w:val="0"/>
        <w:autoSpaceDN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如违反上述承诺，你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单位</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单位</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投标人名称（</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电子签名</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w:t>
      </w:r>
    </w:p>
    <w:p>
      <w:pPr>
        <w:spacing w:line="360" w:lineRule="auto"/>
        <w:ind w:left="4620" w:leftChars="2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日期</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年   月   日</w:t>
      </w:r>
    </w:p>
    <w:p>
      <w:pPr>
        <w:spacing w:line="360" w:lineRule="auto"/>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p>
    <w:p>
      <w:pPr>
        <w:spacing w:line="360" w:lineRule="auto"/>
        <w:ind w:right="42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注：按本格式和要求提供。</w:t>
      </w:r>
    </w:p>
    <w:p>
      <w:pPr>
        <w:spacing w:line="360" w:lineRule="auto"/>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sectPr>
          <w:footerReference r:id="rId11" w:type="firs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报价文件部分</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目录</w:t>
      </w:r>
    </w:p>
    <w:p>
      <w:pPr>
        <w:spacing w:line="360" w:lineRule="auto"/>
        <w:jc w:val="center"/>
        <w:outlineLvl w:val="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numPr>
          <w:ilvl w:val="0"/>
          <w:numId w:val="3"/>
        </w:num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开标一览表（报价表）………………………………………………………（页码）</w:t>
      </w:r>
    </w:p>
    <w:p>
      <w:pPr>
        <w:pStyle w:val="3"/>
        <w:numPr>
          <w:ilvl w:val="0"/>
          <w:numId w:val="3"/>
        </w:numPr>
        <w:rPr>
          <w:rFonts w:asciiTheme="minorEastAsia" w:hAnsiTheme="minorEastAsia" w:eastAsiaTheme="minorEastAsia" w:cstheme="minorEastAsia"/>
          <w:b w:val="0"/>
          <w:bCs w:val="0"/>
          <w:color w:val="000000" w:themeColor="text1"/>
          <w:sz w:val="24"/>
          <w:szCs w:val="24"/>
          <w:highlight w:val="none"/>
          <w:lang w:val="en-US"/>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14:textFill>
            <w14:solidFill>
              <w14:schemeClr w14:val="tx1"/>
            </w14:solidFill>
          </w14:textFill>
        </w:rPr>
        <w:t>供应商针对报价需要说明的其他文件和资料（格式自拟）…………………（页码）</w:t>
      </w: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snapToGrid w:val="0"/>
        <w:spacing w:line="360" w:lineRule="auto"/>
        <w:ind w:right="480"/>
        <w:jc w:val="center"/>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000000" w:themeColor="text1"/>
          <w:kern w:val="2"/>
          <w:sz w:val="24"/>
          <w:szCs w:val="24"/>
          <w:highlight w:val="none"/>
          <w14:textFill>
            <w14:solidFill>
              <w14:schemeClr w14:val="tx1"/>
            </w14:solidFill>
          </w14:textFill>
        </w:rPr>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000000" w:themeColor="text1"/>
          <w:kern w:val="2"/>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highlight w:val="none"/>
          <w14:textFill>
            <w14:solidFill>
              <w14:schemeClr w14:val="tx1"/>
            </w14:solidFill>
          </w14:textFill>
        </w:rPr>
        <w:t>一、开标一览表（报价表）</w:t>
      </w:r>
    </w:p>
    <w:p>
      <w:pPr>
        <w:snapToGrid w:val="0"/>
        <w:spacing w:line="360" w:lineRule="auto"/>
        <w:rPr>
          <w:rFonts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（采购人）、（采购代理机构）</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pPr>
        <w:snapToGrid w:val="0"/>
        <w:spacing w:line="360" w:lineRule="auto"/>
        <w:ind w:firstLine="482"/>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按你方交易文件要求，我们，本投标文件签字方，谨此向你方发出要约如下：如你方接受本投标，我方承诺按照如下开标一览表（报价表）的价格完成</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（项目名称）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【招标编号：</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（采购编号）】的实施</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pPr>
        <w:spacing w:line="360" w:lineRule="auto"/>
        <w:jc w:val="center"/>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开标一览表（报价表）(单位均为人民币元)</w:t>
      </w:r>
    </w:p>
    <w:tbl>
      <w:tblPr>
        <w:tblStyle w:val="62"/>
        <w:tblW w:w="145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38"/>
        <w:gridCol w:w="2197"/>
        <w:gridCol w:w="2318"/>
        <w:gridCol w:w="2181"/>
        <w:gridCol w:w="2045"/>
        <w:gridCol w:w="2046"/>
        <w:gridCol w:w="2045"/>
      </w:tblGrid>
      <w:tr>
        <w:trPr>
          <w:trHeight w:val="1440" w:hRule="atLeast"/>
        </w:trPr>
        <w:tc>
          <w:tcPr>
            <w:tcW w:w="786"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序号</w:t>
            </w:r>
          </w:p>
        </w:tc>
        <w:tc>
          <w:tcPr>
            <w:tcW w:w="938"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名称</w:t>
            </w:r>
          </w:p>
        </w:tc>
        <w:tc>
          <w:tcPr>
            <w:tcW w:w="2197" w:type="dxa"/>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服务范围</w:t>
            </w:r>
          </w:p>
        </w:tc>
        <w:tc>
          <w:tcPr>
            <w:tcW w:w="2318"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服务要求</w:t>
            </w:r>
          </w:p>
        </w:tc>
        <w:tc>
          <w:tcPr>
            <w:tcW w:w="2181"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服务时间</w:t>
            </w:r>
          </w:p>
        </w:tc>
        <w:tc>
          <w:tcPr>
            <w:tcW w:w="2045"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服务标准</w:t>
            </w:r>
          </w:p>
        </w:tc>
        <w:tc>
          <w:tcPr>
            <w:tcW w:w="2046"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服务人数</w:t>
            </w:r>
          </w:p>
        </w:tc>
        <w:tc>
          <w:tcPr>
            <w:tcW w:w="2045" w:type="dxa"/>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备注</w:t>
            </w:r>
          </w:p>
        </w:tc>
      </w:tr>
      <w:tr>
        <w:trPr>
          <w:trHeight w:val="486" w:hRule="atLeast"/>
        </w:trPr>
        <w:tc>
          <w:tcPr>
            <w:tcW w:w="786"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p>
        </w:tc>
        <w:tc>
          <w:tcPr>
            <w:tcW w:w="93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XX</w:t>
            </w:r>
          </w:p>
        </w:tc>
        <w:tc>
          <w:tcPr>
            <w:tcW w:w="2197"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31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81"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6" w:type="dxa"/>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86" w:hRule="atLeast"/>
        </w:trPr>
        <w:tc>
          <w:tcPr>
            <w:tcW w:w="786"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p>
        </w:tc>
        <w:tc>
          <w:tcPr>
            <w:tcW w:w="93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XX</w:t>
            </w:r>
          </w:p>
        </w:tc>
        <w:tc>
          <w:tcPr>
            <w:tcW w:w="2197"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31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81"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6" w:type="dxa"/>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86" w:hRule="atLeast"/>
        </w:trPr>
        <w:tc>
          <w:tcPr>
            <w:tcW w:w="786"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tc>
        <w:tc>
          <w:tcPr>
            <w:tcW w:w="93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97"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31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81"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6" w:type="dxa"/>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86" w:hRule="atLeast"/>
        </w:trPr>
        <w:tc>
          <w:tcPr>
            <w:tcW w:w="786"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93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97"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31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81"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6" w:type="dxa"/>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486" w:hRule="atLeast"/>
        </w:trPr>
        <w:tc>
          <w:tcPr>
            <w:tcW w:w="786"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93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97"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318"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181" w:type="dxa"/>
            <w:vAlign w:val="center"/>
          </w:tcPr>
          <w:p>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6" w:type="dxa"/>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c>
          <w:tcPr>
            <w:tcW w:w="2045" w:type="dxa"/>
            <w:vAlign w:val="center"/>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683" w:hRule="atLeast"/>
        </w:trPr>
        <w:tc>
          <w:tcPr>
            <w:tcW w:w="6239" w:type="dxa"/>
            <w:gridSpan w:val="4"/>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投标报价（小写）</w:t>
            </w:r>
          </w:p>
        </w:tc>
        <w:tc>
          <w:tcPr>
            <w:tcW w:w="8317" w:type="dxa"/>
            <w:gridSpan w:val="4"/>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trPr>
          <w:trHeight w:val="630" w:hRule="atLeast"/>
        </w:trPr>
        <w:tc>
          <w:tcPr>
            <w:tcW w:w="6239" w:type="dxa"/>
            <w:gridSpan w:val="4"/>
            <w:vAlign w:val="center"/>
          </w:tcPr>
          <w:p>
            <w:pPr>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投标报价（大写）</w:t>
            </w:r>
          </w:p>
        </w:tc>
        <w:tc>
          <w:tcPr>
            <w:tcW w:w="8317" w:type="dxa"/>
            <w:gridSpan w:val="4"/>
          </w:tcPr>
          <w:p>
            <w:pPr>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bl>
    <w:p>
      <w:pPr>
        <w:snapToGrid w:val="0"/>
        <w:spacing w:line="360" w:lineRule="auto"/>
        <w:ind w:left="480"/>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注：</w:t>
      </w:r>
    </w:p>
    <w:p>
      <w:pPr>
        <w:spacing w:line="360" w:lineRule="auto"/>
        <w:ind w:left="-2" w:leftChars="-1" w:firstLine="480" w:firstLineChars="2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1、投标人需按本表格式填写</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否则视为</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投标文件含有采购人不能接受的附加条件，投标无效</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p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2、有关本项目实施所涉及的一切费用均计入报价。</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视为</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投标文件含有采购人不能接受的附加条件的，投标无效。</w:t>
      </w:r>
    </w:p>
    <w:p>
      <w:pPr>
        <w:snapToGrid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4、符合交易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0" w:firstLineChars="200"/>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5、特别说明：▲供应商报价低于项目预算50%的，应当在报价文件中详细阐述不影响产品质量或者诚信履约的具体原因，未做阐述说明的，投标无效。</w:t>
      </w:r>
    </w:p>
    <w:p>
      <w:pPr>
        <w:spacing w:line="360" w:lineRule="auto"/>
        <w:ind w:firstLine="480" w:firstLineChars="200"/>
        <w:rPr>
          <w:rFonts w:asciiTheme="minorEastAsia" w:hAnsiTheme="minorEastAsia" w:eastAsiaTheme="minorEastAsia" w:cstheme="minorEastAsia"/>
          <w:b/>
          <w:color w:val="000000" w:themeColor="text1"/>
          <w:kern w:val="0"/>
          <w:sz w:val="24"/>
          <w:highlight w:val="none"/>
          <w14:textFill>
            <w14:solidFill>
              <w14:schemeClr w14:val="tx1"/>
            </w14:solidFill>
          </w14:textFill>
        </w:rPr>
      </w:pP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000000" w:themeColor="text1"/>
          <w:kern w:val="2"/>
          <w:sz w:val="24"/>
          <w:szCs w:val="24"/>
          <w:highlight w:val="none"/>
          <w14:textFill>
            <w14:solidFill>
              <w14:schemeClr w14:val="tx1"/>
            </w14:solidFill>
          </w14:textFill>
        </w:rPr>
      </w:pP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000000" w:themeColor="text1"/>
          <w:kern w:val="2"/>
          <w:sz w:val="24"/>
          <w:szCs w:val="24"/>
          <w:highlight w:val="none"/>
          <w14:textFill>
            <w14:solidFill>
              <w14:schemeClr w14:val="tx1"/>
            </w14:solidFill>
          </w14:textFill>
        </w:rPr>
        <w:sectPr>
          <w:pgSz w:w="16838" w:h="11906" w:orient="landscape"/>
          <w:pgMar w:top="1418" w:right="1247" w:bottom="1418" w:left="1276" w:header="851" w:footer="992" w:gutter="0"/>
          <w:cols w:space="720" w:num="1"/>
          <w:titlePg/>
          <w:docGrid w:linePitch="312" w:charSpace="0"/>
        </w:sectPr>
      </w:pPr>
    </w:p>
    <w:p>
      <w:pPr>
        <w:numPr>
          <w:ilvl w:val="0"/>
          <w:numId w:val="2"/>
        </w:num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供应商针对报价需要说明的其他文件和资料（格式自拟）</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p>
    <w:p>
      <w:pPr>
        <w:numPr>
          <w:ilvl w:val="0"/>
          <w:numId w:val="2"/>
        </w:numPr>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br w:type="page"/>
      </w:r>
    </w:p>
    <w:p>
      <w:pPr>
        <w:rPr>
          <w:rFonts w:asciiTheme="minorEastAsia" w:hAnsiTheme="minorEastAsia" w:eastAsiaTheme="minorEastAsia" w:cstheme="minorEastAsia"/>
          <w:color w:val="000000" w:themeColor="text1"/>
          <w:highlight w:val="none"/>
          <w14:textFill>
            <w14:solidFill>
              <w14:schemeClr w14:val="tx1"/>
            </w14:solidFill>
          </w14:textFill>
        </w:rPr>
      </w:pPr>
    </w:p>
    <w:p>
      <w:pPr>
        <w:spacing w:line="360" w:lineRule="auto"/>
        <w:jc w:val="left"/>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pacing w:val="6"/>
          <w:sz w:val="24"/>
          <w:highlight w:val="none"/>
          <w14:textFill>
            <w14:solidFill>
              <w14:schemeClr w14:val="tx1"/>
            </w14:solidFill>
          </w14:textFill>
        </w:rPr>
        <w:t>附件1：质疑函范本及制作说明</w:t>
      </w:r>
    </w:p>
    <w:p>
      <w:pPr>
        <w:spacing w:line="360" w:lineRule="auto"/>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pacing w:val="6"/>
          <w:sz w:val="24"/>
          <w:highlight w:val="none"/>
          <w14:textFill>
            <w14:solidFill>
              <w14:schemeClr w14:val="tx1"/>
            </w14:solidFill>
          </w14:textFill>
        </w:rPr>
        <w:t>质疑函范本</w:t>
      </w:r>
    </w:p>
    <w:p>
      <w:pPr>
        <w:snapToGrid w:val="0"/>
        <w:spacing w:before="240" w:beforeLines="100"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一、质疑供应商基本信息</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质疑供应商：</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地址：</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邮编：</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联系人：</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联系电话：</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授权代表：</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联系电话：</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地址： </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邮编：</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二、质疑项目基本情况</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质疑项目的名称：</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质疑项目的编号：</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包号：</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采购人名称：</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采购文件获取日期：</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三、质疑事项具体内容</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质疑事项1：</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事实依据：</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法律依据：</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质疑事项2</w:t>
      </w:r>
    </w:p>
    <w:p>
      <w:pPr>
        <w:snapToGrid w:val="0"/>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pPr>
        <w:snapToGrid w:val="0"/>
        <w:spacing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四、与质疑事项相关的质疑请求</w:t>
      </w:r>
    </w:p>
    <w:p>
      <w:pPr>
        <w:snapToGrid w:val="0"/>
        <w:spacing w:line="360" w:lineRule="auto"/>
        <w:rPr>
          <w:rFonts w:asciiTheme="minorEastAsia" w:hAnsiTheme="minorEastAsia" w:eastAsiaTheme="minorEastAsia" w:cstheme="minorEastAsia"/>
          <w:color w:val="000000" w:themeColor="text1"/>
          <w:sz w:val="24"/>
          <w:highlight w:val="none"/>
          <w:u w:val="dotted"/>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请求：</w:t>
      </w:r>
      <w:r>
        <w:rPr>
          <w:rFonts w:hint="eastAsia" w:asciiTheme="minorEastAsia" w:hAnsiTheme="minorEastAsia" w:eastAsiaTheme="minorEastAsia" w:cstheme="minorEastAsia"/>
          <w:color w:val="000000" w:themeColor="text1"/>
          <w:sz w:val="24"/>
          <w:highlight w:val="none"/>
          <w:u w:val="dotted"/>
          <w14:textFill>
            <w14:solidFill>
              <w14:schemeClr w14:val="tx1"/>
            </w14:solidFill>
          </w14:textFill>
        </w:rPr>
        <w:t xml:space="preserve">                                               </w:t>
      </w: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签字(签章)：                   公章：                      </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日期：      </w:t>
      </w: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spacing w:line="360" w:lineRule="auto"/>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spacing w:line="360" w:lineRule="auto"/>
        <w:rPr>
          <w:rFonts w:asciiTheme="minorEastAsia" w:hAnsiTheme="minorEastAsia" w:eastAsiaTheme="minorEastAsia" w:cstheme="minorEastAsia"/>
          <w:b/>
          <w:color w:val="000000" w:themeColor="text1"/>
          <w:sz w:val="24"/>
          <w:highlight w:val="none"/>
          <w14:textFill>
            <w14:solidFill>
              <w14:schemeClr w14:val="tx1"/>
            </w14:solidFill>
          </w14:textFill>
        </w:rPr>
      </w:pPr>
    </w:p>
    <w:p>
      <w:pP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pacing w:val="6"/>
          <w:sz w:val="24"/>
          <w:highlight w:val="none"/>
          <w14:textFill>
            <w14:solidFill>
              <w14:schemeClr w14:val="tx1"/>
            </w14:solidFill>
          </w14:textFill>
        </w:rPr>
        <w:br w:type="page"/>
      </w:r>
    </w:p>
    <w:p>
      <w:pPr>
        <w:autoSpaceDE w:val="0"/>
        <w:autoSpaceDN w:val="0"/>
        <w:jc w:val="center"/>
        <w:rPr>
          <w:rFonts w:asciiTheme="minorEastAsia" w:hAnsiTheme="minorEastAsia" w:eastAsiaTheme="minorEastAsia" w:cstheme="minorEastAsia"/>
          <w:b/>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pacing w:val="6"/>
          <w:sz w:val="24"/>
          <w:highlight w:val="none"/>
          <w14:textFill>
            <w14:solidFill>
              <w14:schemeClr w14:val="tx1"/>
            </w14:solidFill>
          </w14:textFill>
        </w:rPr>
        <w:t>附件2：</w:t>
      </w: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业务专用章使用说明函</w:t>
      </w:r>
    </w:p>
    <w:p>
      <w:pPr>
        <w:spacing w:line="360" w:lineRule="auto"/>
        <w:rPr>
          <w:rFonts w:asciiTheme="minorEastAsia" w:hAnsiTheme="minorEastAsia" w:eastAsiaTheme="minorEastAsia" w:cstheme="minorEastAsia"/>
          <w:color w:val="000000" w:themeColor="text1"/>
          <w:sz w:val="24"/>
          <w:highlight w:val="none"/>
          <w:u w:val="single"/>
          <w14:textFill>
            <w14:solidFill>
              <w14:schemeClr w14:val="tx1"/>
            </w14:solidFill>
          </w14:textFill>
        </w:rPr>
      </w:pPr>
    </w:p>
    <w:p>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（采购人）、（采购代理机构）：</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我方</w:t>
      </w:r>
      <w:r>
        <w:rPr>
          <w:rFonts w:hint="eastAsia" w:asciiTheme="minorEastAsia" w:hAnsiTheme="minorEastAsia" w:eastAsiaTheme="minorEastAsia" w:cstheme="minorEastAsia"/>
          <w:color w:val="000000" w:themeColor="text1"/>
          <w:kern w:val="0"/>
          <w:sz w:val="24"/>
          <w:highlight w:val="none"/>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(投标人全称)是中华人民共和国依法登记注册的合法企业，</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在参加</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你方组织的（项目名称）【招标编号：（采购编号）】</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投标活动中作如下说明：</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特此说明。</w:t>
      </w:r>
    </w:p>
    <w:p>
      <w:pPr>
        <w:spacing w:line="360" w:lineRule="auto"/>
        <w:ind w:firstLine="494"/>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494"/>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494"/>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firstLine="494"/>
        <w:rPr>
          <w:rFonts w:asciiTheme="minorEastAsia" w:hAnsiTheme="minorEastAsia" w:eastAsiaTheme="minorEastAsia" w:cstheme="minorEastAsia"/>
          <w:color w:val="000000" w:themeColor="text1"/>
          <w:sz w:val="24"/>
          <w:highlight w:val="none"/>
          <w14:textFill>
            <w14:solidFill>
              <w14:schemeClr w14:val="tx1"/>
            </w14:solidFill>
          </w14:textFill>
        </w:rPr>
      </w:pPr>
    </w:p>
    <w:p>
      <w:pPr>
        <w:spacing w:line="360" w:lineRule="auto"/>
        <w:ind w:right="480" w:firstLine="4080" w:firstLineChars="17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投标单位（法定名称章）：</w:t>
      </w:r>
    </w:p>
    <w:p>
      <w:pPr>
        <w:ind w:right="1440" w:firstLine="494"/>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日期：       年     月     日</w:t>
      </w:r>
    </w:p>
    <w:p>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w:t>附：</w:t>
      </w:r>
    </w:p>
    <w:p>
      <w:pPr>
        <w:spacing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9ZAPP9gAAAAKAQAADwAAAAAAAAABACAAAAA4AAAA&#10;ZHJzL2Rvd25yZXYueG1sUEsBAhQAFAAAAAgAh07iQOLXmAk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GYxHptgAAAAKAQAADwAAAAAAAAABACAAAAA4AAAA&#10;ZHJzL2Rvd25yZXYueG1sUEsBAhQAFAAAAAgAh07iQHeCfUQ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投标单位法定名称章（印模）                投标单位“XX专用章”（印模）</w:t>
      </w: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autoSpaceDE w:val="0"/>
        <w:autoSpaceDN w:val="0"/>
        <w:jc w:val="center"/>
        <w:rPr>
          <w:rFonts w:asciiTheme="minorEastAsia" w:hAnsiTheme="minorEastAsia" w:eastAsiaTheme="minorEastAsia" w:cstheme="minorEastAsia"/>
          <w:b/>
          <w:color w:val="000000" w:themeColor="text1"/>
          <w:spacing w:val="6"/>
          <w:sz w:val="24"/>
          <w:highlight w:val="none"/>
          <w14:textFill>
            <w14:solidFill>
              <w14:schemeClr w14:val="tx1"/>
            </w14:solidFill>
          </w14:textFill>
        </w:rPr>
      </w:pPr>
    </w:p>
    <w:p>
      <w:pPr>
        <w:spacing w:line="360" w:lineRule="auto"/>
        <w:rPr>
          <w:rFonts w:asciiTheme="minorEastAsia" w:hAnsiTheme="minorEastAsia" w:eastAsiaTheme="minorEastAsia" w:cstheme="minorEastAsia"/>
          <w:bCs/>
          <w:color w:val="000000" w:themeColor="text1"/>
          <w:sz w:val="24"/>
          <w:highlight w:val="none"/>
          <w14:textFill>
            <w14:solidFill>
              <w14:schemeClr w14:val="tx1"/>
            </w14:solidFill>
          </w14:textFill>
        </w:rPr>
      </w:pPr>
    </w:p>
    <w:sectPr>
      <w:headerReference r:id="rId16" w:type="first"/>
      <w:footerReference r:id="rId19" w:type="first"/>
      <w:headerReference r:id="rId15" w:type="defaul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modern"/>
    <w:pitch w:val="default"/>
    <w:sig w:usb0="00000000" w:usb1="00000000" w:usb2="0000001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Cambria">
    <w:altName w:val="苹方-简"/>
    <w:panose1 w:val="02040503050406030204"/>
    <w:charset w:val="00"/>
    <w:family w:val="roman"/>
    <w:pitch w:val="default"/>
    <w:sig w:usb0="00000000" w:usb1="00000000" w:usb2="00000000" w:usb3="00000000" w:csb0="2000019F" w:csb1="00000000"/>
  </w:font>
  <w:font w:name="微软雅黑">
    <w:altName w:val="汉仪旗黑"/>
    <w:panose1 w:val="020B0503020204020204"/>
    <w:charset w:val="86"/>
    <w:family w:val="swiss"/>
    <w:pitch w:val="default"/>
    <w:sig w:usb0="00000000" w:usb1="00000000" w:usb2="00000016" w:usb3="00000000" w:csb0="0004001F" w:csb1="00000000"/>
  </w:font>
  <w:font w:name="隶书">
    <w:altName w:val="报隶-简"/>
    <w:panose1 w:val="02010509060101010101"/>
    <w:charset w:val="86"/>
    <w:family w:val="modern"/>
    <w:pitch w:val="default"/>
    <w:sig w:usb0="00000000" w:usb1="00000000" w:usb2="00000010" w:usb3="00000000" w:csb0="00040000" w:csb1="00000000"/>
  </w:font>
  <w:font w:name="楷体_GB2312">
    <w:altName w:val="汉仪楷体简"/>
    <w:panose1 w:val="00000000000000000000"/>
    <w:charset w:val="86"/>
    <w:family w:val="modern"/>
    <w:pitch w:val="default"/>
    <w:sig w:usb0="00000000" w:usb1="00000000" w:usb2="00000000" w:usb3="00000000" w:csb0="00040000" w:csb1="00000000"/>
  </w:font>
  <w:font w:name="Futura Bk">
    <w:altName w:val="苹方-简"/>
    <w:panose1 w:val="00000000000000000000"/>
    <w:charset w:val="00"/>
    <w:family w:val="auto"/>
    <w:pitch w:val="default"/>
    <w:sig w:usb0="00000000" w:usb1="00000000" w:usb2="00000000" w:usb3="00000000" w:csb0="0000009F" w:csb1="00000000"/>
  </w:font>
  <w:font w:name="华文中宋">
    <w:altName w:val="汉仪书宋二KW"/>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AFF" w:usb1="C000605B" w:usb2="00000029" w:usb3="00000000" w:csb0="200101FF" w:csb1="20280000"/>
  </w:font>
  <w:font w:name="MS Sans Serif">
    <w:altName w:val="苹方-简"/>
    <w:panose1 w:val="00000000000000000000"/>
    <w:charset w:val="00"/>
    <w:family w:val="swiss"/>
    <w:pitch w:val="default"/>
    <w:sig w:usb0="00000000" w:usb1="00000000" w:usb2="00000000" w:usb3="00000000" w:csb0="00000001" w:csb1="00000000"/>
  </w:font>
  <w:font w:name="Lucida Sans">
    <w:altName w:val="苹方-简"/>
    <w:panose1 w:val="00000000000000000000"/>
    <w:charset w:val="00"/>
    <w:family w:val="swiss"/>
    <w:pitch w:val="default"/>
    <w:sig w:usb0="00000000" w:usb1="00000000" w:usb2="00000000" w:usb3="00000000" w:csb0="00000001" w:csb1="00000000"/>
  </w:font>
  <w:font w:name="等线 Light">
    <w:altName w:val="汉仪中等线KW"/>
    <w:panose1 w:val="00000000000000000000"/>
    <w:charset w:val="86"/>
    <w:family w:val="auto"/>
    <w:pitch w:val="default"/>
    <w:sig w:usb0="00000000" w:usb1="00000000" w:usb2="00000016" w:usb3="00000000" w:csb0="0004000F" w:csb1="00000000"/>
  </w:font>
  <w:font w:name="Verdana">
    <w:panose1 w:val="020B0804030504040204"/>
    <w:charset w:val="00"/>
    <w:family w:val="swiss"/>
    <w:pitch w:val="default"/>
    <w:sig w:usb0="A10006FF" w:usb1="4000205B" w:usb2="00000010" w:usb3="00000000" w:csb0="2000019F" w:csb1="00000000"/>
  </w:font>
  <w:font w:name="ˎ̥">
    <w:altName w:val="苹方-简"/>
    <w:panose1 w:val="00000000000000000000"/>
    <w:charset w:val="00"/>
    <w:family w:val="auto"/>
    <w:pitch w:val="default"/>
    <w:sig w:usb0="00000000" w:usb1="00000000" w:usb2="00000000" w:usb3="00000000" w:csb0="00040001" w:csb1="00000000"/>
  </w:font>
  <w:font w:name="幼圆">
    <w:altName w:val="华文宋体"/>
    <w:panose1 w:val="02010509060101010101"/>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苹方-简"/>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0000000000000000000"/>
    <w:charset w:val="00"/>
    <w:family w:val="swiss"/>
    <w:pitch w:val="default"/>
    <w:sig w:usb0="E00002FF" w:usb1="5000785B" w:usb2="00000000" w:usb3="00000000" w:csb0="2000019F" w:csb1="4F010000"/>
  </w:font>
  <w:font w:name="Cumberland">
    <w:altName w:val="苹方-简"/>
    <w:panose1 w:val="00000000000000000000"/>
    <w:charset w:val="00"/>
    <w:family w:val="modern"/>
    <w:pitch w:val="default"/>
    <w:sig w:usb0="00000000" w:usb1="00000000" w:usb2="00000000" w:usb3="00000000" w:csb0="00040001" w:csb1="00000000"/>
  </w:font>
  <w:font w:name="方正宋体">
    <w:altName w:val="汉仪书宋二KW"/>
    <w:panose1 w:val="00000000000000000000"/>
    <w:charset w:val="00"/>
    <w:family w:val="auto"/>
    <w:pitch w:val="default"/>
    <w:sig w:usb0="00000000" w:usb1="00000000" w:usb2="00000000" w:usb3="00000000" w:csb0="00040001" w:csb1="00000000"/>
  </w:font>
  <w:font w:name="Futura Hv">
    <w:altName w:val="苹方-简"/>
    <w:panose1 w:val="00000000000000000000"/>
    <w:charset w:val="00"/>
    <w:family w:val="swiss"/>
    <w:pitch w:val="default"/>
    <w:sig w:usb0="00000000" w:usb1="00000000" w:usb2="00000000" w:usb3="00000000" w:csb0="000001FB" w:csb1="00000000"/>
  </w:font>
  <w:font w:name="Segoe UI">
    <w:altName w:val="苹方-简"/>
    <w:panose1 w:val="020B0502040204020203"/>
    <w:charset w:val="00"/>
    <w:family w:val="swiss"/>
    <w:pitch w:val="default"/>
    <w:sig w:usb0="00000000" w:usb1="00000000" w:usb2="00000029" w:usb3="00000000" w:csb0="200001DF" w:csb1="20000000"/>
  </w:font>
  <w:font w:name="Latha">
    <w:altName w:val="苹方-简"/>
    <w:panose1 w:val="020B0604020202020204"/>
    <w:charset w:val="00"/>
    <w:family w:val="swiss"/>
    <w:pitch w:val="default"/>
    <w:sig w:usb0="00000000" w:usb1="00000000" w:usb2="00000000" w:usb3="00000000" w:csb0="00000001" w:csb1="00000000"/>
  </w:font>
  <w:font w:name="等线">
    <w:altName w:val="汉仪中等线KW"/>
    <w:panose1 w:val="00000000000000000000"/>
    <w:charset w:val="86"/>
    <w:family w:val="auto"/>
    <w:pitch w:val="default"/>
    <w:sig w:usb0="00000000" w:usb1="00000000" w:usb2="00000016" w:usb3="00000000" w:csb0="0004000F" w:csb1="00000000"/>
  </w:font>
  <w:font w:name="新宋体">
    <w:altName w:val="方正书宋_GBK"/>
    <w:panose1 w:val="02010609030101010101"/>
    <w:charset w:val="86"/>
    <w:family w:val="modern"/>
    <w:pitch w:val="default"/>
    <w:sig w:usb0="00000000" w:usb1="00000000" w:usb2="0000000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Lucida Sans Unicode">
    <w:altName w:val="苹方-简"/>
    <w:panose1 w:val="020B0602030504020204"/>
    <w:charset w:val="00"/>
    <w:family w:val="swiss"/>
    <w:pitch w:val="default"/>
    <w:sig w:usb0="00000000" w:usb1="00000000" w:usb2="00000000" w:usb3="00000000" w:csb0="200000BF" w:csb1="D7F70000"/>
  </w:font>
  <w:font w:name="Century Gothic">
    <w:altName w:val="苹方-简"/>
    <w:panose1 w:val="020B0502020202020204"/>
    <w:charset w:val="00"/>
    <w:family w:val="swiss"/>
    <w:pitch w:val="default"/>
    <w:sig w:usb0="00000000" w:usb1="00000000" w:usb2="00000000" w:usb3="00000000" w:csb0="0000009F" w:csb1="00000000"/>
  </w:font>
  <w:font w:name="Aldine401 BT">
    <w:altName w:val="苹方-简"/>
    <w:panose1 w:val="00000000000000000000"/>
    <w:charset w:val="00"/>
    <w:family w:val="roman"/>
    <w:pitch w:val="default"/>
    <w:sig w:usb0="00000000" w:usb1="00000000" w:usb2="00000000" w:usb3="00000000" w:csb0="00000011" w:csb1="00000000"/>
  </w:font>
  <w:font w:name=".PingFang SC">
    <w:panose1 w:val="02020503050405090304"/>
    <w:charset w:val="00"/>
    <w:family w:val="modern"/>
    <w:pitch w:val="default"/>
    <w:sig w:usb0="E0000AFF" w:usb1="00007843" w:usb2="00000001" w:usb3="00000000" w:csb0="400001BF" w:csb1="DFF70000"/>
  </w:font>
  <w:font w:name="Helvetica Neue">
    <w:panose1 w:val="02000503000000020004"/>
    <w:charset w:val="00"/>
    <w:family w:val="auto"/>
    <w:pitch w:val="default"/>
    <w:sig w:usb0="E50002FF" w:usb1="500079DB" w:usb2="00000010" w:usb3="00000000" w:csb0="00000000" w:csb1="00000000"/>
  </w:font>
  <w:font w:name="Wingdings 2">
    <w:panose1 w:val="05020102010507070707"/>
    <w:charset w:val="02"/>
    <w:family w:val="roman"/>
    <w:pitch w:val="default"/>
    <w:sig w:usb0="00000000" w:usb1="00000000" w:usb2="00000000" w:usb3="00000000" w:csb0="80000000" w:csb1="00000000"/>
  </w:font>
  <w:font w:name="PingFang SC">
    <w:panose1 w:val="020B0400000000000000"/>
    <w:charset w:val="86"/>
    <w:family w:val="auto"/>
    <w:pitch w:val="default"/>
    <w:sig w:usb0="A00002FF" w:usb1="7ACFFDFB" w:usb2="00000017" w:usb3="00000000" w:csb0="00040001" w:csb1="00000000"/>
  </w:font>
  <w:font w:name="汉仪书宋二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冬青黑体简体中文">
    <w:panose1 w:val="020B0300000000000000"/>
    <w:charset w:val="86"/>
    <w:family w:val="auto"/>
    <w:pitch w:val="default"/>
    <w:sig w:usb0="A00002BF" w:usb1="1ACF7CFA" w:usb2="00000016" w:usb3="00000000" w:csb0="00060007" w:csb1="00000000"/>
  </w:font>
  <w:font w:name="宋体-简">
    <w:panose1 w:val="02010800040101010101"/>
    <w:charset w:val="86"/>
    <w:family w:val="auto"/>
    <w:pitch w:val="default"/>
    <w:sig w:usb0="00000001" w:usb1="080F0000" w:usb2="00000000" w:usb3="00000000" w:csb0="00040000" w:csb1="00000000"/>
  </w:font>
  <w:font w:name="苹方-简">
    <w:panose1 w:val="020B0400000000000000"/>
    <w:charset w:val="86"/>
    <w:family w:val="auto"/>
    <w:pitch w:val="default"/>
    <w:sig w:usb0="A00002FF" w:usb1="7ACFFDFB" w:usb2="00000017" w:usb3="00000000" w:csb0="00040001" w:csb1="00000000"/>
  </w:font>
  <w:font w:name="汉仪楷体KW">
    <w:panose1 w:val="00020600040101010101"/>
    <w:charset w:val="86"/>
    <w:family w:val="auto"/>
    <w:pitch w:val="default"/>
    <w:sig w:usb0="A00002BF" w:usb1="18EF7CFA" w:usb2="00000016" w:usb3="00000000" w:csb0="00040000" w:csb1="00000000"/>
  </w:font>
  <w:font w:name="方正书宋_GBK">
    <w:panose1 w:val="02000000000000000000"/>
    <w:charset w:val="86"/>
    <w:family w:val="auto"/>
    <w:pitch w:val="default"/>
    <w:sig w:usb0="A00002BF" w:usb1="38CF7CFA" w:usb2="00082016" w:usb3="00000000" w:csb0="00040001" w:csb1="00000000"/>
  </w:font>
  <w:font w:name="汉仪中等线KW">
    <w:panose1 w:val="01010104010101010101"/>
    <w:charset w:val="86"/>
    <w:family w:val="auto"/>
    <w:pitch w:val="default"/>
    <w:sig w:usb0="800002BF" w:usb1="004F7CFA" w:usb2="00000000" w:usb3="00000000" w:csb0="00040001" w:csb1="00000000"/>
  </w:font>
  <w:font w:name="Arial">
    <w:panose1 w:val="020B0604020202090204"/>
    <w:charset w:val="00"/>
    <w:family w:val="auto"/>
    <w:pitch w:val="default"/>
    <w:sig w:usb0="E0000AFF" w:usb1="00007843" w:usb2="00000001" w:usb3="00000000" w:csb0="400001BF" w:csb1="DFF70000"/>
  </w:font>
  <w:font w:name="华文宋体">
    <w:panose1 w:val="02010600040101010101"/>
    <w:charset w:val="86"/>
    <w:family w:val="auto"/>
    <w:pitch w:val="default"/>
    <w:sig w:usb0="80000287" w:usb1="280F3C52" w:usb2="00000016" w:usb3="00000000" w:csb0="0004001F" w:csb1="00000000"/>
  </w:font>
  <w:font w:name="汉仪楷体简">
    <w:panose1 w:val="02010600000101010101"/>
    <w:charset w:val="86"/>
    <w:family w:val="auto"/>
    <w:pitch w:val="default"/>
    <w:sig w:usb0="00000001" w:usb1="080E0800" w:usb2="00000002" w:usb3="00000000" w:csb0="00040000" w:csb1="00000000"/>
  </w:font>
  <w:font w:name="报隶-简">
    <w:panose1 w:val="02010600040101010101"/>
    <w:charset w:val="86"/>
    <w:family w:val="auto"/>
    <w:pitch w:val="default"/>
    <w:sig w:usb0="80000287" w:usb1="280F3C52" w:usb2="00000016" w:usb3="00000000" w:csb0="0004001F" w:csb1="00000000"/>
  </w:font>
  <w:font w:name="汉仪旗黑">
    <w:panose1 w:val="00020600040101010101"/>
    <w:charset w:val="86"/>
    <w:family w:val="auto"/>
    <w:pitch w:val="default"/>
    <w:sig w:usb0="A00002BF" w:usb1="1ACF7CFA" w:usb2="00000016" w:usb3="00000000" w:csb0="0004009F" w:csb1="DFD70000"/>
  </w:font>
  <w:font w:name="Kingsoft Sign">
    <w:panose1 w:val="05050102010706020507"/>
    <w:charset w:val="00"/>
    <w:family w:val="auto"/>
    <w:pitch w:val="default"/>
    <w:sig w:usb0="00000000" w:usb1="10000000" w:usb2="00000000" w:usb3="00000000" w:csb0="00000001" w:csb1="00000000"/>
  </w:font>
  <w:font w:name="汉仪中黑KW">
    <w:panose1 w:val="00020600040101010101"/>
    <w:charset w:val="86"/>
    <w:family w:val="auto"/>
    <w:pitch w:val="default"/>
    <w:sig w:usb0="A00002BF" w:usb1="18EF7CFA" w:usb2="00000016"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43</w:t>
    </w:r>
    <w:r>
      <w:rPr>
        <w:rFonts w:hint="eastAsia" w:ascii="仿宋_GB2312" w:eastAsia="仿宋_GB2312"/>
        <w:kern w:val="0"/>
        <w:szCs w:val="21"/>
      </w:rPr>
      <w:fldChar w:fldCharType="end"/>
    </w:r>
    <w:bookmarkStart w:id="400" w:name="_Toc164085800"/>
    <w:bookmarkStart w:id="401" w:name="_Toc91899912"/>
    <w:bookmarkStart w:id="402" w:name="_Toc36110187"/>
    <w:bookmarkStart w:id="403" w:name="_Toc131845147"/>
    <w:r>
      <w:rPr>
        <w:rFonts w:hint="eastAsia" w:ascii="仿宋_GB2312" w:eastAsia="仿宋_GB2312"/>
        <w:kern w:val="0"/>
        <w:szCs w:val="21"/>
      </w:rPr>
      <w:t xml:space="preserve"> 页</w:t>
    </w:r>
    <w:bookmarkEnd w:id="400"/>
    <w:bookmarkEnd w:id="401"/>
    <w:bookmarkEnd w:id="402"/>
    <w:bookmarkEnd w:id="40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公开</w:t>
    </w:r>
    <w:r>
      <w:rPr>
        <w:rFonts w:hint="eastAsia"/>
      </w:rPr>
      <w:t>交易</w:t>
    </w:r>
    <w:r>
      <w:t>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公开</w:t>
    </w:r>
    <w:r>
      <w:rPr>
        <w:rFonts w:hint="eastAsia"/>
      </w:rPr>
      <w:t>交易</w:t>
    </w:r>
    <w:r>
      <w:rPr>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b/>
        <w:i/>
        <w:iCs/>
        <w:u w:val="single"/>
      </w:rPr>
    </w:pP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E25C20"/>
    <w:multiLevelType w:val="singleLevel"/>
    <w:tmpl w:val="B9E25C20"/>
    <w:lvl w:ilvl="0" w:tentative="0">
      <w:start w:val="1"/>
      <w:numFmt w:val="decimal"/>
      <w:suff w:val="nothing"/>
      <w:lvlText w:val="（%1）"/>
      <w:lvlJc w:val="left"/>
    </w:lvl>
  </w:abstractNum>
  <w:abstractNum w:abstractNumId="1">
    <w:nsid w:val="D20BBA03"/>
    <w:multiLevelType w:val="singleLevel"/>
    <w:tmpl w:val="D20BBA03"/>
    <w:lvl w:ilvl="0" w:tentative="0">
      <w:start w:val="2"/>
      <w:numFmt w:val="decimal"/>
      <w:suff w:val="space"/>
      <w:lvlText w:val="%1."/>
      <w:lvlJc w:val="left"/>
    </w:lvl>
  </w:abstractNum>
  <w:abstractNum w:abstractNumId="2">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5EC0"/>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2E"/>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0E5"/>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C59"/>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48B3"/>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3F82"/>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7AE"/>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855"/>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B84"/>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AAF"/>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26A"/>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87B"/>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5E7"/>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128"/>
    <w:rsid w:val="00AD2AB1"/>
    <w:rsid w:val="00AD3132"/>
    <w:rsid w:val="00AD3DA6"/>
    <w:rsid w:val="00AD3F3C"/>
    <w:rsid w:val="00AD447E"/>
    <w:rsid w:val="00AD4B2F"/>
    <w:rsid w:val="00AD51F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5AED"/>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A9F"/>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6888"/>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2CA"/>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DD4E2A"/>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B474FF"/>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F0300B"/>
    <w:rsid w:val="1C0459C2"/>
    <w:rsid w:val="1C1B3B4A"/>
    <w:rsid w:val="1C88086E"/>
    <w:rsid w:val="1D266CE1"/>
    <w:rsid w:val="1D3963AF"/>
    <w:rsid w:val="1D6A673C"/>
    <w:rsid w:val="1D7E2045"/>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31215C"/>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413F05"/>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432DB7"/>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C30570"/>
    <w:rsid w:val="2DD15014"/>
    <w:rsid w:val="2DF72DE4"/>
    <w:rsid w:val="2E0220AF"/>
    <w:rsid w:val="2E4B082A"/>
    <w:rsid w:val="2E5D4E86"/>
    <w:rsid w:val="2E5D790B"/>
    <w:rsid w:val="2E9A3C18"/>
    <w:rsid w:val="2EBA3875"/>
    <w:rsid w:val="2EBB0FEE"/>
    <w:rsid w:val="2EC63002"/>
    <w:rsid w:val="2F0A6B38"/>
    <w:rsid w:val="2F946CCB"/>
    <w:rsid w:val="2FD25781"/>
    <w:rsid w:val="2FD66C4B"/>
    <w:rsid w:val="2FDC745C"/>
    <w:rsid w:val="2FEFEFF6"/>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1D08EB"/>
    <w:rsid w:val="34211214"/>
    <w:rsid w:val="342E63AB"/>
    <w:rsid w:val="34950E68"/>
    <w:rsid w:val="34986E94"/>
    <w:rsid w:val="34AF62C9"/>
    <w:rsid w:val="34CB4388"/>
    <w:rsid w:val="34FA6E12"/>
    <w:rsid w:val="354D7158"/>
    <w:rsid w:val="358D5588"/>
    <w:rsid w:val="35C06068"/>
    <w:rsid w:val="363A3B40"/>
    <w:rsid w:val="365302AE"/>
    <w:rsid w:val="36607A0A"/>
    <w:rsid w:val="366E227C"/>
    <w:rsid w:val="366F2E0D"/>
    <w:rsid w:val="367B6A5C"/>
    <w:rsid w:val="36A74ADA"/>
    <w:rsid w:val="36AD60D5"/>
    <w:rsid w:val="36B224F9"/>
    <w:rsid w:val="36EC0CC9"/>
    <w:rsid w:val="373F410B"/>
    <w:rsid w:val="37BE5069"/>
    <w:rsid w:val="37EE7094"/>
    <w:rsid w:val="37FB60C5"/>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007580"/>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BE00F"/>
    <w:rsid w:val="3EAF4836"/>
    <w:rsid w:val="3EC33DFA"/>
    <w:rsid w:val="3EF335A2"/>
    <w:rsid w:val="3F060E16"/>
    <w:rsid w:val="3F1D1096"/>
    <w:rsid w:val="3F1F0523"/>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67691"/>
    <w:rsid w:val="44002FAD"/>
    <w:rsid w:val="444160C5"/>
    <w:rsid w:val="449101DD"/>
    <w:rsid w:val="44DE1391"/>
    <w:rsid w:val="451B225C"/>
    <w:rsid w:val="452410C9"/>
    <w:rsid w:val="45317DFB"/>
    <w:rsid w:val="456D3CE4"/>
    <w:rsid w:val="4579042C"/>
    <w:rsid w:val="457F0571"/>
    <w:rsid w:val="45851176"/>
    <w:rsid w:val="45C63B94"/>
    <w:rsid w:val="460E7DA5"/>
    <w:rsid w:val="46422483"/>
    <w:rsid w:val="464F6A5A"/>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BC19CA"/>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266CA7"/>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3FB6B11"/>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CE0789"/>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FC5637"/>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DF9281"/>
    <w:rsid w:val="5FE34A5B"/>
    <w:rsid w:val="5FF54AC3"/>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2E75D6"/>
    <w:rsid w:val="6B573233"/>
    <w:rsid w:val="6B5B6274"/>
    <w:rsid w:val="6B935D53"/>
    <w:rsid w:val="6BFB7BD7"/>
    <w:rsid w:val="6C196F71"/>
    <w:rsid w:val="6C226FCB"/>
    <w:rsid w:val="6C31226F"/>
    <w:rsid w:val="6C552F0B"/>
    <w:rsid w:val="6C8C67B7"/>
    <w:rsid w:val="6C9D744C"/>
    <w:rsid w:val="6D167928"/>
    <w:rsid w:val="6D26299B"/>
    <w:rsid w:val="6D3D6E4C"/>
    <w:rsid w:val="6D4772EC"/>
    <w:rsid w:val="6D60667F"/>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6FED6E83"/>
    <w:rsid w:val="6FEDBF83"/>
    <w:rsid w:val="6FF5141C"/>
    <w:rsid w:val="6FFC4458"/>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2E72082"/>
    <w:rsid w:val="73969944"/>
    <w:rsid w:val="73BB6668"/>
    <w:rsid w:val="73C0646E"/>
    <w:rsid w:val="742222F5"/>
    <w:rsid w:val="74476126"/>
    <w:rsid w:val="74706664"/>
    <w:rsid w:val="747F3682"/>
    <w:rsid w:val="749C4185"/>
    <w:rsid w:val="75067759"/>
    <w:rsid w:val="752E6DCD"/>
    <w:rsid w:val="7551380D"/>
    <w:rsid w:val="75600BE5"/>
    <w:rsid w:val="7564475C"/>
    <w:rsid w:val="7583797F"/>
    <w:rsid w:val="75D20F1D"/>
    <w:rsid w:val="75DA2C18"/>
    <w:rsid w:val="75E3B5D7"/>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EDD5AF"/>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764C35"/>
    <w:rsid w:val="7BEE0103"/>
    <w:rsid w:val="7BFF09B1"/>
    <w:rsid w:val="7BFFE94B"/>
    <w:rsid w:val="7C0A0FE4"/>
    <w:rsid w:val="7C254906"/>
    <w:rsid w:val="7C4F7BE8"/>
    <w:rsid w:val="7C590818"/>
    <w:rsid w:val="7C7C10F6"/>
    <w:rsid w:val="7C853BEA"/>
    <w:rsid w:val="7C881368"/>
    <w:rsid w:val="7CB65244"/>
    <w:rsid w:val="7CE27788"/>
    <w:rsid w:val="7D0C32F1"/>
    <w:rsid w:val="7D0F408D"/>
    <w:rsid w:val="7D491C6C"/>
    <w:rsid w:val="7D5429C0"/>
    <w:rsid w:val="7D6E6D43"/>
    <w:rsid w:val="7DB57A34"/>
    <w:rsid w:val="7DD353DA"/>
    <w:rsid w:val="7DE60973"/>
    <w:rsid w:val="7DEF0916"/>
    <w:rsid w:val="7E1E5218"/>
    <w:rsid w:val="7E9A4E1F"/>
    <w:rsid w:val="7EA7723A"/>
    <w:rsid w:val="7EC3E29C"/>
    <w:rsid w:val="7EF56FBB"/>
    <w:rsid w:val="7EFEEEFA"/>
    <w:rsid w:val="7F0768EB"/>
    <w:rsid w:val="7F143BEC"/>
    <w:rsid w:val="7F715AF2"/>
    <w:rsid w:val="7F886E69"/>
    <w:rsid w:val="7F9FF599"/>
    <w:rsid w:val="7FEFF365"/>
    <w:rsid w:val="9FFED13F"/>
    <w:rsid w:val="A6DC3C30"/>
    <w:rsid w:val="A737D4F7"/>
    <w:rsid w:val="ABEA34FC"/>
    <w:rsid w:val="AF38E769"/>
    <w:rsid w:val="B63E0A94"/>
    <w:rsid w:val="B6FF9DD7"/>
    <w:rsid w:val="B7692FAB"/>
    <w:rsid w:val="BABFF5AB"/>
    <w:rsid w:val="BB7FA927"/>
    <w:rsid w:val="BBFE7494"/>
    <w:rsid w:val="BF7FB858"/>
    <w:rsid w:val="C7D77D0F"/>
    <w:rsid w:val="CBBA2101"/>
    <w:rsid w:val="CF9D22BD"/>
    <w:rsid w:val="D7BBBEB5"/>
    <w:rsid w:val="D7DBE25F"/>
    <w:rsid w:val="DBFB7349"/>
    <w:rsid w:val="DDF721EF"/>
    <w:rsid w:val="E77B43F2"/>
    <w:rsid w:val="EBEF052C"/>
    <w:rsid w:val="EEB76A15"/>
    <w:rsid w:val="EEDDB4A1"/>
    <w:rsid w:val="EF3353CC"/>
    <w:rsid w:val="EFAD8B16"/>
    <w:rsid w:val="EFDEBE5C"/>
    <w:rsid w:val="EFFF712B"/>
    <w:rsid w:val="F5FFD31F"/>
    <w:rsid w:val="F7FFBFA4"/>
    <w:rsid w:val="FA5DBDB3"/>
    <w:rsid w:val="FBF73106"/>
    <w:rsid w:val="FBF791FE"/>
    <w:rsid w:val="FC71A51C"/>
    <w:rsid w:val="FD7263CC"/>
    <w:rsid w:val="FD7D5E11"/>
    <w:rsid w:val="FDC7E8D3"/>
    <w:rsid w:val="FE4916FE"/>
    <w:rsid w:val="FEF9FB55"/>
    <w:rsid w:val="FF7BA8E6"/>
    <w:rsid w:val="FF7F3921"/>
    <w:rsid w:val="FFFBF3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next w:val="1"/>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5"/>
    <w:qFormat/>
    <w:uiPriority w:val="0"/>
    <w:rPr>
      <w:rFonts w:ascii="宋体"/>
      <w:kern w:val="2"/>
      <w:sz w:val="24"/>
      <w:szCs w:val="21"/>
      <w:lang w:val="zh-CN"/>
    </w:rPr>
  </w:style>
  <w:style w:type="character" w:customStyle="1" w:styleId="179">
    <w:name w:val="标题 9 Char"/>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2"/>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6"/>
    <w:qFormat/>
    <w:uiPriority w:val="0"/>
    <w:rPr>
      <w:rFonts w:ascii="黑体" w:hAnsi="Courier New" w:eastAsia="黑体"/>
    </w:rPr>
  </w:style>
  <w:style w:type="character" w:customStyle="1" w:styleId="299">
    <w:name w:val="正文文本 2 Char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9"/>
    <w:qFormat/>
    <w:uiPriority w:val="0"/>
    <w:rPr>
      <w:b/>
      <w:bCs/>
      <w:kern w:val="2"/>
      <w:sz w:val="24"/>
      <w:szCs w:val="24"/>
    </w:rPr>
  </w:style>
  <w:style w:type="character" w:customStyle="1" w:styleId="305">
    <w:name w:val="正文文本缩进 2 Char"/>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19"/>
    <w:qFormat/>
    <w:uiPriority w:val="99"/>
    <w:rPr>
      <w:kern w:val="2"/>
      <w:sz w:val="21"/>
      <w:szCs w:val="24"/>
    </w:rPr>
  </w:style>
  <w:style w:type="character" w:customStyle="1" w:styleId="342">
    <w:name w:val="签名 Char"/>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2"/>
    <w:qFormat/>
    <w:uiPriority w:val="0"/>
    <w:pPr>
      <w:tabs>
        <w:tab w:val="left" w:pos="840"/>
      </w:tabs>
      <w:adjustRightInd/>
      <w:ind w:left="840" w:hanging="420"/>
    </w:pPr>
  </w:style>
  <w:style w:type="paragraph" w:customStyle="1" w:styleId="62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7"/>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character" w:customStyle="1" w:styleId="963">
    <w:name w:val="NormalCharacter"/>
    <w:qFormat/>
    <w:uiPriority w:val="0"/>
    <w:rPr>
      <w:kern w:val="2"/>
      <w:sz w:val="21"/>
      <w:szCs w:val="24"/>
      <w:lang w:val="en-US" w:eastAsia="zh-CN" w:bidi="ar-SA"/>
    </w:rPr>
  </w:style>
  <w:style w:type="character" w:customStyle="1" w:styleId="964">
    <w:name w:val="s1"/>
    <w:basedOn w:val="69"/>
    <w:uiPriority w:val="0"/>
    <w:rPr>
      <w:rFonts w:ascii="Helvetica Neue" w:hAnsi="Helvetica Neue" w:eastAsia="Helvetica Neue" w:cs="Helvetica Neue"/>
      <w:sz w:val="28"/>
      <w:szCs w:val="28"/>
    </w:rPr>
  </w:style>
  <w:style w:type="paragraph" w:customStyle="1" w:styleId="965">
    <w:name w:val="p2"/>
    <w:basedOn w:val="1"/>
    <w:uiPriority w:val="0"/>
    <w:pPr>
      <w:jc w:val="left"/>
    </w:pPr>
    <w:rPr>
      <w:rFonts w:ascii="Helvetica Neue" w:hAnsi="Helvetica Neue" w:eastAsia="Helvetica Neue"/>
      <w:color w:val="000000"/>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46</Pages>
  <Words>3140</Words>
  <Characters>3468</Characters>
  <Lines>166</Lines>
  <Paragraphs>46</Paragraphs>
  <TotalTime>23</TotalTime>
  <ScaleCrop>false</ScaleCrop>
  <LinksUpToDate>false</LinksUpToDate>
  <CharactersWithSpaces>3618</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2024-12-31T22:39:00Z</dcterms:created>
  <dc:creator>玥</dc:creator>
  <cp:lastModifiedBy>华诚工程咨询-武婷</cp:lastModifiedBy>
  <cp:lastPrinted>2022-01-03T03:06:00Z</cp:lastPrinted>
  <dcterms:modified xsi:type="dcterms:W3CDTF">2025-03-31T14:45:09Z</dcterms:modified>
  <dc:title>杭州市市民卡扩大发卡工程</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2052-6.5.2.8766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97FC5E7E7A2EA6B7EFE9E9672CA97A49_43</vt:lpwstr>
  </property>
  <property fmtid="{D5CDD505-2E9C-101B-9397-08002B2CF9AE}" pid="5" name="KSOTemplateDocerSaveRecord">
    <vt:lpwstr>eyJoZGlkIjoiY2QwYWY3ZjY5Mjg1NTliZDc4N2ZiYjIwNGMzZDJlZjAifQ==</vt:lpwstr>
  </property>
</Properties>
</file>