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cs="宋体"/>
          <w:b/>
          <w:bCs/>
          <w:color w:val="auto"/>
          <w:kern w:val="2"/>
          <w:sz w:val="44"/>
          <w:szCs w:val="44"/>
          <w:highlight w:val="none"/>
          <w:lang w:val="en-US" w:eastAsia="zh-CN" w:bidi="ar-SA"/>
        </w:rPr>
      </w:pPr>
    </w:p>
    <w:p>
      <w:pPr>
        <w:adjustRightInd/>
        <w:spacing w:line="360" w:lineRule="auto"/>
        <w:jc w:val="center"/>
        <w:rPr>
          <w:rFonts w:hint="default" w:ascii="宋体" w:hAnsi="宋体" w:eastAsia="宋体" w:cs="宋体"/>
          <w:b/>
          <w:bCs/>
          <w:color w:val="auto"/>
          <w:kern w:val="2"/>
          <w:sz w:val="44"/>
          <w:szCs w:val="44"/>
          <w:highlight w:val="none"/>
          <w:lang w:val="en-US" w:eastAsia="zh-CN" w:bidi="ar-SA"/>
        </w:rPr>
      </w:pPr>
      <w:bookmarkStart w:id="0" w:name="OLE_LINK3"/>
      <w:r>
        <w:rPr>
          <w:rFonts w:hint="eastAsia" w:asciiTheme="minorEastAsia" w:hAnsiTheme="minorEastAsia" w:eastAsiaTheme="minorEastAsia" w:cstheme="minorEastAsia"/>
          <w:b/>
          <w:bCs w:val="0"/>
          <w:color w:val="auto"/>
          <w:spacing w:val="-28"/>
          <w:sz w:val="48"/>
          <w:szCs w:val="48"/>
          <w:highlight w:val="none"/>
          <w:lang w:eastAsia="zh-CN"/>
        </w:rPr>
        <w:t>杭州萧山交投公路养护服务有限公司202</w:t>
      </w:r>
      <w:r>
        <w:rPr>
          <w:rFonts w:hint="eastAsia" w:asciiTheme="minorEastAsia" w:hAnsiTheme="minorEastAsia" w:eastAsiaTheme="minorEastAsia" w:cstheme="minorEastAsia"/>
          <w:b/>
          <w:bCs w:val="0"/>
          <w:color w:val="auto"/>
          <w:spacing w:val="-28"/>
          <w:sz w:val="48"/>
          <w:szCs w:val="48"/>
          <w:highlight w:val="none"/>
          <w:lang w:val="en-US" w:eastAsia="zh-CN"/>
        </w:rPr>
        <w:t>5</w:t>
      </w:r>
      <w:r>
        <w:rPr>
          <w:rFonts w:hint="eastAsia" w:asciiTheme="minorEastAsia" w:hAnsiTheme="minorEastAsia" w:eastAsiaTheme="minorEastAsia" w:cstheme="minorEastAsia"/>
          <w:b/>
          <w:bCs w:val="0"/>
          <w:color w:val="auto"/>
          <w:spacing w:val="-28"/>
          <w:sz w:val="48"/>
          <w:szCs w:val="48"/>
          <w:highlight w:val="none"/>
          <w:lang w:eastAsia="zh-CN"/>
        </w:rPr>
        <w:t>年公众责任险和雇主责任险及员工团体意外险项目</w:t>
      </w:r>
      <w:bookmarkEnd w:id="0"/>
    </w:p>
    <w:p>
      <w:pPr>
        <w:adjustRightInd/>
        <w:spacing w:line="360" w:lineRule="auto"/>
        <w:jc w:val="center"/>
        <w:rPr>
          <w:rFonts w:hint="eastAsia" w:ascii="宋体" w:hAnsi="宋体" w:eastAsia="宋体" w:cs="宋体"/>
          <w:b/>
          <w:bCs/>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lang w:eastAsia="zh-CN"/>
        </w:rPr>
        <w:t>交易</w:t>
      </w:r>
      <w:r>
        <w:rPr>
          <w:rFonts w:hint="eastAsia" w:ascii="宋体" w:hAnsi="宋体" w:eastAsia="宋体" w:cs="宋体"/>
          <w:b/>
          <w:bCs/>
          <w:color w:val="auto"/>
          <w:sz w:val="48"/>
          <w:szCs w:val="48"/>
          <w:highlight w:val="none"/>
        </w:rPr>
        <w:t>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w:t>
      </w:r>
      <w:r>
        <w:rPr>
          <w:rFonts w:hint="eastAsia" w:ascii="宋体" w:hAnsi="宋体" w:cs="宋体"/>
          <w:b/>
          <w:color w:val="auto"/>
          <w:sz w:val="44"/>
          <w:szCs w:val="44"/>
          <w:highlight w:val="none"/>
          <w:lang w:eastAsia="zh-CN"/>
        </w:rPr>
        <w:t>交易标</w:t>
      </w:r>
      <w:r>
        <w:rPr>
          <w:rFonts w:hint="eastAsia" w:ascii="宋体" w:hAnsi="宋体" w:eastAsia="宋体" w:cs="宋体"/>
          <w:b/>
          <w:color w:val="auto"/>
          <w:sz w:val="44"/>
          <w:szCs w:val="44"/>
          <w:highlight w:val="none"/>
        </w:rPr>
        <w:t>）</w:t>
      </w:r>
    </w:p>
    <w:p>
      <w:pPr>
        <w:snapToGrid w:val="0"/>
        <w:spacing w:line="360" w:lineRule="auto"/>
        <w:jc w:val="center"/>
        <w:rPr>
          <w:rFonts w:hint="default"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rPr>
        <w:t>编号:HCZX(XS)2025-013</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pStyle w:val="6"/>
        <w:ind w:left="0" w:leftChars="0" w:firstLine="0" w:firstLineChars="0"/>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p>
    <w:p>
      <w:pPr>
        <w:rPr>
          <w:rFonts w:hint="default"/>
          <w:color w:val="auto"/>
          <w:lang w:val="en-US" w:eastAsia="zh-CN"/>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360" w:lineRule="auto"/>
        <w:jc w:val="center"/>
        <w:rPr>
          <w:rFonts w:ascii="宋体" w:hAnsi="宋体"/>
          <w:b/>
          <w:color w:val="auto"/>
          <w:sz w:val="32"/>
          <w:szCs w:val="30"/>
          <w:highlight w:val="none"/>
        </w:rPr>
      </w:pPr>
      <w:r>
        <w:rPr>
          <w:rFonts w:hint="eastAsia" w:ascii="宋体" w:hAnsi="宋体"/>
          <w:b/>
          <w:color w:val="auto"/>
          <w:sz w:val="32"/>
          <w:szCs w:val="30"/>
          <w:highlight w:val="none"/>
          <w:lang w:eastAsia="zh-CN"/>
        </w:rPr>
        <w:t>杭州萧山交投公路养护服务有限公司</w:t>
      </w:r>
    </w:p>
    <w:p>
      <w:pPr>
        <w:snapToGrid w:val="0"/>
        <w:spacing w:line="360" w:lineRule="auto"/>
        <w:jc w:val="center"/>
        <w:rPr>
          <w:rFonts w:hint="eastAsia" w:ascii="宋体" w:hAnsi="宋体"/>
          <w:b/>
          <w:color w:val="auto"/>
          <w:sz w:val="32"/>
          <w:szCs w:val="30"/>
          <w:highlight w:val="none"/>
          <w:lang w:val="en-US" w:eastAsia="zh-CN"/>
        </w:rPr>
      </w:pPr>
      <w:r>
        <w:rPr>
          <w:rFonts w:hint="eastAsia" w:ascii="宋体" w:hAnsi="宋体"/>
          <w:b/>
          <w:color w:val="auto"/>
          <w:sz w:val="32"/>
          <w:szCs w:val="30"/>
          <w:highlight w:val="none"/>
          <w:lang w:val="en-US" w:eastAsia="zh-CN"/>
        </w:rPr>
        <w:t>华诚工程咨询集团有限公司</w:t>
      </w:r>
    </w:p>
    <w:p>
      <w:pPr>
        <w:snapToGrid w:val="0"/>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2025年3月</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eastAsia="zh-CN"/>
        </w:rPr>
        <w:t>交易</w:t>
      </w:r>
      <w:r>
        <w:rPr>
          <w:rFonts w:hint="eastAsia" w:ascii="宋体" w:hAnsi="宋体" w:eastAsia="宋体" w:cs="宋体"/>
          <w:color w:val="auto"/>
          <w:sz w:val="32"/>
          <w:szCs w:val="32"/>
          <w:highlight w:val="none"/>
        </w:rPr>
        <w:t>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w:t>
      </w:r>
      <w:r>
        <w:rPr>
          <w:rFonts w:hint="eastAsia" w:ascii="宋体" w:hAnsi="宋体" w:cs="宋体"/>
          <w:color w:val="auto"/>
          <w:sz w:val="32"/>
          <w:szCs w:val="32"/>
          <w:highlight w:val="none"/>
          <w:lang w:eastAsia="zh-CN"/>
        </w:rPr>
        <w:t>审</w:t>
      </w:r>
      <w:r>
        <w:rPr>
          <w:rFonts w:hint="eastAsia" w:ascii="宋体" w:hAnsi="宋体" w:eastAsia="宋体" w:cs="宋体"/>
          <w:color w:val="auto"/>
          <w:sz w:val="32"/>
          <w:szCs w:val="32"/>
          <w:highlight w:val="none"/>
        </w:rPr>
        <w:t>办法</w:t>
      </w:r>
    </w:p>
    <w:p>
      <w:pPr>
        <w:spacing w:line="360" w:lineRule="auto"/>
        <w:ind w:firstLine="1280" w:firstLineChars="400"/>
        <w:rPr>
          <w:rFonts w:hint="eastAsia"/>
          <w:color w:val="auto"/>
        </w:rPr>
      </w:pPr>
      <w:r>
        <w:rPr>
          <w:rFonts w:hint="eastAsia" w:asciiTheme="minorEastAsia" w:hAnsiTheme="minorEastAsia" w:eastAsiaTheme="minorEastAsia" w:cstheme="minorEastAsia"/>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w:t>
      </w:r>
      <w:r>
        <w:rPr>
          <w:rFonts w:hint="eastAsia" w:ascii="宋体" w:hAnsi="宋体" w:cs="宋体"/>
          <w:color w:val="auto"/>
          <w:sz w:val="32"/>
          <w:szCs w:val="32"/>
          <w:highlight w:val="none"/>
          <w:lang w:val="en-US" w:eastAsia="zh-CN"/>
        </w:rPr>
        <w:t>六</w:t>
      </w:r>
      <w:r>
        <w:rPr>
          <w:rFonts w:hint="eastAsia" w:ascii="宋体" w:hAnsi="宋体" w:eastAsia="宋体" w:cs="宋体"/>
          <w:color w:val="auto"/>
          <w:sz w:val="32"/>
          <w:szCs w:val="32"/>
          <w:highlight w:val="none"/>
        </w:rPr>
        <w:t>部分      应提交的有关格式范例</w:t>
      </w:r>
    </w:p>
    <w:p>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07423"/>
      <w:bookmarkEnd w:id="5"/>
      <w:bookmarkStart w:id="6" w:name="_Hlt74729822"/>
      <w:bookmarkEnd w:id="6"/>
      <w:bookmarkStart w:id="7" w:name="_Hlt74649545"/>
      <w:bookmarkEnd w:id="7"/>
      <w:bookmarkStart w:id="8" w:name="_Hlt74728647"/>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 xml:space="preserve">第一部分 </w:t>
      </w:r>
      <w:r>
        <w:rPr>
          <w:rFonts w:hint="eastAsia" w:ascii="宋体" w:hAnsi="宋体" w:cs="宋体"/>
          <w:b/>
          <w:color w:val="auto"/>
          <w:sz w:val="36"/>
          <w:szCs w:val="20"/>
          <w:highlight w:val="none"/>
          <w:lang w:eastAsia="zh-CN"/>
        </w:rPr>
        <w:t>交易</w:t>
      </w:r>
      <w:r>
        <w:rPr>
          <w:rFonts w:hint="eastAsia" w:ascii="宋体" w:hAnsi="宋体" w:eastAsia="宋体" w:cs="宋体"/>
          <w:b/>
          <w:color w:val="auto"/>
          <w:sz w:val="36"/>
          <w:szCs w:val="20"/>
          <w:highlight w:val="none"/>
        </w:rPr>
        <w:t>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bCs/>
          <w:color w:val="auto"/>
          <w:kern w:val="0"/>
          <w:sz w:val="24"/>
          <w:highlight w:val="none"/>
          <w:u w:val="single"/>
          <w:lang w:val="en-US" w:eastAsia="zh-CN"/>
        </w:rPr>
        <w:t>杭州萧山交投公路养护服务有限公司2025年公众责任险和雇主责任险及员工团体意外险项目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项目的潜在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应在乐采云平台（https://</w:t>
      </w:r>
      <w:r>
        <w:rPr>
          <w:rFonts w:hint="eastAsia" w:ascii="宋体" w:hAnsi="宋体" w:cs="宋体"/>
          <w:color w:val="auto"/>
          <w:sz w:val="24"/>
          <w:highlight w:val="none"/>
          <w:lang w:val="en-US" w:eastAsia="zh-CN"/>
        </w:rPr>
        <w:t>www</w:t>
      </w:r>
      <w:r>
        <w:rPr>
          <w:rFonts w:hint="eastAsia" w:ascii="宋体" w:hAnsi="宋体" w:eastAsia="宋体" w:cs="宋体"/>
          <w:color w:val="auto"/>
          <w:sz w:val="24"/>
          <w:highlight w:val="none"/>
        </w:rPr>
        <w:t>.lecaiyun.com/）（</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"https://www.zcygov.cn/）获取（下载）招标文件，并于2021年"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文件，并于202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秒</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（北京时间</w:t>
      </w:r>
      <w:r>
        <w:rPr>
          <w:rFonts w:hint="eastAsia" w:ascii="宋体" w:hAnsi="宋体" w:eastAsia="宋体" w:cs="宋体"/>
          <w:bCs/>
          <w:color w:val="auto"/>
          <w:sz w:val="24"/>
          <w:highlight w:val="none"/>
        </w:rPr>
        <w:t>）前</w:t>
      </w:r>
      <w:r>
        <w:rPr>
          <w:rFonts w:hint="eastAsia" w:ascii="宋体" w:hAnsi="宋体" w:eastAsia="宋体" w:cs="宋体"/>
          <w:color w:val="auto"/>
          <w:sz w:val="24"/>
          <w:highlight w:val="none"/>
        </w:rPr>
        <w:t>递交（上传）</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val="en-US" w:eastAsia="zh-CN"/>
        </w:rPr>
        <w:t>HCZX(XS)2025-013</w:t>
      </w:r>
    </w:p>
    <w:p>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项目名称：</w:t>
      </w:r>
      <w:r>
        <w:rPr>
          <w:rFonts w:hint="eastAsia" w:ascii="宋体" w:hAnsi="宋体" w:cs="宋体"/>
          <w:bCs/>
          <w:color w:val="auto"/>
          <w:kern w:val="0"/>
          <w:sz w:val="24"/>
          <w:highlight w:val="none"/>
          <w:lang w:val="en-US" w:eastAsia="zh-CN"/>
        </w:rPr>
        <w:t>杭州萧山交投公路养护服务有限公司2025年公众责任险和雇主责任险及员工团体意外险项目</w:t>
      </w:r>
    </w:p>
    <w:p>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val="en-US" w:eastAsia="zh-CN"/>
        </w:rPr>
        <w:t>600000</w:t>
      </w:r>
    </w:p>
    <w:p>
      <w:pPr>
        <w:spacing w:line="360" w:lineRule="auto"/>
        <w:ind w:firstLine="480"/>
        <w:rPr>
          <w:rFonts w:hint="default" w:ascii="宋体" w:hAnsi="宋体" w:eastAsia="宋体" w:cs="宋体"/>
          <w:b w:val="0"/>
          <w:bCs/>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600000</w:t>
      </w:r>
    </w:p>
    <w:p>
      <w:pPr>
        <w:pStyle w:val="8"/>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pPr>
        <w:spacing w:line="360" w:lineRule="auto"/>
        <w:ind w:left="420" w:leftChars="200" w:right="-388" w:rightChars="-185"/>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highlight w:val="none"/>
        </w:rPr>
        <w:t xml:space="preserve">标项名称: </w:t>
      </w:r>
      <w:r>
        <w:rPr>
          <w:rFonts w:hint="eastAsia" w:ascii="宋体" w:hAnsi="宋体" w:cs="宋体"/>
          <w:bCs/>
          <w:color w:val="auto"/>
          <w:kern w:val="0"/>
          <w:sz w:val="24"/>
          <w:highlight w:val="none"/>
          <w:lang w:val="en-US" w:eastAsia="zh-CN"/>
        </w:rPr>
        <w:t>杭州萧山交投公路养护服务有限公司2025年公众责任险和雇主责任险及员工团体意外险项目</w:t>
      </w:r>
    </w:p>
    <w:p>
      <w:pPr>
        <w:spacing w:line="360" w:lineRule="auto"/>
        <w:ind w:left="420" w:leftChars="200"/>
        <w:jc w:val="left"/>
        <w:rPr>
          <w:rFonts w:hint="eastAsia" w:ascii="宋体" w:hAnsi="宋体" w:eastAsia="宋体" w:cs="宋体"/>
          <w:color w:val="auto"/>
          <w:sz w:val="24"/>
          <w:szCs w:val="28"/>
          <w:highlight w:val="none"/>
          <w:u w:val="single"/>
          <w:lang w:eastAsia="zh-CN"/>
        </w:rPr>
      </w:pPr>
      <w:r>
        <w:rPr>
          <w:rFonts w:hint="eastAsia" w:ascii="宋体" w:hAnsi="宋体" w:eastAsia="宋体" w:cs="宋体"/>
          <w:color w:val="auto"/>
          <w:sz w:val="24"/>
          <w:highlight w:val="none"/>
        </w:rPr>
        <w:t>简要规格描述或项目基本概况介绍、用途：</w:t>
      </w:r>
      <w:r>
        <w:rPr>
          <w:rFonts w:hint="eastAsia" w:ascii="宋体" w:hAnsi="宋体" w:eastAsia="宋体" w:cs="宋体"/>
          <w:color w:val="auto"/>
          <w:sz w:val="24"/>
          <w:szCs w:val="28"/>
          <w:highlight w:val="none"/>
        </w:rPr>
        <w:t>详见</w:t>
      </w:r>
      <w:r>
        <w:rPr>
          <w:rFonts w:hint="eastAsia" w:ascii="宋体" w:hAnsi="宋体" w:cs="宋体"/>
          <w:color w:val="auto"/>
          <w:sz w:val="24"/>
          <w:szCs w:val="28"/>
          <w:highlight w:val="none"/>
          <w:lang w:eastAsia="zh-CN"/>
        </w:rPr>
        <w:t>交易文件</w:t>
      </w:r>
    </w:p>
    <w:p>
      <w:pPr>
        <w:pStyle w:val="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备注： </w:t>
      </w:r>
    </w:p>
    <w:p>
      <w:pPr>
        <w:spacing w:line="360" w:lineRule="auto"/>
        <w:ind w:left="420" w:left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szCs w:val="28"/>
          <w:highlight w:val="none"/>
        </w:rPr>
        <w:t>详见</w:t>
      </w:r>
      <w:r>
        <w:rPr>
          <w:rFonts w:hint="eastAsia" w:ascii="宋体" w:hAnsi="宋体" w:cs="宋体"/>
          <w:color w:val="auto"/>
          <w:sz w:val="24"/>
          <w:szCs w:val="28"/>
          <w:highlight w:val="none"/>
          <w:lang w:eastAsia="zh-CN"/>
        </w:rPr>
        <w:t>交易文件</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）是；（√）否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1、具有独立承担民事责任的能力；</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4、有依法缴纳税收和社会保障资金的良好记录；</w:t>
      </w:r>
      <w:bookmarkStart w:id="411" w:name="_GoBack"/>
      <w:bookmarkEnd w:id="411"/>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6、法律、行政法规规定的其他条件；</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rPr>
        <w:t>单位负责人为同一人或者存在直接控股、管理关系的不同供应商，不得参加同一合同项下的</w:t>
      </w:r>
      <w:r>
        <w:rPr>
          <w:rFonts w:hint="eastAsia" w:ascii="宋体" w:hAnsi="宋体" w:eastAsia="宋体" w:cs="宋体"/>
          <w:b w:val="0"/>
          <w:bCs w:val="0"/>
          <w:color w:val="auto"/>
          <w:sz w:val="24"/>
          <w:highlight w:val="none"/>
          <w:lang w:val="en-US" w:eastAsia="zh-CN"/>
        </w:rPr>
        <w:t>交易</w:t>
      </w:r>
      <w:r>
        <w:rPr>
          <w:rFonts w:hint="eastAsia" w:ascii="宋体" w:hAnsi="宋体" w:eastAsia="宋体" w:cs="宋体"/>
          <w:b w:val="0"/>
          <w:bCs w:val="0"/>
          <w:color w:val="auto"/>
          <w:sz w:val="24"/>
          <w:highlight w:val="none"/>
          <w:lang w:val="en-US"/>
        </w:rPr>
        <w:t>活动。</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9、落实采购政策需满足的资格要求：无。</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本项目的特定资格要求：</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10.1</w:t>
      </w:r>
      <w:r>
        <w:rPr>
          <w:rFonts w:hint="eastAsia" w:ascii="宋体" w:hAnsi="宋体" w:eastAsia="宋体" w:cs="宋体"/>
          <w:b w:val="0"/>
          <w:bCs w:val="0"/>
          <w:color w:val="auto"/>
          <w:sz w:val="24"/>
          <w:highlight w:val="none"/>
        </w:rPr>
        <w:t>具有中国保险监督管理委员颁发的《保险公司法人许可证》的企业法人，或具有中国保险监督管理委员颁发的《经营保险业务许可证》的分支机构；</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2</w:t>
      </w:r>
      <w:r>
        <w:rPr>
          <w:rFonts w:hint="eastAsia" w:ascii="宋体" w:hAnsi="宋体" w:cs="宋体"/>
          <w:b w:val="0"/>
          <w:bCs w:val="0"/>
          <w:color w:val="auto"/>
          <w:sz w:val="24"/>
          <w:highlight w:val="none"/>
          <w:lang w:val="en-US" w:eastAsia="zh-CN"/>
        </w:rPr>
        <w:t>分支机构需提供总公司（总部）针对本项目的唯一授权委托书。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 xml:space="preserve">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rPr>
        <w:t>乐采云平台（https://</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cs="宋体"/>
          <w:color w:val="auto"/>
          <w:sz w:val="24"/>
          <w:highlight w:val="none"/>
        </w:rPr>
        <w:t>乐采云平台（https://</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.lecaiyun.com/）</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文件截止时间、</w:t>
      </w: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文件截止时间</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地点（网址）：</w:t>
      </w:r>
      <w:r>
        <w:rPr>
          <w:rFonts w:hint="eastAsia" w:ascii="宋体" w:hAnsi="宋体" w:cs="宋体"/>
          <w:color w:val="auto"/>
          <w:sz w:val="24"/>
          <w:highlight w:val="none"/>
        </w:rPr>
        <w:t>乐采云平台（https://</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.lecaiyun.com/）</w:t>
      </w:r>
      <w:r>
        <w:rPr>
          <w:rFonts w:hint="eastAsia" w:ascii="宋体" w:hAnsi="宋体" w:eastAsia="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地点（网址）：</w:t>
      </w:r>
      <w:r>
        <w:rPr>
          <w:rFonts w:hint="eastAsia" w:ascii="宋体" w:hAnsi="宋体" w:cs="宋体"/>
          <w:color w:val="auto"/>
          <w:sz w:val="24"/>
          <w:highlight w:val="none"/>
        </w:rPr>
        <w:t>乐采云平台（https://</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.lecaiyun.com/）</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标文件使自己的权益受到损害的，可以自获取</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文件之日或者</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文件公告期限届满之日（公告期限届满后获取</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文件的，以公告期限届满之日为准）起</w:t>
      </w: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w:t>
      </w:r>
      <w:r>
        <w:rPr>
          <w:rFonts w:hint="eastAsia" w:ascii="宋体" w:hAnsi="宋体" w:eastAsia="宋体" w:cs="宋体"/>
          <w:color w:val="auto"/>
          <w:sz w:val="24"/>
          <w:highlight w:val="none"/>
        </w:rPr>
        <w:t>专区下载。</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2.其他事项：</w:t>
      </w:r>
      <w:r>
        <w:rPr>
          <w:rFonts w:hint="eastAsia" w:ascii="宋体" w:hAnsi="宋体" w:cs="宋体"/>
          <w:color w:val="auto"/>
          <w:sz w:val="24"/>
          <w:highlight w:val="none"/>
        </w:rPr>
        <w:t>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w:t>
      </w:r>
      <w:r>
        <w:rPr>
          <w:rFonts w:hint="eastAsia" w:ascii="宋体" w:hAnsi="宋体" w:cs="宋体"/>
          <w:color w:val="auto"/>
          <w:sz w:val="24"/>
          <w:highlight w:val="none"/>
          <w:lang w:eastAsia="zh-CN"/>
        </w:rPr>
        <w:t>交易</w:t>
      </w:r>
      <w:r>
        <w:rPr>
          <w:rFonts w:hint="eastAsia" w:ascii="宋体" w:hAnsi="宋体" w:cs="宋体"/>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bookmarkStart w:id="12" w:name="_Toc28359086"/>
      <w:bookmarkStart w:id="13" w:name="_Toc28359009"/>
      <w:r>
        <w:rPr>
          <w:rFonts w:hint="eastAsia" w:ascii="宋体" w:hAnsi="宋体" w:eastAsia="宋体" w:cs="宋体"/>
          <w:b/>
          <w:color w:val="auto"/>
          <w:sz w:val="24"/>
          <w:highlight w:val="none"/>
        </w:rPr>
        <w:t>七、对本次采购提出询问、质疑、投诉，请按以下方式联系</w:t>
      </w:r>
    </w:p>
    <w:p>
      <w:pPr>
        <w:widowControl/>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1.采购人信息</w:t>
      </w:r>
    </w:p>
    <w:p>
      <w:pPr>
        <w:spacing w:line="360" w:lineRule="auto"/>
        <w:jc w:val="left"/>
        <w:rPr>
          <w:rFonts w:hint="eastAsia" w:ascii="宋体" w:hAnsi="宋体" w:cs="Arial"/>
          <w:color w:val="auto"/>
          <w:kern w:val="0"/>
          <w:sz w:val="24"/>
          <w:highlight w:val="none"/>
        </w:rPr>
      </w:pPr>
      <w:r>
        <w:rPr>
          <w:rFonts w:hint="eastAsia" w:ascii="宋体" w:hAnsi="宋体" w:eastAsia="宋体" w:cs="宋体"/>
          <w:color w:val="auto"/>
          <w:sz w:val="24"/>
          <w:szCs w:val="28"/>
          <w:highlight w:val="none"/>
        </w:rPr>
        <w:t>名 称：</w:t>
      </w:r>
      <w:r>
        <w:rPr>
          <w:rFonts w:hint="eastAsia" w:ascii="宋体" w:hAnsi="宋体" w:cs="Arial"/>
          <w:color w:val="auto"/>
          <w:kern w:val="0"/>
          <w:sz w:val="24"/>
          <w:highlight w:val="none"/>
          <w:lang w:eastAsia="zh-CN"/>
        </w:rPr>
        <w:t>杭州萧山交投公路养护服务有限公司</w:t>
      </w:r>
    </w:p>
    <w:p>
      <w:pPr>
        <w:spacing w:line="360" w:lineRule="auto"/>
        <w:jc w:val="left"/>
        <w:rPr>
          <w:rFonts w:hint="default" w:ascii="宋体" w:hAnsi="宋体" w:eastAsia="宋体" w:cs="宋体"/>
          <w:bCs/>
          <w:color w:val="auto"/>
          <w:sz w:val="24"/>
          <w:lang w:val="en-US" w:eastAsia="zh-CN"/>
        </w:rPr>
      </w:pPr>
      <w:r>
        <w:rPr>
          <w:rFonts w:hint="eastAsia" w:ascii="宋体" w:hAnsi="宋体" w:eastAsia="宋体" w:cs="宋体"/>
          <w:color w:val="auto"/>
          <w:sz w:val="24"/>
          <w:szCs w:val="28"/>
          <w:highlight w:val="none"/>
        </w:rPr>
        <w:t>地址：</w:t>
      </w:r>
      <w:r>
        <w:rPr>
          <w:rFonts w:hint="eastAsia" w:ascii="宋体" w:hAnsi="宋体" w:eastAsia="宋体" w:cs="宋体"/>
          <w:bCs/>
          <w:color w:val="auto"/>
          <w:sz w:val="24"/>
        </w:rPr>
        <w:t>萧山区</w:t>
      </w:r>
      <w:r>
        <w:rPr>
          <w:rFonts w:hint="eastAsia" w:ascii="宋体" w:hAnsi="宋体" w:cs="宋体"/>
          <w:bCs/>
          <w:color w:val="auto"/>
          <w:sz w:val="24"/>
          <w:lang w:val="en-US" w:eastAsia="zh-CN"/>
        </w:rPr>
        <w:t>城厢街道萧绍路1180号</w:t>
      </w:r>
    </w:p>
    <w:p>
      <w:pPr>
        <w:spacing w:line="36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Theme="minorEastAsia" w:hAnsiTheme="minorEastAsia" w:eastAsiaTheme="minorEastAsia" w:cstheme="minorEastAsia"/>
          <w:b w:val="0"/>
          <w:bCs w:val="0"/>
          <w:color w:val="auto"/>
          <w:sz w:val="24"/>
          <w:szCs w:val="28"/>
          <w:highlight w:val="none"/>
          <w:lang w:val="en-US" w:eastAsia="zh-CN"/>
        </w:rPr>
        <w:t>潘东海</w:t>
      </w:r>
    </w:p>
    <w:p>
      <w:pPr>
        <w:spacing w:line="360" w:lineRule="auto"/>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u w:val="none"/>
          <w:lang w:val="en-US" w:eastAsia="zh-CN"/>
        </w:rPr>
        <w:t>0571-</w:t>
      </w:r>
      <w:r>
        <w:rPr>
          <w:rFonts w:hint="eastAsia" w:ascii="宋体" w:hAnsi="宋体" w:eastAsia="宋体" w:cs="宋体"/>
          <w:color w:val="auto"/>
          <w:sz w:val="24"/>
          <w:szCs w:val="28"/>
          <w:highlight w:val="none"/>
          <w:u w:val="none"/>
        </w:rPr>
        <w:t>82756937</w:t>
      </w: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2.采购代理机构信息</w:t>
      </w:r>
      <w:bookmarkEnd w:id="12"/>
      <w:bookmarkEnd w:id="13"/>
    </w:p>
    <w:p>
      <w:pPr>
        <w:spacing w:line="36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名 称：</w:t>
      </w:r>
      <w:r>
        <w:rPr>
          <w:rFonts w:hint="eastAsia" w:ascii="宋体" w:hAnsi="宋体" w:cs="宋体"/>
          <w:color w:val="auto"/>
          <w:sz w:val="24"/>
          <w:szCs w:val="28"/>
          <w:highlight w:val="none"/>
          <w:lang w:val="en-US" w:eastAsia="zh-CN"/>
        </w:rPr>
        <w:t>华诚工程咨询集团有限公司</w:t>
      </w:r>
    </w:p>
    <w:p>
      <w:pPr>
        <w:spacing w:line="360" w:lineRule="auto"/>
        <w:jc w:val="left"/>
        <w:rPr>
          <w:rFonts w:hint="default" w:ascii="宋体" w:hAnsi="宋体" w:cs="宋体"/>
          <w:color w:val="auto"/>
          <w:sz w:val="24"/>
          <w:szCs w:val="28"/>
          <w:highlight w:val="none"/>
          <w:lang w:val="en-US"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val="en-US" w:eastAsia="zh-CN"/>
        </w:rPr>
        <w:t>杭州市</w:t>
      </w:r>
      <w:r>
        <w:rPr>
          <w:rFonts w:hint="eastAsia" w:ascii="宋体" w:hAnsi="宋体" w:eastAsia="宋体" w:cs="宋体"/>
          <w:color w:val="auto"/>
          <w:sz w:val="24"/>
          <w:highlight w:val="none"/>
        </w:rPr>
        <w:t>萧山区杭州南站东广场1号楼902室</w:t>
      </w:r>
    </w:p>
    <w:p>
      <w:pPr>
        <w:spacing w:line="360" w:lineRule="auto"/>
        <w:jc w:val="left"/>
        <w:rPr>
          <w:rFonts w:hint="eastAsia" w:ascii="宋体" w:hAnsi="宋体" w:eastAsia="宋体" w:cs="Arial"/>
          <w:color w:val="auto"/>
          <w:kern w:val="0"/>
          <w:sz w:val="24"/>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Arial"/>
          <w:color w:val="auto"/>
          <w:kern w:val="0"/>
          <w:sz w:val="24"/>
          <w:highlight w:val="none"/>
          <w:lang w:val="en-US" w:eastAsia="zh-CN"/>
        </w:rPr>
        <w:t>沈杭佳</w:t>
      </w:r>
    </w:p>
    <w:p>
      <w:pPr>
        <w:spacing w:line="36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Arial"/>
          <w:color w:val="auto"/>
          <w:kern w:val="0"/>
          <w:sz w:val="24"/>
          <w:highlight w:val="none"/>
          <w:lang w:val="en-US" w:eastAsia="zh-CN"/>
        </w:rPr>
        <w:t>17816065446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bookmarkEnd w:id="10"/>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6"/>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val="en-US" w:eastAsia="zh-CN"/>
              </w:rPr>
              <w:t>杭州萧山交投公路养护服务有限公司2025年公众责任险和雇主责任险及员工团体意外险</w:t>
            </w:r>
            <w:r>
              <w:rPr>
                <w:rFonts w:hint="eastAsia" w:ascii="宋体" w:hAnsi="宋体" w:eastAsia="宋体" w:cs="宋体"/>
                <w:color w:val="auto"/>
                <w:kern w:val="0"/>
                <w:sz w:val="24"/>
                <w:highlight w:val="none"/>
              </w:rPr>
              <w:t>，属于</w:t>
            </w:r>
            <w:r>
              <w:rPr>
                <w:rFonts w:hint="eastAsia" w:ascii="宋体" w:hAnsi="宋体" w:cs="宋体"/>
                <w:color w:val="auto"/>
                <w:sz w:val="24"/>
                <w:szCs w:val="24"/>
                <w:highlight w:val="none"/>
                <w:u w:val="single"/>
                <w:shd w:val="clear" w:color="auto" w:fill="FFFFFF"/>
                <w:lang w:eastAsia="zh-CN"/>
              </w:rPr>
              <w:t>其他未列明</w:t>
            </w:r>
            <w:r>
              <w:rPr>
                <w:rFonts w:hint="eastAsia" w:ascii="宋体" w:hAnsi="宋体" w:eastAsia="宋体" w:cs="宋体"/>
                <w:color w:val="auto"/>
                <w:kern w:val="0"/>
                <w:sz w:val="24"/>
                <w:highlight w:val="none"/>
              </w:rPr>
              <w:t>行业；</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行业划分标准：</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lang w:val="en-US"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sz w:val="24"/>
                <w:szCs w:val="32"/>
                <w:highlight w:val="none"/>
              </w:rPr>
              <w:t>本项目不允许采购进口产品。</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lang w:val="en-US" w:eastAsia="zh-CN"/>
              </w:rPr>
              <w:t>(   )</w:t>
            </w:r>
            <w:r>
              <w:rPr>
                <w:rFonts w:hint="eastAsia" w:ascii="宋体" w:hAnsi="宋体" w:eastAsia="宋体" w:cs="宋体"/>
                <w:color w:val="auto"/>
                <w:sz w:val="24"/>
                <w:szCs w:val="32"/>
                <w:highlight w:val="none"/>
              </w:rPr>
              <w:t>可以就</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采购进口产品。</w:t>
            </w:r>
          </w:p>
          <w:p>
            <w:pPr>
              <w:pStyle w:val="6"/>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宋体" w:hAnsi="宋体" w:eastAsia="宋体" w:cs="宋体"/>
                <w:b/>
                <w:color w:val="auto"/>
                <w:sz w:val="24"/>
                <w:highlight w:val="none"/>
              </w:rPr>
            </w:pPr>
            <w:r>
              <w:rPr>
                <w:rFonts w:hint="eastAsia" w:asciiTheme="minorEastAsia" w:hAnsiTheme="minorEastAsia" w:eastAsiaTheme="minorEastAsia" w:cstheme="minorEastAsia"/>
                <w:b/>
                <w:color w:val="auto"/>
                <w:sz w:val="24"/>
                <w:highlight w:val="none"/>
              </w:rPr>
              <w:t>分包或转包</w:t>
            </w:r>
          </w:p>
        </w:tc>
        <w:tc>
          <w:tcPr>
            <w:tcW w:w="6225" w:type="dxa"/>
            <w:tcBorders>
              <w:top w:val="single" w:color="000000" w:sz="8" w:space="0"/>
              <w:left w:val="single" w:color="000000" w:sz="2" w:space="0"/>
              <w:bottom w:val="single" w:color="000000" w:sz="8" w:space="0"/>
              <w:right w:val="single" w:color="000000" w:sz="8" w:space="0"/>
            </w:tcBorders>
            <w:vAlign w:val="center"/>
          </w:tcPr>
          <w:p>
            <w:pPr>
              <w:rPr>
                <w:highlight w:val="none"/>
              </w:rPr>
            </w:pPr>
          </w:p>
          <w:p>
            <w:pPr>
              <w:pStyle w:val="2"/>
              <w:rPr>
                <w:rFonts w:hint="default" w:ascii="宋体" w:hAnsi="宋体" w:cs="宋体" w:eastAsia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不允许分包或转包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w:t>
            </w:r>
            <w:r>
              <w:rPr>
                <w:rFonts w:hint="eastAsia" w:ascii="宋体" w:hAnsi="宋体" w:eastAsia="宋体" w:cs="宋体"/>
                <w:color w:val="auto"/>
                <w:kern w:val="0"/>
                <w:sz w:val="24"/>
                <w:highlight w:val="none"/>
              </w:rPr>
              <w:t>B组织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文件第二部分1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.1。</w:t>
            </w:r>
          </w:p>
          <w:p>
            <w:pPr>
              <w:spacing w:line="360" w:lineRule="auto"/>
              <w:rPr>
                <w:rFonts w:hint="eastAsia" w:ascii="宋体" w:hAnsi="宋体" w:eastAsia="宋体" w:cs="宋体"/>
                <w:snapToGrid w:val="0"/>
                <w:color w:val="auto"/>
                <w:kern w:val="0"/>
                <w:szCs w:val="21"/>
                <w:highlight w:val="none"/>
              </w:rPr>
            </w:pP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未提供有效的资格证明文件的，视为</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不具备</w:t>
            </w:r>
            <w:r>
              <w:rPr>
                <w:rFonts w:hint="eastAsia" w:ascii="宋体" w:hAnsi="宋体" w:cs="宋体"/>
                <w:color w:val="auto"/>
                <w:kern w:val="0"/>
                <w:sz w:val="24"/>
                <w:highlight w:val="none"/>
                <w:lang w:val="zh-CN"/>
              </w:rPr>
              <w:t>交易</w:t>
            </w:r>
            <w:r>
              <w:rPr>
                <w:rFonts w:hint="eastAsia" w:ascii="宋体" w:hAnsi="宋体" w:eastAsia="宋体" w:cs="宋体"/>
                <w:color w:val="auto"/>
                <w:kern w:val="0"/>
                <w:sz w:val="24"/>
                <w:highlight w:val="none"/>
                <w:lang w:val="zh-CN"/>
              </w:rPr>
              <w:t>文件中规定的资格要求，</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文件第四部分评</w:t>
            </w:r>
            <w:r>
              <w:rPr>
                <w:rFonts w:hint="eastAsia" w:ascii="宋体" w:hAnsi="宋体" w:cs="宋体"/>
                <w:color w:val="auto"/>
                <w:sz w:val="24"/>
                <w:highlight w:val="none"/>
                <w:lang w:eastAsia="zh-CN"/>
              </w:rPr>
              <w:t>审</w:t>
            </w:r>
            <w:r>
              <w:rPr>
                <w:rFonts w:hint="eastAsia" w:ascii="宋体" w:hAnsi="宋体" w:eastAsia="宋体" w:cs="宋体"/>
                <w:color w:val="auto"/>
                <w:sz w:val="24"/>
                <w:highlight w:val="none"/>
              </w:rPr>
              <w:t>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一览表（报价表）是报价的唯一载体。响应文件中价格全部采用人民币报价。交易文件未列明，而供应商认为必需的费用也需列入报价。</w:t>
            </w:r>
          </w:p>
          <w:p>
            <w:pPr>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响应报价出现下列情形的，响应无效：</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响应文件出现不是唯一的、有选择性响应报价的；</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响应报价超过交易文件中规定的预算金额或者最高限价的；</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报价明显低于其他通过符合性审查</w:t>
            </w:r>
            <w:r>
              <w:rPr>
                <w:rFonts w:hint="eastAsia" w:ascii="宋体" w:hAnsi="宋体" w:eastAsia="宋体" w:cs="宋体"/>
                <w:color w:val="auto"/>
                <w:kern w:val="0"/>
                <w:sz w:val="24"/>
                <w:highlight w:val="none"/>
                <w:lang w:val="zh-CN" w:eastAsia="zh-CN"/>
              </w:rPr>
              <w:t>供应商</w:t>
            </w:r>
            <w:r>
              <w:rPr>
                <w:rFonts w:hint="eastAsia" w:ascii="宋体" w:hAnsi="宋体" w:eastAsia="宋体" w:cs="宋体"/>
                <w:color w:val="auto"/>
                <w:kern w:val="0"/>
                <w:sz w:val="24"/>
                <w:highlight w:val="none"/>
                <w:lang w:val="zh-CN"/>
              </w:rPr>
              <w:t>的报价，有可能影响产品质量或者不能诚信履约的，未能按要求提供书面说明或者提交相关证明材料证明其报价合理性的；</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供应商</w:t>
            </w:r>
            <w:r>
              <w:rPr>
                <w:rFonts w:hint="eastAsia" w:ascii="宋体" w:hAnsi="宋体" w:eastAsia="宋体" w:cs="宋体"/>
                <w:color w:val="auto"/>
                <w:kern w:val="0"/>
                <w:sz w:val="24"/>
                <w:highlight w:val="none"/>
                <w:lang w:val="zh-CN"/>
              </w:rPr>
              <w:t>对根据修正原则修正后的报价不确认的。</w:t>
            </w:r>
          </w:p>
          <w:p>
            <w:pPr>
              <w:spacing w:line="360" w:lineRule="auto"/>
              <w:rPr>
                <w:rFonts w:hint="eastAsia" w:ascii="宋体" w:hAnsi="宋体" w:eastAsia="宋体" w:cs="宋体"/>
                <w:b w:val="0"/>
                <w:bCs/>
                <w:color w:val="auto"/>
                <w:highlight w:val="none"/>
              </w:rPr>
            </w:pPr>
            <w:r>
              <w:rPr>
                <w:rFonts w:hint="eastAsia" w:ascii="宋体" w:hAnsi="宋体" w:eastAsia="宋体" w:cs="宋体"/>
                <w:color w:val="auto"/>
                <w:kern w:val="0"/>
                <w:sz w:val="24"/>
                <w:highlight w:val="none"/>
                <w:lang w:val="zh-CN"/>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10"/>
              <w:spacing w:line="360" w:lineRule="auto"/>
              <w:ind w:left="0" w:leftChars="0" w:hanging="4" w:firstLineChars="0"/>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r>
              <w:rPr>
                <w:rFonts w:hint="eastAsia" w:hAnsi="宋体" w:cs="宋体"/>
                <w:color w:val="auto"/>
                <w:kern w:val="28"/>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jc w:val="left"/>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本次代理服务费用由</w:t>
            </w:r>
            <w:r>
              <w:rPr>
                <w:rFonts w:hint="eastAsia" w:hAnsi="宋体" w:cs="宋体"/>
                <w:b w:val="0"/>
                <w:bCs/>
                <w:color w:val="auto"/>
                <w:kern w:val="0"/>
                <w:sz w:val="24"/>
                <w:highlight w:val="none"/>
                <w:lang w:eastAsia="zh-CN"/>
              </w:rPr>
              <w:t>成交</w:t>
            </w:r>
            <w:r>
              <w:rPr>
                <w:rFonts w:hint="eastAsia" w:ascii="宋体" w:hAnsi="宋体" w:eastAsia="宋体" w:cs="宋体"/>
                <w:b w:val="0"/>
                <w:bCs/>
                <w:color w:val="auto"/>
                <w:kern w:val="0"/>
                <w:sz w:val="24"/>
                <w:highlight w:val="none"/>
              </w:rPr>
              <w:t>人向代理机构支付</w:t>
            </w:r>
            <w:r>
              <w:rPr>
                <w:rFonts w:hint="eastAsia" w:ascii="宋体" w:hAnsi="宋体" w:cs="宋体"/>
                <w:b w:val="0"/>
                <w:bCs/>
                <w:color w:val="auto"/>
                <w:kern w:val="0"/>
                <w:sz w:val="24"/>
                <w:highlight w:val="none"/>
                <w:lang w:eastAsia="zh-CN"/>
              </w:rPr>
              <w:t>，</w:t>
            </w:r>
            <w:r>
              <w:rPr>
                <w:rFonts w:hint="eastAsia" w:hAnsi="宋体" w:cs="宋体"/>
                <w:b w:val="0"/>
                <w:bCs/>
                <w:color w:val="auto"/>
                <w:kern w:val="0"/>
                <w:sz w:val="24"/>
                <w:highlight w:val="none"/>
                <w:lang w:val="en-US" w:eastAsia="zh-CN"/>
              </w:rPr>
              <w:t>费用</w:t>
            </w:r>
            <w:r>
              <w:rPr>
                <w:rFonts w:hint="eastAsia" w:ascii="宋体" w:hAnsi="宋体" w:eastAsia="宋体" w:cs="宋体"/>
                <w:b w:val="0"/>
                <w:bCs/>
                <w:color w:val="auto"/>
                <w:kern w:val="0"/>
                <w:sz w:val="24"/>
                <w:highlight w:val="none"/>
                <w:lang w:val="en-US" w:eastAsia="zh-CN"/>
              </w:rPr>
              <w:t>在领取成交通知书时一次性付清。</w:t>
            </w:r>
          </w:p>
          <w:p>
            <w:pPr>
              <w:keepNext w:val="0"/>
              <w:keepLines w:val="0"/>
              <w:widowControl/>
              <w:suppressLineNumbers w:val="0"/>
              <w:jc w:val="left"/>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b w:val="0"/>
                <w:bCs w:val="0"/>
                <w:color w:val="auto"/>
                <w:sz w:val="24"/>
                <w:highlight w:val="none"/>
                <w:lang w:val="en-US" w:eastAsia="zh-CN"/>
              </w:rPr>
              <w:t>计费标准：以中标金额为计费基准，按计价格[2002]1980号文规定服务类收费标准</w:t>
            </w:r>
            <w:r>
              <w:rPr>
                <w:rFonts w:hint="eastAsia" w:ascii="宋体" w:hAnsi="宋体" w:eastAsia="宋体" w:cs="宋体"/>
                <w:b w:val="0"/>
                <w:bCs w:val="0"/>
                <w:snapToGrid/>
                <w:color w:val="auto"/>
                <w:kern w:val="2"/>
                <w:sz w:val="24"/>
                <w:szCs w:val="24"/>
                <w:highlight w:val="none"/>
                <w:lang w:val="en-US" w:eastAsia="zh-CN" w:bidi="ar-SA"/>
              </w:rPr>
              <w:t>优惠40%支付</w:t>
            </w:r>
            <w:r>
              <w:rPr>
                <w:rFonts w:hint="eastAsia" w:ascii="宋体" w:hAnsi="宋体" w:cs="宋体"/>
                <w:b w:val="0"/>
                <w:bCs w:val="0"/>
                <w:snapToGrid/>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保证金</w:t>
            </w:r>
          </w:p>
          <w:p>
            <w:pPr>
              <w:spacing w:line="360" w:lineRule="auto"/>
              <w:jc w:val="center"/>
              <w:rPr>
                <w:rFonts w:hint="eastAsia" w:ascii="宋体" w:hAnsi="宋体" w:eastAsia="宋体" w:cs="宋体"/>
                <w:b/>
                <w:color w:val="auto"/>
                <w:sz w:val="24"/>
                <w:highlight w:val="none"/>
                <w:lang w:val="en-US" w:eastAsia="zh-CN"/>
              </w:rPr>
            </w:pPr>
            <w:r>
              <w:rPr>
                <w:rFonts w:hint="eastAsia" w:asciiTheme="minorEastAsia" w:hAnsiTheme="minorEastAsia" w:eastAsiaTheme="minorEastAsia" w:cstheme="minorEastAsia"/>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8"/>
              <w:spacing w:line="360" w:lineRule="auto"/>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保证金：不收取。</w:t>
            </w:r>
          </w:p>
          <w:p>
            <w:pPr>
              <w:pStyle w:val="8"/>
              <w:spacing w:line="360" w:lineRule="auto"/>
              <w:ind w:firstLine="0" w:firstLineChars="0"/>
              <w:rPr>
                <w:rFonts w:hint="default"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auto"/>
                <w:sz w:val="24"/>
                <w:highlight w:val="none"/>
              </w:rPr>
              <w:t>履约保证金：</w:t>
            </w:r>
            <w:r>
              <w:rPr>
                <w:rFonts w:hint="eastAsia" w:asciiTheme="minorEastAsia" w:hAnsiTheme="minorEastAsia" w:eastAsiaTheme="minorEastAsia" w:cstheme="minorEastAsia"/>
                <w:color w:val="auto"/>
                <w:sz w:val="24"/>
                <w:highlight w:val="none"/>
                <w:lang w:val="en-US" w:eastAsia="zh-CN"/>
              </w:rPr>
              <w:t>10000元</w:t>
            </w:r>
            <w:r>
              <w:rPr>
                <w:rFonts w:hint="eastAsia" w:asciiTheme="minorEastAsia" w:hAnsiTheme="minorEastAsia" w:eastAsiaTheme="minorEastAsia" w:cstheme="minorEastAsia"/>
                <w:color w:val="auto"/>
                <w:sz w:val="24"/>
                <w:highlight w:val="none"/>
                <w:lang w:eastAsia="zh-CN"/>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pPr>
              <w:pStyle w:val="10"/>
              <w:keepNext w:val="0"/>
              <w:keepLines w:val="0"/>
              <w:pageBreakBefore w:val="0"/>
              <w:kinsoku/>
              <w:wordWrap/>
              <w:overflowPunct/>
              <w:topLinePunct w:val="0"/>
              <w:autoSpaceDE/>
              <w:autoSpaceDN/>
              <w:bidi w:val="0"/>
              <w:adjustRightInd w:val="0"/>
              <w:spacing w:line="360" w:lineRule="exact"/>
              <w:ind w:left="0" w:leftChars="0" w:hanging="4"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宋体" w:hAnsi="宋体" w:eastAsia="宋体" w:cs="宋体"/>
                <w:snapToGrid w:val="0"/>
                <w:color w:val="auto"/>
                <w:kern w:val="28"/>
                <w:sz w:val="24"/>
                <w:highlight w:val="none"/>
              </w:rPr>
            </w:pPr>
            <w:r>
              <w:rPr>
                <w:rFonts w:hint="eastAsia" w:asciiTheme="minorEastAsia" w:hAnsiTheme="minorEastAsia" w:eastAsiaTheme="minorEastAsia" w:cstheme="minorEastAsia"/>
                <w:b/>
                <w:color w:val="auto"/>
                <w:sz w:val="24"/>
                <w:highlight w:val="none"/>
              </w:rPr>
              <w:t>注：本项目通用总则条款与前附表等专用特别规定有冲突之处，以专用条款（特别规定）为准</w:t>
            </w:r>
            <w:r>
              <w:rPr>
                <w:rFonts w:hint="eastAsia" w:asciiTheme="minorEastAsia" w:hAnsiTheme="minorEastAsia" w:eastAsiaTheme="minorEastAsia" w:cstheme="minorEastAsia"/>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11"/>
    <w:p>
      <w:pPr>
        <w:rPr>
          <w:rFonts w:hint="eastAsia" w:ascii="宋体" w:hAnsi="宋体" w:eastAsia="宋体" w:cs="宋体"/>
          <w:b/>
          <w:color w:val="auto"/>
          <w:sz w:val="32"/>
          <w:szCs w:val="20"/>
          <w:highlight w:val="none"/>
        </w:rPr>
      </w:pPr>
      <w:bookmarkStart w:id="14" w:name="_Toc164416483"/>
      <w:bookmarkStart w:id="15"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 xml:space="preserve">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.2供应商质疑</w:t>
      </w:r>
    </w:p>
    <w:p>
      <w:pPr>
        <w:pStyle w:val="10"/>
        <w:spacing w:line="360" w:lineRule="auto"/>
        <w:ind w:firstLine="480" w:firstLineChars="200"/>
        <w:rPr>
          <w:rFonts w:hint="eastAsia" w:ascii="宋体" w:hAnsi="宋体" w:eastAsia="宋体" w:cs="宋体"/>
          <w:color w:val="auto"/>
          <w:sz w:val="24"/>
          <w:highlight w:val="none"/>
        </w:rPr>
      </w:pPr>
      <w:r>
        <w:rPr>
          <w:rFonts w:hint="eastAsia"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交易文件</w:t>
      </w:r>
      <w:r>
        <w:rPr>
          <w:rFonts w:hint="eastAsia" w:ascii="宋体" w:hAnsi="宋体" w:eastAsia="宋体" w:cs="宋体"/>
          <w:color w:val="auto"/>
          <w:sz w:val="24"/>
          <w:highlight w:val="none"/>
        </w:rPr>
        <w:t>的，可以对该文件提出质疑。</w:t>
      </w:r>
    </w:p>
    <w:p>
      <w:pPr>
        <w:pStyle w:val="10"/>
        <w:spacing w:line="360" w:lineRule="auto"/>
        <w:ind w:firstLine="480" w:firstLineChars="200"/>
        <w:rPr>
          <w:rFonts w:hint="eastAsia" w:ascii="宋体" w:hAnsi="宋体" w:eastAsia="宋体" w:cs="宋体"/>
          <w:color w:val="auto"/>
          <w:sz w:val="24"/>
          <w:highlight w:val="none"/>
        </w:rPr>
      </w:pPr>
      <w:r>
        <w:rPr>
          <w:rFonts w:hint="eastAsia"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w:t>
      </w:r>
      <w:r>
        <w:rPr>
          <w:rFonts w:hint="eastAsia" w:hAnsi="宋体" w:cs="宋体"/>
          <w:color w:val="auto"/>
          <w:sz w:val="24"/>
          <w:highlight w:val="none"/>
          <w:lang w:eastAsia="zh-CN"/>
        </w:rPr>
        <w:t>交易文件</w:t>
      </w:r>
      <w:r>
        <w:rPr>
          <w:rFonts w:hint="eastAsia" w:ascii="宋体" w:hAnsi="宋体" w:eastAsia="宋体" w:cs="宋体"/>
          <w:color w:val="auto"/>
          <w:sz w:val="24"/>
          <w:highlight w:val="none"/>
        </w:rPr>
        <w:t>、采购过程和</w:t>
      </w:r>
      <w:r>
        <w:rPr>
          <w:rFonts w:hint="eastAsia" w:hAnsi="宋体" w:cs="宋体"/>
          <w:color w:val="auto"/>
          <w:sz w:val="24"/>
          <w:highlight w:val="none"/>
          <w:lang w:eastAsia="zh-CN"/>
        </w:rPr>
        <w:t>成交</w:t>
      </w:r>
      <w:r>
        <w:rPr>
          <w:rFonts w:hint="eastAsia" w:ascii="宋体" w:hAnsi="宋体" w:eastAsia="宋体" w:cs="宋体"/>
          <w:color w:val="auto"/>
          <w:sz w:val="24"/>
          <w:highlight w:val="none"/>
        </w:rPr>
        <w:t>结果使自己的权益受到损害的，可以在知道或者应知其权益受到损害之日起</w:t>
      </w:r>
      <w:r>
        <w:rPr>
          <w:rFonts w:hint="eastAsia" w:hAnsi="宋体" w:cs="宋体"/>
          <w:color w:val="auto"/>
          <w:sz w:val="24"/>
          <w:highlight w:val="none"/>
          <w:lang w:val="en-US" w:eastAsia="zh-CN"/>
        </w:rPr>
        <w:t>3</w:t>
      </w:r>
      <w:r>
        <w:rPr>
          <w:rFonts w:hint="eastAsia" w:ascii="宋体" w:hAnsi="宋体" w:eastAsia="宋体" w:cs="宋体"/>
          <w:color w:val="auto"/>
          <w:sz w:val="24"/>
          <w:highlight w:val="none"/>
        </w:rPr>
        <w:t>日内，以书面形式向采购人或者采购机构提出质疑，否则，采购人或者采购机构不予受理：</w:t>
      </w:r>
    </w:p>
    <w:p>
      <w:pPr>
        <w:pStyle w:val="8"/>
        <w:spacing w:line="360" w:lineRule="auto"/>
        <w:ind w:firstLine="480" w:firstLineChars="200"/>
        <w:rPr>
          <w:rFonts w:hint="eastAsia" w:ascii="宋体" w:hAnsi="宋体" w:eastAsia="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ascii="宋体" w:hAnsi="宋体" w:eastAsia="宋体" w:cs="宋体"/>
          <w:snapToGrid/>
          <w:color w:val="auto"/>
          <w:kern w:val="2"/>
          <w:sz w:val="24"/>
          <w:highlight w:val="none"/>
        </w:rPr>
        <w:t>.2.2.1对</w:t>
      </w:r>
      <w:r>
        <w:rPr>
          <w:rFonts w:hint="eastAsia" w:hAnsi="宋体" w:cs="宋体"/>
          <w:snapToGrid/>
          <w:color w:val="auto"/>
          <w:kern w:val="2"/>
          <w:sz w:val="24"/>
          <w:highlight w:val="none"/>
          <w:lang w:eastAsia="zh-CN"/>
        </w:rPr>
        <w:t>交易文件</w:t>
      </w:r>
      <w:r>
        <w:rPr>
          <w:rFonts w:hint="eastAsia" w:ascii="宋体" w:hAnsi="宋体" w:eastAsia="宋体" w:cs="宋体"/>
          <w:snapToGrid/>
          <w:color w:val="auto"/>
          <w:kern w:val="2"/>
          <w:sz w:val="24"/>
          <w:highlight w:val="none"/>
        </w:rPr>
        <w:t>提出质疑的，质疑期限为供应商获得</w:t>
      </w:r>
      <w:r>
        <w:rPr>
          <w:rFonts w:hint="eastAsia" w:hAnsi="宋体" w:cs="宋体"/>
          <w:snapToGrid/>
          <w:color w:val="auto"/>
          <w:kern w:val="2"/>
          <w:sz w:val="24"/>
          <w:highlight w:val="none"/>
          <w:lang w:eastAsia="zh-CN"/>
        </w:rPr>
        <w:t>交易文件</w:t>
      </w:r>
      <w:r>
        <w:rPr>
          <w:rFonts w:hint="eastAsia" w:ascii="宋体" w:hAnsi="宋体" w:eastAsia="宋体" w:cs="宋体"/>
          <w:snapToGrid/>
          <w:color w:val="auto"/>
          <w:kern w:val="2"/>
          <w:sz w:val="24"/>
          <w:highlight w:val="none"/>
        </w:rPr>
        <w:t>之日或者</w:t>
      </w:r>
      <w:r>
        <w:rPr>
          <w:rFonts w:hint="eastAsia" w:hAnsi="宋体" w:cs="宋体"/>
          <w:snapToGrid/>
          <w:color w:val="auto"/>
          <w:kern w:val="2"/>
          <w:sz w:val="24"/>
          <w:highlight w:val="none"/>
          <w:lang w:eastAsia="zh-CN"/>
        </w:rPr>
        <w:t>交易文件</w:t>
      </w:r>
      <w:r>
        <w:rPr>
          <w:rFonts w:hint="eastAsia" w:ascii="宋体" w:hAnsi="宋体" w:eastAsia="宋体" w:cs="宋体"/>
          <w:snapToGrid/>
          <w:color w:val="auto"/>
          <w:kern w:val="2"/>
          <w:sz w:val="24"/>
          <w:highlight w:val="none"/>
        </w:rPr>
        <w:t>公告期限届满之日起计算。</w:t>
      </w:r>
    </w:p>
    <w:p>
      <w:pPr>
        <w:pStyle w:val="10"/>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3.</w:t>
      </w:r>
      <w:r>
        <w:rPr>
          <w:rFonts w:hint="eastAsia" w:ascii="宋体" w:hAnsi="宋体" w:eastAsia="宋体" w:cs="宋体"/>
          <w:color w:val="auto"/>
          <w:sz w:val="24"/>
          <w:highlight w:val="none"/>
        </w:rPr>
        <w:t>2.2.2对采购过程提出质疑的，质疑期限为各采购程序环节结束之日起计算。对同一采购程序环节的质疑，供应商须一次性提出。</w:t>
      </w:r>
    </w:p>
    <w:p>
      <w:pPr>
        <w:pStyle w:val="10"/>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3.</w:t>
      </w:r>
      <w:r>
        <w:rPr>
          <w:rFonts w:hint="eastAsia" w:ascii="宋体" w:hAnsi="宋体" w:eastAsia="宋体" w:cs="宋体"/>
          <w:color w:val="auto"/>
          <w:sz w:val="24"/>
          <w:highlight w:val="none"/>
        </w:rPr>
        <w:t>2.2.3对采购结果提出质疑的，质疑期限自采购结果公告期限届满之日起计算。</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hAnsi="宋体" w:cs="宋体"/>
          <w:color w:val="auto"/>
          <w:kern w:val="0"/>
          <w:sz w:val="24"/>
          <w:highlight w:val="none"/>
          <w:lang w:val="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cs="宋体"/>
          <w:color w:val="auto"/>
          <w:kern w:val="0"/>
          <w:sz w:val="24"/>
          <w:highlight w:val="none"/>
          <w:lang w:val="zh-CN"/>
        </w:rPr>
        <w:t>3.</w:t>
      </w:r>
      <w:r>
        <w:rPr>
          <w:rFonts w:hint="eastAsia" w:ascii="宋体" w:hAnsi="宋体" w:eastAsia="宋体" w:cs="宋体"/>
          <w:color w:val="auto"/>
          <w:kern w:val="0"/>
          <w:sz w:val="24"/>
          <w:highlight w:val="none"/>
          <w:lang w:val="zh-CN"/>
        </w:rPr>
        <w:t>2.3.1供应商的姓名或者名称、地址、邮编、联系人及联系电话；</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cs="宋体"/>
          <w:color w:val="auto"/>
          <w:kern w:val="0"/>
          <w:sz w:val="24"/>
          <w:highlight w:val="none"/>
          <w:lang w:val="zh-CN"/>
        </w:rPr>
        <w:t>3.</w:t>
      </w:r>
      <w:r>
        <w:rPr>
          <w:rFonts w:hint="eastAsia" w:ascii="宋体" w:hAnsi="宋体" w:eastAsia="宋体" w:cs="宋体"/>
          <w:color w:val="auto"/>
          <w:kern w:val="0"/>
          <w:sz w:val="24"/>
          <w:highlight w:val="none"/>
          <w:lang w:val="zh-CN"/>
        </w:rPr>
        <w:t>2.3.2质疑项目的名称、编号；</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cs="宋体"/>
          <w:color w:val="auto"/>
          <w:kern w:val="0"/>
          <w:sz w:val="24"/>
          <w:highlight w:val="none"/>
          <w:lang w:val="zh-CN"/>
        </w:rPr>
        <w:t>3.</w:t>
      </w:r>
      <w:r>
        <w:rPr>
          <w:rFonts w:hint="eastAsia" w:ascii="宋体" w:hAnsi="宋体" w:eastAsia="宋体" w:cs="宋体"/>
          <w:color w:val="auto"/>
          <w:kern w:val="0"/>
          <w:sz w:val="24"/>
          <w:highlight w:val="none"/>
          <w:lang w:val="zh-CN"/>
        </w:rPr>
        <w:t>2.3.3具体、明确的质疑事项和与质疑事项相关的请求；</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cs="宋体"/>
          <w:color w:val="auto"/>
          <w:kern w:val="0"/>
          <w:sz w:val="24"/>
          <w:highlight w:val="none"/>
          <w:lang w:val="zh-CN"/>
        </w:rPr>
        <w:t>3.</w:t>
      </w:r>
      <w:r>
        <w:rPr>
          <w:rFonts w:hint="eastAsia" w:ascii="宋体" w:hAnsi="宋体" w:eastAsia="宋体" w:cs="宋体"/>
          <w:color w:val="auto"/>
          <w:kern w:val="0"/>
          <w:sz w:val="24"/>
          <w:highlight w:val="none"/>
          <w:lang w:val="zh-CN"/>
        </w:rPr>
        <w:t>2.3.4事实依据；</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cs="宋体"/>
          <w:color w:val="auto"/>
          <w:kern w:val="0"/>
          <w:sz w:val="24"/>
          <w:highlight w:val="none"/>
          <w:lang w:val="zh-CN"/>
        </w:rPr>
        <w:t>3.</w:t>
      </w:r>
      <w:r>
        <w:rPr>
          <w:rFonts w:hint="eastAsia" w:ascii="宋体" w:hAnsi="宋体" w:eastAsia="宋体" w:cs="宋体"/>
          <w:color w:val="auto"/>
          <w:kern w:val="0"/>
          <w:sz w:val="24"/>
          <w:highlight w:val="none"/>
          <w:lang w:val="zh-CN"/>
        </w:rPr>
        <w:t>2.3.5必要的法律依据；</w:t>
      </w:r>
    </w:p>
    <w:p>
      <w:pPr>
        <w:pStyle w:val="10"/>
        <w:spacing w:line="360" w:lineRule="auto"/>
        <w:ind w:firstLine="960" w:firstLineChars="400"/>
        <w:rPr>
          <w:rFonts w:hint="eastAsia" w:ascii="宋体" w:hAnsi="宋体" w:eastAsia="宋体" w:cs="宋体"/>
          <w:color w:val="auto"/>
          <w:kern w:val="0"/>
          <w:sz w:val="24"/>
          <w:highlight w:val="none"/>
          <w:lang w:val="zh-CN"/>
        </w:rPr>
      </w:pPr>
      <w:r>
        <w:rPr>
          <w:rFonts w:hint="eastAsia" w:hAnsi="宋体" w:cs="宋体"/>
          <w:color w:val="auto"/>
          <w:kern w:val="0"/>
          <w:sz w:val="24"/>
          <w:highlight w:val="none"/>
          <w:lang w:val="zh-CN"/>
        </w:rPr>
        <w:t>3.</w:t>
      </w:r>
      <w:r>
        <w:rPr>
          <w:rFonts w:hint="eastAsia" w:ascii="宋体" w:hAnsi="宋体" w:eastAsia="宋体" w:cs="宋体"/>
          <w:color w:val="auto"/>
          <w:kern w:val="0"/>
          <w:sz w:val="24"/>
          <w:highlight w:val="none"/>
          <w:lang w:val="zh-CN"/>
        </w:rPr>
        <w:t>2.3.6提出质疑的日期。</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3.2.4采购人或者采购机构应当在收到供应商的书面质疑后</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日内作出答复，并以书面形式通知质疑供应商和其他与质疑处理结果有利害关系的采购当事人，但答复的内容不得涉及商业秘密。</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3.2.5询问或者质疑事项可能影响采购结果的，采购人应当暂停签订合同，已经签订合同的，应当中止履行合同。</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3.3供应商投诉</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3.</w:t>
      </w:r>
      <w:r>
        <w:rPr>
          <w:rFonts w:hint="eastAsia" w:ascii="宋体" w:hAnsi="宋体" w:eastAsia="宋体" w:cs="宋体"/>
          <w:color w:val="auto"/>
          <w:kern w:val="0"/>
          <w:sz w:val="24"/>
          <w:highlight w:val="none"/>
          <w:lang w:val="zh-CN"/>
        </w:rPr>
        <w:t>3.1质疑供应商对采购人、采购机构的答复不满意或者采购人、采购机构未在规定的时间内作出答复的，可以在答复期满后十五个工作日内向同级采购监督管理部门提出投诉。</w:t>
      </w:r>
    </w:p>
    <w:p>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3.</w:t>
      </w:r>
      <w:r>
        <w:rPr>
          <w:rFonts w:hint="eastAsia" w:ascii="宋体" w:hAnsi="宋体" w:eastAsia="宋体" w:cs="宋体"/>
          <w:color w:val="auto"/>
          <w:kern w:val="0"/>
          <w:sz w:val="24"/>
          <w:highlight w:val="none"/>
          <w:lang w:val="zh-CN"/>
        </w:rPr>
        <w:t>3.2供应商投诉的事项不得超出已质疑事项的范围，基于质疑答复内容提出的投诉事项除外。</w:t>
      </w:r>
    </w:p>
    <w:p>
      <w:pPr>
        <w:pStyle w:val="10"/>
        <w:spacing w:line="360" w:lineRule="auto"/>
        <w:ind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3.3.3供应商投诉应当有明确的请求和必要的证明材料。</w:t>
      </w:r>
    </w:p>
    <w:p>
      <w:pPr>
        <w:pStyle w:val="10"/>
        <w:spacing w:line="360" w:lineRule="auto"/>
        <w:ind w:firstLine="480" w:firstLineChars="200"/>
        <w:rPr>
          <w:rFonts w:hint="eastAsia" w:ascii="宋体" w:hAnsi="宋体" w:eastAsia="宋体" w:cs="宋体"/>
          <w:color w:val="auto"/>
          <w:kern w:val="0"/>
          <w:sz w:val="24"/>
          <w:highlight w:val="none"/>
          <w:lang w:val="zh-CN"/>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w:t>
      </w:r>
      <w:r>
        <w:rPr>
          <w:rFonts w:hint="eastAsia" w:ascii="宋体" w:hAnsi="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pPr>
        <w:pStyle w:val="10"/>
        <w:spacing w:line="360" w:lineRule="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hAnsi="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公告；</w:t>
      </w:r>
    </w:p>
    <w:p>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.1.3采购需求；</w:t>
      </w:r>
    </w:p>
    <w:p>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.1.4评</w:t>
      </w:r>
      <w:r>
        <w:rPr>
          <w:rFonts w:hint="eastAsia" w:hAnsi="宋体" w:cs="宋体"/>
          <w:color w:val="auto"/>
          <w:sz w:val="24"/>
          <w:szCs w:val="24"/>
          <w:highlight w:val="none"/>
          <w:lang w:eastAsia="zh-CN"/>
        </w:rPr>
        <w:t>审</w:t>
      </w:r>
      <w:r>
        <w:rPr>
          <w:rFonts w:hint="eastAsia" w:ascii="宋体" w:hAnsi="宋体" w:eastAsia="宋体" w:cs="宋体"/>
          <w:color w:val="auto"/>
          <w:sz w:val="24"/>
          <w:szCs w:val="24"/>
          <w:highlight w:val="none"/>
        </w:rPr>
        <w:t>办法；</w:t>
      </w:r>
    </w:p>
    <w:p>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10"/>
        <w:spacing w:line="360" w:lineRule="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w:t>
      </w:r>
      <w:r>
        <w:rPr>
          <w:rFonts w:hint="eastAsia" w:hAnsi="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pPr>
        <w:pStyle w:val="20"/>
        <w:snapToGrid w:val="0"/>
        <w:spacing w:before="0"/>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cs="宋体"/>
          <w:color w:val="auto"/>
          <w:highlight w:val="none"/>
          <w:lang w:eastAsia="zh-CN"/>
        </w:rPr>
        <w:t>供应商</w:t>
      </w:r>
      <w:r>
        <w:rPr>
          <w:rFonts w:hint="eastAsia" w:ascii="宋体" w:hAnsi="宋体" w:eastAsia="宋体" w:cs="宋体"/>
          <w:color w:val="auto"/>
          <w:highlight w:val="none"/>
        </w:rPr>
        <w:t>，若有问题需要澄清，应于</w:t>
      </w:r>
      <w:r>
        <w:rPr>
          <w:rFonts w:hint="eastAsia" w:ascii="宋体" w:hAnsi="宋体" w:cs="宋体"/>
          <w:color w:val="auto"/>
          <w:highlight w:val="none"/>
          <w:lang w:eastAsia="zh-CN"/>
        </w:rPr>
        <w:t>交易</w:t>
      </w:r>
      <w:r>
        <w:rPr>
          <w:rFonts w:hint="eastAsia" w:ascii="宋体" w:hAnsi="宋体" w:eastAsia="宋体" w:cs="宋体"/>
          <w:color w:val="auto"/>
          <w:highlight w:val="none"/>
        </w:rPr>
        <w:t>截止时间前，以书面形式向采购机构提出。</w:t>
      </w:r>
    </w:p>
    <w:p>
      <w:pPr>
        <w:pStyle w:val="20"/>
        <w:snapToGrid w:val="0"/>
        <w:spacing w:before="0"/>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.2 采购机构对</w:t>
      </w:r>
      <w:r>
        <w:rPr>
          <w:rFonts w:hint="eastAsia" w:ascii="宋体" w:hAnsi="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w:t>
      </w:r>
      <w:r>
        <w:rPr>
          <w:rFonts w:hint="eastAsia" w:ascii="宋体" w:hAnsi="宋体" w:cs="宋体"/>
          <w:color w:val="auto"/>
          <w:highlight w:val="none"/>
          <w:lang w:eastAsia="zh-CN"/>
        </w:rPr>
        <w:t>交易</w:t>
      </w:r>
      <w:r>
        <w:rPr>
          <w:rFonts w:hint="eastAsia" w:ascii="宋体" w:hAnsi="宋体" w:eastAsia="宋体" w:cs="宋体"/>
          <w:color w:val="auto"/>
          <w:highlight w:val="none"/>
        </w:rPr>
        <w:t>截止时间和</w:t>
      </w:r>
      <w:r>
        <w:rPr>
          <w:rFonts w:hint="eastAsia" w:ascii="宋体" w:hAnsi="宋体" w:cs="宋体"/>
          <w:color w:val="auto"/>
          <w:highlight w:val="none"/>
          <w:lang w:eastAsia="zh-CN"/>
        </w:rPr>
        <w:t>交易</w:t>
      </w:r>
      <w:r>
        <w:rPr>
          <w:rFonts w:hint="eastAsia" w:ascii="宋体" w:hAnsi="宋体" w:eastAsia="宋体" w:cs="宋体"/>
          <w:color w:val="auto"/>
          <w:highlight w:val="none"/>
        </w:rPr>
        <w:t>时间。该澄清或者修改的内容为</w:t>
      </w:r>
      <w:r>
        <w:rPr>
          <w:rFonts w:hint="eastAsia" w:ascii="宋体" w:hAnsi="宋体" w:cs="宋体"/>
          <w:color w:val="auto"/>
          <w:highlight w:val="none"/>
          <w:lang w:eastAsia="zh-CN"/>
        </w:rPr>
        <w:t>交易文件</w:t>
      </w:r>
      <w:r>
        <w:rPr>
          <w:rFonts w:hint="eastAsia" w:ascii="宋体" w:hAnsi="宋体" w:eastAsia="宋体" w:cs="宋体"/>
          <w:color w:val="auto"/>
          <w:highlight w:val="none"/>
        </w:rPr>
        <w:t>的组成部分。</w:t>
      </w:r>
    </w:p>
    <w:p>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cs="宋体"/>
          <w:b/>
          <w:color w:val="auto"/>
          <w:sz w:val="30"/>
          <w:szCs w:val="20"/>
          <w:highlight w:val="none"/>
          <w:lang w:eastAsia="zh-CN"/>
        </w:rPr>
        <w:t>交易</w:t>
      </w:r>
    </w:p>
    <w:p>
      <w:pPr>
        <w:pStyle w:val="10"/>
        <w:spacing w:line="360" w:lineRule="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w:t>
      </w:r>
      <w:r>
        <w:rPr>
          <w:rFonts w:hint="eastAsia" w:hAnsi="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cs="宋体"/>
          <w:snapToGrid w:val="0"/>
          <w:color w:val="auto"/>
          <w:kern w:val="28"/>
          <w:sz w:val="24"/>
          <w:highlight w:val="none"/>
          <w:lang w:eastAsia="zh-CN"/>
        </w:rPr>
        <w:t>交易</w:t>
      </w:r>
      <w:r>
        <w:rPr>
          <w:rFonts w:hint="eastAsia" w:ascii="宋体" w:hAnsi="宋体" w:eastAsia="宋体" w:cs="宋体"/>
          <w:snapToGrid w:val="0"/>
          <w:color w:val="auto"/>
          <w:kern w:val="28"/>
          <w:sz w:val="24"/>
          <w:highlight w:val="none"/>
        </w:rPr>
        <w:t>公告中获取</w:t>
      </w:r>
      <w:r>
        <w:rPr>
          <w:rFonts w:hint="eastAsia" w:ascii="宋体" w:hAnsi="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pPr>
        <w:pStyle w:val="10"/>
        <w:spacing w:line="360" w:lineRule="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前答疑会。</w:t>
      </w:r>
    </w:p>
    <w:p>
      <w:pPr>
        <w:pStyle w:val="10"/>
        <w:spacing w:line="360" w:lineRule="auto"/>
        <w:rPr>
          <w:rFonts w:hint="eastAsia" w:ascii="宋体" w:hAnsi="宋体" w:eastAsia="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hAnsi="宋体" w:cs="宋体"/>
          <w:b/>
          <w:color w:val="auto"/>
          <w:kern w:val="28"/>
          <w:sz w:val="24"/>
          <w:szCs w:val="24"/>
          <w:highlight w:val="none"/>
          <w:lang w:eastAsia="zh-CN"/>
        </w:rPr>
        <w:t>交易</w:t>
      </w:r>
      <w:r>
        <w:rPr>
          <w:rFonts w:hint="eastAsia" w:ascii="宋体" w:hAnsi="宋体" w:eastAsia="宋体" w:cs="宋体"/>
          <w:b/>
          <w:color w:val="auto"/>
          <w:kern w:val="28"/>
          <w:sz w:val="24"/>
          <w:szCs w:val="24"/>
          <w:highlight w:val="none"/>
        </w:rPr>
        <w:t>保证金</w:t>
      </w:r>
    </w:p>
    <w:p>
      <w:pPr>
        <w:pStyle w:val="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hAnsi="宋体" w:cs="宋体"/>
          <w:color w:val="auto"/>
          <w:sz w:val="24"/>
          <w:highlight w:val="none"/>
          <w:lang w:eastAsia="zh-CN"/>
        </w:rPr>
        <w:t>交易</w:t>
      </w:r>
      <w:r>
        <w:rPr>
          <w:rFonts w:hint="eastAsia" w:ascii="宋体" w:hAnsi="宋体" w:eastAsia="宋体" w:cs="宋体"/>
          <w:color w:val="auto"/>
          <w:sz w:val="24"/>
          <w:highlight w:val="none"/>
        </w:rPr>
        <w:t>保证金。</w:t>
      </w:r>
    </w:p>
    <w:p>
      <w:pPr>
        <w:pStyle w:val="10"/>
        <w:spacing w:line="360" w:lineRule="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与采购有关的来往通知、函件和文件均应使用中文。</w:t>
      </w:r>
    </w:p>
    <w:p>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.1.1符合参加采购活动应当具备的一般条件的承诺函；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.2.3符合性审查资料；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.2.4评</w:t>
      </w:r>
      <w:r>
        <w:rPr>
          <w:rFonts w:hint="eastAsia" w:ascii="宋体" w:hAnsi="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.2.5商务技术偏离表；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.2.6</w:t>
      </w:r>
      <w:r>
        <w:rPr>
          <w:rFonts w:hint="eastAsia" w:ascii="宋体" w:hAnsi="宋体" w:eastAsia="宋体" w:cs="宋体"/>
          <w:color w:val="auto"/>
          <w:sz w:val="24"/>
          <w:highlight w:val="none"/>
          <w:lang w:val="zh-CN"/>
        </w:rPr>
        <w:t>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一览表（报价表）；</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文件含有采购人不能接受的附加条件的，</w:t>
      </w: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提供虚假材料</w:t>
      </w: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的，</w:t>
      </w: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无效。</w:t>
      </w:r>
    </w:p>
    <w:p>
      <w:pPr>
        <w:pStyle w:val="2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 xml:space="preserve">. </w:t>
      </w:r>
      <w:r>
        <w:rPr>
          <w:rFonts w:hint="eastAsia" w:ascii="宋体" w:hAnsi="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zh-CN"/>
        </w:rPr>
        <w:t>响应文件</w:t>
      </w:r>
      <w:r>
        <w:rPr>
          <w:rFonts w:hint="eastAsia" w:ascii="宋体" w:hAnsi="宋体" w:eastAsia="宋体" w:cs="宋体"/>
          <w:color w:val="auto"/>
          <w:kern w:val="0"/>
          <w:sz w:val="24"/>
          <w:highlight w:val="none"/>
          <w:lang w:val="zh-CN"/>
        </w:rPr>
        <w:t>分为资格文件、商务技术文件、报价文件三部分。各</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在编制</w:t>
      </w:r>
      <w:r>
        <w:rPr>
          <w:rFonts w:hint="eastAsia" w:ascii="宋体" w:hAnsi="宋体" w:cs="宋体"/>
          <w:color w:val="auto"/>
          <w:kern w:val="0"/>
          <w:sz w:val="24"/>
          <w:highlight w:val="none"/>
          <w:lang w:val="zh-CN"/>
        </w:rPr>
        <w:t>响应文件</w:t>
      </w:r>
      <w:r>
        <w:rPr>
          <w:rFonts w:hint="eastAsia" w:ascii="宋体" w:hAnsi="宋体" w:eastAsia="宋体" w:cs="宋体"/>
          <w:color w:val="auto"/>
          <w:kern w:val="0"/>
          <w:sz w:val="24"/>
          <w:highlight w:val="none"/>
          <w:lang w:val="zh-CN"/>
        </w:rPr>
        <w:t>时请按照</w:t>
      </w:r>
      <w:r>
        <w:rPr>
          <w:rFonts w:hint="eastAsia" w:ascii="宋体" w:hAnsi="宋体" w:cs="宋体"/>
          <w:color w:val="auto"/>
          <w:kern w:val="0"/>
          <w:sz w:val="24"/>
          <w:highlight w:val="none"/>
          <w:lang w:val="zh-CN"/>
        </w:rPr>
        <w:t>交易文件</w:t>
      </w:r>
      <w:r>
        <w:rPr>
          <w:rFonts w:hint="eastAsia" w:ascii="宋体" w:hAnsi="宋体" w:eastAsia="宋体" w:cs="宋体"/>
          <w:color w:val="auto"/>
          <w:kern w:val="0"/>
          <w:sz w:val="24"/>
          <w:highlight w:val="none"/>
          <w:lang w:val="zh-CN"/>
        </w:rPr>
        <w:t>第</w:t>
      </w:r>
      <w:r>
        <w:rPr>
          <w:rFonts w:hint="eastAsia" w:ascii="宋体" w:hAnsi="宋体" w:cs="宋体"/>
          <w:color w:val="auto"/>
          <w:kern w:val="0"/>
          <w:sz w:val="24"/>
          <w:highlight w:val="none"/>
          <w:lang w:val="en-US" w:eastAsia="zh-CN"/>
        </w:rPr>
        <w:t>六</w:t>
      </w:r>
      <w:r>
        <w:rPr>
          <w:rFonts w:hint="eastAsia" w:ascii="宋体" w:hAnsi="宋体" w:eastAsia="宋体" w:cs="宋体"/>
          <w:color w:val="auto"/>
          <w:kern w:val="0"/>
          <w:sz w:val="24"/>
          <w:highlight w:val="none"/>
          <w:lang w:val="zh-CN"/>
        </w:rPr>
        <w:t>部分规定的格式进行，混乱的编排导致</w:t>
      </w:r>
      <w:r>
        <w:rPr>
          <w:rFonts w:hint="eastAsia" w:ascii="宋体" w:hAnsi="宋体" w:cs="宋体"/>
          <w:color w:val="auto"/>
          <w:kern w:val="0"/>
          <w:sz w:val="24"/>
          <w:highlight w:val="none"/>
          <w:lang w:val="zh-CN"/>
        </w:rPr>
        <w:t>响应文件</w:t>
      </w:r>
      <w:r>
        <w:rPr>
          <w:rFonts w:hint="eastAsia" w:ascii="宋体" w:hAnsi="宋体" w:eastAsia="宋体" w:cs="宋体"/>
          <w:color w:val="auto"/>
          <w:kern w:val="0"/>
          <w:sz w:val="24"/>
          <w:highlight w:val="none"/>
          <w:lang w:val="zh-CN"/>
        </w:rPr>
        <w:t>被误读或评标委员会查找不到有效文件是</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进行电子</w:t>
      </w:r>
      <w:r>
        <w:rPr>
          <w:rFonts w:hint="eastAsia" w:ascii="宋体" w:hAnsi="宋体" w:cs="宋体"/>
          <w:color w:val="auto"/>
          <w:kern w:val="0"/>
          <w:sz w:val="24"/>
          <w:highlight w:val="none"/>
          <w:lang w:val="zh-CN"/>
        </w:rPr>
        <w:t>交易（投标）</w:t>
      </w:r>
      <w:r>
        <w:rPr>
          <w:rFonts w:hint="eastAsia" w:ascii="宋体" w:hAnsi="宋体" w:eastAsia="宋体" w:cs="宋体"/>
          <w:color w:val="auto"/>
          <w:kern w:val="0"/>
          <w:sz w:val="24"/>
          <w:highlight w:val="none"/>
          <w:lang w:val="zh-CN"/>
        </w:rPr>
        <w:t>应安装客户端软件—“政采云电子交易客户端”，并按照</w:t>
      </w:r>
      <w:r>
        <w:rPr>
          <w:rFonts w:hint="eastAsia" w:ascii="宋体" w:hAnsi="宋体" w:cs="宋体"/>
          <w:color w:val="auto"/>
          <w:kern w:val="0"/>
          <w:sz w:val="24"/>
          <w:highlight w:val="none"/>
          <w:lang w:val="zh-CN"/>
        </w:rPr>
        <w:t>交易文件</w:t>
      </w:r>
      <w:r>
        <w:rPr>
          <w:rFonts w:hint="eastAsia" w:ascii="宋体" w:hAnsi="宋体" w:eastAsia="宋体" w:cs="宋体"/>
          <w:color w:val="auto"/>
          <w:kern w:val="0"/>
          <w:sz w:val="24"/>
          <w:highlight w:val="none"/>
          <w:lang w:val="zh-CN"/>
        </w:rPr>
        <w:t>和电子交易平台的要求编制并加密</w:t>
      </w:r>
      <w:r>
        <w:rPr>
          <w:rFonts w:hint="eastAsia" w:ascii="宋体" w:hAnsi="宋体" w:cs="宋体"/>
          <w:color w:val="auto"/>
          <w:kern w:val="0"/>
          <w:sz w:val="24"/>
          <w:highlight w:val="none"/>
          <w:lang w:val="zh-CN"/>
        </w:rPr>
        <w:t>响应文件</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未按规定加密的</w:t>
      </w:r>
      <w:r>
        <w:rPr>
          <w:rFonts w:hint="eastAsia" w:ascii="宋体" w:hAnsi="宋体" w:cs="宋体"/>
          <w:color w:val="auto"/>
          <w:kern w:val="0"/>
          <w:sz w:val="24"/>
          <w:highlight w:val="none"/>
          <w:lang w:val="zh-CN"/>
        </w:rPr>
        <w:t>响应文件</w:t>
      </w:r>
      <w:r>
        <w:rPr>
          <w:rFonts w:hint="eastAsia" w:ascii="宋体" w:hAnsi="宋体" w:eastAsia="宋体" w:cs="宋体"/>
          <w:color w:val="auto"/>
          <w:kern w:val="0"/>
          <w:sz w:val="24"/>
          <w:highlight w:val="none"/>
          <w:lang w:val="zh-CN"/>
        </w:rPr>
        <w:t>，电子交易平台将拒收并提示。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2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cs="宋体"/>
          <w:color w:val="auto"/>
          <w:szCs w:val="24"/>
          <w:highlight w:val="none"/>
          <w:lang w:eastAsia="zh-CN"/>
        </w:rPr>
        <w:t>交易文件</w:t>
      </w:r>
      <w:r>
        <w:rPr>
          <w:rFonts w:hint="eastAsia" w:ascii="宋体" w:hAnsi="宋体" w:eastAsia="宋体" w:cs="宋体"/>
          <w:color w:val="auto"/>
          <w:szCs w:val="24"/>
          <w:highlight w:val="none"/>
        </w:rPr>
        <w:t>第</w:t>
      </w:r>
      <w:r>
        <w:rPr>
          <w:rFonts w:hint="eastAsia" w:ascii="宋体" w:hAnsi="宋体" w:cs="宋体"/>
          <w:color w:val="auto"/>
          <w:szCs w:val="24"/>
          <w:highlight w:val="none"/>
          <w:lang w:val="en-US" w:eastAsia="zh-CN"/>
        </w:rPr>
        <w:t>六</w:t>
      </w:r>
      <w:r>
        <w:rPr>
          <w:rFonts w:hint="eastAsia" w:ascii="宋体" w:hAnsi="宋体" w:eastAsia="宋体" w:cs="宋体"/>
          <w:color w:val="auto"/>
          <w:szCs w:val="24"/>
          <w:highlight w:val="none"/>
        </w:rPr>
        <w:t>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cs="宋体"/>
          <w:b/>
          <w:color w:val="auto"/>
          <w:highlight w:val="none"/>
          <w:lang w:eastAsia="zh-CN"/>
        </w:rPr>
        <w:t>交易</w:t>
      </w:r>
      <w:r>
        <w:rPr>
          <w:rFonts w:hint="eastAsia" w:ascii="宋体" w:hAnsi="宋体" w:eastAsia="宋体" w:cs="宋体"/>
          <w:b/>
          <w:color w:val="auto"/>
          <w:highlight w:val="none"/>
        </w:rPr>
        <w:t>无效</w:t>
      </w:r>
      <w:r>
        <w:rPr>
          <w:rFonts w:hint="eastAsia" w:ascii="宋体" w:hAnsi="宋体" w:eastAsia="宋体" w:cs="宋体"/>
          <w:color w:val="auto"/>
          <w:szCs w:val="24"/>
          <w:highlight w:val="none"/>
        </w:rPr>
        <w:t>。</w:t>
      </w:r>
    </w:p>
    <w:p>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cs="宋体"/>
          <w:color w:val="auto"/>
          <w:highlight w:val="none"/>
          <w:lang w:eastAsia="zh-CN"/>
        </w:rPr>
        <w:t>供应商</w:t>
      </w:r>
      <w:r>
        <w:rPr>
          <w:rFonts w:hint="eastAsia" w:ascii="宋体" w:hAnsi="宋体" w:eastAsia="宋体" w:cs="宋体"/>
          <w:color w:val="auto"/>
          <w:highlight w:val="none"/>
        </w:rPr>
        <w:t>应当在</w:t>
      </w:r>
      <w:r>
        <w:rPr>
          <w:rFonts w:hint="eastAsia" w:ascii="宋体" w:hAnsi="宋体" w:cs="宋体"/>
          <w:color w:val="auto"/>
          <w:highlight w:val="none"/>
          <w:lang w:eastAsia="zh-CN"/>
        </w:rPr>
        <w:t>交易</w:t>
      </w:r>
      <w:r>
        <w:rPr>
          <w:rFonts w:hint="eastAsia" w:ascii="宋体" w:hAnsi="宋体" w:eastAsia="宋体" w:cs="宋体"/>
          <w:color w:val="auto"/>
          <w:highlight w:val="none"/>
        </w:rPr>
        <w:t>截止时间前完成在“政府采购云平台”的身份认证，</w:t>
      </w:r>
      <w:r>
        <w:rPr>
          <w:rFonts w:hint="eastAsia" w:ascii="宋体" w:hAnsi="宋体" w:cs="宋体"/>
          <w:color w:val="auto"/>
          <w:highlight w:val="none"/>
        </w:rPr>
        <w:t>确保在电子交易（投标）</w:t>
      </w:r>
      <w:r>
        <w:rPr>
          <w:rFonts w:hint="eastAsia" w:ascii="宋体" w:hAnsi="宋体" w:eastAsia="宋体" w:cs="宋体"/>
          <w:color w:val="auto"/>
          <w:highlight w:val="none"/>
        </w:rPr>
        <w:t>过程中能够对相关数据电文进行加密和使用电子签名。</w:t>
      </w:r>
    </w:p>
    <w:p>
      <w:pPr>
        <w:pStyle w:val="2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 xml:space="preserve">. </w:t>
      </w:r>
      <w:r>
        <w:rPr>
          <w:rFonts w:hint="eastAsia" w:ascii="宋体" w:hAnsi="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20"/>
        <w:spacing w:before="0"/>
        <w:ind w:firstLine="480"/>
        <w:rPr>
          <w:rFonts w:hint="eastAsia" w:ascii="宋体" w:hAnsi="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 xml:space="preserve">.1 </w:t>
      </w:r>
      <w:r>
        <w:rPr>
          <w:rFonts w:hint="eastAsia" w:ascii="宋体" w:hAnsi="宋体" w:cs="宋体"/>
          <w:color w:val="auto"/>
          <w:szCs w:val="24"/>
          <w:highlight w:val="none"/>
        </w:rPr>
        <w:t>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.2</w:t>
      </w:r>
      <w:r>
        <w:rPr>
          <w:rFonts w:hint="eastAsia" w:ascii="宋体" w:hAnsi="宋体" w:cs="宋体"/>
          <w:color w:val="auto"/>
          <w:szCs w:val="24"/>
          <w:highlight w:val="none"/>
        </w:rPr>
        <w:t>电子交易平台收到响应文件，将妥善保存并即时向供应商发出确认回执通知。在交易截止时间前，除供应商补充、修改或者撤回响应文件外，任何单位和个人不得解密或提取响应文件。</w:t>
      </w:r>
    </w:p>
    <w:p>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cs="宋体"/>
          <w:color w:val="auto"/>
          <w:szCs w:val="24"/>
          <w:highlight w:val="none"/>
        </w:rPr>
        <w:t>采购人、采购机构可以视情况延长响应文件提交的截止时间。在上述情况下，采购机构与供应商以前在交易截止期方面的全部权利、责任和义务，将适用于延长至新的交易截止期。</w:t>
      </w:r>
    </w:p>
    <w:p>
      <w:pPr>
        <w:pStyle w:val="10"/>
        <w:numPr>
          <w:ilvl w:val="0"/>
          <w:numId w:val="0"/>
        </w:numPr>
        <w:spacing w:line="360" w:lineRule="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备份</w:t>
      </w:r>
      <w:r>
        <w:rPr>
          <w:rFonts w:hint="eastAsia" w:hAnsi="宋体" w:cs="宋体"/>
          <w:b/>
          <w:color w:val="auto"/>
          <w:sz w:val="24"/>
          <w:szCs w:val="24"/>
          <w:highlight w:val="none"/>
          <w:lang w:eastAsia="zh-CN"/>
        </w:rPr>
        <w:t>响应文件</w:t>
      </w:r>
    </w:p>
    <w:p>
      <w:pPr>
        <w:pStyle w:val="10"/>
        <w:numPr>
          <w:ilvl w:val="0"/>
          <w:numId w:val="0"/>
        </w:numPr>
        <w:spacing w:line="360" w:lineRule="auto"/>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本项目不收取备份响应文件</w:t>
      </w:r>
    </w:p>
    <w:p>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9"/>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cs="宋体"/>
          <w:color w:val="auto"/>
          <w:szCs w:val="21"/>
          <w:highlight w:val="none"/>
          <w:lang w:eastAsia="zh-CN"/>
        </w:rPr>
        <w:t>交易</w:t>
      </w:r>
      <w:r>
        <w:rPr>
          <w:rFonts w:hint="eastAsia" w:ascii="宋体" w:hAnsi="宋体" w:eastAsia="宋体" w:cs="宋体"/>
          <w:color w:val="auto"/>
          <w:szCs w:val="21"/>
          <w:highlight w:val="none"/>
        </w:rPr>
        <w:t>无效：</w:t>
      </w:r>
    </w:p>
    <w:p>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cs="宋体"/>
          <w:b/>
          <w:color w:val="auto"/>
          <w:szCs w:val="24"/>
          <w:highlight w:val="none"/>
          <w:lang w:eastAsia="zh-CN"/>
        </w:rPr>
        <w:t>交易</w:t>
      </w:r>
      <w:r>
        <w:rPr>
          <w:rFonts w:hint="eastAsia" w:ascii="宋体" w:hAnsi="宋体" w:eastAsia="宋体" w:cs="宋体"/>
          <w:b/>
          <w:color w:val="auto"/>
          <w:szCs w:val="24"/>
          <w:highlight w:val="none"/>
        </w:rPr>
        <w:t>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cs="宋体"/>
          <w:color w:val="auto"/>
          <w:sz w:val="24"/>
          <w:szCs w:val="20"/>
          <w:highlight w:val="none"/>
          <w:lang w:eastAsia="zh-CN"/>
        </w:rPr>
        <w:t>交易</w:t>
      </w:r>
      <w:r>
        <w:rPr>
          <w:rFonts w:hint="eastAsia" w:ascii="宋体" w:hAnsi="宋体" w:eastAsia="宋体" w:cs="宋体"/>
          <w:color w:val="auto"/>
          <w:sz w:val="24"/>
          <w:szCs w:val="20"/>
          <w:highlight w:val="none"/>
        </w:rPr>
        <w:t>有效期为从提交</w:t>
      </w:r>
      <w:r>
        <w:rPr>
          <w:rFonts w:hint="eastAsia" w:ascii="宋体" w:hAnsi="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cs="宋体"/>
          <w:b/>
          <w:color w:val="auto"/>
          <w:sz w:val="24"/>
          <w:szCs w:val="21"/>
          <w:highlight w:val="none"/>
          <w:lang w:eastAsia="zh-CN"/>
        </w:rPr>
        <w:t>交易</w:t>
      </w:r>
      <w:r>
        <w:rPr>
          <w:rFonts w:hint="eastAsia" w:ascii="宋体" w:hAnsi="宋体" w:eastAsia="宋体" w:cs="宋体"/>
          <w:b/>
          <w:color w:val="auto"/>
          <w:sz w:val="24"/>
          <w:szCs w:val="21"/>
          <w:highlight w:val="none"/>
        </w:rPr>
        <w:t>有效期少于</w:t>
      </w:r>
      <w:r>
        <w:rPr>
          <w:rFonts w:hint="eastAsia" w:ascii="宋体" w:hAnsi="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cs="宋体"/>
          <w:b/>
          <w:color w:val="auto"/>
          <w:sz w:val="24"/>
          <w:szCs w:val="21"/>
          <w:highlight w:val="none"/>
          <w:lang w:eastAsia="zh-CN"/>
        </w:rPr>
        <w:t>交易</w:t>
      </w:r>
      <w:r>
        <w:rPr>
          <w:rFonts w:hint="eastAsia" w:ascii="宋体" w:hAnsi="宋体" w:eastAsia="宋体" w:cs="宋体"/>
          <w:b/>
          <w:color w:val="auto"/>
          <w:sz w:val="24"/>
          <w:szCs w:val="21"/>
          <w:highlight w:val="none"/>
        </w:rPr>
        <w:t>有效期的，</w:t>
      </w:r>
      <w:r>
        <w:rPr>
          <w:rFonts w:hint="eastAsia" w:ascii="宋体" w:hAnsi="宋体" w:cs="宋体"/>
          <w:b/>
          <w:color w:val="auto"/>
          <w:sz w:val="24"/>
          <w:szCs w:val="21"/>
          <w:highlight w:val="none"/>
          <w:lang w:eastAsia="zh-CN"/>
        </w:rPr>
        <w:t>交易</w:t>
      </w:r>
      <w:r>
        <w:rPr>
          <w:rFonts w:hint="eastAsia" w:ascii="宋体" w:hAnsi="宋体" w:eastAsia="宋体" w:cs="宋体"/>
          <w:b/>
          <w:color w:val="auto"/>
          <w:sz w:val="24"/>
          <w:szCs w:val="21"/>
          <w:highlight w:val="none"/>
        </w:rPr>
        <w:t>无效。</w:t>
      </w:r>
    </w:p>
    <w:p>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cs="宋体"/>
          <w:color w:val="auto"/>
          <w:highlight w:val="none"/>
          <w:lang w:eastAsia="zh-CN"/>
        </w:rPr>
        <w:t>响应文件</w:t>
      </w:r>
      <w:r>
        <w:rPr>
          <w:rFonts w:hint="eastAsia" w:ascii="宋体" w:hAnsi="宋体" w:eastAsia="宋体" w:cs="宋体"/>
          <w:color w:val="auto"/>
          <w:highlight w:val="none"/>
        </w:rPr>
        <w:t>合格投递后，自</w:t>
      </w:r>
      <w:r>
        <w:rPr>
          <w:rFonts w:hint="eastAsia" w:ascii="宋体" w:hAnsi="宋体" w:cs="宋体"/>
          <w:color w:val="auto"/>
          <w:highlight w:val="none"/>
          <w:lang w:eastAsia="zh-CN"/>
        </w:rPr>
        <w:t>交易</w:t>
      </w:r>
      <w:r>
        <w:rPr>
          <w:rFonts w:hint="eastAsia" w:ascii="宋体" w:hAnsi="宋体" w:eastAsia="宋体" w:cs="宋体"/>
          <w:color w:val="auto"/>
          <w:highlight w:val="none"/>
        </w:rPr>
        <w:t>截止日期起，在</w:t>
      </w:r>
      <w:r>
        <w:rPr>
          <w:rFonts w:hint="eastAsia" w:ascii="宋体" w:hAnsi="宋体" w:cs="宋体"/>
          <w:color w:val="auto"/>
          <w:highlight w:val="none"/>
          <w:lang w:eastAsia="zh-CN"/>
        </w:rPr>
        <w:t>交易</w:t>
      </w:r>
      <w:r>
        <w:rPr>
          <w:rFonts w:hint="eastAsia" w:ascii="宋体" w:hAnsi="宋体" w:eastAsia="宋体" w:cs="宋体"/>
          <w:color w:val="auto"/>
          <w:highlight w:val="none"/>
        </w:rPr>
        <w:t>有效期内有效。</w:t>
      </w:r>
    </w:p>
    <w:p>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cs="宋体"/>
          <w:color w:val="auto"/>
          <w:highlight w:val="none"/>
          <w:lang w:eastAsia="zh-CN"/>
        </w:rPr>
        <w:t>交易</w:t>
      </w:r>
      <w:r>
        <w:rPr>
          <w:rFonts w:hint="eastAsia" w:ascii="宋体" w:hAnsi="宋体" w:eastAsia="宋体" w:cs="宋体"/>
          <w:color w:val="auto"/>
          <w:highlight w:val="none"/>
        </w:rPr>
        <w:t>有效期满之前，如果出现特殊情况，采购机构可以以书面形式通知</w:t>
      </w:r>
      <w:r>
        <w:rPr>
          <w:rFonts w:hint="eastAsia" w:ascii="宋体" w:hAnsi="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cs="宋体"/>
          <w:color w:val="auto"/>
          <w:highlight w:val="none"/>
          <w:lang w:eastAsia="zh-CN"/>
        </w:rPr>
        <w:t>交易</w:t>
      </w:r>
      <w:r>
        <w:rPr>
          <w:rFonts w:hint="eastAsia" w:ascii="宋体" w:hAnsi="宋体" w:eastAsia="宋体" w:cs="宋体"/>
          <w:color w:val="auto"/>
          <w:highlight w:val="none"/>
        </w:rPr>
        <w:t>有效期。</w:t>
      </w:r>
      <w:r>
        <w:rPr>
          <w:rFonts w:hint="eastAsia" w:ascii="宋体" w:hAnsi="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cs="宋体"/>
          <w:color w:val="auto"/>
          <w:highlight w:val="none"/>
          <w:lang w:eastAsia="zh-CN"/>
        </w:rPr>
        <w:t>交易</w:t>
      </w:r>
      <w:r>
        <w:rPr>
          <w:rFonts w:hint="eastAsia" w:ascii="宋体" w:hAnsi="宋体" w:eastAsia="宋体" w:cs="宋体"/>
          <w:color w:val="auto"/>
          <w:highlight w:val="none"/>
        </w:rPr>
        <w:t>无效。</w:t>
      </w:r>
    </w:p>
    <w:p>
      <w:pPr>
        <w:pStyle w:val="20"/>
        <w:spacing w:before="0"/>
        <w:ind w:firstLine="643"/>
        <w:rPr>
          <w:rFonts w:hint="eastAsia" w:ascii="宋体" w:hAnsi="宋体" w:eastAsia="宋体" w:cs="宋体"/>
          <w:b/>
          <w:color w:val="auto"/>
          <w:sz w:val="32"/>
          <w:highlight w:val="none"/>
        </w:rPr>
      </w:pPr>
    </w:p>
    <w:p>
      <w:pPr>
        <w:pStyle w:val="20"/>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21"/>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交易</w:t>
      </w:r>
      <w:r>
        <w:rPr>
          <w:rFonts w:hint="eastAsia" w:ascii="宋体" w:hAnsi="宋体" w:eastAsia="宋体" w:cs="宋体"/>
          <w:color w:val="auto"/>
          <w:sz w:val="24"/>
          <w:highlight w:val="none"/>
        </w:rPr>
        <w:t xml:space="preserve"> </w:t>
      </w:r>
    </w:p>
    <w:p>
      <w:pPr>
        <w:pStyle w:val="21"/>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.1采购机构按照</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规定的时间通过电子交易平台组织开标，所有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不足</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家的，不得</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w:t>
      </w:r>
    </w:p>
    <w:p>
      <w:pPr>
        <w:pStyle w:val="21"/>
        <w:spacing w:before="0" w:line="360" w:lineRule="auto"/>
        <w:ind w:left="0" w:firstLine="240" w:firstLineChars="100"/>
        <w:contextualSpacing/>
        <w:rPr>
          <w:rFonts w:ascii="宋体" w:hAnsi="宋体" w:cs="宋体"/>
          <w:color w:val="auto"/>
          <w:sz w:val="24"/>
          <w:highlight w:val="none"/>
        </w:rPr>
      </w:pPr>
      <w:r>
        <w:rPr>
          <w:rFonts w:hint="eastAsia" w:ascii="宋体" w:hAnsi="宋体" w:eastAsia="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.2</w:t>
      </w:r>
      <w:r>
        <w:rPr>
          <w:rFonts w:hint="eastAsia" w:ascii="宋体" w:hAnsi="宋体" w:cs="宋体"/>
          <w:color w:val="auto"/>
          <w:sz w:val="24"/>
          <w:highlight w:val="none"/>
        </w:rPr>
        <w:t>交易时，电子交易平台按交易时间自动提取所有响应文件。采购机构依托电子交易平台发起开始解密指令，供应商按照平台提示和交易文件的规定在半小时内完成在线解密。</w:t>
      </w:r>
    </w:p>
    <w:p>
      <w:pPr>
        <w:pStyle w:val="21"/>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.2</w:t>
      </w:r>
      <w:r>
        <w:rPr>
          <w:rFonts w:hint="eastAsia" w:ascii="宋体" w:hAnsi="宋体" w:cs="宋体"/>
          <w:color w:val="auto"/>
          <w:sz w:val="24"/>
          <w:highlight w:val="none"/>
        </w:rPr>
        <w:t>采购人或采购机构依据法律法规和交易文件的规定，对供应商的基本资格条件、特定资格条件进行审查。</w:t>
      </w:r>
    </w:p>
    <w:p>
      <w:pPr>
        <w:pStyle w:val="20"/>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pPr>
        <w:pStyle w:val="20"/>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4对未通过资格审查的供应商，采购人或采购机构告知其未通过的原因。</w:t>
      </w:r>
    </w:p>
    <w:p>
      <w:pPr>
        <w:pStyle w:val="20"/>
        <w:spacing w:before="0"/>
        <w:ind w:firstLine="480"/>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5合格供应商不足</w:t>
      </w:r>
      <w:r>
        <w:rPr>
          <w:rFonts w:hint="eastAsia" w:ascii="宋体" w:hAnsi="宋体" w:cs="宋体"/>
          <w:color w:val="auto"/>
          <w:highlight w:val="none"/>
          <w:lang w:val="en-US" w:eastAsia="zh-CN"/>
        </w:rPr>
        <w:t>3</w:t>
      </w:r>
      <w:r>
        <w:rPr>
          <w:rFonts w:hint="eastAsia" w:ascii="宋体" w:hAnsi="宋体" w:cs="宋体"/>
          <w:color w:val="auto"/>
          <w:highlight w:val="none"/>
        </w:rPr>
        <w:t>家的，不再评标。</w:t>
      </w: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6" w:name="_Toc91899903"/>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w:t>
      </w:r>
      <w:r>
        <w:rPr>
          <w:rFonts w:hint="eastAsia" w:ascii="宋体" w:hAnsi="宋体" w:cs="宋体"/>
          <w:color w:val="auto"/>
          <w:sz w:val="24"/>
          <w:highlight w:val="none"/>
          <w:lang w:eastAsia="zh-CN"/>
        </w:rPr>
        <w:t>审</w:t>
      </w:r>
      <w:r>
        <w:rPr>
          <w:rFonts w:hint="eastAsia" w:ascii="宋体" w:hAnsi="宋体" w:eastAsia="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r>
        <w:rPr>
          <w:rFonts w:hint="eastAsia" w:ascii="宋体" w:hAnsi="宋体" w:eastAsia="宋体" w:cs="宋体"/>
          <w:b/>
          <w:color w:val="auto"/>
          <w:sz w:val="24"/>
          <w:highlight w:val="none"/>
        </w:rPr>
        <w:t>详见</w:t>
      </w:r>
      <w:r>
        <w:rPr>
          <w:rFonts w:hint="eastAsia" w:ascii="宋体" w:hAnsi="宋体" w:cs="宋体"/>
          <w:b/>
          <w:color w:val="auto"/>
          <w:sz w:val="24"/>
          <w:highlight w:val="none"/>
          <w:lang w:eastAsia="zh-CN"/>
        </w:rPr>
        <w:t>交易文件</w:t>
      </w:r>
      <w:r>
        <w:rPr>
          <w:rFonts w:hint="eastAsia" w:ascii="宋体" w:hAnsi="宋体" w:eastAsia="宋体" w:cs="宋体"/>
          <w:b/>
          <w:color w:val="auto"/>
          <w:sz w:val="24"/>
          <w:highlight w:val="none"/>
        </w:rPr>
        <w:t>第四部分评标办法。</w:t>
      </w:r>
    </w:p>
    <w:p>
      <w:pPr>
        <w:pStyle w:val="2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2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hint="eastAsia" w:ascii="宋体" w:hAnsi="宋体" w:eastAsia="宋体" w:cs="宋体"/>
          <w:b/>
          <w:color w:val="auto"/>
          <w:sz w:val="36"/>
          <w:szCs w:val="36"/>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9"/>
        <w:spacing w:line="360" w:lineRule="auto"/>
        <w:ind w:left="479" w:hanging="479" w:hangingChars="199"/>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cs="宋体"/>
          <w:b/>
          <w:color w:val="auto"/>
          <w:highlight w:val="none"/>
          <w:lang w:val="en-US" w:eastAsia="zh-CN"/>
        </w:rPr>
        <w:t>1</w:t>
      </w:r>
      <w:r>
        <w:rPr>
          <w:rFonts w:hint="eastAsia" w:ascii="宋体" w:hAnsi="宋体" w:eastAsia="宋体" w:cs="宋体"/>
          <w:b/>
          <w:color w:val="auto"/>
          <w:highlight w:val="none"/>
        </w:rPr>
        <w:t>. 确定</w:t>
      </w:r>
      <w:r>
        <w:rPr>
          <w:rFonts w:hint="eastAsia" w:cs="宋体"/>
          <w:b/>
          <w:color w:val="auto"/>
          <w:highlight w:val="none"/>
          <w:lang w:eastAsia="zh-CN"/>
        </w:rPr>
        <w:t>成交人</w:t>
      </w:r>
    </w:p>
    <w:p>
      <w:pPr>
        <w:pStyle w:val="20"/>
        <w:snapToGrid w:val="0"/>
        <w:spacing w:before="0"/>
        <w:ind w:firstLine="480"/>
        <w:rPr>
          <w:rFonts w:hint="eastAsia" w:ascii="宋体" w:hAnsi="宋体" w:eastAsia="宋体" w:cs="宋体"/>
          <w:b/>
          <w:color w:val="auto"/>
          <w:szCs w:val="24"/>
          <w:highlight w:val="none"/>
        </w:rPr>
      </w:pPr>
      <w:r>
        <w:rPr>
          <w:rFonts w:hint="eastAsia" w:ascii="宋体" w:hAnsi="宋体" w:cs="宋体"/>
          <w:color w:val="auto"/>
          <w:szCs w:val="24"/>
          <w:highlight w:val="none"/>
          <w:lang w:eastAsia="zh-CN"/>
        </w:rPr>
        <w:t>采购</w:t>
      </w:r>
      <w:r>
        <w:rPr>
          <w:rFonts w:hint="eastAsia" w:ascii="宋体" w:hAnsi="宋体" w:eastAsia="宋体" w:cs="宋体"/>
          <w:color w:val="auto"/>
          <w:szCs w:val="24"/>
          <w:highlight w:val="none"/>
        </w:rPr>
        <w:t>人应当确定排名第一的成交候选人为成交</w:t>
      </w:r>
      <w:r>
        <w:rPr>
          <w:rFonts w:hint="eastAsia" w:ascii="宋体" w:hAnsi="宋体" w:cs="宋体"/>
          <w:color w:val="auto"/>
          <w:szCs w:val="24"/>
          <w:highlight w:val="none"/>
          <w:lang w:eastAsia="zh-CN"/>
        </w:rPr>
        <w:t>人</w:t>
      </w:r>
      <w:r>
        <w:rPr>
          <w:rFonts w:hint="eastAsia" w:ascii="宋体" w:hAnsi="宋体" w:eastAsia="宋体" w:cs="宋体"/>
          <w:color w:val="auto"/>
          <w:szCs w:val="24"/>
          <w:highlight w:val="none"/>
        </w:rPr>
        <w:t>，成交候选人因放弃成交结果，因不可抗力不能履行合同，或者被查实存在影响成交结果的违法行为等情况，不符合成交条件的，</w:t>
      </w:r>
      <w:r>
        <w:rPr>
          <w:rFonts w:hint="eastAsia" w:ascii="宋体" w:hAnsi="宋体" w:cs="宋体"/>
          <w:color w:val="auto"/>
          <w:szCs w:val="24"/>
          <w:highlight w:val="none"/>
          <w:lang w:eastAsia="zh-CN"/>
        </w:rPr>
        <w:t>采购</w:t>
      </w:r>
      <w:r>
        <w:rPr>
          <w:rFonts w:hint="eastAsia" w:ascii="宋体" w:hAnsi="宋体" w:eastAsia="宋体" w:cs="宋体"/>
          <w:color w:val="auto"/>
          <w:szCs w:val="24"/>
          <w:highlight w:val="none"/>
        </w:rPr>
        <w:t>人应当重新组织</w:t>
      </w:r>
      <w:r>
        <w:rPr>
          <w:rFonts w:hint="eastAsia" w:ascii="宋体" w:hAnsi="宋体" w:cs="宋体"/>
          <w:color w:val="auto"/>
          <w:szCs w:val="24"/>
          <w:highlight w:val="none"/>
          <w:lang w:eastAsia="zh-CN"/>
        </w:rPr>
        <w:t>交易</w:t>
      </w:r>
      <w:r>
        <w:rPr>
          <w:rFonts w:hint="eastAsia" w:ascii="宋体" w:hAnsi="宋体" w:eastAsia="宋体" w:cs="宋体"/>
          <w:color w:val="auto"/>
          <w:szCs w:val="24"/>
          <w:highlight w:val="none"/>
        </w:rPr>
        <w:t>。</w:t>
      </w:r>
    </w:p>
    <w:p>
      <w:pPr>
        <w:pStyle w:val="2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eastAsia="宋体" w:cs="宋体"/>
          <w:b/>
          <w:color w:val="auto"/>
          <w:szCs w:val="24"/>
          <w:highlight w:val="none"/>
        </w:rPr>
        <w:t xml:space="preserve">. </w:t>
      </w:r>
      <w:r>
        <w:rPr>
          <w:rFonts w:hint="eastAsia" w:ascii="宋体" w:hAnsi="宋体" w:eastAsia="宋体" w:cs="宋体"/>
          <w:b/>
          <w:color w:val="auto"/>
          <w:szCs w:val="24"/>
          <w:highlight w:val="none"/>
          <w:lang w:eastAsia="zh-CN"/>
        </w:rPr>
        <w:t>成交</w:t>
      </w:r>
      <w:r>
        <w:rPr>
          <w:rFonts w:hint="eastAsia" w:ascii="宋体" w:hAnsi="宋体" w:eastAsia="宋体" w:cs="宋体"/>
          <w:b/>
          <w:color w:val="auto"/>
          <w:szCs w:val="24"/>
          <w:highlight w:val="none"/>
        </w:rPr>
        <w:t>通知与</w:t>
      </w:r>
      <w:r>
        <w:rPr>
          <w:rFonts w:hint="eastAsia" w:ascii="宋体" w:hAnsi="宋体" w:eastAsia="宋体" w:cs="宋体"/>
          <w:b/>
          <w:color w:val="auto"/>
          <w:szCs w:val="24"/>
          <w:highlight w:val="none"/>
          <w:lang w:eastAsia="zh-CN"/>
        </w:rPr>
        <w:t>成交</w:t>
      </w:r>
      <w:r>
        <w:rPr>
          <w:rFonts w:hint="eastAsia" w:ascii="宋体" w:hAnsi="宋体" w:eastAsia="宋体" w:cs="宋体"/>
          <w:b/>
          <w:color w:val="auto"/>
          <w:szCs w:val="24"/>
          <w:highlight w:val="none"/>
        </w:rPr>
        <w:t>结果公告</w:t>
      </w:r>
    </w:p>
    <w:p>
      <w:pPr>
        <w:pStyle w:val="20"/>
        <w:spacing w:before="0"/>
        <w:ind w:firstLine="480"/>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22.1自成交人确定之日起2个工作日内，采购机构通过电子交易平台向成交人发出成交通知书，同时编制发布采购结果公告。采购机构也可以以纸质形式进行成交通知。</w:t>
      </w:r>
    </w:p>
    <w:p>
      <w:pPr>
        <w:pStyle w:val="20"/>
        <w:spacing w:before="0"/>
        <w:ind w:firstLine="480"/>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22.2成交结果公告内容包括采购人及其委托的采购机构的名称、地址、联系方式，项目名称和项目编号，成交人名称、地址和成交金额。</w:t>
      </w:r>
    </w:p>
    <w:p>
      <w:pPr>
        <w:pStyle w:val="20"/>
        <w:spacing w:before="0"/>
        <w:ind w:firstLine="480"/>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22.3公告期限为1个工作日。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七、合同授予</w:t>
      </w:r>
    </w:p>
    <w:p>
      <w:pPr>
        <w:pStyle w:val="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3</w:t>
      </w:r>
      <w:r>
        <w:rPr>
          <w:rFonts w:hint="eastAsia" w:ascii="宋体" w:hAnsi="宋体" w:eastAsia="宋体" w:cs="宋体"/>
          <w:b/>
          <w:color w:val="auto"/>
          <w:highlight w:val="none"/>
        </w:rPr>
        <w:t>. 合同的签订</w:t>
      </w:r>
    </w:p>
    <w:p>
      <w:pPr>
        <w:pStyle w:val="20"/>
        <w:spacing w:before="0"/>
        <w:ind w:firstLine="480"/>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.1 采购人与成交人应当通过电子交易平台在成交通知书发出之日起三十日内，按照交易文件确定的事项签订采购合同。</w:t>
      </w:r>
      <w:r>
        <w:rPr>
          <w:rFonts w:hint="eastAsia" w:ascii="宋体" w:hAnsi="宋体" w:cs="宋体"/>
          <w:color w:val="auto"/>
          <w:kern w:val="0"/>
          <w:szCs w:val="24"/>
          <w:highlight w:val="none"/>
          <w:lang w:val="en-US" w:eastAsia="zh-CN"/>
        </w:rPr>
        <w:t xml:space="preserve"> </w:t>
      </w:r>
    </w:p>
    <w:p>
      <w:pPr>
        <w:pStyle w:val="2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lang w:val="zh-CN"/>
        </w:rPr>
        <w:t>2</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2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.3如签订合同并生效后，供应商无故拒绝或延期，除按照合同条款处理外，列入不良行为记录一次，并给予通报。</w:t>
      </w:r>
    </w:p>
    <w:p>
      <w:pPr>
        <w:pStyle w:val="20"/>
        <w:snapToGrid w:val="0"/>
        <w:spacing w:before="0"/>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cs="宋体"/>
          <w:color w:val="auto"/>
          <w:highlight w:val="none"/>
        </w:rPr>
        <w:t>成交</w:t>
      </w:r>
      <w:r>
        <w:rPr>
          <w:rFonts w:hint="eastAsia" w:ascii="宋体" w:hAnsi="宋体" w:eastAsia="宋体" w:cs="宋体"/>
          <w:color w:val="auto"/>
          <w:kern w:val="0"/>
          <w:sz w:val="24"/>
          <w:szCs w:val="24"/>
          <w:highlight w:val="none"/>
          <w:lang w:val="en-US" w:eastAsia="zh-CN" w:bidi="ar-SA"/>
        </w:rPr>
        <w:t>供应商拒绝与采购人签订合同的，采购人可以按照评审报告推荐的成交或者成交候选人名单排序，确定下一候选人为成交供应商，也可以重新开展采购活动。</w:t>
      </w:r>
    </w:p>
    <w:p>
      <w:pPr>
        <w:pStyle w:val="20"/>
        <w:snapToGrid w:val="0"/>
        <w:spacing w:before="0" w:after="120"/>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.5采购合同由采购人与成交供应商根据交易文件、响应文件等内容通过采购电子交易平台在线签订，自动备案。</w:t>
      </w:r>
    </w:p>
    <w:p>
      <w:pPr>
        <w:pStyle w:val="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4</w:t>
      </w:r>
      <w:r>
        <w:rPr>
          <w:rFonts w:hint="eastAsia" w:ascii="宋体" w:hAnsi="宋体" w:eastAsia="宋体" w:cs="宋体"/>
          <w:b/>
          <w:color w:val="auto"/>
          <w:highlight w:val="none"/>
        </w:rPr>
        <w:t>. 履约保证金</w:t>
      </w:r>
    </w:p>
    <w:p>
      <w:pPr>
        <w:tabs>
          <w:tab w:val="left" w:pos="0"/>
        </w:tabs>
        <w:spacing w:line="360" w:lineRule="auto"/>
        <w:ind w:firstLine="482"/>
        <w:rPr>
          <w:rFonts w:hint="eastAsia" w:ascii="宋体" w:hAnsi="宋体" w:cs="宋体"/>
          <w:b w:val="0"/>
          <w:bCs w:val="0"/>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w:t>
      </w:r>
      <w:r>
        <w:rPr>
          <w:rFonts w:hint="eastAsia" w:ascii="宋体" w:hAnsi="宋体" w:cs="宋体"/>
          <w:b w:val="0"/>
          <w:bCs w:val="0"/>
          <w:color w:val="auto"/>
          <w:sz w:val="24"/>
          <w:highlight w:val="none"/>
        </w:rPr>
        <w:t>采购合同金额的</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%。鼓励和支持供应商以银行、保险公司出具的保函形式提供履约保证金。采购人不得拒收履约保函，项目验收结束后应及时退还。</w:t>
      </w:r>
    </w:p>
    <w:p>
      <w:pPr>
        <w:pStyle w:val="14"/>
        <w:rPr>
          <w:rFonts w:hint="eastAsia"/>
          <w:color w:val="auto"/>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2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 w:val="0"/>
          <w:bCs/>
          <w:color w:val="auto"/>
          <w:szCs w:val="24"/>
          <w:highlight w:val="none"/>
          <w:lang w:val="en-US" w:eastAsia="zh-CN"/>
        </w:rPr>
        <w:t>5</w:t>
      </w:r>
      <w:r>
        <w:rPr>
          <w:rFonts w:hint="eastAsia" w:ascii="宋体" w:hAnsi="宋体" w:eastAsia="宋体" w:cs="宋体"/>
          <w:b w:val="0"/>
          <w:bCs/>
          <w:color w:val="auto"/>
          <w:szCs w:val="24"/>
          <w:highlight w:val="none"/>
        </w:rPr>
        <w:t>.</w:t>
      </w:r>
      <w:r>
        <w:rPr>
          <w:rFonts w:hint="eastAsia" w:ascii="宋体" w:hAnsi="宋体" w:eastAsia="宋体" w:cs="宋体"/>
          <w:b/>
          <w:color w:val="auto"/>
          <w:szCs w:val="24"/>
          <w:highlight w:val="none"/>
        </w:rPr>
        <w:t xml:space="preserve"> </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2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9"/>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7</w:t>
      </w:r>
      <w:r>
        <w:rPr>
          <w:rFonts w:hint="eastAsia" w:ascii="宋体" w:hAnsi="宋体" w:eastAsia="宋体" w:cs="宋体"/>
          <w:b/>
          <w:color w:val="auto"/>
          <w:highlight w:val="none"/>
        </w:rPr>
        <w:t>.验收</w:t>
      </w:r>
    </w:p>
    <w:p>
      <w:pPr>
        <w:tabs>
          <w:tab w:val="left" w:pos="0"/>
        </w:tabs>
        <w:spacing w:line="360" w:lineRule="auto"/>
        <w:ind w:firstLine="480"/>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.1采购人应当组织对供应商履约的验收。</w:t>
      </w:r>
      <w:bookmarkEnd w:id="14"/>
      <w:bookmarkEnd w:id="15"/>
      <w:bookmarkEnd w:id="16"/>
      <w:bookmarkStart w:id="17" w:name="第四部分"/>
    </w:p>
    <w:p>
      <w:pPr>
        <w:spacing w:line="360" w:lineRule="auto"/>
        <w:jc w:val="center"/>
        <w:outlineLvl w:val="0"/>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pPr>
        <w:spacing w:line="360" w:lineRule="auto"/>
        <w:jc w:val="center"/>
        <w:rPr>
          <w:rFonts w:ascii="宋体"/>
          <w:b/>
          <w:color w:val="auto"/>
          <w:sz w:val="24"/>
          <w:highlight w:val="none"/>
        </w:rPr>
      </w:pPr>
      <w:r>
        <w:rPr>
          <w:rFonts w:hint="eastAsia" w:ascii="宋体" w:hAnsi="宋体"/>
          <w:b/>
          <w:color w:val="auto"/>
          <w:sz w:val="24"/>
          <w:highlight w:val="none"/>
        </w:rPr>
        <w:t>一、</w:t>
      </w:r>
      <w:r>
        <w:rPr>
          <w:rFonts w:hint="eastAsia" w:ascii="宋体" w:hAnsi="宋体"/>
          <w:b/>
          <w:color w:val="auto"/>
          <w:sz w:val="24"/>
          <w:highlight w:val="none"/>
          <w:lang w:eastAsia="zh-CN"/>
        </w:rPr>
        <w:t>交易</w:t>
      </w:r>
      <w:r>
        <w:rPr>
          <w:rFonts w:hint="eastAsia" w:ascii="宋体" w:hAnsi="宋体"/>
          <w:b/>
          <w:color w:val="auto"/>
          <w:sz w:val="24"/>
          <w:highlight w:val="none"/>
        </w:rPr>
        <w:t>一览表</w:t>
      </w:r>
    </w:p>
    <w:tbl>
      <w:tblPr>
        <w:tblStyle w:val="16"/>
        <w:tblW w:w="482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8"/>
        <w:gridCol w:w="2150"/>
        <w:gridCol w:w="1397"/>
        <w:gridCol w:w="3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54" w:after="54" w:line="360" w:lineRule="auto"/>
              <w:ind w:right="54"/>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标项内容</w:t>
            </w:r>
          </w:p>
        </w:tc>
        <w:tc>
          <w:tcPr>
            <w:tcW w:w="779" w:type="pct"/>
            <w:tcBorders>
              <w:top w:val="single" w:color="auto" w:sz="4" w:space="0"/>
              <w:left w:val="single" w:color="auto" w:sz="4" w:space="0"/>
              <w:bottom w:val="single" w:color="auto" w:sz="4" w:space="0"/>
              <w:right w:val="single" w:color="auto" w:sz="4" w:space="0"/>
            </w:tcBorders>
            <w:noWrap w:val="0"/>
            <w:vAlign w:val="center"/>
          </w:tcPr>
          <w:p>
            <w:pPr>
              <w:widowControl/>
              <w:spacing w:before="54" w:after="54" w:line="360" w:lineRule="auto"/>
              <w:ind w:right="54"/>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预算金额</w:t>
            </w:r>
          </w:p>
          <w:p>
            <w:pPr>
              <w:widowControl/>
              <w:spacing w:before="54" w:after="54" w:line="360" w:lineRule="auto"/>
              <w:ind w:right="54"/>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（万元）</w:t>
            </w:r>
          </w:p>
        </w:tc>
        <w:tc>
          <w:tcPr>
            <w:tcW w:w="1773" w:type="pct"/>
            <w:tcBorders>
              <w:top w:val="single" w:color="auto" w:sz="4" w:space="0"/>
              <w:left w:val="single" w:color="auto" w:sz="4" w:space="0"/>
              <w:bottom w:val="single" w:color="auto" w:sz="4" w:space="0"/>
            </w:tcBorders>
            <w:noWrap w:val="0"/>
            <w:vAlign w:val="center"/>
          </w:tcPr>
          <w:p>
            <w:pPr>
              <w:widowControl/>
              <w:spacing w:before="54" w:after="54" w:line="360" w:lineRule="auto"/>
              <w:ind w:left="54" w:right="54"/>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248" w:type="pct"/>
            <w:vMerge w:val="restart"/>
            <w:tcBorders>
              <w:top w:val="single" w:color="auto" w:sz="4" w:space="0"/>
              <w:left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kern w:val="0"/>
                <w:szCs w:val="21"/>
                <w:highlight w:val="none"/>
              </w:rPr>
              <w:t>杭州萧山交投公路养护服务有限公司</w:t>
            </w:r>
            <w:r>
              <w:rPr>
                <w:rFonts w:hint="eastAsia" w:asciiTheme="minorEastAsia" w:hAnsiTheme="minorEastAsia" w:eastAsiaTheme="minorEastAsia" w:cstheme="minorEastAsia"/>
                <w:b/>
                <w:bCs/>
                <w:color w:val="auto"/>
                <w:kern w:val="0"/>
                <w:szCs w:val="21"/>
                <w:highlight w:val="none"/>
                <w:lang w:eastAsia="zh-CN"/>
              </w:rPr>
              <w:t>202</w:t>
            </w:r>
            <w:r>
              <w:rPr>
                <w:rFonts w:hint="eastAsia" w:asciiTheme="minorEastAsia" w:hAnsiTheme="minorEastAsia" w:eastAsiaTheme="minorEastAsia" w:cstheme="minorEastAsia"/>
                <w:b/>
                <w:bCs/>
                <w:color w:val="auto"/>
                <w:kern w:val="0"/>
                <w:szCs w:val="21"/>
                <w:highlight w:val="none"/>
                <w:lang w:val="en-US" w:eastAsia="zh-CN"/>
              </w:rPr>
              <w:t>5</w:t>
            </w:r>
            <w:r>
              <w:rPr>
                <w:rFonts w:hint="eastAsia" w:asciiTheme="minorEastAsia" w:hAnsiTheme="minorEastAsia" w:eastAsiaTheme="minorEastAsia" w:cstheme="minorEastAsia"/>
                <w:b/>
                <w:bCs/>
                <w:color w:val="auto"/>
                <w:kern w:val="0"/>
                <w:szCs w:val="21"/>
                <w:highlight w:val="none"/>
              </w:rPr>
              <w:t>年公众责任险和雇主责任险及员工团体意外险项目</w:t>
            </w:r>
          </w:p>
        </w:tc>
        <w:tc>
          <w:tcPr>
            <w:tcW w:w="11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分</w:t>
            </w:r>
            <w:r>
              <w:rPr>
                <w:rFonts w:hint="eastAsia" w:asciiTheme="minorEastAsia" w:hAnsiTheme="minorEastAsia" w:eastAsiaTheme="minorEastAsia" w:cstheme="minorEastAsia"/>
                <w:b/>
                <w:bCs/>
                <w:color w:val="auto"/>
                <w:szCs w:val="21"/>
                <w:highlight w:val="none"/>
              </w:rPr>
              <w:t>项目：</w:t>
            </w:r>
            <w:r>
              <w:rPr>
                <w:rFonts w:hint="eastAsia" w:asciiTheme="minorEastAsia" w:hAnsiTheme="minorEastAsia" w:eastAsiaTheme="minorEastAsia" w:cstheme="minorEastAsia"/>
                <w:b/>
                <w:bCs/>
                <w:color w:val="auto"/>
                <w:szCs w:val="21"/>
                <w:highlight w:val="none"/>
                <w:lang w:val="en-US" w:eastAsia="zh-CN"/>
              </w:rPr>
              <w:t>公众责任险</w:t>
            </w:r>
          </w:p>
        </w:tc>
        <w:tc>
          <w:tcPr>
            <w:tcW w:w="779" w:type="pct"/>
            <w:tcBorders>
              <w:top w:val="single" w:color="auto" w:sz="4" w:space="0"/>
              <w:left w:val="single" w:color="auto" w:sz="4" w:space="0"/>
              <w:bottom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 xml:space="preserve"> </w:t>
            </w:r>
          </w:p>
        </w:tc>
        <w:tc>
          <w:tcPr>
            <w:tcW w:w="1773" w:type="pct"/>
            <w:vMerge w:val="restart"/>
            <w:tcBorders>
              <w:top w:val="single" w:color="auto" w:sz="4" w:space="0"/>
              <w:lef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 w:val="22"/>
                <w:highlight w:val="none"/>
                <w:u w:val="single"/>
              </w:rPr>
              <w:t>本标项总采购预算为</w:t>
            </w:r>
            <w:r>
              <w:rPr>
                <w:rFonts w:hint="eastAsia" w:asciiTheme="minorEastAsia" w:hAnsiTheme="minorEastAsia" w:eastAsiaTheme="minorEastAsia" w:cstheme="minorEastAsia"/>
                <w:b/>
                <w:bCs/>
                <w:color w:val="auto"/>
                <w:sz w:val="22"/>
                <w:highlight w:val="none"/>
                <w:u w:val="single"/>
                <w:lang w:val="en-US" w:eastAsia="zh-CN"/>
              </w:rPr>
              <w:t xml:space="preserve"> 60</w:t>
            </w:r>
            <w:r>
              <w:rPr>
                <w:rFonts w:hint="eastAsia" w:asciiTheme="minorEastAsia" w:hAnsiTheme="minorEastAsia" w:eastAsiaTheme="minorEastAsia" w:cstheme="minorEastAsia"/>
                <w:b/>
                <w:bCs/>
                <w:color w:val="auto"/>
                <w:sz w:val="22"/>
                <w:highlight w:val="none"/>
                <w:u w:val="single"/>
              </w:rPr>
              <w:t>万元。</w:t>
            </w:r>
            <w:r>
              <w:rPr>
                <w:rFonts w:hint="eastAsia" w:asciiTheme="minorEastAsia" w:hAnsiTheme="minorEastAsia" w:eastAsiaTheme="minorEastAsia" w:cstheme="minorEastAsia"/>
                <w:b/>
                <w:bCs/>
                <w:color w:val="auto"/>
                <w:sz w:val="22"/>
                <w:highlight w:val="none"/>
                <w:u w:val="single"/>
                <w:lang w:val="en-US" w:eastAsia="zh-CN"/>
              </w:rPr>
              <w:t>其中雇主责任险和团体意外险2个项目</w:t>
            </w:r>
            <w:r>
              <w:rPr>
                <w:rFonts w:hint="eastAsia" w:asciiTheme="minorEastAsia" w:hAnsiTheme="minorEastAsia" w:eastAsiaTheme="minorEastAsia" w:cstheme="minorEastAsia"/>
                <w:b/>
                <w:bCs/>
                <w:color w:val="auto"/>
                <w:sz w:val="22"/>
                <w:szCs w:val="22"/>
                <w:highlight w:val="none"/>
                <w:u w:val="single"/>
                <w:lang w:val="en-US" w:eastAsia="zh-CN"/>
              </w:rPr>
              <w:t>响应</w:t>
            </w:r>
            <w:r>
              <w:rPr>
                <w:rFonts w:hint="eastAsia" w:asciiTheme="minorEastAsia" w:hAnsiTheme="minorEastAsia" w:eastAsiaTheme="minorEastAsia" w:cstheme="minorEastAsia"/>
                <w:b/>
                <w:bCs/>
                <w:color w:val="auto"/>
                <w:sz w:val="22"/>
                <w:szCs w:val="22"/>
                <w:highlight w:val="none"/>
                <w:u w:val="single"/>
              </w:rPr>
              <w:t>总价</w:t>
            </w:r>
            <w:r>
              <w:rPr>
                <w:rFonts w:hint="eastAsia" w:asciiTheme="minorEastAsia" w:hAnsiTheme="minorEastAsia" w:eastAsiaTheme="minorEastAsia" w:cstheme="minorEastAsia"/>
                <w:b/>
                <w:bCs/>
                <w:color w:val="auto"/>
                <w:sz w:val="22"/>
                <w:szCs w:val="22"/>
                <w:highlight w:val="none"/>
                <w:u w:val="single"/>
                <w:lang w:val="en-US" w:eastAsia="zh-CN"/>
              </w:rPr>
              <w:t>不超过39.5万元，总报价</w:t>
            </w:r>
            <w:r>
              <w:rPr>
                <w:rFonts w:hint="eastAsia" w:asciiTheme="minorEastAsia" w:hAnsiTheme="minorEastAsia" w:eastAsiaTheme="minorEastAsia" w:cstheme="minorEastAsia"/>
                <w:b/>
                <w:bCs/>
                <w:color w:val="auto"/>
                <w:sz w:val="22"/>
                <w:szCs w:val="22"/>
                <w:highlight w:val="none"/>
                <w:u w:val="single"/>
              </w:rPr>
              <w:t>（</w:t>
            </w:r>
            <w:r>
              <w:rPr>
                <w:rFonts w:hint="eastAsia" w:asciiTheme="minorEastAsia" w:hAnsiTheme="minorEastAsia" w:eastAsiaTheme="minorEastAsia" w:cstheme="minorEastAsia"/>
                <w:b/>
                <w:bCs/>
                <w:color w:val="auto"/>
                <w:sz w:val="22"/>
                <w:szCs w:val="22"/>
                <w:highlight w:val="none"/>
                <w:u w:val="single"/>
                <w:lang w:val="en-US" w:eastAsia="zh-CN"/>
              </w:rPr>
              <w:t>3个分项目报价之和</w:t>
            </w:r>
            <w:r>
              <w:rPr>
                <w:rFonts w:hint="eastAsia" w:asciiTheme="minorEastAsia" w:hAnsiTheme="minorEastAsia" w:eastAsiaTheme="minorEastAsia" w:cstheme="minorEastAsia"/>
                <w:b/>
                <w:bCs/>
                <w:color w:val="auto"/>
                <w:sz w:val="22"/>
                <w:szCs w:val="22"/>
                <w:highlight w:val="none"/>
                <w:u w:val="single"/>
              </w:rPr>
              <w:t>）</w:t>
            </w:r>
            <w:r>
              <w:rPr>
                <w:rFonts w:hint="eastAsia" w:asciiTheme="minorEastAsia" w:hAnsiTheme="minorEastAsia" w:eastAsiaTheme="minorEastAsia" w:cstheme="minorEastAsia"/>
                <w:b/>
                <w:bCs/>
                <w:color w:val="auto"/>
                <w:sz w:val="22"/>
                <w:szCs w:val="22"/>
                <w:highlight w:val="none"/>
                <w:u w:val="single"/>
                <w:lang w:val="en-US" w:eastAsia="zh-CN"/>
              </w:rPr>
              <w:t>不超过60万元。否则</w:t>
            </w:r>
            <w:r>
              <w:rPr>
                <w:rFonts w:hint="eastAsia" w:asciiTheme="minorEastAsia" w:hAnsiTheme="minorEastAsia" w:eastAsiaTheme="minorEastAsia" w:cstheme="minorEastAsia"/>
                <w:b/>
                <w:bCs/>
                <w:color w:val="auto"/>
                <w:sz w:val="22"/>
                <w:szCs w:val="22"/>
                <w:highlight w:val="none"/>
                <w:u w:val="single"/>
              </w:rPr>
              <w:t>其</w:t>
            </w:r>
            <w:r>
              <w:rPr>
                <w:rFonts w:hint="eastAsia" w:asciiTheme="minorEastAsia" w:hAnsiTheme="minorEastAsia" w:eastAsiaTheme="minorEastAsia" w:cstheme="minorEastAsia"/>
                <w:b/>
                <w:bCs/>
                <w:color w:val="auto"/>
                <w:sz w:val="22"/>
                <w:szCs w:val="22"/>
                <w:highlight w:val="none"/>
                <w:u w:val="single"/>
                <w:lang w:val="en-US" w:eastAsia="zh-CN"/>
              </w:rPr>
              <w:t>响应</w:t>
            </w:r>
            <w:r>
              <w:rPr>
                <w:rFonts w:hint="eastAsia" w:asciiTheme="minorEastAsia" w:hAnsiTheme="minorEastAsia" w:eastAsiaTheme="minorEastAsia" w:cstheme="minorEastAsia"/>
                <w:b/>
                <w:bCs/>
                <w:color w:val="auto"/>
                <w:sz w:val="22"/>
                <w:szCs w:val="22"/>
                <w:highlight w:val="none"/>
                <w:u w:val="single"/>
              </w:rPr>
              <w:t>文件作废。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1248" w:type="pct"/>
            <w:vMerge w:val="continue"/>
            <w:tcBorders>
              <w:left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color w:val="auto"/>
                <w:kern w:val="0"/>
                <w:szCs w:val="21"/>
                <w:highlight w:val="none"/>
              </w:rPr>
            </w:pPr>
          </w:p>
        </w:tc>
        <w:tc>
          <w:tcPr>
            <w:tcW w:w="11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lang w:val="en-US" w:eastAsia="zh-CN"/>
              </w:rPr>
              <w:t>分</w:t>
            </w:r>
            <w:r>
              <w:rPr>
                <w:rFonts w:hint="eastAsia" w:asciiTheme="minorEastAsia" w:hAnsiTheme="minorEastAsia" w:eastAsiaTheme="minorEastAsia" w:cstheme="minorEastAsia"/>
                <w:b/>
                <w:bCs w:val="0"/>
                <w:color w:val="auto"/>
                <w:szCs w:val="21"/>
                <w:highlight w:val="none"/>
              </w:rPr>
              <w:t>项目：</w:t>
            </w:r>
            <w:r>
              <w:rPr>
                <w:rFonts w:hint="eastAsia" w:asciiTheme="minorEastAsia" w:hAnsiTheme="minorEastAsia" w:eastAsiaTheme="minorEastAsia" w:cstheme="minorEastAsia"/>
                <w:b/>
                <w:bCs w:val="0"/>
                <w:color w:val="auto"/>
                <w:szCs w:val="21"/>
                <w:highlight w:val="none"/>
                <w:lang w:val="en-US" w:eastAsia="zh-CN"/>
              </w:rPr>
              <w:t>雇主责任险</w:t>
            </w:r>
          </w:p>
        </w:tc>
        <w:tc>
          <w:tcPr>
            <w:tcW w:w="779" w:type="pct"/>
            <w:vMerge w:val="restart"/>
            <w:tcBorders>
              <w:top w:val="single" w:color="auto" w:sz="4" w:space="0"/>
              <w:left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b/>
                <w:bCs w:val="0"/>
                <w:color w:val="auto"/>
                <w:szCs w:val="21"/>
                <w:highlight w:val="none"/>
                <w:lang w:val="en-US" w:eastAsia="zh-CN"/>
              </w:rPr>
            </w:pPr>
          </w:p>
          <w:p>
            <w:pPr>
              <w:widowControl/>
              <w:spacing w:before="54" w:after="54" w:line="360" w:lineRule="auto"/>
              <w:ind w:right="57"/>
              <w:jc w:val="center"/>
              <w:rPr>
                <w:rFonts w:hint="eastAsia" w:asciiTheme="minorEastAsia" w:hAnsiTheme="minorEastAsia" w:eastAsiaTheme="minorEastAsia" w:cstheme="minorEastAsia"/>
                <w:b/>
                <w:bCs w:val="0"/>
                <w:color w:val="auto"/>
                <w:szCs w:val="21"/>
                <w:highlight w:val="none"/>
                <w:lang w:val="en-US" w:eastAsia="zh-CN"/>
              </w:rPr>
            </w:pPr>
            <w:r>
              <w:rPr>
                <w:rFonts w:hint="eastAsia" w:asciiTheme="minorEastAsia" w:hAnsiTheme="minorEastAsia" w:eastAsiaTheme="minorEastAsia" w:cstheme="minorEastAsia"/>
                <w:b/>
                <w:bCs w:val="0"/>
                <w:color w:val="auto"/>
                <w:szCs w:val="21"/>
                <w:highlight w:val="none"/>
                <w:lang w:val="en-US" w:eastAsia="zh-CN"/>
              </w:rPr>
              <w:t xml:space="preserve">39.5 </w:t>
            </w:r>
          </w:p>
          <w:p>
            <w:pPr>
              <w:widowControl/>
              <w:spacing w:before="54" w:after="54" w:line="360" w:lineRule="auto"/>
              <w:ind w:right="57"/>
              <w:jc w:val="center"/>
              <w:rPr>
                <w:rFonts w:hint="eastAsia" w:asciiTheme="minorEastAsia" w:hAnsiTheme="minorEastAsia" w:eastAsiaTheme="minorEastAsia" w:cstheme="minorEastAsia"/>
                <w:b/>
                <w:bCs w:val="0"/>
                <w:color w:val="auto"/>
                <w:szCs w:val="21"/>
                <w:highlight w:val="none"/>
                <w:lang w:val="en-US" w:eastAsia="zh-CN"/>
              </w:rPr>
            </w:pPr>
            <w:r>
              <w:rPr>
                <w:rFonts w:hint="eastAsia" w:asciiTheme="minorEastAsia" w:hAnsiTheme="minorEastAsia" w:eastAsiaTheme="minorEastAsia" w:cstheme="minorEastAsia"/>
                <w:b/>
                <w:bCs w:val="0"/>
                <w:color w:val="auto"/>
                <w:szCs w:val="21"/>
                <w:highlight w:val="none"/>
                <w:lang w:val="en-US" w:eastAsia="zh-CN"/>
              </w:rPr>
              <w:t xml:space="preserve"> </w:t>
            </w:r>
          </w:p>
        </w:tc>
        <w:tc>
          <w:tcPr>
            <w:tcW w:w="1773" w:type="pct"/>
            <w:vMerge w:val="continue"/>
            <w:tcBorders>
              <w:lef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1248" w:type="pct"/>
            <w:vMerge w:val="continue"/>
            <w:tcBorders>
              <w:left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color w:val="auto"/>
                <w:kern w:val="0"/>
                <w:szCs w:val="21"/>
                <w:highlight w:val="none"/>
              </w:rPr>
            </w:pPr>
          </w:p>
        </w:tc>
        <w:tc>
          <w:tcPr>
            <w:tcW w:w="11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val="0"/>
                <w:color w:val="auto"/>
                <w:szCs w:val="21"/>
                <w:highlight w:val="none"/>
                <w:lang w:val="en-US" w:eastAsia="zh-CN"/>
              </w:rPr>
            </w:pPr>
            <w:r>
              <w:rPr>
                <w:rFonts w:hint="eastAsia" w:asciiTheme="minorEastAsia" w:hAnsiTheme="minorEastAsia" w:eastAsiaTheme="minorEastAsia" w:cstheme="minorEastAsia"/>
                <w:b/>
                <w:bCs w:val="0"/>
                <w:color w:val="auto"/>
                <w:szCs w:val="21"/>
                <w:highlight w:val="none"/>
                <w:lang w:val="en-US" w:eastAsia="zh-CN"/>
              </w:rPr>
              <w:t>分</w:t>
            </w:r>
            <w:r>
              <w:rPr>
                <w:rFonts w:hint="eastAsia" w:asciiTheme="minorEastAsia" w:hAnsiTheme="minorEastAsia" w:eastAsiaTheme="minorEastAsia" w:cstheme="minorEastAsia"/>
                <w:b/>
                <w:bCs w:val="0"/>
                <w:color w:val="auto"/>
                <w:szCs w:val="21"/>
                <w:highlight w:val="none"/>
              </w:rPr>
              <w:t>项目：</w:t>
            </w:r>
            <w:r>
              <w:rPr>
                <w:rFonts w:hint="eastAsia" w:asciiTheme="minorEastAsia" w:hAnsiTheme="minorEastAsia" w:eastAsiaTheme="minorEastAsia" w:cstheme="minorEastAsia"/>
                <w:b/>
                <w:bCs w:val="0"/>
                <w:color w:val="auto"/>
                <w:szCs w:val="21"/>
                <w:highlight w:val="none"/>
                <w:lang w:val="en-US" w:eastAsia="zh-CN"/>
              </w:rPr>
              <w:t>团体意外险</w:t>
            </w:r>
          </w:p>
        </w:tc>
        <w:tc>
          <w:tcPr>
            <w:tcW w:w="779" w:type="pct"/>
            <w:vMerge w:val="continue"/>
            <w:tcBorders>
              <w:left w:val="single" w:color="auto" w:sz="4" w:space="0"/>
              <w:bottom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b/>
                <w:bCs w:val="0"/>
                <w:color w:val="auto"/>
                <w:szCs w:val="21"/>
                <w:highlight w:val="none"/>
                <w:lang w:val="en-US" w:eastAsia="zh-CN"/>
              </w:rPr>
            </w:pPr>
          </w:p>
        </w:tc>
        <w:tc>
          <w:tcPr>
            <w:tcW w:w="1773" w:type="pct"/>
            <w:vMerge w:val="continue"/>
            <w:tcBorders>
              <w:lef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248" w:type="pct"/>
            <w:vMerge w:val="continue"/>
            <w:tcBorders>
              <w:left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color w:val="auto"/>
                <w:kern w:val="0"/>
                <w:szCs w:val="21"/>
                <w:highlight w:val="none"/>
              </w:rPr>
            </w:pPr>
          </w:p>
        </w:tc>
        <w:tc>
          <w:tcPr>
            <w:tcW w:w="1198" w:type="pct"/>
            <w:tcBorders>
              <w:top w:val="single" w:color="auto" w:sz="4" w:space="0"/>
              <w:left w:val="single" w:color="auto" w:sz="4" w:space="0"/>
              <w:righ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rPr>
              <w:t>合计</w:t>
            </w:r>
          </w:p>
        </w:tc>
        <w:tc>
          <w:tcPr>
            <w:tcW w:w="779" w:type="pct"/>
            <w:tcBorders>
              <w:top w:val="single" w:color="auto" w:sz="4" w:space="0"/>
              <w:left w:val="single" w:color="auto" w:sz="4" w:space="0"/>
              <w:bottom w:val="single" w:color="auto" w:sz="4" w:space="0"/>
              <w:right w:val="single" w:color="auto" w:sz="4" w:space="0"/>
            </w:tcBorders>
            <w:noWrap w:val="0"/>
            <w:vAlign w:val="center"/>
          </w:tcPr>
          <w:p>
            <w:pPr>
              <w:widowControl/>
              <w:spacing w:before="54" w:after="54" w:line="360" w:lineRule="auto"/>
              <w:ind w:right="57"/>
              <w:jc w:val="center"/>
              <w:rPr>
                <w:rFonts w:hint="default" w:asciiTheme="minorEastAsia" w:hAnsiTheme="minorEastAsia" w:eastAsiaTheme="minorEastAsia" w:cstheme="minorEastAsia"/>
                <w:b/>
                <w:bCs w:val="0"/>
                <w:color w:val="auto"/>
                <w:szCs w:val="21"/>
                <w:highlight w:val="none"/>
                <w:lang w:val="en-US" w:eastAsia="zh-CN"/>
              </w:rPr>
            </w:pPr>
            <w:r>
              <w:rPr>
                <w:rFonts w:hint="eastAsia" w:asciiTheme="minorEastAsia" w:hAnsiTheme="minorEastAsia" w:eastAsiaTheme="minorEastAsia" w:cstheme="minorEastAsia"/>
                <w:b/>
                <w:bCs w:val="0"/>
                <w:color w:val="auto"/>
                <w:szCs w:val="21"/>
                <w:highlight w:val="none"/>
                <w:lang w:val="en-US" w:eastAsia="zh-CN"/>
              </w:rPr>
              <w:t>60</w:t>
            </w:r>
          </w:p>
        </w:tc>
        <w:tc>
          <w:tcPr>
            <w:tcW w:w="1773" w:type="pct"/>
            <w:vMerge w:val="continue"/>
            <w:tcBorders>
              <w:left w:val="single" w:color="auto" w:sz="4" w:space="0"/>
            </w:tcBorders>
            <w:noWrap w:val="0"/>
            <w:vAlign w:val="center"/>
          </w:tcPr>
          <w:p>
            <w:pPr>
              <w:widowControl/>
              <w:spacing w:before="54" w:after="54" w:line="360" w:lineRule="auto"/>
              <w:ind w:right="57"/>
              <w:jc w:val="center"/>
              <w:rPr>
                <w:rFonts w:hint="eastAsia" w:asciiTheme="minorEastAsia" w:hAnsiTheme="minorEastAsia" w:eastAsiaTheme="minorEastAsia" w:cstheme="minorEastAsia"/>
                <w:color w:val="auto"/>
                <w:szCs w:val="21"/>
                <w:highlight w:val="none"/>
              </w:rPr>
            </w:pPr>
          </w:p>
        </w:tc>
      </w:tr>
    </w:tbl>
    <w:p>
      <w:pPr>
        <w:spacing w:line="360" w:lineRule="auto"/>
        <w:ind w:firstLine="232" w:firstLineChars="97"/>
        <w:rPr>
          <w:rFonts w:hint="eastAsia" w:ascii="宋体" w:hAnsi="宋体" w:cs="宋体"/>
          <w:color w:val="auto"/>
          <w:sz w:val="24"/>
          <w:highlight w:val="none"/>
        </w:rPr>
      </w:pPr>
    </w:p>
    <w:p>
      <w:pPr>
        <w:spacing w:line="360" w:lineRule="auto"/>
        <w:ind w:firstLine="232" w:firstLineChars="97"/>
        <w:rPr>
          <w:rFonts w:hint="eastAsia" w:ascii="宋体" w:hAnsi="宋体" w:cs="宋体"/>
          <w:color w:val="auto"/>
          <w:sz w:val="24"/>
          <w:highlight w:val="none"/>
        </w:rPr>
      </w:pPr>
    </w:p>
    <w:p>
      <w:pPr>
        <w:numPr>
          <w:ilvl w:val="0"/>
          <w:numId w:val="1"/>
        </w:numPr>
        <w:jc w:val="center"/>
        <w:rPr>
          <w:rFonts w:hint="eastAsia" w:ascii="宋体" w:hAnsi="宋体"/>
          <w:b/>
          <w:color w:val="auto"/>
          <w:sz w:val="28"/>
          <w:szCs w:val="28"/>
          <w:highlight w:val="none"/>
        </w:rPr>
      </w:pPr>
      <w:r>
        <w:rPr>
          <w:rFonts w:hint="eastAsia" w:ascii="宋体" w:hAnsi="宋体"/>
          <w:b/>
          <w:color w:val="auto"/>
          <w:sz w:val="28"/>
          <w:szCs w:val="28"/>
          <w:highlight w:val="none"/>
          <w:lang w:eastAsia="zh-CN"/>
        </w:rPr>
        <w:t>交易</w:t>
      </w:r>
      <w:r>
        <w:rPr>
          <w:rFonts w:hint="eastAsia" w:ascii="宋体" w:hAnsi="宋体"/>
          <w:b/>
          <w:color w:val="auto"/>
          <w:sz w:val="28"/>
          <w:szCs w:val="28"/>
          <w:highlight w:val="none"/>
        </w:rPr>
        <w:t>需求</w:t>
      </w:r>
    </w:p>
    <w:p>
      <w:pPr>
        <w:numPr>
          <w:ilvl w:val="0"/>
          <w:numId w:val="2"/>
        </w:numPr>
        <w:rPr>
          <w:rFonts w:hint="eastAsia" w:ascii="宋体" w:hAnsi="宋体" w:eastAsia="宋体" w:cs="宋体"/>
          <w:color w:val="auto"/>
          <w:highlight w:val="none"/>
        </w:rPr>
      </w:pPr>
      <w:r>
        <w:rPr>
          <w:rFonts w:hint="eastAsia" w:asciiTheme="minorEastAsia" w:hAnsiTheme="minorEastAsia" w:eastAsiaTheme="minorEastAsia" w:cstheme="minorEastAsia"/>
          <w:b/>
          <w:bCs/>
          <w:color w:val="auto"/>
          <w:sz w:val="24"/>
          <w:szCs w:val="24"/>
          <w:highlight w:val="none"/>
        </w:rPr>
        <w:t>技术需求</w:t>
      </w:r>
    </w:p>
    <w:p>
      <w:pPr>
        <w:pStyle w:val="2"/>
        <w:rPr>
          <w:rFonts w:hint="eastAsia"/>
          <w:color w:val="auto"/>
        </w:rPr>
      </w:pPr>
    </w:p>
    <w:p>
      <w:pPr>
        <w:pStyle w:val="20"/>
        <w:snapToGrid w:val="0"/>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1、被保险人：</w:t>
      </w:r>
      <w:r>
        <w:rPr>
          <w:rFonts w:hint="eastAsia" w:ascii="宋体" w:hAnsi="宋体" w:eastAsia="宋体" w:cs="宋体"/>
          <w:color w:val="auto"/>
          <w:highlight w:val="none"/>
          <w:lang w:eastAsia="zh-CN"/>
        </w:rPr>
        <w:t>杭州萧山交投公路养护服务有限公司</w:t>
      </w:r>
    </w:p>
    <w:p>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2、保险</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rPr>
        <w:t>：见下表</w:t>
      </w:r>
    </w:p>
    <w:tbl>
      <w:tblPr>
        <w:tblStyle w:val="1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99"/>
        <w:gridCol w:w="3718"/>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exact"/>
          <w:jc w:val="center"/>
        </w:trPr>
        <w:tc>
          <w:tcPr>
            <w:tcW w:w="2178" w:type="dxa"/>
            <w:gridSpan w:val="2"/>
            <w:noWrap w:val="0"/>
            <w:vAlign w:val="center"/>
          </w:tcPr>
          <w:p>
            <w:pPr>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3718" w:type="dxa"/>
            <w:noWrap w:val="0"/>
            <w:vAlign w:val="center"/>
          </w:tcPr>
          <w:p>
            <w:pPr>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保险金额（元）</w:t>
            </w:r>
          </w:p>
        </w:tc>
        <w:tc>
          <w:tcPr>
            <w:tcW w:w="3556" w:type="dxa"/>
            <w:noWrap w:val="0"/>
            <w:vAlign w:val="center"/>
          </w:tcPr>
          <w:p>
            <w:pPr>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79" w:type="dxa"/>
            <w:noWrap w:val="0"/>
            <w:vAlign w:val="center"/>
          </w:tcPr>
          <w:p>
            <w:pPr>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分</w:t>
            </w:r>
            <w:r>
              <w:rPr>
                <w:rFonts w:hint="eastAsia" w:asciiTheme="minorEastAsia" w:hAnsiTheme="minorEastAsia" w:eastAsiaTheme="minorEastAsia" w:cstheme="minorEastAsia"/>
                <w:b/>
                <w:bCs w:val="0"/>
                <w:color w:val="auto"/>
                <w:sz w:val="21"/>
                <w:szCs w:val="21"/>
                <w:highlight w:val="none"/>
              </w:rPr>
              <w:t>项目</w:t>
            </w:r>
          </w:p>
        </w:tc>
        <w:tc>
          <w:tcPr>
            <w:tcW w:w="1299" w:type="dxa"/>
            <w:noWrap w:val="0"/>
            <w:vAlign w:val="center"/>
          </w:tcPr>
          <w:p>
            <w:pPr>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公众责任险</w:t>
            </w:r>
          </w:p>
        </w:tc>
        <w:tc>
          <w:tcPr>
            <w:tcW w:w="3718" w:type="dxa"/>
            <w:noWrap w:val="0"/>
            <w:vAlign w:val="center"/>
          </w:tcPr>
          <w:p>
            <w:pPr>
              <w:rPr>
                <w:rFonts w:hint="eastAsia" w:asciiTheme="minorEastAsia" w:hAnsiTheme="minorEastAsia" w:eastAsiaTheme="minorEastAsia" w:cstheme="minorEastAsia"/>
                <w:b/>
                <w:bCs w:val="0"/>
                <w:color w:val="auto"/>
                <w:sz w:val="21"/>
                <w:szCs w:val="21"/>
                <w:highlight w:val="none"/>
              </w:rPr>
            </w:pPr>
          </w:p>
          <w:p>
            <w:pP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 xml:space="preserve">累计赔偿限额: </w:t>
            </w:r>
            <w:r>
              <w:rPr>
                <w:rFonts w:hint="eastAsia" w:asciiTheme="minorEastAsia" w:hAnsiTheme="minorEastAsia" w:eastAsiaTheme="minorEastAsia" w:cstheme="minorEastAsia"/>
                <w:b/>
                <w:bCs w:val="0"/>
                <w:color w:val="auto"/>
                <w:sz w:val="21"/>
                <w:szCs w:val="21"/>
                <w:highlight w:val="none"/>
                <w:lang w:val="en-US" w:eastAsia="zh-CN"/>
              </w:rPr>
              <w:t>10</w:t>
            </w:r>
            <w:r>
              <w:rPr>
                <w:rFonts w:hint="eastAsia" w:asciiTheme="minorEastAsia" w:hAnsiTheme="minorEastAsia" w:eastAsiaTheme="minorEastAsia" w:cstheme="minorEastAsia"/>
                <w:b/>
                <w:bCs w:val="0"/>
                <w:color w:val="auto"/>
                <w:sz w:val="21"/>
                <w:szCs w:val="21"/>
                <w:highlight w:val="none"/>
              </w:rPr>
              <w:t>000000.00</w:t>
            </w:r>
          </w:p>
          <w:p>
            <w:pP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单</w:t>
            </w:r>
            <w:r>
              <w:rPr>
                <w:rFonts w:hint="eastAsia" w:asciiTheme="minorEastAsia" w:hAnsiTheme="minorEastAsia" w:eastAsiaTheme="minorEastAsia" w:cstheme="minorEastAsia"/>
                <w:b/>
                <w:bCs w:val="0"/>
                <w:color w:val="auto"/>
                <w:sz w:val="21"/>
                <w:szCs w:val="21"/>
                <w:highlight w:val="none"/>
              </w:rPr>
              <w:t>次赔偿限额：3000000.00</w:t>
            </w:r>
          </w:p>
          <w:p>
            <w:pPr>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单次事故每人</w:t>
            </w:r>
            <w:r>
              <w:rPr>
                <w:rFonts w:hint="eastAsia" w:asciiTheme="minorEastAsia" w:hAnsiTheme="minorEastAsia" w:eastAsiaTheme="minorEastAsia" w:cstheme="minorEastAsia"/>
                <w:b/>
                <w:bCs w:val="0"/>
                <w:color w:val="auto"/>
                <w:sz w:val="21"/>
                <w:szCs w:val="21"/>
                <w:highlight w:val="none"/>
              </w:rPr>
              <w:t>赔偿限额：</w:t>
            </w:r>
            <w:r>
              <w:rPr>
                <w:rFonts w:hint="eastAsia" w:asciiTheme="minorEastAsia" w:hAnsiTheme="minorEastAsia" w:eastAsiaTheme="minorEastAsia" w:cstheme="minorEastAsia"/>
                <w:b/>
                <w:bCs w:val="0"/>
                <w:color w:val="auto"/>
                <w:sz w:val="21"/>
                <w:szCs w:val="21"/>
                <w:highlight w:val="none"/>
                <w:lang w:val="en-US" w:eastAsia="zh-CN"/>
              </w:rPr>
              <w:t>1000000.00</w:t>
            </w:r>
          </w:p>
          <w:p>
            <w:pPr>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单次事故财产</w:t>
            </w:r>
            <w:r>
              <w:rPr>
                <w:rFonts w:hint="eastAsia" w:asciiTheme="minorEastAsia" w:hAnsiTheme="minorEastAsia" w:eastAsiaTheme="minorEastAsia" w:cstheme="minorEastAsia"/>
                <w:b/>
                <w:bCs w:val="0"/>
                <w:color w:val="auto"/>
                <w:sz w:val="21"/>
                <w:szCs w:val="21"/>
                <w:highlight w:val="none"/>
              </w:rPr>
              <w:t>赔偿限额：</w:t>
            </w:r>
            <w:r>
              <w:rPr>
                <w:rFonts w:hint="eastAsia" w:asciiTheme="minorEastAsia" w:hAnsiTheme="minorEastAsia" w:eastAsiaTheme="minorEastAsia" w:cstheme="minorEastAsia"/>
                <w:b/>
                <w:bCs w:val="0"/>
                <w:color w:val="auto"/>
                <w:sz w:val="21"/>
                <w:szCs w:val="21"/>
                <w:highlight w:val="none"/>
                <w:lang w:val="en-US" w:eastAsia="zh-CN"/>
              </w:rPr>
              <w:t>500000.00</w:t>
            </w:r>
          </w:p>
          <w:p>
            <w:pPr>
              <w:rPr>
                <w:rFonts w:hint="eastAsia" w:asciiTheme="minorEastAsia" w:hAnsiTheme="minorEastAsia" w:eastAsiaTheme="minorEastAsia" w:cstheme="minorEastAsia"/>
                <w:b/>
                <w:bCs w:val="0"/>
                <w:color w:val="auto"/>
                <w:sz w:val="21"/>
                <w:szCs w:val="21"/>
                <w:highlight w:val="none"/>
                <w:lang w:eastAsia="zh-CN"/>
              </w:rPr>
            </w:pPr>
          </w:p>
        </w:tc>
        <w:tc>
          <w:tcPr>
            <w:tcW w:w="3556" w:type="dxa"/>
            <w:noWrap w:val="0"/>
            <w:vAlign w:val="center"/>
          </w:tcPr>
          <w:p>
            <w:pPr>
              <w:numPr>
                <w:ilvl w:val="0"/>
                <w:numId w:val="0"/>
              </w:numPr>
              <w:ind w:leftChars="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具体管理维护道路见清单。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879" w:type="dxa"/>
            <w:noWrap w:val="0"/>
            <w:vAlign w:val="center"/>
          </w:tcPr>
          <w:p>
            <w:pPr>
              <w:jc w:val="center"/>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val="en-US" w:eastAsia="zh-CN"/>
              </w:rPr>
              <w:t>分</w:t>
            </w:r>
            <w:r>
              <w:rPr>
                <w:rFonts w:hint="eastAsia" w:asciiTheme="minorEastAsia" w:hAnsiTheme="minorEastAsia" w:eastAsiaTheme="minorEastAsia" w:cstheme="minorEastAsia"/>
                <w:b/>
                <w:bCs w:val="0"/>
                <w:color w:val="auto"/>
                <w:sz w:val="21"/>
                <w:szCs w:val="21"/>
                <w:highlight w:val="none"/>
              </w:rPr>
              <w:t>项目</w:t>
            </w:r>
          </w:p>
        </w:tc>
        <w:tc>
          <w:tcPr>
            <w:tcW w:w="1299" w:type="dxa"/>
            <w:noWrap w:val="0"/>
            <w:vAlign w:val="center"/>
          </w:tcPr>
          <w:p>
            <w:pPr>
              <w:jc w:val="center"/>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val="en-US" w:eastAsia="zh-CN"/>
              </w:rPr>
              <w:t>雇主</w:t>
            </w:r>
            <w:r>
              <w:rPr>
                <w:rFonts w:hint="eastAsia" w:asciiTheme="minorEastAsia" w:hAnsiTheme="minorEastAsia" w:eastAsiaTheme="minorEastAsia" w:cstheme="minorEastAsia"/>
                <w:b/>
                <w:bCs w:val="0"/>
                <w:color w:val="auto"/>
                <w:sz w:val="21"/>
                <w:szCs w:val="21"/>
                <w:highlight w:val="none"/>
              </w:rPr>
              <w:t>责任险</w:t>
            </w:r>
          </w:p>
        </w:tc>
        <w:tc>
          <w:tcPr>
            <w:tcW w:w="3718" w:type="dxa"/>
            <w:noWrap w:val="0"/>
            <w:vAlign w:val="center"/>
          </w:tcPr>
          <w:p>
            <w:pPr>
              <w:rPr>
                <w:rFonts w:hint="eastAsia" w:asciiTheme="minorEastAsia" w:hAnsiTheme="minorEastAsia" w:eastAsiaTheme="minorEastAsia" w:cstheme="minorEastAsia"/>
                <w:b/>
                <w:bCs w:val="0"/>
                <w:color w:val="auto"/>
                <w:sz w:val="21"/>
                <w:szCs w:val="21"/>
                <w:highlight w:val="none"/>
              </w:rPr>
            </w:pPr>
          </w:p>
          <w:p>
            <w:pPr>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每人死亡伤残赔偿限额600000.00</w:t>
            </w:r>
          </w:p>
          <w:p>
            <w:pPr>
              <w:pStyle w:val="2"/>
              <w:rPr>
                <w:rFonts w:hint="eastAsia" w:asciiTheme="minorEastAsia" w:hAnsiTheme="minorEastAsia" w:eastAsiaTheme="minorEastAsia" w:cstheme="minorEastAsia"/>
                <w:b/>
                <w:bCs w:val="0"/>
                <w:color w:val="auto"/>
                <w:sz w:val="21"/>
                <w:szCs w:val="21"/>
                <w:highlight w:val="none"/>
                <w:lang w:val="en-US" w:eastAsia="zh-CN"/>
              </w:rPr>
            </w:pPr>
          </w:p>
        </w:tc>
        <w:tc>
          <w:tcPr>
            <w:tcW w:w="3556" w:type="dxa"/>
            <w:noWrap w:val="0"/>
            <w:vAlign w:val="center"/>
          </w:tcPr>
          <w:p>
            <w:pPr>
              <w:numPr>
                <w:ilvl w:val="0"/>
                <w:numId w:val="0"/>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承保人员约287人，投标人投标时请明确单人报价，最终投保人数以签订合同时提供的人数为准计算总保费。须扩展非上班时间（24小时）条款。</w:t>
            </w:r>
          </w:p>
          <w:p>
            <w:pPr>
              <w:numPr>
                <w:ilvl w:val="0"/>
                <w:numId w:val="0"/>
              </w:numPr>
              <w:ind w:leftChars="0"/>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sz w:val="21"/>
                <w:szCs w:val="21"/>
                <w:highlight w:val="none"/>
                <w:lang w:val="en-US" w:eastAsia="zh-CN"/>
              </w:rPr>
              <w:t>采用工伤标准。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79" w:type="dxa"/>
            <w:noWrap w:val="0"/>
            <w:vAlign w:val="center"/>
          </w:tcPr>
          <w:p>
            <w:pPr>
              <w:jc w:val="center"/>
              <w:rPr>
                <w:rFonts w:hint="eastAsia" w:asciiTheme="minorEastAsia" w:hAnsiTheme="minorEastAsia" w:eastAsiaTheme="minorEastAsia" w:cstheme="minorEastAsia"/>
                <w:b/>
                <w:bCs w:val="0"/>
                <w:color w:val="auto"/>
                <w:sz w:val="21"/>
                <w:szCs w:val="21"/>
                <w:highlight w:val="none"/>
              </w:rPr>
            </w:pPr>
          </w:p>
          <w:p>
            <w:pPr>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分</w:t>
            </w:r>
            <w:r>
              <w:rPr>
                <w:rFonts w:hint="eastAsia" w:asciiTheme="minorEastAsia" w:hAnsiTheme="minorEastAsia" w:eastAsiaTheme="minorEastAsia" w:cstheme="minorEastAsia"/>
                <w:b/>
                <w:bCs w:val="0"/>
                <w:color w:val="auto"/>
                <w:sz w:val="21"/>
                <w:szCs w:val="21"/>
                <w:highlight w:val="none"/>
              </w:rPr>
              <w:t>项目</w:t>
            </w:r>
          </w:p>
        </w:tc>
        <w:tc>
          <w:tcPr>
            <w:tcW w:w="1299" w:type="dxa"/>
            <w:noWrap w:val="0"/>
            <w:vAlign w:val="center"/>
          </w:tcPr>
          <w:p>
            <w:pPr>
              <w:jc w:val="center"/>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团体意外险</w:t>
            </w:r>
          </w:p>
        </w:tc>
        <w:tc>
          <w:tcPr>
            <w:tcW w:w="3718" w:type="dxa"/>
            <w:noWrap w:val="0"/>
            <w:vAlign w:val="center"/>
          </w:tcPr>
          <w:p>
            <w:pP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意外身故、残疾给付</w:t>
            </w:r>
            <w:r>
              <w:rPr>
                <w:rFonts w:hint="eastAsia" w:asciiTheme="minorEastAsia" w:hAnsiTheme="minorEastAsia" w:eastAsiaTheme="minorEastAsia" w:cstheme="minorEastAsia"/>
                <w:b/>
                <w:bCs w:val="0"/>
                <w:color w:val="auto"/>
                <w:sz w:val="21"/>
                <w:szCs w:val="21"/>
                <w:highlight w:val="none"/>
              </w:rPr>
              <w:t xml:space="preserve">: </w:t>
            </w:r>
            <w:r>
              <w:rPr>
                <w:rFonts w:hint="eastAsia" w:asciiTheme="minorEastAsia" w:hAnsiTheme="minorEastAsia" w:eastAsiaTheme="minorEastAsia" w:cstheme="minorEastAsia"/>
                <w:b/>
                <w:bCs w:val="0"/>
                <w:color w:val="auto"/>
                <w:sz w:val="21"/>
                <w:szCs w:val="21"/>
                <w:highlight w:val="none"/>
                <w:lang w:val="en-US" w:eastAsia="zh-CN"/>
              </w:rPr>
              <w:t>6</w:t>
            </w:r>
            <w:r>
              <w:rPr>
                <w:rFonts w:hint="eastAsia" w:asciiTheme="minorEastAsia" w:hAnsiTheme="minorEastAsia" w:eastAsiaTheme="minorEastAsia" w:cstheme="minorEastAsia"/>
                <w:b/>
                <w:bCs w:val="0"/>
                <w:color w:val="auto"/>
                <w:sz w:val="21"/>
                <w:szCs w:val="21"/>
                <w:highlight w:val="none"/>
              </w:rPr>
              <w:t>00000.00</w:t>
            </w:r>
          </w:p>
          <w:p>
            <w:pP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意外医疗费用限额</w:t>
            </w:r>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bCs w:val="0"/>
                <w:color w:val="auto"/>
                <w:sz w:val="21"/>
                <w:szCs w:val="21"/>
                <w:highlight w:val="none"/>
                <w:lang w:val="en-US" w:eastAsia="zh-CN"/>
              </w:rPr>
              <w:t>5</w:t>
            </w:r>
            <w:r>
              <w:rPr>
                <w:rFonts w:hint="eastAsia" w:asciiTheme="minorEastAsia" w:hAnsiTheme="minorEastAsia" w:eastAsiaTheme="minorEastAsia" w:cstheme="minorEastAsia"/>
                <w:b/>
                <w:bCs w:val="0"/>
                <w:color w:val="auto"/>
                <w:sz w:val="21"/>
                <w:szCs w:val="21"/>
                <w:highlight w:val="none"/>
              </w:rPr>
              <w:t>0000.00</w:t>
            </w:r>
          </w:p>
          <w:p>
            <w:pPr>
              <w:pStyle w:val="13"/>
              <w:tabs>
                <w:tab w:val="right" w:leader="dot" w:pos="9628"/>
              </w:tabs>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以上均无免赔</w:t>
            </w:r>
          </w:p>
          <w:p>
            <w:pPr>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意外住院津贴：100.00/日，最多180日，每次免赔不超过3日</w:t>
            </w:r>
          </w:p>
          <w:p>
            <w:pPr>
              <w:rPr>
                <w:rFonts w:hint="eastAsia" w:asciiTheme="minorEastAsia" w:hAnsiTheme="minorEastAsia" w:eastAsiaTheme="minorEastAsia" w:cstheme="minorEastAsia"/>
                <w:b/>
                <w:bCs w:val="0"/>
                <w:color w:val="auto"/>
                <w:sz w:val="21"/>
                <w:szCs w:val="21"/>
                <w:highlight w:val="none"/>
                <w:lang w:eastAsia="zh-CN"/>
              </w:rPr>
            </w:pPr>
          </w:p>
        </w:tc>
        <w:tc>
          <w:tcPr>
            <w:tcW w:w="3556" w:type="dxa"/>
            <w:noWrap w:val="0"/>
            <w:vAlign w:val="center"/>
          </w:tcPr>
          <w:p>
            <w:pPr>
              <w:numPr>
                <w:ilvl w:val="0"/>
                <w:numId w:val="0"/>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承保人员约287人，投标人投标时请明确单人报价，最终投保人数以签订合同时提供的人数为准计算总保费。须附加提供突发疾病身故保障及注明该项保障额度。</w:t>
            </w:r>
          </w:p>
          <w:p>
            <w:pPr>
              <w:pStyle w:val="2"/>
              <w:numPr>
                <w:ilvl w:val="0"/>
                <w:numId w:val="0"/>
              </w:numPr>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采用行业标准。</w:t>
            </w:r>
          </w:p>
        </w:tc>
      </w:tr>
    </w:tbl>
    <w:p>
      <w:pPr>
        <w:pStyle w:val="7"/>
        <w:numPr>
          <w:ilvl w:val="2"/>
          <w:numId w:val="0"/>
        </w:numPr>
        <w:ind w:left="-252" w:lef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（二）具体要求：</w:t>
      </w:r>
    </w:p>
    <w:p>
      <w:pPr>
        <w:numPr>
          <w:ilvl w:val="0"/>
          <w:numId w:val="0"/>
        </w:num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公众责任险部分，适用公众责任险条款，</w:t>
      </w:r>
      <w:r>
        <w:rPr>
          <w:rFonts w:hint="eastAsia" w:asciiTheme="minorEastAsia" w:hAnsiTheme="minorEastAsia" w:eastAsiaTheme="minorEastAsia" w:cstheme="minorEastAsia"/>
          <w:color w:val="auto"/>
          <w:sz w:val="22"/>
          <w:szCs w:val="22"/>
          <w:highlight w:val="none"/>
        </w:rPr>
        <w:t>由于自然灾害及</w:t>
      </w:r>
      <w:r>
        <w:rPr>
          <w:rFonts w:hint="eastAsia" w:asciiTheme="minorEastAsia" w:hAnsiTheme="minorEastAsia" w:eastAsiaTheme="minorEastAsia" w:cstheme="minorEastAsia"/>
          <w:color w:val="auto"/>
          <w:sz w:val="22"/>
          <w:szCs w:val="22"/>
          <w:highlight w:val="none"/>
          <w:lang w:val="en-US" w:eastAsia="zh-CN"/>
        </w:rPr>
        <w:t>日常管理中</w:t>
      </w:r>
      <w:r>
        <w:rPr>
          <w:rFonts w:hint="eastAsia" w:asciiTheme="minorEastAsia" w:hAnsiTheme="minorEastAsia" w:eastAsiaTheme="minorEastAsia" w:cstheme="minorEastAsia"/>
          <w:color w:val="auto"/>
          <w:sz w:val="22"/>
          <w:szCs w:val="22"/>
          <w:highlight w:val="none"/>
        </w:rPr>
        <w:t>由于</w:t>
      </w:r>
      <w:r>
        <w:rPr>
          <w:rFonts w:hint="eastAsia" w:asciiTheme="minorEastAsia" w:hAnsiTheme="minorEastAsia" w:eastAsiaTheme="minorEastAsia" w:cstheme="minorEastAsia"/>
          <w:color w:val="auto"/>
          <w:sz w:val="22"/>
          <w:szCs w:val="22"/>
          <w:highlight w:val="none"/>
          <w:lang w:val="en-US" w:eastAsia="zh-CN"/>
        </w:rPr>
        <w:t>路面问题（包括但不限于坑洞、车辙、裂缝、波浪、拥包等）尚未修复时段、公路设施（包括但不限于标志牌、护栏、示警、桥梁伸缩缝等）破损变形尚未修复时段</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路面泥浆、石块、渣土、路面油污等各类公路撒落物尚未清理时段，树木树技、公路设施因不明原因横出、倒扶、掉落、以及其他非交易人主观意愿原因</w:t>
      </w:r>
      <w:r>
        <w:rPr>
          <w:rFonts w:hint="eastAsia" w:asciiTheme="minorEastAsia" w:hAnsiTheme="minorEastAsia" w:eastAsiaTheme="minorEastAsia" w:cstheme="minorEastAsia"/>
          <w:color w:val="auto"/>
          <w:sz w:val="22"/>
          <w:szCs w:val="22"/>
          <w:highlight w:val="none"/>
          <w:lang w:eastAsia="zh-CN"/>
        </w:rPr>
        <w:t>引起意外事故，</w:t>
      </w:r>
      <w:r>
        <w:rPr>
          <w:rFonts w:hint="eastAsia" w:asciiTheme="minorEastAsia" w:hAnsiTheme="minorEastAsia" w:eastAsiaTheme="minorEastAsia" w:cstheme="minorEastAsia"/>
          <w:color w:val="auto"/>
          <w:sz w:val="22"/>
          <w:szCs w:val="22"/>
          <w:highlight w:val="none"/>
        </w:rPr>
        <w:t>造成的第三方</w:t>
      </w:r>
      <w:r>
        <w:rPr>
          <w:rFonts w:hint="eastAsia" w:asciiTheme="minorEastAsia" w:hAnsiTheme="minorEastAsia" w:eastAsiaTheme="minorEastAsia" w:cstheme="minorEastAsia"/>
          <w:color w:val="auto"/>
          <w:sz w:val="22"/>
          <w:szCs w:val="22"/>
          <w:highlight w:val="none"/>
          <w:lang w:eastAsia="zh-CN"/>
        </w:rPr>
        <w:t>财产损失或</w:t>
      </w:r>
      <w:r>
        <w:rPr>
          <w:rFonts w:hint="eastAsia" w:asciiTheme="minorEastAsia" w:hAnsiTheme="minorEastAsia" w:eastAsiaTheme="minorEastAsia" w:cstheme="minorEastAsia"/>
          <w:color w:val="auto"/>
          <w:sz w:val="22"/>
          <w:szCs w:val="22"/>
          <w:highlight w:val="none"/>
        </w:rPr>
        <w:t>人身伤亡</w:t>
      </w:r>
      <w:r>
        <w:rPr>
          <w:rFonts w:hint="eastAsia" w:asciiTheme="minorEastAsia" w:hAnsiTheme="minorEastAsia" w:eastAsiaTheme="minorEastAsia" w:cstheme="minorEastAsia"/>
          <w:color w:val="auto"/>
          <w:sz w:val="22"/>
          <w:szCs w:val="22"/>
          <w:highlight w:val="none"/>
          <w:lang w:val="en-US" w:eastAsia="zh-CN"/>
        </w:rPr>
        <w:t>；</w:t>
      </w:r>
    </w:p>
    <w:p>
      <w:pPr>
        <w:numPr>
          <w:ilvl w:val="0"/>
          <w:numId w:val="0"/>
        </w:num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事先经保险人书面同意的诉讼费用；发生保险责任事故后，被保险人人为缩小或减少对第三者人身伤亡或财产损失的</w:t>
      </w:r>
      <w:r>
        <w:rPr>
          <w:rFonts w:hint="eastAsia" w:asciiTheme="minorEastAsia" w:hAnsiTheme="minorEastAsia" w:eastAsiaTheme="minorEastAsia" w:cstheme="minorEastAsia"/>
          <w:color w:val="auto"/>
          <w:sz w:val="22"/>
          <w:szCs w:val="22"/>
          <w:highlight w:val="none"/>
          <w:lang w:val="en-US" w:eastAsia="zh-CN"/>
        </w:rPr>
        <w:t>赔偿责任所支付的必要的、合理的费用；以上均属于</w:t>
      </w:r>
      <w:r>
        <w:rPr>
          <w:rFonts w:hint="eastAsia" w:asciiTheme="minorEastAsia" w:hAnsiTheme="minorEastAsia" w:eastAsiaTheme="minorEastAsia" w:cstheme="minorEastAsia"/>
          <w:color w:val="auto"/>
          <w:sz w:val="22"/>
          <w:szCs w:val="22"/>
          <w:highlight w:val="none"/>
        </w:rPr>
        <w:t>中标人</w:t>
      </w:r>
      <w:r>
        <w:rPr>
          <w:rFonts w:hint="eastAsia" w:asciiTheme="minorEastAsia" w:hAnsiTheme="minorEastAsia" w:eastAsiaTheme="minorEastAsia" w:cstheme="minorEastAsia"/>
          <w:color w:val="auto"/>
          <w:sz w:val="22"/>
          <w:szCs w:val="22"/>
          <w:highlight w:val="none"/>
          <w:lang w:val="en-US" w:eastAsia="zh-CN"/>
        </w:rPr>
        <w:t>的赔偿范围。</w:t>
      </w:r>
    </w:p>
    <w:p>
      <w:pPr>
        <w:numPr>
          <w:ilvl w:val="0"/>
          <w:numId w:val="0"/>
        </w:num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附加条款</w:t>
      </w:r>
      <w:r>
        <w:rPr>
          <w:rFonts w:hint="eastAsia" w:asciiTheme="minorEastAsia" w:hAnsiTheme="minorEastAsia" w:eastAsiaTheme="minorEastAsia" w:cstheme="minorEastAsia"/>
          <w:bCs/>
          <w:color w:val="auto"/>
          <w:sz w:val="22"/>
          <w:szCs w:val="22"/>
          <w:highlight w:val="none"/>
          <w:lang w:val="en-US" w:eastAsia="zh-CN"/>
        </w:rPr>
        <w:t>以中标人公司内部经报备监管部门审批并得到同意的条款为准</w:t>
      </w:r>
      <w:r>
        <w:rPr>
          <w:rFonts w:hint="eastAsia" w:asciiTheme="minorEastAsia" w:hAnsiTheme="minorEastAsia" w:eastAsiaTheme="minorEastAsia" w:cstheme="minorEastAsia"/>
          <w:color w:val="auto"/>
          <w:sz w:val="22"/>
          <w:szCs w:val="22"/>
          <w:highlight w:val="none"/>
        </w:rPr>
        <w:t>。</w:t>
      </w:r>
    </w:p>
    <w:p>
      <w:pPr>
        <w:numPr>
          <w:ilvl w:val="0"/>
          <w:numId w:val="0"/>
        </w:numPr>
        <w:spacing w:line="360" w:lineRule="auto"/>
        <w:ind w:firstLine="440" w:firstLineChars="200"/>
        <w:jc w:val="left"/>
        <w:rPr>
          <w:rFonts w:hint="eastAsia" w:asciiTheme="minorEastAsia" w:hAnsiTheme="minorEastAsia" w:eastAsiaTheme="minorEastAsia" w:cstheme="minorEastAsia"/>
          <w:bCs w:val="0"/>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2、雇主责任险部分，</w:t>
      </w:r>
      <w:r>
        <w:rPr>
          <w:rFonts w:hint="eastAsia" w:asciiTheme="minorEastAsia" w:hAnsiTheme="minorEastAsia" w:eastAsiaTheme="minorEastAsia" w:cstheme="minorEastAsia"/>
          <w:color w:val="auto"/>
          <w:sz w:val="22"/>
          <w:szCs w:val="22"/>
          <w:highlight w:val="none"/>
        </w:rPr>
        <w:t>在保险期间内</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扩展24小时条款）</w:t>
      </w:r>
      <w:r>
        <w:rPr>
          <w:rFonts w:hint="eastAsia" w:asciiTheme="minorEastAsia" w:hAnsiTheme="minorEastAsia" w:eastAsiaTheme="minorEastAsia" w:cstheme="minorEastAsia"/>
          <w:color w:val="auto"/>
          <w:sz w:val="22"/>
          <w:szCs w:val="22"/>
          <w:highlight w:val="none"/>
        </w:rPr>
        <w:t>，凡被保险人的员工雇员在中华人民共和国境内（不包括香港、 澳门和台湾地区）受雇用期间因从事保险单载明的被保险人的业务工作，而遭受意外事故或患与工作有关的国家规定的职业性疾病所致伤、残或死亡，符合中华人员共和国国务院颁布的《工伤保险条例》第十四条、第十五条规定可认定为工伤的，依照中华人民共和国法律（不包括港澳台地区法律）应由被保险人承担的经济赔偿责任，保险人按照本保险合同约定负责下列赔偿： （一）死亡赔偿金；（二）残疾赔偿金；（</w:t>
      </w:r>
      <w:r>
        <w:rPr>
          <w:rFonts w:hint="eastAsia" w:asciiTheme="minorEastAsia" w:hAnsiTheme="minorEastAsia" w:eastAsiaTheme="minorEastAsia" w:cstheme="minorEastAsia"/>
          <w:color w:val="auto"/>
          <w:sz w:val="22"/>
          <w:szCs w:val="22"/>
          <w:highlight w:val="none"/>
          <w:lang w:val="en-US" w:eastAsia="zh-CN"/>
        </w:rPr>
        <w:t>三</w:t>
      </w:r>
      <w:r>
        <w:rPr>
          <w:rFonts w:hint="eastAsia" w:asciiTheme="minorEastAsia" w:hAnsiTheme="minorEastAsia" w:eastAsiaTheme="minorEastAsia" w:cstheme="minorEastAsia"/>
          <w:color w:val="auto"/>
          <w:sz w:val="22"/>
          <w:szCs w:val="22"/>
          <w:highlight w:val="none"/>
        </w:rPr>
        <w:t>）误工费用。</w:t>
      </w:r>
    </w:p>
    <w:p>
      <w:pPr>
        <w:numPr>
          <w:ilvl w:val="0"/>
          <w:numId w:val="0"/>
        </w:numPr>
        <w:spacing w:line="360" w:lineRule="auto"/>
        <w:ind w:firstLine="440" w:firstLineChars="200"/>
        <w:jc w:val="left"/>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3、团体意外险部分，</w:t>
      </w:r>
      <w:r>
        <w:rPr>
          <w:rFonts w:hint="eastAsia" w:asciiTheme="minorEastAsia" w:hAnsiTheme="minorEastAsia" w:eastAsiaTheme="minorEastAsia" w:cstheme="minorEastAsia"/>
          <w:bCs w:val="0"/>
          <w:color w:val="auto"/>
          <w:sz w:val="22"/>
          <w:szCs w:val="22"/>
          <w:highlight w:val="none"/>
        </w:rPr>
        <w:t>在保险期间内，被保险人</w:t>
      </w:r>
      <w:r>
        <w:rPr>
          <w:rFonts w:hint="eastAsia" w:asciiTheme="minorEastAsia" w:hAnsiTheme="minorEastAsia" w:eastAsiaTheme="minorEastAsia" w:cstheme="minorEastAsia"/>
          <w:bCs w:val="0"/>
          <w:color w:val="auto"/>
          <w:sz w:val="22"/>
          <w:szCs w:val="22"/>
          <w:highlight w:val="none"/>
          <w:lang w:val="en-US" w:eastAsia="zh-CN"/>
        </w:rPr>
        <w:t>因突发疾病身故，或</w:t>
      </w:r>
      <w:r>
        <w:rPr>
          <w:rFonts w:hint="eastAsia" w:asciiTheme="minorEastAsia" w:hAnsiTheme="minorEastAsia" w:eastAsiaTheme="minorEastAsia" w:cstheme="minorEastAsia"/>
          <w:bCs w:val="0"/>
          <w:color w:val="auto"/>
          <w:sz w:val="22"/>
          <w:szCs w:val="22"/>
          <w:highlight w:val="none"/>
        </w:rPr>
        <w:t>遭受意外伤害，并因该意外伤害导致身故或伤残的，</w:t>
      </w:r>
      <w:r>
        <w:rPr>
          <w:rFonts w:hint="eastAsia" w:asciiTheme="minorEastAsia" w:hAnsiTheme="minorEastAsia" w:eastAsiaTheme="minorEastAsia" w:cstheme="minorEastAsia"/>
          <w:bCs w:val="0"/>
          <w:color w:val="auto"/>
          <w:sz w:val="22"/>
          <w:szCs w:val="22"/>
          <w:highlight w:val="none"/>
          <w:lang w:val="en-US" w:eastAsia="zh-CN"/>
        </w:rPr>
        <w:t>或因意外伤害住院的，</w:t>
      </w:r>
      <w:r>
        <w:rPr>
          <w:rFonts w:hint="eastAsia" w:asciiTheme="minorEastAsia" w:hAnsiTheme="minorEastAsia" w:eastAsiaTheme="minorEastAsia" w:cstheme="minorEastAsia"/>
          <w:bCs w:val="0"/>
          <w:color w:val="auto"/>
          <w:sz w:val="22"/>
          <w:szCs w:val="22"/>
          <w:highlight w:val="none"/>
        </w:rPr>
        <w:t>保险人依照合同约定给付</w:t>
      </w:r>
      <w:r>
        <w:rPr>
          <w:rFonts w:hint="eastAsia" w:asciiTheme="minorEastAsia" w:hAnsiTheme="minorEastAsia" w:eastAsiaTheme="minorEastAsia" w:cstheme="minorEastAsia"/>
          <w:bCs w:val="0"/>
          <w:color w:val="auto"/>
          <w:sz w:val="22"/>
          <w:szCs w:val="22"/>
          <w:highlight w:val="none"/>
          <w:lang w:val="en-US" w:eastAsia="zh-CN"/>
        </w:rPr>
        <w:t>保险金或补偿费用</w:t>
      </w:r>
      <w:r>
        <w:rPr>
          <w:rFonts w:hint="eastAsia" w:asciiTheme="minorEastAsia" w:hAnsiTheme="minorEastAsia" w:eastAsiaTheme="minorEastAsia" w:cstheme="minorEastAsia"/>
          <w:bCs w:val="0"/>
          <w:color w:val="auto"/>
          <w:sz w:val="22"/>
          <w:szCs w:val="22"/>
          <w:highlight w:val="none"/>
        </w:rPr>
        <w:t>。</w:t>
      </w:r>
      <w:r>
        <w:rPr>
          <w:rFonts w:hint="eastAsia" w:asciiTheme="minorEastAsia" w:hAnsiTheme="minorEastAsia" w:eastAsiaTheme="minorEastAsia" w:cstheme="minorEastAsia"/>
          <w:bCs w:val="0"/>
          <w:color w:val="auto"/>
          <w:sz w:val="22"/>
          <w:szCs w:val="22"/>
          <w:highlight w:val="none"/>
          <w:lang w:val="en-US" w:eastAsia="zh-CN"/>
        </w:rPr>
        <w:t>具体细则以中标人公司险种条款为准。</w:t>
      </w:r>
    </w:p>
    <w:p>
      <w:pPr>
        <w:spacing w:line="360" w:lineRule="auto"/>
        <w:ind w:firstLine="431" w:firstLineChars="196"/>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三）</w:t>
      </w:r>
      <w:r>
        <w:rPr>
          <w:rFonts w:hint="eastAsia" w:asciiTheme="minorEastAsia" w:hAnsiTheme="minorEastAsia" w:eastAsiaTheme="minorEastAsia" w:cstheme="minorEastAsia"/>
          <w:bCs/>
          <w:color w:val="auto"/>
          <w:sz w:val="22"/>
          <w:szCs w:val="22"/>
          <w:highlight w:val="none"/>
        </w:rPr>
        <w:t>理赔服务</w:t>
      </w:r>
    </w:p>
    <w:p>
      <w:pPr>
        <w:spacing w:line="360" w:lineRule="auto"/>
        <w:ind w:firstLine="651" w:firstLineChars="296"/>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1、</w:t>
      </w:r>
      <w:r>
        <w:rPr>
          <w:rFonts w:hint="eastAsia" w:asciiTheme="minorEastAsia" w:hAnsiTheme="minorEastAsia" w:eastAsiaTheme="minorEastAsia" w:cstheme="minorEastAsia"/>
          <w:bCs/>
          <w:color w:val="auto"/>
          <w:sz w:val="22"/>
          <w:szCs w:val="22"/>
          <w:highlight w:val="none"/>
        </w:rPr>
        <w:t>自接到报案后，保险公司应派人上门提供一条龙服务（勘察—理赔手续—赔付）</w:t>
      </w:r>
    </w:p>
    <w:p>
      <w:pPr>
        <w:spacing w:line="360" w:lineRule="auto"/>
        <w:ind w:firstLine="651" w:firstLineChars="296"/>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投标人应当成立</w:t>
      </w:r>
      <w:r>
        <w:rPr>
          <w:rFonts w:hint="eastAsia" w:asciiTheme="minorEastAsia" w:hAnsiTheme="minorEastAsia" w:eastAsiaTheme="minorEastAsia" w:cstheme="minorEastAsia"/>
          <w:bCs/>
          <w:color w:val="auto"/>
          <w:sz w:val="22"/>
          <w:szCs w:val="22"/>
          <w:highlight w:val="none"/>
          <w:lang w:val="en-US" w:eastAsia="zh-CN"/>
        </w:rPr>
        <w:t>专门的</w:t>
      </w:r>
      <w:r>
        <w:rPr>
          <w:rFonts w:hint="eastAsia" w:asciiTheme="minorEastAsia" w:hAnsiTheme="minorEastAsia" w:eastAsiaTheme="minorEastAsia" w:cstheme="minorEastAsia"/>
          <w:bCs/>
          <w:color w:val="auto"/>
          <w:sz w:val="22"/>
          <w:szCs w:val="22"/>
          <w:highlight w:val="none"/>
        </w:rPr>
        <w:t>保险理赔服务团队，由有经验的专业理赔人员负责具体的理赔服务工作。理赔人员要保证工作时间内在岗，不能因为理赔人员的</w:t>
      </w:r>
      <w:r>
        <w:rPr>
          <w:rFonts w:hint="eastAsia" w:asciiTheme="minorEastAsia" w:hAnsiTheme="minorEastAsia" w:eastAsiaTheme="minorEastAsia" w:cstheme="minorEastAsia"/>
          <w:bCs/>
          <w:color w:val="auto"/>
          <w:sz w:val="22"/>
          <w:szCs w:val="22"/>
          <w:highlight w:val="none"/>
          <w:lang w:val="en-US" w:eastAsia="zh-CN"/>
        </w:rPr>
        <w:t>原因</w:t>
      </w:r>
      <w:r>
        <w:rPr>
          <w:rFonts w:hint="eastAsia" w:asciiTheme="minorEastAsia" w:hAnsiTheme="minorEastAsia" w:eastAsiaTheme="minorEastAsia" w:cstheme="minorEastAsia"/>
          <w:bCs/>
          <w:color w:val="auto"/>
          <w:sz w:val="22"/>
          <w:szCs w:val="22"/>
          <w:highlight w:val="none"/>
        </w:rPr>
        <w:t>影响到正常的理赔工作</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若因理赔人员处置不规范、行为不恰当引起诉讼投诉等给业主造成损失和不良影响的，</w:t>
      </w:r>
      <w:r>
        <w:rPr>
          <w:rFonts w:hint="eastAsia" w:asciiTheme="minorEastAsia" w:hAnsiTheme="minorEastAsia" w:eastAsiaTheme="minorEastAsia" w:cstheme="minorEastAsia"/>
          <w:bCs/>
          <w:color w:val="auto"/>
          <w:sz w:val="22"/>
          <w:szCs w:val="22"/>
          <w:highlight w:val="none"/>
        </w:rPr>
        <w:t>保险公司</w:t>
      </w:r>
      <w:r>
        <w:rPr>
          <w:rFonts w:hint="eastAsia" w:asciiTheme="minorEastAsia" w:hAnsiTheme="minorEastAsia" w:eastAsiaTheme="minorEastAsia" w:cstheme="minorEastAsia"/>
          <w:bCs/>
          <w:color w:val="auto"/>
          <w:sz w:val="22"/>
          <w:szCs w:val="22"/>
          <w:highlight w:val="none"/>
          <w:lang w:val="en-US" w:eastAsia="zh-CN"/>
        </w:rPr>
        <w:t>需承担责任并赔偿交易人对应损失，交易人根据情节轻重有权终止合同并要求</w:t>
      </w:r>
      <w:r>
        <w:rPr>
          <w:rFonts w:hint="eastAsia" w:asciiTheme="minorEastAsia" w:hAnsiTheme="minorEastAsia" w:eastAsiaTheme="minorEastAsia" w:cstheme="minorEastAsia"/>
          <w:bCs/>
          <w:color w:val="auto"/>
          <w:sz w:val="22"/>
          <w:szCs w:val="22"/>
          <w:highlight w:val="none"/>
        </w:rPr>
        <w:t>保险公司</w:t>
      </w:r>
      <w:r>
        <w:rPr>
          <w:rFonts w:hint="eastAsia" w:asciiTheme="minorEastAsia" w:hAnsiTheme="minorEastAsia" w:eastAsiaTheme="minorEastAsia" w:cstheme="minorEastAsia"/>
          <w:bCs/>
          <w:color w:val="auto"/>
          <w:sz w:val="22"/>
          <w:szCs w:val="22"/>
          <w:highlight w:val="none"/>
          <w:lang w:val="en-US" w:eastAsia="zh-CN"/>
        </w:rPr>
        <w:t>赔偿违约损失</w:t>
      </w:r>
      <w:r>
        <w:rPr>
          <w:rFonts w:hint="eastAsia" w:asciiTheme="minorEastAsia" w:hAnsiTheme="minorEastAsia" w:eastAsiaTheme="minorEastAsia" w:cstheme="minorEastAsia"/>
          <w:bCs/>
          <w:color w:val="auto"/>
          <w:sz w:val="22"/>
          <w:szCs w:val="22"/>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 xml:space="preserve">   </w:t>
      </w:r>
      <w:r>
        <w:rPr>
          <w:rFonts w:hint="eastAsia" w:asciiTheme="minorEastAsia" w:hAnsiTheme="minorEastAsia" w:eastAsiaTheme="minorEastAsia" w:cstheme="minorEastAsia"/>
          <w:b/>
          <w:bCs w:val="0"/>
          <w:color w:val="auto"/>
          <w:sz w:val="22"/>
          <w:szCs w:val="22"/>
          <w:highlight w:val="none"/>
          <w:lang w:val="en-US" w:eastAsia="zh-CN"/>
        </w:rPr>
        <w:t xml:space="preserve"> </w:t>
      </w:r>
      <w:r>
        <w:rPr>
          <w:rFonts w:hint="eastAsia" w:asciiTheme="minorEastAsia" w:hAnsiTheme="minorEastAsia" w:eastAsiaTheme="minorEastAsia" w:cstheme="minorEastAsia"/>
          <w:b w:val="0"/>
          <w:bCs/>
          <w:color w:val="auto"/>
          <w:sz w:val="22"/>
          <w:szCs w:val="22"/>
          <w:highlight w:val="none"/>
          <w:lang w:val="en-US" w:eastAsia="zh-CN"/>
        </w:rPr>
        <w:t>如发生意外事故，但在事故责任还未明确的前提下，被保险人遭到投诉。保险公司需要协助进行投诉的处理，例如投诉人的情绪安抚、事故责任的判断及举证等。</w:t>
      </w:r>
    </w:p>
    <w:p>
      <w:pPr>
        <w:numPr>
          <w:ilvl w:val="0"/>
          <w:numId w:val="3"/>
        </w:numPr>
        <w:spacing w:line="360" w:lineRule="auto"/>
        <w:ind w:firstLine="651" w:firstLineChars="296"/>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对收到的索赔材料进行审核，并在3个工作日内向投保人反馈是否立案以及是否需要补充提供证明材料。对决定拒赔或者不予立案的，出具正式的书面意见。</w:t>
      </w:r>
    </w:p>
    <w:p>
      <w:pPr>
        <w:numPr>
          <w:ilvl w:val="0"/>
          <w:numId w:val="0"/>
        </w:numPr>
        <w:rPr>
          <w:rFonts w:hint="eastAsia" w:asciiTheme="minorEastAsia" w:hAnsiTheme="minorEastAsia" w:eastAsiaTheme="minorEastAsia" w:cstheme="minorEastAsia"/>
          <w:color w:val="auto"/>
          <w:highlight w:val="none"/>
          <w:lang w:val="en-US" w:eastAsia="zh-CN"/>
        </w:rPr>
      </w:pPr>
    </w:p>
    <w:p>
      <w:pPr>
        <w:numPr>
          <w:ilvl w:val="0"/>
          <w:numId w:val="0"/>
        </w:numPr>
        <w:spacing w:line="300" w:lineRule="exact"/>
        <w:ind w:left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val="en-US" w:eastAsia="zh-CN"/>
        </w:rPr>
        <w:t>附：管养线路明细表</w:t>
      </w:r>
    </w:p>
    <w:p>
      <w:pPr>
        <w:pStyle w:val="2"/>
        <w:rPr>
          <w:rFonts w:hint="eastAsia" w:asciiTheme="minorEastAsia" w:hAnsiTheme="minorEastAsia" w:eastAsiaTheme="minorEastAsia" w:cstheme="minorEastAsia"/>
          <w:b/>
          <w:color w:val="auto"/>
          <w:highlight w:val="none"/>
          <w:lang w:val="en-US" w:eastAsia="zh-CN"/>
        </w:rPr>
      </w:pPr>
    </w:p>
    <w:tbl>
      <w:tblPr>
        <w:tblStyle w:val="16"/>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6"/>
        <w:gridCol w:w="1680"/>
        <w:gridCol w:w="5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676" w:type="dxa"/>
            <w:gridSpan w:val="3"/>
            <w:tcBorders>
              <w:top w:val="single" w:color="000000" w:sz="12"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40"/>
                <w:szCs w:val="40"/>
                <w:highlight w:val="none"/>
                <w:u w:val="none"/>
              </w:rPr>
            </w:pPr>
            <w:r>
              <w:rPr>
                <w:rFonts w:hint="eastAsia" w:asciiTheme="minorEastAsia" w:hAnsiTheme="minorEastAsia" w:eastAsiaTheme="minorEastAsia" w:cstheme="minorEastAsia"/>
                <w:b/>
                <w:i w:val="0"/>
                <w:color w:val="auto"/>
                <w:kern w:val="0"/>
                <w:sz w:val="40"/>
                <w:szCs w:val="40"/>
                <w:highlight w:val="none"/>
                <w:u w:val="none"/>
                <w:lang w:val="en-US" w:eastAsia="zh-CN" w:bidi="ar"/>
              </w:rPr>
              <w:t>管养路线表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Theme="minorEastAsia" w:hAnsiTheme="minorEastAsia" w:eastAsiaTheme="minorEastAsia" w:cstheme="minorEastAsia"/>
                <w:i w:val="0"/>
                <w:color w:val="auto"/>
                <w:kern w:val="0"/>
                <w:sz w:val="20"/>
                <w:szCs w:val="20"/>
                <w:highlight w:val="none"/>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路线</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Theme="minorEastAsia" w:hAnsiTheme="minorEastAsia" w:eastAsiaTheme="minorEastAsia" w:cstheme="minorEastAsia"/>
                <w:i w:val="0"/>
                <w:color w:val="auto"/>
                <w:kern w:val="0"/>
                <w:sz w:val="20"/>
                <w:szCs w:val="20"/>
                <w:highlight w:val="none"/>
                <w:u w:val="none"/>
                <w:lang w:val="en-US" w:eastAsia="zh-CN" w:bidi="ar"/>
              </w:rPr>
              <w:t>编码</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highlight w:val="none"/>
                <w:u w:val="none"/>
              </w:rPr>
            </w:pPr>
            <w:r>
              <w:rPr>
                <w:rFonts w:hint="eastAsia" w:asciiTheme="minorEastAsia" w:hAnsiTheme="minorEastAsia" w:eastAsiaTheme="minorEastAsia" w:cstheme="minorEastAsia"/>
                <w:i w:val="0"/>
                <w:color w:val="auto"/>
                <w:kern w:val="0"/>
                <w:sz w:val="20"/>
                <w:szCs w:val="20"/>
                <w:highlight w:val="none"/>
                <w:u w:val="none"/>
                <w:lang w:val="en-US" w:eastAsia="zh-CN" w:bidi="ar"/>
              </w:rPr>
              <w:t>路线名称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G104</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京岚线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G235</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新海线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G329</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舟鲁线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S211</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桐洞线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S217</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钱磐线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S306</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镇萧线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S309</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鄞开线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塘新线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X103</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三益线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X104</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小白线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X105</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党党线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X106</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桃下线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X107</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瓜渔线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X108</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徐西线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X109</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云许线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X110</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大湄线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X111</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观十五线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X113</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义南线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X115</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伟老线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X116</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光靖线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X117</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青六线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X118</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八柯线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X119</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白曹线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X120</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桥戴线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X121</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包洪线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X123</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左十四线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X125</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来娘线（含支线）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X126</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大南线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X127</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楼佳线（含绕行段）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X128</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戴尖线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X129</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八径线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X131</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琉新线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萧明线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X134</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墅藏线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X135</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城红线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X136</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义大线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X137</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衙坎线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X138</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党老线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39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X139</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西小线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X140</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信益线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X142</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大泥线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X143</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横一线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X144</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河庄路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X145</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党农线（含匝道）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X148</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油虎线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X149</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东思线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X151</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杭金衢高速连接线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X152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塘新线高架（含匝道）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49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X153</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建设四路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X154</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成虎路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X157</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螺东路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X159</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风情大道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X160</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浦南路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X161</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京福线（含萧山东匝道）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建设四路支线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X163</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黎明路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X164</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益农互通匝道连接线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X166</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浦阳江左岸抢险路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59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X167</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浦阳江右岸抢险路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X168</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江东大道连接线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X169</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张家昄互通立交连接线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X170</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杭金线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X171</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杭金线河上支线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X172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时代高架路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12"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65</w:t>
            </w:r>
          </w:p>
        </w:tc>
        <w:tc>
          <w:tcPr>
            <w:tcW w:w="1680" w:type="dxa"/>
            <w:tcBorders>
              <w:top w:val="single" w:color="000000" w:sz="4" w:space="0"/>
              <w:left w:val="single" w:color="000000" w:sz="4" w:space="0"/>
              <w:bottom w:val="single" w:color="000000" w:sz="12"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X173</w:t>
            </w:r>
          </w:p>
        </w:tc>
        <w:tc>
          <w:tcPr>
            <w:tcW w:w="5970" w:type="dxa"/>
            <w:tcBorders>
              <w:top w:val="single" w:color="000000" w:sz="4" w:space="0"/>
              <w:left w:val="single" w:color="000000" w:sz="4" w:space="0"/>
              <w:bottom w:val="single" w:color="000000" w:sz="12"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杨绍线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12"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66</w:t>
            </w:r>
          </w:p>
        </w:tc>
        <w:tc>
          <w:tcPr>
            <w:tcW w:w="1680" w:type="dxa"/>
            <w:tcBorders>
              <w:top w:val="single" w:color="000000" w:sz="12"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X181</w:t>
            </w:r>
          </w:p>
        </w:tc>
        <w:tc>
          <w:tcPr>
            <w:tcW w:w="5970" w:type="dxa"/>
            <w:tcBorders>
              <w:top w:val="single" w:color="000000" w:sz="12"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义大路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X412</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春永线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X432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徐樟线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69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Y101</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大周线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Y102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袄所线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Y103</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转益线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Y105</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进华线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Y107</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新江线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Y108</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水昭线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75</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Y112</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美狮线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Y114</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下南线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Y115</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金石线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Y116</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朱簉线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79</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Y119</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石管线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Y120</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荣新线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Y122</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方党线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Y123</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闻义线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Y124</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城新线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Y125</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半来线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85</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Y126</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管楼线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Y128</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来祥线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87</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Y131</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中徐线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Y133</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渔浦线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89</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Y134</w:t>
            </w:r>
          </w:p>
        </w:tc>
        <w:tc>
          <w:tcPr>
            <w:tcW w:w="5970" w:type="dxa"/>
            <w:tcBorders>
              <w:top w:val="single" w:color="000000" w:sz="4" w:space="0"/>
              <w:left w:val="single" w:color="000000" w:sz="4" w:space="0"/>
              <w:bottom w:val="single" w:color="000000" w:sz="4" w:space="0"/>
              <w:right w:val="single" w:color="000000" w:sz="12"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浦阳江右岸支线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6" w:type="dxa"/>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90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Y135</w:t>
            </w:r>
          </w:p>
        </w:tc>
        <w:tc>
          <w:tcPr>
            <w:tcW w:w="5970"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highlight w:val="none"/>
                <w:u w:val="none"/>
                <w:lang w:val="en-US" w:eastAsia="zh-CN" w:bidi="ar"/>
              </w:rPr>
            </w:pPr>
            <w:r>
              <w:rPr>
                <w:rFonts w:hint="eastAsia" w:asciiTheme="minorEastAsia" w:hAnsiTheme="minorEastAsia" w:eastAsiaTheme="minorEastAsia" w:cstheme="minorEastAsia"/>
                <w:i w:val="0"/>
                <w:color w:val="auto"/>
                <w:kern w:val="0"/>
                <w:sz w:val="20"/>
                <w:szCs w:val="20"/>
                <w:highlight w:val="none"/>
                <w:u w:val="none"/>
                <w:lang w:val="en-US" w:eastAsia="zh-CN" w:bidi="ar"/>
              </w:rPr>
              <w:t>张家昄互通立交支线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676" w:type="dxa"/>
            <w:gridSpan w:val="3"/>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highlight w:val="none"/>
                <w:u w:val="none"/>
              </w:rPr>
            </w:pPr>
            <w:r>
              <w:rPr>
                <w:rFonts w:hint="eastAsia" w:asciiTheme="minorEastAsia" w:hAnsiTheme="minorEastAsia" w:eastAsiaTheme="minorEastAsia" w:cstheme="minorEastAsia"/>
                <w:b/>
                <w:i w:val="0"/>
                <w:color w:val="auto"/>
                <w:kern w:val="0"/>
                <w:sz w:val="20"/>
                <w:szCs w:val="20"/>
                <w:highlight w:val="none"/>
                <w:u w:val="none"/>
                <w:lang w:val="en-US" w:eastAsia="zh-CN" w:bidi="ar"/>
              </w:rPr>
              <w:t>一级公路111.788公里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676" w:type="dxa"/>
            <w:gridSpan w:val="3"/>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highlight w:val="none"/>
                <w:u w:val="none"/>
              </w:rPr>
            </w:pPr>
            <w:r>
              <w:rPr>
                <w:rFonts w:hint="eastAsia" w:asciiTheme="minorEastAsia" w:hAnsiTheme="minorEastAsia" w:eastAsiaTheme="minorEastAsia" w:cstheme="minorEastAsia"/>
                <w:b/>
                <w:i w:val="0"/>
                <w:color w:val="auto"/>
                <w:kern w:val="0"/>
                <w:sz w:val="20"/>
                <w:szCs w:val="20"/>
                <w:highlight w:val="none"/>
                <w:u w:val="none"/>
                <w:lang w:val="en-US" w:eastAsia="zh-CN" w:bidi="ar"/>
              </w:rPr>
              <w:t>二级公路195.15公里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676" w:type="dxa"/>
            <w:gridSpan w:val="3"/>
            <w:tcBorders>
              <w:top w:val="single" w:color="000000" w:sz="4" w:space="0"/>
              <w:left w:val="single" w:color="000000" w:sz="12" w:space="0"/>
              <w:bottom w:val="single" w:color="000000" w:sz="12"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0"/>
                <w:szCs w:val="20"/>
                <w:highlight w:val="none"/>
                <w:u w:val="none"/>
              </w:rPr>
            </w:pPr>
            <w:r>
              <w:rPr>
                <w:rFonts w:hint="eastAsia" w:asciiTheme="minorEastAsia" w:hAnsiTheme="minorEastAsia" w:eastAsiaTheme="minorEastAsia" w:cstheme="minorEastAsia"/>
                <w:b/>
                <w:i w:val="0"/>
                <w:color w:val="auto"/>
                <w:kern w:val="0"/>
                <w:sz w:val="20"/>
                <w:szCs w:val="20"/>
                <w:highlight w:val="none"/>
                <w:u w:val="none"/>
                <w:lang w:val="en-US" w:eastAsia="zh-CN" w:bidi="ar"/>
              </w:rPr>
              <w:t>其他公路包括匝道340.816公里   总计647.754公里</w:t>
            </w:r>
          </w:p>
        </w:tc>
      </w:tr>
    </w:tbl>
    <w:p>
      <w:pPr>
        <w:pStyle w:val="2"/>
        <w:numPr>
          <w:ilvl w:val="0"/>
          <w:numId w:val="0"/>
        </w:numPr>
        <w:ind w:leftChars="0"/>
        <w:rPr>
          <w:rFonts w:hint="eastAsia" w:asciiTheme="minorEastAsia" w:hAnsiTheme="minorEastAsia" w:eastAsiaTheme="minorEastAsia" w:cstheme="minorEastAsia"/>
          <w:b/>
          <w:color w:val="auto"/>
          <w:highlight w:val="none"/>
          <w:lang w:val="en-US" w:eastAsia="zh-CN"/>
        </w:rPr>
      </w:pPr>
    </w:p>
    <w:p>
      <w:pPr>
        <w:pStyle w:val="2"/>
        <w:numPr>
          <w:ilvl w:val="0"/>
          <w:numId w:val="0"/>
        </w:numPr>
        <w:ind w:leftChars="0"/>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员工人数</w:t>
      </w:r>
    </w:p>
    <w:p>
      <w:pPr>
        <w:spacing w:line="300" w:lineRule="exact"/>
        <w:ind w:right="63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交易文件按照287人设置预算，供应商按照287人测算相关保费（报价表格式中要求人均保费也进行列明）。后续如有人员增加，则按照报价表中成交单价计算增加费用。</w:t>
      </w:r>
    </w:p>
    <w:p>
      <w:pPr>
        <w:pStyle w:val="2"/>
        <w:rPr>
          <w:rFonts w:hint="eastAsia" w:asciiTheme="minorEastAsia" w:hAnsiTheme="minorEastAsia" w:eastAsiaTheme="minorEastAsia" w:cstheme="minorEastAsia"/>
          <w:color w:val="auto"/>
          <w:highlight w:val="none"/>
          <w:lang w:val="en-US" w:eastAsia="zh-CN"/>
        </w:rPr>
      </w:pPr>
    </w:p>
    <w:p>
      <w:pPr>
        <w:snapToGrid w:val="0"/>
        <w:spacing w:line="360" w:lineRule="auto"/>
        <w:jc w:val="both"/>
        <w:rPr>
          <w:rFonts w:hint="eastAsia" w:ascii="宋体" w:hAnsi="宋体" w:eastAsia="宋体" w:cs="宋体"/>
          <w:color w:val="auto"/>
          <w:kern w:val="0"/>
          <w:sz w:val="24"/>
          <w:highlight w:val="none"/>
          <w:lang w:eastAsia="zh-CN"/>
        </w:rPr>
      </w:pPr>
      <w:bookmarkStart w:id="18" w:name="_Toc310522576"/>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商务</w:t>
      </w:r>
      <w:r>
        <w:rPr>
          <w:rFonts w:hint="eastAsia" w:ascii="宋体" w:hAnsi="宋体" w:cs="宋体"/>
          <w:b/>
          <w:color w:val="auto"/>
          <w:sz w:val="24"/>
          <w:highlight w:val="none"/>
          <w:lang w:val="en-US" w:eastAsia="zh-CN"/>
        </w:rPr>
        <w:t>需求</w:t>
      </w:r>
    </w:p>
    <w:p>
      <w:pPr>
        <w:widowControl/>
        <w:snapToGrid w:val="0"/>
        <w:spacing w:line="360" w:lineRule="auto"/>
        <w:rPr>
          <w:rFonts w:hint="eastAsia" w:ascii="宋体" w:hAnsi="宋体" w:eastAsia="宋体" w:cs="宋体"/>
          <w:b/>
          <w:bCs/>
          <w:color w:val="auto"/>
          <w:kern w:val="0"/>
          <w:sz w:val="24"/>
          <w:highlight w:val="none"/>
        </w:rPr>
      </w:pPr>
      <w:r>
        <w:rPr>
          <w:rFonts w:hint="eastAsia" w:ascii="宋体" w:hAnsi="宋体" w:cs="宋体"/>
          <w:color w:val="auto"/>
          <w:sz w:val="24"/>
          <w:highlight w:val="none"/>
        </w:rPr>
        <w:t>▲</w:t>
      </w:r>
      <w:r>
        <w:rPr>
          <w:rFonts w:hint="eastAsia" w:ascii="宋体" w:hAnsi="宋体" w:eastAsia="宋体" w:cs="宋体"/>
          <w:b/>
          <w:bCs/>
          <w:color w:val="auto"/>
          <w:kern w:val="0"/>
          <w:sz w:val="24"/>
          <w:highlight w:val="none"/>
        </w:rPr>
        <w:t>1</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服务期限</w:t>
      </w:r>
    </w:p>
    <w:p>
      <w:pPr>
        <w:widowControl/>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1年（合同签订之日起计算）。</w:t>
      </w:r>
    </w:p>
    <w:p>
      <w:pPr>
        <w:widowControl/>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付款方式</w:t>
      </w:r>
    </w:p>
    <w:p>
      <w:pPr>
        <w:widowControl/>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以合同签订为准</w:t>
      </w:r>
      <w:r>
        <w:rPr>
          <w:rFonts w:hint="eastAsia" w:ascii="宋体" w:hAnsi="宋体" w:cs="宋体"/>
          <w:color w:val="auto"/>
          <w:kern w:val="0"/>
          <w:sz w:val="24"/>
          <w:highlight w:val="none"/>
          <w:lang w:val="en-US" w:eastAsia="zh-CN"/>
        </w:rPr>
        <w:t>。</w:t>
      </w:r>
    </w:p>
    <w:p>
      <w:pPr>
        <w:widowControl/>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质量要求</w:t>
      </w:r>
    </w:p>
    <w:p>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必须</w:t>
      </w:r>
      <w:r>
        <w:rPr>
          <w:rFonts w:hint="eastAsia" w:ascii="宋体" w:hAnsi="宋体" w:cs="宋体"/>
          <w:color w:val="auto"/>
          <w:kern w:val="0"/>
          <w:sz w:val="24"/>
          <w:highlight w:val="none"/>
          <w:lang w:eastAsia="zh-CN"/>
        </w:rPr>
        <w:t>按</w:t>
      </w:r>
      <w:r>
        <w:rPr>
          <w:rFonts w:hint="eastAsia" w:ascii="宋体" w:hAnsi="宋体" w:eastAsia="宋体" w:cs="宋体"/>
          <w:color w:val="auto"/>
          <w:kern w:val="0"/>
          <w:sz w:val="24"/>
          <w:highlight w:val="none"/>
          <w:lang w:val="en-US" w:eastAsia="zh-CN"/>
        </w:rPr>
        <w:t>交易文件</w:t>
      </w:r>
      <w:r>
        <w:rPr>
          <w:rFonts w:hint="eastAsia" w:ascii="宋体" w:hAnsi="宋体" w:cs="宋体"/>
          <w:color w:val="auto"/>
          <w:kern w:val="0"/>
          <w:sz w:val="24"/>
          <w:highlight w:val="none"/>
          <w:lang w:val="en-US" w:eastAsia="zh-CN"/>
        </w:rPr>
        <w:t>及</w:t>
      </w:r>
      <w:r>
        <w:rPr>
          <w:rFonts w:hint="eastAsia" w:ascii="宋体" w:hAnsi="宋体" w:eastAsia="宋体" w:cs="宋体"/>
          <w:color w:val="auto"/>
          <w:kern w:val="0"/>
          <w:sz w:val="24"/>
          <w:highlight w:val="none"/>
          <w:lang w:val="en-US" w:eastAsia="zh-CN"/>
        </w:rPr>
        <w:t>相关规定</w:t>
      </w:r>
      <w:r>
        <w:rPr>
          <w:rFonts w:hint="eastAsia" w:ascii="宋体" w:hAnsi="宋体" w:eastAsia="宋体" w:cs="宋体"/>
          <w:color w:val="auto"/>
          <w:kern w:val="0"/>
          <w:sz w:val="24"/>
          <w:highlight w:val="none"/>
        </w:rPr>
        <w:t>要求。</w:t>
      </w:r>
    </w:p>
    <w:p>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w:t>
      </w:r>
    </w:p>
    <w:p>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交易文件中打▲内容为实质性要求，不允许有负偏离，否则将以涉及无效响应条款作无效响应。</w:t>
      </w:r>
    </w:p>
    <w:p>
      <w:pPr>
        <w:spacing w:line="360" w:lineRule="auto"/>
        <w:jc w:val="center"/>
        <w:rPr>
          <w:rFonts w:ascii="仿宋" w:hAnsi="仿宋" w:eastAsia="仿宋" w:cs="仿宋_GB2312"/>
          <w:b/>
          <w:color w:val="auto"/>
          <w:sz w:val="36"/>
          <w:szCs w:val="36"/>
          <w:highlight w:val="none"/>
        </w:rPr>
      </w:pPr>
      <w:r>
        <w:rPr>
          <w:color w:val="auto"/>
          <w:sz w:val="24"/>
          <w:highlight w:val="none"/>
        </w:rPr>
        <w:br w:type="page"/>
      </w:r>
      <w:bookmarkEnd w:id="18"/>
      <w:bookmarkStart w:id="19" w:name="_Toc355460780"/>
      <w:bookmarkEnd w:id="19"/>
      <w:bookmarkStart w:id="20" w:name="_Toc40893862"/>
      <w:bookmarkEnd w:id="20"/>
      <w:bookmarkStart w:id="21" w:name="_Toc483036495"/>
      <w:bookmarkEnd w:id="21"/>
      <w:bookmarkStart w:id="22" w:name="_Toc359011861"/>
      <w:bookmarkEnd w:id="22"/>
      <w:bookmarkStart w:id="23" w:name="_Toc456339246"/>
      <w:bookmarkEnd w:id="23"/>
      <w:bookmarkStart w:id="24" w:name="_Toc471471971"/>
      <w:bookmarkEnd w:id="24"/>
      <w:bookmarkStart w:id="25" w:name="_Toc456339248"/>
      <w:bookmarkEnd w:id="25"/>
      <w:bookmarkStart w:id="26" w:name="_Toc310624257"/>
      <w:bookmarkEnd w:id="26"/>
      <w:bookmarkStart w:id="27" w:name="_Toc13021"/>
      <w:bookmarkEnd w:id="27"/>
      <w:bookmarkStart w:id="28" w:name="_Toc310424142"/>
      <w:bookmarkEnd w:id="28"/>
      <w:bookmarkStart w:id="29" w:name="_Toc309222184"/>
      <w:bookmarkEnd w:id="29"/>
      <w:bookmarkStart w:id="30" w:name="_Toc448429858"/>
      <w:bookmarkEnd w:id="30"/>
      <w:bookmarkStart w:id="31" w:name="_Toc359011859"/>
      <w:bookmarkEnd w:id="31"/>
      <w:bookmarkStart w:id="32" w:name="_Toc310522583"/>
      <w:bookmarkEnd w:id="32"/>
      <w:bookmarkStart w:id="33" w:name="_Toc448429856"/>
      <w:bookmarkEnd w:id="33"/>
      <w:bookmarkStart w:id="34" w:name="_Toc310443605"/>
      <w:bookmarkEnd w:id="34"/>
      <w:bookmarkStart w:id="35" w:name="_Toc40893860"/>
      <w:bookmarkEnd w:id="35"/>
      <w:bookmarkStart w:id="36" w:name="_Toc310782778"/>
      <w:bookmarkEnd w:id="36"/>
      <w:bookmarkStart w:id="37" w:name="_Toc354344586"/>
      <w:bookmarkEnd w:id="37"/>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8" w:name="_Toc184313264"/>
      <w:bookmarkEnd w:id="38"/>
      <w:bookmarkStart w:id="39" w:name="_Toc184312106"/>
      <w:bookmarkEnd w:id="39"/>
      <w:bookmarkStart w:id="40" w:name="_Toc184313251"/>
      <w:bookmarkEnd w:id="40"/>
      <w:bookmarkStart w:id="41" w:name="_Toc184313255"/>
      <w:bookmarkEnd w:id="41"/>
      <w:bookmarkStart w:id="42" w:name="_Toc184312092"/>
      <w:bookmarkEnd w:id="42"/>
      <w:bookmarkStart w:id="43" w:name="_Toc184312077"/>
      <w:bookmarkEnd w:id="43"/>
      <w:bookmarkStart w:id="44" w:name="_Toc184313302"/>
      <w:bookmarkEnd w:id="44"/>
      <w:bookmarkStart w:id="45" w:name="_Toc184308075"/>
      <w:bookmarkEnd w:id="45"/>
      <w:bookmarkStart w:id="46" w:name="_Toc184310304"/>
      <w:bookmarkEnd w:id="46"/>
      <w:bookmarkStart w:id="47" w:name="_Toc184310288"/>
      <w:bookmarkEnd w:id="47"/>
      <w:bookmarkStart w:id="48" w:name="_Toc184310312"/>
      <w:bookmarkEnd w:id="48"/>
      <w:bookmarkStart w:id="49" w:name="_Toc184310276"/>
      <w:bookmarkEnd w:id="49"/>
      <w:bookmarkStart w:id="50" w:name="_Toc184308047"/>
      <w:bookmarkEnd w:id="50"/>
      <w:bookmarkStart w:id="51" w:name="_Toc184308086"/>
      <w:bookmarkEnd w:id="51"/>
      <w:bookmarkStart w:id="52" w:name="_Toc184312079"/>
      <w:bookmarkEnd w:id="52"/>
      <w:bookmarkStart w:id="53" w:name="_Toc184310297"/>
      <w:bookmarkEnd w:id="53"/>
      <w:bookmarkStart w:id="54" w:name="_Toc184314438"/>
      <w:bookmarkEnd w:id="54"/>
      <w:bookmarkStart w:id="55" w:name="_Toc184308071"/>
      <w:bookmarkEnd w:id="55"/>
      <w:bookmarkStart w:id="56" w:name="_Toc184310298"/>
      <w:bookmarkEnd w:id="56"/>
      <w:bookmarkStart w:id="57" w:name="_Toc184310331"/>
      <w:bookmarkEnd w:id="57"/>
      <w:bookmarkStart w:id="58" w:name="_Toc184313254"/>
      <w:bookmarkEnd w:id="58"/>
      <w:bookmarkStart w:id="59" w:name="_Toc184313256"/>
      <w:bookmarkEnd w:id="59"/>
      <w:bookmarkStart w:id="60" w:name="_Toc184312075"/>
      <w:bookmarkEnd w:id="60"/>
      <w:bookmarkStart w:id="61" w:name="_Toc184312126"/>
      <w:bookmarkEnd w:id="61"/>
      <w:bookmarkStart w:id="62" w:name="_Toc184310341"/>
      <w:bookmarkEnd w:id="62"/>
      <w:bookmarkStart w:id="63" w:name="_Toc184310282"/>
      <w:bookmarkEnd w:id="63"/>
      <w:bookmarkStart w:id="64" w:name="_Toc184314458"/>
      <w:bookmarkEnd w:id="64"/>
      <w:bookmarkStart w:id="65" w:name="_Toc184314432"/>
      <w:bookmarkEnd w:id="65"/>
      <w:bookmarkStart w:id="66" w:name="_Toc184314440"/>
      <w:bookmarkEnd w:id="66"/>
      <w:bookmarkStart w:id="67" w:name="_Toc184314481"/>
      <w:bookmarkEnd w:id="67"/>
      <w:bookmarkStart w:id="68" w:name="_Toc184308053"/>
      <w:bookmarkEnd w:id="68"/>
      <w:bookmarkStart w:id="69" w:name="_Toc184308040"/>
      <w:bookmarkEnd w:id="69"/>
      <w:bookmarkStart w:id="70" w:name="_Toc184313289"/>
      <w:bookmarkEnd w:id="70"/>
      <w:bookmarkStart w:id="71" w:name="_Toc184308076"/>
      <w:bookmarkEnd w:id="71"/>
      <w:bookmarkStart w:id="72" w:name="_Toc184310284"/>
      <w:bookmarkEnd w:id="72"/>
      <w:bookmarkStart w:id="73" w:name="_Toc184312133"/>
      <w:bookmarkEnd w:id="73"/>
      <w:bookmarkStart w:id="74" w:name="_Toc184313298"/>
      <w:bookmarkEnd w:id="74"/>
      <w:bookmarkStart w:id="75" w:name="_Toc184308080"/>
      <w:bookmarkEnd w:id="75"/>
      <w:bookmarkStart w:id="76" w:name="_Toc184314476"/>
      <w:bookmarkEnd w:id="76"/>
      <w:bookmarkStart w:id="77" w:name="_Toc184312067"/>
      <w:bookmarkEnd w:id="77"/>
      <w:bookmarkStart w:id="78" w:name="_Toc184314441"/>
      <w:bookmarkEnd w:id="78"/>
      <w:bookmarkStart w:id="79" w:name="_Toc184312070"/>
      <w:bookmarkEnd w:id="79"/>
      <w:bookmarkStart w:id="80" w:name="_Toc184312087"/>
      <w:bookmarkEnd w:id="80"/>
      <w:bookmarkStart w:id="81" w:name="_Toc184310317"/>
      <w:bookmarkEnd w:id="81"/>
      <w:bookmarkStart w:id="82" w:name="_Toc184314422"/>
      <w:bookmarkEnd w:id="82"/>
      <w:bookmarkStart w:id="83" w:name="_Toc184313278"/>
      <w:bookmarkEnd w:id="83"/>
      <w:bookmarkStart w:id="84" w:name="_Toc184310285"/>
      <w:bookmarkEnd w:id="84"/>
      <w:bookmarkStart w:id="85" w:name="_Toc184314431"/>
      <w:bookmarkEnd w:id="85"/>
      <w:bookmarkStart w:id="86" w:name="_Toc184310324"/>
      <w:bookmarkEnd w:id="86"/>
      <w:bookmarkStart w:id="87" w:name="_Toc184308037"/>
      <w:bookmarkEnd w:id="87"/>
      <w:bookmarkStart w:id="88" w:name="_Toc184314445"/>
      <w:bookmarkEnd w:id="88"/>
      <w:bookmarkStart w:id="89" w:name="_Toc184310306"/>
      <w:bookmarkEnd w:id="89"/>
      <w:bookmarkStart w:id="90" w:name="_Toc184310320"/>
      <w:bookmarkEnd w:id="90"/>
      <w:bookmarkStart w:id="91" w:name="_Toc184312104"/>
      <w:bookmarkEnd w:id="91"/>
      <w:bookmarkStart w:id="92" w:name="_Toc184312119"/>
      <w:bookmarkEnd w:id="92"/>
      <w:bookmarkStart w:id="93" w:name="_Toc184313307"/>
      <w:bookmarkEnd w:id="93"/>
      <w:bookmarkStart w:id="94" w:name="_Toc184314427"/>
      <w:bookmarkEnd w:id="94"/>
      <w:bookmarkStart w:id="95" w:name="_Toc184310290"/>
      <w:bookmarkEnd w:id="95"/>
      <w:bookmarkStart w:id="96" w:name="_Toc184314465"/>
      <w:bookmarkEnd w:id="96"/>
      <w:bookmarkStart w:id="97" w:name="_Toc184308072"/>
      <w:bookmarkEnd w:id="97"/>
      <w:bookmarkStart w:id="98" w:name="_Toc184312083"/>
      <w:bookmarkEnd w:id="98"/>
      <w:bookmarkStart w:id="99" w:name="_Toc184312139"/>
      <w:bookmarkEnd w:id="99"/>
      <w:bookmarkStart w:id="100" w:name="_Toc184308103"/>
      <w:bookmarkEnd w:id="100"/>
      <w:bookmarkStart w:id="101" w:name="_Toc184310344"/>
      <w:bookmarkEnd w:id="101"/>
      <w:bookmarkStart w:id="102" w:name="_Toc184308041"/>
      <w:bookmarkEnd w:id="102"/>
      <w:bookmarkStart w:id="103" w:name="_Toc184310303"/>
      <w:bookmarkEnd w:id="103"/>
      <w:bookmarkStart w:id="104" w:name="_Toc184313275"/>
      <w:bookmarkEnd w:id="104"/>
      <w:bookmarkStart w:id="105" w:name="_Toc184312121"/>
      <w:bookmarkEnd w:id="105"/>
      <w:bookmarkStart w:id="106" w:name="_Toc184308059"/>
      <w:bookmarkEnd w:id="106"/>
      <w:bookmarkStart w:id="107" w:name="_Toc184313304"/>
      <w:bookmarkEnd w:id="107"/>
      <w:bookmarkStart w:id="108" w:name="_Toc184313262"/>
      <w:bookmarkEnd w:id="108"/>
      <w:bookmarkStart w:id="109" w:name="_Toc184310283"/>
      <w:bookmarkEnd w:id="109"/>
      <w:bookmarkStart w:id="110" w:name="_Toc184308065"/>
      <w:bookmarkEnd w:id="110"/>
      <w:bookmarkStart w:id="111" w:name="_Toc184308046"/>
      <w:bookmarkEnd w:id="111"/>
      <w:bookmarkStart w:id="112" w:name="_Toc184312120"/>
      <w:bookmarkEnd w:id="112"/>
      <w:bookmarkStart w:id="113" w:name="_Toc184314423"/>
      <w:bookmarkEnd w:id="113"/>
      <w:bookmarkStart w:id="114" w:name="_Toc184313309"/>
      <w:bookmarkEnd w:id="114"/>
      <w:bookmarkStart w:id="115" w:name="_Toc184310278"/>
      <w:bookmarkEnd w:id="115"/>
      <w:bookmarkStart w:id="116" w:name="_Toc184313244"/>
      <w:bookmarkEnd w:id="116"/>
      <w:bookmarkStart w:id="117" w:name="_Toc184308106"/>
      <w:bookmarkEnd w:id="117"/>
      <w:bookmarkStart w:id="118" w:name="_Toc184313273"/>
      <w:bookmarkEnd w:id="118"/>
      <w:bookmarkStart w:id="119" w:name="_Toc184313253"/>
      <w:bookmarkEnd w:id="119"/>
      <w:bookmarkStart w:id="120" w:name="_Toc184314457"/>
      <w:bookmarkEnd w:id="120"/>
      <w:bookmarkStart w:id="121" w:name="_Toc184308042"/>
      <w:bookmarkEnd w:id="121"/>
      <w:bookmarkStart w:id="122" w:name="_Toc184314459"/>
      <w:bookmarkEnd w:id="122"/>
      <w:bookmarkStart w:id="123" w:name="_Toc184313299"/>
      <w:bookmarkEnd w:id="123"/>
      <w:bookmarkStart w:id="124" w:name="_Toc184313295"/>
      <w:bookmarkEnd w:id="124"/>
      <w:bookmarkStart w:id="125" w:name="_Toc184312072"/>
      <w:bookmarkEnd w:id="125"/>
      <w:bookmarkStart w:id="126" w:name="_Toc184310330"/>
      <w:bookmarkEnd w:id="126"/>
      <w:bookmarkStart w:id="127" w:name="_Toc184314474"/>
      <w:bookmarkEnd w:id="127"/>
      <w:bookmarkStart w:id="128" w:name="_Toc184314462"/>
      <w:bookmarkEnd w:id="128"/>
      <w:bookmarkStart w:id="129" w:name="_Toc184308048"/>
      <w:bookmarkEnd w:id="129"/>
      <w:bookmarkStart w:id="130" w:name="_Toc184313282"/>
      <w:bookmarkEnd w:id="130"/>
      <w:bookmarkStart w:id="131" w:name="_Toc184314442"/>
      <w:bookmarkEnd w:id="131"/>
      <w:bookmarkStart w:id="132" w:name="_Toc184312123"/>
      <w:bookmarkEnd w:id="132"/>
      <w:bookmarkStart w:id="133" w:name="_Toc184313301"/>
      <w:bookmarkEnd w:id="133"/>
      <w:bookmarkStart w:id="134" w:name="_Toc184312098"/>
      <w:bookmarkEnd w:id="134"/>
      <w:bookmarkStart w:id="135" w:name="_Toc184312099"/>
      <w:bookmarkEnd w:id="135"/>
      <w:bookmarkStart w:id="136" w:name="_Toc184310281"/>
      <w:bookmarkEnd w:id="136"/>
      <w:bookmarkStart w:id="137" w:name="_Toc184314455"/>
      <w:bookmarkEnd w:id="137"/>
      <w:bookmarkStart w:id="138" w:name="_Toc184308078"/>
      <w:bookmarkEnd w:id="138"/>
      <w:bookmarkStart w:id="139" w:name="_Toc184312094"/>
      <w:bookmarkEnd w:id="139"/>
      <w:bookmarkStart w:id="140" w:name="_Toc184314426"/>
      <w:bookmarkEnd w:id="140"/>
      <w:bookmarkStart w:id="141" w:name="_Toc184308107"/>
      <w:bookmarkEnd w:id="141"/>
      <w:bookmarkStart w:id="142" w:name="_Toc184313291"/>
      <w:bookmarkEnd w:id="142"/>
      <w:bookmarkStart w:id="143" w:name="_Toc184310309"/>
      <w:bookmarkEnd w:id="143"/>
      <w:bookmarkStart w:id="144" w:name="_Toc184310279"/>
      <w:bookmarkEnd w:id="144"/>
      <w:bookmarkStart w:id="145" w:name="_Toc184310274"/>
      <w:bookmarkEnd w:id="145"/>
      <w:bookmarkStart w:id="146" w:name="_Toc184313297"/>
      <w:bookmarkEnd w:id="146"/>
      <w:bookmarkStart w:id="147" w:name="_Toc184308084"/>
      <w:bookmarkEnd w:id="147"/>
      <w:bookmarkStart w:id="148" w:name="_Toc184308069"/>
      <w:bookmarkEnd w:id="148"/>
      <w:bookmarkStart w:id="149" w:name="_Toc184314460"/>
      <w:bookmarkEnd w:id="149"/>
      <w:bookmarkStart w:id="150" w:name="_Toc184312128"/>
      <w:bookmarkEnd w:id="150"/>
      <w:bookmarkStart w:id="151" w:name="_Toc184312107"/>
      <w:bookmarkEnd w:id="151"/>
      <w:bookmarkStart w:id="152" w:name="_Toc184310310"/>
      <w:bookmarkEnd w:id="152"/>
      <w:bookmarkStart w:id="153" w:name="_Toc184312093"/>
      <w:bookmarkEnd w:id="153"/>
      <w:bookmarkStart w:id="154" w:name="_Toc184308067"/>
      <w:bookmarkEnd w:id="154"/>
      <w:bookmarkStart w:id="155" w:name="_Toc184313270"/>
      <w:bookmarkEnd w:id="155"/>
      <w:bookmarkStart w:id="156" w:name="_Toc184310329"/>
      <w:bookmarkEnd w:id="156"/>
      <w:bookmarkStart w:id="157" w:name="_Toc184314412"/>
      <w:bookmarkEnd w:id="157"/>
      <w:bookmarkStart w:id="158" w:name="_Toc184310319"/>
      <w:bookmarkEnd w:id="158"/>
      <w:bookmarkStart w:id="159" w:name="_Toc184312137"/>
      <w:bookmarkEnd w:id="159"/>
      <w:bookmarkStart w:id="160" w:name="_Toc184308085"/>
      <w:bookmarkEnd w:id="160"/>
      <w:bookmarkStart w:id="161" w:name="_Toc184314437"/>
      <w:bookmarkEnd w:id="161"/>
      <w:bookmarkStart w:id="162" w:name="_Toc184313303"/>
      <w:bookmarkEnd w:id="162"/>
      <w:bookmarkStart w:id="163" w:name="_Toc184314479"/>
      <w:bookmarkEnd w:id="163"/>
      <w:bookmarkStart w:id="164" w:name="_Toc184310308"/>
      <w:bookmarkEnd w:id="164"/>
      <w:bookmarkStart w:id="165" w:name="_Toc184308104"/>
      <w:bookmarkEnd w:id="165"/>
      <w:bookmarkStart w:id="166" w:name="_Toc184310301"/>
      <w:bookmarkEnd w:id="166"/>
      <w:bookmarkStart w:id="167" w:name="_Toc184312096"/>
      <w:bookmarkEnd w:id="167"/>
      <w:bookmarkStart w:id="168" w:name="_Toc184313249"/>
      <w:bookmarkEnd w:id="168"/>
      <w:bookmarkStart w:id="169" w:name="_Toc184313287"/>
      <w:bookmarkEnd w:id="169"/>
      <w:bookmarkStart w:id="170" w:name="_Toc184312089"/>
      <w:bookmarkEnd w:id="170"/>
      <w:bookmarkStart w:id="171" w:name="_Toc184308092"/>
      <w:bookmarkEnd w:id="171"/>
      <w:bookmarkStart w:id="172" w:name="_Toc184313269"/>
      <w:bookmarkEnd w:id="172"/>
      <w:bookmarkStart w:id="173" w:name="_Toc184308082"/>
      <w:bookmarkEnd w:id="173"/>
      <w:bookmarkStart w:id="174" w:name="_Toc184310333"/>
      <w:bookmarkEnd w:id="174"/>
      <w:bookmarkStart w:id="175" w:name="_Toc184310318"/>
      <w:bookmarkEnd w:id="175"/>
      <w:bookmarkStart w:id="176" w:name="_Toc184314467"/>
      <w:bookmarkEnd w:id="176"/>
      <w:bookmarkStart w:id="177" w:name="_Toc184308070"/>
      <w:bookmarkEnd w:id="177"/>
      <w:bookmarkStart w:id="178" w:name="_Toc184312095"/>
      <w:bookmarkEnd w:id="178"/>
      <w:bookmarkStart w:id="179" w:name="_Toc184308087"/>
      <w:bookmarkEnd w:id="179"/>
      <w:bookmarkStart w:id="180" w:name="_Toc184312071"/>
      <w:bookmarkEnd w:id="180"/>
      <w:bookmarkStart w:id="181" w:name="_Toc184314419"/>
      <w:bookmarkEnd w:id="181"/>
      <w:bookmarkStart w:id="182" w:name="_Toc184310286"/>
      <w:bookmarkEnd w:id="182"/>
      <w:bookmarkStart w:id="183" w:name="_Toc184313263"/>
      <w:bookmarkEnd w:id="183"/>
      <w:bookmarkStart w:id="184" w:name="_Toc184313243"/>
      <w:bookmarkEnd w:id="184"/>
      <w:bookmarkStart w:id="185" w:name="_Toc184310342"/>
      <w:bookmarkEnd w:id="185"/>
      <w:bookmarkStart w:id="186" w:name="_Toc184308079"/>
      <w:bookmarkEnd w:id="186"/>
      <w:bookmarkStart w:id="187" w:name="_Toc184308074"/>
      <w:bookmarkEnd w:id="187"/>
      <w:bookmarkStart w:id="188" w:name="_Toc184310277"/>
      <w:bookmarkEnd w:id="188"/>
      <w:bookmarkStart w:id="189" w:name="_Toc184314451"/>
      <w:bookmarkEnd w:id="189"/>
      <w:bookmarkStart w:id="190" w:name="_Toc184314452"/>
      <w:bookmarkEnd w:id="190"/>
      <w:bookmarkStart w:id="191" w:name="_Toc184313283"/>
      <w:bookmarkEnd w:id="191"/>
      <w:bookmarkStart w:id="192" w:name="_Toc184308039"/>
      <w:bookmarkEnd w:id="192"/>
      <w:bookmarkStart w:id="193" w:name="_Toc184312131"/>
      <w:bookmarkEnd w:id="193"/>
      <w:bookmarkStart w:id="194" w:name="_Toc184310289"/>
      <w:bookmarkEnd w:id="194"/>
      <w:bookmarkStart w:id="195" w:name="_Toc184313271"/>
      <w:bookmarkEnd w:id="195"/>
      <w:bookmarkStart w:id="196" w:name="_Toc184310305"/>
      <w:bookmarkEnd w:id="196"/>
      <w:bookmarkStart w:id="197" w:name="_Toc184313310"/>
      <w:bookmarkEnd w:id="197"/>
      <w:bookmarkStart w:id="198" w:name="_Toc184310280"/>
      <w:bookmarkEnd w:id="198"/>
      <w:bookmarkStart w:id="199" w:name="_Toc184310294"/>
      <w:bookmarkEnd w:id="199"/>
      <w:bookmarkStart w:id="200" w:name="_Toc184310336"/>
      <w:bookmarkEnd w:id="200"/>
      <w:bookmarkStart w:id="201" w:name="_Toc184314477"/>
      <w:bookmarkEnd w:id="201"/>
      <w:bookmarkStart w:id="202" w:name="_Toc184308058"/>
      <w:bookmarkEnd w:id="202"/>
      <w:bookmarkStart w:id="203" w:name="_Toc184308045"/>
      <w:bookmarkEnd w:id="203"/>
      <w:bookmarkStart w:id="204" w:name="_Toc184313288"/>
      <w:bookmarkEnd w:id="204"/>
      <w:bookmarkStart w:id="205" w:name="_Toc184310321"/>
      <w:bookmarkEnd w:id="205"/>
      <w:bookmarkStart w:id="206" w:name="_Toc184308100"/>
      <w:bookmarkEnd w:id="206"/>
      <w:bookmarkStart w:id="207" w:name="_Toc184314448"/>
      <w:bookmarkEnd w:id="207"/>
      <w:bookmarkStart w:id="208" w:name="_Toc184308056"/>
      <w:bookmarkEnd w:id="208"/>
      <w:bookmarkStart w:id="209" w:name="_Toc184314450"/>
      <w:bookmarkEnd w:id="209"/>
      <w:bookmarkStart w:id="210" w:name="_Toc184313272"/>
      <w:bookmarkEnd w:id="210"/>
      <w:bookmarkStart w:id="211" w:name="_Toc184310332"/>
      <w:bookmarkEnd w:id="211"/>
      <w:bookmarkStart w:id="212" w:name="_Toc184310334"/>
      <w:bookmarkEnd w:id="212"/>
      <w:bookmarkStart w:id="213" w:name="_Toc184310296"/>
      <w:bookmarkEnd w:id="213"/>
      <w:bookmarkStart w:id="214" w:name="_Toc184313294"/>
      <w:bookmarkEnd w:id="214"/>
      <w:bookmarkStart w:id="215" w:name="_Toc184312129"/>
      <w:bookmarkEnd w:id="215"/>
      <w:bookmarkStart w:id="216" w:name="_Toc184314453"/>
      <w:bookmarkEnd w:id="216"/>
      <w:bookmarkStart w:id="217" w:name="_Toc184312116"/>
      <w:bookmarkEnd w:id="217"/>
      <w:bookmarkStart w:id="218" w:name="_Toc184314428"/>
      <w:bookmarkEnd w:id="218"/>
      <w:bookmarkStart w:id="219" w:name="_Toc184308073"/>
      <w:bookmarkEnd w:id="219"/>
      <w:bookmarkStart w:id="220" w:name="_Toc184308095"/>
      <w:bookmarkEnd w:id="220"/>
      <w:bookmarkStart w:id="221" w:name="_Toc184314473"/>
      <w:bookmarkEnd w:id="221"/>
      <w:bookmarkStart w:id="222" w:name="_Toc184313260"/>
      <w:bookmarkEnd w:id="222"/>
      <w:bookmarkStart w:id="223" w:name="_Toc184314471"/>
      <w:bookmarkEnd w:id="223"/>
      <w:bookmarkStart w:id="224" w:name="_Toc184310287"/>
      <w:bookmarkEnd w:id="224"/>
      <w:bookmarkStart w:id="225" w:name="_Toc184312125"/>
      <w:bookmarkEnd w:id="225"/>
      <w:bookmarkStart w:id="226" w:name="_Toc184312132"/>
      <w:bookmarkEnd w:id="226"/>
      <w:bookmarkStart w:id="227" w:name="_Toc184312097"/>
      <w:bookmarkEnd w:id="227"/>
      <w:bookmarkStart w:id="228" w:name="_Toc184314443"/>
      <w:bookmarkEnd w:id="228"/>
      <w:bookmarkStart w:id="229" w:name="_Toc184312090"/>
      <w:bookmarkEnd w:id="229"/>
      <w:bookmarkStart w:id="230" w:name="_Toc184314424"/>
      <w:bookmarkEnd w:id="230"/>
      <w:bookmarkStart w:id="231" w:name="_Toc184314415"/>
      <w:bookmarkEnd w:id="231"/>
      <w:bookmarkStart w:id="232" w:name="_Toc184308101"/>
      <w:bookmarkEnd w:id="232"/>
      <w:bookmarkStart w:id="233" w:name="_Toc184314472"/>
      <w:bookmarkEnd w:id="233"/>
      <w:bookmarkStart w:id="234" w:name="_Toc184310272"/>
      <w:bookmarkEnd w:id="234"/>
      <w:bookmarkStart w:id="235" w:name="_Toc184314478"/>
      <w:bookmarkEnd w:id="235"/>
      <w:bookmarkStart w:id="236" w:name="_Toc184312068"/>
      <w:bookmarkEnd w:id="236"/>
      <w:bookmarkStart w:id="237" w:name="_Toc184310339"/>
      <w:bookmarkEnd w:id="237"/>
      <w:bookmarkStart w:id="238" w:name="_Toc184310275"/>
      <w:bookmarkEnd w:id="238"/>
      <w:bookmarkStart w:id="239" w:name="_Toc184308050"/>
      <w:bookmarkEnd w:id="239"/>
      <w:bookmarkStart w:id="240" w:name="_Toc184310299"/>
      <w:bookmarkEnd w:id="240"/>
      <w:bookmarkStart w:id="241" w:name="_Toc184314469"/>
      <w:bookmarkEnd w:id="241"/>
      <w:bookmarkStart w:id="242" w:name="_Toc184314482"/>
      <w:bookmarkEnd w:id="242"/>
      <w:bookmarkStart w:id="243" w:name="_Toc184312085"/>
      <w:bookmarkEnd w:id="243"/>
      <w:bookmarkStart w:id="244" w:name="_Toc184308063"/>
      <w:bookmarkEnd w:id="244"/>
      <w:bookmarkStart w:id="245" w:name="_Toc184314434"/>
      <w:bookmarkEnd w:id="245"/>
      <w:bookmarkStart w:id="246" w:name="_Toc184313265"/>
      <w:bookmarkEnd w:id="246"/>
      <w:bookmarkStart w:id="247" w:name="_Toc184310328"/>
      <w:bookmarkEnd w:id="247"/>
      <w:bookmarkStart w:id="248" w:name="_Toc184308108"/>
      <w:bookmarkEnd w:id="248"/>
      <w:bookmarkStart w:id="249" w:name="_Toc184310291"/>
      <w:bookmarkEnd w:id="249"/>
      <w:bookmarkStart w:id="250" w:name="_Toc184312088"/>
      <w:bookmarkEnd w:id="250"/>
      <w:bookmarkStart w:id="251" w:name="_Toc184313239"/>
      <w:bookmarkEnd w:id="251"/>
      <w:bookmarkStart w:id="252" w:name="_Toc184310273"/>
      <w:bookmarkEnd w:id="252"/>
      <w:bookmarkStart w:id="253" w:name="_Toc184314430"/>
      <w:bookmarkEnd w:id="253"/>
      <w:bookmarkStart w:id="254" w:name="_Toc184314417"/>
      <w:bookmarkEnd w:id="254"/>
      <w:bookmarkStart w:id="255" w:name="_Toc184312124"/>
      <w:bookmarkEnd w:id="255"/>
      <w:bookmarkStart w:id="256" w:name="_Toc184314444"/>
      <w:bookmarkEnd w:id="256"/>
      <w:bookmarkStart w:id="257" w:name="_Toc184314475"/>
      <w:bookmarkEnd w:id="257"/>
      <w:bookmarkStart w:id="258" w:name="_Toc184312100"/>
      <w:bookmarkEnd w:id="258"/>
      <w:bookmarkStart w:id="259" w:name="_Toc184308057"/>
      <w:bookmarkEnd w:id="259"/>
      <w:bookmarkStart w:id="260" w:name="_Toc184314449"/>
      <w:bookmarkEnd w:id="260"/>
      <w:bookmarkStart w:id="261" w:name="_Toc184313296"/>
      <w:bookmarkEnd w:id="261"/>
      <w:bookmarkStart w:id="262" w:name="_Toc184308036"/>
      <w:bookmarkEnd w:id="262"/>
      <w:bookmarkStart w:id="263" w:name="_Toc184312076"/>
      <w:bookmarkEnd w:id="263"/>
      <w:bookmarkStart w:id="264" w:name="_Toc184308064"/>
      <w:bookmarkEnd w:id="264"/>
      <w:bookmarkStart w:id="265" w:name="_Toc184312110"/>
      <w:bookmarkEnd w:id="265"/>
      <w:bookmarkStart w:id="266" w:name="_Toc184312074"/>
      <w:bookmarkEnd w:id="266"/>
      <w:bookmarkStart w:id="267" w:name="_Toc184312102"/>
      <w:bookmarkEnd w:id="267"/>
      <w:bookmarkStart w:id="268" w:name="_Toc184314447"/>
      <w:bookmarkEnd w:id="268"/>
      <w:bookmarkStart w:id="269" w:name="_Toc184313238"/>
      <w:bookmarkEnd w:id="269"/>
      <w:bookmarkStart w:id="270" w:name="_Toc184308089"/>
      <w:bookmarkEnd w:id="270"/>
      <w:bookmarkStart w:id="271" w:name="_Toc184313285"/>
      <w:bookmarkEnd w:id="271"/>
      <w:bookmarkStart w:id="272" w:name="_Toc184313258"/>
      <w:bookmarkEnd w:id="272"/>
      <w:bookmarkStart w:id="273" w:name="_Toc184312101"/>
      <w:bookmarkEnd w:id="273"/>
      <w:bookmarkStart w:id="274" w:name="_Toc184314414"/>
      <w:bookmarkEnd w:id="274"/>
      <w:bookmarkStart w:id="275" w:name="_Toc184312108"/>
      <w:bookmarkEnd w:id="275"/>
      <w:bookmarkStart w:id="276" w:name="_Toc184313247"/>
      <w:bookmarkEnd w:id="276"/>
      <w:bookmarkStart w:id="277" w:name="_Toc184308094"/>
      <w:bookmarkEnd w:id="277"/>
      <w:bookmarkStart w:id="278" w:name="_Toc184308090"/>
      <w:bookmarkEnd w:id="278"/>
      <w:bookmarkStart w:id="279" w:name="_Toc184313259"/>
      <w:bookmarkEnd w:id="279"/>
      <w:bookmarkStart w:id="280" w:name="_Toc184312138"/>
      <w:bookmarkEnd w:id="280"/>
      <w:bookmarkStart w:id="281" w:name="_Toc184312136"/>
      <w:bookmarkEnd w:id="281"/>
      <w:bookmarkStart w:id="282" w:name="_Toc184310307"/>
      <w:bookmarkEnd w:id="282"/>
      <w:bookmarkStart w:id="283" w:name="_Toc184313248"/>
      <w:bookmarkEnd w:id="283"/>
      <w:bookmarkStart w:id="284" w:name="_Toc184308097"/>
      <w:bookmarkEnd w:id="284"/>
      <w:bookmarkStart w:id="285" w:name="_Toc184313266"/>
      <w:bookmarkEnd w:id="285"/>
      <w:bookmarkStart w:id="286" w:name="_Toc184308060"/>
      <w:bookmarkEnd w:id="286"/>
      <w:bookmarkStart w:id="287" w:name="_Toc184308081"/>
      <w:bookmarkEnd w:id="287"/>
      <w:bookmarkStart w:id="288" w:name="_Toc184308091"/>
      <w:bookmarkEnd w:id="288"/>
      <w:bookmarkStart w:id="289" w:name="_Toc184314421"/>
      <w:bookmarkEnd w:id="289"/>
      <w:bookmarkStart w:id="290" w:name="_Toc184314433"/>
      <w:bookmarkEnd w:id="290"/>
      <w:bookmarkStart w:id="291" w:name="_Toc184308099"/>
      <w:bookmarkEnd w:id="291"/>
      <w:bookmarkStart w:id="292" w:name="_Toc184314480"/>
      <w:bookmarkEnd w:id="292"/>
      <w:bookmarkStart w:id="293" w:name="_Toc184308083"/>
      <w:bookmarkEnd w:id="293"/>
      <w:bookmarkStart w:id="294" w:name="_Toc184312115"/>
      <w:bookmarkEnd w:id="294"/>
      <w:bookmarkStart w:id="295" w:name="_Toc184312084"/>
      <w:bookmarkEnd w:id="295"/>
      <w:bookmarkStart w:id="296" w:name="_Toc184313268"/>
      <w:bookmarkEnd w:id="296"/>
      <w:bookmarkStart w:id="297" w:name="_Toc184312081"/>
      <w:bookmarkEnd w:id="297"/>
      <w:bookmarkStart w:id="298" w:name="_Toc184314468"/>
      <w:bookmarkEnd w:id="298"/>
      <w:bookmarkStart w:id="299" w:name="_Toc184310302"/>
      <w:bookmarkEnd w:id="299"/>
      <w:bookmarkStart w:id="300" w:name="_Toc184310311"/>
      <w:bookmarkEnd w:id="300"/>
      <w:bookmarkStart w:id="301" w:name="_Toc184308088"/>
      <w:bookmarkEnd w:id="301"/>
      <w:bookmarkStart w:id="302" w:name="_Toc184313305"/>
      <w:bookmarkEnd w:id="302"/>
      <w:bookmarkStart w:id="303" w:name="_Toc184308061"/>
      <w:bookmarkEnd w:id="303"/>
      <w:bookmarkStart w:id="304" w:name="_Toc184308052"/>
      <w:bookmarkEnd w:id="304"/>
      <w:bookmarkStart w:id="305" w:name="_Toc184313277"/>
      <w:bookmarkEnd w:id="305"/>
      <w:bookmarkStart w:id="306" w:name="_Toc184310337"/>
      <w:bookmarkEnd w:id="306"/>
      <w:bookmarkStart w:id="307" w:name="_Toc184308054"/>
      <w:bookmarkEnd w:id="307"/>
      <w:bookmarkStart w:id="308" w:name="_Toc184314446"/>
      <w:bookmarkEnd w:id="308"/>
      <w:bookmarkStart w:id="309" w:name="_Toc184312130"/>
      <w:bookmarkEnd w:id="309"/>
      <w:bookmarkStart w:id="310" w:name="_Toc184314429"/>
      <w:bookmarkEnd w:id="310"/>
      <w:bookmarkStart w:id="311" w:name="_Toc184312080"/>
      <w:bookmarkEnd w:id="311"/>
      <w:bookmarkStart w:id="312" w:name="_Toc184314416"/>
      <w:bookmarkEnd w:id="312"/>
      <w:bookmarkStart w:id="313" w:name="_Toc184308105"/>
      <w:bookmarkEnd w:id="313"/>
      <w:bookmarkStart w:id="314" w:name="_Toc184310315"/>
      <w:bookmarkEnd w:id="314"/>
      <w:bookmarkStart w:id="315" w:name="_Toc184308044"/>
      <w:bookmarkEnd w:id="315"/>
      <w:bookmarkStart w:id="316" w:name="_Toc184313290"/>
      <w:bookmarkEnd w:id="316"/>
      <w:bookmarkStart w:id="317" w:name="_Toc184312105"/>
      <w:bookmarkEnd w:id="317"/>
      <w:bookmarkStart w:id="318" w:name="_Toc184308055"/>
      <w:bookmarkEnd w:id="318"/>
      <w:bookmarkStart w:id="319" w:name="_Toc184310343"/>
      <w:bookmarkEnd w:id="319"/>
      <w:bookmarkStart w:id="320" w:name="_Toc184313279"/>
      <w:bookmarkEnd w:id="320"/>
      <w:bookmarkStart w:id="321" w:name="_Toc184314411"/>
      <w:bookmarkEnd w:id="321"/>
      <w:bookmarkStart w:id="322" w:name="_Toc184314436"/>
      <w:bookmarkEnd w:id="322"/>
      <w:bookmarkStart w:id="323" w:name="_Toc184313242"/>
      <w:bookmarkEnd w:id="323"/>
      <w:bookmarkStart w:id="324" w:name="_Toc184312113"/>
      <w:bookmarkEnd w:id="324"/>
      <w:bookmarkStart w:id="325" w:name="_Toc184312078"/>
      <w:bookmarkEnd w:id="325"/>
      <w:bookmarkStart w:id="326" w:name="_Toc184312103"/>
      <w:bookmarkEnd w:id="326"/>
      <w:bookmarkStart w:id="327" w:name="_Toc184313292"/>
      <w:bookmarkEnd w:id="327"/>
      <w:bookmarkStart w:id="328" w:name="_Toc184310292"/>
      <w:bookmarkEnd w:id="328"/>
      <w:bookmarkStart w:id="329" w:name="_Toc184314466"/>
      <w:bookmarkEnd w:id="329"/>
      <w:bookmarkStart w:id="330" w:name="_Toc184313250"/>
      <w:bookmarkEnd w:id="330"/>
      <w:bookmarkStart w:id="331" w:name="_Toc184312109"/>
      <w:bookmarkEnd w:id="331"/>
      <w:bookmarkStart w:id="332" w:name="_Toc184310314"/>
      <w:bookmarkEnd w:id="332"/>
      <w:bookmarkStart w:id="333" w:name="_Toc184313246"/>
      <w:bookmarkEnd w:id="333"/>
      <w:bookmarkStart w:id="334" w:name="_Toc184308043"/>
      <w:bookmarkEnd w:id="334"/>
      <w:bookmarkStart w:id="335" w:name="_Toc184310295"/>
      <w:bookmarkEnd w:id="335"/>
      <w:bookmarkStart w:id="336" w:name="_Toc184310313"/>
      <w:bookmarkEnd w:id="336"/>
      <w:bookmarkStart w:id="337" w:name="_Toc184313245"/>
      <w:bookmarkEnd w:id="337"/>
      <w:bookmarkStart w:id="338" w:name="_Toc184314464"/>
      <w:bookmarkEnd w:id="338"/>
      <w:bookmarkStart w:id="339" w:name="_Toc184310325"/>
      <w:bookmarkEnd w:id="339"/>
      <w:bookmarkStart w:id="340" w:name="_Toc184314420"/>
      <w:bookmarkEnd w:id="340"/>
      <w:bookmarkStart w:id="341" w:name="_Toc184312135"/>
      <w:bookmarkEnd w:id="341"/>
      <w:bookmarkStart w:id="342" w:name="_Toc184308038"/>
      <w:bookmarkEnd w:id="342"/>
      <w:bookmarkStart w:id="343" w:name="_Toc184313306"/>
      <w:bookmarkEnd w:id="343"/>
      <w:bookmarkStart w:id="344" w:name="_Toc184313257"/>
      <w:bookmarkEnd w:id="344"/>
      <w:bookmarkStart w:id="345" w:name="_Toc184312134"/>
      <w:bookmarkEnd w:id="345"/>
      <w:bookmarkStart w:id="346" w:name="_Toc184312112"/>
      <w:bookmarkEnd w:id="346"/>
      <w:bookmarkStart w:id="347" w:name="_Toc184310293"/>
      <w:bookmarkEnd w:id="347"/>
      <w:bookmarkStart w:id="348" w:name="_Toc184313293"/>
      <w:bookmarkEnd w:id="348"/>
      <w:bookmarkStart w:id="349" w:name="_Toc184308051"/>
      <w:bookmarkEnd w:id="349"/>
      <w:bookmarkStart w:id="350" w:name="_Toc184312073"/>
      <w:bookmarkEnd w:id="350"/>
      <w:bookmarkStart w:id="351" w:name="_Toc184313241"/>
      <w:bookmarkEnd w:id="351"/>
      <w:bookmarkStart w:id="352" w:name="_Toc184312127"/>
      <w:bookmarkEnd w:id="352"/>
      <w:bookmarkStart w:id="353" w:name="_Toc184312122"/>
      <w:bookmarkEnd w:id="353"/>
      <w:bookmarkStart w:id="354" w:name="_Toc184313286"/>
      <w:bookmarkEnd w:id="354"/>
      <w:bookmarkStart w:id="355" w:name="_Toc184308062"/>
      <w:bookmarkEnd w:id="355"/>
      <w:bookmarkStart w:id="356" w:name="_Toc184314461"/>
      <w:bookmarkEnd w:id="356"/>
      <w:bookmarkStart w:id="357" w:name="_Toc184314456"/>
      <w:bookmarkEnd w:id="357"/>
      <w:bookmarkStart w:id="358" w:name="_Toc184313252"/>
      <w:bookmarkEnd w:id="358"/>
      <w:bookmarkStart w:id="359" w:name="_Toc184313281"/>
      <w:bookmarkEnd w:id="359"/>
      <w:bookmarkStart w:id="360" w:name="_Toc184314425"/>
      <w:bookmarkEnd w:id="360"/>
      <w:bookmarkStart w:id="361" w:name="_Toc184308066"/>
      <w:bookmarkEnd w:id="361"/>
      <w:bookmarkStart w:id="362" w:name="_Toc184310335"/>
      <w:bookmarkEnd w:id="362"/>
      <w:bookmarkStart w:id="363" w:name="_Toc184314470"/>
      <w:bookmarkEnd w:id="363"/>
      <w:bookmarkStart w:id="364" w:name="_Toc184312086"/>
      <w:bookmarkEnd w:id="364"/>
      <w:bookmarkStart w:id="365" w:name="_Toc184313274"/>
      <w:bookmarkEnd w:id="365"/>
      <w:bookmarkStart w:id="366" w:name="_Toc184314418"/>
      <w:bookmarkEnd w:id="366"/>
      <w:bookmarkStart w:id="367" w:name="_Toc184310323"/>
      <w:bookmarkEnd w:id="367"/>
      <w:bookmarkStart w:id="368" w:name="_Toc184313261"/>
      <w:bookmarkEnd w:id="368"/>
      <w:bookmarkStart w:id="369" w:name="_Toc184308102"/>
      <w:bookmarkEnd w:id="369"/>
      <w:bookmarkStart w:id="370" w:name="_Toc184314410"/>
      <w:bookmarkEnd w:id="370"/>
      <w:bookmarkStart w:id="371" w:name="_Toc184310327"/>
      <w:bookmarkEnd w:id="371"/>
      <w:bookmarkStart w:id="372" w:name="_Toc184308096"/>
      <w:bookmarkEnd w:id="372"/>
      <w:bookmarkStart w:id="373" w:name="_Toc184314463"/>
      <w:bookmarkEnd w:id="373"/>
      <w:bookmarkStart w:id="374" w:name="_Toc184312111"/>
      <w:bookmarkEnd w:id="374"/>
      <w:bookmarkStart w:id="375" w:name="_Toc184313267"/>
      <w:bookmarkEnd w:id="375"/>
      <w:bookmarkStart w:id="376" w:name="_Toc184310316"/>
      <w:bookmarkEnd w:id="376"/>
      <w:bookmarkStart w:id="377" w:name="_Toc184314435"/>
      <w:bookmarkEnd w:id="377"/>
      <w:bookmarkStart w:id="378" w:name="_Toc184310322"/>
      <w:bookmarkEnd w:id="378"/>
      <w:bookmarkStart w:id="379" w:name="_Toc184312118"/>
      <w:bookmarkEnd w:id="379"/>
      <w:bookmarkStart w:id="380" w:name="_Toc184314454"/>
      <w:bookmarkEnd w:id="380"/>
      <w:bookmarkStart w:id="381" w:name="_Toc184313280"/>
      <w:bookmarkEnd w:id="381"/>
      <w:bookmarkStart w:id="382" w:name="_Toc184310326"/>
      <w:bookmarkEnd w:id="382"/>
      <w:bookmarkStart w:id="383" w:name="_Toc184313240"/>
      <w:bookmarkEnd w:id="383"/>
      <w:bookmarkStart w:id="384" w:name="_Toc184312114"/>
      <w:bookmarkEnd w:id="384"/>
      <w:bookmarkStart w:id="385" w:name="_Toc184308098"/>
      <w:bookmarkEnd w:id="385"/>
      <w:bookmarkStart w:id="386" w:name="_Toc184310300"/>
      <w:bookmarkEnd w:id="386"/>
      <w:bookmarkStart w:id="387" w:name="_Toc184314439"/>
      <w:bookmarkEnd w:id="387"/>
      <w:bookmarkStart w:id="388" w:name="_Toc184312082"/>
      <w:bookmarkEnd w:id="388"/>
      <w:bookmarkStart w:id="389" w:name="_Toc184308068"/>
      <w:bookmarkEnd w:id="389"/>
      <w:bookmarkStart w:id="390" w:name="_Toc184313300"/>
      <w:bookmarkEnd w:id="390"/>
      <w:bookmarkStart w:id="391" w:name="_Toc184314413"/>
      <w:bookmarkEnd w:id="391"/>
      <w:bookmarkStart w:id="392" w:name="_Toc184308077"/>
      <w:bookmarkEnd w:id="392"/>
      <w:bookmarkStart w:id="393" w:name="_Toc184313284"/>
      <w:bookmarkEnd w:id="393"/>
      <w:bookmarkStart w:id="394" w:name="_Toc184312091"/>
      <w:bookmarkEnd w:id="394"/>
      <w:bookmarkStart w:id="395" w:name="_Toc184310338"/>
      <w:bookmarkEnd w:id="395"/>
      <w:bookmarkStart w:id="396" w:name="_Toc184313308"/>
      <w:bookmarkEnd w:id="396"/>
      <w:bookmarkStart w:id="397" w:name="_Toc184313276"/>
      <w:bookmarkEnd w:id="397"/>
      <w:bookmarkStart w:id="398" w:name="_Toc184308093"/>
      <w:bookmarkEnd w:id="398"/>
      <w:bookmarkStart w:id="399" w:name="_Toc184310340"/>
      <w:bookmarkEnd w:id="399"/>
      <w:bookmarkStart w:id="400" w:name="_Toc184312117"/>
      <w:bookmarkEnd w:id="400"/>
      <w:bookmarkStart w:id="401" w:name="_Toc184308049"/>
      <w:bookmarkEnd w:id="401"/>
      <w:bookmarkStart w:id="402" w:name="_Toc184312069"/>
      <w:bookmarkEnd w:id="402"/>
      <w:r>
        <w:rPr>
          <w:rFonts w:hint="eastAsia" w:ascii="仿宋" w:hAnsi="仿宋" w:eastAsia="仿宋" w:cs="仿宋_GB2312"/>
          <w:b/>
          <w:color w:val="auto"/>
          <w:sz w:val="36"/>
          <w:szCs w:val="36"/>
          <w:highlight w:val="none"/>
        </w:rPr>
        <w:t>评标办法</w:t>
      </w:r>
    </w:p>
    <w:p>
      <w:pPr>
        <w:pStyle w:val="2"/>
        <w:ind w:firstLine="321" w:firstLineChars="10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widowControl/>
        <w:spacing w:line="360"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val="en-US" w:eastAsia="zh-CN"/>
        </w:rPr>
        <w:t>1、</w:t>
      </w:r>
      <w:r>
        <w:rPr>
          <w:rFonts w:hint="eastAsia" w:asciiTheme="minorEastAsia" w:hAnsiTheme="minorEastAsia" w:eastAsiaTheme="minorEastAsia" w:cstheme="minorEastAsia"/>
          <w:b/>
          <w:bCs/>
          <w:color w:val="auto"/>
          <w:sz w:val="24"/>
        </w:rPr>
        <w:t>商务技术部分（</w:t>
      </w:r>
      <w:r>
        <w:rPr>
          <w:rFonts w:hint="eastAsia" w:asciiTheme="minorEastAsia" w:hAnsiTheme="minorEastAsia" w:eastAsiaTheme="minorEastAsia" w:cstheme="minorEastAsia"/>
          <w:b/>
          <w:bCs/>
          <w:color w:val="auto"/>
          <w:sz w:val="24"/>
          <w:lang w:val="en-US" w:eastAsia="zh-CN"/>
        </w:rPr>
        <w:t>7</w:t>
      </w:r>
      <w:r>
        <w:rPr>
          <w:rFonts w:hint="eastAsia" w:asciiTheme="minorEastAsia" w:hAnsiTheme="minorEastAsia" w:eastAsiaTheme="minorEastAsia" w:cstheme="minorEastAsia"/>
          <w:b/>
          <w:bCs/>
          <w:color w:val="auto"/>
          <w:sz w:val="24"/>
        </w:rPr>
        <w:t>0分）</w:t>
      </w:r>
    </w:p>
    <w:tbl>
      <w:tblPr>
        <w:tblStyle w:val="1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40"/>
        <w:gridCol w:w="607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64" w:type="dxa"/>
            <w:vAlign w:val="center"/>
          </w:tcPr>
          <w:p>
            <w:pPr>
              <w:adjustRightInd/>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6611" w:type="dxa"/>
            <w:gridSpan w:val="2"/>
            <w:vAlign w:val="center"/>
          </w:tcPr>
          <w:p>
            <w:pPr>
              <w:adjustRightInd/>
              <w:spacing w:line="400" w:lineRule="exact"/>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837" w:type="dxa"/>
            <w:vAlign w:val="center"/>
          </w:tcPr>
          <w:p>
            <w:pPr>
              <w:adjustRightInd/>
              <w:spacing w:line="400" w:lineRule="exact"/>
              <w:jc w:val="center"/>
              <w:rPr>
                <w:rFonts w:ascii="宋体" w:hAnsi="宋体" w:cs="宋体"/>
                <w:color w:val="auto"/>
                <w:sz w:val="24"/>
                <w:highlight w:val="none"/>
              </w:rPr>
            </w:pPr>
            <w:r>
              <w:rPr>
                <w:rFonts w:hint="eastAsia" w:ascii="宋体" w:hAnsi="宋体" w:eastAsia="宋体" w:cs="宋体"/>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64" w:type="dxa"/>
            <w:vMerge w:val="restart"/>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商务资信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540" w:type="dxa"/>
            <w:vAlign w:val="center"/>
          </w:tcPr>
          <w:p>
            <w:pPr>
              <w:adjustRightInd/>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6071" w:type="dxa"/>
            <w:vAlign w:val="center"/>
          </w:tcPr>
          <w:p>
            <w:pPr>
              <w:widowControl/>
              <w:tabs>
                <w:tab w:val="left" w:pos="574"/>
              </w:tabs>
              <w:snapToGrid w:val="0"/>
              <w:jc w:val="left"/>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highlight w:val="none"/>
              </w:rPr>
              <w:t>分支机构报名的以其响应的总公司信息为准</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年年度</w:t>
            </w:r>
            <w:r>
              <w:rPr>
                <w:rFonts w:hint="eastAsia" w:ascii="宋体" w:hAnsi="宋体" w:cs="宋体"/>
                <w:color w:val="auto"/>
                <w:sz w:val="24"/>
                <w:highlight w:val="none"/>
                <w:lang w:val="en-US" w:eastAsia="zh-CN"/>
              </w:rPr>
              <w:t>核心</w:t>
            </w:r>
            <w:r>
              <w:rPr>
                <w:rFonts w:hint="eastAsia" w:ascii="宋体" w:hAnsi="宋体" w:cs="宋体"/>
                <w:color w:val="auto"/>
                <w:sz w:val="24"/>
                <w:highlight w:val="none"/>
              </w:rPr>
              <w:t>偿付能力充足率评审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核心</w:t>
            </w:r>
            <w:r>
              <w:rPr>
                <w:rFonts w:hint="eastAsia" w:ascii="宋体" w:hAnsi="宋体" w:cs="宋体"/>
                <w:color w:val="auto"/>
                <w:sz w:val="24"/>
                <w:highlight w:val="none"/>
              </w:rPr>
              <w:t>偿付能力充足率2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0%（含以上）得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核心</w:t>
            </w:r>
            <w:r>
              <w:rPr>
                <w:rFonts w:hint="eastAsia" w:ascii="宋体" w:hAnsi="宋体" w:cs="宋体"/>
                <w:color w:val="auto"/>
                <w:sz w:val="24"/>
                <w:highlight w:val="none"/>
              </w:rPr>
              <w:t>偿付能力充足率2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0%（不含）-</w:t>
            </w:r>
            <w:r>
              <w:rPr>
                <w:rFonts w:hint="eastAsia" w:ascii="宋体" w:hAnsi="宋体" w:cs="宋体"/>
                <w:color w:val="auto"/>
                <w:sz w:val="24"/>
                <w:highlight w:val="none"/>
                <w:lang w:val="en-US" w:eastAsia="zh-CN"/>
              </w:rPr>
              <w:t>150</w:t>
            </w:r>
            <w:r>
              <w:rPr>
                <w:rFonts w:hint="eastAsia" w:ascii="宋体" w:hAnsi="宋体" w:cs="宋体"/>
                <w:color w:val="auto"/>
                <w:sz w:val="24"/>
                <w:highlight w:val="none"/>
              </w:rPr>
              <w:t>%（含）得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核心</w:t>
            </w:r>
            <w:r>
              <w:rPr>
                <w:rFonts w:hint="eastAsia" w:ascii="宋体" w:hAnsi="宋体" w:cs="宋体"/>
                <w:color w:val="auto"/>
                <w:sz w:val="24"/>
                <w:highlight w:val="none"/>
              </w:rPr>
              <w:t>偿付能力充足率</w:t>
            </w:r>
            <w:r>
              <w:rPr>
                <w:rFonts w:hint="eastAsia" w:ascii="宋体" w:hAnsi="宋体" w:cs="宋体"/>
                <w:color w:val="auto"/>
                <w:sz w:val="24"/>
                <w:highlight w:val="none"/>
                <w:lang w:val="en-US" w:eastAsia="zh-CN"/>
              </w:rPr>
              <w:t>150</w:t>
            </w:r>
            <w:r>
              <w:rPr>
                <w:rFonts w:hint="eastAsia" w:ascii="宋体" w:hAnsi="宋体" w:cs="宋体"/>
                <w:color w:val="auto"/>
                <w:sz w:val="24"/>
                <w:highlight w:val="none"/>
              </w:rPr>
              <w:t>%（</w:t>
            </w:r>
            <w:r>
              <w:rPr>
                <w:rFonts w:hint="eastAsia" w:ascii="宋体" w:hAnsi="宋体" w:cs="宋体"/>
                <w:color w:val="auto"/>
                <w:sz w:val="24"/>
                <w:highlight w:val="none"/>
                <w:lang w:eastAsia="zh-CN"/>
              </w:rPr>
              <w:t>不</w:t>
            </w:r>
            <w:r>
              <w:rPr>
                <w:rFonts w:hint="eastAsia" w:ascii="宋体" w:hAnsi="宋体" w:cs="宋体"/>
                <w:color w:val="auto"/>
                <w:sz w:val="24"/>
                <w:highlight w:val="none"/>
              </w:rPr>
              <w:t>含）-1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0%（含）得1分；</w:t>
            </w:r>
            <w:r>
              <w:rPr>
                <w:rFonts w:hint="eastAsia" w:ascii="宋体" w:hAnsi="宋体" w:cs="宋体"/>
                <w:color w:val="auto"/>
                <w:sz w:val="24"/>
                <w:highlight w:val="none"/>
                <w:lang w:eastAsia="zh-CN"/>
              </w:rPr>
              <w:t>其余不得分</w:t>
            </w:r>
            <w:r>
              <w:rPr>
                <w:rFonts w:hint="eastAsia" w:ascii="宋体" w:hAnsi="宋体" w:cs="宋体"/>
                <w:color w:val="auto"/>
                <w:sz w:val="24"/>
                <w:highlight w:val="none"/>
              </w:rPr>
              <w:t>。</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4分</w:t>
            </w:r>
            <w:r>
              <w:rPr>
                <w:rFonts w:hint="eastAsia" w:ascii="宋体" w:hAnsi="宋体" w:cs="宋体"/>
                <w:color w:val="auto"/>
                <w:sz w:val="24"/>
                <w:highlight w:val="none"/>
              </w:rPr>
              <w:t>。</w:t>
            </w:r>
            <w:r>
              <w:rPr>
                <w:rFonts w:hint="eastAsia" w:ascii="宋体" w:hAnsi="宋体" w:cs="宋体"/>
                <w:color w:val="auto"/>
                <w:sz w:val="24"/>
                <w:highlight w:val="none"/>
                <w:lang w:eastAsia="zh-CN"/>
              </w:rPr>
              <w:t>（提供</w:t>
            </w:r>
            <w:r>
              <w:rPr>
                <w:rFonts w:hint="eastAsia" w:ascii="宋体" w:hAnsi="宋体" w:cs="宋体"/>
                <w:color w:val="auto"/>
                <w:sz w:val="24"/>
                <w:highlight w:val="none"/>
                <w:lang w:val="en-US" w:eastAsia="zh-CN"/>
              </w:rPr>
              <w:t>偿付能力报告</w:t>
            </w:r>
            <w:r>
              <w:rPr>
                <w:rFonts w:hint="eastAsia" w:ascii="宋体" w:hAnsi="宋体" w:cs="宋体"/>
                <w:color w:val="auto"/>
                <w:sz w:val="24"/>
                <w:highlight w:val="none"/>
                <w:lang w:eastAsia="zh-CN"/>
              </w:rPr>
              <w:t>）</w:t>
            </w:r>
          </w:p>
        </w:tc>
        <w:tc>
          <w:tcPr>
            <w:tcW w:w="837" w:type="dxa"/>
            <w:vAlign w:val="center"/>
          </w:tcPr>
          <w:p>
            <w:pPr>
              <w:widowControl/>
              <w:tabs>
                <w:tab w:val="left" w:pos="574"/>
              </w:tabs>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64" w:type="dxa"/>
            <w:vMerge w:val="continue"/>
            <w:vAlign w:val="center"/>
          </w:tcPr>
          <w:p>
            <w:pPr>
              <w:spacing w:line="400" w:lineRule="exact"/>
              <w:jc w:val="center"/>
              <w:rPr>
                <w:rFonts w:ascii="宋体" w:hAnsi="宋体" w:cs="宋体"/>
                <w:color w:val="auto"/>
                <w:sz w:val="24"/>
                <w:highlight w:val="none"/>
              </w:rPr>
            </w:pPr>
          </w:p>
        </w:tc>
        <w:tc>
          <w:tcPr>
            <w:tcW w:w="540" w:type="dxa"/>
            <w:vAlign w:val="center"/>
          </w:tcPr>
          <w:p>
            <w:pPr>
              <w:adjustRightInd/>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071" w:type="dxa"/>
            <w:vAlign w:val="center"/>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w:t>
            </w:r>
            <w:r>
              <w:rPr>
                <w:rFonts w:hint="eastAsia" w:asciiTheme="minorEastAsia" w:hAnsiTheme="minorEastAsia" w:eastAsiaTheme="minorEastAsia" w:cstheme="minorEastAsia"/>
                <w:color w:val="auto"/>
                <w:sz w:val="24"/>
                <w:highlight w:val="none"/>
              </w:rPr>
              <w:t>分支机构报名的以其响应的总公司信息为准</w:t>
            </w:r>
            <w:r>
              <w:rPr>
                <w:rFonts w:hint="eastAsia" w:ascii="宋体" w:hAnsi="宋体" w:cs="宋体"/>
                <w:color w:val="auto"/>
                <w:sz w:val="24"/>
                <w:highlight w:val="none"/>
                <w:lang w:eastAsia="zh-CN"/>
              </w:rPr>
              <w:t>）自20</w:t>
            </w:r>
            <w:r>
              <w:rPr>
                <w:rFonts w:hint="eastAsia" w:ascii="宋体" w:hAnsi="宋体" w:cs="宋体"/>
                <w:color w:val="auto"/>
                <w:sz w:val="24"/>
                <w:highlight w:val="none"/>
                <w:lang w:val="en-US" w:eastAsia="zh-CN"/>
              </w:rPr>
              <w:t>22</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月1日以来（时间以合同签订时间为准）承担过</w:t>
            </w:r>
            <w:r>
              <w:rPr>
                <w:rFonts w:hint="eastAsia" w:ascii="宋体" w:hAnsi="宋体" w:cs="宋体"/>
                <w:color w:val="auto"/>
                <w:sz w:val="24"/>
                <w:highlight w:val="none"/>
                <w:lang w:val="en-US" w:eastAsia="zh-CN"/>
              </w:rPr>
              <w:t>类似项目的</w:t>
            </w:r>
            <w:r>
              <w:rPr>
                <w:rFonts w:hint="eastAsia" w:ascii="宋体" w:hAnsi="宋体" w:cs="宋体"/>
                <w:color w:val="auto"/>
                <w:sz w:val="24"/>
                <w:highlight w:val="none"/>
                <w:lang w:eastAsia="zh-CN"/>
              </w:rPr>
              <w:t>，每提供1个得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分，本项最高得</w:t>
            </w:r>
            <w:r>
              <w:rPr>
                <w:rFonts w:hint="eastAsia" w:ascii="宋体" w:hAnsi="宋体" w:cs="宋体"/>
                <w:color w:val="auto"/>
                <w:sz w:val="24"/>
                <w:highlight w:val="none"/>
                <w:lang w:val="en-US" w:eastAsia="zh-CN"/>
              </w:rPr>
              <w:t>3分。</w:t>
            </w:r>
            <w:r>
              <w:rPr>
                <w:rFonts w:hint="eastAsia" w:ascii="宋体" w:hAnsi="宋体" w:cs="宋体"/>
                <w:color w:val="auto"/>
                <w:sz w:val="24"/>
                <w:highlight w:val="none"/>
                <w:lang w:eastAsia="zh-CN"/>
              </w:rPr>
              <w:t>（提供合同）</w:t>
            </w:r>
          </w:p>
        </w:tc>
        <w:tc>
          <w:tcPr>
            <w:tcW w:w="837" w:type="dxa"/>
            <w:vAlign w:val="center"/>
          </w:tcPr>
          <w:p>
            <w:pPr>
              <w:widowControl/>
              <w:tabs>
                <w:tab w:val="left" w:pos="574"/>
              </w:tabs>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spacing w:line="400" w:lineRule="exact"/>
              <w:jc w:val="center"/>
              <w:rPr>
                <w:rFonts w:ascii="宋体" w:hAnsi="宋体" w:cs="宋体"/>
                <w:color w:val="auto"/>
                <w:sz w:val="24"/>
                <w:highlight w:val="none"/>
              </w:rPr>
            </w:pPr>
          </w:p>
        </w:tc>
        <w:tc>
          <w:tcPr>
            <w:tcW w:w="540" w:type="dxa"/>
            <w:vAlign w:val="center"/>
          </w:tcPr>
          <w:p>
            <w:pPr>
              <w:adjustRightInd/>
              <w:spacing w:line="4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3</w:t>
            </w:r>
          </w:p>
        </w:tc>
        <w:tc>
          <w:tcPr>
            <w:tcW w:w="6071" w:type="dxa"/>
            <w:vAlign w:val="center"/>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highlight w:val="none"/>
              </w:rPr>
              <w:t>分支机构报名的以其响应的总公司信息为准</w:t>
            </w:r>
            <w:r>
              <w:rPr>
                <w:rFonts w:hint="eastAsia" w:ascii="宋体" w:hAnsi="宋体" w:cs="宋体"/>
                <w:color w:val="auto"/>
                <w:sz w:val="24"/>
                <w:highlight w:val="none"/>
              </w:rPr>
              <w:t>）</w:t>
            </w:r>
            <w:r>
              <w:rPr>
                <w:rFonts w:hint="eastAsia" w:ascii="宋体" w:hAnsi="宋体" w:cs="宋体"/>
                <w:color w:val="auto"/>
                <w:sz w:val="24"/>
                <w:highlight w:val="none"/>
                <w:lang w:eastAsia="zh-CN"/>
              </w:rPr>
              <w:t>具有</w:t>
            </w:r>
            <w:r>
              <w:rPr>
                <w:rFonts w:hint="eastAsia" w:ascii="宋体" w:hAnsi="宋体" w:cs="宋体"/>
                <w:color w:val="auto"/>
                <w:sz w:val="24"/>
                <w:highlight w:val="none"/>
              </w:rPr>
              <w:t>穆迪</w:t>
            </w:r>
            <w:r>
              <w:rPr>
                <w:rFonts w:hint="eastAsia" w:ascii="宋体" w:hAnsi="宋体" w:cs="宋体"/>
                <w:color w:val="auto"/>
                <w:sz w:val="24"/>
                <w:highlight w:val="none"/>
                <w:lang w:eastAsia="zh-CN"/>
              </w:rPr>
              <w:t>或</w:t>
            </w:r>
            <w:r>
              <w:rPr>
                <w:rFonts w:hint="eastAsia" w:ascii="宋体" w:hAnsi="宋体" w:cs="宋体"/>
                <w:color w:val="auto"/>
                <w:sz w:val="24"/>
                <w:highlight w:val="none"/>
              </w:rPr>
              <w:t>标普</w:t>
            </w:r>
            <w:r>
              <w:rPr>
                <w:rFonts w:hint="eastAsia" w:ascii="宋体" w:hAnsi="宋体" w:cs="宋体"/>
                <w:color w:val="auto"/>
                <w:sz w:val="24"/>
                <w:highlight w:val="none"/>
                <w:lang w:eastAsia="zh-CN"/>
              </w:rPr>
              <w:t>或</w:t>
            </w:r>
            <w:r>
              <w:rPr>
                <w:rFonts w:hint="eastAsia" w:ascii="宋体" w:hAnsi="宋体" w:cs="宋体"/>
                <w:color w:val="auto"/>
                <w:sz w:val="24"/>
                <w:highlight w:val="none"/>
              </w:rPr>
              <w:t>惠誉</w:t>
            </w:r>
            <w:r>
              <w:rPr>
                <w:rFonts w:hint="eastAsia" w:ascii="宋体" w:hAnsi="宋体" w:cs="宋体"/>
                <w:color w:val="auto"/>
                <w:sz w:val="24"/>
                <w:highlight w:val="none"/>
                <w:lang w:eastAsia="zh-CN"/>
              </w:rPr>
              <w:t>其中任意一个评级</w:t>
            </w:r>
            <w:r>
              <w:rPr>
                <w:rFonts w:hint="eastAsia" w:ascii="宋体" w:hAnsi="宋体" w:cs="宋体"/>
                <w:color w:val="auto"/>
                <w:sz w:val="24"/>
                <w:highlight w:val="none"/>
                <w:lang w:val="en-US" w:eastAsia="zh-CN"/>
              </w:rPr>
              <w:t>A级以下（不含A级）</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2分，</w:t>
            </w:r>
            <w:r>
              <w:rPr>
                <w:rFonts w:hint="eastAsia" w:ascii="宋体" w:hAnsi="宋体" w:cs="宋体"/>
                <w:color w:val="auto"/>
                <w:sz w:val="24"/>
                <w:highlight w:val="none"/>
                <w:lang w:eastAsia="zh-CN"/>
              </w:rPr>
              <w:t>具有</w:t>
            </w:r>
            <w:bookmarkStart w:id="403" w:name="OLE_LINK1"/>
            <w:r>
              <w:rPr>
                <w:rFonts w:hint="eastAsia" w:ascii="宋体" w:hAnsi="宋体" w:cs="宋体"/>
                <w:color w:val="auto"/>
                <w:sz w:val="24"/>
                <w:highlight w:val="none"/>
              </w:rPr>
              <w:t>穆迪</w:t>
            </w:r>
            <w:r>
              <w:rPr>
                <w:rFonts w:hint="eastAsia" w:ascii="宋体" w:hAnsi="宋体" w:cs="宋体"/>
                <w:color w:val="auto"/>
                <w:sz w:val="24"/>
                <w:highlight w:val="none"/>
                <w:lang w:eastAsia="zh-CN"/>
              </w:rPr>
              <w:t>或</w:t>
            </w:r>
            <w:r>
              <w:rPr>
                <w:rFonts w:hint="eastAsia" w:ascii="宋体" w:hAnsi="宋体" w:cs="宋体"/>
                <w:color w:val="auto"/>
                <w:sz w:val="24"/>
                <w:highlight w:val="none"/>
              </w:rPr>
              <w:t>标普</w:t>
            </w:r>
            <w:r>
              <w:rPr>
                <w:rFonts w:hint="eastAsia" w:ascii="宋体" w:hAnsi="宋体" w:cs="宋体"/>
                <w:color w:val="auto"/>
                <w:sz w:val="24"/>
                <w:highlight w:val="none"/>
                <w:lang w:eastAsia="zh-CN"/>
              </w:rPr>
              <w:t>或</w:t>
            </w:r>
            <w:r>
              <w:rPr>
                <w:rFonts w:hint="eastAsia" w:ascii="宋体" w:hAnsi="宋体" w:cs="宋体"/>
                <w:color w:val="auto"/>
                <w:sz w:val="24"/>
                <w:highlight w:val="none"/>
              </w:rPr>
              <w:t>惠誉</w:t>
            </w:r>
            <w:r>
              <w:rPr>
                <w:rFonts w:hint="eastAsia" w:ascii="宋体" w:hAnsi="宋体" w:cs="宋体"/>
                <w:color w:val="auto"/>
                <w:sz w:val="24"/>
                <w:highlight w:val="none"/>
                <w:lang w:eastAsia="zh-CN"/>
              </w:rPr>
              <w:t>其中任意一个评级</w:t>
            </w:r>
            <w:bookmarkEnd w:id="403"/>
            <w:r>
              <w:rPr>
                <w:rFonts w:hint="eastAsia" w:ascii="宋体" w:hAnsi="宋体" w:cs="宋体"/>
                <w:color w:val="auto"/>
                <w:sz w:val="24"/>
                <w:highlight w:val="none"/>
                <w:lang w:val="en-US" w:eastAsia="zh-CN"/>
              </w:rPr>
              <w:t>A级及以上的</w:t>
            </w:r>
            <w:r>
              <w:rPr>
                <w:rFonts w:hint="eastAsia" w:ascii="宋体" w:hAnsi="宋体" w:cs="宋体"/>
                <w:color w:val="auto"/>
                <w:sz w:val="24"/>
                <w:highlight w:val="none"/>
                <w:lang w:eastAsia="zh-CN"/>
              </w:rPr>
              <w:t>得</w:t>
            </w:r>
            <w:r>
              <w:rPr>
                <w:rFonts w:hint="eastAsia" w:ascii="宋体" w:hAnsi="宋体" w:cs="宋体"/>
                <w:color w:val="auto"/>
                <w:sz w:val="24"/>
                <w:highlight w:val="none"/>
                <w:lang w:val="en-US" w:eastAsia="zh-CN"/>
              </w:rPr>
              <w:t>3分</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3分。</w:t>
            </w:r>
            <w:r>
              <w:rPr>
                <w:rFonts w:hint="eastAsia" w:ascii="宋体" w:hAnsi="宋体" w:cs="宋体"/>
                <w:color w:val="auto"/>
                <w:sz w:val="24"/>
                <w:highlight w:val="none"/>
              </w:rPr>
              <w:t>（提供</w:t>
            </w:r>
            <w:r>
              <w:rPr>
                <w:rFonts w:hint="eastAsia" w:ascii="宋体" w:hAnsi="宋体" w:cs="宋体"/>
                <w:color w:val="auto"/>
                <w:sz w:val="24"/>
                <w:highlight w:val="none"/>
                <w:lang w:eastAsia="zh-CN"/>
              </w:rPr>
              <w:t>上述任意一家</w:t>
            </w:r>
            <w:r>
              <w:rPr>
                <w:rFonts w:hint="eastAsia" w:ascii="宋体" w:hAnsi="宋体" w:cs="宋体"/>
                <w:color w:val="auto"/>
                <w:sz w:val="24"/>
                <w:highlight w:val="none"/>
              </w:rPr>
              <w:t>评级机构出具的证书）</w:t>
            </w:r>
          </w:p>
        </w:tc>
        <w:tc>
          <w:tcPr>
            <w:tcW w:w="837" w:type="dxa"/>
            <w:vAlign w:val="center"/>
          </w:tcPr>
          <w:p>
            <w:pPr>
              <w:widowControl/>
              <w:tabs>
                <w:tab w:val="left" w:pos="574"/>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64" w:type="dxa"/>
            <w:vMerge w:val="continue"/>
            <w:vAlign w:val="center"/>
          </w:tcPr>
          <w:p>
            <w:pPr>
              <w:spacing w:line="400" w:lineRule="exact"/>
              <w:jc w:val="center"/>
              <w:rPr>
                <w:rFonts w:ascii="宋体" w:hAnsi="宋体" w:cs="宋体"/>
                <w:color w:val="auto"/>
                <w:sz w:val="24"/>
                <w:highlight w:val="none"/>
              </w:rPr>
            </w:pPr>
          </w:p>
        </w:tc>
        <w:tc>
          <w:tcPr>
            <w:tcW w:w="540" w:type="dxa"/>
            <w:vAlign w:val="center"/>
          </w:tcPr>
          <w:p>
            <w:pPr>
              <w:adjustRightInd/>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071" w:type="dxa"/>
            <w:vAlign w:val="center"/>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供应商在萧山区设有</w:t>
            </w:r>
            <w:r>
              <w:rPr>
                <w:rFonts w:hint="eastAsia" w:ascii="宋体" w:hAnsi="宋体" w:cs="宋体"/>
                <w:color w:val="auto"/>
                <w:sz w:val="24"/>
                <w:highlight w:val="none"/>
                <w:lang w:val="en-US" w:eastAsia="zh-CN"/>
              </w:rPr>
              <w:t>一个</w:t>
            </w:r>
            <w:r>
              <w:rPr>
                <w:rFonts w:hint="eastAsia" w:ascii="宋体" w:hAnsi="宋体" w:cs="宋体"/>
                <w:color w:val="auto"/>
                <w:sz w:val="24"/>
                <w:highlight w:val="none"/>
                <w:lang w:eastAsia="zh-CN"/>
              </w:rPr>
              <w:t>分支机构（</w:t>
            </w:r>
            <w:r>
              <w:rPr>
                <w:rFonts w:hint="eastAsia" w:ascii="宋体" w:hAnsi="宋体" w:cs="宋体"/>
                <w:color w:val="auto"/>
                <w:sz w:val="24"/>
                <w:highlight w:val="none"/>
                <w:lang w:val="en-US" w:eastAsia="zh-CN"/>
              </w:rPr>
              <w:t>服务网点</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1分，每增加一个加1分，没有的不得分，本项最高得3分。（提供</w:t>
            </w:r>
            <w:r>
              <w:rPr>
                <w:rFonts w:hint="eastAsia" w:ascii="宋体" w:hAnsi="宋体" w:cs="宋体"/>
                <w:color w:val="auto"/>
                <w:sz w:val="24"/>
                <w:highlight w:val="none"/>
                <w:lang w:eastAsia="zh-CN"/>
              </w:rPr>
              <w:t>分支机构</w:t>
            </w:r>
            <w:r>
              <w:rPr>
                <w:rFonts w:hint="eastAsia" w:ascii="宋体" w:hAnsi="宋体" w:cs="宋体"/>
                <w:color w:val="auto"/>
                <w:sz w:val="24"/>
                <w:highlight w:val="none"/>
                <w:lang w:val="en-US" w:eastAsia="zh-CN"/>
              </w:rPr>
              <w:t>营业执照复印件）</w:t>
            </w:r>
          </w:p>
        </w:tc>
        <w:tc>
          <w:tcPr>
            <w:tcW w:w="837" w:type="dxa"/>
            <w:vAlign w:val="center"/>
          </w:tcPr>
          <w:p>
            <w:pPr>
              <w:widowControl/>
              <w:tabs>
                <w:tab w:val="left" w:pos="574"/>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spacing w:line="400" w:lineRule="exact"/>
              <w:jc w:val="center"/>
              <w:rPr>
                <w:rFonts w:ascii="宋体" w:hAnsi="宋体" w:cs="宋体"/>
                <w:color w:val="auto"/>
                <w:sz w:val="24"/>
                <w:highlight w:val="none"/>
              </w:rPr>
            </w:pPr>
          </w:p>
        </w:tc>
        <w:tc>
          <w:tcPr>
            <w:tcW w:w="540" w:type="dxa"/>
            <w:vAlign w:val="center"/>
          </w:tcPr>
          <w:p>
            <w:pPr>
              <w:adjustRightIn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6071" w:type="dxa"/>
            <w:vAlign w:val="center"/>
          </w:tcPr>
          <w:p>
            <w:pPr>
              <w:widowControl/>
              <w:tabs>
                <w:tab w:val="left" w:pos="574"/>
              </w:tabs>
              <w:snapToGrid w:val="0"/>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highlight w:val="none"/>
              </w:rPr>
              <w:t>分支机构报名的以其响应的总公司信息为准</w:t>
            </w:r>
            <w:r>
              <w:rPr>
                <w:rFonts w:hint="eastAsia" w:ascii="宋体" w:hAnsi="宋体" w:cs="宋体"/>
                <w:color w:val="auto"/>
                <w:sz w:val="24"/>
                <w:highlight w:val="none"/>
              </w:rPr>
              <w:t>）以中国保险行业协会最新公布202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年所属财产保险公司原保险保费收入规模为依据</w:t>
            </w:r>
            <w:r>
              <w:rPr>
                <w:rFonts w:hint="eastAsia" w:ascii="宋体" w:hAnsi="宋体" w:cs="宋体"/>
                <w:color w:val="auto"/>
                <w:sz w:val="24"/>
                <w:highlight w:val="none"/>
                <w:lang w:eastAsia="zh-CN"/>
              </w:rPr>
              <w:t>，</w:t>
            </w:r>
            <w:r>
              <w:rPr>
                <w:rFonts w:hint="eastAsia" w:ascii="宋体" w:hAnsi="宋体" w:cs="宋体"/>
                <w:color w:val="auto"/>
                <w:sz w:val="24"/>
                <w:highlight w:val="none"/>
              </w:rPr>
              <w:t>保费收入</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1000亿及以上的得2分，1000亿以下的得1分</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分。（提供相关证明材料）</w:t>
            </w:r>
          </w:p>
        </w:tc>
        <w:tc>
          <w:tcPr>
            <w:tcW w:w="837" w:type="dxa"/>
            <w:vAlign w:val="center"/>
          </w:tcPr>
          <w:p>
            <w:pPr>
              <w:widowControl/>
              <w:tabs>
                <w:tab w:val="left" w:pos="574"/>
              </w:tabs>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4" w:type="dxa"/>
            <w:vMerge w:val="restart"/>
            <w:shd w:val="clear" w:color="auto" w:fill="auto"/>
            <w:vAlign w:val="center"/>
          </w:tcPr>
          <w:p>
            <w:pPr>
              <w:spacing w:line="4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spacing w:line="400" w:lineRule="exact"/>
              <w:jc w:val="center"/>
              <w:rPr>
                <w:rFonts w:hint="eastAsia" w:ascii="宋体" w:hAnsi="宋体" w:cs="宋体"/>
                <w:color w:val="auto"/>
                <w:sz w:val="24"/>
                <w:highlight w:val="none"/>
                <w:lang w:val="en-US" w:eastAsia="zh-CN"/>
              </w:rPr>
            </w:pPr>
          </w:p>
          <w:p>
            <w:pPr>
              <w:spacing w:line="400" w:lineRule="exact"/>
              <w:jc w:val="center"/>
              <w:rPr>
                <w:rFonts w:hint="eastAsia" w:ascii="宋体" w:hAnsi="宋体" w:cs="宋体"/>
                <w:color w:val="auto"/>
                <w:sz w:val="24"/>
                <w:highlight w:val="none"/>
                <w:lang w:val="en-US" w:eastAsia="zh-CN"/>
              </w:rPr>
            </w:pPr>
          </w:p>
          <w:p>
            <w:pPr>
              <w:spacing w:line="400" w:lineRule="exact"/>
              <w:jc w:val="center"/>
              <w:rPr>
                <w:rFonts w:hint="eastAsia" w:ascii="宋体" w:hAnsi="宋体" w:cs="宋体"/>
                <w:color w:val="auto"/>
                <w:sz w:val="24"/>
                <w:highlight w:val="none"/>
                <w:lang w:val="en-US" w:eastAsia="zh-CN"/>
              </w:rPr>
            </w:pPr>
          </w:p>
          <w:p>
            <w:pPr>
              <w:spacing w:line="40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技术</w:t>
            </w:r>
          </w:p>
          <w:p>
            <w:pPr>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（55分）</w:t>
            </w:r>
          </w:p>
          <w:p>
            <w:pPr>
              <w:pStyle w:val="9"/>
              <w:snapToGrid w:val="0"/>
              <w:spacing w:line="240" w:lineRule="auto"/>
              <w:jc w:val="center"/>
              <w:rPr>
                <w:rFonts w:cs="宋体"/>
                <w:color w:val="auto"/>
                <w:highlight w:val="none"/>
              </w:rPr>
            </w:pPr>
          </w:p>
        </w:tc>
        <w:tc>
          <w:tcPr>
            <w:tcW w:w="540" w:type="dxa"/>
            <w:shd w:val="clear" w:color="auto" w:fill="auto"/>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071" w:type="dxa"/>
            <w:shd w:val="clear" w:color="auto" w:fill="auto"/>
            <w:vAlign w:val="top"/>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方案</w:t>
            </w:r>
            <w:r>
              <w:rPr>
                <w:rFonts w:hint="eastAsia" w:ascii="宋体" w:hAnsi="宋体" w:cs="宋体"/>
                <w:color w:val="auto"/>
                <w:sz w:val="24"/>
                <w:highlight w:val="none"/>
                <w:lang w:eastAsia="zh-CN"/>
              </w:rPr>
              <w:t>（公众责任险和雇主责任险及员工团体意外险保险方案）</w:t>
            </w:r>
            <w:r>
              <w:rPr>
                <w:rFonts w:hint="eastAsia" w:ascii="宋体" w:hAnsi="宋体" w:cs="宋体"/>
                <w:color w:val="auto"/>
                <w:sz w:val="24"/>
                <w:highlight w:val="none"/>
              </w:rPr>
              <w:t>的合理性、科学性、全面性，根据对项目的理解程度、组织实施、独到优势等情况</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pPr>
              <w:widowControl/>
              <w:tabs>
                <w:tab w:val="left" w:pos="574"/>
              </w:tabs>
              <w:snapToGrid w:val="0"/>
              <w:jc w:val="left"/>
              <w:rPr>
                <w:rFonts w:hint="eastAsia" w:ascii="宋体" w:hAnsi="宋体" w:eastAsia="宋体" w:cs="宋体"/>
                <w:color w:val="auto"/>
                <w:sz w:val="24"/>
                <w:highlight w:val="none"/>
                <w:lang w:val="zh-CN" w:eastAsia="zh-CN"/>
              </w:rPr>
            </w:pPr>
            <w:r>
              <w:rPr>
                <w:rFonts w:hint="eastAsia" w:ascii="仿宋" w:hAnsi="仿宋" w:eastAsia="仿宋" w:cs="仿宋"/>
                <w:color w:val="auto"/>
                <w:sz w:val="24"/>
                <w:highlight w:val="none"/>
              </w:rPr>
              <w:t>一般1-3.3分，较好3.4-5.7分，细致完善5.8-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837" w:type="dxa"/>
            <w:shd w:val="clear" w:color="auto" w:fill="auto"/>
            <w:vAlign w:val="center"/>
          </w:tcPr>
          <w:p>
            <w:pPr>
              <w:widowControl/>
              <w:snapToGri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vMerge w:val="continue"/>
            <w:shd w:val="clear" w:color="auto" w:fill="auto"/>
            <w:vAlign w:val="center"/>
          </w:tcPr>
          <w:p>
            <w:pPr>
              <w:pStyle w:val="9"/>
              <w:snapToGrid w:val="0"/>
              <w:spacing w:line="240" w:lineRule="auto"/>
              <w:jc w:val="center"/>
              <w:rPr>
                <w:rFonts w:cs="宋体"/>
                <w:color w:val="auto"/>
                <w:highlight w:val="none"/>
              </w:rPr>
            </w:pPr>
          </w:p>
        </w:tc>
        <w:tc>
          <w:tcPr>
            <w:tcW w:w="540" w:type="dxa"/>
            <w:shd w:val="clear" w:color="auto" w:fill="auto"/>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71" w:type="dxa"/>
            <w:shd w:val="clear" w:color="auto" w:fill="auto"/>
            <w:vAlign w:val="top"/>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保证进度和项目完成的方案和措施等，根据接报案及现场查勘方案的制定</w:t>
            </w:r>
            <w:r>
              <w:rPr>
                <w:rFonts w:hint="eastAsia" w:ascii="宋体" w:hAnsi="宋体" w:cs="宋体"/>
                <w:color w:val="auto"/>
                <w:sz w:val="24"/>
                <w:highlight w:val="none"/>
                <w:lang w:eastAsia="zh-CN"/>
              </w:rPr>
              <w:t>等</w:t>
            </w:r>
            <w:r>
              <w:rPr>
                <w:rFonts w:hint="eastAsia" w:ascii="宋体" w:hAnsi="宋体" w:cs="宋体"/>
                <w:color w:val="auto"/>
                <w:sz w:val="24"/>
                <w:highlight w:val="none"/>
                <w:lang w:val="en-US" w:eastAsia="zh-CN"/>
              </w:rPr>
              <w:t>情况进行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pPr>
              <w:widowControl/>
              <w:tabs>
                <w:tab w:val="left" w:pos="574"/>
              </w:tabs>
              <w:snapToGrid w:val="0"/>
              <w:jc w:val="left"/>
              <w:rPr>
                <w:rFonts w:hint="default" w:ascii="宋体" w:hAnsi="宋体" w:eastAsia="宋体" w:cs="宋体"/>
                <w:color w:val="auto"/>
                <w:sz w:val="24"/>
                <w:highlight w:val="none"/>
                <w:lang w:val="en-US" w:eastAsia="zh-CN"/>
              </w:rPr>
            </w:pPr>
            <w:r>
              <w:rPr>
                <w:rFonts w:hint="eastAsia" w:ascii="仿宋" w:hAnsi="仿宋" w:eastAsia="仿宋" w:cs="仿宋"/>
                <w:color w:val="auto"/>
                <w:sz w:val="24"/>
                <w:highlight w:val="none"/>
              </w:rPr>
              <w:t>一般1-3.3分，较好3.4-5.7分，细致完善5.8-</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837" w:type="dxa"/>
            <w:shd w:val="clear" w:color="auto" w:fill="auto"/>
            <w:vAlign w:val="center"/>
          </w:tcPr>
          <w:p>
            <w:pPr>
              <w:widowControl/>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64" w:type="dxa"/>
            <w:vMerge w:val="continue"/>
            <w:shd w:val="clear" w:color="auto" w:fill="auto"/>
            <w:vAlign w:val="center"/>
          </w:tcPr>
          <w:p>
            <w:pPr>
              <w:pStyle w:val="9"/>
              <w:snapToGrid w:val="0"/>
              <w:spacing w:line="240" w:lineRule="auto"/>
              <w:jc w:val="center"/>
              <w:rPr>
                <w:rFonts w:cs="宋体"/>
                <w:color w:val="auto"/>
                <w:highlight w:val="none"/>
              </w:rPr>
            </w:pPr>
          </w:p>
        </w:tc>
        <w:tc>
          <w:tcPr>
            <w:tcW w:w="540" w:type="dxa"/>
            <w:shd w:val="clear" w:color="auto" w:fill="auto"/>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71" w:type="dxa"/>
            <w:shd w:val="clear" w:color="auto" w:fill="auto"/>
            <w:vAlign w:val="top"/>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保证项目实施的技术力量和人力资源安排</w:t>
            </w:r>
            <w:r>
              <w:rPr>
                <w:rFonts w:hint="eastAsia" w:ascii="宋体" w:hAnsi="宋体" w:cs="宋体"/>
                <w:color w:val="auto"/>
                <w:sz w:val="24"/>
                <w:highlight w:val="none"/>
                <w:lang w:eastAsia="zh-CN"/>
              </w:rPr>
              <w:t>，</w:t>
            </w:r>
            <w:r>
              <w:rPr>
                <w:rFonts w:hint="eastAsia" w:ascii="宋体" w:hAnsi="宋体" w:cs="宋体"/>
                <w:color w:val="auto"/>
                <w:sz w:val="24"/>
                <w:highlight w:val="none"/>
              </w:rPr>
              <w:t>拟派任本项目服务团队的专业人员配备情况的合理性</w:t>
            </w:r>
            <w:r>
              <w:rPr>
                <w:rFonts w:hint="eastAsia" w:ascii="宋体" w:hAnsi="宋体" w:cs="宋体"/>
                <w:color w:val="auto"/>
                <w:sz w:val="24"/>
                <w:highlight w:val="none"/>
                <w:lang w:eastAsia="zh-CN"/>
              </w:rPr>
              <w:t>，对服务团队相关专业知识的培训、学习等</w:t>
            </w:r>
            <w:r>
              <w:rPr>
                <w:rFonts w:hint="eastAsia" w:ascii="宋体" w:hAnsi="宋体" w:cs="宋体"/>
                <w:color w:val="auto"/>
                <w:sz w:val="24"/>
                <w:highlight w:val="none"/>
                <w:lang w:val="en-US" w:eastAsia="zh-CN"/>
              </w:rPr>
              <w:t>情况进行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pPr>
              <w:widowControl/>
              <w:tabs>
                <w:tab w:val="left" w:pos="574"/>
              </w:tabs>
              <w:snapToGrid w:val="0"/>
              <w:jc w:val="left"/>
              <w:rPr>
                <w:rFonts w:hint="eastAsia" w:ascii="宋体" w:hAnsi="宋体" w:cs="宋体"/>
                <w:color w:val="auto"/>
                <w:sz w:val="24"/>
                <w:highlight w:val="none"/>
                <w:lang w:val="en-US" w:eastAsia="zh-CN"/>
              </w:rPr>
            </w:pPr>
            <w:r>
              <w:rPr>
                <w:rFonts w:hint="eastAsia" w:ascii="仿宋" w:hAnsi="仿宋" w:eastAsia="仿宋" w:cs="仿宋"/>
                <w:color w:val="auto"/>
                <w:sz w:val="24"/>
                <w:highlight w:val="none"/>
              </w:rPr>
              <w:t>一般1-3.3分，较好3.4-5.7分，细致完善5.8-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837" w:type="dxa"/>
            <w:shd w:val="clear" w:color="auto" w:fill="auto"/>
            <w:vAlign w:val="center"/>
          </w:tcPr>
          <w:p>
            <w:pPr>
              <w:widowControl/>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64" w:type="dxa"/>
            <w:vMerge w:val="continue"/>
            <w:shd w:val="clear" w:color="auto" w:fill="auto"/>
            <w:vAlign w:val="center"/>
          </w:tcPr>
          <w:p>
            <w:pPr>
              <w:pStyle w:val="9"/>
              <w:snapToGrid w:val="0"/>
              <w:spacing w:line="240" w:lineRule="auto"/>
              <w:jc w:val="center"/>
              <w:rPr>
                <w:rFonts w:cs="宋体"/>
                <w:color w:val="auto"/>
                <w:highlight w:val="none"/>
              </w:rPr>
            </w:pPr>
          </w:p>
        </w:tc>
        <w:tc>
          <w:tcPr>
            <w:tcW w:w="540" w:type="dxa"/>
            <w:shd w:val="clear" w:color="auto" w:fill="auto"/>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6071" w:type="dxa"/>
            <w:shd w:val="clear" w:color="auto" w:fill="auto"/>
            <w:vAlign w:val="top"/>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服务质量保证情况</w:t>
            </w:r>
            <w:r>
              <w:rPr>
                <w:rFonts w:hint="eastAsia" w:ascii="宋体" w:hAnsi="宋体" w:cs="宋体"/>
                <w:color w:val="auto"/>
                <w:sz w:val="24"/>
                <w:highlight w:val="none"/>
                <w:lang w:eastAsia="zh-CN"/>
              </w:rPr>
              <w:t>：</w:t>
            </w:r>
            <w:r>
              <w:rPr>
                <w:rFonts w:hint="eastAsia" w:ascii="宋体" w:hAnsi="宋体" w:cs="宋体"/>
                <w:color w:val="auto"/>
                <w:sz w:val="24"/>
                <w:highlight w:val="none"/>
              </w:rPr>
              <w:t>根据可实现程度、提供优惠条款、特色服务及增值服务等情况</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pPr>
              <w:widowControl/>
              <w:tabs>
                <w:tab w:val="left" w:pos="574"/>
              </w:tabs>
              <w:snapToGrid w:val="0"/>
              <w:jc w:val="left"/>
              <w:rPr>
                <w:rFonts w:hint="eastAsia" w:ascii="宋体" w:hAnsi="宋体" w:cs="宋体"/>
                <w:color w:val="auto"/>
                <w:sz w:val="24"/>
                <w:highlight w:val="none"/>
                <w:lang w:val="en-US" w:eastAsia="zh-CN"/>
              </w:rPr>
            </w:pPr>
            <w:r>
              <w:rPr>
                <w:rFonts w:hint="eastAsia" w:ascii="仿宋" w:hAnsi="仿宋" w:eastAsia="仿宋" w:cs="仿宋"/>
                <w:color w:val="auto"/>
                <w:sz w:val="24"/>
                <w:highlight w:val="none"/>
              </w:rPr>
              <w:t>一般1-3.3分，较好3.4-5.7分，细致完善5.8-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837" w:type="dxa"/>
            <w:shd w:val="clear" w:color="auto" w:fill="auto"/>
            <w:vAlign w:val="center"/>
          </w:tcPr>
          <w:p>
            <w:pPr>
              <w:widowControl/>
              <w:tabs>
                <w:tab w:val="left" w:pos="574"/>
              </w:tabs>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4" w:type="dxa"/>
            <w:vMerge w:val="continue"/>
            <w:shd w:val="clear" w:color="auto" w:fill="auto"/>
            <w:vAlign w:val="center"/>
          </w:tcPr>
          <w:p>
            <w:pPr>
              <w:widowControl/>
              <w:jc w:val="center"/>
              <w:rPr>
                <w:rFonts w:ascii="宋体" w:hAnsi="宋体" w:cs="宋体"/>
                <w:color w:val="auto"/>
                <w:kern w:val="0"/>
                <w:sz w:val="24"/>
                <w:highlight w:val="none"/>
              </w:rPr>
            </w:pPr>
          </w:p>
        </w:tc>
        <w:tc>
          <w:tcPr>
            <w:tcW w:w="540" w:type="dxa"/>
            <w:shd w:val="clear" w:color="auto" w:fill="auto"/>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6071" w:type="dxa"/>
            <w:shd w:val="clear" w:color="auto" w:fill="auto"/>
            <w:vAlign w:val="top"/>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服务承诺</w:t>
            </w:r>
            <w:r>
              <w:rPr>
                <w:rFonts w:hint="eastAsia" w:ascii="宋体" w:hAnsi="宋体" w:cs="宋体"/>
                <w:color w:val="auto"/>
                <w:sz w:val="24"/>
                <w:highlight w:val="none"/>
                <w:lang w:eastAsia="zh-CN"/>
              </w:rPr>
              <w:t>：</w:t>
            </w:r>
            <w:r>
              <w:rPr>
                <w:rFonts w:hint="eastAsia" w:ascii="宋体" w:hAnsi="宋体" w:cs="宋体"/>
                <w:color w:val="auto"/>
                <w:sz w:val="24"/>
                <w:highlight w:val="none"/>
              </w:rPr>
              <w:t>根据售后服务方案、措施等情况</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pPr>
              <w:widowControl/>
              <w:tabs>
                <w:tab w:val="left" w:pos="574"/>
              </w:tabs>
              <w:snapToGrid w:val="0"/>
              <w:jc w:val="left"/>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color w:val="auto"/>
                <w:sz w:val="24"/>
                <w:highlight w:val="none"/>
              </w:rPr>
              <w:t>一般1-3.3分，较好3.4-5.7分，细致完善5.8-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837" w:type="dxa"/>
            <w:shd w:val="clear" w:color="auto" w:fill="auto"/>
            <w:vAlign w:val="center"/>
          </w:tcPr>
          <w:p>
            <w:pPr>
              <w:widowControl/>
              <w:tabs>
                <w:tab w:val="left" w:pos="574"/>
              </w:tabs>
              <w:snapToGri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4" w:type="dxa"/>
            <w:vMerge w:val="continue"/>
            <w:shd w:val="clear" w:color="auto" w:fill="auto"/>
            <w:vAlign w:val="center"/>
          </w:tcPr>
          <w:p>
            <w:pPr>
              <w:widowControl/>
              <w:jc w:val="center"/>
              <w:rPr>
                <w:rFonts w:ascii="宋体" w:hAnsi="宋体" w:cs="宋体"/>
                <w:color w:val="auto"/>
                <w:kern w:val="0"/>
                <w:sz w:val="24"/>
                <w:highlight w:val="none"/>
              </w:rPr>
            </w:pPr>
          </w:p>
        </w:tc>
        <w:tc>
          <w:tcPr>
            <w:tcW w:w="540" w:type="dxa"/>
            <w:shd w:val="clear" w:color="auto" w:fill="auto"/>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6071" w:type="dxa"/>
            <w:shd w:val="clear" w:color="auto" w:fill="auto"/>
            <w:vAlign w:val="top"/>
          </w:tcPr>
          <w:p>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对本项目的合理化建议</w:t>
            </w:r>
            <w:r>
              <w:rPr>
                <w:rFonts w:hint="eastAsia" w:ascii="宋体" w:hAnsi="宋体" w:cs="宋体"/>
                <w:color w:val="auto"/>
                <w:sz w:val="24"/>
                <w:highlight w:val="none"/>
                <w:lang w:eastAsia="zh-CN"/>
              </w:rPr>
              <w:t>，</w:t>
            </w:r>
            <w:r>
              <w:rPr>
                <w:rFonts w:hint="eastAsia" w:ascii="宋体" w:hAnsi="宋体" w:cs="宋体"/>
                <w:color w:val="auto"/>
                <w:sz w:val="24"/>
                <w:highlight w:val="none"/>
              </w:rPr>
              <w:t>风险认知</w:t>
            </w:r>
            <w:r>
              <w:rPr>
                <w:rFonts w:hint="eastAsia" w:ascii="宋体" w:hAnsi="宋体" w:cs="宋体"/>
                <w:color w:val="auto"/>
                <w:sz w:val="24"/>
                <w:highlight w:val="none"/>
                <w:lang w:eastAsia="zh-CN"/>
              </w:rPr>
              <w:t>、</w:t>
            </w:r>
            <w:r>
              <w:rPr>
                <w:rFonts w:hint="eastAsia" w:ascii="宋体" w:hAnsi="宋体" w:cs="宋体"/>
                <w:color w:val="auto"/>
                <w:sz w:val="24"/>
                <w:highlight w:val="none"/>
              </w:rPr>
              <w:t>风险预防建议</w:t>
            </w:r>
            <w:r>
              <w:rPr>
                <w:rFonts w:hint="eastAsia" w:ascii="宋体" w:hAnsi="宋体" w:cs="宋体"/>
                <w:color w:val="auto"/>
                <w:sz w:val="24"/>
                <w:highlight w:val="none"/>
                <w:lang w:eastAsia="zh-CN"/>
              </w:rPr>
              <w:t>等</w:t>
            </w:r>
            <w:r>
              <w:rPr>
                <w:rFonts w:hint="eastAsia" w:ascii="宋体" w:hAnsi="宋体" w:cs="宋体"/>
                <w:color w:val="auto"/>
                <w:sz w:val="24"/>
                <w:highlight w:val="none"/>
                <w:lang w:val="en-US" w:eastAsia="zh-CN"/>
              </w:rPr>
              <w:t>情况进行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pPr>
              <w:widowControl/>
              <w:tabs>
                <w:tab w:val="left" w:pos="574"/>
              </w:tabs>
              <w:snapToGrid w:val="0"/>
              <w:jc w:val="left"/>
              <w:rPr>
                <w:rFonts w:hint="eastAsia" w:ascii="宋体" w:hAnsi="宋体" w:cs="宋体"/>
                <w:color w:val="auto"/>
                <w:sz w:val="24"/>
                <w:highlight w:val="none"/>
                <w:lang w:val="en-US" w:eastAsia="zh-CN"/>
              </w:rPr>
            </w:pPr>
            <w:r>
              <w:rPr>
                <w:rFonts w:hint="eastAsia" w:ascii="仿宋" w:hAnsi="仿宋" w:eastAsia="仿宋" w:cs="仿宋"/>
                <w:color w:val="auto"/>
                <w:sz w:val="24"/>
                <w:highlight w:val="none"/>
              </w:rPr>
              <w:t>一般1-3.3分，较好3.4-5.7分，细致完善5.8-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837" w:type="dxa"/>
            <w:shd w:val="clear" w:color="auto" w:fill="auto"/>
            <w:vAlign w:val="center"/>
          </w:tcPr>
          <w:p>
            <w:pPr>
              <w:widowControl/>
              <w:tabs>
                <w:tab w:val="left" w:pos="574"/>
              </w:tabs>
              <w:snapToGrid w:val="0"/>
              <w:jc w:val="center"/>
              <w:rPr>
                <w:rFonts w:hint="default" w:ascii="宋体" w:hAnsi="宋体" w:cs="宋体"/>
                <w:color w:val="auto"/>
                <w:kern w:val="0"/>
                <w:sz w:val="24"/>
                <w:highlight w:val="none"/>
                <w:lang w:val="en-US"/>
              </w:rPr>
            </w:pPr>
            <w:r>
              <w:rPr>
                <w:rFonts w:hint="eastAsia" w:ascii="宋体" w:hAnsi="宋体" w:cs="宋体"/>
                <w:color w:val="auto"/>
                <w:sz w:val="24"/>
                <w:highlight w:val="none"/>
                <w:lang w:val="en-US" w:eastAsia="zh-CN"/>
              </w:rPr>
              <w:t>9分</w:t>
            </w:r>
          </w:p>
        </w:tc>
      </w:tr>
    </w:tbl>
    <w:p>
      <w:pPr>
        <w:pStyle w:val="13"/>
        <w:rPr>
          <w:rFonts w:hint="eastAsia"/>
          <w:b/>
          <w:bCs/>
          <w:color w:val="auto"/>
        </w:rPr>
      </w:pPr>
    </w:p>
    <w:p>
      <w:pPr>
        <w:widowControl/>
        <w:spacing w:line="360"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val="en-US" w:eastAsia="zh-CN"/>
        </w:rPr>
        <w:t>2</w:t>
      </w:r>
      <w:r>
        <w:rPr>
          <w:rFonts w:hint="eastAsia" w:asciiTheme="minorEastAsia" w:hAnsiTheme="minorEastAsia" w:eastAsiaTheme="minorEastAsia" w:cstheme="minorEastAsia"/>
          <w:b/>
          <w:bCs/>
          <w:color w:val="auto"/>
          <w:sz w:val="24"/>
        </w:rPr>
        <w:t>、价格分（</w:t>
      </w:r>
      <w:r>
        <w:rPr>
          <w:rFonts w:hint="eastAsia" w:asciiTheme="minorEastAsia" w:hAnsiTheme="minorEastAsia" w:eastAsiaTheme="minorEastAsia" w:cstheme="minorEastAsia"/>
          <w:b/>
          <w:bCs/>
          <w:color w:val="auto"/>
          <w:sz w:val="24"/>
          <w:lang w:val="en-US" w:eastAsia="zh-CN"/>
        </w:rPr>
        <w:t>3</w:t>
      </w:r>
      <w:r>
        <w:rPr>
          <w:rFonts w:hint="eastAsia" w:asciiTheme="minorEastAsia" w:hAnsiTheme="minorEastAsia" w:eastAsiaTheme="minorEastAsia" w:cstheme="minorEastAsia"/>
          <w:b/>
          <w:bCs/>
          <w:color w:val="auto"/>
          <w:sz w:val="24"/>
        </w:rPr>
        <w:t>0分）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价格权值</w:t>
            </w:r>
          </w:p>
        </w:tc>
        <w:tc>
          <w:tcPr>
            <w:tcW w:w="70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价格权值=0.</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0</w:t>
            </w:r>
          </w:p>
        </w:tc>
        <w:tc>
          <w:tcPr>
            <w:tcW w:w="7008"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kinsoku/>
              <w:wordWrap/>
              <w:overflowPunct/>
              <w:topLinePunct w:val="0"/>
              <w:autoSpaceDE/>
              <w:autoSpaceDN/>
              <w:bidi w:val="0"/>
              <w:adjustRightInd w:val="0"/>
              <w:snapToGrid w:val="0"/>
              <w:spacing w:line="360" w:lineRule="atLeast"/>
              <w:ind w:firstLine="0" w:firstLineChars="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最低有效</w:t>
            </w:r>
            <w:r>
              <w:rPr>
                <w:rFonts w:hint="eastAsia" w:cs="Times New Roman"/>
                <w:color w:val="auto"/>
                <w:kern w:val="2"/>
                <w:sz w:val="24"/>
                <w:szCs w:val="24"/>
                <w:highlight w:val="none"/>
                <w:lang w:val="en-US" w:eastAsia="zh-CN" w:bidi="ar-SA"/>
              </w:rPr>
              <w:t>响应</w:t>
            </w:r>
            <w:r>
              <w:rPr>
                <w:rFonts w:hint="eastAsia" w:ascii="宋体" w:hAnsi="宋体" w:eastAsia="宋体" w:cs="Times New Roman"/>
                <w:color w:val="auto"/>
                <w:kern w:val="2"/>
                <w:sz w:val="24"/>
                <w:szCs w:val="24"/>
                <w:highlight w:val="none"/>
                <w:lang w:val="en-US" w:eastAsia="zh-CN" w:bidi="ar-SA"/>
              </w:rPr>
              <w:t>价格为评标基准价</w:t>
            </w:r>
          </w:p>
          <w:p>
            <w:pPr>
              <w:pStyle w:val="9"/>
              <w:keepNext w:val="0"/>
              <w:keepLines w:val="0"/>
              <w:pageBreakBefore w:val="0"/>
              <w:kinsoku/>
              <w:wordWrap/>
              <w:overflowPunct/>
              <w:topLinePunct w:val="0"/>
              <w:autoSpaceDE/>
              <w:autoSpaceDN/>
              <w:bidi w:val="0"/>
              <w:adjustRightInd w:val="0"/>
              <w:snapToGrid w:val="0"/>
              <w:spacing w:line="360" w:lineRule="atLeast"/>
              <w:ind w:firstLine="0" w:firstLineChars="0"/>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响应</w:t>
            </w:r>
            <w:r>
              <w:rPr>
                <w:rFonts w:hint="eastAsia" w:ascii="宋体" w:hAnsi="宋体" w:eastAsia="宋体" w:cs="Times New Roman"/>
                <w:color w:val="auto"/>
                <w:kern w:val="2"/>
                <w:sz w:val="24"/>
                <w:szCs w:val="24"/>
                <w:highlight w:val="none"/>
                <w:lang w:val="en-US" w:eastAsia="zh-CN" w:bidi="ar-SA"/>
              </w:rPr>
              <w:t>报价得分=(评标基准价／</w:t>
            </w:r>
            <w:r>
              <w:rPr>
                <w:rFonts w:hint="eastAsia" w:cs="Times New Roman"/>
                <w:color w:val="auto"/>
                <w:kern w:val="2"/>
                <w:sz w:val="24"/>
                <w:szCs w:val="24"/>
                <w:highlight w:val="none"/>
                <w:lang w:val="en-US" w:eastAsia="zh-CN" w:bidi="ar-SA"/>
              </w:rPr>
              <w:t>响应</w:t>
            </w:r>
            <w:r>
              <w:rPr>
                <w:rFonts w:hint="eastAsia" w:ascii="宋体" w:hAnsi="宋体" w:eastAsia="宋体" w:cs="Times New Roman"/>
                <w:color w:val="auto"/>
                <w:kern w:val="2"/>
                <w:sz w:val="24"/>
                <w:szCs w:val="24"/>
                <w:highlight w:val="none"/>
                <w:lang w:val="en-US" w:eastAsia="zh-CN" w:bidi="ar-SA"/>
              </w:rPr>
              <w:t xml:space="preserve">报价)×价格权值×100 </w:t>
            </w:r>
          </w:p>
          <w:p>
            <w:pPr>
              <w:widowControl/>
              <w:rPr>
                <w:rFonts w:hint="eastAsia" w:asciiTheme="minorEastAsia" w:hAnsiTheme="minorEastAsia" w:eastAsiaTheme="minorEastAsia" w:cstheme="minorEastAsia"/>
                <w:color w:val="auto"/>
                <w:sz w:val="24"/>
              </w:rPr>
            </w:pPr>
            <w:r>
              <w:rPr>
                <w:rFonts w:hint="eastAsia" w:ascii="宋体" w:hAnsi="宋体" w:eastAsia="宋体" w:cs="Times New Roman"/>
                <w:color w:val="auto"/>
                <w:kern w:val="2"/>
                <w:sz w:val="24"/>
                <w:szCs w:val="24"/>
                <w:highlight w:val="none"/>
                <w:lang w:val="en-US" w:eastAsia="zh-CN" w:bidi="ar-SA"/>
              </w:rPr>
              <w:t>（计算得分保留小数点后2位）</w:t>
            </w:r>
          </w:p>
        </w:tc>
      </w:tr>
    </w:tbl>
    <w:p>
      <w:pPr>
        <w:snapToGrid w:val="0"/>
        <w:spacing w:line="360" w:lineRule="auto"/>
        <w:rPr>
          <w:rFonts w:hint="eastAsia" w:asciiTheme="minorEastAsia" w:hAnsiTheme="minorEastAsia" w:eastAsiaTheme="minorEastAsia" w:cstheme="minorEastAsia"/>
          <w:b/>
          <w:color w:val="auto"/>
          <w:sz w:val="24"/>
          <w:highlight w:val="none"/>
        </w:rPr>
      </w:pPr>
    </w:p>
    <w:p>
      <w:pPr>
        <w:widowControl/>
        <w:spacing w:line="360" w:lineRule="auto"/>
        <w:jc w:val="left"/>
        <w:rPr>
          <w:rFonts w:ascii="宋体" w:hAnsi="宋体"/>
          <w:bCs/>
          <w:color w:val="auto"/>
          <w:sz w:val="24"/>
          <w:highlight w:val="none"/>
        </w:rPr>
      </w:pPr>
      <w:r>
        <w:rPr>
          <w:rFonts w:hint="eastAsia" w:ascii="宋体" w:hAnsi="宋体"/>
          <w:bCs/>
          <w:color w:val="auto"/>
          <w:sz w:val="24"/>
          <w:highlight w:val="none"/>
        </w:rPr>
        <w:t>注：1）若采购人对供应商提供的证明资料要求为原件的，另行提出。</w:t>
      </w:r>
    </w:p>
    <w:p>
      <w:pPr>
        <w:widowControl/>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ind w:left="0" w:leftChars="0" w:firstLine="480" w:firstLineChars="200"/>
        <w:rPr>
          <w:rFonts w:hint="eastAsia" w:ascii="宋体" w:hAnsi="宋体"/>
          <w:bCs/>
          <w:color w:val="auto"/>
          <w:sz w:val="24"/>
          <w:highlight w:val="none"/>
        </w:rPr>
      </w:pPr>
      <w:r>
        <w:rPr>
          <w:rFonts w:hint="eastAsia" w:ascii="宋体" w:hAnsi="宋体" w:cs="宋体"/>
          <w:color w:val="auto"/>
          <w:sz w:val="24"/>
          <w:highlight w:val="none"/>
        </w:rPr>
        <w:t>2）供应商编制响应文件（商务技术文件部分）时，建议按此目录（序号和内容）提供评标标准相应的商务技术资料。</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w:t>
      </w:r>
      <w:r>
        <w:rPr>
          <w:rFonts w:hint="eastAsia" w:ascii="宋体" w:hAnsi="宋体" w:cs="宋体"/>
          <w:color w:val="auto"/>
          <w:kern w:val="0"/>
          <w:sz w:val="24"/>
          <w:highlight w:val="none"/>
        </w:rPr>
        <w:t>最高的</w:t>
      </w:r>
      <w:r>
        <w:rPr>
          <w:rFonts w:hint="eastAsia" w:ascii="宋体" w:hAnsi="宋体" w:cs="宋体"/>
          <w:color w:val="auto"/>
          <w:kern w:val="0"/>
          <w:sz w:val="24"/>
        </w:rPr>
        <w:t>供应商为成交候选人的评标方法</w:t>
      </w:r>
      <w:r>
        <w:rPr>
          <w:rFonts w:hint="eastAsia" w:ascii="宋体" w:hAnsi="宋体" w:eastAsia="宋体" w:cs="宋体"/>
          <w:color w:val="auto"/>
          <w:kern w:val="0"/>
          <w:sz w:val="24"/>
          <w:highlight w:val="none"/>
        </w:rPr>
        <w:t>。</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cs="宋体"/>
          <w:color w:val="auto"/>
          <w:kern w:val="0"/>
          <w:sz w:val="24"/>
          <w:highlight w:val="none"/>
          <w:lang w:eastAsia="zh-CN"/>
        </w:rPr>
        <w:t>交易</w:t>
      </w:r>
      <w:r>
        <w:rPr>
          <w:rFonts w:hint="eastAsia" w:ascii="宋体" w:hAnsi="宋体" w:eastAsia="宋体" w:cs="宋体"/>
          <w:color w:val="auto"/>
          <w:kern w:val="0"/>
          <w:sz w:val="24"/>
          <w:highlight w:val="none"/>
        </w:rPr>
        <w:t>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2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20"/>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3.4.1.1响应文件中交易一览表(报价表)内容与响应文件中相应内容不一致的，以交易一览表(报价表)为准</w:t>
      </w:r>
      <w:r>
        <w:rPr>
          <w:rFonts w:hint="eastAsia" w:ascii="宋体" w:hAnsi="宋体" w:cs="宋体"/>
          <w:color w:val="auto"/>
          <w:kern w:val="0"/>
          <w:szCs w:val="24"/>
          <w:highlight w:val="none"/>
          <w:lang w:eastAsia="zh-CN"/>
        </w:rPr>
        <w:t>；</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pPr>
        <w:pStyle w:val="20"/>
        <w:spacing w:before="0"/>
        <w:ind w:firstLine="480"/>
        <w:rPr>
          <w:rFonts w:hint="eastAsia"/>
          <w:color w:val="auto"/>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供应商不能证明其报价合理性的，评标委员会应当将其作为无效响应处理</w:t>
      </w:r>
      <w:r>
        <w:rPr>
          <w:rFonts w:hint="eastAsia" w:ascii="宋体" w:hAnsi="宋体" w:cs="宋体"/>
          <w:color w:val="auto"/>
          <w:kern w:val="0"/>
          <w:szCs w:val="24"/>
          <w:highlight w:val="none"/>
          <w:lang w:eastAsia="zh-CN"/>
        </w:rPr>
        <w:t>。</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eastAsia="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eastAsia="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w:t>
      </w:r>
      <w:r>
        <w:rPr>
          <w:rFonts w:hint="eastAsia" w:ascii="宋体" w:hAnsi="宋体" w:cs="宋体"/>
          <w:color w:val="auto"/>
          <w:kern w:val="0"/>
          <w:sz w:val="24"/>
          <w:highlight w:val="none"/>
        </w:rPr>
        <w:t>最高的供应商为成交候选人。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eastAsia="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候选人。</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四、评标中的其他事项</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4.1</w:t>
      </w:r>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澄清、说明或者补正。</w:t>
      </w:r>
    </w:p>
    <w:p>
      <w:pPr>
        <w:spacing w:line="360" w:lineRule="auto"/>
        <w:ind w:firstLine="480" w:firstLineChars="200"/>
        <w:rPr>
          <w:rFonts w:hint="eastAsia" w:ascii="宋体" w:hAnsi="宋体" w:eastAsia="宋体" w:cs="宋体"/>
          <w:color w:val="auto"/>
          <w:kern w:val="0"/>
          <w:szCs w:val="24"/>
          <w:highlight w:val="none"/>
        </w:rPr>
      </w:pPr>
      <w:r>
        <w:rPr>
          <w:rFonts w:hint="eastAsia" w:ascii="宋体" w:hAnsi="宋体" w:eastAsia="宋体" w:cs="宋体"/>
          <w:color w:val="auto"/>
          <w:kern w:val="0"/>
          <w:sz w:val="24"/>
          <w:highlight w:val="none"/>
        </w:rPr>
        <w:t>对于</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中含义不明确、同类问题表述不一致或者有明显文字和计算错误的内容需要</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作出必要的澄清、说明或者补正的，评标委员会和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通过电子交易平台交换数据电文，</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提交使用电子签名的相关数据电文或通过平台上传加盖公章的扫描件。给予</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提交澄清、说明或补正的时间不得少于半小时，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已经明确表示澄清说明或补正完毕的除外。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的澄清、说明或者补正不得超出</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的范围或者改变</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的实质性内容</w:t>
      </w:r>
      <w:r>
        <w:rPr>
          <w:rFonts w:hint="eastAsia" w:ascii="宋体" w:hAnsi="宋体" w:eastAsia="宋体" w:cs="宋体"/>
          <w:color w:val="auto"/>
          <w:kern w:val="0"/>
          <w:szCs w:val="24"/>
          <w:highlight w:val="none"/>
        </w:rPr>
        <w:t>。</w:t>
      </w:r>
    </w:p>
    <w:p>
      <w:pPr>
        <w:pStyle w:val="9"/>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cs="宋体"/>
          <w:b/>
          <w:color w:val="auto"/>
          <w:kern w:val="0"/>
          <w:highlight w:val="none"/>
          <w:lang w:eastAsia="zh-CN"/>
        </w:rPr>
        <w:t>交易</w:t>
      </w:r>
      <w:r>
        <w:rPr>
          <w:rFonts w:hint="eastAsia" w:ascii="宋体" w:hAnsi="宋体" w:eastAsia="宋体" w:cs="宋体"/>
          <w:b/>
          <w:color w:val="auto"/>
          <w:kern w:val="0"/>
          <w:highlight w:val="none"/>
        </w:rPr>
        <w:t>无效。</w:t>
      </w:r>
      <w:r>
        <w:rPr>
          <w:rFonts w:hint="eastAsia" w:ascii="宋体" w:hAnsi="宋体" w:eastAsia="宋体" w:cs="宋体"/>
          <w:color w:val="auto"/>
          <w:szCs w:val="21"/>
          <w:highlight w:val="none"/>
        </w:rPr>
        <w:t>有下列情形之一的，</w:t>
      </w:r>
      <w:r>
        <w:rPr>
          <w:rFonts w:hint="eastAsia" w:cs="宋体"/>
          <w:color w:val="auto"/>
          <w:szCs w:val="21"/>
          <w:highlight w:val="none"/>
          <w:lang w:eastAsia="zh-CN"/>
        </w:rPr>
        <w:t>交易</w:t>
      </w:r>
      <w:r>
        <w:rPr>
          <w:rFonts w:hint="eastAsia" w:ascii="宋体" w:hAnsi="宋体" w:eastAsia="宋体" w:cs="宋体"/>
          <w:color w:val="auto"/>
          <w:szCs w:val="21"/>
          <w:highlight w:val="none"/>
        </w:rPr>
        <w:t>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cs="宋体"/>
          <w:color w:val="auto"/>
          <w:kern w:val="0"/>
          <w:sz w:val="24"/>
          <w:highlight w:val="none"/>
          <w:lang w:eastAsia="zh-CN"/>
        </w:rPr>
        <w:t>交易</w:t>
      </w:r>
      <w:r>
        <w:rPr>
          <w:rFonts w:hint="eastAsia" w:ascii="宋体" w:hAnsi="宋体" w:eastAsia="宋体" w:cs="宋体"/>
          <w:color w:val="auto"/>
          <w:kern w:val="0"/>
          <w:sz w:val="24"/>
          <w:highlight w:val="none"/>
        </w:rPr>
        <w:t>有效期少于</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cs="宋体"/>
          <w:color w:val="auto"/>
          <w:kern w:val="0"/>
          <w:sz w:val="24"/>
          <w:highlight w:val="none"/>
          <w:lang w:eastAsia="zh-CN"/>
        </w:rPr>
        <w:t>交易</w:t>
      </w:r>
      <w:r>
        <w:rPr>
          <w:rFonts w:hint="eastAsia" w:ascii="宋体" w:hAnsi="宋体" w:eastAsia="宋体" w:cs="宋体"/>
          <w:color w:val="auto"/>
          <w:kern w:val="0"/>
          <w:sz w:val="24"/>
          <w:highlight w:val="none"/>
        </w:rPr>
        <w:t>有效期的；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4.2.5</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eastAsia="宋体" w:cs="宋体"/>
          <w:color w:val="auto"/>
          <w:kern w:val="0"/>
          <w:sz w:val="24"/>
          <w:highlight w:val="none"/>
        </w:rPr>
        <w:t>报价的</w:t>
      </w:r>
      <w:r>
        <w:rPr>
          <w:rFonts w:hint="eastAsia" w:ascii="宋体" w:hAnsi="宋体" w:cs="宋体"/>
          <w:color w:val="auto"/>
          <w:kern w:val="0"/>
          <w:sz w:val="24"/>
          <w:highlight w:val="none"/>
          <w:lang w:eastAsia="zh-CN"/>
        </w:rPr>
        <w:t>；</w:t>
      </w:r>
    </w:p>
    <w:p>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w:t>
      </w:r>
      <w:r>
        <w:rPr>
          <w:rFonts w:hint="eastAsia" w:ascii="宋体" w:hAnsi="宋体" w:cs="宋体"/>
          <w:color w:val="auto"/>
          <w:kern w:val="0"/>
          <w:sz w:val="24"/>
          <w:highlight w:val="none"/>
          <w:lang w:eastAsia="zh-CN"/>
        </w:rPr>
        <w:t>响应</w:t>
      </w:r>
      <w:r>
        <w:rPr>
          <w:rFonts w:hint="eastAsia" w:ascii="宋体" w:hAnsi="宋体" w:eastAsia="宋体" w:cs="宋体"/>
          <w:color w:val="auto"/>
          <w:kern w:val="0"/>
          <w:sz w:val="24"/>
          <w:highlight w:val="none"/>
        </w:rPr>
        <w:t>报价超过</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4.2.7报价明显低于其他通过符合性审查</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eastAsia="宋体" w:cs="宋体"/>
          <w:color w:val="auto"/>
          <w:kern w:val="0"/>
          <w:sz w:val="24"/>
          <w:highlight w:val="none"/>
        </w:rPr>
        <w:t>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eastAsia="zh-CN"/>
        </w:rPr>
        <w:t>交易</w:t>
      </w:r>
      <w:r>
        <w:rPr>
          <w:rFonts w:hint="eastAsia" w:ascii="宋体" w:hAnsi="宋体" w:eastAsia="宋体" w:cs="宋体"/>
          <w:color w:val="auto"/>
          <w:kern w:val="0"/>
          <w:sz w:val="24"/>
          <w:highlight w:val="none"/>
        </w:rPr>
        <w:t>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的其它实质性要求的；</w:t>
      </w:r>
    </w:p>
    <w:p>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法律、法规、规章（适用本市的）及省级以上规范性文件（适用本市的）规定的其他无效情形。</w:t>
      </w:r>
    </w:p>
    <w:p>
      <w:pPr>
        <w:pStyle w:val="9"/>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cs="宋体"/>
          <w:color w:val="auto"/>
          <w:highlight w:val="none"/>
          <w:lang w:eastAsia="zh-CN"/>
        </w:rPr>
        <w:t>交易文件</w:t>
      </w:r>
      <w:r>
        <w:rPr>
          <w:rFonts w:hint="eastAsia" w:ascii="宋体" w:hAnsi="宋体" w:eastAsia="宋体" w:cs="宋体"/>
          <w:color w:val="auto"/>
          <w:highlight w:val="none"/>
        </w:rPr>
        <w:t>作实质响应的供应商不足</w:t>
      </w:r>
      <w:r>
        <w:rPr>
          <w:rFonts w:hint="eastAsia" w:cs="宋体"/>
          <w:color w:val="auto"/>
          <w:highlight w:val="none"/>
          <w:lang w:val="en-US" w:eastAsia="zh-CN"/>
        </w:rPr>
        <w:t>4</w:t>
      </w:r>
      <w:r>
        <w:rPr>
          <w:rFonts w:hint="eastAsia" w:ascii="宋体" w:hAnsi="宋体" w:eastAsia="宋体" w:cs="宋体"/>
          <w:color w:val="auto"/>
          <w:highlight w:val="none"/>
        </w:rPr>
        <w:t>家的；</w:t>
      </w:r>
    </w:p>
    <w:p>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cs="宋体"/>
          <w:color w:val="auto"/>
          <w:highlight w:val="none"/>
          <w:lang w:eastAsia="zh-CN"/>
        </w:rPr>
        <w:t>供应商</w:t>
      </w:r>
      <w:r>
        <w:rPr>
          <w:rFonts w:hint="eastAsia" w:ascii="宋体" w:hAnsi="宋体" w:eastAsia="宋体" w:cs="宋体"/>
          <w:color w:val="auto"/>
          <w:highlight w:val="none"/>
        </w:rPr>
        <w:t>的报价均超过了采购预算，采购人不能支付的；</w:t>
      </w:r>
    </w:p>
    <w:p>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w:t>
      </w:r>
      <w:r>
        <w:rPr>
          <w:rFonts w:hint="eastAsia" w:cs="宋体"/>
          <w:color w:val="auto"/>
          <w:highlight w:val="none"/>
          <w:lang w:eastAsia="zh-CN"/>
        </w:rPr>
        <w:t>供应商</w:t>
      </w:r>
      <w:r>
        <w:rPr>
          <w:rFonts w:hint="eastAsia" w:ascii="宋体" w:hAnsi="宋体" w:eastAsia="宋体" w:cs="宋体"/>
          <w:color w:val="auto"/>
          <w:highlight w:val="none"/>
        </w:rPr>
        <w:t>。</w:t>
      </w:r>
    </w:p>
    <w:p>
      <w:pPr>
        <w:pStyle w:val="9"/>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cs="宋体"/>
          <w:b/>
          <w:color w:val="auto"/>
          <w:highlight w:val="none"/>
          <w:lang w:eastAsia="zh-CN"/>
        </w:rPr>
        <w:t>交易文件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rPr>
        <w:t>评标委员会发现</w:t>
      </w:r>
      <w:r>
        <w:rPr>
          <w:rFonts w:hint="eastAsia"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cs="宋体"/>
          <w:color w:val="auto"/>
          <w:highlight w:val="none"/>
          <w:lang w:eastAsia="zh-CN"/>
        </w:rPr>
        <w:t>交易文件</w:t>
      </w:r>
      <w:r>
        <w:rPr>
          <w:rFonts w:hint="eastAsia" w:ascii="宋体" w:hAnsi="宋体" w:eastAsia="宋体" w:cs="宋体"/>
          <w:color w:val="auto"/>
          <w:highlight w:val="none"/>
        </w:rPr>
        <w:t>内容违反国家有关强制性规定的，将停止评标工作，并与采购人、采购机构沟通并作书面记录。采购人、采购机构确认后，将修改</w:t>
      </w:r>
      <w:r>
        <w:rPr>
          <w:rFonts w:hint="eastAsia" w:cs="宋体"/>
          <w:color w:val="auto"/>
          <w:highlight w:val="none"/>
          <w:lang w:eastAsia="zh-CN"/>
        </w:rPr>
        <w:t>交易文件</w:t>
      </w:r>
      <w:r>
        <w:rPr>
          <w:rFonts w:hint="eastAsia" w:ascii="宋体" w:hAnsi="宋体" w:eastAsia="宋体" w:cs="宋体"/>
          <w:color w:val="auto"/>
          <w:highlight w:val="none"/>
        </w:rPr>
        <w:t>，重新组织采购活动。</w:t>
      </w:r>
    </w:p>
    <w:p>
      <w:pPr>
        <w:pStyle w:val="9"/>
        <w:snapToGrid w:val="0"/>
        <w:spacing w:line="360" w:lineRule="auto"/>
        <w:ind w:firstLine="590" w:firstLineChars="245"/>
        <w:rPr>
          <w:rFonts w:cs="宋体"/>
          <w:color w:val="auto"/>
          <w:highlight w:val="none"/>
        </w:rPr>
      </w:pPr>
      <w:r>
        <w:rPr>
          <w:rFonts w:hint="eastAsia" w:ascii="宋体" w:hAnsi="宋体" w:eastAsia="宋体" w:cs="宋体"/>
          <w:b/>
          <w:color w:val="auto"/>
          <w:kern w:val="0"/>
          <w:highlight w:val="none"/>
        </w:rPr>
        <w:t>7.重新开展采购。</w:t>
      </w:r>
      <w:r>
        <w:rPr>
          <w:rFonts w:hint="eastAsia" w:cs="宋体"/>
          <w:color w:val="auto"/>
          <w:highlight w:val="none"/>
        </w:rPr>
        <w:t>有影响或者可能影响成交、成交结果的，依照下列规定处理：</w:t>
      </w:r>
    </w:p>
    <w:p>
      <w:pPr>
        <w:pStyle w:val="9"/>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pPr>
        <w:pStyle w:val="9"/>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pPr>
        <w:pStyle w:val="9"/>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pPr>
        <w:pStyle w:val="9"/>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9"/>
        <w:snapToGrid w:val="0"/>
        <w:spacing w:line="360" w:lineRule="auto"/>
        <w:rPr>
          <w:rFonts w:hint="eastAsia" w:ascii="宋体" w:hAnsi="宋体" w:eastAsia="宋体"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4" w:name="第五部分"/>
      <w:bookmarkStart w:id="405" w:name="_Toc86217003"/>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pStyle w:val="5"/>
        <w:pageBreakBefore w:val="0"/>
        <w:widowControl w:val="0"/>
        <w:kinsoku/>
        <w:wordWrap/>
        <w:overflowPunct/>
        <w:topLinePunct w:val="0"/>
        <w:autoSpaceDE/>
        <w:autoSpaceDN/>
        <w:bidi w:val="0"/>
        <w:adjustRightInd/>
        <w:spacing w:before="0" w:after="0" w:line="240" w:lineRule="auto"/>
        <w:ind w:left="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第五部分 拟签订的合同文本</w:t>
      </w:r>
    </w:p>
    <w:p>
      <w:pPr>
        <w:pStyle w:val="9"/>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（服务类参考样本</w:t>
      </w:r>
      <w:r>
        <w:rPr>
          <w:rFonts w:hint="eastAsia" w:asciiTheme="minorEastAsia" w:hAnsiTheme="minorEastAsia" w:eastAsiaTheme="minorEastAsia" w:cstheme="minorEastAsia"/>
          <w:color w:val="auto"/>
          <w:highlight w:val="none"/>
          <w:lang w:val="en-US" w:eastAsia="zh-CN"/>
        </w:rPr>
        <w:t>,具体以交易人实际合同为准</w:t>
      </w:r>
      <w:r>
        <w:rPr>
          <w:rFonts w:hint="eastAsia" w:asciiTheme="minorEastAsia" w:hAnsiTheme="minorEastAsia" w:eastAsiaTheme="minorEastAsia" w:cstheme="minorEastAsia"/>
          <w:color w:val="auto"/>
          <w:highlight w:val="none"/>
        </w:rPr>
        <w:t>）</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eastAsia="zh-CN"/>
        </w:rPr>
        <w:t>20</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供、需双方根据杭州市萧山区                             项目（</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编号</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 xml:space="preserve">  -  -   ）</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结果和</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文件的要求，并经双方协调一致，订立本采购合同。</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通知书。</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color w:val="auto"/>
          <w:highlight w:val="none"/>
          <w:lang w:val="en-US" w:eastAsia="zh-CN"/>
        </w:rPr>
        <w:t>响应</w:t>
      </w:r>
      <w:r>
        <w:rPr>
          <w:rFonts w:hint="eastAsia" w:asciiTheme="minorEastAsia" w:hAnsiTheme="minorEastAsia" w:eastAsiaTheme="minorEastAsia" w:cstheme="minorEastAsia"/>
          <w:color w:val="auto"/>
          <w:highlight w:val="none"/>
        </w:rPr>
        <w:t>文件。</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本合同金额为(大写)_________________元（￥　　　　元）人民币附：《采购项目清单内容》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 w:hRule="atLeast"/>
          <w:jc w:val="center"/>
        </w:trPr>
        <w:tc>
          <w:tcPr>
            <w:tcW w:w="945" w:type="dxa"/>
            <w:vAlign w:val="center"/>
          </w:tcPr>
          <w:p>
            <w:pPr>
              <w:pStyle w:val="9"/>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692"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w:t>
            </w:r>
          </w:p>
        </w:tc>
        <w:tc>
          <w:tcPr>
            <w:tcW w:w="1800"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内容</w:t>
            </w:r>
          </w:p>
        </w:tc>
        <w:tc>
          <w:tcPr>
            <w:tcW w:w="1758" w:type="dxa"/>
            <w:vAlign w:val="center"/>
          </w:tcPr>
          <w:p>
            <w:pPr>
              <w:pStyle w:val="9"/>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单价（元）</w:t>
            </w:r>
          </w:p>
        </w:tc>
        <w:tc>
          <w:tcPr>
            <w:tcW w:w="762" w:type="dxa"/>
            <w:vAlign w:val="center"/>
          </w:tcPr>
          <w:p>
            <w:pPr>
              <w:pStyle w:val="9"/>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867" w:type="dxa"/>
            <w:vAlign w:val="center"/>
          </w:tcPr>
          <w:p>
            <w:pPr>
              <w:pStyle w:val="9"/>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92"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1800"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1758"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762"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1867"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92"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1800"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1758"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762"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c>
          <w:tcPr>
            <w:tcW w:w="1867" w:type="dxa"/>
            <w:vAlign w:val="center"/>
          </w:tcPr>
          <w:p>
            <w:pPr>
              <w:pStyle w:val="9"/>
              <w:snapToGrid w:val="0"/>
              <w:spacing w:line="360" w:lineRule="auto"/>
              <w:ind w:firstLine="31680"/>
              <w:rPr>
                <w:rFonts w:hint="eastAsia" w:asciiTheme="minorEastAsia" w:hAnsiTheme="minorEastAsia" w:eastAsiaTheme="minorEastAsia" w:cstheme="minorEastAsia"/>
                <w:color w:val="auto"/>
                <w:highlight w:val="none"/>
              </w:rPr>
            </w:pPr>
          </w:p>
        </w:tc>
      </w:tr>
    </w:tbl>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文件规定的时间向甲方提供有关技术资料。</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四、知识产权</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乙方应保证提供服务过程中不会侵犯任何第三方的知识产权。</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五、履约保证金</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乙方交纳人民币        元作为本合同的履约保证金。</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六、转包或分包</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1.本合同范围的服务，应由乙方直接供应，不得转让他人供应；</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2.除非得到甲方的书面同意，乙方不得将本合同范围的服务全部或部分分包给他人供应；</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3.如有转让和未经甲方同意的分包行为，甲方有权解除合同，没收履约保证金并追究乙方的违约责任。</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七、服务质量保证期</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服务质量保证期      年。（自验收合格之日起计）</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八、合同履行时间、履行方式及履行地点</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九、款项支付</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1.付款方式：</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2.合同履行完毕，需方根据合同进行验收，验收合格后供应商按财政结算要求办理货款结算手续。</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十、税费</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十一、质量保证及后续服务</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文件规定向甲方提供服务。</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乙方提供的服务成果在服务质量保证期内发生故障，乙方应负责免费提供后续服务。对达不到要求者，根据实际情况，经双方协商，可按以下办法处理：</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⑴重做：由乙方承担所发生的全部费用。</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⑵贬值处理：由甲乙双方合议定价。</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⑶解除合同。</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如在使用过程中发生问题，乙方在接到甲方通知后在</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小时内到达甲方现场。</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4.在服务质量保证期内，乙方应对出现的质量及安全问题负责处理解决并承担一切费用。</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十二、违约责任</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 五 作为违约金。</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2.甲方无故逾期验收和办理款项支付手续的，甲方应按逾期付款总额每日万分之 五向乙方支付违约金。</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4.供方在服务项目验收合格之日起保修期内违反本合同有关承诺保证的，损失由乙方承担赔偿。</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5.如发现乙方违反招投标文件和合同的有关规定，甲方有权根据约定和《杭州市政府采购供应商合同履行和售后服务考核暂行办法》，对乙方进行处罚，并有权提前终止合同。</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十三、争议的解决</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因本合同引起的或与本合同有关的任何争议，合同双方应首先通过协商解决，达成书面协议，如协商不成，可选择下列第      种方式解决。</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十四、合同生效</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1.中标方持中标通知书作为与需方签订合同的凭证。</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2.本合同经需、供双方法定代表人或其授权委托人签字并加盖单位公章后生效。</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法定代表人（或委托代理人）签名：   法定代表人（或委托代理人）签名：                    </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pPr>
        <w:pStyle w:val="9"/>
        <w:snapToGrid w:val="0"/>
        <w:spacing w:line="360" w:lineRule="auto"/>
        <w:ind w:firstLine="316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p>
    <w:p>
      <w:pPr>
        <w:spacing w:line="360" w:lineRule="auto"/>
        <w:ind w:left="-420" w:leftChars="-200" w:right="-420" w:rightChars="-200" w:firstLine="723" w:firstLineChars="200"/>
        <w:jc w:val="center"/>
        <w:outlineLvl w:val="0"/>
        <w:rPr>
          <w:rFonts w:hint="eastAsia" w:ascii="宋体" w:hAnsi="宋体" w:eastAsia="宋体" w:cs="宋体"/>
          <w:b/>
          <w:color w:val="auto"/>
          <w:sz w:val="36"/>
          <w:szCs w:val="36"/>
          <w:highlight w:val="none"/>
        </w:rPr>
        <w:sectPr>
          <w:pgSz w:w="11906" w:h="16838"/>
          <w:pgMar w:top="1276" w:right="1418" w:bottom="1247" w:left="1418" w:header="851" w:footer="992" w:gutter="0"/>
          <w:cols w:space="720" w:num="1"/>
          <w:titlePg/>
          <w:docGrid w:linePitch="312" w:charSpace="0"/>
        </w:sectPr>
      </w:pPr>
    </w:p>
    <w:p>
      <w:pPr>
        <w:spacing w:line="360" w:lineRule="auto"/>
        <w:ind w:left="-420" w:leftChars="-200" w:right="-420" w:rightChars="-200" w:firstLine="723" w:firstLineChars="2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 xml:space="preserve">部分 </w:t>
      </w:r>
      <w:bookmarkEnd w:id="404"/>
      <w:r>
        <w:rPr>
          <w:rFonts w:hint="eastAsia" w:ascii="宋体" w:hAnsi="宋体" w:eastAsia="宋体" w:cs="宋体"/>
          <w:b/>
          <w:color w:val="auto"/>
          <w:sz w:val="36"/>
          <w:szCs w:val="20"/>
          <w:highlight w:val="none"/>
        </w:rPr>
        <w:t xml:space="preserve"> </w:t>
      </w:r>
      <w:bookmarkEnd w:id="405"/>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pStyle w:val="6"/>
        <w:rPr>
          <w:rFonts w:hint="eastAsia" w:ascii="宋体" w:hAnsi="宋体" w:eastAsia="宋体" w:cs="宋体"/>
          <w:color w:val="auto"/>
          <w:sz w:val="24"/>
          <w:highlight w:val="none"/>
        </w:rPr>
      </w:pPr>
    </w:p>
    <w:p>
      <w:pPr>
        <w:rPr>
          <w:rFonts w:hint="eastAsia"/>
          <w:color w:val="auto"/>
          <w:highlight w:val="none"/>
        </w:rPr>
      </w:pPr>
    </w:p>
    <w:p>
      <w:pPr>
        <w:snapToGrid w:val="0"/>
        <w:spacing w:line="360" w:lineRule="auto"/>
        <w:ind w:firstLine="5520" w:firstLineChars="2300"/>
        <w:rPr>
          <w:rFonts w:hint="eastAsia" w:ascii="宋体" w:hAnsi="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cs="宋体"/>
          <w:color w:val="auto"/>
          <w:sz w:val="24"/>
          <w:highlight w:val="none"/>
          <w:lang w:val="en-US" w:eastAsia="zh-CN"/>
        </w:rPr>
        <w:t xml:space="preserve"> </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评标标准相应的商务技术资料……………………………………………（页码）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（5）商务技术偏离表……………………………………………………………（页码）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sz w:val="24"/>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eastAsia="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u w:val="single"/>
          <w:lang w:eastAsia="zh-CN"/>
        </w:rPr>
        <w:t>交易</w:t>
      </w:r>
      <w:r>
        <w:rPr>
          <w:rFonts w:hint="eastAsia" w:ascii="宋体" w:hAnsi="宋体" w:eastAsia="宋体" w:cs="宋体"/>
          <w:color w:val="auto"/>
          <w:sz w:val="24"/>
          <w:highlight w:val="none"/>
          <w:u w:val="singl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有效期从提交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有效期满之前均具有约束力。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标的清单；</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采购供应商廉洁自律承诺书</w:t>
      </w:r>
      <w:r>
        <w:rPr>
          <w:rFonts w:hint="eastAsia" w:ascii="宋体" w:hAnsi="宋体" w:cs="宋体"/>
          <w:color w:val="auto"/>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一览表（报价表）</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通知书后，在</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 xml:space="preserve">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ascii="宋体" w:hAnsi="宋体" w:eastAsia="宋体" w:cs="宋体"/>
          <w:b/>
          <w:color w:val="auto"/>
          <w:w w:val="90"/>
          <w:kern w:val="0"/>
          <w:sz w:val="32"/>
          <w:szCs w:val="32"/>
          <w:highlight w:val="none"/>
          <w:lang w:val="zh-CN"/>
        </w:rPr>
      </w:pPr>
      <w:r>
        <w:rPr>
          <w:rFonts w:hint="eastAsia" w:ascii="宋体" w:hAnsi="宋体" w:eastAsia="宋体" w:cs="宋体"/>
          <w:b/>
          <w:color w:val="auto"/>
          <w:kern w:val="0"/>
          <w:sz w:val="32"/>
          <w:szCs w:val="32"/>
          <w:highlight w:val="none"/>
          <w:lang w:val="zh-CN"/>
        </w:rPr>
        <w:t>二、</w:t>
      </w:r>
      <w:r>
        <w:rPr>
          <w:rFonts w:hint="eastAsia" w:ascii="宋体" w:hAnsi="宋体" w:eastAsia="宋体" w:cs="宋体"/>
          <w:b/>
          <w:color w:val="auto"/>
          <w:w w:val="90"/>
          <w:kern w:val="0"/>
          <w:sz w:val="32"/>
          <w:szCs w:val="32"/>
          <w:highlight w:val="none"/>
          <w:lang w:val="zh-CN"/>
        </w:rPr>
        <w:t>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zh-CN"/>
        </w:rPr>
        <w:t>交易</w:t>
      </w:r>
      <w:r>
        <w:rPr>
          <w:rFonts w:hint="eastAsia" w:ascii="宋体" w:hAnsi="宋体" w:eastAsia="宋体" w:cs="宋体"/>
          <w:color w:val="auto"/>
          <w:kern w:val="0"/>
          <w:sz w:val="24"/>
          <w:highlight w:val="none"/>
          <w:lang w:val="zh-CN"/>
        </w:rPr>
        <w:t>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w:t>
      </w:r>
      <w:r>
        <w:rPr>
          <w:rFonts w:hint="eastAsia" w:ascii="宋体" w:hAnsi="宋体" w:cs="宋体"/>
          <w:b/>
          <w:color w:val="auto"/>
          <w:sz w:val="30"/>
          <w:szCs w:val="30"/>
          <w:highlight w:val="none"/>
          <w:lang w:eastAsia="zh-CN"/>
        </w:rPr>
        <w:t>交易</w:t>
      </w:r>
      <w:r>
        <w:rPr>
          <w:rFonts w:hint="eastAsia" w:ascii="宋体" w:hAnsi="宋体" w:eastAsia="宋体" w:cs="宋体"/>
          <w:b/>
          <w:color w:val="auto"/>
          <w:sz w:val="30"/>
          <w:szCs w:val="30"/>
          <w:highlight w:val="none"/>
        </w:rPr>
        <w:t>）</w:t>
      </w:r>
    </w:p>
    <w:p>
      <w:pPr>
        <w:pStyle w:val="2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pPr>
              <w:pStyle w:val="2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22"/>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 xml:space="preserve">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672"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67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2551"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67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有效期不少于</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中载明的</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有效期。</w:t>
            </w:r>
          </w:p>
        </w:tc>
        <w:tc>
          <w:tcPr>
            <w:tcW w:w="2551" w:type="dxa"/>
            <w:vAlign w:val="center"/>
          </w:tcPr>
          <w:p>
            <w:pPr>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67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2551" w:type="dxa"/>
            <w:vAlign w:val="center"/>
          </w:tcPr>
          <w:p>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cs="宋体"/>
          <w:b/>
          <w:color w:val="auto"/>
          <w:kern w:val="0"/>
          <w:sz w:val="32"/>
          <w:szCs w:val="32"/>
          <w:highlight w:val="none"/>
          <w:lang w:eastAsia="zh-CN"/>
        </w:rPr>
      </w:pPr>
    </w:p>
    <w:p>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cs="宋体"/>
          <w:b/>
          <w:color w:val="auto"/>
          <w:sz w:val="24"/>
          <w:highlight w:val="none"/>
          <w:lang w:eastAsia="zh-CN"/>
        </w:rPr>
        <w:t>交易文件</w:t>
      </w:r>
      <w:r>
        <w:rPr>
          <w:rFonts w:hint="eastAsia" w:ascii="宋体" w:hAnsi="宋体" w:eastAsia="宋体" w:cs="宋体"/>
          <w:b/>
          <w:color w:val="auto"/>
          <w:sz w:val="24"/>
          <w:highlight w:val="none"/>
        </w:rPr>
        <w:t>第四部分评标办法前附表中“</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cs="宋体"/>
          <w:b/>
          <w:bCs/>
          <w:color w:val="auto"/>
          <w:sz w:val="32"/>
          <w:szCs w:val="32"/>
          <w:highlight w:val="none"/>
          <w:lang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cs="宋体"/>
          <w:color w:val="auto"/>
          <w:kern w:val="0"/>
          <w:sz w:val="24"/>
          <w:highlight w:val="none"/>
          <w:lang w:val="zh-CN"/>
        </w:rPr>
        <w:t>交易</w:t>
      </w:r>
      <w:r>
        <w:rPr>
          <w:rFonts w:hint="eastAsia" w:ascii="宋体" w:hAnsi="宋体" w:eastAsia="宋体" w:cs="宋体"/>
          <w:color w:val="auto"/>
          <w:kern w:val="0"/>
          <w:sz w:val="24"/>
          <w:highlight w:val="none"/>
          <w:lang w:val="zh-CN"/>
        </w:rPr>
        <w:t>要求参加</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。在这次</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过程中和</w:t>
      </w:r>
      <w:r>
        <w:rPr>
          <w:rFonts w:hint="eastAsia" w:ascii="宋体" w:hAnsi="宋体" w:cs="宋体"/>
          <w:color w:val="auto"/>
          <w:kern w:val="0"/>
          <w:sz w:val="24"/>
          <w:highlight w:val="none"/>
          <w:lang w:val="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cs="宋体"/>
          <w:color w:val="auto"/>
          <w:kern w:val="0"/>
          <w:sz w:val="24"/>
          <w:highlight w:val="none"/>
          <w:lang w:val="zh-CN"/>
        </w:rPr>
        <w:t>相关</w:t>
      </w:r>
      <w:r>
        <w:rPr>
          <w:rFonts w:hint="eastAsia" w:ascii="宋体" w:hAnsi="宋体" w:eastAsia="宋体" w:cs="宋体"/>
          <w:color w:val="auto"/>
          <w:kern w:val="0"/>
          <w:sz w:val="24"/>
          <w:highlight w:val="none"/>
          <w:lang w:val="zh-CN"/>
        </w:rPr>
        <w:t xml:space="preserve">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一览表（报价表）………………………………………………………（页码）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2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numPr>
          <w:ilvl w:val="0"/>
          <w:numId w:val="5"/>
        </w:numPr>
        <w:snapToGrid w:val="0"/>
        <w:spacing w:line="360" w:lineRule="auto"/>
        <w:jc w:val="center"/>
        <w:rPr>
          <w:rFonts w:hint="eastAsia" w:ascii="宋体" w:hAnsi="宋体" w:eastAsia="宋体" w:cs="宋体"/>
          <w:color w:val="000000" w:themeColor="text1"/>
          <w:kern w:val="2"/>
          <w:sz w:val="32"/>
          <w:szCs w:val="32"/>
          <w:highlight w:val="none"/>
          <w:lang w:eastAsia="zh-CN"/>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交易</w:t>
      </w:r>
      <w:r>
        <w:rPr>
          <w:rFonts w:hint="eastAsia" w:ascii="宋体" w:hAnsi="宋体" w:eastAsia="宋体" w:cs="宋体"/>
          <w:color w:val="000000" w:themeColor="text1"/>
          <w:kern w:val="2"/>
          <w:sz w:val="32"/>
          <w:szCs w:val="32"/>
          <w:highlight w:val="none"/>
          <w14:textFill>
            <w14:solidFill>
              <w14:schemeClr w14:val="tx1"/>
            </w14:solidFill>
          </w14:textFill>
        </w:rPr>
        <w:t>一览表（报价表）</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w:t>
      </w:r>
      <w:r>
        <w:rPr>
          <w:rFonts w:hint="eastAsia" w:ascii="宋体" w:hAnsi="宋体" w:cs="宋体"/>
          <w:color w:val="000000" w:themeColor="text1"/>
          <w:kern w:val="0"/>
          <w:sz w:val="24"/>
          <w:highlight w:val="none"/>
          <w:lang w:val="zh-CN"/>
          <w14:textFill>
            <w14:solidFill>
              <w14:schemeClr w14:val="tx1"/>
            </w14:solidFill>
          </w14:textFill>
        </w:rPr>
        <w:t>交易文件</w:t>
      </w:r>
      <w:r>
        <w:rPr>
          <w:rFonts w:hint="eastAsia" w:ascii="宋体" w:hAnsi="宋体" w:eastAsia="宋体" w:cs="宋体"/>
          <w:color w:val="000000" w:themeColor="text1"/>
          <w:kern w:val="0"/>
          <w:sz w:val="24"/>
          <w:highlight w:val="none"/>
          <w:lang w:val="zh-CN"/>
          <w14:textFill>
            <w14:solidFill>
              <w14:schemeClr w14:val="tx1"/>
            </w14:solidFill>
          </w14:textFill>
        </w:rPr>
        <w:t>要求，我们，本</w:t>
      </w:r>
      <w:r>
        <w:rPr>
          <w:rFonts w:hint="eastAsia" w:ascii="宋体" w:hAnsi="宋体" w:cs="宋体"/>
          <w:color w:val="000000" w:themeColor="text1"/>
          <w:kern w:val="0"/>
          <w:sz w:val="24"/>
          <w:highlight w:val="none"/>
          <w:lang w:val="zh-CN"/>
          <w14:textFill>
            <w14:solidFill>
              <w14:schemeClr w14:val="tx1"/>
            </w14:solidFill>
          </w14:textFill>
        </w:rPr>
        <w:t>响应文件</w:t>
      </w:r>
      <w:r>
        <w:rPr>
          <w:rFonts w:hint="eastAsia" w:ascii="宋体" w:hAnsi="宋体" w:eastAsia="宋体" w:cs="宋体"/>
          <w:color w:val="000000" w:themeColor="text1"/>
          <w:kern w:val="0"/>
          <w:sz w:val="24"/>
          <w:highlight w:val="none"/>
          <w:lang w:val="zh-CN"/>
          <w14:textFill>
            <w14:solidFill>
              <w14:schemeClr w14:val="tx1"/>
            </w14:solidFill>
          </w14:textFill>
        </w:rPr>
        <w:t>签字方，谨此向你方发出要约如下：如你方接受本</w:t>
      </w:r>
      <w:r>
        <w:rPr>
          <w:rFonts w:hint="eastAsia" w:ascii="宋体" w:hAnsi="宋体" w:cs="宋体"/>
          <w:color w:val="000000" w:themeColor="text1"/>
          <w:kern w:val="0"/>
          <w:sz w:val="24"/>
          <w:highlight w:val="none"/>
          <w:lang w:val="zh-CN"/>
          <w14:textFill>
            <w14:solidFill>
              <w14:schemeClr w14:val="tx1"/>
            </w14:solidFill>
          </w14:textFill>
        </w:rPr>
        <w:t>响应</w:t>
      </w:r>
      <w:r>
        <w:rPr>
          <w:rFonts w:hint="eastAsia" w:ascii="宋体" w:hAnsi="宋体" w:eastAsia="宋体" w:cs="宋体"/>
          <w:color w:val="000000" w:themeColor="text1"/>
          <w:kern w:val="0"/>
          <w:sz w:val="24"/>
          <w:highlight w:val="none"/>
          <w:lang w:val="zh-CN"/>
          <w14:textFill>
            <w14:solidFill>
              <w14:schemeClr w14:val="tx1"/>
            </w14:solidFill>
          </w14:textFill>
        </w:rPr>
        <w:t>，我方承诺按照如下</w:t>
      </w:r>
      <w:r>
        <w:rPr>
          <w:rFonts w:hint="eastAsia" w:ascii="宋体" w:hAnsi="宋体" w:cs="宋体"/>
          <w:color w:val="000000" w:themeColor="text1"/>
          <w:kern w:val="0"/>
          <w:sz w:val="24"/>
          <w:highlight w:val="none"/>
          <w:lang w:val="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u w:val="single"/>
          <w:lang w:val="zh-CN"/>
          <w14:textFill>
            <w14:solidFill>
              <w14:schemeClr w14:val="tx1"/>
            </w14:solidFill>
          </w14:textFill>
        </w:rPr>
        <w:t>【</w:t>
      </w:r>
      <w:r>
        <w:rPr>
          <w:rFonts w:hint="eastAsia" w:ascii="宋体" w:hAnsi="宋体" w:cs="宋体"/>
          <w:color w:val="000000" w:themeColor="text1"/>
          <w:kern w:val="0"/>
          <w:sz w:val="24"/>
          <w:highlight w:val="none"/>
          <w:u w:val="single"/>
          <w:lang w:val="zh-CN"/>
          <w14:textFill>
            <w14:solidFill>
              <w14:schemeClr w14:val="tx1"/>
            </w14:solidFill>
          </w14:textFill>
        </w:rPr>
        <w:t>交易</w:t>
      </w:r>
      <w:r>
        <w:rPr>
          <w:rFonts w:hint="eastAsia" w:ascii="宋体" w:hAnsi="宋体" w:eastAsia="宋体" w:cs="宋体"/>
          <w:color w:val="000000" w:themeColor="text1"/>
          <w:kern w:val="0"/>
          <w:sz w:val="24"/>
          <w:highlight w:val="none"/>
          <w:u w:val="single"/>
          <w:lang w:val="zh-CN"/>
          <w14:textFill>
            <w14:solidFill>
              <w14:schemeClr w14:val="tx1"/>
            </w14:solidFill>
          </w14:textFill>
        </w:rPr>
        <w:t>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交易</w:t>
      </w:r>
      <w:r>
        <w:rPr>
          <w:rFonts w:hint="eastAsia" w:ascii="宋体" w:hAnsi="宋体" w:eastAsia="宋体" w:cs="宋体"/>
          <w:b/>
          <w:color w:val="000000" w:themeColor="text1"/>
          <w:kern w:val="0"/>
          <w:sz w:val="24"/>
          <w:highlight w:val="none"/>
          <w:lang w:val="zh-CN"/>
          <w14:textFill>
            <w14:solidFill>
              <w14:schemeClr w14:val="tx1"/>
            </w14:solidFill>
          </w14:textFill>
        </w:rPr>
        <w:t>一览表（报价表）</w:t>
      </w:r>
    </w:p>
    <w:p>
      <w:pPr>
        <w:spacing w:line="380" w:lineRule="exact"/>
        <w:ind w:right="349" w:rightChars="166" w:firstLine="541" w:firstLineChars="245"/>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lang w:eastAsia="zh-CN"/>
        </w:rPr>
        <w:t>交易</w:t>
      </w:r>
      <w:r>
        <w:rPr>
          <w:rFonts w:hint="eastAsia" w:asciiTheme="minorEastAsia" w:hAnsiTheme="minorEastAsia" w:eastAsiaTheme="minorEastAsia" w:cstheme="minorEastAsia"/>
          <w:b/>
          <w:bCs/>
          <w:color w:val="auto"/>
          <w:sz w:val="22"/>
          <w:highlight w:val="none"/>
        </w:rPr>
        <w:t>编号：</w:t>
      </w:r>
      <w:r>
        <w:rPr>
          <w:rFonts w:hint="eastAsia" w:asciiTheme="minorEastAsia" w:hAnsiTheme="minorEastAsia" w:eastAsiaTheme="minorEastAsia" w:cstheme="minorEastAsia"/>
          <w:b/>
          <w:bCs/>
          <w:color w:val="auto"/>
          <w:sz w:val="22"/>
          <w:highlight w:val="none"/>
          <w:lang w:val="en-US" w:eastAsia="zh-CN"/>
        </w:rPr>
        <w:t xml:space="preserve"> </w:t>
      </w:r>
      <w:r>
        <w:rPr>
          <w:rFonts w:hint="eastAsia" w:asciiTheme="minorEastAsia" w:hAnsiTheme="minorEastAsia" w:eastAsiaTheme="minorEastAsia" w:cstheme="minorEastAsia"/>
          <w:b/>
          <w:bCs/>
          <w:color w:val="auto"/>
          <w:sz w:val="22"/>
          <w:highlight w:val="none"/>
        </w:rPr>
        <w:t xml:space="preserve">                           </w:t>
      </w:r>
      <w:r>
        <w:rPr>
          <w:rFonts w:hint="eastAsia" w:asciiTheme="minorEastAsia" w:hAnsiTheme="minorEastAsia" w:eastAsiaTheme="minorEastAsia" w:cstheme="minorEastAsia"/>
          <w:b/>
          <w:bCs/>
          <w:color w:val="auto"/>
          <w:sz w:val="22"/>
          <w:highlight w:val="none"/>
          <w:lang w:val="en-US" w:eastAsia="zh-CN"/>
        </w:rPr>
        <w:t xml:space="preserve">                                                      </w:t>
      </w:r>
      <w:r>
        <w:rPr>
          <w:rFonts w:hint="eastAsia" w:asciiTheme="minorEastAsia" w:hAnsiTheme="minorEastAsia" w:eastAsiaTheme="minorEastAsia" w:cstheme="minorEastAsia"/>
          <w:b/>
          <w:bCs/>
          <w:color w:val="auto"/>
          <w:sz w:val="22"/>
          <w:highlight w:val="none"/>
        </w:rPr>
        <w:t xml:space="preserve">  单位：人民币元</w:t>
      </w:r>
    </w:p>
    <w:tbl>
      <w:tblPr>
        <w:tblStyle w:val="16"/>
        <w:tblW w:w="13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10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724" w:type="dxa"/>
            <w:noWrap w:val="0"/>
            <w:vAlign w:val="center"/>
          </w:tcPr>
          <w:p>
            <w:pPr>
              <w:widowControl/>
              <w:adjustRightInd w:val="0"/>
              <w:snapToGrid w:val="0"/>
              <w:spacing w:line="56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标项</w:t>
            </w:r>
          </w:p>
        </w:tc>
        <w:tc>
          <w:tcPr>
            <w:tcW w:w="10293" w:type="dxa"/>
            <w:noWrap w:val="0"/>
            <w:vAlign w:val="center"/>
          </w:tcPr>
          <w:p>
            <w:pPr>
              <w:widowControl/>
              <w:adjustRightInd w:val="0"/>
              <w:snapToGrid w:val="0"/>
              <w:spacing w:line="560" w:lineRule="exact"/>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kern w:val="0"/>
                <w:szCs w:val="21"/>
                <w:highlight w:val="none"/>
              </w:rPr>
              <w:t>杭州萧山交投公路养护服务有限公司</w:t>
            </w:r>
            <w:r>
              <w:rPr>
                <w:rFonts w:hint="eastAsia" w:asciiTheme="minorEastAsia" w:hAnsiTheme="minorEastAsia" w:eastAsiaTheme="minorEastAsia" w:cstheme="minorEastAsia"/>
                <w:b/>
                <w:bCs/>
                <w:color w:val="auto"/>
                <w:kern w:val="0"/>
                <w:szCs w:val="21"/>
                <w:highlight w:val="none"/>
                <w:lang w:eastAsia="zh-CN"/>
              </w:rPr>
              <w:t>202</w:t>
            </w:r>
            <w:r>
              <w:rPr>
                <w:rFonts w:hint="eastAsia" w:asciiTheme="minorEastAsia" w:hAnsiTheme="minorEastAsia" w:eastAsiaTheme="minorEastAsia" w:cstheme="minorEastAsia"/>
                <w:b/>
                <w:bCs/>
                <w:color w:val="auto"/>
                <w:kern w:val="0"/>
                <w:szCs w:val="21"/>
                <w:highlight w:val="none"/>
                <w:lang w:val="en-US" w:eastAsia="zh-CN"/>
              </w:rPr>
              <w:t>5</w:t>
            </w:r>
            <w:r>
              <w:rPr>
                <w:rFonts w:hint="eastAsia" w:asciiTheme="minorEastAsia" w:hAnsiTheme="minorEastAsia" w:eastAsiaTheme="minorEastAsia" w:cstheme="minorEastAsia"/>
                <w:b/>
                <w:bCs/>
                <w:color w:val="auto"/>
                <w:kern w:val="0"/>
                <w:szCs w:val="21"/>
                <w:highlight w:val="none"/>
              </w:rPr>
              <w:t>年公众责任险和雇主责任险及员工团体意外险项目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24" w:type="dxa"/>
            <w:noWrap w:val="0"/>
            <w:vAlign w:val="center"/>
          </w:tcPr>
          <w:p>
            <w:pPr>
              <w:adjustRightInd w:val="0"/>
              <w:snapToGrid w:val="0"/>
              <w:spacing w:line="56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rPr>
              <w:t>名称</w:t>
            </w:r>
          </w:p>
        </w:tc>
        <w:tc>
          <w:tcPr>
            <w:tcW w:w="10293" w:type="dxa"/>
            <w:noWrap w:val="0"/>
            <w:vAlign w:val="center"/>
          </w:tcPr>
          <w:p>
            <w:pPr>
              <w:widowControl/>
              <w:adjustRightInd w:val="0"/>
              <w:snapToGrid w:val="0"/>
              <w:spacing w:line="560" w:lineRule="exact"/>
              <w:rPr>
                <w:rFonts w:hint="eastAsia" w:asciiTheme="minorEastAsia" w:hAnsiTheme="minorEastAsia" w:eastAsiaTheme="minorEastAsia" w:cstheme="minorEastAsi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2724" w:type="dxa"/>
            <w:noWrap w:val="0"/>
            <w:vAlign w:val="center"/>
          </w:tcPr>
          <w:p>
            <w:pPr>
              <w:widowControl/>
              <w:adjustRightInd w:val="0"/>
              <w:snapToGrid w:val="0"/>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最终</w:t>
            </w:r>
            <w:r>
              <w:rPr>
                <w:rFonts w:hint="eastAsia" w:asciiTheme="minorEastAsia" w:hAnsiTheme="minorEastAsia" w:eastAsiaTheme="minorEastAsia" w:cstheme="minorEastAsia"/>
                <w:b/>
                <w:bCs/>
                <w:color w:val="auto"/>
                <w:szCs w:val="21"/>
                <w:highlight w:val="none"/>
                <w:lang w:val="en-US" w:eastAsia="zh-CN"/>
              </w:rPr>
              <w:t>报</w:t>
            </w:r>
            <w:r>
              <w:rPr>
                <w:rFonts w:hint="eastAsia" w:asciiTheme="minorEastAsia" w:hAnsiTheme="minorEastAsia" w:eastAsiaTheme="minorEastAsia" w:cstheme="minorEastAsia"/>
                <w:b/>
                <w:bCs/>
                <w:color w:val="auto"/>
                <w:szCs w:val="21"/>
                <w:highlight w:val="none"/>
              </w:rPr>
              <w:t>价</w:t>
            </w:r>
          </w:p>
        </w:tc>
        <w:tc>
          <w:tcPr>
            <w:tcW w:w="10293" w:type="dxa"/>
            <w:noWrap w:val="0"/>
            <w:vAlign w:val="center"/>
          </w:tcPr>
          <w:p>
            <w:pPr>
              <w:widowControl/>
              <w:adjustRightInd w:val="0"/>
              <w:snapToGrid w:val="0"/>
              <w:spacing w:line="44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分</w:t>
            </w:r>
            <w:r>
              <w:rPr>
                <w:rFonts w:hint="eastAsia" w:asciiTheme="minorEastAsia" w:hAnsiTheme="minorEastAsia" w:eastAsiaTheme="minorEastAsia" w:cstheme="minorEastAsia"/>
                <w:b/>
                <w:bCs/>
                <w:color w:val="auto"/>
                <w:szCs w:val="21"/>
                <w:highlight w:val="none"/>
              </w:rPr>
              <w:t>项目（</w:t>
            </w:r>
            <w:r>
              <w:rPr>
                <w:rFonts w:hint="eastAsia" w:asciiTheme="minorEastAsia" w:hAnsiTheme="minorEastAsia" w:eastAsiaTheme="minorEastAsia" w:cstheme="minorEastAsia"/>
                <w:b/>
                <w:bCs/>
                <w:color w:val="auto"/>
                <w:szCs w:val="21"/>
                <w:highlight w:val="none"/>
                <w:lang w:val="en-US" w:eastAsia="zh-CN"/>
              </w:rPr>
              <w:t xml:space="preserve">公众责任险  </w:t>
            </w:r>
            <w:r>
              <w:rPr>
                <w:rFonts w:hint="eastAsia" w:asciiTheme="minorEastAsia" w:hAnsiTheme="minorEastAsia" w:eastAsiaTheme="minorEastAsia" w:cstheme="minorEastAsia"/>
                <w:b/>
                <w:bCs/>
                <w:color w:val="auto"/>
                <w:szCs w:val="21"/>
                <w:highlight w:val="none"/>
              </w:rPr>
              <w:t>）：小写：¥</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元，大写：人民币</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元</w:t>
            </w:r>
          </w:p>
          <w:p>
            <w:pPr>
              <w:widowControl/>
              <w:adjustRightInd w:val="0"/>
              <w:snapToGrid w:val="0"/>
              <w:spacing w:line="440" w:lineRule="exac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分</w:t>
            </w:r>
            <w:r>
              <w:rPr>
                <w:rFonts w:hint="eastAsia" w:asciiTheme="minorEastAsia" w:hAnsiTheme="minorEastAsia" w:eastAsiaTheme="minorEastAsia" w:cstheme="minorEastAsia"/>
                <w:b/>
                <w:bCs/>
                <w:color w:val="auto"/>
                <w:szCs w:val="21"/>
                <w:highlight w:val="none"/>
              </w:rPr>
              <w:t>项目（</w:t>
            </w:r>
            <w:r>
              <w:rPr>
                <w:rFonts w:hint="eastAsia" w:asciiTheme="minorEastAsia" w:hAnsiTheme="minorEastAsia" w:eastAsiaTheme="minorEastAsia" w:cstheme="minorEastAsia"/>
                <w:b/>
                <w:bCs/>
                <w:color w:val="auto"/>
                <w:szCs w:val="21"/>
                <w:highlight w:val="none"/>
                <w:lang w:val="en-US" w:eastAsia="zh-CN"/>
              </w:rPr>
              <w:t xml:space="preserve">雇主责任险  </w:t>
            </w:r>
            <w:r>
              <w:rPr>
                <w:rFonts w:hint="eastAsia" w:asciiTheme="minorEastAsia" w:hAnsiTheme="minorEastAsia" w:eastAsiaTheme="minorEastAsia" w:cstheme="minorEastAsia"/>
                <w:b/>
                <w:bCs/>
                <w:color w:val="auto"/>
                <w:szCs w:val="21"/>
                <w:highlight w:val="none"/>
              </w:rPr>
              <w:t>）：小写：¥</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元，大写：人民币</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元</w:t>
            </w:r>
            <w:r>
              <w:rPr>
                <w:rFonts w:hint="eastAsia" w:asciiTheme="minorEastAsia" w:hAnsiTheme="minorEastAsia" w:eastAsiaTheme="minorEastAsia" w:cstheme="minorEastAsia"/>
                <w:b/>
                <w:bCs/>
                <w:color w:val="auto"/>
                <w:szCs w:val="21"/>
                <w:highlight w:val="none"/>
                <w:lang w:val="en-US" w:eastAsia="zh-CN"/>
              </w:rPr>
              <w:t xml:space="preserve">    备注：    元/人</w:t>
            </w:r>
          </w:p>
          <w:p>
            <w:pPr>
              <w:widowControl/>
              <w:adjustRightInd w:val="0"/>
              <w:snapToGrid w:val="0"/>
              <w:spacing w:line="440" w:lineRule="exact"/>
              <w:rPr>
                <w:rFonts w:hint="eastAsia"/>
                <w:lang w:val="en-US" w:eastAsia="zh-CN"/>
              </w:rPr>
            </w:pPr>
            <w:r>
              <w:rPr>
                <w:rFonts w:hint="eastAsia" w:asciiTheme="minorEastAsia" w:hAnsiTheme="minorEastAsia" w:eastAsiaTheme="minorEastAsia" w:cstheme="minorEastAsia"/>
                <w:b/>
                <w:bCs/>
                <w:color w:val="auto"/>
                <w:szCs w:val="21"/>
                <w:highlight w:val="none"/>
                <w:lang w:val="en-US" w:eastAsia="zh-CN"/>
              </w:rPr>
              <w:t>分</w:t>
            </w:r>
            <w:r>
              <w:rPr>
                <w:rFonts w:hint="eastAsia" w:asciiTheme="minorEastAsia" w:hAnsiTheme="minorEastAsia" w:eastAsiaTheme="minorEastAsia" w:cstheme="minorEastAsia"/>
                <w:b/>
                <w:bCs/>
                <w:color w:val="auto"/>
                <w:szCs w:val="21"/>
                <w:highlight w:val="none"/>
              </w:rPr>
              <w:t>项目（</w:t>
            </w:r>
            <w:r>
              <w:rPr>
                <w:rFonts w:hint="eastAsia" w:asciiTheme="minorEastAsia" w:hAnsiTheme="minorEastAsia" w:eastAsiaTheme="minorEastAsia" w:cstheme="minorEastAsia"/>
                <w:b/>
                <w:bCs/>
                <w:color w:val="auto"/>
                <w:szCs w:val="21"/>
                <w:highlight w:val="none"/>
                <w:lang w:val="en-US" w:eastAsia="zh-CN"/>
              </w:rPr>
              <w:t xml:space="preserve">团体意外险  </w:t>
            </w:r>
            <w:r>
              <w:rPr>
                <w:rFonts w:hint="eastAsia" w:asciiTheme="minorEastAsia" w:hAnsiTheme="minorEastAsia" w:eastAsiaTheme="minorEastAsia" w:cstheme="minorEastAsia"/>
                <w:b/>
                <w:bCs/>
                <w:color w:val="auto"/>
                <w:szCs w:val="21"/>
                <w:highlight w:val="none"/>
              </w:rPr>
              <w:t>）：小写：¥</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元，大写：人民币</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元</w:t>
            </w:r>
            <w:r>
              <w:rPr>
                <w:rFonts w:hint="eastAsia" w:asciiTheme="minorEastAsia" w:hAnsiTheme="minorEastAsia" w:eastAsiaTheme="minorEastAsia" w:cstheme="minorEastAsia"/>
                <w:b/>
                <w:bCs/>
                <w:color w:val="auto"/>
                <w:szCs w:val="21"/>
                <w:highlight w:val="none"/>
                <w:lang w:val="en-US" w:eastAsia="zh-CN"/>
              </w:rPr>
              <w:t xml:space="preserve">    备注：    元/人</w:t>
            </w:r>
          </w:p>
          <w:p>
            <w:pPr>
              <w:pStyle w:val="2"/>
              <w:rPr>
                <w:rFonts w:hint="default"/>
                <w:sz w:val="21"/>
                <w:szCs w:val="21"/>
                <w:lang w:val="en-US" w:eastAsia="zh-CN"/>
              </w:rPr>
            </w:pPr>
            <w:r>
              <w:rPr>
                <w:rFonts w:hint="eastAsia" w:asciiTheme="minorEastAsia" w:hAnsiTheme="minorEastAsia" w:eastAsiaTheme="minorEastAsia" w:cstheme="minorEastAsia"/>
                <w:b/>
                <w:bCs/>
                <w:color w:val="auto"/>
                <w:sz w:val="21"/>
                <w:szCs w:val="21"/>
                <w:highlight w:val="none"/>
                <w:lang w:val="en-US" w:eastAsia="zh-CN"/>
              </w:rPr>
              <w:t>雇主责任险及团体意外险响应总价为：</w:t>
            </w:r>
          </w:p>
          <w:p>
            <w:pPr>
              <w:widowControl/>
              <w:adjustRightInd w:val="0"/>
              <w:snapToGrid w:val="0"/>
              <w:spacing w:line="440" w:lineRule="exact"/>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lang w:val="en-US" w:eastAsia="zh-CN"/>
              </w:rPr>
              <w:t>总报价</w:t>
            </w:r>
            <w:r>
              <w:rPr>
                <w:rFonts w:hint="eastAsia" w:asciiTheme="minorEastAsia" w:hAnsiTheme="minorEastAsia" w:eastAsiaTheme="minorEastAsia" w:cstheme="minorEastAsia"/>
                <w:b/>
                <w:bCs/>
                <w:color w:val="auto"/>
                <w:szCs w:val="21"/>
                <w:highlight w:val="none"/>
              </w:rPr>
              <w:t>：小写：¥</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元，大写：</w:t>
            </w:r>
            <w:r>
              <w:rPr>
                <w:rFonts w:hint="eastAsia" w:asciiTheme="minorEastAsia" w:hAnsiTheme="minorEastAsia" w:eastAsiaTheme="minorEastAsia" w:cstheme="minorEastAsia"/>
                <w:b/>
                <w:bCs/>
                <w:color w:val="auto"/>
                <w:szCs w:val="21"/>
                <w:highlight w:val="none"/>
                <w:lang w:val="en-US" w:eastAsia="zh-CN"/>
              </w:rPr>
              <w:t xml:space="preserve">     </w:t>
            </w:r>
            <w:r>
              <w:rPr>
                <w:rFonts w:hint="eastAsia" w:asciiTheme="minorEastAsia" w:hAnsiTheme="minorEastAsia" w:eastAsiaTheme="minorEastAsia" w:cstheme="minorEastAsia"/>
                <w:b/>
                <w:bCs/>
                <w:color w:val="auto"/>
                <w:szCs w:val="21"/>
                <w:highlight w:val="none"/>
              </w:rPr>
              <w:t>人民币元</w:t>
            </w:r>
          </w:p>
        </w:tc>
      </w:tr>
    </w:tbl>
    <w:p>
      <w:pPr>
        <w:spacing w:line="400" w:lineRule="exact"/>
        <w:rPr>
          <w:rFonts w:hint="eastAsia" w:asciiTheme="minorEastAsia" w:hAnsiTheme="minorEastAsia" w:eastAsiaTheme="minorEastAsia" w:cstheme="minorEastAsia"/>
          <w:b/>
          <w:color w:val="auto"/>
          <w:sz w:val="22"/>
          <w:szCs w:val="22"/>
          <w:highlight w:val="none"/>
          <w:u w:val="none"/>
        </w:rPr>
      </w:pPr>
      <w:r>
        <w:rPr>
          <w:rFonts w:hint="eastAsia" w:asciiTheme="minorEastAsia" w:hAnsiTheme="minorEastAsia" w:eastAsiaTheme="minorEastAsia" w:cstheme="minorEastAsia"/>
          <w:b/>
          <w:color w:val="auto"/>
          <w:sz w:val="22"/>
          <w:szCs w:val="22"/>
          <w:highlight w:val="none"/>
        </w:rPr>
        <w:t>说明：</w:t>
      </w:r>
      <w:r>
        <w:rPr>
          <w:rFonts w:hint="eastAsia" w:asciiTheme="minorEastAsia" w:hAnsiTheme="minorEastAsia" w:eastAsiaTheme="minorEastAsia" w:cstheme="minorEastAsia"/>
          <w:b/>
          <w:color w:val="auto"/>
          <w:sz w:val="22"/>
          <w:szCs w:val="22"/>
          <w:highlight w:val="none"/>
          <w:u w:val="none"/>
        </w:rPr>
        <w:t>1、此表不得自行增减内容，不提供《</w:t>
      </w:r>
      <w:r>
        <w:rPr>
          <w:rFonts w:hint="eastAsia" w:asciiTheme="minorEastAsia" w:hAnsiTheme="minorEastAsia" w:eastAsiaTheme="minorEastAsia" w:cstheme="minorEastAsia"/>
          <w:b/>
          <w:color w:val="auto"/>
          <w:sz w:val="22"/>
          <w:szCs w:val="22"/>
          <w:highlight w:val="none"/>
          <w:u w:val="none"/>
          <w:lang w:val="en-US" w:eastAsia="zh-CN"/>
        </w:rPr>
        <w:t>交易</w:t>
      </w:r>
      <w:r>
        <w:rPr>
          <w:rFonts w:hint="eastAsia" w:asciiTheme="minorEastAsia" w:hAnsiTheme="minorEastAsia" w:eastAsiaTheme="minorEastAsia" w:cstheme="minorEastAsia"/>
          <w:b/>
          <w:color w:val="auto"/>
          <w:sz w:val="22"/>
          <w:szCs w:val="22"/>
          <w:highlight w:val="none"/>
          <w:u w:val="none"/>
        </w:rPr>
        <w:t>一览表》的</w:t>
      </w:r>
      <w:r>
        <w:rPr>
          <w:rFonts w:hint="eastAsia" w:asciiTheme="minorEastAsia" w:hAnsiTheme="minorEastAsia" w:eastAsiaTheme="minorEastAsia" w:cstheme="minorEastAsia"/>
          <w:b/>
          <w:color w:val="auto"/>
          <w:sz w:val="22"/>
          <w:szCs w:val="22"/>
          <w:highlight w:val="none"/>
          <w:u w:val="none"/>
          <w:lang w:val="en-US" w:eastAsia="zh-CN"/>
        </w:rPr>
        <w:t>响应</w:t>
      </w:r>
      <w:r>
        <w:rPr>
          <w:rFonts w:hint="eastAsia" w:asciiTheme="minorEastAsia" w:hAnsiTheme="minorEastAsia" w:eastAsiaTheme="minorEastAsia" w:cstheme="minorEastAsia"/>
          <w:b/>
          <w:color w:val="auto"/>
          <w:sz w:val="22"/>
          <w:szCs w:val="22"/>
          <w:highlight w:val="none"/>
          <w:u w:val="none"/>
        </w:rPr>
        <w:t>文件将被视为未实质性响应</w:t>
      </w:r>
      <w:r>
        <w:rPr>
          <w:rFonts w:hint="eastAsia" w:asciiTheme="minorEastAsia" w:hAnsiTheme="minorEastAsia" w:eastAsiaTheme="minorEastAsia" w:cstheme="minorEastAsia"/>
          <w:b/>
          <w:color w:val="auto"/>
          <w:sz w:val="22"/>
          <w:szCs w:val="22"/>
          <w:highlight w:val="none"/>
          <w:u w:val="none"/>
          <w:lang w:eastAsia="zh-CN"/>
        </w:rPr>
        <w:t>交易</w:t>
      </w:r>
      <w:r>
        <w:rPr>
          <w:rFonts w:hint="eastAsia" w:asciiTheme="minorEastAsia" w:hAnsiTheme="minorEastAsia" w:eastAsiaTheme="minorEastAsia" w:cstheme="minorEastAsia"/>
          <w:b/>
          <w:color w:val="auto"/>
          <w:sz w:val="22"/>
          <w:szCs w:val="22"/>
          <w:highlight w:val="none"/>
          <w:u w:val="none"/>
        </w:rPr>
        <w:t>文件，其</w:t>
      </w:r>
      <w:r>
        <w:rPr>
          <w:rFonts w:hint="eastAsia" w:asciiTheme="minorEastAsia" w:hAnsiTheme="minorEastAsia" w:eastAsiaTheme="minorEastAsia" w:cstheme="minorEastAsia"/>
          <w:b/>
          <w:color w:val="auto"/>
          <w:sz w:val="22"/>
          <w:szCs w:val="22"/>
          <w:highlight w:val="none"/>
          <w:u w:val="none"/>
          <w:lang w:val="en-US" w:eastAsia="zh-CN"/>
        </w:rPr>
        <w:t>响应</w:t>
      </w:r>
      <w:r>
        <w:rPr>
          <w:rFonts w:hint="eastAsia" w:asciiTheme="minorEastAsia" w:hAnsiTheme="minorEastAsia" w:eastAsiaTheme="minorEastAsia" w:cstheme="minorEastAsia"/>
          <w:b/>
          <w:color w:val="auto"/>
          <w:sz w:val="22"/>
          <w:szCs w:val="22"/>
          <w:highlight w:val="none"/>
          <w:u w:val="none"/>
        </w:rPr>
        <w:t>文件将被拒绝。</w:t>
      </w:r>
    </w:p>
    <w:p>
      <w:pPr>
        <w:spacing w:line="400" w:lineRule="exact"/>
        <w:ind w:firstLine="654" w:firstLineChars="296"/>
        <w:rPr>
          <w:rFonts w:hint="eastAsia" w:ascii="宋体" w:hAnsi="宋体" w:eastAsia="宋体" w:cs="宋体"/>
          <w:b/>
          <w:color w:val="auto"/>
          <w:kern w:val="0"/>
          <w:sz w:val="24"/>
          <w:highlight w:val="none"/>
          <w:u w:val="none"/>
        </w:rPr>
      </w:pPr>
      <w:r>
        <w:rPr>
          <w:rFonts w:hint="eastAsia" w:asciiTheme="minorEastAsia" w:hAnsiTheme="minorEastAsia" w:eastAsiaTheme="minorEastAsia" w:cstheme="minorEastAsia"/>
          <w:b/>
          <w:bCs/>
          <w:color w:val="auto"/>
          <w:sz w:val="22"/>
          <w:szCs w:val="22"/>
          <w:highlight w:val="none"/>
          <w:u w:val="none"/>
          <w:lang w:val="en-US" w:eastAsia="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采购内容未包含在《交易一览表（报价表）》名称栏中，投标人不能作出合理解释的，视为投标文件含有采购人不能接受的附加条件的，投标无效</w:t>
      </w:r>
      <w:r>
        <w:rPr>
          <w:rFonts w:hint="eastAsia" w:asciiTheme="minorEastAsia" w:hAnsiTheme="minorEastAsia" w:eastAsiaTheme="minorEastAsia" w:cstheme="minorEastAsia"/>
          <w:b/>
          <w:bCs/>
          <w:color w:val="auto"/>
          <w:sz w:val="22"/>
          <w:szCs w:val="22"/>
          <w:highlight w:val="none"/>
          <w:u w:val="none"/>
        </w:rPr>
        <w:t>。</w:t>
      </w:r>
    </w:p>
    <w:p>
      <w:pPr>
        <w:autoSpaceDE w:val="0"/>
        <w:autoSpaceDN w:val="0"/>
        <w:spacing w:line="360" w:lineRule="auto"/>
        <w:ind w:left="9818" w:leftChars="4561" w:right="1120" w:hanging="240" w:hangingChars="100"/>
        <w:jc w:val="left"/>
        <w:rPr>
          <w:rFonts w:hint="eastAsia" w:ascii="宋体" w:hAnsi="宋体" w:eastAsia="宋体" w:cs="宋体"/>
          <w:color w:val="auto"/>
          <w:kern w:val="2"/>
          <w:sz w:val="32"/>
          <w:szCs w:val="32"/>
          <w:highlight w:val="none"/>
        </w:rPr>
      </w:pPr>
      <w:r>
        <w:rPr>
          <w:rFonts w:hint="eastAsia" w:ascii="宋体" w:hAnsi="宋体" w:cs="宋体"/>
          <w:color w:val="auto"/>
          <w:kern w:val="0"/>
          <w:sz w:val="24"/>
          <w:highlight w:val="none"/>
          <w:u w:val="none"/>
          <w:lang w:val="zh-CN"/>
        </w:rPr>
        <w:t>供应商</w:t>
      </w:r>
      <w:r>
        <w:rPr>
          <w:rFonts w:hint="eastAsia" w:ascii="宋体" w:hAnsi="宋体" w:eastAsia="宋体" w:cs="宋体"/>
          <w:color w:val="auto"/>
          <w:kern w:val="0"/>
          <w:sz w:val="24"/>
          <w:highlight w:val="none"/>
          <w:u w:val="none"/>
          <w:lang w:val="zh-CN"/>
        </w:rPr>
        <w:t>名称（</w:t>
      </w:r>
      <w:r>
        <w:rPr>
          <w:rFonts w:hint="eastAsia" w:ascii="宋体" w:hAnsi="宋体" w:eastAsia="宋体" w:cs="宋体"/>
          <w:color w:val="auto"/>
          <w:sz w:val="24"/>
          <w:highlight w:val="none"/>
          <w:u w:val="none"/>
        </w:rPr>
        <w:t>电子签名</w:t>
      </w:r>
      <w:r>
        <w:rPr>
          <w:rFonts w:hint="eastAsia" w:ascii="宋体" w:hAnsi="宋体" w:eastAsia="宋体" w:cs="宋体"/>
          <w:color w:val="auto"/>
          <w:kern w:val="0"/>
          <w:sz w:val="24"/>
          <w:highlight w:val="none"/>
          <w:u w:val="none"/>
          <w:lang w:val="zh-CN"/>
        </w:rPr>
        <w:t xml:space="preserve">）：             </w:t>
      </w: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2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5"/>
        <w:keepNext w:val="0"/>
        <w:keepLines w:val="0"/>
        <w:pageBreakBefore/>
        <w:widowControl/>
        <w:spacing w:before="100" w:beforeAutospacing="1" w:after="100" w:afterAutospacing="1" w:line="360" w:lineRule="auto"/>
        <w:ind w:left="27" w:leftChars="0" w:hanging="27" w:hangingChars="6"/>
        <w:jc w:val="left"/>
        <w:rPr>
          <w:rFonts w:hint="eastAsia" w:ascii="宋体" w:hAnsi="宋体" w:eastAsia="宋体" w:cs="宋体"/>
          <w:b/>
          <w:color w:val="auto"/>
          <w:sz w:val="24"/>
          <w:highlight w:val="none"/>
        </w:rPr>
      </w:pPr>
      <w:bookmarkStart w:id="406" w:name="_Toc465665161"/>
      <w:r>
        <w:rPr>
          <w:rFonts w:hint="eastAsia" w:ascii="宋体" w:hAnsi="宋体" w:eastAsia="宋体" w:cs="宋体"/>
          <w:color w:val="auto"/>
          <w:highlight w:val="none"/>
        </w:rPr>
        <w:t>附件</w:t>
      </w:r>
      <w:bookmarkEnd w:id="406"/>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3</w:t>
      </w:r>
      <w:r>
        <w:rPr>
          <w:rFonts w:hint="eastAsia" w:ascii="宋体" w:hAnsi="宋体" w:eastAsia="宋体" w:cs="宋体"/>
          <w:b/>
          <w:color w:val="000000" w:themeColor="text1"/>
          <w:spacing w:val="6"/>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w:t>
      </w:r>
      <w:r>
        <w:rPr>
          <w:rFonts w:hint="eastAsia" w:ascii="宋体" w:hAnsi="宋体" w:eastAsia="宋体" w:cs="宋体"/>
          <w:color w:val="000000" w:themeColor="text1"/>
          <w:sz w:val="24"/>
          <w:highlight w:val="none"/>
          <w:u w:val="single"/>
          <w14:textFill>
            <w14:solidFill>
              <w14:schemeClr w14:val="tx1"/>
            </w14:solidFill>
          </w14:textFill>
        </w:rPr>
        <w:t>（项目名称）项目【</w:t>
      </w:r>
      <w:r>
        <w:rPr>
          <w:rFonts w:hint="eastAsia" w:ascii="宋体" w:hAnsi="宋体" w:cs="宋体"/>
          <w:color w:val="000000" w:themeColor="text1"/>
          <w:sz w:val="24"/>
          <w:highlight w:val="none"/>
          <w:u w:val="single"/>
          <w:lang w:eastAsia="zh-CN"/>
          <w14:textFill>
            <w14:solidFill>
              <w14:schemeClr w14:val="tx1"/>
            </w14:solidFill>
          </w14:textFill>
        </w:rPr>
        <w:t>交易</w:t>
      </w:r>
      <w:r>
        <w:rPr>
          <w:rFonts w:hint="eastAsia" w:ascii="宋体" w:hAnsi="宋体" w:eastAsia="宋体" w:cs="宋体"/>
          <w:color w:val="000000" w:themeColor="text1"/>
          <w:sz w:val="24"/>
          <w:highlight w:val="none"/>
          <w:u w:val="single"/>
          <w14:textFill>
            <w14:solidFill>
              <w14:schemeClr w14:val="tx1"/>
            </w14:solidFill>
          </w14:textFill>
        </w:rPr>
        <w:t>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bCs/>
          <w:color w:val="000000" w:themeColor="text1"/>
          <w:sz w:val="24"/>
          <w:highlight w:val="none"/>
          <w:lang w:eastAsia="zh-CN"/>
          <w14:textFill>
            <w14:solidFill>
              <w14:schemeClr w14:val="tx1"/>
            </w14:solidFill>
          </w14:textFill>
        </w:rPr>
        <w:t>交易</w:t>
      </w:r>
      <w:r>
        <w:rPr>
          <w:rFonts w:hint="eastAsia" w:ascii="宋体" w:hAnsi="宋体" w:eastAsia="宋体" w:cs="宋体"/>
          <w:bCs/>
          <w:color w:val="000000" w:themeColor="text1"/>
          <w:sz w:val="24"/>
          <w:highlight w:val="none"/>
          <w14:textFill>
            <w14:solidFill>
              <w14:schemeClr w14:val="tx1"/>
            </w14:solidFill>
          </w14:textFill>
        </w:rPr>
        <w:t>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单位（法定名称章）：</w:t>
      </w:r>
    </w:p>
    <w:p>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val="0"/>
          <w:bCs w:val="0"/>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val="0"/>
          <w:bCs w:val="0"/>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val="0"/>
          <w:bCs w:val="0"/>
          <w:color w:val="000000" w:themeColor="text1"/>
          <w:sz w:val="24"/>
          <w:highlight w:val="none"/>
          <w:lang w:eastAsia="zh-CN"/>
          <w14:textFill>
            <w14:solidFill>
              <w14:schemeClr w14:val="tx1"/>
            </w14:solidFill>
          </w14:textFill>
        </w:rPr>
        <w:t>响应</w:t>
      </w:r>
      <w:r>
        <w:rPr>
          <w:rFonts w:hint="eastAsia" w:ascii="宋体" w:hAnsi="宋体" w:eastAsia="宋体" w:cs="宋体"/>
          <w:b w:val="0"/>
          <w:bCs w:val="0"/>
          <w:color w:val="000000" w:themeColor="text1"/>
          <w:sz w:val="24"/>
          <w:highlight w:val="none"/>
          <w14:textFill>
            <w14:solidFill>
              <w14:schemeClr w14:val="tx1"/>
            </w14:solidFill>
          </w14:textFill>
        </w:rPr>
        <w:t>单</w:t>
      </w:r>
      <w:r>
        <w:rPr>
          <w:rFonts w:hint="eastAsia" w:ascii="宋体" w:hAnsi="宋体" w:eastAsia="宋体" w:cs="宋体"/>
          <w:color w:val="000000" w:themeColor="text1"/>
          <w:sz w:val="24"/>
          <w:highlight w:val="none"/>
          <w14:textFill>
            <w14:solidFill>
              <w14:schemeClr w14:val="tx1"/>
            </w14:solidFill>
          </w14:textFill>
        </w:rPr>
        <w:t xml:space="preserve">位法定名称章（印模）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end"/>
    </w:r>
  </w:p>
  <w:p>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7" w:name="_Toc131845147"/>
    <w:bookmarkStart w:id="408" w:name="_Toc164085800"/>
    <w:bookmarkStart w:id="409" w:name="_Toc91899912"/>
    <w:bookmarkStart w:id="410" w:name="_Toc36110187"/>
    <w:r>
      <w:rPr>
        <w:rFonts w:hint="eastAsia" w:ascii="仿宋_GB2312" w:eastAsia="仿宋_GB2312"/>
        <w:kern w:val="0"/>
        <w:szCs w:val="21"/>
      </w:rPr>
      <w:t xml:space="preserve"> 页</w:t>
    </w:r>
    <w:bookmarkEnd w:id="407"/>
    <w:bookmarkEnd w:id="408"/>
    <w:bookmarkEnd w:id="409"/>
    <w:bookmarkEnd w:id="4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仿宋_GB2312" w:eastAsia="宋体"/>
        <w:b/>
        <w:i/>
        <w:u w:val="single"/>
        <w:lang w:eastAsia="zh-CN"/>
      </w:rPr>
    </w:pPr>
    <w:r>
      <w:t></w:t>
    </w:r>
    <w:r>
      <w:rPr>
        <w:rFonts w:hint="eastAsia"/>
      </w:rPr>
      <w:t xml:space="preserve">                                                  </w:t>
    </w:r>
    <w:r>
      <w:t>公开</w:t>
    </w:r>
    <w:r>
      <w:rPr>
        <w:rFonts w:hint="eastAsia"/>
        <w:lang w:eastAsia="zh-CN"/>
      </w:rPr>
      <w:t>交易文件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t></w:t>
    </w:r>
    <w:r>
      <w:rPr>
        <w:rFonts w:hint="eastAsia"/>
      </w:rPr>
      <w:t xml:space="preserve"> </w:t>
    </w:r>
    <w:r>
      <w:t>公开</w:t>
    </w:r>
    <w:r>
      <w:rPr>
        <w:rFonts w:hint="eastAsia"/>
        <w:lang w:eastAsia="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仿宋_GB2312" w:eastAsia="宋体"/>
        <w:b/>
        <w:i/>
        <w:u w:val="single"/>
        <w:lang w:eastAsia="zh-CN"/>
      </w:rPr>
    </w:pPr>
    <w:r>
      <w:rPr>
        <w:rFonts w:hint="eastAsia"/>
      </w:rPr>
      <w:t xml:space="preserve">                                 </w:t>
    </w:r>
    <w:r>
      <w:t>公开</w:t>
    </w:r>
    <w:r>
      <w:rPr>
        <w:rFonts w:hint="eastAsia"/>
        <w:lang w:eastAsia="zh-CN"/>
      </w:rPr>
      <w:t>交易文件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仿宋_GB2312" w:eastAsia="宋体"/>
        <w:b/>
        <w:i/>
        <w:iCs/>
        <w:u w:val="single"/>
        <w:lang w:eastAsia="zh-CN"/>
      </w:rPr>
    </w:pPr>
    <w:r>
      <w:t>公开</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t></w:t>
    </w:r>
    <w:r>
      <w:rPr>
        <w:rFonts w:hint="eastAsia"/>
      </w:rPr>
      <w:t xml:space="preserve">                                            </w:t>
    </w:r>
    <w:r>
      <w:t>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55448"/>
    <w:multiLevelType w:val="singleLevel"/>
    <w:tmpl w:val="BE955448"/>
    <w:lvl w:ilvl="0" w:tentative="0">
      <w:start w:val="1"/>
      <w:numFmt w:val="chineseCounting"/>
      <w:suff w:val="nothing"/>
      <w:lvlText w:val="%1、"/>
      <w:lvlJc w:val="left"/>
      <w:rPr>
        <w:rFonts w:hint="eastAsia"/>
      </w:rPr>
    </w:lvl>
  </w:abstractNum>
  <w:abstractNum w:abstractNumId="1">
    <w:nsid w:val="DA5BAFB0"/>
    <w:multiLevelType w:val="singleLevel"/>
    <w:tmpl w:val="DA5BAFB0"/>
    <w:lvl w:ilvl="0" w:tentative="0">
      <w:start w:val="1"/>
      <w:numFmt w:val="decimal"/>
      <w:suff w:val="nothing"/>
      <w:lvlText w:val="（%1）"/>
      <w:lvlJc w:val="left"/>
    </w:lvl>
  </w:abstractNum>
  <w:abstractNum w:abstractNumId="2">
    <w:nsid w:val="20172722"/>
    <w:multiLevelType w:val="singleLevel"/>
    <w:tmpl w:val="20172722"/>
    <w:lvl w:ilvl="0" w:tentative="0">
      <w:start w:val="2"/>
      <w:numFmt w:val="chineseCounting"/>
      <w:suff w:val="nothing"/>
      <w:lvlText w:val="%1、"/>
      <w:lvlJc w:val="left"/>
      <w:rPr>
        <w:rFonts w:hint="eastAsia"/>
      </w:rPr>
    </w:lvl>
  </w:abstractNum>
  <w:abstractNum w:abstractNumId="3">
    <w:nsid w:val="2AE5FDED"/>
    <w:multiLevelType w:val="singleLevel"/>
    <w:tmpl w:val="2AE5FDED"/>
    <w:lvl w:ilvl="0" w:tentative="0">
      <w:start w:val="3"/>
      <w:numFmt w:val="decimal"/>
      <w:suff w:val="nothing"/>
      <w:lvlText w:val="%1、"/>
      <w:lvlJc w:val="left"/>
    </w:lvl>
  </w:abstractNum>
  <w:abstractNum w:abstractNumId="4">
    <w:nsid w:val="76D74BC1"/>
    <w:multiLevelType w:val="singleLevel"/>
    <w:tmpl w:val="76D74BC1"/>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cafaca7c-5522-4dfb-8da3-c8d75926d938"/>
  </w:docVars>
  <w:rsids>
    <w:rsidRoot w:val="1F072684"/>
    <w:rsid w:val="1F072684"/>
    <w:rsid w:val="21C615D1"/>
    <w:rsid w:val="2DCC4BEB"/>
    <w:rsid w:val="35344883"/>
    <w:rsid w:val="3C3F6C45"/>
    <w:rsid w:val="44ED6973"/>
    <w:rsid w:val="61357BDD"/>
    <w:rsid w:val="66707909"/>
    <w:rsid w:val="79FD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1"/>
    <w:next w:val="1"/>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19749</Words>
  <Characters>21430</Characters>
  <Lines>0</Lines>
  <Paragraphs>0</Paragraphs>
  <TotalTime>49</TotalTime>
  <ScaleCrop>false</ScaleCrop>
  <LinksUpToDate>false</LinksUpToDate>
  <CharactersWithSpaces>25328</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2025-02-19T02:57:00Z</dcterms:created>
  <dc:creator>xuan</dc:creator>
  <cp:lastModifiedBy>xuan</cp:lastModifiedBy>
  <dcterms:modified xsi:type="dcterms:W3CDTF">2025-03-04T06:36:15Z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09E25D821706482B8DEA169182072160_13</vt:lpwstr>
  </property>
  <property fmtid="{D5CDD505-2E9C-101B-9397-08002B2CF9AE}" pid="4" name="KSOTemplateDocerSaveRecord">
    <vt:lpwstr>eyJoZGlkIjoiYzBlNmViNTc0Yjc0NjhmZjU2ZWQ4ZjA1MzdiNGFlZTEiLCJ1c2VySWQiOiIxMjgwNTgyNTA1In0=</vt:lpwstr>
  </property>
</Properties>
</file>