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D7998D">
      <w:pPr>
        <w:spacing w:line="360" w:lineRule="auto"/>
        <w:jc w:val="center"/>
        <w:rPr>
          <w:rFonts w:ascii="宋体" w:hAnsi="宋体" w:cs="宋体"/>
          <w:b/>
          <w:color w:val="auto"/>
          <w:sz w:val="24"/>
          <w:highlight w:val="none"/>
        </w:rPr>
      </w:pPr>
    </w:p>
    <w:p w14:paraId="245B79E5">
      <w:pPr>
        <w:adjustRightInd/>
        <w:spacing w:line="360" w:lineRule="auto"/>
        <w:jc w:val="center"/>
        <w:rPr>
          <w:rFonts w:hint="eastAsia" w:ascii="宋体" w:hAnsi="宋体" w:cs="宋体"/>
          <w:color w:val="auto"/>
          <w:sz w:val="48"/>
          <w:szCs w:val="48"/>
          <w:highlight w:val="none"/>
          <w:lang w:eastAsia="zh-CN"/>
        </w:rPr>
      </w:pPr>
    </w:p>
    <w:p w14:paraId="17264EE8">
      <w:pPr>
        <w:adjustRightInd/>
        <w:spacing w:line="360" w:lineRule="auto"/>
        <w:jc w:val="center"/>
        <w:rPr>
          <w:rFonts w:hint="eastAsia" w:ascii="宋体" w:hAnsi="宋体" w:cs="宋体"/>
          <w:color w:val="auto"/>
          <w:sz w:val="48"/>
          <w:szCs w:val="48"/>
          <w:highlight w:val="none"/>
          <w:lang w:eastAsia="zh-CN"/>
        </w:rPr>
      </w:pPr>
    </w:p>
    <w:p w14:paraId="266A407A">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杭州市老年病医院医技楼医用气体及呼叫系统改造</w:t>
      </w:r>
    </w:p>
    <w:p w14:paraId="0D86E7CA">
      <w:pPr>
        <w:adjustRightInd/>
        <w:spacing w:line="360" w:lineRule="auto"/>
        <w:jc w:val="center"/>
        <w:rPr>
          <w:rFonts w:ascii="宋体" w:hAnsi="宋体" w:cs="宋体"/>
          <w:color w:val="auto"/>
          <w:sz w:val="48"/>
          <w:szCs w:val="48"/>
          <w:highlight w:val="none"/>
        </w:rPr>
      </w:pPr>
    </w:p>
    <w:p w14:paraId="79C8B09D">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竞争性磋商文件</w:t>
      </w:r>
    </w:p>
    <w:p w14:paraId="75EBE679">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（电子交易）</w:t>
      </w:r>
    </w:p>
    <w:p w14:paraId="45276296">
      <w:pPr>
        <w:snapToGrid w:val="0"/>
        <w:spacing w:line="360" w:lineRule="auto"/>
        <w:jc w:val="center"/>
        <w:rPr>
          <w:rFonts w:ascii="宋体" w:hAnsi="宋体" w:cs="宋体"/>
          <w:b/>
          <w:color w:val="auto"/>
          <w:sz w:val="44"/>
          <w:szCs w:val="44"/>
          <w:highlight w:val="none"/>
        </w:rPr>
      </w:pPr>
      <w:r>
        <w:rPr>
          <w:rFonts w:hint="eastAsia" w:ascii="宋体" w:hAnsi="宋体" w:cs="宋体"/>
          <w:color w:val="auto"/>
          <w:sz w:val="30"/>
          <w:szCs w:val="30"/>
          <w:highlight w:val="none"/>
        </w:rPr>
        <w:t>项目编号:HCZX-</w:t>
      </w:r>
      <w:r>
        <w:rPr>
          <w:rFonts w:hint="eastAsia" w:ascii="宋体" w:hAnsi="宋体" w:cs="宋体"/>
          <w:color w:val="auto"/>
          <w:sz w:val="30"/>
          <w:szCs w:val="30"/>
          <w:highlight w:val="none"/>
          <w:lang w:eastAsia="zh-CN"/>
        </w:rPr>
        <w:t>25097-1</w:t>
      </w:r>
    </w:p>
    <w:p w14:paraId="216F1624">
      <w:pPr>
        <w:pStyle w:val="26"/>
        <w:ind w:firstLine="883"/>
        <w:rPr>
          <w:rFonts w:cs="宋体"/>
          <w:b/>
          <w:color w:val="auto"/>
          <w:sz w:val="44"/>
          <w:szCs w:val="44"/>
          <w:highlight w:val="none"/>
        </w:rPr>
      </w:pPr>
    </w:p>
    <w:p w14:paraId="2BD0B9FE">
      <w:pPr>
        <w:pStyle w:val="27"/>
        <w:rPr>
          <w:rFonts w:ascii="宋体" w:hAnsi="宋体" w:cs="宋体"/>
          <w:b/>
          <w:color w:val="auto"/>
          <w:sz w:val="44"/>
          <w:szCs w:val="44"/>
          <w:highlight w:val="none"/>
        </w:rPr>
      </w:pPr>
    </w:p>
    <w:p w14:paraId="5AE9BD2D">
      <w:pPr>
        <w:pStyle w:val="27"/>
        <w:rPr>
          <w:rFonts w:ascii="宋体" w:hAnsi="宋体" w:cs="宋体"/>
          <w:b/>
          <w:color w:val="auto"/>
          <w:sz w:val="44"/>
          <w:szCs w:val="44"/>
          <w:highlight w:val="none"/>
        </w:rPr>
      </w:pPr>
    </w:p>
    <w:p w14:paraId="35BE30D1">
      <w:pPr>
        <w:pStyle w:val="27"/>
        <w:rPr>
          <w:rFonts w:ascii="宋体" w:hAnsi="宋体" w:cs="宋体"/>
          <w:b/>
          <w:color w:val="auto"/>
          <w:sz w:val="44"/>
          <w:szCs w:val="44"/>
          <w:highlight w:val="none"/>
        </w:rPr>
      </w:pPr>
    </w:p>
    <w:p w14:paraId="3A71B485">
      <w:pPr>
        <w:pStyle w:val="27"/>
        <w:rPr>
          <w:rFonts w:ascii="宋体" w:hAnsi="宋体" w:cs="宋体"/>
          <w:b/>
          <w:color w:val="auto"/>
          <w:sz w:val="44"/>
          <w:szCs w:val="44"/>
          <w:highlight w:val="none"/>
        </w:rPr>
      </w:pPr>
    </w:p>
    <w:p w14:paraId="01133F13">
      <w:pPr>
        <w:spacing w:line="360" w:lineRule="auto"/>
        <w:jc w:val="center"/>
        <w:rPr>
          <w:rFonts w:ascii="宋体" w:hAnsi="宋体" w:cs="宋体"/>
          <w:color w:val="auto"/>
          <w:sz w:val="24"/>
          <w:highlight w:val="none"/>
        </w:rPr>
      </w:pPr>
    </w:p>
    <w:p w14:paraId="02234A80">
      <w:pPr>
        <w:spacing w:line="360" w:lineRule="auto"/>
        <w:rPr>
          <w:rFonts w:ascii="宋体" w:hAnsi="宋体" w:cs="宋体"/>
          <w:color w:val="auto"/>
          <w:sz w:val="32"/>
          <w:szCs w:val="32"/>
          <w:highlight w:val="none"/>
        </w:rPr>
      </w:pPr>
    </w:p>
    <w:p w14:paraId="0FE58045">
      <w:pPr>
        <w:snapToGrid w:val="0"/>
        <w:spacing w:line="48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采购人：</w:t>
      </w:r>
      <w:r>
        <w:rPr>
          <w:rFonts w:hint="eastAsia" w:ascii="宋体" w:hAnsi="宋体" w:cs="宋体"/>
          <w:bCs/>
          <w:color w:val="auto"/>
          <w:sz w:val="32"/>
          <w:szCs w:val="32"/>
          <w:highlight w:val="none"/>
          <w:lang w:eastAsia="zh-CN"/>
        </w:rPr>
        <w:t>杭州市老年病医院</w:t>
      </w:r>
    </w:p>
    <w:p w14:paraId="6DFB222B">
      <w:pPr>
        <w:spacing w:line="48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ab/>
      </w:r>
      <w:r>
        <w:rPr>
          <w:rFonts w:hint="eastAsia" w:ascii="宋体" w:hAnsi="宋体" w:cs="宋体"/>
          <w:bCs/>
          <w:color w:val="auto"/>
          <w:sz w:val="32"/>
          <w:szCs w:val="32"/>
          <w:highlight w:val="none"/>
        </w:rPr>
        <w:tab/>
      </w:r>
      <w:bookmarkStart w:id="0" w:name="_Toc7631"/>
      <w:bookmarkStart w:id="1" w:name="_Toc18566"/>
      <w:r>
        <w:rPr>
          <w:rFonts w:hint="eastAsia" w:ascii="宋体" w:hAnsi="宋体" w:cs="宋体"/>
          <w:bCs/>
          <w:color w:val="auto"/>
          <w:sz w:val="32"/>
          <w:szCs w:val="32"/>
          <w:highlight w:val="none"/>
        </w:rPr>
        <w:t>采购代理机构：华诚工程咨询集团有限公司</w:t>
      </w:r>
      <w:bookmarkEnd w:id="0"/>
      <w:bookmarkEnd w:id="1"/>
    </w:p>
    <w:p w14:paraId="715BC5B9">
      <w:pPr>
        <w:spacing w:line="360" w:lineRule="auto"/>
        <w:jc w:val="center"/>
        <w:rPr>
          <w:rFonts w:hint="eastAsia" w:ascii="宋体" w:hAnsi="宋体" w:cs="宋体"/>
          <w:bCs/>
          <w:color w:val="auto"/>
          <w:sz w:val="32"/>
          <w:szCs w:val="32"/>
          <w:highlight w:val="none"/>
        </w:rPr>
        <w:sectPr>
          <w:headerReference r:id="rId4" w:type="first"/>
          <w:footerReference r:id="rId7" w:type="first"/>
          <w:headerReference r:id="rId3" w:type="default"/>
          <w:footerReference r:id="rId5" w:type="default"/>
          <w:footerReference r:id="rId6" w:type="even"/>
          <w:pgSz w:w="11906" w:h="16838"/>
          <w:pgMar w:top="1440" w:right="1304" w:bottom="1440" w:left="1304" w:header="851" w:footer="992" w:gutter="0"/>
          <w:cols w:space="720" w:num="1"/>
          <w:titlePg/>
          <w:docGrid w:linePitch="312" w:charSpace="0"/>
        </w:sect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p>
    <w:p w14:paraId="787F9651">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27B7CF73">
      <w:pPr>
        <w:pStyle w:val="45"/>
        <w:tabs>
          <w:tab w:val="right" w:leader="dot" w:pos="9240"/>
        </w:tabs>
        <w:snapToGrid w:val="0"/>
        <w:spacing w:line="360" w:lineRule="auto"/>
        <w:jc w:val="left"/>
        <w:rPr>
          <w:rFonts w:ascii="宋体" w:hAnsi="宋体" w:cs="宋体"/>
          <w:color w:val="auto"/>
          <w:sz w:val="28"/>
          <w:szCs w:val="28"/>
          <w:highlight w:val="none"/>
        </w:rPr>
      </w:pPr>
      <w:r>
        <w:rPr>
          <w:rFonts w:ascii="宋体" w:hAnsi="宋体" w:cs="宋体"/>
          <w:color w:val="auto"/>
          <w:sz w:val="32"/>
          <w:szCs w:val="32"/>
          <w:highlight w:val="none"/>
        </w:rPr>
        <w:fldChar w:fldCharType="begin"/>
      </w:r>
      <w:r>
        <w:rPr>
          <w:rFonts w:ascii="宋体" w:hAnsi="宋体" w:cs="宋体"/>
          <w:color w:val="auto"/>
          <w:sz w:val="32"/>
          <w:szCs w:val="32"/>
          <w:highlight w:val="none"/>
        </w:rPr>
        <w:instrText xml:space="preserve">TOC \o "1-1" \h \u </w:instrText>
      </w:r>
      <w:r>
        <w:rPr>
          <w:rFonts w:ascii="宋体" w:hAnsi="宋体" w:cs="宋体"/>
          <w:color w:val="auto"/>
          <w:sz w:val="32"/>
          <w:szCs w:val="32"/>
          <w:highlight w:val="none"/>
        </w:rPr>
        <w:fldChar w:fldCharType="separate"/>
      </w:r>
      <w:r>
        <w:rPr>
          <w:color w:val="auto"/>
          <w:highlight w:val="none"/>
        </w:rPr>
        <w:fldChar w:fldCharType="begin"/>
      </w:r>
      <w:r>
        <w:rPr>
          <w:color w:val="auto"/>
          <w:highlight w:val="none"/>
        </w:rPr>
        <w:instrText xml:space="preserve"> HYPERLINK \l "_Toc21043" </w:instrText>
      </w:r>
      <w:r>
        <w:rPr>
          <w:color w:val="auto"/>
          <w:highlight w:val="none"/>
        </w:rPr>
        <w:fldChar w:fldCharType="separate"/>
      </w:r>
      <w:r>
        <w:rPr>
          <w:rFonts w:hint="eastAsia" w:ascii="宋体" w:hAnsi="宋体" w:cs="宋体"/>
          <w:color w:val="auto"/>
          <w:sz w:val="28"/>
          <w:szCs w:val="28"/>
          <w:highlight w:val="none"/>
        </w:rPr>
        <w:t>第一部分 竞争性磋商公告</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_Toc21043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2</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155F81ED">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"_Toc29733" </w:instrText>
      </w:r>
      <w:r>
        <w:rPr>
          <w:color w:val="auto"/>
          <w:highlight w:val="none"/>
        </w:rPr>
        <w:fldChar w:fldCharType="separate"/>
      </w:r>
      <w:r>
        <w:rPr>
          <w:rFonts w:hint="eastAsia" w:ascii="宋体" w:hAnsi="宋体" w:cs="宋体"/>
          <w:color w:val="auto"/>
          <w:sz w:val="28"/>
          <w:szCs w:val="28"/>
          <w:highlight w:val="none"/>
        </w:rPr>
        <w:t>第二部分 供应商须知</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_Toc29733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5</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598392DA">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"_Toc5649" </w:instrText>
      </w:r>
      <w:r>
        <w:rPr>
          <w:color w:val="auto"/>
          <w:highlight w:val="none"/>
        </w:rPr>
        <w:fldChar w:fldCharType="separate"/>
      </w:r>
      <w:r>
        <w:rPr>
          <w:rFonts w:hint="eastAsia" w:ascii="宋体" w:hAnsi="宋体" w:cs="宋体"/>
          <w:color w:val="auto"/>
          <w:sz w:val="28"/>
          <w:szCs w:val="28"/>
          <w:highlight w:val="none"/>
        </w:rPr>
        <w:t>第三部分 采购需求</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_Toc5649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19</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15CC0CCB">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"_Toc27879" </w:instrText>
      </w:r>
      <w:r>
        <w:rPr>
          <w:color w:val="auto"/>
          <w:highlight w:val="none"/>
        </w:rPr>
        <w:fldChar w:fldCharType="separate"/>
      </w:r>
      <w:r>
        <w:rPr>
          <w:rFonts w:hint="eastAsia" w:ascii="宋体" w:hAnsi="宋体" w:cs="宋体"/>
          <w:color w:val="auto"/>
          <w:sz w:val="28"/>
          <w:szCs w:val="28"/>
          <w:highlight w:val="none"/>
        </w:rPr>
        <w:t>第四部分 评审办法</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_Toc27879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24</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781E69D9">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"_Toc12059" </w:instrText>
      </w:r>
      <w:r>
        <w:rPr>
          <w:color w:val="auto"/>
          <w:highlight w:val="none"/>
        </w:rPr>
        <w:fldChar w:fldCharType="separate"/>
      </w:r>
      <w:r>
        <w:rPr>
          <w:rFonts w:hint="eastAsia" w:ascii="宋体" w:hAnsi="宋体" w:cs="宋体"/>
          <w:color w:val="auto"/>
          <w:sz w:val="28"/>
          <w:szCs w:val="28"/>
          <w:highlight w:val="none"/>
        </w:rPr>
        <w:t>第五部分 拟签订的合同文本</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_Toc12059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31</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236D306E">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"_Toc18246" </w:instrText>
      </w:r>
      <w:r>
        <w:rPr>
          <w:color w:val="auto"/>
          <w:highlight w:val="none"/>
        </w:rPr>
        <w:fldChar w:fldCharType="separate"/>
      </w:r>
      <w:r>
        <w:rPr>
          <w:rFonts w:hint="eastAsia" w:ascii="宋体" w:hAnsi="宋体" w:cs="宋体"/>
          <w:color w:val="auto"/>
          <w:sz w:val="28"/>
          <w:szCs w:val="28"/>
          <w:highlight w:val="none"/>
        </w:rPr>
        <w:t>第六部分 应提交的有关格式范例</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_Toc18246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76</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73E88812">
      <w:pPr>
        <w:pStyle w:val="45"/>
        <w:tabs>
          <w:tab w:val="right" w:leader="dot" w:pos="9746"/>
        </w:tabs>
        <w:rPr>
          <w:color w:val="auto"/>
          <w:highlight w:val="none"/>
        </w:rPr>
      </w:pPr>
    </w:p>
    <w:p w14:paraId="72123EAC">
      <w:pPr>
        <w:spacing w:line="360" w:lineRule="auto"/>
        <w:rPr>
          <w:rFonts w:ascii="宋体" w:hAnsi="宋体" w:cs="宋体"/>
          <w:color w:val="auto"/>
          <w:sz w:val="32"/>
          <w:szCs w:val="32"/>
          <w:highlight w:val="none"/>
        </w:rPr>
      </w:pPr>
      <w:r>
        <w:rPr>
          <w:rFonts w:ascii="宋体" w:hAnsi="宋体" w:cs="宋体"/>
          <w:color w:val="auto"/>
          <w:szCs w:val="32"/>
          <w:highlight w:val="none"/>
        </w:rPr>
        <w:fldChar w:fldCharType="end"/>
      </w:r>
    </w:p>
    <w:p w14:paraId="05F36B22">
      <w:pPr>
        <w:spacing w:line="360" w:lineRule="auto"/>
        <w:ind w:firstLine="549" w:firstLineChars="229"/>
        <w:rPr>
          <w:rFonts w:ascii="宋体" w:hAnsi="宋体" w:cs="宋体"/>
          <w:color w:val="auto"/>
          <w:sz w:val="24"/>
          <w:highlight w:val="none"/>
        </w:rPr>
      </w:pPr>
      <w:bookmarkStart w:id="2" w:name="_Hlt91233176"/>
      <w:bookmarkEnd w:id="2"/>
      <w:bookmarkStart w:id="3" w:name="_Toc91899869"/>
    </w:p>
    <w:p w14:paraId="593B3F17">
      <w:pPr>
        <w:spacing w:line="360" w:lineRule="auto"/>
        <w:ind w:firstLine="549" w:firstLineChars="229"/>
        <w:rPr>
          <w:rFonts w:ascii="宋体" w:hAnsi="宋体" w:cs="宋体"/>
          <w:color w:val="auto"/>
          <w:sz w:val="24"/>
          <w:highlight w:val="none"/>
        </w:rPr>
      </w:pPr>
    </w:p>
    <w:p w14:paraId="718C76C5">
      <w:pPr>
        <w:spacing w:line="360" w:lineRule="auto"/>
        <w:ind w:firstLine="549" w:firstLineChars="229"/>
        <w:rPr>
          <w:rFonts w:ascii="宋体" w:hAnsi="宋体" w:cs="宋体"/>
          <w:color w:val="auto"/>
          <w:sz w:val="24"/>
          <w:highlight w:val="none"/>
        </w:rPr>
      </w:pPr>
    </w:p>
    <w:p w14:paraId="2F68455A">
      <w:pPr>
        <w:spacing w:line="360" w:lineRule="auto"/>
        <w:ind w:firstLine="549" w:firstLineChars="229"/>
        <w:rPr>
          <w:rFonts w:ascii="宋体" w:hAnsi="宋体" w:cs="宋体"/>
          <w:color w:val="auto"/>
          <w:sz w:val="24"/>
          <w:highlight w:val="none"/>
        </w:rPr>
      </w:pPr>
    </w:p>
    <w:p w14:paraId="59BDD91E">
      <w:pPr>
        <w:spacing w:line="360" w:lineRule="auto"/>
        <w:ind w:firstLine="549" w:firstLineChars="229"/>
        <w:rPr>
          <w:rFonts w:ascii="宋体" w:hAnsi="宋体" w:cs="宋体"/>
          <w:color w:val="auto"/>
          <w:sz w:val="24"/>
          <w:highlight w:val="none"/>
        </w:rPr>
      </w:pPr>
    </w:p>
    <w:p w14:paraId="71D853F5">
      <w:pPr>
        <w:spacing w:line="360" w:lineRule="auto"/>
        <w:ind w:firstLine="549" w:firstLineChars="229"/>
        <w:rPr>
          <w:rFonts w:ascii="宋体" w:hAnsi="宋体" w:cs="宋体"/>
          <w:color w:val="auto"/>
          <w:sz w:val="24"/>
          <w:highlight w:val="none"/>
        </w:rPr>
      </w:pPr>
    </w:p>
    <w:p w14:paraId="7246B072">
      <w:pPr>
        <w:spacing w:line="360" w:lineRule="auto"/>
        <w:ind w:firstLine="549" w:firstLineChars="229"/>
        <w:rPr>
          <w:rFonts w:ascii="宋体" w:hAnsi="宋体" w:cs="宋体"/>
          <w:color w:val="auto"/>
          <w:sz w:val="24"/>
          <w:highlight w:val="none"/>
        </w:rPr>
      </w:pPr>
    </w:p>
    <w:p w14:paraId="3B8FC09A">
      <w:pPr>
        <w:spacing w:line="360" w:lineRule="auto"/>
        <w:ind w:firstLine="549" w:firstLineChars="229"/>
        <w:rPr>
          <w:rFonts w:ascii="宋体" w:hAnsi="宋体" w:cs="宋体"/>
          <w:color w:val="auto"/>
          <w:sz w:val="24"/>
          <w:highlight w:val="none"/>
        </w:rPr>
      </w:pPr>
    </w:p>
    <w:p w14:paraId="145CF09B">
      <w:pPr>
        <w:spacing w:line="360" w:lineRule="auto"/>
        <w:ind w:firstLine="549" w:firstLineChars="229"/>
        <w:rPr>
          <w:rFonts w:ascii="宋体" w:hAnsi="宋体" w:cs="宋体"/>
          <w:color w:val="auto"/>
          <w:sz w:val="24"/>
          <w:highlight w:val="none"/>
        </w:rPr>
      </w:pPr>
    </w:p>
    <w:p w14:paraId="60F39796">
      <w:pPr>
        <w:rPr>
          <w:color w:val="auto"/>
          <w:highlight w:val="none"/>
        </w:rPr>
      </w:pPr>
      <w:r>
        <w:rPr>
          <w:rFonts w:ascii="宋体" w:hAnsi="宋体" w:cs="宋体"/>
          <w:color w:val="auto"/>
          <w:sz w:val="24"/>
          <w:highlight w:val="none"/>
        </w:rPr>
        <w:br w:type="page"/>
      </w:r>
    </w:p>
    <w:bookmarkEnd w:id="3"/>
    <w:p w14:paraId="2D2DD286">
      <w:pPr>
        <w:pStyle w:val="5"/>
        <w:snapToGrid w:val="0"/>
        <w:spacing w:before="0" w:after="0" w:line="360" w:lineRule="auto"/>
        <w:ind w:left="0" w:firstLine="0"/>
        <w:jc w:val="center"/>
        <w:rPr>
          <w:color w:val="auto"/>
          <w:highlight w:val="none"/>
        </w:rPr>
      </w:pPr>
      <w:bookmarkStart w:id="4" w:name="_Hlt74649545"/>
      <w:bookmarkEnd w:id="4"/>
      <w:bookmarkStart w:id="5" w:name="_Hlt74728647"/>
      <w:bookmarkEnd w:id="5"/>
      <w:bookmarkStart w:id="6" w:name="_Hlt74729822"/>
      <w:bookmarkEnd w:id="6"/>
      <w:bookmarkStart w:id="7" w:name="_Hlt74707423"/>
      <w:bookmarkEnd w:id="7"/>
      <w:bookmarkStart w:id="8" w:name="_Toc21043"/>
      <w:bookmarkStart w:id="9" w:name="第二部分"/>
      <w:bookmarkStart w:id="10" w:name="_Toc91899870"/>
      <w:bookmarkStart w:id="11" w:name="_Toc91899871"/>
      <w:r>
        <w:rPr>
          <w:rFonts w:hint="eastAsia"/>
          <w:color w:val="auto"/>
          <w:highlight w:val="none"/>
        </w:rPr>
        <w:t>第一部分 竞争性磋商公告</w:t>
      </w:r>
      <w:bookmarkEnd w:id="8"/>
    </w:p>
    <w:p w14:paraId="53EEAEDA">
      <w:pPr>
        <w:spacing w:line="360" w:lineRule="auto"/>
        <w:rPr>
          <w:rFonts w:hint="eastAsia" w:asciiTheme="minorEastAsia" w:hAnsiTheme="minorEastAsia" w:eastAsiaTheme="minorEastAsia"/>
          <w:color w:val="auto"/>
          <w:sz w:val="24"/>
          <w:highlight w:val="none"/>
        </w:rPr>
      </w:pPr>
    </w:p>
    <w:p w14:paraId="5DB22F1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53E819A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杭州市老年病医院医技楼医用气体及呼叫系统改造</w:t>
      </w:r>
      <w:r>
        <w:rPr>
          <w:rFonts w:hint="eastAsia" w:asciiTheme="minorEastAsia" w:hAnsiTheme="minorEastAsia" w:eastAsiaTheme="minorEastAsia"/>
          <w:color w:val="auto"/>
          <w:sz w:val="24"/>
          <w:highlight w:val="none"/>
          <w:u w:val="single"/>
        </w:rPr>
        <w:t>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乐采云平台（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7"/>
          <w:rFonts w:hint="eastAsia" w:cs="仿宋_GB2312" w:asciiTheme="minorEastAsia" w:hAnsiTheme="minorEastAsia" w:eastAsiaTheme="minorEastAsia"/>
          <w:color w:val="auto"/>
          <w:sz w:val="24"/>
          <w:highlight w:val="none"/>
          <w:u w:val="single"/>
        </w:rPr>
        <w:t>https://www.lecaiyun.com/</w:t>
      </w:r>
      <w:r>
        <w:rPr>
          <w:rStyle w:val="77"/>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2025年</w:t>
      </w:r>
      <w:r>
        <w:rPr>
          <w:rFonts w:hint="eastAsia" w:asciiTheme="minorEastAsia" w:hAnsiTheme="minorEastAsia" w:eastAsiaTheme="minorEastAsia"/>
          <w:color w:val="auto"/>
          <w:sz w:val="24"/>
          <w:highlight w:val="none"/>
          <w:u w:val="single"/>
          <w:lang w:eastAsia="zh-CN"/>
        </w:rPr>
        <w:t>4月23日</w:t>
      </w:r>
      <w:r>
        <w:rPr>
          <w:rFonts w:hint="eastAsia" w:asciiTheme="minorEastAsia" w:hAnsiTheme="minorEastAsia" w:eastAsiaTheme="minorEastAsia"/>
          <w:color w:val="auto"/>
          <w:sz w:val="24"/>
          <w:highlight w:val="none"/>
          <w:u w:val="single"/>
          <w:lang w:val="en-US" w:eastAsia="zh-CN"/>
        </w:rPr>
        <w:t>14</w:t>
      </w:r>
      <w:r>
        <w:rPr>
          <w:rFonts w:hint="eastAsia" w:asciiTheme="minorEastAsia" w:hAnsiTheme="minorEastAsia" w:eastAsiaTheme="minorEastAsia"/>
          <w:color w:val="auto"/>
          <w:sz w:val="24"/>
          <w:highlight w:val="none"/>
          <w:u w:val="single"/>
          <w:lang w:eastAsia="zh-CN"/>
        </w:rPr>
        <w:t>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7452D303">
      <w:pPr>
        <w:spacing w:line="360" w:lineRule="auto"/>
        <w:rPr>
          <w:rFonts w:hint="eastAsia" w:asciiTheme="minorEastAsia" w:hAnsiTheme="minorEastAsia" w:eastAsiaTheme="minorEastAsia"/>
          <w:color w:val="auto"/>
          <w:sz w:val="24"/>
          <w:highlight w:val="none"/>
        </w:rPr>
      </w:pPr>
    </w:p>
    <w:p w14:paraId="784A3A5D">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12" w:name="_Toc28359012"/>
      <w:bookmarkStart w:id="13" w:name="_Toc28359089"/>
      <w:bookmarkStart w:id="14" w:name="_Toc35393629"/>
      <w:bookmarkStart w:id="15" w:name="_Toc35393798"/>
      <w:r>
        <w:rPr>
          <w:rFonts w:hint="eastAsia" w:cs="宋体" w:asciiTheme="minorEastAsia" w:hAnsiTheme="minorEastAsia" w:eastAsiaTheme="minorEastAsia"/>
          <w:color w:val="auto"/>
          <w:sz w:val="24"/>
          <w:szCs w:val="24"/>
          <w:highlight w:val="none"/>
        </w:rPr>
        <w:t>一、项目基本情况</w:t>
      </w:r>
      <w:bookmarkEnd w:id="12"/>
      <w:bookmarkEnd w:id="13"/>
      <w:bookmarkEnd w:id="14"/>
      <w:bookmarkEnd w:id="15"/>
    </w:p>
    <w:p w14:paraId="0256CFA2">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Cs/>
          <w:color w:val="auto"/>
          <w:sz w:val="24"/>
          <w:highlight w:val="none"/>
        </w:rPr>
        <w:t>HCZX-</w:t>
      </w:r>
      <w:r>
        <w:rPr>
          <w:rFonts w:hint="eastAsia" w:asciiTheme="minorEastAsia" w:hAnsiTheme="minorEastAsia" w:eastAsiaTheme="minorEastAsia"/>
          <w:bCs/>
          <w:color w:val="auto"/>
          <w:sz w:val="24"/>
          <w:highlight w:val="none"/>
          <w:lang w:eastAsia="zh-CN"/>
        </w:rPr>
        <w:t>25097-1</w:t>
      </w:r>
    </w:p>
    <w:p w14:paraId="3BD1E415">
      <w:pPr>
        <w:spacing w:line="360" w:lineRule="auto"/>
        <w:ind w:firstLine="482" w:firstLineChars="200"/>
        <w:rPr>
          <w:rFonts w:hint="eastAsia"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color w:val="auto"/>
          <w:sz w:val="24"/>
          <w:highlight w:val="none"/>
          <w:lang w:eastAsia="zh-CN"/>
        </w:rPr>
        <w:t>杭州市老年病医院医技楼医用气体及呼叫系统改造</w:t>
      </w:r>
      <w:r>
        <w:rPr>
          <w:rFonts w:hint="eastAsia" w:asciiTheme="minorEastAsia" w:hAnsiTheme="minorEastAsia" w:eastAsiaTheme="minorEastAsia"/>
          <w:color w:val="auto"/>
          <w:sz w:val="24"/>
          <w:highlight w:val="none"/>
        </w:rPr>
        <w:t>项目</w:t>
      </w:r>
    </w:p>
    <w:p w14:paraId="415641DA">
      <w:pPr>
        <w:spacing w:line="360" w:lineRule="auto"/>
        <w:ind w:firstLine="482"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77E7C1AA">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Cs/>
          <w:color w:val="auto"/>
          <w:sz w:val="24"/>
          <w:highlight w:val="none"/>
          <w:lang w:val="en-US" w:eastAsia="zh-CN"/>
        </w:rPr>
        <w:t>70</w:t>
      </w:r>
      <w:r>
        <w:rPr>
          <w:rFonts w:hint="eastAsia" w:asciiTheme="minorEastAsia" w:hAnsiTheme="minorEastAsia" w:eastAsiaTheme="minorEastAsia"/>
          <w:bCs/>
          <w:color w:val="auto"/>
          <w:sz w:val="24"/>
          <w:highlight w:val="none"/>
        </w:rPr>
        <w:t>0000</w:t>
      </w:r>
    </w:p>
    <w:p w14:paraId="1D79F6BC">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Cs/>
          <w:color w:val="auto"/>
          <w:sz w:val="24"/>
          <w:highlight w:val="none"/>
          <w:lang w:val="en-US" w:eastAsia="zh-CN"/>
        </w:rPr>
        <w:t>70</w:t>
      </w:r>
      <w:r>
        <w:rPr>
          <w:rFonts w:hint="eastAsia" w:asciiTheme="minorEastAsia" w:hAnsiTheme="minorEastAsia" w:eastAsiaTheme="minorEastAsia"/>
          <w:bCs/>
          <w:color w:val="auto"/>
          <w:sz w:val="24"/>
          <w:highlight w:val="none"/>
        </w:rPr>
        <w:t>0000</w:t>
      </w:r>
    </w:p>
    <w:p w14:paraId="11A596AB">
      <w:pPr>
        <w:spacing w:line="360" w:lineRule="auto"/>
        <w:ind w:firstLine="482"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采购需求：</w:t>
      </w:r>
      <w:r>
        <w:rPr>
          <w:rFonts w:hint="eastAsia" w:hAnsi="宋体" w:cs="宋体" w:eastAsiaTheme="minorEastAsia"/>
          <w:bCs/>
          <w:color w:val="auto"/>
          <w:sz w:val="24"/>
          <w:highlight w:val="none"/>
          <w:lang w:eastAsia="zh-CN"/>
        </w:rPr>
        <w:t>杭州市老年病医院医技楼医用气体及呼叫系统改造</w:t>
      </w:r>
      <w:r>
        <w:rPr>
          <w:rFonts w:hint="eastAsia" w:hAnsi="宋体" w:cs="宋体" w:eastAsiaTheme="minorEastAsia"/>
          <w:bCs/>
          <w:color w:val="auto"/>
          <w:sz w:val="24"/>
          <w:highlight w:val="none"/>
        </w:rPr>
        <w:t>项目，</w:t>
      </w:r>
      <w:r>
        <w:rPr>
          <w:rFonts w:hint="eastAsia" w:hAnsi="宋体" w:cs="宋体"/>
          <w:bCs/>
          <w:color w:val="auto"/>
          <w:sz w:val="24"/>
          <w:highlight w:val="none"/>
        </w:rPr>
        <w:t>主要内容：</w:t>
      </w:r>
      <w:r>
        <w:rPr>
          <w:rFonts w:hint="eastAsia" w:hAnsi="宋体" w:cs="宋体" w:eastAsiaTheme="minorEastAsia"/>
          <w:bCs/>
          <w:color w:val="auto"/>
          <w:sz w:val="24"/>
          <w:highlight w:val="none"/>
          <w:lang w:eastAsia="zh-CN"/>
        </w:rPr>
        <w:t>杭本项目为设计施工一体化项目，施工地点杭州市拱墅区景莘街50号，杭州市老年病医院（杭州市第一人民医院城北院区）医技科室用房楼五层、六层共</w:t>
      </w:r>
      <w:r>
        <w:rPr>
          <w:rFonts w:hint="eastAsia" w:hAnsi="宋体" w:cs="宋体" w:eastAsiaTheme="minorEastAsia"/>
          <w:bCs/>
          <w:color w:val="auto"/>
          <w:sz w:val="24"/>
          <w:highlight w:val="none"/>
          <w:lang w:val="en-US" w:eastAsia="zh-CN"/>
        </w:rPr>
        <w:t>28个房间</w:t>
      </w:r>
      <w:r>
        <w:rPr>
          <w:rFonts w:hint="eastAsia" w:hAnsi="宋体" w:cs="宋体" w:eastAsiaTheme="minorEastAsia"/>
          <w:bCs/>
          <w:color w:val="auto"/>
          <w:sz w:val="24"/>
          <w:highlight w:val="none"/>
          <w:lang w:eastAsia="zh-CN"/>
        </w:rPr>
        <w:t>，总工期</w:t>
      </w:r>
      <w:r>
        <w:rPr>
          <w:rFonts w:hint="eastAsia" w:hAnsi="宋体" w:cs="宋体" w:eastAsiaTheme="minorEastAsia"/>
          <w:bCs/>
          <w:color w:val="auto"/>
          <w:sz w:val="24"/>
          <w:highlight w:val="none"/>
          <w:lang w:val="en-US" w:eastAsia="zh-CN"/>
        </w:rPr>
        <w:t>60</w:t>
      </w:r>
      <w:r>
        <w:rPr>
          <w:rFonts w:hint="eastAsia" w:hAnsi="宋体" w:cs="宋体" w:eastAsiaTheme="minorEastAsia"/>
          <w:bCs/>
          <w:color w:val="auto"/>
          <w:sz w:val="24"/>
          <w:highlight w:val="none"/>
          <w:lang w:eastAsia="zh-CN"/>
        </w:rPr>
        <w:t>日历天（含设计周期、施工工期）</w:t>
      </w:r>
      <w:r>
        <w:rPr>
          <w:rFonts w:hint="eastAsia" w:hAnsi="宋体" w:cs="宋体" w:eastAsiaTheme="minorEastAsia"/>
          <w:bCs/>
          <w:color w:val="auto"/>
          <w:sz w:val="24"/>
          <w:highlight w:val="none"/>
        </w:rPr>
        <w:t>。</w:t>
      </w:r>
      <w:r>
        <w:rPr>
          <w:rFonts w:hint="eastAsia" w:cs="仿宋_GB2312" w:asciiTheme="minorEastAsia" w:hAnsiTheme="minorEastAsia" w:eastAsiaTheme="minorEastAsia"/>
          <w:b/>
          <w:color w:val="auto"/>
          <w:sz w:val="24"/>
          <w:highlight w:val="none"/>
        </w:rPr>
        <w:t>详见磋商文件。</w:t>
      </w:r>
    </w:p>
    <w:p w14:paraId="790FE8E8">
      <w:pPr>
        <w:spacing w:line="360" w:lineRule="auto"/>
        <w:ind w:firstLine="482" w:firstLineChars="200"/>
        <w:rPr>
          <w:rFonts w:hint="eastAsia" w:ascii="宋体" w:hAnsi="宋体"/>
          <w:color w:val="auto"/>
          <w:sz w:val="24"/>
          <w:highlight w:val="none"/>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color w:val="auto"/>
          <w:sz w:val="24"/>
          <w:highlight w:val="none"/>
        </w:rPr>
        <w:t>：</w:t>
      </w:r>
      <w:r>
        <w:rPr>
          <w:rFonts w:hint="eastAsia" w:hAnsi="宋体" w:cs="宋体" w:eastAsiaTheme="minorEastAsia"/>
          <w:bCs/>
          <w:color w:val="auto"/>
          <w:sz w:val="24"/>
          <w:highlight w:val="none"/>
          <w:lang w:eastAsia="zh-CN"/>
        </w:rPr>
        <w:t>总工期</w:t>
      </w:r>
      <w:r>
        <w:rPr>
          <w:rFonts w:hint="eastAsia" w:hAnsi="宋体" w:cs="宋体" w:eastAsiaTheme="minorEastAsia"/>
          <w:bCs/>
          <w:color w:val="auto"/>
          <w:sz w:val="24"/>
          <w:highlight w:val="none"/>
          <w:lang w:val="en-US" w:eastAsia="zh-CN"/>
        </w:rPr>
        <w:t>60</w:t>
      </w:r>
      <w:r>
        <w:rPr>
          <w:rFonts w:hint="eastAsia" w:hAnsi="宋体" w:cs="宋体" w:eastAsiaTheme="minorEastAsia"/>
          <w:bCs/>
          <w:color w:val="auto"/>
          <w:sz w:val="24"/>
          <w:highlight w:val="none"/>
          <w:lang w:eastAsia="zh-CN"/>
        </w:rPr>
        <w:t>日历天（含设计周期、施工工期）</w:t>
      </w:r>
    </w:p>
    <w:p w14:paraId="77670AAC">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147464689"/>
        </w:sdtPr>
        <w:sdtEndPr>
          <w:rPr>
            <w:rFonts w:hint="eastAsia" w:asciiTheme="minorEastAsia" w:hAnsiTheme="minorEastAsia" w:eastAsiaTheme="minorEastAsia"/>
            <w:b/>
            <w:color w:val="auto"/>
            <w:sz w:val="24"/>
            <w:highlight w:val="none"/>
          </w:rPr>
        </w:sdtEndPr>
        <w:sdtContent>
          <w:r>
            <w:rPr>
              <w:rFonts w:ascii="Wingdings" w:hAnsi="Wingdings" w:eastAsia="MS Gothic"/>
              <w:b/>
              <w:color w:val="auto"/>
              <w:sz w:val="24"/>
              <w:highlight w:val="none"/>
            </w:rPr>
            <w:sym w:font="Wingdings" w:char="00FE"/>
          </w:r>
        </w:sdtContent>
      </w:sdt>
      <w:r>
        <w:rPr>
          <w:rFonts w:hint="eastAsia" w:asciiTheme="minorEastAsia" w:hAnsiTheme="minorEastAsia" w:eastAsiaTheme="minorEastAsia"/>
          <w:b/>
          <w:color w:val="auto"/>
          <w:sz w:val="24"/>
          <w:highlight w:val="none"/>
        </w:rPr>
        <w:t>是，</w:t>
      </w:r>
      <w:r>
        <w:rPr>
          <w:rFonts w:hint="eastAsia" w:ascii="MS Mincho" w:hAnsi="MS Mincho" w:eastAsia="MS Mincho" w:cs="MS Mincho"/>
          <w:b/>
          <w:color w:val="auto"/>
          <w:sz w:val="24"/>
          <w:highlight w:val="none"/>
        </w:rPr>
        <w:t>☐</w:t>
      </w:r>
      <w:r>
        <w:rPr>
          <w:rFonts w:hint="eastAsia" w:asciiTheme="minorEastAsia" w:hAnsiTheme="minorEastAsia" w:eastAsiaTheme="minorEastAsia"/>
          <w:b/>
          <w:color w:val="auto"/>
          <w:sz w:val="24"/>
          <w:highlight w:val="none"/>
        </w:rPr>
        <w:t>否。</w:t>
      </w:r>
    </w:p>
    <w:p w14:paraId="599AE762">
      <w:pPr>
        <w:spacing w:line="360" w:lineRule="auto"/>
        <w:ind w:firstLine="480" w:firstLineChars="200"/>
        <w:rPr>
          <w:rFonts w:hint="eastAsia" w:cs="宋体" w:asciiTheme="minorEastAsia" w:hAnsiTheme="minorEastAsia" w:eastAsiaTheme="minorEastAsia"/>
          <w:color w:val="auto"/>
          <w:sz w:val="24"/>
          <w:highlight w:val="none"/>
        </w:rPr>
      </w:pPr>
      <w:bookmarkStart w:id="16" w:name="_Toc28359013"/>
      <w:bookmarkStart w:id="17" w:name="_Toc35393799"/>
      <w:bookmarkStart w:id="18" w:name="_Toc35393630"/>
      <w:bookmarkStart w:id="19" w:name="_Toc28359090"/>
      <w:r>
        <w:rPr>
          <w:rFonts w:hint="eastAsia" w:cs="宋体" w:asciiTheme="minorEastAsia" w:hAnsiTheme="minorEastAsia" w:eastAsiaTheme="minorEastAsia"/>
          <w:color w:val="auto"/>
          <w:sz w:val="24"/>
          <w:highlight w:val="none"/>
        </w:rPr>
        <w:t>二、申请人的资格要求：</w:t>
      </w:r>
      <w:bookmarkEnd w:id="16"/>
      <w:bookmarkEnd w:id="17"/>
      <w:bookmarkEnd w:id="18"/>
      <w:bookmarkEnd w:id="19"/>
    </w:p>
    <w:p w14:paraId="14E407F7">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E5E0423">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.以联合体形式响应的，提供联合协议(本项目不接受联合体响应或者供应商不以联合体形式响应的，则不需要提供) ；</w:t>
      </w:r>
    </w:p>
    <w:p w14:paraId="43D1E35A">
      <w:pPr>
        <w:keepNext w:val="0"/>
        <w:keepLines w:val="0"/>
        <w:pageBreakBefore w:val="0"/>
        <w:numPr>
          <w:ilvl w:val="0"/>
          <w:numId w:val="0"/>
        </w:numPr>
        <w:wordWrap/>
        <w:topLinePunct w:val="0"/>
        <w:bidi w:val="0"/>
        <w:adjustRightInd w:val="0"/>
        <w:snapToGrid w:val="0"/>
        <w:spacing w:line="360" w:lineRule="auto"/>
        <w:ind w:leftChars="200"/>
        <w:textAlignment w:val="auto"/>
        <w:rPr>
          <w:rFonts w:hint="eastAsia" w:cs="宋体" w:asciiTheme="minorEastAsia" w:hAnsiTheme="minorEastAsia" w:eastAsiaTheme="minorEastAsia"/>
          <w:color w:val="auto"/>
          <w:sz w:val="24"/>
          <w:highlight w:val="none"/>
        </w:rPr>
      </w:pPr>
      <w:r>
        <w:rPr>
          <w:rFonts w:cs="宋体" w:asciiTheme="minorEastAsia" w:hAnsiTheme="minorEastAsia" w:eastAsiaTheme="minorEastAsia"/>
          <w:snapToGrid w:val="0"/>
          <w:color w:val="auto"/>
          <w:kern w:val="28"/>
          <w:sz w:val="24"/>
          <w:szCs w:val="20"/>
          <w:highlight w:val="none"/>
        </w:rPr>
        <w:t>3</w:t>
      </w:r>
      <w:r>
        <w:rPr>
          <w:rFonts w:hint="eastAsia" w:cs="宋体" w:asciiTheme="minorEastAsia" w:hAnsiTheme="minorEastAsia" w:eastAsiaTheme="minorEastAsia"/>
          <w:snapToGrid w:val="0"/>
          <w:color w:val="auto"/>
          <w:kern w:val="28"/>
          <w:sz w:val="24"/>
          <w:szCs w:val="20"/>
          <w:highlight w:val="none"/>
        </w:rPr>
        <w:t>.</w:t>
      </w:r>
      <w:r>
        <w:rPr>
          <w:rFonts w:hint="eastAsia" w:cs="宋体" w:asciiTheme="minorEastAsia" w:hAnsiTheme="minorEastAsia" w:eastAsiaTheme="minorEastAsia"/>
          <w:color w:val="auto"/>
          <w:sz w:val="24"/>
          <w:highlight w:val="none"/>
        </w:rPr>
        <w:t>本项目的特定资格要求：</w:t>
      </w:r>
    </w:p>
    <w:p w14:paraId="7967E8CE">
      <w:pPr>
        <w:spacing w:line="360" w:lineRule="auto"/>
        <w:ind w:firstLine="480"/>
        <w:rPr>
          <w:rFonts w:hint="eastAsia" w:cs="宋体" w:asciiTheme="minorEastAsia" w:hAnsiTheme="minorEastAsia" w:eastAsiaTheme="minorEastAsia"/>
          <w:snapToGrid w:val="0"/>
          <w:color w:val="auto"/>
          <w:kern w:val="28"/>
          <w:sz w:val="24"/>
          <w:szCs w:val="20"/>
          <w:highlight w:val="none"/>
          <w:lang w:eastAsia="zh-CN"/>
        </w:rPr>
      </w:pPr>
      <w:r>
        <w:rPr>
          <w:rFonts w:hint="eastAsia" w:cs="宋体" w:asciiTheme="minorEastAsia" w:hAnsiTheme="minorEastAsia" w:eastAsiaTheme="minorEastAsia"/>
          <w:snapToGrid w:val="0"/>
          <w:color w:val="auto"/>
          <w:kern w:val="28"/>
          <w:sz w:val="24"/>
          <w:szCs w:val="20"/>
          <w:highlight w:val="none"/>
          <w:lang w:eastAsia="zh-CN"/>
        </w:rPr>
        <w:t>（1）具有住房和城乡建设部门核发的具有建筑装饰工程设计专项乙级及以上资质；</w:t>
      </w:r>
    </w:p>
    <w:p w14:paraId="43760AEF">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lang w:eastAsia="zh-CN"/>
        </w:rPr>
        <w:t>（</w:t>
      </w:r>
      <w:r>
        <w:rPr>
          <w:rFonts w:hint="eastAsia" w:cs="宋体" w:asciiTheme="minorEastAsia" w:hAnsiTheme="minorEastAsia" w:eastAsiaTheme="minorEastAsia"/>
          <w:snapToGrid w:val="0"/>
          <w:color w:val="auto"/>
          <w:kern w:val="28"/>
          <w:sz w:val="24"/>
          <w:szCs w:val="20"/>
          <w:highlight w:val="none"/>
          <w:lang w:val="en-US" w:eastAsia="zh-CN"/>
        </w:rPr>
        <w:t>2</w:t>
      </w:r>
      <w:r>
        <w:rPr>
          <w:rFonts w:hint="eastAsia" w:cs="宋体" w:asciiTheme="minorEastAsia" w:hAnsiTheme="minorEastAsia" w:eastAsiaTheme="minorEastAsia"/>
          <w:snapToGrid w:val="0"/>
          <w:color w:val="auto"/>
          <w:kern w:val="28"/>
          <w:sz w:val="24"/>
          <w:szCs w:val="20"/>
          <w:highlight w:val="none"/>
          <w:lang w:eastAsia="zh-CN"/>
        </w:rPr>
        <w:t>）</w:t>
      </w:r>
      <w:r>
        <w:rPr>
          <w:rFonts w:hint="eastAsia" w:cs="宋体" w:asciiTheme="minorEastAsia" w:hAnsiTheme="minorEastAsia" w:eastAsiaTheme="minorEastAsia"/>
          <w:snapToGrid w:val="0"/>
          <w:color w:val="auto"/>
          <w:kern w:val="28"/>
          <w:sz w:val="24"/>
          <w:szCs w:val="20"/>
          <w:highlight w:val="none"/>
        </w:rPr>
        <w:t>具</w:t>
      </w:r>
      <w:r>
        <w:rPr>
          <w:rFonts w:hint="eastAsia" w:cs="宋体" w:asciiTheme="minorEastAsia" w:hAnsiTheme="minorEastAsia" w:eastAsiaTheme="minorEastAsia"/>
          <w:snapToGrid w:val="0"/>
          <w:color w:val="auto"/>
          <w:kern w:val="28"/>
          <w:sz w:val="24"/>
          <w:szCs w:val="20"/>
          <w:highlight w:val="none"/>
          <w:lang w:val="en-US" w:eastAsia="zh-CN"/>
        </w:rPr>
        <w:t>有</w:t>
      </w:r>
      <w:r>
        <w:rPr>
          <w:rFonts w:hint="eastAsia" w:cs="宋体" w:asciiTheme="minorEastAsia" w:hAnsiTheme="minorEastAsia" w:eastAsiaTheme="minorEastAsia"/>
          <w:snapToGrid w:val="0"/>
          <w:color w:val="auto"/>
          <w:kern w:val="28"/>
          <w:sz w:val="24"/>
          <w:szCs w:val="20"/>
          <w:highlight w:val="none"/>
          <w:lang w:eastAsia="zh-CN"/>
        </w:rPr>
        <w:t>建筑装修装饰工程专业承包二级及以上资质</w:t>
      </w:r>
      <w:r>
        <w:rPr>
          <w:rFonts w:hint="eastAsia" w:cs="宋体" w:asciiTheme="minorEastAsia" w:hAnsiTheme="minorEastAsia" w:eastAsiaTheme="minorEastAsia"/>
          <w:snapToGrid w:val="0"/>
          <w:color w:val="auto"/>
          <w:kern w:val="28"/>
          <w:sz w:val="24"/>
          <w:szCs w:val="20"/>
          <w:highlight w:val="none"/>
        </w:rPr>
        <w:t>；</w:t>
      </w:r>
    </w:p>
    <w:p w14:paraId="4BC4E8A4">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szCs w:val="20"/>
          <w:highlight w:val="none"/>
        </w:rPr>
        <w:t>（3）承担施工的单位具</w:t>
      </w:r>
      <w:r>
        <w:rPr>
          <w:rFonts w:hint="eastAsia" w:cs="宋体" w:asciiTheme="minorEastAsia" w:hAnsiTheme="minorEastAsia" w:eastAsiaTheme="minorEastAsia"/>
          <w:snapToGrid w:val="0"/>
          <w:color w:val="auto"/>
          <w:kern w:val="28"/>
          <w:sz w:val="24"/>
          <w:szCs w:val="20"/>
          <w:highlight w:val="none"/>
          <w:lang w:val="en-US" w:eastAsia="zh-CN"/>
        </w:rPr>
        <w:t>有</w:t>
      </w:r>
      <w:r>
        <w:rPr>
          <w:rFonts w:hint="eastAsia" w:cs="宋体" w:asciiTheme="minorEastAsia" w:hAnsiTheme="minorEastAsia" w:eastAsiaTheme="minorEastAsia"/>
          <w:snapToGrid w:val="0"/>
          <w:color w:val="auto"/>
          <w:kern w:val="28"/>
          <w:sz w:val="24"/>
          <w:szCs w:val="20"/>
          <w:highlight w:val="none"/>
        </w:rPr>
        <w:t>有效的企业安全生产许可证</w:t>
      </w:r>
      <w:r>
        <w:rPr>
          <w:rFonts w:hint="eastAsia" w:cs="宋体" w:asciiTheme="minorEastAsia" w:hAnsiTheme="minorEastAsia" w:eastAsiaTheme="minorEastAsia"/>
          <w:color w:val="auto"/>
          <w:sz w:val="24"/>
          <w:highlight w:val="none"/>
        </w:rPr>
        <w:t>；</w:t>
      </w:r>
    </w:p>
    <w:p w14:paraId="5314A1E5">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0C0157E7">
      <w:pPr>
        <w:spacing w:line="360" w:lineRule="auto"/>
        <w:ind w:firstLine="480" w:firstLineChars="200"/>
        <w:rPr>
          <w:rFonts w:hint="eastAsia" w:cs="宋体" w:asciiTheme="minorEastAsia" w:hAnsiTheme="minorEastAsia" w:eastAsiaTheme="minorEastAsia"/>
          <w:color w:val="auto"/>
          <w:sz w:val="24"/>
          <w:highlight w:val="none"/>
        </w:rPr>
      </w:pPr>
      <w:bookmarkStart w:id="20" w:name="_Toc35393800"/>
      <w:bookmarkStart w:id="21" w:name="_Toc35393631"/>
      <w:bookmarkStart w:id="22" w:name="_Toc28359014"/>
      <w:bookmarkStart w:id="23" w:name="_Toc28359091"/>
      <w:r>
        <w:rPr>
          <w:rFonts w:hint="eastAsia" w:cs="宋体" w:asciiTheme="minorEastAsia" w:hAnsiTheme="minorEastAsia" w:eastAsiaTheme="minorEastAsia"/>
          <w:color w:val="auto"/>
          <w:sz w:val="24"/>
          <w:highlight w:val="none"/>
        </w:rPr>
        <w:t>三、获取（下载）采购文件</w:t>
      </w:r>
      <w:bookmarkEnd w:id="20"/>
      <w:bookmarkEnd w:id="21"/>
      <w:bookmarkEnd w:id="22"/>
      <w:bookmarkEnd w:id="23"/>
    </w:p>
    <w:p w14:paraId="2BACDF33">
      <w:pPr>
        <w:spacing w:line="360" w:lineRule="auto"/>
        <w:ind w:firstLine="54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时间：2025年</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21</w:t>
      </w:r>
      <w:r>
        <w:rPr>
          <w:rFonts w:hint="eastAsia" w:cs="宋体" w:asciiTheme="minorEastAsia" w:hAnsiTheme="minorEastAsia" w:eastAsiaTheme="minorEastAsia"/>
          <w:color w:val="auto"/>
          <w:sz w:val="24"/>
          <w:highlight w:val="none"/>
        </w:rPr>
        <w:t>日至2025年</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23</w:t>
      </w:r>
      <w:bookmarkStart w:id="515" w:name="_GoBack"/>
      <w:bookmarkEnd w:id="515"/>
      <w:r>
        <w:rPr>
          <w:rFonts w:hint="eastAsia" w:cs="宋体" w:asciiTheme="minorEastAsia" w:hAnsiTheme="minorEastAsia" w:eastAsiaTheme="minorEastAsia"/>
          <w:color w:val="auto"/>
          <w:sz w:val="24"/>
          <w:highlight w:val="none"/>
        </w:rPr>
        <w:t xml:space="preserve">日，每天上午00:00至12:00，下午12:00至23:59（北京时间，法定节假日除外）        </w:t>
      </w:r>
    </w:p>
    <w:p w14:paraId="3B6D0E00">
      <w:pPr>
        <w:spacing w:line="360" w:lineRule="auto"/>
        <w:ind w:firstLine="54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地点：乐采云平台(www.lecaiyun.com)线上      </w:t>
      </w:r>
    </w:p>
    <w:p w14:paraId="5F666646">
      <w:pPr>
        <w:spacing w:line="360" w:lineRule="auto"/>
        <w:ind w:firstLine="540"/>
        <w:rPr>
          <w:rFonts w:hint="eastAsia" w:cs="宋体" w:asciiTheme="minorEastAsia" w:hAnsiTheme="minorEastAsia" w:eastAsiaTheme="minorEastAsia"/>
          <w:color w:val="auto"/>
          <w:sz w:val="24"/>
          <w:highlight w:val="none"/>
          <w:u w:val="single"/>
        </w:rPr>
      </w:pPr>
      <w:r>
        <w:rPr>
          <w:rFonts w:hint="eastAsia" w:cs="宋体" w:asciiTheme="minorEastAsia" w:hAnsiTheme="minorEastAsia" w:eastAsiaTheme="minorEastAsia"/>
          <w:color w:val="auto"/>
          <w:sz w:val="24"/>
          <w:highlight w:val="none"/>
        </w:rPr>
        <w:t>方式：供应商登录</w:t>
      </w:r>
      <w:r>
        <w:rPr>
          <w:rFonts w:hint="eastAsia" w:cs="宋体" w:asciiTheme="minorEastAsia" w:hAnsiTheme="minorEastAsia" w:eastAsiaTheme="minorEastAsia"/>
          <w:color w:val="auto"/>
          <w:sz w:val="24"/>
          <w:highlight w:val="none"/>
          <w:lang w:eastAsia="zh-CN"/>
        </w:rPr>
        <w:t>乐采云</w:t>
      </w:r>
      <w:r>
        <w:rPr>
          <w:rFonts w:hint="eastAsia" w:cs="宋体" w:asciiTheme="minorEastAsia" w:hAnsiTheme="minorEastAsia" w:eastAsiaTheme="minorEastAsia"/>
          <w:color w:val="auto"/>
          <w:sz w:val="24"/>
          <w:highlight w:val="none"/>
        </w:rPr>
        <w:t>平台https://www.zcygov.cn/在线申请获取采购文件（进入“项目采购”应用，在获取采购文件菜单中选择项目，申请获取采购文件）。</w:t>
      </w:r>
    </w:p>
    <w:p w14:paraId="2ECA4C45">
      <w:pPr>
        <w:pStyle w:val="3"/>
        <w:adjustRightInd w:val="0"/>
        <w:snapToGrid w:val="0"/>
        <w:spacing w:after="0" w:line="360" w:lineRule="auto"/>
        <w:jc w:val="left"/>
        <w:rPr>
          <w:rFonts w:hint="eastAsia" w:cs="仿宋_GB2312"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lang w:val="en-US" w:eastAsia="zh-CN"/>
        </w:rPr>
        <w:t>500元（售后不退）。</w:t>
      </w:r>
    </w:p>
    <w:p w14:paraId="73CD19DB">
      <w:pPr>
        <w:pStyle w:val="3"/>
        <w:adjustRightInd w:val="0"/>
        <w:snapToGrid w:val="0"/>
        <w:spacing w:after="0" w:line="360" w:lineRule="auto"/>
        <w:jc w:val="left"/>
        <w:rPr>
          <w:rFonts w:ascii="宋体" w:hAnsi="宋体" w:cs="宋体"/>
          <w:bCs/>
          <w:color w:val="auto"/>
          <w:szCs w:val="21"/>
          <w:highlight w:val="none"/>
        </w:rPr>
      </w:pPr>
      <w:r>
        <w:rPr>
          <w:rFonts w:hint="eastAsia" w:ascii="宋体" w:hAnsi="宋体" w:cs="宋体"/>
          <w:bCs/>
          <w:color w:val="auto"/>
          <w:szCs w:val="21"/>
          <w:highlight w:val="none"/>
        </w:rPr>
        <w:t>户名：华诚工程咨询集团有限公司</w:t>
      </w:r>
    </w:p>
    <w:p w14:paraId="1E66E876">
      <w:pPr>
        <w:pStyle w:val="3"/>
        <w:adjustRightInd w:val="0"/>
        <w:snapToGrid w:val="0"/>
        <w:spacing w:after="0" w:line="360" w:lineRule="auto"/>
        <w:jc w:val="left"/>
        <w:rPr>
          <w:rFonts w:ascii="宋体" w:hAnsi="宋体" w:cs="宋体"/>
          <w:bCs/>
          <w:color w:val="auto"/>
          <w:szCs w:val="21"/>
          <w:highlight w:val="none"/>
        </w:rPr>
      </w:pPr>
      <w:r>
        <w:rPr>
          <w:rFonts w:hint="eastAsia" w:ascii="宋体" w:hAnsi="宋体" w:cs="宋体"/>
          <w:bCs/>
          <w:color w:val="auto"/>
          <w:szCs w:val="21"/>
          <w:highlight w:val="none"/>
        </w:rPr>
        <w:t>开户银行：上海浦东发展银行股份有限公司杭州和睦支行</w:t>
      </w:r>
    </w:p>
    <w:p w14:paraId="2B87DA3E">
      <w:pPr>
        <w:pStyle w:val="3"/>
        <w:adjustRightInd w:val="0"/>
        <w:snapToGrid w:val="0"/>
        <w:spacing w:after="0" w:line="360" w:lineRule="auto"/>
        <w:jc w:val="left"/>
        <w:rPr>
          <w:color w:val="auto"/>
          <w:highlight w:val="none"/>
        </w:rPr>
      </w:pPr>
      <w:r>
        <w:rPr>
          <w:rFonts w:hint="eastAsia" w:ascii="宋体" w:hAnsi="宋体" w:cs="宋体"/>
          <w:bCs/>
          <w:color w:val="auto"/>
          <w:szCs w:val="21"/>
          <w:highlight w:val="none"/>
        </w:rPr>
        <w:t>账   号：95220078801100000315</w:t>
      </w:r>
    </w:p>
    <w:p w14:paraId="78EF01FA">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24" w:name="_Toc35393801"/>
      <w:bookmarkStart w:id="25" w:name="_Toc35393632"/>
      <w:bookmarkStart w:id="26" w:name="_Toc28359092"/>
      <w:bookmarkStart w:id="27" w:name="_Toc28359015"/>
      <w:r>
        <w:rPr>
          <w:rFonts w:hint="eastAsia" w:cs="宋体" w:asciiTheme="minorEastAsia" w:hAnsiTheme="minorEastAsia" w:eastAsiaTheme="minorEastAsia"/>
          <w:color w:val="auto"/>
          <w:sz w:val="24"/>
          <w:szCs w:val="24"/>
          <w:highlight w:val="none"/>
        </w:rPr>
        <w:t>四、响应文件提交</w:t>
      </w:r>
      <w:bookmarkEnd w:id="24"/>
      <w:bookmarkEnd w:id="25"/>
      <w:bookmarkEnd w:id="26"/>
      <w:bookmarkEnd w:id="27"/>
      <w:r>
        <w:rPr>
          <w:rFonts w:hint="eastAsia" w:cs="宋体" w:asciiTheme="minorEastAsia" w:hAnsiTheme="minorEastAsia" w:eastAsiaTheme="minorEastAsia"/>
          <w:color w:val="auto"/>
          <w:sz w:val="24"/>
          <w:szCs w:val="24"/>
          <w:highlight w:val="none"/>
        </w:rPr>
        <w:t>（上传）</w:t>
      </w:r>
    </w:p>
    <w:p w14:paraId="404D7A09">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2025年</w:t>
      </w:r>
      <w:r>
        <w:rPr>
          <w:rFonts w:hint="eastAsia" w:asciiTheme="minorEastAsia" w:hAnsiTheme="minorEastAsia" w:eastAsiaTheme="minorEastAsia"/>
          <w:color w:val="auto"/>
          <w:sz w:val="24"/>
          <w:highlight w:val="none"/>
          <w:u w:val="single"/>
          <w:lang w:eastAsia="zh-CN"/>
        </w:rPr>
        <w:t>4月23日</w:t>
      </w:r>
      <w:r>
        <w:rPr>
          <w:rFonts w:hint="eastAsia" w:asciiTheme="minorEastAsia" w:hAnsiTheme="minorEastAsia" w:eastAsiaTheme="minorEastAsia"/>
          <w:color w:val="auto"/>
          <w:sz w:val="24"/>
          <w:highlight w:val="none"/>
          <w:u w:val="single"/>
          <w:lang w:val="en-US" w:eastAsia="zh-CN"/>
        </w:rPr>
        <w:t>14点00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0BDE6969">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仿宋_GB2312" w:asciiTheme="minorEastAsia" w:hAnsiTheme="minorEastAsia" w:eastAsiaTheme="minorEastAsia"/>
          <w:b/>
          <w:color w:val="auto"/>
          <w:sz w:val="24"/>
          <w:highlight w:val="none"/>
        </w:rPr>
        <w:t>乐采云平台（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7"/>
          <w:rFonts w:hint="eastAsia" w:cs="仿宋_GB2312" w:asciiTheme="minorEastAsia" w:hAnsiTheme="minorEastAsia" w:eastAsiaTheme="minorEastAsia"/>
          <w:b/>
          <w:color w:val="auto"/>
          <w:kern w:val="2"/>
          <w:sz w:val="24"/>
          <w:szCs w:val="24"/>
          <w:highlight w:val="none"/>
        </w:rPr>
        <w:t>https://www.lecaiyun.com/</w:t>
      </w:r>
      <w:r>
        <w:rPr>
          <w:rStyle w:val="77"/>
          <w:rFonts w:hint="eastAsia" w:cs="仿宋_GB2312" w:asciiTheme="minorEastAsia" w:hAnsiTheme="minorEastAsia" w:eastAsiaTheme="minorEastAsia"/>
          <w:b/>
          <w:color w:val="auto"/>
          <w:kern w:val="2"/>
          <w:sz w:val="24"/>
          <w:szCs w:val="24"/>
          <w:highlight w:val="none"/>
        </w:rPr>
        <w:fldChar w:fldCharType="end"/>
      </w:r>
      <w:r>
        <w:rPr>
          <w:rFonts w:hint="eastAsia" w:cs="仿宋_GB2312" w:asciiTheme="minorEastAsia" w:hAnsiTheme="minorEastAsia" w:eastAsiaTheme="minorEastAsia"/>
          <w:b/>
          <w:color w:val="auto"/>
          <w:sz w:val="24"/>
          <w:highlight w:val="none"/>
        </w:rPr>
        <w:t>）。</w:t>
      </w:r>
    </w:p>
    <w:p w14:paraId="21219F4E">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28" w:name="_Toc35393633"/>
      <w:bookmarkStart w:id="29" w:name="_Toc35393802"/>
      <w:bookmarkStart w:id="30" w:name="_Toc28359016"/>
      <w:bookmarkStart w:id="31" w:name="_Toc28359093"/>
      <w:r>
        <w:rPr>
          <w:rFonts w:hint="eastAsia" w:cs="宋体" w:asciiTheme="minorEastAsia" w:hAnsiTheme="minorEastAsia" w:eastAsiaTheme="minorEastAsia"/>
          <w:color w:val="auto"/>
          <w:sz w:val="24"/>
          <w:szCs w:val="24"/>
          <w:highlight w:val="none"/>
        </w:rPr>
        <w:t>五、响应文件开启</w:t>
      </w:r>
      <w:bookmarkEnd w:id="28"/>
      <w:bookmarkEnd w:id="29"/>
      <w:bookmarkEnd w:id="30"/>
      <w:bookmarkEnd w:id="31"/>
    </w:p>
    <w:p w14:paraId="686084CA">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2025年</w:t>
      </w:r>
      <w:r>
        <w:rPr>
          <w:rFonts w:hint="eastAsia" w:asciiTheme="minorEastAsia" w:hAnsiTheme="minorEastAsia" w:eastAsiaTheme="minorEastAsia"/>
          <w:color w:val="auto"/>
          <w:sz w:val="24"/>
          <w:highlight w:val="none"/>
          <w:u w:val="single"/>
          <w:lang w:eastAsia="zh-CN"/>
        </w:rPr>
        <w:t>4月23日</w:t>
      </w:r>
      <w:r>
        <w:rPr>
          <w:rFonts w:hint="eastAsia" w:asciiTheme="minorEastAsia" w:hAnsiTheme="minorEastAsia" w:eastAsiaTheme="minorEastAsia"/>
          <w:color w:val="auto"/>
          <w:sz w:val="24"/>
          <w:highlight w:val="none"/>
          <w:u w:val="single"/>
          <w:lang w:val="en-US" w:eastAsia="zh-CN"/>
        </w:rPr>
        <w:t>14点00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6673D691">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地点：杭州市拱墅区彩云路105号锦盛大楼3楼30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评标室，</w:t>
      </w:r>
      <w:r>
        <w:rPr>
          <w:rFonts w:hint="eastAsia" w:cs="宋体" w:asciiTheme="minorEastAsia" w:hAnsiTheme="minorEastAsia" w:eastAsiaTheme="minorEastAsia"/>
          <w:color w:val="auto"/>
          <w:sz w:val="24"/>
          <w:highlight w:val="none"/>
        </w:rPr>
        <w:t>乐采云平台（https://www.lecaiyun.com/）。</w:t>
      </w:r>
    </w:p>
    <w:p w14:paraId="61D1D9EC">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32" w:name="_Toc28359094"/>
      <w:bookmarkStart w:id="33" w:name="_Toc28359017"/>
      <w:bookmarkStart w:id="34" w:name="_Toc35393803"/>
      <w:bookmarkStart w:id="35" w:name="_Toc35393634"/>
      <w:r>
        <w:rPr>
          <w:rFonts w:hint="eastAsia" w:cs="宋体" w:asciiTheme="minorEastAsia" w:hAnsiTheme="minorEastAsia" w:eastAsiaTheme="minorEastAsia"/>
          <w:color w:val="auto"/>
          <w:sz w:val="24"/>
          <w:szCs w:val="24"/>
          <w:highlight w:val="none"/>
        </w:rPr>
        <w:t>六、公告期限</w:t>
      </w:r>
      <w:bookmarkEnd w:id="32"/>
      <w:bookmarkEnd w:id="33"/>
      <w:bookmarkEnd w:id="34"/>
      <w:bookmarkEnd w:id="35"/>
    </w:p>
    <w:p w14:paraId="18F346E1">
      <w:pPr>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192D66BD">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36" w:name="_Toc35393635"/>
      <w:bookmarkStart w:id="37" w:name="_Toc35393804"/>
      <w:r>
        <w:rPr>
          <w:rFonts w:hint="eastAsia" w:cs="宋体" w:asciiTheme="minorEastAsia" w:hAnsiTheme="minorEastAsia" w:eastAsiaTheme="minorEastAsia"/>
          <w:color w:val="auto"/>
          <w:sz w:val="24"/>
          <w:szCs w:val="24"/>
          <w:highlight w:val="none"/>
        </w:rPr>
        <w:t>七、</w:t>
      </w:r>
      <w:bookmarkEnd w:id="36"/>
      <w:bookmarkEnd w:id="37"/>
      <w:bookmarkStart w:id="38" w:name="_Toc28359095"/>
      <w:bookmarkStart w:id="39" w:name="_Toc35393636"/>
      <w:bookmarkStart w:id="40" w:name="_Toc28359018"/>
      <w:bookmarkStart w:id="41" w:name="_Toc35393805"/>
      <w:r>
        <w:rPr>
          <w:rFonts w:hint="eastAsia" w:cs="宋体" w:asciiTheme="minorEastAsia" w:hAnsiTheme="minorEastAsia" w:eastAsiaTheme="minorEastAsia"/>
          <w:color w:val="auto"/>
          <w:sz w:val="24"/>
          <w:szCs w:val="24"/>
          <w:highlight w:val="none"/>
        </w:rPr>
        <w:t>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8"/>
      <w:bookmarkEnd w:id="39"/>
      <w:bookmarkEnd w:id="40"/>
      <w:bookmarkEnd w:id="41"/>
    </w:p>
    <w:p w14:paraId="64D1534D">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42" w:name="_Toc35393637"/>
      <w:bookmarkStart w:id="43" w:name="_Toc28359019"/>
      <w:bookmarkStart w:id="44" w:name="_Toc28359096"/>
      <w:bookmarkStart w:id="45" w:name="_Toc35393806"/>
      <w:r>
        <w:rPr>
          <w:rFonts w:hint="eastAsia" w:cs="宋体" w:asciiTheme="minorEastAsia" w:hAnsiTheme="minorEastAsia" w:eastAsiaTheme="minorEastAsia"/>
          <w:color w:val="auto"/>
          <w:sz w:val="24"/>
          <w:szCs w:val="24"/>
          <w:highlight w:val="none"/>
        </w:rPr>
        <w:t>1.采购人信息</w:t>
      </w:r>
      <w:bookmarkEnd w:id="42"/>
      <w:bookmarkEnd w:id="43"/>
      <w:bookmarkEnd w:id="44"/>
      <w:bookmarkEnd w:id="45"/>
      <w:r>
        <w:rPr>
          <w:rFonts w:hint="eastAsia" w:cs="宋体" w:asciiTheme="minorEastAsia" w:hAnsiTheme="minorEastAsia" w:eastAsiaTheme="minorEastAsia"/>
          <w:color w:val="auto"/>
          <w:sz w:val="24"/>
          <w:szCs w:val="24"/>
          <w:highlight w:val="none"/>
        </w:rPr>
        <w:t>：</w:t>
      </w:r>
    </w:p>
    <w:p w14:paraId="31C253D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名称：</w:t>
      </w:r>
      <w:r>
        <w:rPr>
          <w:rFonts w:hint="eastAsia" w:ascii="宋体" w:hAnsi="宋体" w:cs="宋体" w:eastAsiaTheme="minorEastAsia"/>
          <w:color w:val="auto"/>
          <w:sz w:val="24"/>
          <w:highlight w:val="none"/>
        </w:rPr>
        <w:t>杭州市老年病医院</w:t>
      </w:r>
    </w:p>
    <w:p w14:paraId="5CA50DFB">
      <w:pPr>
        <w:spacing w:line="36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址：杭州市拱墅区景莘路50号</w:t>
      </w:r>
    </w:p>
    <w:p w14:paraId="2FDF6493">
      <w:pPr>
        <w:spacing w:line="36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项目联系人：何老师  </w:t>
      </w:r>
    </w:p>
    <w:p w14:paraId="4A6486E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项目联系方式：0571-56739146 </w:t>
      </w:r>
    </w:p>
    <w:p w14:paraId="7FEC106C">
      <w:pPr>
        <w:pStyle w:val="6"/>
        <w:numPr>
          <w:ilvl w:val="0"/>
          <w:numId w:val="0"/>
        </w:numPr>
        <w:rPr>
          <w:rFonts w:hint="eastAsia" w:cs="宋体" w:asciiTheme="minorEastAsia" w:hAnsiTheme="minorEastAsia" w:eastAsiaTheme="minorEastAsia"/>
          <w:color w:val="auto"/>
          <w:sz w:val="24"/>
          <w:highlight w:val="none"/>
        </w:rPr>
      </w:pPr>
      <w:bookmarkStart w:id="46" w:name="_Toc35393638"/>
      <w:bookmarkStart w:id="47" w:name="_Toc28359097"/>
      <w:bookmarkStart w:id="48" w:name="_Toc35393807"/>
      <w:bookmarkStart w:id="49" w:name="_Toc28359020"/>
      <w:r>
        <w:rPr>
          <w:rFonts w:hint="eastAsia" w:cs="宋体" w:asciiTheme="minorEastAsia" w:hAnsiTheme="minorEastAsia" w:eastAsiaTheme="minorEastAsia"/>
          <w:color w:val="auto"/>
          <w:sz w:val="24"/>
          <w:szCs w:val="24"/>
          <w:highlight w:val="none"/>
        </w:rPr>
        <w:t>2.采购代理机构信息</w:t>
      </w:r>
      <w:bookmarkEnd w:id="46"/>
      <w:bookmarkEnd w:id="47"/>
      <w:bookmarkEnd w:id="48"/>
      <w:bookmarkEnd w:id="49"/>
      <w:r>
        <w:rPr>
          <w:rFonts w:hint="eastAsia" w:cs="宋体" w:asciiTheme="minorEastAsia" w:hAnsiTheme="minorEastAsia" w:eastAsiaTheme="minorEastAsia"/>
          <w:color w:val="auto"/>
          <w:sz w:val="24"/>
          <w:szCs w:val="24"/>
          <w:highlight w:val="none"/>
        </w:rPr>
        <w:t>：</w:t>
      </w:r>
    </w:p>
    <w:p w14:paraId="20E1B02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称：华诚工程咨询集团有限公司</w:t>
      </w:r>
    </w:p>
    <w:p w14:paraId="368CE645">
      <w:pPr>
        <w:spacing w:line="36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址：杭州市拱墅区彩云路105号锦盛大楼8楼           </w:t>
      </w:r>
    </w:p>
    <w:p w14:paraId="0E598014">
      <w:pPr>
        <w:spacing w:line="360" w:lineRule="auto"/>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项目联系人（询问）：谢</w:t>
      </w:r>
      <w:r>
        <w:rPr>
          <w:rFonts w:hint="eastAsia" w:asciiTheme="minorEastAsia" w:hAnsiTheme="minorEastAsia" w:eastAsiaTheme="minorEastAsia"/>
          <w:color w:val="auto"/>
          <w:sz w:val="24"/>
          <w:highlight w:val="none"/>
          <w:lang w:val="en-US" w:eastAsia="zh-CN"/>
        </w:rPr>
        <w:t>工</w:t>
      </w:r>
    </w:p>
    <w:p w14:paraId="521D3957">
      <w:pPr>
        <w:snapToGrid w:val="0"/>
        <w:spacing w:line="360" w:lineRule="auto"/>
        <w:ind w:firstLine="480" w:firstLineChars="200"/>
        <w:rPr>
          <w:rFonts w:ascii="宋体" w:hAnsi="宋体" w:cs="宋体"/>
          <w:color w:val="auto"/>
          <w:sz w:val="24"/>
          <w:highlight w:val="none"/>
        </w:rPr>
        <w:sectPr>
          <w:footerReference r:id="rId9" w:type="first"/>
          <w:footerReference r:id="rId8" w:type="default"/>
          <w:pgSz w:w="11906" w:h="16838"/>
          <w:pgMar w:top="1440" w:right="1304" w:bottom="1440" w:left="1304" w:header="851" w:footer="992" w:gutter="0"/>
          <w:pgNumType w:fmt="decimal" w:start="1"/>
          <w:cols w:space="720" w:num="1"/>
          <w:titlePg/>
          <w:docGrid w:linePitch="312" w:charSpace="0"/>
        </w:sectPr>
      </w:pPr>
      <w:r>
        <w:rPr>
          <w:rFonts w:hint="eastAsia" w:asciiTheme="minorEastAsia" w:hAnsiTheme="minorEastAsia" w:eastAsiaTheme="minorEastAsia"/>
          <w:color w:val="auto"/>
          <w:sz w:val="24"/>
          <w:highlight w:val="none"/>
        </w:rPr>
        <w:t>项目联系方式：0571-85179364</w:t>
      </w:r>
    </w:p>
    <w:p w14:paraId="2BDC55F1">
      <w:pPr>
        <w:pStyle w:val="5"/>
        <w:snapToGrid w:val="0"/>
        <w:spacing w:before="0" w:after="0" w:line="360" w:lineRule="auto"/>
        <w:ind w:left="0" w:firstLine="0"/>
        <w:jc w:val="center"/>
        <w:rPr>
          <w:color w:val="auto"/>
          <w:highlight w:val="none"/>
        </w:rPr>
      </w:pPr>
      <w:bookmarkStart w:id="50" w:name="_Toc29733"/>
      <w:r>
        <w:rPr>
          <w:rFonts w:hint="eastAsia"/>
          <w:color w:val="auto"/>
          <w:highlight w:val="none"/>
        </w:rPr>
        <w:t>第二部分</w:t>
      </w:r>
      <w:bookmarkEnd w:id="9"/>
      <w:r>
        <w:rPr>
          <w:rFonts w:hint="eastAsia"/>
          <w:color w:val="auto"/>
          <w:highlight w:val="none"/>
        </w:rPr>
        <w:t xml:space="preserve"> 供应商须知</w:t>
      </w:r>
      <w:bookmarkEnd w:id="10"/>
      <w:bookmarkEnd w:id="50"/>
    </w:p>
    <w:p w14:paraId="3D431D63">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14:paraId="7F7AA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2CF098C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093" w:type="dxa"/>
            <w:vAlign w:val="center"/>
          </w:tcPr>
          <w:p w14:paraId="6978BEF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927" w:type="dxa"/>
            <w:vAlign w:val="center"/>
          </w:tcPr>
          <w:p w14:paraId="7247325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29AC4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9DE159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093" w:type="dxa"/>
            <w:vAlign w:val="center"/>
          </w:tcPr>
          <w:p w14:paraId="264C2B6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927" w:type="dxa"/>
            <w:vAlign w:val="center"/>
          </w:tcPr>
          <w:p w14:paraId="08B41E43">
            <w:pPr>
              <w:spacing w:line="360" w:lineRule="auto"/>
              <w:rPr>
                <w:rFonts w:ascii="宋体" w:hAnsi="宋体" w:cs="宋体"/>
                <w:color w:val="auto"/>
                <w:sz w:val="24"/>
                <w:highlight w:val="none"/>
              </w:rPr>
            </w:pPr>
            <w:r>
              <w:rPr>
                <w:rFonts w:hint="eastAsia" w:ascii="宋体" w:hAnsi="宋体" w:cs="宋体"/>
                <w:color w:val="auto"/>
                <w:kern w:val="0"/>
                <w:sz w:val="24"/>
                <w:highlight w:val="none"/>
              </w:rPr>
              <w:t>工程</w:t>
            </w:r>
            <w:r>
              <w:rPr>
                <w:rFonts w:hint="eastAsia" w:ascii="宋体" w:hAnsi="宋体" w:cs="宋体"/>
                <w:color w:val="auto"/>
                <w:sz w:val="24"/>
                <w:highlight w:val="none"/>
              </w:rPr>
              <w:t>类</w:t>
            </w:r>
          </w:p>
        </w:tc>
      </w:tr>
      <w:tr w14:paraId="2B57C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17A413A">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2093" w:type="dxa"/>
            <w:vAlign w:val="center"/>
          </w:tcPr>
          <w:p w14:paraId="59A56B6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927" w:type="dxa"/>
            <w:vAlign w:val="center"/>
          </w:tcPr>
          <w:p w14:paraId="707629C2">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3E5BC3C0">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968E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5FCC415">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2093" w:type="dxa"/>
            <w:vAlign w:val="center"/>
          </w:tcPr>
          <w:p w14:paraId="63FA552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927" w:type="dxa"/>
            <w:vAlign w:val="center"/>
          </w:tcPr>
          <w:p w14:paraId="13354BC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p>
          <w:p w14:paraId="658B4E7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不同意分包，具体理由：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7DA1982">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22EBE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52A2C34">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2093" w:type="dxa"/>
            <w:vAlign w:val="center"/>
          </w:tcPr>
          <w:p w14:paraId="62BBED3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磋商前答疑会或现场考察</w:t>
            </w:r>
          </w:p>
        </w:tc>
        <w:tc>
          <w:tcPr>
            <w:tcW w:w="6927" w:type="dxa"/>
            <w:vAlign w:val="center"/>
          </w:tcPr>
          <w:p w14:paraId="4AAAA1E1">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82507C2">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   </w:t>
            </w:r>
            <w:r>
              <w:rPr>
                <w:rFonts w:hint="eastAsia" w:ascii="宋体" w:hAnsi="宋体" w:cs="宋体"/>
                <w:color w:val="auto"/>
                <w:sz w:val="24"/>
                <w:szCs w:val="20"/>
                <w:highlight w:val="none"/>
              </w:rPr>
              <w:t>。</w:t>
            </w:r>
          </w:p>
        </w:tc>
      </w:tr>
      <w:tr w14:paraId="3EE9E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D85FAD9">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2093" w:type="dxa"/>
            <w:vAlign w:val="center"/>
          </w:tcPr>
          <w:p w14:paraId="1D21518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927" w:type="dxa"/>
            <w:vAlign w:val="center"/>
          </w:tcPr>
          <w:p w14:paraId="46B2FB36">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01F5E49C">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B要求提供，</w:t>
            </w:r>
          </w:p>
          <w:p w14:paraId="077F2D5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4D7F8D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3CF30500">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评审办法</w:t>
            </w:r>
            <w:r>
              <w:rPr>
                <w:rFonts w:hint="eastAsia" w:ascii="宋体" w:hAnsi="宋体" w:cs="宋体"/>
                <w:color w:val="auto"/>
                <w:kern w:val="0"/>
                <w:sz w:val="24"/>
                <w:highlight w:val="none"/>
              </w:rPr>
              <w:t>；</w:t>
            </w:r>
          </w:p>
          <w:p w14:paraId="0BE9C288">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76021954">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。请供应商在上述时间内提供样品并按规定位置安装完毕。超过截止时间的，采购人或采购代理机构将不予接收，并将清场并封闭样品现场。</w:t>
            </w:r>
          </w:p>
          <w:p w14:paraId="18EE453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成交供应商提供的样品，采购人、采购代理机构将通知未成交供应商在规定的时间内取回，逾期未取回的，采购人、采购代理机构不负保管义务；对于成交供应商提供的样品，采购人将进行保管、封存，并作为履约验收的参考。</w:t>
            </w:r>
          </w:p>
          <w:p w14:paraId="47DFD91D">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（7）制作、运输、安装和保管样品所发生的一切费用由供应商自理。</w:t>
            </w:r>
          </w:p>
        </w:tc>
      </w:tr>
      <w:tr w14:paraId="43B71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A0BFB2F">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2093" w:type="dxa"/>
            <w:vAlign w:val="center"/>
          </w:tcPr>
          <w:p w14:paraId="6915FA76">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927" w:type="dxa"/>
            <w:vAlign w:val="center"/>
          </w:tcPr>
          <w:p w14:paraId="7E595B4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EACA38C">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6E7A7DF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（1）在评审时安排每个供应商进行方案讲解演示。每个供应商时间不超过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分钟，讲解次序以响应文件解密时间先后次序为准，讲解演示人员不超过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人。讲解演示结束后按要求解答磋商小组提问。</w:t>
            </w:r>
          </w:p>
          <w:p w14:paraId="4608E6F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38A14D8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平台在线讲解演示。</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平台在线讲解需供应商根据</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平台操作要求做好准备工作，提前完善软硬件配置环境。</w:t>
            </w:r>
          </w:p>
          <w:p w14:paraId="192D317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方式二：现场讲解演示。现场讲解地点为</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，讲解演示所用电脑等设备由供应商自备。现场讲解演示人员进场时提供讲解人员名单（加盖公章或授权代表签名）及身份证明，否则不得讲解演示。</w:t>
            </w:r>
          </w:p>
          <w:p w14:paraId="18E4ACB5">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39634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3E56392B">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2093" w:type="dxa"/>
            <w:vMerge w:val="restart"/>
            <w:vAlign w:val="center"/>
          </w:tcPr>
          <w:p w14:paraId="2B1B1EE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供应商应当提供的资格、资信证明文件</w:t>
            </w:r>
          </w:p>
        </w:tc>
        <w:tc>
          <w:tcPr>
            <w:tcW w:w="6927" w:type="dxa"/>
            <w:vAlign w:val="center"/>
          </w:tcPr>
          <w:p w14:paraId="71876199">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（1）资格证明文件：见采购文件第二部分11.1。</w:t>
            </w:r>
          </w:p>
          <w:p w14:paraId="11D2C5F6">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供应商未提供有效的资格证明文件的，视为供应商不具备采购文件中规定的资格要求，响应文件无效。</w:t>
            </w:r>
          </w:p>
        </w:tc>
      </w:tr>
      <w:tr w14:paraId="37C9B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70FABE2D">
            <w:pPr>
              <w:snapToGrid w:val="0"/>
              <w:spacing w:line="360" w:lineRule="auto"/>
              <w:jc w:val="center"/>
              <w:rPr>
                <w:rFonts w:ascii="宋体" w:hAnsi="宋体" w:cs="宋体"/>
                <w:color w:val="auto"/>
                <w:sz w:val="24"/>
                <w:highlight w:val="none"/>
              </w:rPr>
            </w:pPr>
          </w:p>
        </w:tc>
        <w:tc>
          <w:tcPr>
            <w:tcW w:w="2093" w:type="dxa"/>
            <w:vMerge w:val="continue"/>
            <w:vAlign w:val="center"/>
          </w:tcPr>
          <w:p w14:paraId="3B6D65CD">
            <w:pPr>
              <w:snapToGrid w:val="0"/>
              <w:spacing w:line="360" w:lineRule="auto"/>
              <w:jc w:val="center"/>
              <w:rPr>
                <w:rFonts w:ascii="宋体" w:hAnsi="宋体" w:cs="宋体"/>
                <w:b/>
                <w:color w:val="auto"/>
                <w:sz w:val="24"/>
                <w:highlight w:val="none"/>
              </w:rPr>
            </w:pPr>
          </w:p>
        </w:tc>
        <w:tc>
          <w:tcPr>
            <w:tcW w:w="6927" w:type="dxa"/>
            <w:vAlign w:val="center"/>
          </w:tcPr>
          <w:p w14:paraId="408D8A54">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（2）资信证明文件：根据采购文件第四部分评审标准提供。</w:t>
            </w:r>
          </w:p>
        </w:tc>
      </w:tr>
      <w:tr w14:paraId="16E80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5CAD25B">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8</w:t>
            </w:r>
          </w:p>
        </w:tc>
        <w:tc>
          <w:tcPr>
            <w:tcW w:w="2093" w:type="dxa"/>
            <w:vAlign w:val="center"/>
          </w:tcPr>
          <w:p w14:paraId="2373A9F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927" w:type="dxa"/>
            <w:vAlign w:val="center"/>
          </w:tcPr>
          <w:p w14:paraId="4F7FEF3B">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color w:val="auto"/>
                <w:sz w:val="24"/>
                <w:highlight w:val="none"/>
              </w:rPr>
              <w:t>报价单是报价的唯一载体</w:t>
            </w:r>
            <w:r>
              <w:rPr>
                <w:rFonts w:hint="eastAsia" w:ascii="宋体" w:hAnsi="宋体" w:cs="宋体"/>
                <w:color w:val="auto"/>
                <w:kern w:val="0"/>
                <w:sz w:val="24"/>
                <w:highlight w:val="none"/>
                <w:lang w:val="zh-CN"/>
              </w:rPr>
              <w:t>。响应文件中价格全部采用人民币报价。采购文件未列明，而供应商认为必需的费用也需列入报价。</w:t>
            </w:r>
            <w:r>
              <w:rPr>
                <w:rFonts w:hint="eastAsia" w:ascii="宋体" w:hAnsi="宋体" w:cs="宋体"/>
                <w:b/>
                <w:color w:val="auto"/>
                <w:kern w:val="0"/>
                <w:sz w:val="24"/>
                <w:highlight w:val="none"/>
                <w:lang w:val="zh-CN"/>
              </w:rPr>
              <w:t>提醒：验收时检测费用由采购人承担，不包含在总价中。</w:t>
            </w:r>
          </w:p>
          <w:p w14:paraId="5677C0F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最后报价出现下列情形的，响应文件无效：</w:t>
            </w:r>
          </w:p>
          <w:p w14:paraId="57B1387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响应文件出现不是唯一的、有选择性最后报价的；</w:t>
            </w:r>
          </w:p>
          <w:p w14:paraId="46832A68">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最后报价超过采购文件中规定的预算金额或者最高限价的;</w:t>
            </w:r>
          </w:p>
          <w:p w14:paraId="335C9E61">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4D1B591A">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供应商对根据修正原则修正后的报价不确认的</w:t>
            </w:r>
            <w:r>
              <w:rPr>
                <w:rFonts w:hint="eastAsia" w:ascii="宋体" w:hAnsi="宋体" w:cs="宋体"/>
                <w:b/>
                <w:color w:val="auto"/>
                <w:sz w:val="24"/>
                <w:highlight w:val="none"/>
              </w:rPr>
              <w:t>。</w:t>
            </w:r>
          </w:p>
        </w:tc>
      </w:tr>
      <w:tr w14:paraId="38280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DA38A88">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2093" w:type="dxa"/>
            <w:vAlign w:val="center"/>
          </w:tcPr>
          <w:p w14:paraId="15824F7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备份响应文件送达地点和签收人员</w:t>
            </w:r>
          </w:p>
        </w:tc>
        <w:tc>
          <w:tcPr>
            <w:tcW w:w="6927" w:type="dxa"/>
            <w:vAlign w:val="center"/>
          </w:tcPr>
          <w:p w14:paraId="680178D1">
            <w:pPr>
              <w:pStyle w:val="35"/>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备份响应文件送达地点：</w:t>
            </w:r>
            <w:r>
              <w:rPr>
                <w:rFonts w:hint="eastAsia" w:hAnsi="宋体" w:cs="宋体"/>
                <w:color w:val="auto"/>
                <w:sz w:val="24"/>
                <w:highlight w:val="none"/>
                <w:u w:val="single"/>
              </w:rPr>
              <w:t xml:space="preserve"> 华诚工程咨询集团有限公司（杭州市拱墅区彩云路105号锦盛大楼8楼 </w:t>
            </w:r>
            <w:r>
              <w:rPr>
                <w:rFonts w:hint="eastAsia" w:hAnsi="宋体" w:cs="宋体"/>
                <w:color w:val="auto"/>
                <w:kern w:val="28"/>
                <w:sz w:val="24"/>
                <w:szCs w:val="24"/>
                <w:highlight w:val="none"/>
              </w:rPr>
              <w:t>；</w:t>
            </w:r>
          </w:p>
          <w:p w14:paraId="61A6FB02">
            <w:pPr>
              <w:pStyle w:val="35"/>
              <w:spacing w:line="360" w:lineRule="auto"/>
              <w:rPr>
                <w:rFonts w:hAnsi="宋体" w:cs="宋体"/>
                <w:color w:val="auto"/>
                <w:sz w:val="24"/>
                <w:szCs w:val="24"/>
                <w:highlight w:val="none"/>
              </w:rPr>
            </w:pPr>
            <w:r>
              <w:rPr>
                <w:rFonts w:hint="eastAsia" w:hAnsi="宋体" w:cs="宋体"/>
                <w:color w:val="auto"/>
                <w:kern w:val="28"/>
                <w:sz w:val="24"/>
                <w:szCs w:val="24"/>
                <w:highlight w:val="none"/>
              </w:rPr>
              <w:t>备份响应文件签收人员联系电话：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宓圣杰</w:t>
            </w:r>
            <w:r>
              <w:rPr>
                <w:rFonts w:hint="eastAsia" w:hAnsi="宋体" w:cs="宋体"/>
                <w:color w:val="auto"/>
                <w:sz w:val="24"/>
                <w:highlight w:val="none"/>
                <w:u w:val="single"/>
              </w:rPr>
              <w:t>；</w:t>
            </w:r>
            <w:r>
              <w:rPr>
                <w:rFonts w:hint="eastAsia" w:hAnsi="宋体" w:cs="宋体"/>
                <w:color w:val="auto"/>
                <w:sz w:val="24"/>
                <w:highlight w:val="none"/>
                <w:u w:val="single"/>
                <w:lang w:val="en-US" w:eastAsia="zh-CN"/>
              </w:rPr>
              <w:t>18969923366</w:t>
            </w:r>
            <w:r>
              <w:rPr>
                <w:rFonts w:hint="eastAsia" w:hAnsi="宋体" w:cs="宋体"/>
                <w:color w:val="auto"/>
                <w:sz w:val="24"/>
                <w:highlight w:val="none"/>
                <w:u w:val="single"/>
              </w:rPr>
              <w:t xml:space="preserve"> </w:t>
            </w:r>
            <w:r>
              <w:rPr>
                <w:rFonts w:hint="eastAsia" w:hAnsi="宋体" w:cs="宋体"/>
                <w:color w:val="auto"/>
                <w:sz w:val="24"/>
                <w:szCs w:val="24"/>
                <w:highlight w:val="none"/>
              </w:rPr>
              <w:t>。</w:t>
            </w:r>
          </w:p>
          <w:p w14:paraId="78B93E9A">
            <w:pPr>
              <w:pStyle w:val="35"/>
              <w:spacing w:line="360" w:lineRule="auto"/>
              <w:rPr>
                <w:rFonts w:hAnsi="宋体" w:cs="宋体"/>
                <w:color w:val="auto"/>
                <w:kern w:val="28"/>
                <w:sz w:val="24"/>
                <w:highlight w:val="none"/>
              </w:rPr>
            </w:pPr>
            <w:r>
              <w:rPr>
                <w:rFonts w:hint="eastAsia" w:hAnsi="宋体" w:cs="宋体"/>
                <w:b/>
                <w:color w:val="auto"/>
                <w:sz w:val="24"/>
                <w:szCs w:val="24"/>
                <w:highlight w:val="none"/>
              </w:rPr>
              <w:t>采购人、采购代理机构不强制或变相强制供应商提交备份响应文件。</w:t>
            </w:r>
          </w:p>
        </w:tc>
      </w:tr>
      <w:tr w14:paraId="79903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EB8CEC3">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p>
        </w:tc>
        <w:tc>
          <w:tcPr>
            <w:tcW w:w="2093" w:type="dxa"/>
            <w:vAlign w:val="center"/>
          </w:tcPr>
          <w:p w14:paraId="7CD68A5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其它说明</w:t>
            </w:r>
          </w:p>
        </w:tc>
        <w:tc>
          <w:tcPr>
            <w:tcW w:w="6927" w:type="dxa"/>
            <w:vAlign w:val="center"/>
          </w:tcPr>
          <w:p w14:paraId="00692C5F">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cs="宋体"/>
                <w:b/>
                <w:color w:val="auto"/>
                <w:kern w:val="0"/>
                <w:sz w:val="24"/>
                <w:highlight w:val="none"/>
              </w:rPr>
              <w:t>。</w:t>
            </w:r>
          </w:p>
        </w:tc>
      </w:tr>
      <w:tr w14:paraId="546C7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CD07256">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p>
        </w:tc>
        <w:tc>
          <w:tcPr>
            <w:tcW w:w="2093" w:type="dxa"/>
            <w:vAlign w:val="center"/>
          </w:tcPr>
          <w:p w14:paraId="56D2BF3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采购代理服务费</w:t>
            </w:r>
          </w:p>
        </w:tc>
        <w:tc>
          <w:tcPr>
            <w:tcW w:w="6927" w:type="dxa"/>
            <w:vAlign w:val="center"/>
          </w:tcPr>
          <w:p w14:paraId="1C227FC5">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1、采购代理服务费：参照国家计委关于印发《招标代理服务收费管理暂行办法》的通知》价格[2002]1980号)规定标准的</w:t>
            </w:r>
            <w:r>
              <w:rPr>
                <w:rFonts w:hint="eastAsia" w:ascii="宋体" w:hAnsi="宋体" w:cs="宋体"/>
                <w:snapToGrid w:val="0"/>
                <w:color w:val="auto"/>
                <w:kern w:val="28"/>
                <w:sz w:val="24"/>
                <w:highlight w:val="none"/>
                <w:lang w:val="en-US" w:eastAsia="zh-CN"/>
              </w:rPr>
              <w:t>7</w:t>
            </w:r>
            <w:r>
              <w:rPr>
                <w:rFonts w:hint="eastAsia" w:ascii="宋体" w:hAnsi="宋体" w:cs="宋体"/>
                <w:snapToGrid w:val="0"/>
                <w:color w:val="auto"/>
                <w:kern w:val="28"/>
                <w:sz w:val="24"/>
                <w:highlight w:val="none"/>
              </w:rPr>
              <w:t>0%计算，每个项目保底5000元向中标人收取。</w:t>
            </w:r>
          </w:p>
          <w:p w14:paraId="1778B0AD">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2、费用支付：</w:t>
            </w:r>
          </w:p>
          <w:p w14:paraId="4A96F431">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①缴纳形式：电汇/现金。</w:t>
            </w:r>
          </w:p>
          <w:p w14:paraId="726CF0E2">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②汇入以下账户 ：</w:t>
            </w:r>
          </w:p>
          <w:p w14:paraId="4EBE0294">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收款单位（户名）：华诚工程咨询集团有限公司</w:t>
            </w:r>
          </w:p>
          <w:p w14:paraId="2EDDDEF6">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开户银行：上海浦东发展银行股份有限公司杭州和睦支行</w:t>
            </w:r>
          </w:p>
          <w:p w14:paraId="04431016">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账   号：95220078801100000315</w:t>
            </w:r>
          </w:p>
          <w:p w14:paraId="6B34BFA8">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3、增值税发票开票资料：单位名称、税号（统一社会信用代码）、开户行名称、账号、地址及联系电话。</w:t>
            </w:r>
          </w:p>
        </w:tc>
      </w:tr>
    </w:tbl>
    <w:p w14:paraId="7802D607">
      <w:pPr>
        <w:snapToGrid w:val="0"/>
        <w:spacing w:line="360" w:lineRule="auto"/>
        <w:jc w:val="center"/>
        <w:rPr>
          <w:rFonts w:ascii="宋体" w:hAnsi="宋体" w:cs="宋体"/>
          <w:b/>
          <w:color w:val="auto"/>
          <w:sz w:val="32"/>
          <w:szCs w:val="20"/>
          <w:highlight w:val="none"/>
        </w:rPr>
      </w:pPr>
    </w:p>
    <w:bookmarkEnd w:id="11"/>
    <w:p w14:paraId="4CBA3B4C">
      <w:pPr>
        <w:widowControl/>
        <w:adjustRightInd/>
        <w:jc w:val="left"/>
        <w:rPr>
          <w:rFonts w:ascii="宋体" w:hAnsi="宋体" w:cs="宋体"/>
          <w:b/>
          <w:color w:val="auto"/>
          <w:sz w:val="32"/>
          <w:szCs w:val="20"/>
          <w:highlight w:val="none"/>
        </w:rPr>
      </w:pPr>
      <w:bookmarkStart w:id="51" w:name="第三部分"/>
      <w:bookmarkStart w:id="52" w:name="_Toc164416483"/>
      <w:r>
        <w:rPr>
          <w:rFonts w:hint="eastAsia" w:ascii="宋体" w:hAnsi="宋体" w:cs="宋体"/>
          <w:b/>
          <w:color w:val="auto"/>
          <w:sz w:val="32"/>
          <w:szCs w:val="20"/>
          <w:highlight w:val="none"/>
        </w:rPr>
        <w:br w:type="page"/>
      </w:r>
    </w:p>
    <w:p w14:paraId="3A38A6D8">
      <w:pPr>
        <w:snapToGrid w:val="0"/>
        <w:spacing w:line="360" w:lineRule="auto"/>
        <w:jc w:val="center"/>
        <w:outlineLvl w:val="0"/>
        <w:rPr>
          <w:rFonts w:ascii="宋体" w:hAnsi="宋体" w:cs="宋体"/>
          <w:b/>
          <w:color w:val="auto"/>
          <w:sz w:val="32"/>
          <w:szCs w:val="20"/>
          <w:highlight w:val="none"/>
        </w:rPr>
      </w:pPr>
      <w:bookmarkStart w:id="53" w:name="_Toc20114"/>
      <w:bookmarkStart w:id="54" w:name="_Toc18539"/>
      <w:r>
        <w:rPr>
          <w:rFonts w:hint="eastAsia" w:ascii="宋体" w:hAnsi="宋体" w:cs="宋体"/>
          <w:b/>
          <w:color w:val="auto"/>
          <w:sz w:val="32"/>
          <w:szCs w:val="20"/>
          <w:highlight w:val="none"/>
        </w:rPr>
        <w:t>一、总则</w:t>
      </w:r>
      <w:bookmarkEnd w:id="53"/>
      <w:bookmarkEnd w:id="54"/>
    </w:p>
    <w:p w14:paraId="243328F3">
      <w:pPr>
        <w:snapToGrid w:val="0"/>
        <w:spacing w:line="360" w:lineRule="auto"/>
        <w:jc w:val="left"/>
        <w:outlineLvl w:val="1"/>
        <w:rPr>
          <w:rFonts w:ascii="宋体" w:hAnsi="宋体" w:cs="宋体"/>
          <w:b/>
          <w:color w:val="auto"/>
          <w:sz w:val="24"/>
          <w:highlight w:val="none"/>
        </w:rPr>
      </w:pPr>
      <w:r>
        <w:rPr>
          <w:rFonts w:hint="eastAsia" w:ascii="宋体" w:hAnsi="宋体" w:cs="宋体"/>
          <w:b/>
          <w:color w:val="auto"/>
          <w:sz w:val="24"/>
          <w:highlight w:val="none"/>
        </w:rPr>
        <w:t>1.适用范围</w:t>
      </w:r>
    </w:p>
    <w:p w14:paraId="5D5874C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本采购文件适用于该项目的采购邀请、响应文件提交、响应文件开启、资格审查及信用信息查询、磋商、评审、成交供应商确定、合同、验收等行为（法律、法规另有规定的，从其规定）。</w:t>
      </w:r>
    </w:p>
    <w:p w14:paraId="6B9C4650">
      <w:pPr>
        <w:snapToGrid w:val="0"/>
        <w:spacing w:line="360" w:lineRule="auto"/>
        <w:outlineLvl w:val="0"/>
        <w:rPr>
          <w:rFonts w:ascii="宋体" w:hAnsi="宋体" w:cs="宋体"/>
          <w:b/>
          <w:color w:val="auto"/>
          <w:sz w:val="24"/>
          <w:highlight w:val="none"/>
        </w:rPr>
      </w:pPr>
      <w:bookmarkStart w:id="55" w:name="_Toc8756"/>
      <w:bookmarkStart w:id="56" w:name="_Toc12086"/>
      <w:r>
        <w:rPr>
          <w:rFonts w:hint="eastAsia" w:ascii="宋体" w:hAnsi="宋体" w:cs="宋体"/>
          <w:b/>
          <w:color w:val="auto"/>
          <w:sz w:val="24"/>
          <w:highlight w:val="none"/>
        </w:rPr>
        <w:t>2.定义</w:t>
      </w:r>
      <w:bookmarkEnd w:id="55"/>
      <w:bookmarkEnd w:id="56"/>
    </w:p>
    <w:p w14:paraId="58555E2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“采购人”系指竞争性磋商公告中载明的本项目的采购人。</w:t>
      </w:r>
    </w:p>
    <w:p w14:paraId="24EA243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“采购代理机构”系指竞争性磋商公告中载明的本项目的采购代理机构。</w:t>
      </w:r>
    </w:p>
    <w:p w14:paraId="619BBA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“供应商”系指是指提交响应文件和报价、参与竞争性磋商采购活动的法人、其他组织或者自然人。</w:t>
      </w:r>
    </w:p>
    <w:p w14:paraId="3A486E1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60DE3C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374FCA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Theme="minorEastAsia" w:hAnsiTheme="minorEastAsia" w:eastAsiaTheme="minorEastAsia"/>
          <w:color w:val="auto"/>
          <w:sz w:val="24"/>
          <w:highlight w:val="none"/>
        </w:rPr>
        <w:t>系指本项目采购活动所依托的</w:t>
      </w:r>
      <w:r>
        <w:rPr>
          <w:rFonts w:hint="eastAsia" w:ascii="宋体" w:hAnsi="宋体" w:cs="宋体"/>
          <w:b w:val="0"/>
          <w:bCs/>
          <w:color w:val="auto"/>
          <w:sz w:val="24"/>
          <w:highlight w:val="none"/>
          <w:lang w:eastAsia="zh-CN"/>
        </w:rPr>
        <w:t>乐彩云平台</w:t>
      </w:r>
      <w:r>
        <w:rPr>
          <w:rFonts w:hint="eastAsia" w:ascii="宋体" w:hAnsi="宋体" w:cs="宋体"/>
          <w:color w:val="auto"/>
          <w:sz w:val="24"/>
          <w:highlight w:val="none"/>
        </w:rPr>
        <w:t>（</w:t>
      </w:r>
      <w:r>
        <w:rPr>
          <w:rFonts w:hint="eastAsia" w:ascii="宋体" w:hAnsi="宋体" w:cs="宋体"/>
          <w:color w:val="auto"/>
          <w:sz w:val="24"/>
          <w:highlight w:val="none"/>
          <w:lang w:eastAsia="zh-CN"/>
        </w:rPr>
        <w:t>https://.lecaiyun.com/</w:t>
      </w:r>
      <w:r>
        <w:rPr>
          <w:rFonts w:hint="eastAsia" w:ascii="宋体" w:hAnsi="宋体" w:cs="宋体"/>
          <w:color w:val="auto"/>
          <w:sz w:val="24"/>
          <w:highlight w:val="none"/>
        </w:rPr>
        <w:t>）</w:t>
      </w:r>
      <w:r>
        <w:rPr>
          <w:rFonts w:hint="eastAsia" w:asciiTheme="minorEastAsia" w:hAnsiTheme="minorEastAsia" w:eastAsiaTheme="minorEastAsia"/>
          <w:color w:val="auto"/>
          <w:sz w:val="24"/>
          <w:highlight w:val="none"/>
        </w:rPr>
        <w:t>。</w:t>
      </w:r>
    </w:p>
    <w:p w14:paraId="3BF7E5C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系指不适用本项目的要求，“※”系指磋商过程中可能实质性变动的内容。</w:t>
      </w:r>
    </w:p>
    <w:p w14:paraId="0614DF7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3.采购项目需要落实的政府采购政策</w:t>
      </w:r>
    </w:p>
    <w:p w14:paraId="3C1D55B8">
      <w:pPr>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r>
        <w:rPr>
          <w:rFonts w:hint="eastAsia" w:ascii="宋体" w:hAnsi="宋体" w:cs="宋体"/>
          <w:color w:val="auto"/>
          <w:sz w:val="24"/>
          <w:highlight w:val="none"/>
        </w:rPr>
        <w:cr/>
      </w:r>
      <w:r>
        <w:rPr>
          <w:rFonts w:hint="eastAsia" w:ascii="宋体" w:hAnsi="宋体" w:cs="宋体"/>
          <w:b/>
          <w:color w:val="auto"/>
          <w:sz w:val="24"/>
          <w:highlight w:val="none"/>
        </w:rPr>
        <w:t>4.询问、质疑、投诉</w:t>
      </w:r>
      <w:r>
        <w:rPr>
          <w:rFonts w:hint="eastAsia" w:ascii="宋体" w:hAnsi="宋体" w:cs="仿宋"/>
          <w:color w:val="auto"/>
          <w:sz w:val="24"/>
          <w:highlight w:val="none"/>
        </w:rPr>
        <w:t>、</w:t>
      </w:r>
      <w:r>
        <w:rPr>
          <w:rFonts w:hint="eastAsia" w:ascii="宋体" w:hAnsi="宋体" w:cs="仿宋"/>
          <w:b/>
          <w:bCs/>
          <w:color w:val="auto"/>
          <w:sz w:val="24"/>
          <w:highlight w:val="none"/>
        </w:rPr>
        <w:t>补偿救济</w:t>
      </w:r>
    </w:p>
    <w:p w14:paraId="20B46290">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4.1在线询问、质疑、投诉</w:t>
      </w:r>
    </w:p>
    <w:p w14:paraId="612762FC">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en-US" w:eastAsia="zh-CN"/>
        </w:rPr>
        <w:t>参照</w:t>
      </w:r>
      <w:r>
        <w:rPr>
          <w:rFonts w:hint="eastAsia"/>
          <w:color w:val="auto"/>
          <w:highlight w:val="none"/>
        </w:rPr>
        <w:t>《浙江省财政厅关于进一步促进政府采购公平竞争打造最优营商环境的通知》（浙财采监（2021）22号）文件关于“健全行政裁决机制”要求，鼓励供应商在线提起询问，路径为：</w:t>
      </w:r>
      <w:r>
        <w:rPr>
          <w:rFonts w:hint="eastAsia"/>
          <w:color w:val="auto"/>
          <w:highlight w:val="none"/>
          <w:lang w:eastAsia="zh-CN"/>
        </w:rPr>
        <w:t>乐采云</w:t>
      </w:r>
      <w:r>
        <w:rPr>
          <w:rFonts w:hint="eastAsia"/>
          <w:color w:val="auto"/>
          <w:highlight w:val="none"/>
        </w:rPr>
        <w:t>-项目采购-询问质疑投诉-询问列表；鼓励供应商在线提起质疑，路径为：</w:t>
      </w:r>
      <w:r>
        <w:rPr>
          <w:rFonts w:hint="eastAsia"/>
          <w:color w:val="auto"/>
          <w:highlight w:val="none"/>
          <w:lang w:eastAsia="zh-CN"/>
        </w:rPr>
        <w:t>乐采云</w:t>
      </w:r>
      <w:r>
        <w:rPr>
          <w:rFonts w:hint="eastAsia"/>
          <w:color w:val="auto"/>
          <w:highlight w:val="none"/>
        </w:rPr>
        <w:t>-项目采购-询问质疑投诉-质疑列表。质疑供应商对在线质疑答复不满意的，可在线提起投诉，路径为：浙江政府服务网-政府采购投诉处理-在线办理。</w:t>
      </w:r>
    </w:p>
    <w:p w14:paraId="26D428D8">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32DE5EE3">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C8B51EE">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506AE46B">
      <w:pPr>
        <w:pStyle w:val="35"/>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.1提出质疑的供应商应当是参与所质疑项目采购活动的供应商。潜在供应商已依法获取其可质疑的采购文件的，可以对该文件提出质疑。</w:t>
      </w:r>
    </w:p>
    <w:p w14:paraId="665A6A5D">
      <w:pPr>
        <w:pStyle w:val="35"/>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B79041C">
      <w:pPr>
        <w:pStyle w:val="18"/>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4.3.2.1对采购文件提出质疑的，质疑期限为供应商获得采购文件之日或者采购文件公告期限届满之日起计算。</w:t>
      </w:r>
    </w:p>
    <w:p w14:paraId="2241D176">
      <w:pPr>
        <w:pStyle w:val="35"/>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w:t>
      </w:r>
    </w:p>
    <w:p w14:paraId="6DD437C6">
      <w:pPr>
        <w:pStyle w:val="35"/>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4.3.2.3对采购结果提出质疑的，质疑期限自采购结果公告期限届满之日起计算。</w:t>
      </w:r>
    </w:p>
    <w:p w14:paraId="55B4B40B">
      <w:pPr>
        <w:pStyle w:val="35"/>
        <w:snapToGrid w:val="0"/>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AFF57DD">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48153291">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52AE7D48">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1E7F1341">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67C230F9">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29946345">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1626B918">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55A03B9">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质疑函范本及制作说明详见附件2。</w:t>
      </w:r>
    </w:p>
    <w:p w14:paraId="54311301">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4.3.4对同一采购程序环节的质疑，供应商须在法定质疑期内一次性提出。</w:t>
      </w:r>
    </w:p>
    <w:p w14:paraId="5639B263">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A333711">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6EA3D963">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E949C0F">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4.4.1质疑供应商对采购人、采购代理机构的答复不满意或者采购人、采购代理机构未在规定的时间内作出答复的，可以在答复期满后十五个工作日内向同级采购监督管理部门提出投诉。</w:t>
      </w:r>
    </w:p>
    <w:p w14:paraId="20F79F08">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7BE2E3AF">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4.4.3供应商投诉应当有明确的请求和必要的证明材料。</w:t>
      </w:r>
    </w:p>
    <w:p w14:paraId="3C48860A">
      <w:pPr>
        <w:pStyle w:val="891"/>
        <w:shd w:val="clear" w:color="auto" w:fill="FFFFFF"/>
        <w:adjustRightInd w:val="0"/>
        <w:snapToGrid w:val="0"/>
        <w:spacing w:before="0" w:beforeAutospacing="0" w:after="0" w:afterAutospacing="0" w:line="360" w:lineRule="auto"/>
        <w:ind w:firstLine="480" w:firstLineChars="200"/>
        <w:contextualSpacing/>
        <w:rPr>
          <w:rFonts w:ascii="宋体" w:hAnsi="宋体" w:cs="仿宋"/>
          <w:color w:val="auto"/>
          <w:sz w:val="24"/>
          <w:highlight w:val="none"/>
        </w:rPr>
      </w:pPr>
      <w:r>
        <w:rPr>
          <w:rFonts w:hint="eastAsia"/>
          <w:color w:val="auto"/>
          <w:highlight w:val="none"/>
        </w:rPr>
        <w:t>4.4.4以联合体形式参加采购活动的，其投诉应当由组成联合体的所有供应商共同提出。</w:t>
      </w:r>
    </w:p>
    <w:p w14:paraId="316E0BFC">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投诉书范本及制作说明详见附件3。</w:t>
      </w:r>
    </w:p>
    <w:p w14:paraId="7B74E4F5">
      <w:pPr>
        <w:pStyle w:val="133"/>
        <w:snapToGrid w:val="0"/>
        <w:spacing w:before="0"/>
        <w:ind w:firstLine="360"/>
        <w:rPr>
          <w:rFonts w:ascii="宋体" w:hAnsi="宋体" w:cs="宋体"/>
          <w:color w:val="auto"/>
          <w:sz w:val="18"/>
          <w:szCs w:val="18"/>
          <w:highlight w:val="none"/>
        </w:rPr>
      </w:pPr>
    </w:p>
    <w:p w14:paraId="2C8A80D7">
      <w:pPr>
        <w:snapToGrid w:val="0"/>
        <w:spacing w:line="360" w:lineRule="auto"/>
        <w:jc w:val="center"/>
        <w:outlineLvl w:val="0"/>
        <w:rPr>
          <w:rFonts w:ascii="宋体" w:hAnsi="宋体" w:cs="宋体"/>
          <w:b/>
          <w:color w:val="auto"/>
          <w:sz w:val="32"/>
          <w:szCs w:val="20"/>
          <w:highlight w:val="none"/>
        </w:rPr>
      </w:pPr>
      <w:bookmarkStart w:id="57" w:name="_Toc7883"/>
      <w:bookmarkStart w:id="58" w:name="_Toc23086"/>
      <w:r>
        <w:rPr>
          <w:rFonts w:hint="eastAsia" w:ascii="宋体" w:hAnsi="宋体" w:cs="宋体"/>
          <w:b/>
          <w:color w:val="auto"/>
          <w:sz w:val="32"/>
          <w:szCs w:val="20"/>
          <w:highlight w:val="none"/>
        </w:rPr>
        <w:t>二、采购文件的构成、澄清、修改</w:t>
      </w:r>
      <w:bookmarkEnd w:id="57"/>
      <w:bookmarkEnd w:id="58"/>
    </w:p>
    <w:p w14:paraId="52FB89B6">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5</w:t>
      </w:r>
      <w:r>
        <w:rPr>
          <w:rFonts w:hint="eastAsia" w:hAnsi="宋体" w:cs="宋体"/>
          <w:b/>
          <w:color w:val="auto"/>
          <w:sz w:val="24"/>
          <w:szCs w:val="24"/>
          <w:highlight w:val="none"/>
          <w:lang w:val="en-US" w:eastAsia="zh-CN"/>
        </w:rPr>
        <w:t>.</w:t>
      </w:r>
      <w:r>
        <w:rPr>
          <w:rFonts w:hint="eastAsia" w:hAnsi="宋体" w:cs="宋体"/>
          <w:b/>
          <w:color w:val="auto"/>
          <w:sz w:val="24"/>
          <w:szCs w:val="24"/>
          <w:highlight w:val="none"/>
        </w:rPr>
        <w:t>采购文件的构成</w:t>
      </w:r>
    </w:p>
    <w:p w14:paraId="2271A350">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采购文件包括下列文件及附件：</w:t>
      </w:r>
    </w:p>
    <w:p w14:paraId="5B19806E">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5.1.1竞争性磋商公告；</w:t>
      </w:r>
    </w:p>
    <w:p w14:paraId="0FAA04F6">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5.1.2供应商须知；</w:t>
      </w:r>
    </w:p>
    <w:p w14:paraId="251480FF">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5A79C555">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5.1.4评审办法；</w:t>
      </w:r>
    </w:p>
    <w:p w14:paraId="0BBBFAFB">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EE48536">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37CD7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澄清或者修改的内容为采购文件的组成部分</w:t>
      </w:r>
      <w:r>
        <w:rPr>
          <w:rFonts w:hint="eastAsia" w:ascii="宋体" w:hAnsi="宋体" w:cs="宋体"/>
          <w:color w:val="auto"/>
          <w:sz w:val="24"/>
          <w:highlight w:val="none"/>
        </w:rPr>
        <w:t>。</w:t>
      </w:r>
    </w:p>
    <w:p w14:paraId="42FA0DB3">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6.采购文件的澄清、修改</w:t>
      </w:r>
    </w:p>
    <w:p w14:paraId="01B9603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6.1已获取采购文件的潜在供应商，若有问题需要澄清，应于响应文件提交（上传）截止时间前，以书面形式向采购代理机构提出。</w:t>
      </w:r>
    </w:p>
    <w:p w14:paraId="0C2BC0E7">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201B8FB1">
      <w:pPr>
        <w:pStyle w:val="3"/>
        <w:rPr>
          <w:rFonts w:hAnsi="宋体" w:cs="宋体"/>
          <w:color w:val="auto"/>
          <w:sz w:val="18"/>
          <w:szCs w:val="18"/>
          <w:highlight w:val="none"/>
          <w:lang w:val="en-US"/>
        </w:rPr>
      </w:pPr>
    </w:p>
    <w:p w14:paraId="634740E0">
      <w:pPr>
        <w:snapToGrid w:val="0"/>
        <w:spacing w:line="360" w:lineRule="auto"/>
        <w:jc w:val="center"/>
        <w:outlineLvl w:val="0"/>
        <w:rPr>
          <w:rFonts w:ascii="宋体" w:hAnsi="宋体" w:cs="宋体"/>
          <w:b/>
          <w:color w:val="auto"/>
          <w:sz w:val="32"/>
          <w:szCs w:val="20"/>
          <w:highlight w:val="none"/>
        </w:rPr>
      </w:pPr>
      <w:bookmarkStart w:id="59" w:name="_Toc27707"/>
      <w:bookmarkStart w:id="60" w:name="_Toc23723"/>
      <w:r>
        <w:rPr>
          <w:rFonts w:hint="eastAsia" w:ascii="宋体" w:hAnsi="宋体" w:cs="宋体"/>
          <w:b/>
          <w:color w:val="auto"/>
          <w:sz w:val="32"/>
          <w:szCs w:val="20"/>
          <w:highlight w:val="none"/>
        </w:rPr>
        <w:t>三、提交响应文件</w:t>
      </w:r>
      <w:bookmarkEnd w:id="59"/>
      <w:bookmarkEnd w:id="60"/>
    </w:p>
    <w:p w14:paraId="2D99276F">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7.采购文件的获取</w:t>
      </w:r>
    </w:p>
    <w:p w14:paraId="5CAF3E3A">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详见竞争性磋商公告中获取采购文件的时间期限、地点、方式及采购文件售价。</w:t>
      </w:r>
    </w:p>
    <w:p w14:paraId="36F4BC52">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8.磋商前答疑会或现场考察</w:t>
      </w:r>
    </w:p>
    <w:p w14:paraId="05BCB303">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采购人组织潜在供应商现场考察或者召开磋商前答疑会的，潜在供应商按第二部分供应商须知前附表的规定参加现场考察或者磋商前答疑会。</w:t>
      </w:r>
    </w:p>
    <w:p w14:paraId="24139813">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rPr>
        <w:t>9.磋商保证金</w:t>
      </w:r>
    </w:p>
    <w:p w14:paraId="24AE964C">
      <w:pPr>
        <w:pStyle w:val="18"/>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本项目不需缴纳磋商保证金。</w:t>
      </w:r>
    </w:p>
    <w:p w14:paraId="6BB6A1ED">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10.响应文件的语言</w:t>
      </w:r>
    </w:p>
    <w:p w14:paraId="3AC9CEE4">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响应文件及供应商与采购有关的来往通知、函件和文件均应使用中文。</w:t>
      </w:r>
    </w:p>
    <w:p w14:paraId="735E37E3">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11.响应文件的组成</w:t>
      </w:r>
    </w:p>
    <w:p w14:paraId="774B239A">
      <w:pPr>
        <w:snapToGrid w:val="0"/>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6589AD6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满足《中华人民共和国政府采购法》第二十二条规定；未被“信用中国”（www.creditchina.gov.cn)、中国政府采购网（www.ccgp.gov.cn）列入失信被执行人、重大税收违法案件当事人名单、政府采购严重违法失信行为记录名单：</w:t>
      </w:r>
    </w:p>
    <w:p w14:paraId="43ADB55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 xml:space="preserve">（1）营业执照(或事业法人登记证书或其它工商等登记证明材料；自然人参与政府采购，提供身份证)复印件； </w:t>
      </w:r>
    </w:p>
    <w:p w14:paraId="3EED99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（2）符合参加政府采购活动应当具备的一般条件的承诺函。</w:t>
      </w:r>
    </w:p>
    <w:p w14:paraId="18C5C7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61" w:name="_Hlk101259339"/>
      <w:r>
        <w:rPr>
          <w:rFonts w:hint="eastAsia" w:ascii="宋体" w:hAnsi="宋体" w:cs="宋体"/>
          <w:snapToGrid w:val="0"/>
          <w:color w:val="auto"/>
          <w:kern w:val="28"/>
          <w:sz w:val="24"/>
          <w:szCs w:val="20"/>
          <w:highlight w:val="none"/>
        </w:rPr>
        <w:t>联合协议</w:t>
      </w:r>
      <w:bookmarkStart w:id="62" w:name="_Hlk101257010"/>
      <w:r>
        <w:rPr>
          <w:rFonts w:hint="eastAsia" w:ascii="宋体" w:hAnsi="宋体" w:cs="宋体"/>
          <w:snapToGrid w:val="0"/>
          <w:color w:val="auto"/>
          <w:kern w:val="28"/>
          <w:sz w:val="24"/>
          <w:szCs w:val="20"/>
          <w:highlight w:val="none"/>
        </w:rPr>
        <w:t>（如果有)</w:t>
      </w:r>
      <w:bookmarkEnd w:id="61"/>
      <w:bookmarkEnd w:id="62"/>
      <w:r>
        <w:rPr>
          <w:rFonts w:hint="eastAsia" w:ascii="宋体" w:hAnsi="宋体" w:cs="宋体"/>
          <w:snapToGrid w:val="0"/>
          <w:color w:val="auto"/>
          <w:kern w:val="28"/>
          <w:sz w:val="24"/>
          <w:szCs w:val="20"/>
          <w:highlight w:val="none"/>
        </w:rPr>
        <w:t>。</w:t>
      </w:r>
    </w:p>
    <w:p w14:paraId="0EE19018">
      <w:pPr>
        <w:snapToGrid w:val="0"/>
        <w:spacing w:line="360" w:lineRule="auto"/>
        <w:ind w:firstLine="960" w:firstLineChars="400"/>
        <w:rPr>
          <w:rFonts w:ascii="宋体" w:hAnsi="宋体" w:cs="宋体"/>
          <w:snapToGrid w:val="0"/>
          <w:color w:val="auto"/>
          <w:kern w:val="28"/>
          <w:sz w:val="24"/>
          <w:szCs w:val="20"/>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w:t>
      </w:r>
    </w:p>
    <w:p w14:paraId="177FB685">
      <w:pPr>
        <w:snapToGrid w:val="0"/>
        <w:spacing w:line="360" w:lineRule="auto"/>
        <w:ind w:firstLine="960" w:firstLineChars="40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（1）具有住房和城乡建设部门核发的具有建筑装饰工程设计专项乙级及以上资质；</w:t>
      </w:r>
    </w:p>
    <w:p w14:paraId="0F8F8FE5">
      <w:pPr>
        <w:snapToGrid w:val="0"/>
        <w:spacing w:line="360" w:lineRule="auto"/>
        <w:ind w:firstLine="960" w:firstLineChars="40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（2）具有建筑装修装饰工程专业承包二级及以上资质；</w:t>
      </w:r>
    </w:p>
    <w:p w14:paraId="76C2ABEC">
      <w:pPr>
        <w:snapToGrid w:val="0"/>
        <w:spacing w:line="360" w:lineRule="auto"/>
        <w:ind w:firstLine="960" w:firstLineChars="40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（3）承担施工的单位具有有效的企业安全生产许可证；</w:t>
      </w:r>
    </w:p>
    <w:p w14:paraId="4B07F438">
      <w:pPr>
        <w:snapToGrid w:val="0"/>
        <w:spacing w:line="360" w:lineRule="auto"/>
        <w:ind w:firstLine="960" w:firstLineChars="400"/>
        <w:rPr>
          <w:rFonts w:ascii="宋体" w:hAnsi="宋体" w:cs="宋体"/>
          <w:color w:val="auto"/>
          <w:sz w:val="24"/>
          <w:highlight w:val="none"/>
        </w:rPr>
      </w:pP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4</w:t>
      </w:r>
      <w:r>
        <w:rPr>
          <w:rFonts w:hint="eastAsia" w:ascii="宋体" w:hAnsi="宋体" w:cs="宋体"/>
          <w:snapToGrid w:val="0"/>
          <w:color w:val="auto"/>
          <w:kern w:val="28"/>
          <w:sz w:val="24"/>
          <w:szCs w:val="20"/>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提供承诺函。</w:t>
      </w:r>
    </w:p>
    <w:p w14:paraId="11F14D3C">
      <w:pPr>
        <w:snapToGrid w:val="0"/>
        <w:spacing w:line="360" w:lineRule="auto"/>
        <w:ind w:firstLine="482" w:firstLineChars="200"/>
        <w:rPr>
          <w:rFonts w:ascii="宋体" w:hAnsi="宋体" w:cs="宋体"/>
          <w:b/>
          <w:bCs/>
          <w:color w:val="auto"/>
          <w:sz w:val="24"/>
          <w:highlight w:val="none"/>
          <w:lang w:val="zh-CN"/>
        </w:rPr>
      </w:pPr>
      <w:r>
        <w:rPr>
          <w:rFonts w:hint="eastAsia" w:ascii="宋体" w:hAnsi="宋体" w:cs="宋体"/>
          <w:b/>
          <w:bCs/>
          <w:color w:val="auto"/>
          <w:sz w:val="24"/>
          <w:highlight w:val="none"/>
          <w:lang w:val="zh-CN"/>
        </w:rPr>
        <w:t>11.</w:t>
      </w: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p>
    <w:p w14:paraId="1BA1BE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11.2.1响应函；</w:t>
      </w:r>
      <w:r>
        <w:rPr>
          <w:rFonts w:hint="eastAsia" w:ascii="宋体" w:hAnsi="宋体" w:cs="宋体"/>
          <w:color w:val="auto"/>
          <w:sz w:val="24"/>
          <w:highlight w:val="none"/>
          <w:lang w:val="zh-CN"/>
        </w:rPr>
        <w:t xml:space="preserve"> </w:t>
      </w:r>
    </w:p>
    <w:p w14:paraId="6C059FF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0972A8C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11.2.3分包意向协议（如果有)；</w:t>
      </w:r>
    </w:p>
    <w:p w14:paraId="4E55B77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11.2.4符合性审查资料；</w:t>
      </w:r>
    </w:p>
    <w:p w14:paraId="7566D6C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11.2.5评审标准相应的商务技术资料；</w:t>
      </w:r>
    </w:p>
    <w:p w14:paraId="7A15C48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11.2.6商务技术偏离表；</w:t>
      </w:r>
    </w:p>
    <w:p w14:paraId="7F28CC4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采购供应商廉洁自律承诺书；</w:t>
      </w:r>
    </w:p>
    <w:p w14:paraId="62F46B14">
      <w:pPr>
        <w:snapToGrid w:val="0"/>
        <w:spacing w:line="360" w:lineRule="auto"/>
        <w:ind w:firstLine="482" w:firstLineChars="200"/>
        <w:rPr>
          <w:rFonts w:ascii="宋体" w:hAnsi="宋体" w:cs="宋体"/>
          <w:color w:val="auto"/>
          <w:sz w:val="24"/>
          <w:highlight w:val="none"/>
          <w:u w:val="single"/>
          <w:lang w:val="zh-CN"/>
        </w:rPr>
      </w:pPr>
      <w:r>
        <w:rPr>
          <w:rFonts w:hint="eastAsia" w:ascii="宋体" w:hAnsi="宋体" w:cs="宋体"/>
          <w:b/>
          <w:bCs/>
          <w:color w:val="auto"/>
          <w:kern w:val="0"/>
          <w:sz w:val="24"/>
          <w:highlight w:val="none"/>
          <w:lang w:val="zh-CN"/>
        </w:rPr>
        <w:t>11.</w:t>
      </w:r>
      <w:r>
        <w:rPr>
          <w:rFonts w:hint="eastAsia" w:ascii="宋体" w:hAnsi="宋体" w:cs="宋体"/>
          <w:b/>
          <w:bCs/>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AA7E10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11.3.1报价单；</w:t>
      </w:r>
    </w:p>
    <w:p w14:paraId="6D190E9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11.3.2已标价工程量清单；</w:t>
      </w:r>
    </w:p>
    <w:p w14:paraId="2A271DE2">
      <w:pPr>
        <w:spacing w:line="360" w:lineRule="auto"/>
        <w:ind w:firstLine="960" w:firstLineChars="400"/>
        <w:rPr>
          <w:rFonts w:ascii="宋体" w:hAnsi="宋体" w:cs="宋体"/>
          <w:b/>
          <w:color w:val="auto"/>
          <w:sz w:val="24"/>
          <w:highlight w:val="none"/>
        </w:rPr>
      </w:pPr>
      <w:r>
        <w:rPr>
          <w:rFonts w:hint="eastAsia" w:ascii="宋体" w:hAnsi="宋体" w:cs="宋体"/>
          <w:color w:val="auto"/>
          <w:sz w:val="24"/>
          <w:highlight w:val="none"/>
        </w:rPr>
        <w:t>11.3.3报价情况说明（如供应商报价低于项目预算50%的，应当提交本文档，详细阐述不影响产品质量或者诚信履约的具体原因）。</w:t>
      </w:r>
    </w:p>
    <w:p w14:paraId="11D76B7F">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响应文件含有采购人不能接受的附加条件的，响应文件无效；</w:t>
      </w:r>
    </w:p>
    <w:p w14:paraId="5AE7EEE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供应商提供虚假材料的，响应文件无效。</w:t>
      </w:r>
    </w:p>
    <w:p w14:paraId="2E37D52F">
      <w:pPr>
        <w:spacing w:line="360" w:lineRule="auto"/>
        <w:ind w:firstLine="720" w:firstLineChars="300"/>
        <w:rPr>
          <w:rFonts w:ascii="宋体" w:hAnsi="宋体" w:cs="宋体"/>
          <w:b/>
          <w:color w:val="auto"/>
          <w:sz w:val="24"/>
          <w:szCs w:val="21"/>
          <w:highlight w:val="none"/>
        </w:rPr>
      </w:pPr>
      <w:r>
        <w:rPr>
          <w:rFonts w:hint="eastAsia"/>
          <w:color w:val="auto"/>
          <w:sz w:val="24"/>
          <w:highlight w:val="none"/>
          <w:shd w:val="clear" w:color="auto" w:fill="FFFFFF"/>
        </w:rPr>
        <w:t>供应商应对响应文件中材料的真实性、合法性负责。</w:t>
      </w:r>
    </w:p>
    <w:p w14:paraId="27F7682D">
      <w:pPr>
        <w:pStyle w:val="133"/>
        <w:snapToGrid w:val="0"/>
        <w:spacing w:before="0"/>
        <w:ind w:firstLine="0" w:firstLineChars="0"/>
        <w:outlineLvl w:val="0"/>
        <w:rPr>
          <w:rFonts w:ascii="宋体" w:hAnsi="宋体" w:cs="宋体"/>
          <w:b/>
          <w:color w:val="auto"/>
          <w:szCs w:val="24"/>
          <w:highlight w:val="none"/>
        </w:rPr>
      </w:pPr>
      <w:bookmarkStart w:id="63" w:name="_Toc9914"/>
      <w:bookmarkStart w:id="64" w:name="_Toc32065"/>
      <w:r>
        <w:rPr>
          <w:rFonts w:hint="eastAsia" w:ascii="宋体" w:hAnsi="宋体" w:cs="宋体"/>
          <w:b/>
          <w:color w:val="auto"/>
          <w:szCs w:val="24"/>
          <w:highlight w:val="none"/>
        </w:rPr>
        <w:t>12</w:t>
      </w:r>
      <w:r>
        <w:rPr>
          <w:rFonts w:hint="eastAsia" w:ascii="宋体" w:hAnsi="宋体" w:cs="宋体"/>
          <w:b/>
          <w:color w:val="auto"/>
          <w:kern w:val="0"/>
          <w:szCs w:val="24"/>
          <w:highlight w:val="none"/>
        </w:rPr>
        <w:t>.</w:t>
      </w:r>
      <w:r>
        <w:rPr>
          <w:rFonts w:hint="eastAsia" w:ascii="宋体" w:hAnsi="宋体" w:cs="宋体"/>
          <w:b/>
          <w:color w:val="auto"/>
          <w:szCs w:val="24"/>
          <w:highlight w:val="none"/>
        </w:rPr>
        <w:t>响应文件的编制</w:t>
      </w:r>
      <w:bookmarkEnd w:id="63"/>
      <w:bookmarkEnd w:id="64"/>
    </w:p>
    <w:p w14:paraId="08253517">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30DB9683">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w:t>
      </w:r>
      <w:r>
        <w:rPr>
          <w:rFonts w:hint="eastAsia" w:cs="仿宋_GB2312" w:asciiTheme="minorEastAsia" w:hAnsiTheme="minorEastAsia" w:eastAsiaTheme="minorEastAsia"/>
          <w:color w:val="auto"/>
          <w:kern w:val="0"/>
          <w:sz w:val="24"/>
          <w:highlight w:val="none"/>
          <w:lang w:val="zh-CN"/>
        </w:rPr>
        <w:t>供应商进行电子交易应安装客户端软件—“乐采云电子交易客户端”，并按照磋商文件和电子交易平台的要求编制并加密响应文件。供应商未按规定加密的响应文件，电子交易平台将拒收并提示。</w:t>
      </w:r>
    </w:p>
    <w:p w14:paraId="75A78787">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12.3使用“乐采云电子交易客户端”需要提前申领CA数字证书，申领流程请自行前往“浙江政府采购网-下载专区-电子交易客户端-CA驱动和申领流程”进行查阅。</w:t>
      </w:r>
    </w:p>
    <w:p w14:paraId="0145532C">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13.响应文件的签署、盖章</w:t>
      </w:r>
    </w:p>
    <w:p w14:paraId="21A040FC">
      <w:pPr>
        <w:pStyle w:val="13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13.1响应文件按照采购文件第六部分格式要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▲供应商的响应文件未按照采购文件要求签署、盖章的，其响应文件无效</w:t>
      </w:r>
      <w:r>
        <w:rPr>
          <w:rFonts w:hint="eastAsia" w:ascii="宋体" w:hAnsi="宋体" w:cs="宋体"/>
          <w:color w:val="auto"/>
          <w:szCs w:val="24"/>
          <w:highlight w:val="none"/>
        </w:rPr>
        <w:t>。</w:t>
      </w:r>
    </w:p>
    <w:p w14:paraId="0C293AE7">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13.2为确保网上操作合法、有效和安全，供应商应当在响应文件提交（上传）截止时间前完成在“政府采购云平台”的身份认证，确保在电子投标过程中能够对相关数据电文进行加密和使用电子签名。</w:t>
      </w:r>
    </w:p>
    <w:p w14:paraId="2722FFB5">
      <w:pPr>
        <w:pStyle w:val="133"/>
        <w:snapToGrid w:val="0"/>
        <w:spacing w:before="0"/>
        <w:ind w:firstLine="480"/>
        <w:rPr>
          <w:rFonts w:ascii="宋体" w:hAnsi="宋体" w:cs="宋体"/>
          <w:color w:val="auto"/>
          <w:szCs w:val="24"/>
          <w:highlight w:val="none"/>
        </w:rPr>
      </w:pPr>
      <w:r>
        <w:rPr>
          <w:rFonts w:hint="eastAsia" w:ascii="宋体" w:hAnsi="宋体" w:cs="宋体"/>
          <w:color w:val="auto"/>
          <w:highlight w:val="none"/>
        </w:rPr>
        <w:t>13.3采购文件对响应文件签署、盖章的要求适用于电子签名。</w:t>
      </w:r>
    </w:p>
    <w:p w14:paraId="5475F513">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14.响应文件的提交、补充、修改、撤回</w:t>
      </w:r>
    </w:p>
    <w:p w14:paraId="08A19492">
      <w:pPr>
        <w:pStyle w:val="133"/>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49D916E3">
      <w:pPr>
        <w:pStyle w:val="133"/>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14.2电子交易平台收到响应文件，将妥善保存并即时向供应商发出确认回执通知。在响应文件提交（上传）截止时间前，除供应商补充、修改或者撤回响应文件外，任何单位和个人不得解密或提取响应文件。</w:t>
      </w:r>
    </w:p>
    <w:p w14:paraId="25C27D9B">
      <w:pPr>
        <w:pStyle w:val="133"/>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响应文件提交的截止时间。在上述情况下，采购代理机构与供应商以前在响应文件提交截止时间方面的全部权利、责任和义务，将适用于延长至新的响应文件提交截止时间。</w:t>
      </w:r>
    </w:p>
    <w:p w14:paraId="2FBC1AE7">
      <w:pPr>
        <w:pStyle w:val="35"/>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15.备份响应文件</w:t>
      </w:r>
    </w:p>
    <w:p w14:paraId="14B73A83">
      <w:pPr>
        <w:pStyle w:val="35"/>
        <w:snapToGrid w:val="0"/>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15.1供应商在电子交易平台传输递交响应文件后，还可以在响应文件提交（上传）截止时间前直接提交或者以邮政快递方式递交备份响应文件1份，</w:t>
      </w:r>
      <w:r>
        <w:rPr>
          <w:rFonts w:hint="eastAsia" w:hAnsi="宋体" w:cs="宋体"/>
          <w:b/>
          <w:color w:val="auto"/>
          <w:sz w:val="24"/>
          <w:szCs w:val="24"/>
          <w:highlight w:val="none"/>
        </w:rPr>
        <w:t>但采购人、采购代理机构不强制或变相强制供应商提交备份响应文件。</w:t>
      </w:r>
    </w:p>
    <w:p w14:paraId="016CFE34">
      <w:pPr>
        <w:pStyle w:val="35"/>
        <w:snapToGrid w:val="0"/>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15.2备份响应文件须在“</w:t>
      </w:r>
      <w:r>
        <w:rPr>
          <w:rFonts w:hint="eastAsia" w:hAnsi="宋体" w:cs="宋体"/>
          <w:color w:val="auto"/>
          <w:sz w:val="24"/>
          <w:szCs w:val="24"/>
          <w:highlight w:val="none"/>
          <w:lang w:eastAsia="zh-CN"/>
        </w:rPr>
        <w:t>乐采云</w:t>
      </w:r>
      <w:r>
        <w:rPr>
          <w:rFonts w:hint="eastAsia" w:hAnsi="宋体" w:cs="宋体"/>
          <w:color w:val="auto"/>
          <w:sz w:val="24"/>
          <w:szCs w:val="24"/>
          <w:highlight w:val="none"/>
        </w:rPr>
        <w:t>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存储、密封规定的备份响应文件将被视为无效或者被拒绝接收。</w:t>
      </w:r>
    </w:p>
    <w:p w14:paraId="729262F0">
      <w:pPr>
        <w:pStyle w:val="35"/>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响应文件的，供应商应于响应文件提交（上传）截止时间前在竞争性磋商公告中载明的响应文件开启地点将备份响应文件提交给采购代理机构，采购代理机构将拒绝接受逾期送达的备份响应文件。</w:t>
      </w:r>
    </w:p>
    <w:p w14:paraId="36D33C5C">
      <w:pPr>
        <w:pStyle w:val="35"/>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auto"/>
          <w:sz w:val="24"/>
          <w:szCs w:val="24"/>
          <w:highlight w:val="none"/>
        </w:rPr>
        <w:t>采购文件第二部分供应商须知前附表规定的备份响应文件送达地点；</w:t>
      </w:r>
      <w:r>
        <w:rPr>
          <w:rFonts w:hint="eastAsia" w:hAnsi="宋体" w:cs="宋体"/>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351A056A">
      <w:pPr>
        <w:pStyle w:val="35"/>
        <w:snapToGrid w:val="0"/>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15.5供应商仅提交备份响应文件，未在电子交易平台传输递交响应文件的，响应文件无效。</w:t>
      </w:r>
    </w:p>
    <w:p w14:paraId="4A19DA53">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16.响应文件的无效处理</w:t>
      </w:r>
    </w:p>
    <w:p w14:paraId="1DC92DBB">
      <w:pPr>
        <w:pStyle w:val="26"/>
        <w:spacing w:line="360" w:lineRule="auto"/>
        <w:ind w:firstLine="360" w:firstLineChars="150"/>
        <w:rPr>
          <w:rFonts w:cs="宋体"/>
          <w:color w:val="auto"/>
          <w:szCs w:val="21"/>
          <w:highlight w:val="none"/>
        </w:rPr>
      </w:pPr>
      <w:r>
        <w:rPr>
          <w:rFonts w:hint="eastAsia" w:cs="宋体"/>
          <w:color w:val="auto"/>
          <w:szCs w:val="21"/>
          <w:highlight w:val="none"/>
        </w:rPr>
        <w:t>有采购文件第四部分</w:t>
      </w:r>
      <w:r>
        <w:rPr>
          <w:rFonts w:hint="eastAsia" w:cs="宋体"/>
          <w:color w:val="auto"/>
          <w:highlight w:val="none"/>
        </w:rPr>
        <w:t>4.2规定</w:t>
      </w:r>
      <w:r>
        <w:rPr>
          <w:rFonts w:hint="eastAsia" w:cs="宋体"/>
          <w:color w:val="auto"/>
          <w:szCs w:val="21"/>
          <w:highlight w:val="none"/>
        </w:rPr>
        <w:t>的情形之一的，响应文件无效：</w:t>
      </w:r>
    </w:p>
    <w:p w14:paraId="1B565212">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17.响应文件有效期</w:t>
      </w:r>
    </w:p>
    <w:p w14:paraId="47BD8CDF">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17.1响应文件有效期为从提交响应文件的截止之日起90天。▲</w:t>
      </w:r>
      <w:r>
        <w:rPr>
          <w:rFonts w:hint="eastAsia" w:ascii="宋体" w:hAnsi="宋体" w:cs="宋体"/>
          <w:b/>
          <w:color w:val="auto"/>
          <w:sz w:val="24"/>
          <w:szCs w:val="20"/>
          <w:highlight w:val="none"/>
        </w:rPr>
        <w:t>供应商的响应文件中承</w:t>
      </w:r>
      <w:r>
        <w:rPr>
          <w:rFonts w:hint="eastAsia" w:ascii="宋体" w:hAnsi="宋体" w:cs="宋体"/>
          <w:b/>
          <w:color w:val="auto"/>
          <w:sz w:val="24"/>
          <w:szCs w:val="21"/>
          <w:highlight w:val="none"/>
        </w:rPr>
        <w:t>诺的响应文件有效期少于采购文件中载明的响应文件有效期的，响应文件无效。</w:t>
      </w:r>
    </w:p>
    <w:p w14:paraId="5DFCBA88">
      <w:pPr>
        <w:pStyle w:val="133"/>
        <w:spacing w:before="0"/>
        <w:ind w:firstLine="480"/>
        <w:rPr>
          <w:rFonts w:ascii="宋体" w:hAnsi="宋体" w:cs="宋体"/>
          <w:color w:val="auto"/>
          <w:highlight w:val="none"/>
        </w:rPr>
      </w:pPr>
      <w:r>
        <w:rPr>
          <w:rFonts w:hint="eastAsia" w:ascii="宋体" w:hAnsi="宋体" w:cs="宋体"/>
          <w:color w:val="auto"/>
          <w:highlight w:val="none"/>
        </w:rPr>
        <w:t>17.2响应文件合格投递后，自响应文件提交截止时间起，在响应文件有效期内有效。</w:t>
      </w:r>
    </w:p>
    <w:p w14:paraId="3C0A53A8">
      <w:pPr>
        <w:pStyle w:val="133"/>
        <w:spacing w:before="0"/>
        <w:ind w:firstLine="480"/>
        <w:rPr>
          <w:rFonts w:ascii="宋体" w:hAnsi="宋体" w:cs="宋体"/>
          <w:color w:val="auto"/>
          <w:highlight w:val="none"/>
        </w:rPr>
      </w:pPr>
      <w:r>
        <w:rPr>
          <w:rFonts w:hint="eastAsia" w:ascii="宋体" w:hAnsi="宋体" w:cs="宋体"/>
          <w:color w:val="auto"/>
          <w:highlight w:val="none"/>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14:paraId="11ED0BBA">
      <w:pPr>
        <w:snapToGrid w:val="0"/>
        <w:spacing w:line="360" w:lineRule="auto"/>
        <w:jc w:val="center"/>
        <w:outlineLvl w:val="0"/>
        <w:rPr>
          <w:rFonts w:ascii="宋体" w:hAnsi="宋体" w:cs="宋体"/>
          <w:b/>
          <w:color w:val="auto"/>
          <w:sz w:val="32"/>
          <w:szCs w:val="20"/>
          <w:highlight w:val="none"/>
        </w:rPr>
      </w:pPr>
      <w:bookmarkStart w:id="65" w:name="_Toc235"/>
      <w:bookmarkStart w:id="66" w:name="_Toc21858"/>
      <w:r>
        <w:rPr>
          <w:rFonts w:hint="eastAsia" w:ascii="宋体" w:hAnsi="宋体" w:cs="宋体"/>
          <w:b/>
          <w:color w:val="auto"/>
          <w:sz w:val="32"/>
          <w:szCs w:val="20"/>
          <w:highlight w:val="none"/>
        </w:rPr>
        <w:t>四、响应文件开启、资格审查与信用信息查询</w:t>
      </w:r>
      <w:bookmarkEnd w:id="65"/>
      <w:bookmarkEnd w:id="66"/>
    </w:p>
    <w:p w14:paraId="68B1FDDE">
      <w:pPr>
        <w:pStyle w:val="560"/>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18.响应文件开启</w:t>
      </w:r>
      <w:r>
        <w:rPr>
          <w:rFonts w:hint="eastAsia" w:ascii="宋体" w:hAnsi="宋体" w:cs="宋体"/>
          <w:color w:val="auto"/>
          <w:sz w:val="24"/>
          <w:highlight w:val="none"/>
        </w:rPr>
        <w:t xml:space="preserve"> </w:t>
      </w:r>
    </w:p>
    <w:p w14:paraId="01044317">
      <w:pPr>
        <w:pStyle w:val="560"/>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18.1采购代理机构按照采购文件规定的时间通过电子交易平台组织响应文件开启，所有供应商均应当准时在线参加。供应商不足3家的，不得开启。</w:t>
      </w:r>
    </w:p>
    <w:p w14:paraId="6BAA63C8">
      <w:pPr>
        <w:pStyle w:val="560"/>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18.2响应文件开启时，电子交易平台按响应文件开启时间自动提取所有响应文件。采购代理机构依托电子交易平台发起开始解密指令，供应商按照平台提示和采购文件的规定在半小时内完成在线解密。</w:t>
      </w:r>
    </w:p>
    <w:p w14:paraId="364A89E2">
      <w:pPr>
        <w:pStyle w:val="560"/>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18.3</w:t>
      </w:r>
      <w:r>
        <w:rPr>
          <w:rFonts w:hint="eastAsia" w:ascii="宋体" w:hAnsi="宋体" w:cs="宋体"/>
          <w:b/>
          <w:bCs/>
          <w:color w:val="auto"/>
          <w:sz w:val="24"/>
          <w:highlight w:val="none"/>
        </w:rPr>
        <w:t>响应文件未按时解密，供应商提供了备份响应文件的，以备份响应文件作为依据，否则视为响应文件撤回。响应文件已按时解密的，备份响应文件自动失效。</w:t>
      </w:r>
    </w:p>
    <w:p w14:paraId="55999B5F">
      <w:pPr>
        <w:pStyle w:val="560"/>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19.资格审查</w:t>
      </w:r>
    </w:p>
    <w:p w14:paraId="2D4D04C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采购人、采购代理机构或磋商小组依据法律法规和采购文件的规定，对供应商的资格进行审查。</w:t>
      </w:r>
    </w:p>
    <w:p w14:paraId="254B4BD6">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19.2供应商未按照采购文件要求提供与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供应商不具备采购文件中规定的资格要求，其响应文件无效。</w:t>
      </w:r>
    </w:p>
    <w:p w14:paraId="54449EF4">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3对未通过资格审查的供应商，采购人或采购代理机构告知其未通过的原因。</w:t>
      </w:r>
    </w:p>
    <w:p w14:paraId="4E785EA3">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4合格供应商不足3家的，不再评审。</w:t>
      </w:r>
    </w:p>
    <w:p w14:paraId="6B79C07F">
      <w:pPr>
        <w:pStyle w:val="133"/>
        <w:snapToGrid w:val="0"/>
        <w:spacing w:before="0"/>
        <w:ind w:firstLine="480"/>
        <w:rPr>
          <w:rFonts w:ascii="宋体" w:hAnsi="宋体" w:cs="宋体"/>
          <w:color w:val="auto"/>
          <w:highlight w:val="none"/>
        </w:rPr>
      </w:pPr>
      <w:r>
        <w:rPr>
          <w:rFonts w:hint="eastAsia" w:ascii="宋体" w:hAnsi="宋体" w:cs="宋体"/>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7EF1017B">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7883DC35">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20.1信用信息查询渠道及截止时间：采购代理机构将在资格审查时通过“信用中国”网站(www.creditchina.gov.cn)、中国政府采购网(www.ccgp.gov.cn)渠道查询供应商接受资格审查时的信用记录。</w:t>
      </w:r>
    </w:p>
    <w:p w14:paraId="787677F3">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20.2信用信息查询记录和证据留存的具体方式：现场查询的供应商的信用记录、查询结果经确认后将与采购文件一起存档。</w:t>
      </w:r>
    </w:p>
    <w:p w14:paraId="2FC09CCA">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14:paraId="4D3C335A">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1BD2885">
      <w:pPr>
        <w:snapToGrid w:val="0"/>
        <w:spacing w:line="360" w:lineRule="auto"/>
        <w:jc w:val="center"/>
        <w:outlineLvl w:val="0"/>
        <w:rPr>
          <w:rFonts w:ascii="宋体" w:hAnsi="宋体" w:cs="宋体"/>
          <w:b/>
          <w:color w:val="auto"/>
          <w:sz w:val="32"/>
          <w:szCs w:val="20"/>
          <w:highlight w:val="none"/>
        </w:rPr>
      </w:pPr>
      <w:bookmarkStart w:id="67" w:name="_Toc626"/>
      <w:bookmarkStart w:id="68" w:name="_Toc1490"/>
      <w:r>
        <w:rPr>
          <w:rFonts w:hint="eastAsia" w:ascii="宋体" w:hAnsi="宋体" w:cs="宋体"/>
          <w:b/>
          <w:color w:val="auto"/>
          <w:sz w:val="32"/>
          <w:szCs w:val="20"/>
          <w:highlight w:val="none"/>
        </w:rPr>
        <w:t>五、评审</w:t>
      </w:r>
      <w:bookmarkEnd w:id="67"/>
      <w:bookmarkEnd w:id="68"/>
    </w:p>
    <w:p w14:paraId="09D6F8AE">
      <w:pPr>
        <w:spacing w:line="360" w:lineRule="auto"/>
        <w:rPr>
          <w:rFonts w:ascii="宋体" w:hAnsi="宋体" w:cs="宋体"/>
          <w:b/>
          <w:color w:val="auto"/>
          <w:sz w:val="24"/>
          <w:highlight w:val="none"/>
        </w:rPr>
      </w:pPr>
      <w:bookmarkStart w:id="69" w:name="_Toc91899903"/>
      <w:r>
        <w:rPr>
          <w:rFonts w:hint="eastAsia" w:ascii="宋体" w:hAnsi="宋体" w:cs="宋体"/>
          <w:b/>
          <w:color w:val="auto"/>
          <w:sz w:val="24"/>
          <w:highlight w:val="none"/>
        </w:rPr>
        <w:t>21.</w:t>
      </w:r>
      <w:r>
        <w:rPr>
          <w:rFonts w:hint="eastAsia" w:ascii="宋体" w:hAnsi="宋体" w:cs="宋体"/>
          <w:color w:val="auto"/>
          <w:sz w:val="24"/>
          <w:highlight w:val="none"/>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auto"/>
          <w:sz w:val="24"/>
          <w:highlight w:val="none"/>
        </w:rPr>
        <w:t>详见采购文件第四部分评审办法。</w:t>
      </w:r>
    </w:p>
    <w:p w14:paraId="4DE59656">
      <w:pPr>
        <w:snapToGrid w:val="0"/>
        <w:spacing w:line="360" w:lineRule="auto"/>
        <w:jc w:val="center"/>
        <w:outlineLvl w:val="0"/>
        <w:rPr>
          <w:rFonts w:ascii="宋体" w:hAnsi="宋体" w:cs="宋体"/>
          <w:b/>
          <w:color w:val="auto"/>
          <w:sz w:val="32"/>
          <w:szCs w:val="20"/>
          <w:highlight w:val="none"/>
        </w:rPr>
      </w:pPr>
      <w:bookmarkStart w:id="70" w:name="_Toc31413"/>
      <w:bookmarkStart w:id="71" w:name="_Toc25086"/>
      <w:r>
        <w:rPr>
          <w:rFonts w:hint="eastAsia" w:ascii="宋体" w:hAnsi="宋体" w:cs="宋体"/>
          <w:b/>
          <w:color w:val="auto"/>
          <w:sz w:val="32"/>
          <w:szCs w:val="20"/>
          <w:highlight w:val="none"/>
        </w:rPr>
        <w:t>六、成交供应商确定</w:t>
      </w:r>
      <w:bookmarkEnd w:id="70"/>
      <w:bookmarkEnd w:id="71"/>
    </w:p>
    <w:p w14:paraId="4A6D641F">
      <w:pPr>
        <w:pStyle w:val="26"/>
        <w:spacing w:line="360" w:lineRule="auto"/>
        <w:ind w:left="479" w:hanging="479" w:hangingChars="199"/>
        <w:rPr>
          <w:rFonts w:cs="宋体"/>
          <w:b/>
          <w:color w:val="auto"/>
          <w:highlight w:val="none"/>
        </w:rPr>
      </w:pPr>
      <w:r>
        <w:rPr>
          <w:rFonts w:hint="eastAsia" w:cs="宋体"/>
          <w:b/>
          <w:color w:val="auto"/>
          <w:highlight w:val="none"/>
        </w:rPr>
        <w:t>22.确定成交供应商</w:t>
      </w:r>
    </w:p>
    <w:p w14:paraId="14036A6D">
      <w:pPr>
        <w:pStyle w:val="13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采购效率，鼓励在收到评审报告当天在线确定中标或者成交供应商。中标、成交通知书和中标、成交结果公告应当在规定时间内同时发出。</w:t>
      </w:r>
    </w:p>
    <w:p w14:paraId="0D6D9397">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23.成交通知与成交结果公告</w:t>
      </w:r>
    </w:p>
    <w:p w14:paraId="74018D97">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23.1自成交供应商确定之日起1个工作日内，采购代理机构通过电子交易平台向成交供应商发出成交通知书，同时编制发布采购结果公告。采购代理机构也可以以纸质形式进行成交通知。</w:t>
      </w:r>
    </w:p>
    <w:p w14:paraId="3140F0E7">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5AA01EF4">
      <w:pPr>
        <w:widowControl/>
        <w:shd w:val="clear" w:color="auto" w:fill="FFFFFF"/>
        <w:spacing w:line="360" w:lineRule="auto"/>
        <w:ind w:firstLine="480"/>
        <w:rPr>
          <w:rFonts w:ascii="宋体" w:hAnsi="宋体" w:cs="宋体"/>
          <w:color w:val="auto"/>
          <w:sz w:val="24"/>
          <w:highlight w:val="none"/>
        </w:rPr>
      </w:pPr>
      <w:r>
        <w:rPr>
          <w:rFonts w:hint="eastAsia" w:ascii="宋体" w:hAnsi="宋体" w:cs="宋体"/>
          <w:color w:val="auto"/>
          <w:sz w:val="24"/>
          <w:highlight w:val="none"/>
        </w:rPr>
        <w:t>23.3公告期限为1个工作日。</w:t>
      </w:r>
    </w:p>
    <w:p w14:paraId="500DFDAE">
      <w:pPr>
        <w:widowControl/>
        <w:shd w:val="clear" w:color="auto" w:fill="FFFFFF"/>
        <w:spacing w:line="360" w:lineRule="auto"/>
        <w:ind w:firstLine="480"/>
        <w:rPr>
          <w:rFonts w:ascii="宋体" w:hAnsi="宋体" w:cs="宋体"/>
          <w:b/>
          <w:color w:val="auto"/>
          <w:sz w:val="32"/>
          <w:highlight w:val="none"/>
        </w:rPr>
      </w:pPr>
      <w:r>
        <w:rPr>
          <w:rFonts w:hint="eastAsia" w:ascii="宋体" w:hAnsi="宋体" w:cs="宋体"/>
          <w:bCs/>
          <w:color w:val="auto"/>
          <w:sz w:val="24"/>
          <w:highlight w:val="none"/>
        </w:rPr>
        <w:t>23.4由于成交供应商原因导致重新采购的，应当承担支付代理费和专家评审费等费用在内的赔偿责任。</w:t>
      </w:r>
    </w:p>
    <w:p w14:paraId="52091E20">
      <w:pPr>
        <w:snapToGrid w:val="0"/>
        <w:spacing w:line="360" w:lineRule="auto"/>
        <w:jc w:val="center"/>
        <w:outlineLvl w:val="0"/>
        <w:rPr>
          <w:rFonts w:ascii="宋体" w:hAnsi="宋体" w:cs="宋体"/>
          <w:b/>
          <w:color w:val="auto"/>
          <w:sz w:val="32"/>
          <w:szCs w:val="20"/>
          <w:highlight w:val="none"/>
        </w:rPr>
      </w:pPr>
      <w:bookmarkStart w:id="72" w:name="_Toc14181"/>
      <w:bookmarkStart w:id="73" w:name="_Toc6566"/>
      <w:r>
        <w:rPr>
          <w:rFonts w:hint="eastAsia" w:ascii="宋体" w:hAnsi="宋体" w:cs="宋体"/>
          <w:b/>
          <w:color w:val="auto"/>
          <w:sz w:val="32"/>
          <w:szCs w:val="20"/>
          <w:highlight w:val="none"/>
        </w:rPr>
        <w:t>七、合同授予</w:t>
      </w:r>
      <w:bookmarkEnd w:id="72"/>
      <w:bookmarkEnd w:id="73"/>
    </w:p>
    <w:p w14:paraId="4C15E801">
      <w:pPr>
        <w:pStyle w:val="26"/>
        <w:snapToGrid w:val="0"/>
        <w:spacing w:line="360" w:lineRule="auto"/>
        <w:ind w:left="479" w:hanging="479" w:hangingChars="199"/>
        <w:rPr>
          <w:rFonts w:cs="宋体"/>
          <w:b/>
          <w:color w:val="auto"/>
          <w:highlight w:val="none"/>
        </w:rPr>
      </w:pPr>
      <w:r>
        <w:rPr>
          <w:rFonts w:hint="eastAsia" w:cs="宋体"/>
          <w:b/>
          <w:color w:val="auto"/>
          <w:highlight w:val="none"/>
        </w:rPr>
        <w:t>24.</w:t>
      </w:r>
      <w:r>
        <w:rPr>
          <w:rFonts w:hint="eastAsia" w:cs="宋体"/>
          <w:color w:val="auto"/>
          <w:highlight w:val="none"/>
        </w:rPr>
        <w:t>合同主要条款详见第五部分拟签订的合同文本。</w:t>
      </w:r>
    </w:p>
    <w:p w14:paraId="29ED0E91">
      <w:pPr>
        <w:pStyle w:val="26"/>
        <w:snapToGrid w:val="0"/>
        <w:spacing w:line="360" w:lineRule="auto"/>
        <w:ind w:left="479" w:hanging="479" w:hangingChars="199"/>
        <w:rPr>
          <w:rFonts w:cs="宋体"/>
          <w:b/>
          <w:color w:val="auto"/>
          <w:highlight w:val="none"/>
        </w:rPr>
      </w:pPr>
      <w:r>
        <w:rPr>
          <w:rFonts w:hint="eastAsia" w:cs="宋体"/>
          <w:b/>
          <w:color w:val="auto"/>
          <w:highlight w:val="none"/>
        </w:rPr>
        <w:t>25.合同的签订</w:t>
      </w:r>
    </w:p>
    <w:p w14:paraId="51BD633D">
      <w:pPr>
        <w:widowControl/>
        <w:shd w:val="clear" w:color="auto" w:fill="FFFFFF"/>
        <w:snapToGrid w:val="0"/>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成交供应商应当通过电子交易平台在成交通知书发出之日起三十日内，按照采购文件确定的事项签订采购合同。鼓励有条件的采购人视情缩减采购合同签订时限，提高采购效率，杜绝“冷、硬、横、推”等不当行为。除不可抗力等特殊情况外，原则上应当在成交通知书发出之日起10个工作日内，与成交供应商按照采购文件确定的事项签订采购合同。</w:t>
      </w:r>
    </w:p>
    <w:p w14:paraId="137B114C">
      <w:pPr>
        <w:pStyle w:val="13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25.2成交供应商按规定的日期、时间、地点，由法定代表人或其授权代表与采购人代表签订合同。如成交供应商为联合体的，由联合体成员各方法定代表人或其授权代表与采购人代表签订合同。</w:t>
      </w:r>
    </w:p>
    <w:p w14:paraId="3A01E92C">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5AC0755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25.4成交供应商拒绝与采购人签订合同的，采购人可以按照评审报告推荐的成交候选人名单排序，确定下一候选人为成交供应商，也可以重新开展采购活动。拒绝与采购人签订合同的成交供应商应承担采购代理服务费、评审专家劳务报酬等相关费用。</w:t>
      </w:r>
    </w:p>
    <w:p w14:paraId="73D25C6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25.5采购合同由采购人与成交供应商根据采购文件、响应文件等内容签订，备案。</w:t>
      </w:r>
    </w:p>
    <w:p w14:paraId="3E1D911A">
      <w:pPr>
        <w:pStyle w:val="26"/>
        <w:snapToGrid w:val="0"/>
        <w:spacing w:line="360" w:lineRule="auto"/>
        <w:ind w:left="479" w:hanging="479" w:hangingChars="199"/>
        <w:rPr>
          <w:rFonts w:cs="宋体"/>
          <w:b/>
          <w:color w:val="auto"/>
          <w:highlight w:val="none"/>
        </w:rPr>
      </w:pPr>
      <w:r>
        <w:rPr>
          <w:rFonts w:hint="eastAsia" w:cs="宋体"/>
          <w:b/>
          <w:color w:val="auto"/>
          <w:highlight w:val="none"/>
        </w:rPr>
        <w:t>26.履约保证金</w:t>
      </w:r>
    </w:p>
    <w:p w14:paraId="24C8CC9D">
      <w:pPr>
        <w:tabs>
          <w:tab w:val="left" w:pos="0"/>
        </w:tabs>
        <w:snapToGrid w:val="0"/>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宋体" w:hAnsi="宋体" w:cs="宋体"/>
          <w:color w:val="auto"/>
          <w:sz w:val="24"/>
          <w:highlight w:val="none"/>
        </w:rPr>
        <w:t>。杭州市政府采购网公布的供应商履约评价为满分的供应商，采购单位应当免收履约保证金。确需收取履约保证金的，履约保证金缴纳最高比例由不超过合同金额的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，鼓励根据项目特点、供应商诚信等因素免收履约保证金或降低缴纳比例。采购单位鼓励供应商采取履约保函形式提供信用保证；供应商提供保函的，采购单位不得拒收。项目验收结束后应及时退还，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210F05D0">
      <w:pPr>
        <w:pStyle w:val="6"/>
        <w:snapToGrid w:val="0"/>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供应商可登录</w:t>
      </w:r>
      <w:r>
        <w:rPr>
          <w:rFonts w:hint="eastAsia" w:ascii="宋体" w:hAnsi="宋体" w:eastAsia="宋体" w:cs="宋体"/>
          <w:b w:val="0"/>
          <w:bCs w:val="0"/>
          <w:snapToGrid w:val="0"/>
          <w:color w:val="auto"/>
          <w:kern w:val="28"/>
          <w:sz w:val="24"/>
          <w:highlight w:val="none"/>
          <w:lang w:eastAsia="zh-CN"/>
        </w:rPr>
        <w:t>乐彩云平台</w:t>
      </w:r>
      <w:r>
        <w:rPr>
          <w:rFonts w:hint="eastAsia" w:ascii="宋体" w:hAnsi="宋体" w:eastAsia="宋体" w:cs="宋体"/>
          <w:b w:val="0"/>
          <w:bCs w:val="0"/>
          <w:snapToGrid w:val="0"/>
          <w:color w:val="auto"/>
          <w:kern w:val="28"/>
          <w:sz w:val="24"/>
          <w:highlight w:val="none"/>
        </w:rPr>
        <w:t>（https://</w:t>
      </w:r>
      <w:r>
        <w:rPr>
          <w:rFonts w:hint="eastAsia" w:ascii="宋体" w:hAnsi="宋体" w:eastAsia="宋体" w:cs="宋体"/>
          <w:b w:val="0"/>
          <w:bCs w:val="0"/>
          <w:snapToGrid w:val="0"/>
          <w:color w:val="auto"/>
          <w:kern w:val="28"/>
          <w:sz w:val="24"/>
          <w:highlight w:val="none"/>
          <w:lang w:eastAsia="zh-CN"/>
        </w:rPr>
        <w:t>.lecaiyun.com</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ascii="宋体" w:hAnsi="宋体" w:eastAsia="宋体" w:cs="宋体"/>
          <w:b w:val="0"/>
          <w:bCs w:val="0"/>
          <w:snapToGrid w:val="0"/>
          <w:color w:val="auto"/>
          <w:kern w:val="28"/>
          <w:sz w:val="24"/>
          <w:highlight w:val="none"/>
          <w:lang w:eastAsia="zh-CN"/>
        </w:rPr>
        <w:t>乐采云</w:t>
      </w:r>
      <w:r>
        <w:rPr>
          <w:rFonts w:hint="eastAsia" w:ascii="宋体" w:hAnsi="宋体" w:eastAsia="宋体" w:cs="宋体"/>
          <w:b w:val="0"/>
          <w:bCs w:val="0"/>
          <w:snapToGrid w:val="0"/>
          <w:color w:val="auto"/>
          <w:kern w:val="28"/>
          <w:sz w:val="24"/>
          <w:highlight w:val="none"/>
        </w:rPr>
        <w:t>金融专线400-903-9583。</w:t>
      </w:r>
    </w:p>
    <w:p w14:paraId="0E9F7FE7">
      <w:pPr>
        <w:adjustRightInd/>
        <w:spacing w:line="360" w:lineRule="auto"/>
        <w:ind w:firstLine="420" w:firstLineChars="200"/>
        <w:rPr>
          <w:color w:val="auto"/>
          <w:highlight w:val="none"/>
        </w:rPr>
      </w:pPr>
    </w:p>
    <w:p w14:paraId="5B131DE9">
      <w:pPr>
        <w:rPr>
          <w:color w:val="auto"/>
          <w:highlight w:val="none"/>
        </w:rPr>
      </w:pPr>
    </w:p>
    <w:p w14:paraId="0ACF7A85">
      <w:pPr>
        <w:snapToGrid w:val="0"/>
        <w:spacing w:line="360" w:lineRule="auto"/>
        <w:jc w:val="center"/>
        <w:outlineLvl w:val="0"/>
        <w:rPr>
          <w:rFonts w:ascii="宋体" w:hAnsi="宋体" w:cs="宋体"/>
          <w:b/>
          <w:color w:val="auto"/>
          <w:sz w:val="32"/>
          <w:szCs w:val="20"/>
          <w:highlight w:val="none"/>
        </w:rPr>
      </w:pPr>
      <w:bookmarkStart w:id="74" w:name="_Toc25981"/>
      <w:bookmarkStart w:id="75" w:name="_Toc10166"/>
      <w:r>
        <w:rPr>
          <w:rFonts w:hint="eastAsia" w:ascii="宋体" w:hAnsi="宋体" w:cs="宋体"/>
          <w:b/>
          <w:color w:val="auto"/>
          <w:sz w:val="32"/>
          <w:szCs w:val="20"/>
          <w:highlight w:val="none"/>
        </w:rPr>
        <w:t>八、电子交易活动的中止</w:t>
      </w:r>
      <w:bookmarkEnd w:id="74"/>
      <w:bookmarkEnd w:id="75"/>
    </w:p>
    <w:p w14:paraId="7D09819B">
      <w:pPr>
        <w:pStyle w:val="133"/>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7F723459">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71403BC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084CD5A">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144EDA0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57137C0E">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720FE852">
      <w:pPr>
        <w:pStyle w:val="133"/>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b/>
          <w:color w:val="auto"/>
          <w:szCs w:val="24"/>
          <w:highlight w:val="none"/>
        </w:rPr>
        <w:t>29.</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5E9939A">
      <w:pPr>
        <w:snapToGrid w:val="0"/>
        <w:spacing w:line="360" w:lineRule="auto"/>
        <w:jc w:val="center"/>
        <w:outlineLvl w:val="0"/>
        <w:rPr>
          <w:rFonts w:ascii="宋体" w:hAnsi="宋体" w:cs="宋体"/>
          <w:b/>
          <w:color w:val="auto"/>
          <w:sz w:val="32"/>
          <w:szCs w:val="20"/>
          <w:highlight w:val="none"/>
        </w:rPr>
      </w:pPr>
      <w:bookmarkStart w:id="76" w:name="_Toc30366"/>
      <w:bookmarkStart w:id="77" w:name="_Toc19500"/>
      <w:r>
        <w:rPr>
          <w:rFonts w:hint="eastAsia" w:ascii="宋体" w:hAnsi="宋体" w:cs="宋体"/>
          <w:b/>
          <w:color w:val="auto"/>
          <w:sz w:val="32"/>
          <w:szCs w:val="20"/>
          <w:highlight w:val="none"/>
        </w:rPr>
        <w:t>九、验收</w:t>
      </w:r>
      <w:bookmarkEnd w:id="76"/>
      <w:bookmarkEnd w:id="77"/>
    </w:p>
    <w:p w14:paraId="53CE6630">
      <w:pPr>
        <w:pStyle w:val="26"/>
        <w:spacing w:line="360" w:lineRule="auto"/>
        <w:ind w:firstLine="0" w:firstLineChars="0"/>
        <w:rPr>
          <w:rFonts w:cs="宋体"/>
          <w:b/>
          <w:color w:val="auto"/>
          <w:highlight w:val="none"/>
        </w:rPr>
      </w:pPr>
      <w:r>
        <w:rPr>
          <w:rFonts w:hint="eastAsia" w:cs="宋体"/>
          <w:b/>
          <w:color w:val="auto"/>
          <w:highlight w:val="none"/>
        </w:rPr>
        <w:t>30.验收</w:t>
      </w:r>
    </w:p>
    <w:p w14:paraId="6882A63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32A5ABF">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30.2采购人可以邀请参加本项目的其他供应商或者第三方机构参与验收。参与验收的供应商或者第三方机构的意见作为验收书的参考资料一并存档。</w:t>
      </w:r>
    </w:p>
    <w:p w14:paraId="69F21EB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58CBC24">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采购法律法规规定的违法违规情形的，采购人应当及时报告本级财政部门。</w:t>
      </w:r>
    </w:p>
    <w:bookmarkEnd w:id="69"/>
    <w:p w14:paraId="41E442AF">
      <w:pPr>
        <w:pStyle w:val="6"/>
        <w:adjustRightInd w:val="0"/>
        <w:snapToGrid w:val="0"/>
        <w:ind w:left="0" w:firstLine="480" w:firstLineChars="200"/>
        <w:rPr>
          <w:rFonts w:ascii="宋体" w:hAnsi="宋体" w:eastAsia="宋体" w:cs="宋体"/>
          <w:b w:val="0"/>
          <w:bCs w:val="0"/>
          <w:color w:val="auto"/>
          <w:kern w:val="0"/>
          <w:sz w:val="24"/>
          <w:szCs w:val="24"/>
          <w:highlight w:val="none"/>
          <w:lang w:val="en-US"/>
        </w:rPr>
      </w:pPr>
      <w:bookmarkStart w:id="78" w:name="_Hlt74730295"/>
      <w:bookmarkEnd w:id="78"/>
      <w:bookmarkStart w:id="79" w:name="_Hlt68072998"/>
      <w:bookmarkEnd w:id="79"/>
      <w:bookmarkStart w:id="80" w:name="_Hlt68057669"/>
      <w:bookmarkEnd w:id="80"/>
      <w:bookmarkStart w:id="81" w:name="_Hlt68403820"/>
      <w:bookmarkEnd w:id="81"/>
      <w:bookmarkStart w:id="82" w:name="_Hlt74729768"/>
      <w:bookmarkEnd w:id="82"/>
      <w:bookmarkStart w:id="83" w:name="_Hlt75236011"/>
      <w:bookmarkEnd w:id="83"/>
      <w:bookmarkStart w:id="84" w:name="_Hlt68072990"/>
      <w:bookmarkEnd w:id="84"/>
      <w:bookmarkStart w:id="85" w:name="_Hlt74714665"/>
      <w:bookmarkEnd w:id="85"/>
      <w:bookmarkStart w:id="86" w:name="_Hlt68073093"/>
      <w:bookmarkEnd w:id="86"/>
      <w:bookmarkStart w:id="87" w:name="_Hlt75236290"/>
      <w:bookmarkEnd w:id="87"/>
      <w:bookmarkStart w:id="88" w:name="_Hlt75236101"/>
      <w:bookmarkEnd w:id="88"/>
      <w:bookmarkStart w:id="89" w:name="_Hlt74707468"/>
      <w:bookmarkEnd w:id="89"/>
      <w:r>
        <w:rPr>
          <w:rFonts w:hint="eastAsia" w:ascii="宋体" w:hAnsi="宋体" w:eastAsia="宋体" w:cs="宋体"/>
          <w:b w:val="0"/>
          <w:bCs w:val="0"/>
          <w:color w:val="auto"/>
          <w:kern w:val="0"/>
          <w:sz w:val="24"/>
          <w:szCs w:val="24"/>
          <w:highlight w:val="none"/>
          <w:lang w:val="en-US"/>
        </w:rPr>
        <w:t>30.5 对于满足合同约定的采购资金支付条件的，供应商可通过</w:t>
      </w:r>
      <w:r>
        <w:rPr>
          <w:rFonts w:hint="eastAsia" w:ascii="宋体" w:hAnsi="宋体" w:eastAsia="宋体" w:cs="宋体"/>
          <w:b w:val="0"/>
          <w:bCs w:val="0"/>
          <w:color w:val="auto"/>
          <w:kern w:val="0"/>
          <w:sz w:val="24"/>
          <w:szCs w:val="24"/>
          <w:highlight w:val="none"/>
          <w:lang w:val="en-US" w:eastAsia="zh-CN"/>
        </w:rPr>
        <w:t>乐采云</w:t>
      </w:r>
      <w:r>
        <w:rPr>
          <w:rFonts w:hint="eastAsia" w:ascii="宋体" w:hAnsi="宋体" w:eastAsia="宋体" w:cs="宋体"/>
          <w:b w:val="0"/>
          <w:bCs w:val="0"/>
          <w:color w:val="auto"/>
          <w:kern w:val="0"/>
          <w:sz w:val="24"/>
          <w:szCs w:val="24"/>
          <w:highlight w:val="none"/>
          <w:lang w:val="en-US"/>
        </w:rPr>
        <w:t>平台提起在线支付申请、查询支付结果，路径为</w:t>
      </w:r>
      <w:r>
        <w:rPr>
          <w:rFonts w:hint="eastAsia" w:ascii="宋体" w:hAnsi="宋体" w:eastAsia="宋体" w:cs="宋体"/>
          <w:b w:val="0"/>
          <w:bCs w:val="0"/>
          <w:color w:val="auto"/>
          <w:kern w:val="0"/>
          <w:sz w:val="24"/>
          <w:szCs w:val="24"/>
          <w:highlight w:val="none"/>
          <w:lang w:val="en-US" w:eastAsia="zh-CN"/>
        </w:rPr>
        <w:t>乐采云</w:t>
      </w:r>
      <w:r>
        <w:rPr>
          <w:rFonts w:hint="eastAsia" w:ascii="宋体" w:hAnsi="宋体" w:eastAsia="宋体" w:cs="宋体"/>
          <w:b w:val="0"/>
          <w:bCs w:val="0"/>
          <w:color w:val="auto"/>
          <w:kern w:val="0"/>
          <w:sz w:val="24"/>
          <w:szCs w:val="24"/>
          <w:highlight w:val="none"/>
          <w:lang w:val="en-US"/>
        </w:rPr>
        <w:t>-我的工作台-合同管理-支付管理。对于供应商提起在线支付申请的，采购人应当按规定做好审核并完成支付。</w:t>
      </w:r>
    </w:p>
    <w:p w14:paraId="6D796965">
      <w:pPr>
        <w:pStyle w:val="80"/>
        <w:rPr>
          <w:color w:val="auto"/>
          <w:highlight w:val="none"/>
        </w:rPr>
        <w:sectPr>
          <w:pgSz w:w="11906" w:h="16838"/>
          <w:pgMar w:top="1440" w:right="1080" w:bottom="1440" w:left="1080" w:header="851" w:footer="992" w:gutter="0"/>
          <w:pgNumType w:fmt="decimal"/>
          <w:cols w:space="720" w:num="1"/>
          <w:titlePg/>
          <w:docGrid w:linePitch="312" w:charSpace="0"/>
        </w:sectPr>
      </w:pPr>
    </w:p>
    <w:bookmarkEnd w:id="51"/>
    <w:bookmarkEnd w:id="52"/>
    <w:p w14:paraId="58FD7DA3">
      <w:pPr>
        <w:pStyle w:val="5"/>
        <w:snapToGrid w:val="0"/>
        <w:spacing w:before="0" w:after="0" w:line="360" w:lineRule="auto"/>
        <w:ind w:left="0" w:firstLine="0"/>
        <w:jc w:val="center"/>
        <w:rPr>
          <w:color w:val="auto"/>
          <w:highlight w:val="none"/>
        </w:rPr>
      </w:pPr>
      <w:bookmarkStart w:id="90" w:name="_Toc5649"/>
      <w:bookmarkStart w:id="91" w:name="第四部分"/>
      <w:r>
        <w:rPr>
          <w:rFonts w:hint="eastAsia"/>
          <w:color w:val="auto"/>
          <w:highlight w:val="none"/>
        </w:rPr>
        <w:t>第三部分 采购需求</w:t>
      </w:r>
      <w:bookmarkEnd w:id="90"/>
    </w:p>
    <w:p w14:paraId="760C79EE">
      <w:pPr>
        <w:pStyle w:val="35"/>
        <w:spacing w:before="156" w:after="156" w:line="360" w:lineRule="auto"/>
        <w:ind w:firstLine="480"/>
        <w:jc w:val="center"/>
        <w:rPr>
          <w:rFonts w:hAnsi="宋体" w:cs="宋体"/>
          <w:bCs/>
          <w:color w:val="auto"/>
          <w:highlight w:val="none"/>
        </w:rPr>
      </w:pPr>
      <w:r>
        <w:rPr>
          <w:rFonts w:hint="eastAsia" w:hAnsi="宋体" w:cs="宋体"/>
          <w:b/>
          <w:bCs/>
          <w:color w:val="auto"/>
          <w:sz w:val="30"/>
          <w:szCs w:val="30"/>
          <w:highlight w:val="none"/>
        </w:rPr>
        <w:t>（一）项目技术规范</w:t>
      </w:r>
    </w:p>
    <w:p w14:paraId="10AB363A">
      <w:pPr>
        <w:pStyle w:val="6"/>
        <w:tabs>
          <w:tab w:val="left" w:pos="578"/>
          <w:tab w:val="clear" w:pos="432"/>
        </w:tabs>
        <w:spacing w:line="360" w:lineRule="auto"/>
        <w:ind w:firstLine="422"/>
        <w:rPr>
          <w:rFonts w:ascii="宋体" w:hAnsi="宋体" w:eastAsia="宋体" w:cs="宋体"/>
          <w:b/>
          <w:bCs w:val="0"/>
          <w:color w:val="auto"/>
          <w:sz w:val="21"/>
          <w:szCs w:val="21"/>
          <w:highlight w:val="none"/>
        </w:rPr>
      </w:pPr>
      <w:bookmarkStart w:id="92" w:name="_Toc24464"/>
      <w:r>
        <w:rPr>
          <w:rFonts w:hint="eastAsia" w:ascii="宋体" w:hAnsi="宋体" w:eastAsia="宋体" w:cs="宋体"/>
          <w:b/>
          <w:bCs w:val="0"/>
          <w:color w:val="auto"/>
          <w:sz w:val="21"/>
          <w:szCs w:val="21"/>
          <w:highlight w:val="none"/>
        </w:rPr>
        <w:t>一、技术标准、规范（不限于以下）</w:t>
      </w:r>
      <w:bookmarkEnd w:id="92"/>
    </w:p>
    <w:p w14:paraId="038CBE8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国家规定的标准及规范，按最新的标准及规范执行。</w:t>
      </w:r>
    </w:p>
    <w:p w14:paraId="5F45BB9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行业标准及规范，按最新的标准及规范执行。</w:t>
      </w:r>
    </w:p>
    <w:p w14:paraId="7478C3CA">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其它相关标准及规范，按最新的标准及规范执行。</w:t>
      </w:r>
    </w:p>
    <w:p w14:paraId="29C0C841">
      <w:pPr>
        <w:spacing w:line="360" w:lineRule="auto"/>
        <w:ind w:firstLine="420" w:firstLineChars="200"/>
        <w:rPr>
          <w:rFonts w:hAnsi="宋体" w:cs="宋体"/>
          <w:color w:val="auto"/>
          <w:szCs w:val="21"/>
          <w:highlight w:val="none"/>
        </w:rPr>
      </w:pPr>
      <w:r>
        <w:rPr>
          <w:rFonts w:hint="eastAsia" w:ascii="宋体" w:hAnsi="宋体" w:eastAsia="宋体" w:cs="宋体"/>
          <w:snapToGrid/>
          <w:color w:val="auto"/>
          <w:kern w:val="2"/>
          <w:sz w:val="21"/>
          <w:szCs w:val="21"/>
          <w:highlight w:val="none"/>
          <w:lang w:val="en-US" w:eastAsia="zh-CN" w:bidi="ar-SA"/>
        </w:rPr>
        <w:t>4</w:t>
      </w:r>
      <w:r>
        <w:rPr>
          <w:rFonts w:hint="eastAsia" w:ascii="宋体" w:hAnsi="宋体" w:cs="宋体"/>
          <w:snapToGrid/>
          <w:color w:val="auto"/>
          <w:kern w:val="2"/>
          <w:sz w:val="21"/>
          <w:szCs w:val="21"/>
          <w:highlight w:val="none"/>
          <w:lang w:val="en-US" w:eastAsia="zh-CN" w:bidi="ar-SA"/>
        </w:rPr>
        <w:t>.</w:t>
      </w:r>
      <w:r>
        <w:rPr>
          <w:rFonts w:hint="eastAsia" w:ascii="宋体" w:hAnsi="宋体" w:eastAsia="宋体" w:cs="宋体"/>
          <w:snapToGrid/>
          <w:color w:val="auto"/>
          <w:kern w:val="2"/>
          <w:sz w:val="21"/>
          <w:szCs w:val="21"/>
          <w:highlight w:val="none"/>
          <w:lang w:val="en-US" w:eastAsia="zh-CN" w:bidi="ar-SA"/>
        </w:rPr>
        <w:t>上述标准如有不一致，执行更严格的标准。</w:t>
      </w:r>
    </w:p>
    <w:p w14:paraId="5A24C8C9">
      <w:pPr>
        <w:pStyle w:val="6"/>
        <w:tabs>
          <w:tab w:val="left" w:pos="578"/>
          <w:tab w:val="clear" w:pos="432"/>
        </w:tabs>
        <w:spacing w:line="360" w:lineRule="auto"/>
        <w:ind w:firstLine="422"/>
        <w:rPr>
          <w:rFonts w:ascii="宋体" w:hAnsi="宋体" w:eastAsia="宋体" w:cs="宋体"/>
          <w:b/>
          <w:bCs w:val="0"/>
          <w:color w:val="auto"/>
          <w:sz w:val="21"/>
          <w:szCs w:val="21"/>
          <w:highlight w:val="none"/>
        </w:rPr>
      </w:pPr>
      <w:bookmarkStart w:id="93" w:name="_Toc335039018"/>
      <w:bookmarkStart w:id="94" w:name="_Toc413075739"/>
      <w:bookmarkStart w:id="95" w:name="_Toc328992072"/>
      <w:bookmarkStart w:id="96" w:name="_Toc329113953"/>
      <w:bookmarkStart w:id="97" w:name="_Toc25642"/>
      <w:r>
        <w:rPr>
          <w:rFonts w:hint="eastAsia" w:ascii="宋体" w:hAnsi="宋体" w:eastAsia="宋体" w:cs="宋体"/>
          <w:b/>
          <w:bCs w:val="0"/>
          <w:color w:val="auto"/>
          <w:sz w:val="21"/>
          <w:szCs w:val="21"/>
          <w:highlight w:val="none"/>
        </w:rPr>
        <w:t>二、</w:t>
      </w:r>
      <w:bookmarkEnd w:id="93"/>
      <w:bookmarkEnd w:id="94"/>
      <w:bookmarkEnd w:id="95"/>
      <w:bookmarkEnd w:id="96"/>
      <w:r>
        <w:rPr>
          <w:rFonts w:hint="eastAsia" w:ascii="宋体" w:hAnsi="宋体" w:eastAsia="宋体" w:cs="宋体"/>
          <w:b/>
          <w:bCs w:val="0"/>
          <w:color w:val="auto"/>
          <w:sz w:val="21"/>
          <w:szCs w:val="21"/>
          <w:highlight w:val="none"/>
        </w:rPr>
        <w:t>采购需求</w:t>
      </w:r>
      <w:bookmarkEnd w:id="97"/>
    </w:p>
    <w:p w14:paraId="0B5915E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具体要求详见采购文件的“（二）项目采购需求书”。</w:t>
      </w:r>
    </w:p>
    <w:p w14:paraId="4F068279">
      <w:pPr>
        <w:pStyle w:val="6"/>
        <w:tabs>
          <w:tab w:val="left" w:pos="578"/>
          <w:tab w:val="clear" w:pos="432"/>
        </w:tabs>
        <w:spacing w:line="360" w:lineRule="auto"/>
        <w:ind w:firstLine="422"/>
        <w:rPr>
          <w:rFonts w:ascii="宋体" w:hAnsi="宋体" w:eastAsia="宋体" w:cs="宋体"/>
          <w:b/>
          <w:bCs w:val="0"/>
          <w:color w:val="auto"/>
          <w:sz w:val="21"/>
          <w:szCs w:val="21"/>
          <w:highlight w:val="none"/>
        </w:rPr>
      </w:pPr>
      <w:bookmarkStart w:id="98" w:name="_Toc329113954"/>
      <w:bookmarkStart w:id="99" w:name="_Toc12862"/>
      <w:bookmarkStart w:id="100" w:name="_Toc413075740"/>
      <w:bookmarkStart w:id="101" w:name="_Toc328992073"/>
      <w:bookmarkStart w:id="102" w:name="_Toc335039019"/>
      <w:r>
        <w:rPr>
          <w:rFonts w:hint="eastAsia" w:ascii="宋体" w:hAnsi="宋体" w:eastAsia="宋体" w:cs="宋体"/>
          <w:b/>
          <w:bCs w:val="0"/>
          <w:color w:val="auto"/>
          <w:sz w:val="21"/>
          <w:szCs w:val="21"/>
          <w:highlight w:val="none"/>
        </w:rPr>
        <w:t>三、工作范围</w:t>
      </w:r>
      <w:bookmarkEnd w:id="98"/>
      <w:bookmarkEnd w:id="99"/>
      <w:bookmarkEnd w:id="100"/>
      <w:bookmarkEnd w:id="101"/>
      <w:bookmarkEnd w:id="102"/>
    </w:p>
    <w:p w14:paraId="5C86CD2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各供应商须按国家有关标准及规范完成采购文件规定的所有工作内容：</w:t>
      </w:r>
    </w:p>
    <w:p w14:paraId="164376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履行所有规定服务。</w:t>
      </w:r>
    </w:p>
    <w:p w14:paraId="2EC33B40">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服务须达到采购文件规定的质量标准及使用要求。</w:t>
      </w:r>
    </w:p>
    <w:p w14:paraId="00BC3C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具体要求详见采购文件的“（二）项目采购需求书”。</w:t>
      </w:r>
    </w:p>
    <w:p w14:paraId="6B4C9D1A">
      <w:pPr>
        <w:spacing w:line="560" w:lineRule="exact"/>
        <w:ind w:firstLine="480" w:firstLineChars="200"/>
        <w:jc w:val="center"/>
        <w:outlineLvl w:val="1"/>
        <w:rPr>
          <w:rFonts w:ascii="宋体" w:hAnsi="宋体" w:cs="宋体"/>
          <w:color w:val="auto"/>
          <w:sz w:val="24"/>
          <w:highlight w:val="none"/>
        </w:rPr>
      </w:pPr>
      <w:r>
        <w:rPr>
          <w:rFonts w:hint="eastAsia" w:ascii="宋体" w:hAnsi="宋体" w:cs="宋体"/>
          <w:color w:val="auto"/>
          <w:sz w:val="24"/>
          <w:highlight w:val="none"/>
        </w:rPr>
        <w:br w:type="page"/>
      </w:r>
      <w:r>
        <w:rPr>
          <w:rFonts w:hint="eastAsia" w:ascii="宋体" w:hAnsi="宋体" w:cs="宋体"/>
          <w:b/>
          <w:bCs/>
          <w:color w:val="auto"/>
          <w:sz w:val="30"/>
          <w:szCs w:val="30"/>
          <w:highlight w:val="none"/>
        </w:rPr>
        <w:t>（二）项目采购需求书</w:t>
      </w:r>
    </w:p>
    <w:p w14:paraId="7856B7D8">
      <w:pPr>
        <w:keepNext w:val="0"/>
        <w:keepLines w:val="0"/>
        <w:pageBreakBefore w:val="0"/>
        <w:widowControl w:val="0"/>
        <w:kinsoku/>
        <w:wordWrap/>
        <w:overflowPunct/>
        <w:topLinePunct w:val="0"/>
        <w:autoSpaceDE/>
        <w:autoSpaceDN/>
        <w:bidi w:val="0"/>
        <w:adjustRightInd w:val="0"/>
        <w:snapToGrid w:val="0"/>
        <w:spacing w:line="360" w:lineRule="auto"/>
        <w:ind w:left="0" w:firstLine="466"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11"/>
          <w:position w:val="2"/>
          <w:szCs w:val="21"/>
          <w:highlight w:val="none"/>
        </w:rPr>
        <w:t>一</w:t>
      </w:r>
      <w:r>
        <w:rPr>
          <w:rFonts w:hint="eastAsia" w:ascii="宋体" w:hAnsi="宋体" w:cs="宋体"/>
          <w:b/>
          <w:bCs/>
          <w:color w:val="auto"/>
          <w:spacing w:val="8"/>
          <w:position w:val="2"/>
          <w:szCs w:val="21"/>
          <w:highlight w:val="none"/>
        </w:rPr>
        <w:t>、项目概述</w:t>
      </w:r>
    </w:p>
    <w:p w14:paraId="138BBAE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杭州市老年病医院</w:t>
      </w:r>
      <w:r>
        <w:rPr>
          <w:rFonts w:hint="eastAsia" w:ascii="宋体" w:hAnsi="宋体" w:cs="宋体"/>
          <w:color w:val="auto"/>
          <w:spacing w:val="8"/>
          <w:szCs w:val="21"/>
          <w:highlight w:val="none"/>
          <w:lang w:val="en-US" w:eastAsia="zh-CN"/>
        </w:rPr>
        <w:t>医</w:t>
      </w:r>
      <w:r>
        <w:rPr>
          <w:rFonts w:hint="eastAsia" w:ascii="宋体" w:hAnsi="宋体" w:eastAsia="宋体" w:cs="宋体"/>
          <w:color w:val="auto"/>
          <w:spacing w:val="8"/>
          <w:szCs w:val="21"/>
          <w:highlight w:val="none"/>
          <w:lang w:eastAsia="zh-CN"/>
        </w:rPr>
        <w:t>技楼医用气体及呼叫系统改造</w:t>
      </w:r>
      <w:r>
        <w:rPr>
          <w:rFonts w:hint="eastAsia" w:ascii="宋体" w:hAnsi="宋体" w:eastAsia="宋体" w:cs="宋体"/>
          <w:color w:val="auto"/>
          <w:spacing w:val="8"/>
          <w:szCs w:val="21"/>
          <w:highlight w:val="none"/>
        </w:rPr>
        <w:t>项目</w:t>
      </w:r>
      <w:r>
        <w:rPr>
          <w:rFonts w:hint="eastAsia" w:ascii="宋体" w:hAnsi="宋体" w:eastAsia="宋体" w:cs="宋体"/>
          <w:color w:val="auto"/>
          <w:spacing w:val="8"/>
          <w:szCs w:val="21"/>
          <w:highlight w:val="none"/>
          <w:lang w:eastAsia="zh-CN"/>
        </w:rPr>
        <w:t>，</w:t>
      </w:r>
      <w:r>
        <w:rPr>
          <w:rFonts w:hint="eastAsia" w:ascii="宋体" w:hAnsi="宋体" w:eastAsia="宋体" w:cs="宋体"/>
          <w:color w:val="auto"/>
          <w:spacing w:val="8"/>
          <w:szCs w:val="21"/>
          <w:highlight w:val="none"/>
        </w:rPr>
        <w:t>预算</w:t>
      </w:r>
      <w:r>
        <w:rPr>
          <w:rFonts w:hint="eastAsia" w:ascii="宋体" w:hAnsi="宋体" w:eastAsia="宋体" w:cs="宋体"/>
          <w:color w:val="auto"/>
          <w:spacing w:val="8"/>
          <w:szCs w:val="21"/>
          <w:highlight w:val="none"/>
          <w:lang w:val="en-US" w:eastAsia="zh-CN"/>
        </w:rPr>
        <w:t>金</w:t>
      </w:r>
      <w:r>
        <w:rPr>
          <w:rFonts w:hint="eastAsia" w:ascii="宋体" w:hAnsi="宋体" w:eastAsia="宋体" w:cs="宋体"/>
          <w:color w:val="auto"/>
          <w:spacing w:val="8"/>
          <w:szCs w:val="21"/>
          <w:highlight w:val="none"/>
        </w:rPr>
        <w:t>额</w:t>
      </w:r>
      <w:r>
        <w:rPr>
          <w:rFonts w:hint="eastAsia" w:ascii="宋体" w:hAnsi="宋体" w:cs="宋体"/>
          <w:color w:val="auto"/>
          <w:spacing w:val="8"/>
          <w:szCs w:val="21"/>
          <w:highlight w:val="none"/>
          <w:lang w:val="en-US" w:eastAsia="zh-CN"/>
        </w:rPr>
        <w:t>7</w:t>
      </w:r>
      <w:r>
        <w:rPr>
          <w:rFonts w:hint="eastAsia" w:ascii="宋体" w:hAnsi="宋体" w:eastAsia="宋体" w:cs="宋体"/>
          <w:color w:val="auto"/>
          <w:spacing w:val="8"/>
          <w:szCs w:val="21"/>
          <w:highlight w:val="none"/>
          <w:lang w:val="en-US" w:eastAsia="zh-CN"/>
        </w:rPr>
        <w:t>0</w:t>
      </w:r>
      <w:r>
        <w:rPr>
          <w:rFonts w:hint="eastAsia" w:ascii="宋体" w:hAnsi="宋体" w:eastAsia="宋体" w:cs="宋体"/>
          <w:color w:val="auto"/>
          <w:spacing w:val="8"/>
          <w:szCs w:val="21"/>
          <w:highlight w:val="none"/>
        </w:rPr>
        <w:t>万元</w:t>
      </w:r>
      <w:r>
        <w:rPr>
          <w:rFonts w:hint="eastAsia" w:ascii="宋体" w:hAnsi="宋体" w:eastAsia="宋体" w:cs="宋体"/>
          <w:color w:val="auto"/>
          <w:spacing w:val="8"/>
          <w:szCs w:val="21"/>
          <w:highlight w:val="none"/>
          <w:lang w:eastAsia="zh-CN"/>
        </w:rPr>
        <w:t>，</w:t>
      </w:r>
      <w:r>
        <w:rPr>
          <w:rFonts w:hint="eastAsia" w:ascii="宋体" w:hAnsi="宋体" w:eastAsia="宋体" w:cs="宋体"/>
          <w:color w:val="auto"/>
          <w:spacing w:val="8"/>
          <w:szCs w:val="21"/>
          <w:highlight w:val="none"/>
        </w:rPr>
        <w:t>本项目为设计施工一体化项目，</w:t>
      </w:r>
      <w:r>
        <w:rPr>
          <w:rFonts w:hint="eastAsia" w:ascii="宋体" w:hAnsi="宋体" w:eastAsia="宋体" w:cs="宋体"/>
          <w:color w:val="auto"/>
          <w:spacing w:val="8"/>
          <w:szCs w:val="21"/>
          <w:highlight w:val="none"/>
          <w:lang w:val="en-US" w:eastAsia="zh-CN"/>
        </w:rPr>
        <w:t>施工地点</w:t>
      </w:r>
      <w:r>
        <w:rPr>
          <w:rFonts w:hint="eastAsia" w:ascii="宋体" w:hAnsi="宋体" w:eastAsia="宋体" w:cs="宋体"/>
          <w:color w:val="auto"/>
          <w:spacing w:val="8"/>
          <w:szCs w:val="21"/>
          <w:highlight w:val="none"/>
          <w:lang w:eastAsia="zh-CN"/>
        </w:rPr>
        <w:t>杭州市拱墅区景莘街50号</w:t>
      </w:r>
      <w:r>
        <w:rPr>
          <w:rFonts w:hint="eastAsia" w:ascii="宋体" w:hAnsi="宋体" w:eastAsia="宋体" w:cs="宋体"/>
          <w:color w:val="auto"/>
          <w:spacing w:val="8"/>
          <w:szCs w:val="21"/>
          <w:highlight w:val="none"/>
          <w:lang w:val="en-US" w:eastAsia="zh-CN"/>
        </w:rPr>
        <w:t>，杭州市老年病医院（杭州市第一人民医院城北院区）</w:t>
      </w:r>
      <w:r>
        <w:rPr>
          <w:rFonts w:hint="eastAsia" w:ascii="宋体" w:hAnsi="宋体" w:eastAsia="宋体" w:cs="宋体"/>
          <w:color w:val="auto"/>
          <w:spacing w:val="8"/>
          <w:szCs w:val="21"/>
          <w:highlight w:val="none"/>
          <w:lang w:eastAsia="zh-CN"/>
        </w:rPr>
        <w:t>医技楼五层、六层共</w:t>
      </w:r>
      <w:r>
        <w:rPr>
          <w:rFonts w:hint="eastAsia" w:ascii="宋体" w:hAnsi="宋体" w:eastAsia="宋体" w:cs="宋体"/>
          <w:color w:val="auto"/>
          <w:spacing w:val="8"/>
          <w:szCs w:val="21"/>
          <w:highlight w:val="none"/>
          <w:lang w:val="en-US" w:eastAsia="zh-CN"/>
        </w:rPr>
        <w:t>28个房间</w:t>
      </w:r>
      <w:r>
        <w:rPr>
          <w:rFonts w:hint="eastAsia" w:ascii="宋体" w:hAnsi="宋体" w:eastAsia="宋体" w:cs="宋体"/>
          <w:color w:val="auto"/>
          <w:spacing w:val="8"/>
          <w:szCs w:val="21"/>
          <w:highlight w:val="none"/>
          <w:lang w:eastAsia="zh-CN"/>
        </w:rPr>
        <w:t>，总工期</w:t>
      </w:r>
      <w:r>
        <w:rPr>
          <w:rFonts w:hint="eastAsia" w:ascii="宋体" w:hAnsi="宋体" w:eastAsia="宋体" w:cs="宋体"/>
          <w:color w:val="auto"/>
          <w:spacing w:val="8"/>
          <w:szCs w:val="21"/>
          <w:highlight w:val="none"/>
          <w:lang w:val="en-US" w:eastAsia="zh-CN"/>
        </w:rPr>
        <w:t>60</w:t>
      </w:r>
      <w:r>
        <w:rPr>
          <w:rFonts w:hint="eastAsia" w:ascii="宋体" w:hAnsi="宋体" w:eastAsia="宋体" w:cs="宋体"/>
          <w:color w:val="auto"/>
          <w:spacing w:val="8"/>
          <w:szCs w:val="21"/>
          <w:highlight w:val="none"/>
          <w:lang w:eastAsia="zh-CN"/>
        </w:rPr>
        <w:t>日历天（含设计周期、施工工期）</w:t>
      </w:r>
      <w:r>
        <w:rPr>
          <w:rFonts w:hint="eastAsia" w:ascii="宋体" w:hAnsi="宋体" w:cs="宋体"/>
          <w:color w:val="auto"/>
          <w:spacing w:val="8"/>
          <w:szCs w:val="21"/>
          <w:highlight w:val="none"/>
          <w:lang w:eastAsia="zh-CN"/>
        </w:rPr>
        <w:t>。</w:t>
      </w:r>
    </w:p>
    <w:p w14:paraId="2B00C4B6">
      <w:pPr>
        <w:keepNext w:val="0"/>
        <w:keepLines w:val="0"/>
        <w:pageBreakBefore w:val="0"/>
        <w:widowControl w:val="0"/>
        <w:kinsoku/>
        <w:wordWrap/>
        <w:overflowPunct/>
        <w:topLinePunct w:val="0"/>
        <w:autoSpaceDE/>
        <w:autoSpaceDN/>
        <w:bidi w:val="0"/>
        <w:adjustRightInd w:val="0"/>
        <w:snapToGrid w:val="0"/>
        <w:spacing w:line="360" w:lineRule="auto"/>
        <w:ind w:left="0" w:firstLine="466" w:firstLineChars="200"/>
        <w:jc w:val="left"/>
        <w:textAlignment w:val="auto"/>
        <w:outlineLvl w:val="1"/>
        <w:rPr>
          <w:rFonts w:hint="default" w:ascii="宋体" w:hAnsi="宋体" w:eastAsia="宋体" w:cs="宋体"/>
          <w:b/>
          <w:bCs/>
          <w:color w:val="auto"/>
          <w:spacing w:val="11"/>
          <w:position w:val="2"/>
          <w:szCs w:val="21"/>
          <w:highlight w:val="none"/>
          <w:lang w:val="en-US" w:eastAsia="zh-CN"/>
        </w:rPr>
      </w:pPr>
      <w:r>
        <w:rPr>
          <w:rFonts w:hint="eastAsia" w:ascii="宋体" w:hAnsi="宋体" w:eastAsia="宋体" w:cs="宋体"/>
          <w:b/>
          <w:bCs/>
          <w:color w:val="auto"/>
          <w:spacing w:val="11"/>
          <w:position w:val="2"/>
          <w:szCs w:val="21"/>
          <w:highlight w:val="none"/>
          <w:lang w:val="en-US" w:eastAsia="zh-CN"/>
        </w:rPr>
        <w:t>二、工程内容及要求</w:t>
      </w:r>
    </w:p>
    <w:p w14:paraId="5C0A5B1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default" w:ascii="宋体" w:hAnsi="宋体" w:cs="宋体"/>
          <w:color w:val="auto"/>
          <w:spacing w:val="8"/>
          <w:szCs w:val="21"/>
          <w:highlight w:val="none"/>
          <w:lang w:val="en-US" w:eastAsia="zh-CN"/>
        </w:rPr>
      </w:pPr>
      <w:r>
        <w:rPr>
          <w:rFonts w:hint="eastAsia" w:ascii="宋体" w:hAnsi="宋体" w:cs="宋体"/>
          <w:color w:val="auto"/>
          <w:spacing w:val="8"/>
          <w:szCs w:val="21"/>
          <w:highlight w:val="none"/>
          <w:lang w:val="en-US" w:eastAsia="zh-CN"/>
        </w:rPr>
        <w:t>（一）工程内容</w:t>
      </w:r>
    </w:p>
    <w:p w14:paraId="400EA95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eastAsia" w:ascii="宋体" w:hAnsi="宋体" w:cs="宋体"/>
          <w:color w:val="auto"/>
          <w:spacing w:val="8"/>
          <w:szCs w:val="21"/>
          <w:highlight w:val="none"/>
          <w:lang w:val="en-US" w:eastAsia="zh-CN"/>
        </w:rPr>
      </w:pPr>
      <w:r>
        <w:rPr>
          <w:rFonts w:hint="eastAsia" w:ascii="宋体" w:hAnsi="宋体" w:cs="宋体"/>
          <w:color w:val="auto"/>
          <w:spacing w:val="8"/>
          <w:szCs w:val="21"/>
          <w:highlight w:val="none"/>
          <w:lang w:val="en-US" w:eastAsia="zh-CN"/>
        </w:rPr>
        <w:t>1医技楼五层、六层共28个房间，</w:t>
      </w:r>
      <w:r>
        <w:rPr>
          <w:rFonts w:hint="eastAsia" w:ascii="宋体" w:hAnsi="宋体" w:cs="宋体"/>
          <w:b w:val="0"/>
          <w:bCs w:val="0"/>
          <w:color w:val="auto"/>
          <w:spacing w:val="8"/>
          <w:position w:val="1"/>
          <w:szCs w:val="21"/>
          <w:highlight w:val="none"/>
          <w:lang w:val="en-US" w:eastAsia="zh-CN"/>
        </w:rPr>
        <w:t>改造完成后，保证26个房间104个床位及两个大房间24个床位氧气、负压、呼叫、用电需求；</w:t>
      </w:r>
    </w:p>
    <w:p w14:paraId="3689AF5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52" w:firstLineChars="200"/>
        <w:jc w:val="left"/>
        <w:textAlignment w:val="auto"/>
        <w:outlineLvl w:val="1"/>
        <w:rPr>
          <w:rFonts w:hint="eastAsia" w:ascii="宋体" w:hAnsi="宋体" w:cs="宋体"/>
          <w:b w:val="0"/>
          <w:bCs w:val="0"/>
          <w:color w:val="auto"/>
          <w:spacing w:val="8"/>
          <w:position w:val="1"/>
          <w:szCs w:val="21"/>
          <w:highlight w:val="none"/>
          <w:lang w:val="en-US" w:eastAsia="zh-CN"/>
        </w:rPr>
      </w:pPr>
      <w:r>
        <w:rPr>
          <w:rFonts w:hint="eastAsia" w:ascii="宋体" w:hAnsi="宋体" w:cs="宋体"/>
          <w:b w:val="0"/>
          <w:bCs w:val="0"/>
          <w:color w:val="auto"/>
          <w:spacing w:val="8"/>
          <w:position w:val="1"/>
          <w:szCs w:val="21"/>
          <w:highlight w:val="none"/>
          <w:lang w:val="en-US" w:eastAsia="zh-CN"/>
        </w:rPr>
        <w:t>2.</w:t>
      </w:r>
      <w:r>
        <w:rPr>
          <w:rFonts w:hint="eastAsia" w:ascii="宋体" w:hAnsi="宋体" w:cs="宋体"/>
          <w:color w:val="auto"/>
          <w:spacing w:val="8"/>
          <w:szCs w:val="21"/>
          <w:highlight w:val="none"/>
        </w:rPr>
        <w:t>含设计</w:t>
      </w:r>
      <w:r>
        <w:rPr>
          <w:rFonts w:hint="eastAsia" w:ascii="宋体" w:hAnsi="宋体" w:cs="宋体"/>
          <w:color w:val="auto"/>
          <w:spacing w:val="8"/>
          <w:szCs w:val="21"/>
          <w:highlight w:val="none"/>
          <w:lang w:val="en-US" w:eastAsia="zh-CN"/>
        </w:rPr>
        <w:t>、室内及室外管线施工、设备设施采购安装等的总</w:t>
      </w:r>
      <w:r>
        <w:rPr>
          <w:rFonts w:hint="eastAsia" w:ascii="宋体" w:hAnsi="宋体" w:cs="宋体"/>
          <w:color w:val="auto"/>
          <w:spacing w:val="8"/>
          <w:szCs w:val="21"/>
          <w:highlight w:val="none"/>
        </w:rPr>
        <w:t>费用；</w:t>
      </w:r>
    </w:p>
    <w:p w14:paraId="781140C0">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3.</w:t>
      </w:r>
      <w:r>
        <w:rPr>
          <w:rFonts w:hint="eastAsia" w:ascii="宋体" w:hAnsi="宋体" w:cs="宋体"/>
          <w:color w:val="auto"/>
          <w:spacing w:val="8"/>
          <w:szCs w:val="21"/>
          <w:highlight w:val="none"/>
        </w:rPr>
        <w:t>原装饰拆除</w:t>
      </w:r>
      <w:r>
        <w:rPr>
          <w:rFonts w:hint="eastAsia" w:ascii="宋体" w:hAnsi="宋体" w:cs="宋体"/>
          <w:color w:val="auto"/>
          <w:spacing w:val="8"/>
          <w:szCs w:val="21"/>
          <w:highlight w:val="none"/>
          <w:lang w:eastAsia="zh-CN"/>
        </w:rPr>
        <w:t>、</w:t>
      </w:r>
      <w:r>
        <w:rPr>
          <w:rFonts w:hint="eastAsia" w:ascii="宋体" w:hAnsi="宋体" w:cs="宋体"/>
          <w:color w:val="auto"/>
          <w:spacing w:val="8"/>
          <w:szCs w:val="21"/>
          <w:highlight w:val="none"/>
          <w:lang w:val="en-US" w:eastAsia="zh-CN"/>
        </w:rPr>
        <w:t>修复</w:t>
      </w:r>
      <w:r>
        <w:rPr>
          <w:rFonts w:hint="eastAsia" w:ascii="宋体" w:hAnsi="宋体" w:cs="宋体"/>
          <w:color w:val="auto"/>
          <w:spacing w:val="8"/>
          <w:szCs w:val="21"/>
          <w:highlight w:val="none"/>
        </w:rPr>
        <w:t>及垃圾清理运输</w:t>
      </w:r>
      <w:r>
        <w:rPr>
          <w:rFonts w:hint="eastAsia" w:ascii="宋体" w:hAnsi="宋体" w:cs="宋体"/>
          <w:color w:val="auto"/>
          <w:spacing w:val="8"/>
          <w:szCs w:val="21"/>
          <w:highlight w:val="none"/>
          <w:lang w:eastAsia="zh-CN"/>
        </w:rPr>
        <w:t>；</w:t>
      </w:r>
    </w:p>
    <w:p w14:paraId="50F5D67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4.确认后的</w:t>
      </w:r>
      <w:r>
        <w:rPr>
          <w:rFonts w:hint="eastAsia" w:ascii="宋体" w:hAnsi="宋体" w:cs="宋体"/>
          <w:color w:val="auto"/>
          <w:spacing w:val="8"/>
          <w:szCs w:val="21"/>
          <w:highlight w:val="none"/>
        </w:rPr>
        <w:t>图纸中</w:t>
      </w:r>
      <w:r>
        <w:rPr>
          <w:rFonts w:hint="eastAsia" w:ascii="宋体" w:hAnsi="宋体" w:cs="宋体"/>
          <w:bCs/>
          <w:color w:val="auto"/>
          <w:szCs w:val="21"/>
          <w:highlight w:val="none"/>
          <w:lang w:val="en-US" w:eastAsia="zh-CN"/>
        </w:rPr>
        <w:t>改造</w:t>
      </w:r>
      <w:r>
        <w:rPr>
          <w:rFonts w:hint="eastAsia" w:ascii="宋体" w:hAnsi="宋体" w:cs="宋体"/>
          <w:color w:val="auto"/>
          <w:spacing w:val="8"/>
          <w:szCs w:val="21"/>
          <w:highlight w:val="none"/>
        </w:rPr>
        <w:t>工程施工及验收</w:t>
      </w:r>
      <w:r>
        <w:rPr>
          <w:rFonts w:hint="eastAsia" w:ascii="宋体" w:hAnsi="宋体" w:cs="宋体"/>
          <w:color w:val="auto"/>
          <w:spacing w:val="8"/>
          <w:szCs w:val="21"/>
          <w:highlight w:val="none"/>
          <w:lang w:eastAsia="zh-CN"/>
        </w:rPr>
        <w:t>；</w:t>
      </w:r>
    </w:p>
    <w:p w14:paraId="094E35D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5.</w:t>
      </w:r>
      <w:r>
        <w:rPr>
          <w:rFonts w:hint="eastAsia" w:ascii="宋体" w:hAnsi="宋体" w:cs="宋体"/>
          <w:color w:val="auto"/>
          <w:spacing w:val="8"/>
          <w:szCs w:val="21"/>
          <w:highlight w:val="none"/>
        </w:rPr>
        <w:t>完工后保洁</w:t>
      </w:r>
      <w:r>
        <w:rPr>
          <w:rFonts w:hint="eastAsia" w:ascii="宋体" w:hAnsi="宋体" w:cs="宋体"/>
          <w:color w:val="auto"/>
          <w:spacing w:val="8"/>
          <w:szCs w:val="21"/>
          <w:highlight w:val="none"/>
          <w:lang w:val="en-US" w:eastAsia="zh-CN"/>
        </w:rPr>
        <w:t>工作</w:t>
      </w:r>
      <w:r>
        <w:rPr>
          <w:rFonts w:hint="eastAsia" w:ascii="宋体" w:hAnsi="宋体" w:cs="宋体"/>
          <w:color w:val="auto"/>
          <w:spacing w:val="8"/>
          <w:szCs w:val="21"/>
          <w:highlight w:val="none"/>
        </w:rPr>
        <w:t>；</w:t>
      </w:r>
    </w:p>
    <w:p w14:paraId="7E7F1D40">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eastAsia" w:ascii="宋体" w:hAnsi="宋体" w:cs="宋体"/>
          <w:color w:val="auto"/>
          <w:spacing w:val="8"/>
          <w:szCs w:val="21"/>
          <w:highlight w:val="none"/>
        </w:rPr>
      </w:pPr>
      <w:r>
        <w:rPr>
          <w:rFonts w:hint="eastAsia" w:ascii="宋体" w:hAnsi="宋体" w:cs="宋体"/>
          <w:color w:val="auto"/>
          <w:spacing w:val="8"/>
          <w:szCs w:val="21"/>
          <w:highlight w:val="none"/>
          <w:lang w:val="en-US" w:eastAsia="zh-CN"/>
        </w:rPr>
        <w:t>6.中标的供应商</w:t>
      </w:r>
      <w:r>
        <w:rPr>
          <w:rFonts w:hint="eastAsia" w:ascii="宋体" w:hAnsi="宋体" w:cs="宋体"/>
          <w:color w:val="auto"/>
          <w:spacing w:val="8"/>
          <w:szCs w:val="21"/>
          <w:highlight w:val="none"/>
        </w:rPr>
        <w:t>需积极配合项目相关审批工作；</w:t>
      </w:r>
    </w:p>
    <w:p w14:paraId="60BEF85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7</w:t>
      </w:r>
      <w:r>
        <w:rPr>
          <w:rFonts w:hint="eastAsia" w:ascii="宋体" w:hAnsi="宋体" w:cs="宋体"/>
          <w:color w:val="auto"/>
          <w:spacing w:val="8"/>
          <w:szCs w:val="21"/>
          <w:highlight w:val="none"/>
        </w:rPr>
        <w:t>.其他与工程相关的内容</w:t>
      </w:r>
      <w:r>
        <w:rPr>
          <w:rFonts w:hint="eastAsia" w:ascii="宋体" w:hAnsi="宋体" w:cs="宋体"/>
          <w:color w:val="auto"/>
          <w:spacing w:val="8"/>
          <w:szCs w:val="21"/>
          <w:highlight w:val="none"/>
          <w:lang w:eastAsia="zh-CN"/>
        </w:rPr>
        <w:t>；</w:t>
      </w:r>
    </w:p>
    <w:p w14:paraId="55438BCB">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eastAsia" w:ascii="宋体" w:hAnsi="宋体" w:eastAsia="宋体" w:cs="宋体"/>
          <w:color w:val="auto"/>
          <w:spacing w:val="8"/>
          <w:szCs w:val="21"/>
          <w:highlight w:val="none"/>
          <w:lang w:eastAsia="zh-CN"/>
        </w:rPr>
      </w:pPr>
      <w:r>
        <w:rPr>
          <w:rFonts w:hint="eastAsia" w:ascii="宋体" w:hAnsi="宋体" w:cs="宋体"/>
          <w:color w:val="auto"/>
          <w:spacing w:val="8"/>
          <w:szCs w:val="21"/>
          <w:highlight w:val="none"/>
          <w:lang w:val="en-US" w:eastAsia="zh-CN"/>
        </w:rPr>
        <w:t>8</w:t>
      </w:r>
      <w:r>
        <w:rPr>
          <w:rFonts w:hint="eastAsia" w:ascii="宋体" w:hAnsi="宋体" w:cs="宋体"/>
          <w:color w:val="auto"/>
          <w:spacing w:val="8"/>
          <w:szCs w:val="21"/>
          <w:highlight w:val="none"/>
        </w:rPr>
        <w:t>.</w:t>
      </w:r>
      <w:r>
        <w:rPr>
          <w:rFonts w:hint="eastAsia" w:ascii="宋体" w:hAnsi="宋体" w:cs="宋体"/>
          <w:b w:val="0"/>
          <w:bCs w:val="0"/>
          <w:color w:val="auto"/>
          <w:spacing w:val="8"/>
          <w:position w:val="1"/>
          <w:szCs w:val="21"/>
          <w:highlight w:val="none"/>
          <w:lang w:val="en-US" w:eastAsia="zh-CN"/>
        </w:rPr>
        <w:t>对装饰材料的要求：原样修复；</w:t>
      </w:r>
    </w:p>
    <w:p w14:paraId="1DB5AF2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52" w:firstLineChars="200"/>
        <w:jc w:val="left"/>
        <w:textAlignment w:val="auto"/>
        <w:outlineLvl w:val="1"/>
        <w:rPr>
          <w:rFonts w:hint="eastAsia" w:ascii="宋体" w:hAnsi="宋体" w:cs="宋体"/>
          <w:b w:val="0"/>
          <w:bCs w:val="0"/>
          <w:color w:val="auto"/>
          <w:spacing w:val="8"/>
          <w:position w:val="1"/>
          <w:szCs w:val="21"/>
          <w:highlight w:val="none"/>
          <w:lang w:val="en-US" w:eastAsia="zh-CN"/>
        </w:rPr>
      </w:pPr>
      <w:r>
        <w:rPr>
          <w:rFonts w:hint="eastAsia" w:ascii="宋体" w:hAnsi="宋体" w:cs="宋体"/>
          <w:b w:val="0"/>
          <w:bCs w:val="0"/>
          <w:color w:val="auto"/>
          <w:spacing w:val="8"/>
          <w:position w:val="1"/>
          <w:szCs w:val="21"/>
          <w:highlight w:val="none"/>
          <w:lang w:val="en-US" w:eastAsia="zh-CN"/>
        </w:rPr>
        <w:t>9.对安装项目的要求：电气方面，每床位配220V五孔插座一个，与医用气体、呼叫系统整合在医疗设备带内；</w:t>
      </w:r>
    </w:p>
    <w:p w14:paraId="727FE53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52" w:firstLineChars="200"/>
        <w:jc w:val="left"/>
        <w:textAlignment w:val="auto"/>
        <w:outlineLvl w:val="1"/>
        <w:rPr>
          <w:rFonts w:hint="eastAsia" w:ascii="宋体" w:hAnsi="宋体" w:cs="宋体"/>
          <w:b/>
          <w:bCs/>
          <w:color w:val="auto"/>
          <w:spacing w:val="8"/>
          <w:position w:val="1"/>
          <w:szCs w:val="21"/>
          <w:highlight w:val="none"/>
          <w:lang w:val="en-US" w:eastAsia="zh-CN"/>
        </w:rPr>
      </w:pPr>
      <w:r>
        <w:rPr>
          <w:rFonts w:hint="eastAsia" w:ascii="宋体" w:hAnsi="宋体" w:cs="宋体"/>
          <w:b w:val="0"/>
          <w:bCs w:val="0"/>
          <w:color w:val="auto"/>
          <w:spacing w:val="8"/>
          <w:position w:val="1"/>
          <w:szCs w:val="21"/>
          <w:highlight w:val="none"/>
          <w:lang w:val="en-US" w:eastAsia="zh-CN"/>
        </w:rPr>
        <w:t>10.本项目确定中标方后，实际施工过程前仍须按临床科室使用需求，对中标方案不尽合理之处进行二次设计深化，深化的设计费用以及由此增加（调整）的施工费用一并包含在投标报价内，中标后不予调整，请投标单位在报价时一并考虑，合理报价。</w:t>
      </w:r>
    </w:p>
    <w:p w14:paraId="2A4643BB">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outlineLvl w:val="1"/>
        <w:rPr>
          <w:rFonts w:ascii="宋体" w:hAnsi="宋体" w:cs="宋体"/>
          <w:b/>
          <w:bCs/>
          <w:color w:val="auto"/>
          <w:spacing w:val="8"/>
          <w:position w:val="1"/>
          <w:szCs w:val="21"/>
          <w:highlight w:val="none"/>
        </w:rPr>
      </w:pPr>
      <w:r>
        <w:rPr>
          <w:rFonts w:hint="eastAsia" w:ascii="宋体" w:hAnsi="宋体" w:cs="宋体"/>
          <w:b/>
          <w:bCs/>
          <w:color w:val="auto"/>
          <w:spacing w:val="8"/>
          <w:position w:val="1"/>
          <w:szCs w:val="21"/>
          <w:highlight w:val="none"/>
          <w:lang w:val="en-US" w:eastAsia="zh-CN"/>
        </w:rPr>
        <w:t>三、</w:t>
      </w:r>
      <w:r>
        <w:rPr>
          <w:rFonts w:hint="eastAsia" w:ascii="宋体" w:hAnsi="宋体" w:cs="宋体"/>
          <w:b/>
          <w:bCs/>
          <w:color w:val="auto"/>
          <w:spacing w:val="8"/>
          <w:position w:val="1"/>
          <w:szCs w:val="21"/>
          <w:highlight w:val="none"/>
        </w:rPr>
        <w:t>适用标准及规范</w:t>
      </w:r>
    </w:p>
    <w:p w14:paraId="69989799">
      <w:pPr>
        <w:keepNext w:val="0"/>
        <w:keepLines w:val="0"/>
        <w:pageBreakBefore w:val="0"/>
        <w:widowControl w:val="0"/>
        <w:kinsoku/>
        <w:wordWrap/>
        <w:overflowPunct/>
        <w:topLinePunct w:val="0"/>
        <w:autoSpaceDE/>
        <w:autoSpaceDN/>
        <w:bidi w:val="0"/>
        <w:adjustRightInd w:val="0"/>
        <w:snapToGrid w:val="0"/>
        <w:spacing w:line="360" w:lineRule="auto"/>
        <w:ind w:left="0" w:firstLine="456"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9"/>
          <w:szCs w:val="21"/>
          <w:highlight w:val="none"/>
          <w:lang w:val="en-US" w:eastAsia="zh-CN"/>
        </w:rPr>
        <w:t>1.</w:t>
      </w:r>
      <w:r>
        <w:rPr>
          <w:rFonts w:hint="eastAsia" w:ascii="宋体" w:hAnsi="宋体" w:cs="宋体"/>
          <w:color w:val="auto"/>
          <w:spacing w:val="9"/>
          <w:szCs w:val="21"/>
          <w:highlight w:val="none"/>
        </w:rPr>
        <w:t>依据方案设计图纸和要求，本工程项目的材料、设备、施工必须达到现行中华</w:t>
      </w:r>
      <w:r>
        <w:rPr>
          <w:rFonts w:hint="eastAsia" w:ascii="宋体" w:hAnsi="宋体" w:cs="宋体"/>
          <w:color w:val="auto"/>
          <w:spacing w:val="14"/>
          <w:szCs w:val="21"/>
          <w:highlight w:val="none"/>
        </w:rPr>
        <w:t>人</w:t>
      </w:r>
      <w:r>
        <w:rPr>
          <w:rFonts w:hint="eastAsia" w:ascii="宋体" w:hAnsi="宋体" w:cs="宋体"/>
          <w:color w:val="auto"/>
          <w:spacing w:val="11"/>
          <w:szCs w:val="21"/>
          <w:highlight w:val="none"/>
        </w:rPr>
        <w:t>民</w:t>
      </w:r>
      <w:r>
        <w:rPr>
          <w:rFonts w:hint="eastAsia" w:ascii="宋体" w:hAnsi="宋体" w:cs="宋体"/>
          <w:color w:val="auto"/>
          <w:spacing w:val="7"/>
          <w:szCs w:val="21"/>
          <w:highlight w:val="none"/>
        </w:rPr>
        <w:t>共和国及省、市、行业的一切有关法规、规范的要求，如设计施工图纸、技术文件、标</w:t>
      </w:r>
      <w:r>
        <w:rPr>
          <w:rFonts w:hint="eastAsia" w:ascii="宋体" w:hAnsi="宋体" w:cs="宋体"/>
          <w:color w:val="auto"/>
          <w:spacing w:val="9"/>
          <w:szCs w:val="21"/>
          <w:highlight w:val="none"/>
        </w:rPr>
        <w:t>准及规范要求有出入，则以较严格者为准</w:t>
      </w:r>
      <w:r>
        <w:rPr>
          <w:rFonts w:hint="eastAsia" w:ascii="宋体" w:hAnsi="宋体" w:cs="宋体"/>
          <w:color w:val="auto"/>
          <w:spacing w:val="6"/>
          <w:szCs w:val="21"/>
          <w:highlight w:val="none"/>
        </w:rPr>
        <w:t>。</w:t>
      </w:r>
    </w:p>
    <w:p w14:paraId="68D3FE5E">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lang w:val="en-US" w:eastAsia="zh-CN"/>
        </w:rPr>
        <w:t>2.</w:t>
      </w:r>
      <w:r>
        <w:rPr>
          <w:rFonts w:hint="eastAsia" w:ascii="宋体" w:hAnsi="宋体" w:cs="宋体"/>
          <w:color w:val="auto"/>
          <w:sz w:val="24"/>
          <w:highlight w:val="none"/>
        </w:rPr>
        <w:t>▲</w:t>
      </w:r>
      <w:r>
        <w:rPr>
          <w:rFonts w:hint="eastAsia" w:ascii="宋体" w:hAnsi="宋体" w:cs="宋体"/>
          <w:color w:val="auto"/>
          <w:spacing w:val="6"/>
          <w:szCs w:val="21"/>
          <w:highlight w:val="none"/>
        </w:rPr>
        <w:t>提供投标产品有效的《医疗器械产品注册证》或备案表，如非医疗器械产品则无需提供；</w:t>
      </w:r>
    </w:p>
    <w:p w14:paraId="21157BA3">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ascii="宋体" w:hAnsi="宋体" w:cs="宋体"/>
          <w:color w:val="auto"/>
          <w:szCs w:val="21"/>
          <w:highlight w:val="none"/>
        </w:rPr>
      </w:pPr>
      <w:r>
        <w:rPr>
          <w:rFonts w:hint="eastAsia" w:ascii="宋体" w:hAnsi="宋体" w:cs="宋体"/>
          <w:color w:val="auto"/>
          <w:spacing w:val="6"/>
          <w:szCs w:val="21"/>
          <w:highlight w:val="none"/>
          <w:lang w:val="en-US" w:eastAsia="zh-CN"/>
        </w:rPr>
        <w:t>3.</w:t>
      </w:r>
      <w:r>
        <w:rPr>
          <w:rFonts w:hint="eastAsia" w:ascii="宋体" w:hAnsi="宋体" w:cs="宋体"/>
          <w:color w:val="auto"/>
          <w:sz w:val="24"/>
          <w:highlight w:val="none"/>
        </w:rPr>
        <w:t>▲</w:t>
      </w:r>
      <w:r>
        <w:rPr>
          <w:rFonts w:hint="eastAsia" w:ascii="宋体" w:hAnsi="宋体" w:cs="宋体"/>
          <w:color w:val="auto"/>
          <w:spacing w:val="6"/>
          <w:szCs w:val="21"/>
          <w:highlight w:val="none"/>
        </w:rPr>
        <w:t>提供供应商有效的《医疗器械经营企业许可证》或医疗器械经营备案凭证，如非第二类、第三类医疗器械产品则无需提供，如果是制造商另须提供《医疗器械生产许可证》；</w:t>
      </w:r>
    </w:p>
    <w:p w14:paraId="01683124">
      <w:pPr>
        <w:keepNext w:val="0"/>
        <w:keepLines w:val="0"/>
        <w:pageBreakBefore w:val="0"/>
        <w:widowControl w:val="0"/>
        <w:kinsoku/>
        <w:wordWrap/>
        <w:overflowPunct/>
        <w:topLinePunct w:val="0"/>
        <w:autoSpaceDE/>
        <w:autoSpaceDN/>
        <w:bidi w:val="0"/>
        <w:adjustRightInd w:val="0"/>
        <w:snapToGrid w:val="0"/>
        <w:spacing w:line="360" w:lineRule="auto"/>
        <w:ind w:left="0" w:firstLine="454" w:firstLineChars="200"/>
        <w:jc w:val="left"/>
        <w:textAlignment w:val="auto"/>
        <w:rPr>
          <w:rFonts w:ascii="宋体" w:hAnsi="宋体" w:cs="宋体"/>
          <w:b/>
          <w:bCs/>
          <w:color w:val="auto"/>
          <w:spacing w:val="8"/>
          <w:szCs w:val="21"/>
          <w:highlight w:val="none"/>
        </w:rPr>
      </w:pPr>
      <w:r>
        <w:rPr>
          <w:rFonts w:hint="eastAsia" w:ascii="宋体" w:hAnsi="宋体" w:cs="宋体"/>
          <w:b/>
          <w:bCs/>
          <w:color w:val="auto"/>
          <w:spacing w:val="8"/>
          <w:szCs w:val="21"/>
          <w:highlight w:val="none"/>
        </w:rPr>
        <w:t>四、设计要求</w:t>
      </w:r>
    </w:p>
    <w:p w14:paraId="55F5AD01">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eastAsia" w:ascii="宋体" w:hAnsi="宋体" w:cs="宋体"/>
          <w:color w:val="auto"/>
          <w:spacing w:val="8"/>
          <w:szCs w:val="21"/>
          <w:highlight w:val="none"/>
        </w:rPr>
      </w:pPr>
      <w:r>
        <w:rPr>
          <w:rFonts w:hint="eastAsia" w:ascii="宋体" w:hAnsi="宋体" w:cs="宋体"/>
          <w:color w:val="auto"/>
          <w:spacing w:val="8"/>
          <w:szCs w:val="21"/>
          <w:highlight w:val="none"/>
        </w:rPr>
        <w:t>1</w:t>
      </w:r>
      <w:r>
        <w:rPr>
          <w:rFonts w:hint="eastAsia" w:ascii="宋体" w:hAnsi="宋体" w:cs="宋体"/>
          <w:color w:val="auto"/>
          <w:spacing w:val="8"/>
          <w:szCs w:val="21"/>
          <w:highlight w:val="none"/>
          <w:lang w:val="en-US" w:eastAsia="zh-CN"/>
        </w:rPr>
        <w:t>.</w:t>
      </w:r>
      <w:r>
        <w:rPr>
          <w:rFonts w:hint="eastAsia" w:ascii="宋体" w:hAnsi="宋体" w:cs="宋体"/>
          <w:color w:val="auto"/>
          <w:spacing w:val="8"/>
          <w:szCs w:val="21"/>
          <w:highlight w:val="none"/>
        </w:rPr>
        <w:t>供应商在设计过程中，要严格按照</w:t>
      </w:r>
      <w:r>
        <w:rPr>
          <w:rFonts w:hint="eastAsia" w:ascii="宋体" w:hAnsi="宋体" w:cs="宋体"/>
          <w:color w:val="auto"/>
          <w:spacing w:val="8"/>
          <w:szCs w:val="21"/>
          <w:highlight w:val="none"/>
          <w:lang w:val="en-US" w:eastAsia="zh-CN"/>
        </w:rPr>
        <w:t>采购</w:t>
      </w:r>
      <w:r>
        <w:rPr>
          <w:rFonts w:hint="eastAsia" w:ascii="宋体" w:hAnsi="宋体" w:cs="宋体"/>
          <w:color w:val="auto"/>
          <w:spacing w:val="8"/>
          <w:szCs w:val="21"/>
          <w:highlight w:val="none"/>
        </w:rPr>
        <w:t>文件的约定，围绕相关现场勘察资料，</w:t>
      </w:r>
      <w:r>
        <w:rPr>
          <w:rFonts w:hint="eastAsia" w:ascii="宋体" w:hAnsi="宋体" w:cs="宋体"/>
          <w:color w:val="auto"/>
          <w:spacing w:val="11"/>
          <w:szCs w:val="21"/>
          <w:highlight w:val="none"/>
        </w:rPr>
        <w:t>按方案设计</w:t>
      </w:r>
      <w:r>
        <w:rPr>
          <w:rFonts w:hint="eastAsia" w:ascii="宋体" w:hAnsi="宋体" w:cs="宋体"/>
          <w:color w:val="auto"/>
          <w:spacing w:val="8"/>
          <w:szCs w:val="21"/>
          <w:highlight w:val="none"/>
        </w:rPr>
        <w:t>文件及设计规范完成设计工作，设计效果图需经过采购人的确认。</w:t>
      </w:r>
    </w:p>
    <w:p w14:paraId="4D488EBA">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eastAsia" w:ascii="宋体" w:hAnsi="宋体" w:cs="宋体"/>
          <w:color w:val="auto"/>
          <w:spacing w:val="8"/>
          <w:szCs w:val="21"/>
          <w:highlight w:val="none"/>
        </w:rPr>
      </w:pPr>
      <w:r>
        <w:rPr>
          <w:rFonts w:hint="eastAsia" w:ascii="宋体" w:hAnsi="宋体" w:cs="宋体"/>
          <w:color w:val="auto"/>
          <w:spacing w:val="8"/>
          <w:szCs w:val="21"/>
          <w:highlight w:val="none"/>
        </w:rPr>
        <w:t>2</w:t>
      </w:r>
      <w:r>
        <w:rPr>
          <w:rFonts w:hint="eastAsia" w:ascii="宋体" w:hAnsi="宋体" w:cs="宋体"/>
          <w:color w:val="auto"/>
          <w:spacing w:val="8"/>
          <w:szCs w:val="21"/>
          <w:highlight w:val="none"/>
          <w:lang w:val="en-US" w:eastAsia="zh-CN"/>
        </w:rPr>
        <w:t>.</w:t>
      </w:r>
      <w:r>
        <w:rPr>
          <w:rFonts w:hint="eastAsia" w:ascii="宋体" w:hAnsi="宋体" w:cs="宋体"/>
          <w:color w:val="auto"/>
          <w:spacing w:val="8"/>
          <w:szCs w:val="21"/>
          <w:highlight w:val="none"/>
        </w:rPr>
        <w:t>设计内容</w:t>
      </w:r>
    </w:p>
    <w:p w14:paraId="5B89ADD6">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default" w:ascii="宋体" w:hAnsi="宋体" w:cs="宋体"/>
          <w:color w:val="auto"/>
          <w:spacing w:val="8"/>
          <w:szCs w:val="21"/>
          <w:highlight w:val="none"/>
          <w:lang w:val="en-US" w:eastAsia="zh-CN"/>
        </w:rPr>
      </w:pPr>
      <w:r>
        <w:rPr>
          <w:rFonts w:hint="eastAsia" w:ascii="宋体" w:hAnsi="宋体" w:cs="宋体"/>
          <w:color w:val="auto"/>
          <w:spacing w:val="8"/>
          <w:szCs w:val="21"/>
          <w:highlight w:val="none"/>
          <w:lang w:val="en-US" w:eastAsia="zh-CN"/>
        </w:rPr>
        <w:t>按工程内容进行设计。</w:t>
      </w:r>
    </w:p>
    <w:p w14:paraId="3449A0B9">
      <w:pPr>
        <w:keepNext w:val="0"/>
        <w:keepLines w:val="0"/>
        <w:pageBreakBefore w:val="0"/>
        <w:widowControl w:val="0"/>
        <w:kinsoku/>
        <w:wordWrap/>
        <w:overflowPunct/>
        <w:topLinePunct w:val="0"/>
        <w:autoSpaceDE/>
        <w:autoSpaceDN/>
        <w:bidi w:val="0"/>
        <w:adjustRightInd w:val="0"/>
        <w:snapToGrid w:val="0"/>
        <w:spacing w:line="360" w:lineRule="auto"/>
        <w:ind w:left="0" w:firstLine="466"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11"/>
          <w:szCs w:val="21"/>
          <w:highlight w:val="none"/>
        </w:rPr>
        <w:t>五</w:t>
      </w:r>
      <w:r>
        <w:rPr>
          <w:rFonts w:hint="eastAsia" w:ascii="宋体" w:hAnsi="宋体" w:cs="宋体"/>
          <w:b/>
          <w:bCs/>
          <w:color w:val="auto"/>
          <w:spacing w:val="8"/>
          <w:szCs w:val="21"/>
          <w:highlight w:val="none"/>
        </w:rPr>
        <w:t>、施工要求</w:t>
      </w:r>
    </w:p>
    <w:p w14:paraId="0ACB562A">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rPr>
        <w:t>1.</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应严格按照</w:t>
      </w:r>
      <w:r>
        <w:rPr>
          <w:rFonts w:hint="eastAsia" w:ascii="宋体" w:hAnsi="宋体" w:cs="宋体"/>
          <w:color w:val="auto"/>
          <w:spacing w:val="18"/>
          <w:position w:val="1"/>
          <w:szCs w:val="21"/>
          <w:highlight w:val="none"/>
          <w:lang w:val="en-US" w:eastAsia="zh-CN"/>
        </w:rPr>
        <w:t>采购</w:t>
      </w:r>
      <w:r>
        <w:rPr>
          <w:rFonts w:hint="eastAsia" w:ascii="宋体" w:hAnsi="宋体" w:cs="宋体"/>
          <w:color w:val="auto"/>
          <w:spacing w:val="18"/>
          <w:position w:val="1"/>
          <w:szCs w:val="21"/>
          <w:highlight w:val="none"/>
        </w:rPr>
        <w:t>人已确认的施工图纸及施工技术方案组织施工，并无条件地接受采购人对施工质量的监督和管理。</w:t>
      </w:r>
    </w:p>
    <w:p w14:paraId="445C3906">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rPr>
        <w:t>2.</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在投标响应文件中承诺的深化设计负责人、深化设计班子主要成员、项目经理及相应资质的专业技术、管理人员未经采购人书面同意，</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不得调换和撤离，并按工程进度及时到位。采购人有权要求</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撤换工作不负责任、管理不力、贻误工期和造成严重安全事故和工程质量事故、违法乱纪的专业技术管理人员直至项目经理，直至采购人满意为止。如项目经理及相应资质的专业技术人员未按要求到位，视作违约，采购人有权单方面终止合同。</w:t>
      </w:r>
    </w:p>
    <w:p w14:paraId="41170E4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rPr>
        <w:t>3.</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须做好安全文明施工措施，要求无重大人员伤亡事故。施工期间发生的人身伤亡、财产损失及其它一切事故，由</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承担由此带来的一切损失和相关处罚。给采购人造成损失的，由</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负责赔偿。</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须按有关规定办理各类保险，并自行承担费用。</w:t>
      </w:r>
    </w:p>
    <w:p w14:paraId="5DCAFCE8">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4</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须负责施工现场的消防安全工作，严格落实消防措施。工地现场及时清除易燃、可燃物品，配置消防器材，落实专人监护，保证现场的消防安全。</w:t>
      </w:r>
    </w:p>
    <w:p w14:paraId="1E5EDF48">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5</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施工（制作）完成的施工内容必须达到采购文件和设计方案及施工图要求的效果，如不能达到，在采购人允许的一定时间内进行修改、完善，使其达到对展示效果的承诺。</w:t>
      </w:r>
    </w:p>
    <w:p w14:paraId="5C3BA68E">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6</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负责选购的材料应确保符合采购文件的要求，提供的所有材料，五金及配套件必须是全新的和没有缺陷的，工程所有外露材料的颜色必须报经采购人批准后方可采购。采购人对任何材料、五金及配套件的认可并不分担任何</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作为承包方应负的责任。</w:t>
      </w:r>
    </w:p>
    <w:p w14:paraId="2038EFA8">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7</w:t>
      </w:r>
      <w:r>
        <w:rPr>
          <w:rFonts w:hint="eastAsia" w:ascii="宋体" w:hAnsi="宋体" w:cs="宋体"/>
          <w:color w:val="auto"/>
          <w:spacing w:val="18"/>
          <w:position w:val="1"/>
          <w:szCs w:val="21"/>
          <w:highlight w:val="none"/>
        </w:rPr>
        <w:t>.隐蔽工程经采购人验收合格后方可进入下道工序施工。</w:t>
      </w:r>
    </w:p>
    <w:p w14:paraId="1A50966E">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8</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应在施工过程中采取必要的除尘、降噪措施，且不得影响大楼内其他设备的正常运行。</w:t>
      </w:r>
    </w:p>
    <w:p w14:paraId="2420B3CC">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9</w:t>
      </w:r>
      <w:r>
        <w:rPr>
          <w:rFonts w:hint="eastAsia" w:ascii="宋体" w:hAnsi="宋体" w:cs="宋体"/>
          <w:color w:val="auto"/>
          <w:spacing w:val="18"/>
          <w:position w:val="1"/>
          <w:szCs w:val="21"/>
          <w:highlight w:val="none"/>
        </w:rPr>
        <w:t>.建筑垃圾外运必须按杭州市《建筑垃圾处理管理条例》条款的规定定点、定时外运处理。</w:t>
      </w:r>
    </w:p>
    <w:p w14:paraId="1C73C342">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10</w:t>
      </w:r>
      <w:r>
        <w:rPr>
          <w:rFonts w:hint="eastAsia" w:ascii="宋体" w:hAnsi="宋体" w:cs="宋体"/>
          <w:color w:val="auto"/>
          <w:spacing w:val="18"/>
          <w:position w:val="1"/>
          <w:szCs w:val="21"/>
          <w:highlight w:val="none"/>
        </w:rPr>
        <w:t>.本工程如需要办理消防手续，承包单位需无条件配合办理，并确保消防验收顺利通过。</w:t>
      </w:r>
    </w:p>
    <w:p w14:paraId="4C5958BA">
      <w:pPr>
        <w:keepNext w:val="0"/>
        <w:keepLines w:val="0"/>
        <w:pageBreakBefore w:val="0"/>
        <w:widowControl w:val="0"/>
        <w:kinsoku/>
        <w:wordWrap/>
        <w:overflowPunct/>
        <w:topLinePunct w:val="0"/>
        <w:autoSpaceDE/>
        <w:autoSpaceDN/>
        <w:bidi w:val="0"/>
        <w:adjustRightInd w:val="0"/>
        <w:snapToGrid w:val="0"/>
        <w:spacing w:line="360" w:lineRule="auto"/>
        <w:ind w:left="0" w:firstLine="454"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8"/>
          <w:szCs w:val="21"/>
          <w:highlight w:val="none"/>
        </w:rPr>
        <w:t>六、商务要求</w:t>
      </w:r>
    </w:p>
    <w:p w14:paraId="76511DEA">
      <w:pPr>
        <w:keepNext w:val="0"/>
        <w:keepLines w:val="0"/>
        <w:pageBreakBefore w:val="0"/>
        <w:widowControl w:val="0"/>
        <w:kinsoku/>
        <w:wordWrap/>
        <w:overflowPunct/>
        <w:topLinePunct w:val="0"/>
        <w:autoSpaceDE/>
        <w:autoSpaceDN/>
        <w:bidi w:val="0"/>
        <w:adjustRightInd w:val="0"/>
        <w:snapToGrid w:val="0"/>
        <w:spacing w:line="360" w:lineRule="auto"/>
        <w:ind w:left="0" w:firstLine="428"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2"/>
          <w:szCs w:val="21"/>
          <w:highlight w:val="none"/>
        </w:rPr>
        <w:t>（一）工</w:t>
      </w:r>
      <w:r>
        <w:rPr>
          <w:rFonts w:hint="eastAsia" w:ascii="宋体" w:hAnsi="宋体" w:cs="宋体"/>
          <w:color w:val="auto"/>
          <w:spacing w:val="18"/>
          <w:position w:val="1"/>
          <w:szCs w:val="21"/>
          <w:highlight w:val="none"/>
        </w:rPr>
        <w:t>期要求</w:t>
      </w:r>
    </w:p>
    <w:p w14:paraId="0D515BBB">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1.</w:t>
      </w:r>
      <w:r>
        <w:rPr>
          <w:rFonts w:hint="eastAsia" w:ascii="宋体" w:hAnsi="宋体" w:cs="宋体"/>
          <w:color w:val="auto"/>
          <w:spacing w:val="18"/>
          <w:position w:val="1"/>
          <w:szCs w:val="21"/>
          <w:highlight w:val="none"/>
          <w:lang w:eastAsia="zh-CN"/>
        </w:rPr>
        <w:t>总工期</w:t>
      </w:r>
      <w:r>
        <w:rPr>
          <w:rFonts w:hint="eastAsia" w:ascii="宋体" w:hAnsi="宋体" w:cs="宋体"/>
          <w:color w:val="auto"/>
          <w:spacing w:val="18"/>
          <w:position w:val="1"/>
          <w:szCs w:val="21"/>
          <w:highlight w:val="none"/>
          <w:lang w:val="en-US" w:eastAsia="zh-CN"/>
        </w:rPr>
        <w:t>60</w:t>
      </w:r>
      <w:r>
        <w:rPr>
          <w:rFonts w:hint="eastAsia" w:ascii="宋体" w:hAnsi="宋体" w:cs="宋体"/>
          <w:color w:val="auto"/>
          <w:spacing w:val="18"/>
          <w:position w:val="1"/>
          <w:szCs w:val="21"/>
          <w:highlight w:val="none"/>
          <w:lang w:eastAsia="zh-CN"/>
        </w:rPr>
        <w:t>日历天（含设计周期、施工工期）</w:t>
      </w:r>
      <w:r>
        <w:rPr>
          <w:rFonts w:hint="eastAsia" w:ascii="宋体" w:hAnsi="宋体" w:cs="宋体"/>
          <w:color w:val="auto"/>
          <w:spacing w:val="18"/>
          <w:position w:val="1"/>
          <w:szCs w:val="21"/>
          <w:highlight w:val="none"/>
        </w:rPr>
        <w:t>。</w:t>
      </w:r>
    </w:p>
    <w:p w14:paraId="23AB3DFE">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2.</w:t>
      </w:r>
      <w:r>
        <w:rPr>
          <w:rFonts w:hint="eastAsia" w:ascii="宋体" w:hAnsi="宋体" w:cs="宋体"/>
          <w:color w:val="auto"/>
          <w:spacing w:val="18"/>
          <w:position w:val="1"/>
          <w:szCs w:val="21"/>
          <w:highlight w:val="none"/>
        </w:rPr>
        <w:t>施工图交付时间：</w:t>
      </w:r>
      <w:r>
        <w:rPr>
          <w:rFonts w:hint="eastAsia" w:ascii="宋体" w:hAnsi="宋体" w:cs="宋体"/>
          <w:color w:val="auto"/>
          <w:spacing w:val="18"/>
          <w:position w:val="1"/>
          <w:szCs w:val="21"/>
          <w:highlight w:val="none"/>
          <w:lang w:val="en-US" w:eastAsia="zh-CN"/>
        </w:rPr>
        <w:t>合同签订</w:t>
      </w:r>
      <w:r>
        <w:rPr>
          <w:rFonts w:hint="eastAsia" w:ascii="宋体" w:hAnsi="宋体" w:cs="宋体"/>
          <w:color w:val="auto"/>
          <w:spacing w:val="18"/>
          <w:position w:val="1"/>
          <w:szCs w:val="21"/>
          <w:highlight w:val="none"/>
        </w:rPr>
        <w:t>后</w:t>
      </w:r>
      <w:r>
        <w:rPr>
          <w:rFonts w:hint="eastAsia" w:ascii="宋体" w:hAnsi="宋体" w:cs="宋体"/>
          <w:color w:val="auto"/>
          <w:spacing w:val="18"/>
          <w:position w:val="1"/>
          <w:szCs w:val="21"/>
          <w:highlight w:val="none"/>
          <w:lang w:val="en-US" w:eastAsia="zh-CN"/>
        </w:rPr>
        <w:t>10</w:t>
      </w:r>
      <w:r>
        <w:rPr>
          <w:rFonts w:hint="eastAsia" w:ascii="宋体" w:hAnsi="宋体" w:cs="宋体"/>
          <w:color w:val="auto"/>
          <w:spacing w:val="18"/>
          <w:position w:val="1"/>
          <w:szCs w:val="21"/>
          <w:highlight w:val="none"/>
        </w:rPr>
        <w:t>个日历天内完成施工图及施工图预算，并经采购人认可。</w:t>
      </w:r>
    </w:p>
    <w:p w14:paraId="6CD8CD8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3.</w:t>
      </w:r>
      <w:r>
        <w:rPr>
          <w:rFonts w:hint="eastAsia" w:ascii="宋体" w:hAnsi="宋体" w:cs="宋体"/>
          <w:color w:val="auto"/>
          <w:spacing w:val="18"/>
          <w:position w:val="1"/>
          <w:szCs w:val="21"/>
          <w:highlight w:val="none"/>
        </w:rPr>
        <w:t>计划开工时间：预计202</w:t>
      </w:r>
      <w:r>
        <w:rPr>
          <w:rFonts w:hint="eastAsia" w:ascii="宋体" w:hAnsi="宋体" w:cs="宋体"/>
          <w:color w:val="auto"/>
          <w:spacing w:val="18"/>
          <w:position w:val="1"/>
          <w:szCs w:val="21"/>
          <w:highlight w:val="none"/>
          <w:lang w:val="en-US" w:eastAsia="zh-CN"/>
        </w:rPr>
        <w:t>5</w:t>
      </w:r>
      <w:r>
        <w:rPr>
          <w:rFonts w:hint="eastAsia" w:ascii="宋体" w:hAnsi="宋体" w:cs="宋体"/>
          <w:color w:val="auto"/>
          <w:spacing w:val="18"/>
          <w:position w:val="1"/>
          <w:szCs w:val="21"/>
          <w:highlight w:val="none"/>
        </w:rPr>
        <w:t>年</w:t>
      </w:r>
      <w:r>
        <w:rPr>
          <w:rFonts w:hint="eastAsia" w:ascii="宋体" w:hAnsi="宋体" w:cs="宋体"/>
          <w:color w:val="auto"/>
          <w:spacing w:val="18"/>
          <w:position w:val="1"/>
          <w:szCs w:val="21"/>
          <w:highlight w:val="none"/>
          <w:lang w:val="en-US" w:eastAsia="zh-CN"/>
        </w:rPr>
        <w:t>4</w:t>
      </w:r>
      <w:r>
        <w:rPr>
          <w:rFonts w:hint="eastAsia" w:ascii="宋体" w:hAnsi="宋体" w:cs="宋体"/>
          <w:color w:val="auto"/>
          <w:spacing w:val="18"/>
          <w:position w:val="1"/>
          <w:szCs w:val="21"/>
          <w:highlight w:val="none"/>
        </w:rPr>
        <w:t>月。</w:t>
      </w:r>
    </w:p>
    <w:p w14:paraId="1B9362F5">
      <w:pPr>
        <w:keepNext w:val="0"/>
        <w:keepLines w:val="0"/>
        <w:pageBreakBefore w:val="0"/>
        <w:widowControl w:val="0"/>
        <w:kinsoku/>
        <w:wordWrap/>
        <w:overflowPunct/>
        <w:topLinePunct w:val="0"/>
        <w:autoSpaceDE/>
        <w:autoSpaceDN/>
        <w:bidi w:val="0"/>
        <w:adjustRightInd w:val="0"/>
        <w:snapToGrid w:val="0"/>
        <w:spacing w:line="360" w:lineRule="auto"/>
        <w:ind w:left="0" w:firstLine="464" w:firstLineChars="200"/>
        <w:jc w:val="left"/>
        <w:textAlignment w:val="auto"/>
        <w:rPr>
          <w:rFonts w:ascii="宋体" w:hAnsi="宋体" w:cs="宋体"/>
          <w:color w:val="auto"/>
          <w:spacing w:val="5"/>
          <w:szCs w:val="21"/>
          <w:highlight w:val="none"/>
        </w:rPr>
      </w:pPr>
      <w:r>
        <w:rPr>
          <w:rFonts w:hint="eastAsia" w:ascii="宋体" w:hAnsi="宋体" w:cs="宋体"/>
          <w:color w:val="auto"/>
          <w:spacing w:val="11"/>
          <w:szCs w:val="21"/>
          <w:highlight w:val="none"/>
        </w:rPr>
        <w:t>设</w:t>
      </w:r>
      <w:r>
        <w:rPr>
          <w:rFonts w:hint="eastAsia" w:ascii="宋体" w:hAnsi="宋体" w:cs="宋体"/>
          <w:color w:val="auto"/>
          <w:spacing w:val="7"/>
          <w:szCs w:val="21"/>
          <w:highlight w:val="none"/>
        </w:rPr>
        <w:t>计、施工期间，如遇因重要活动或因疫情</w:t>
      </w:r>
      <w:r>
        <w:rPr>
          <w:rFonts w:hint="eastAsia" w:ascii="宋体" w:hAnsi="宋体" w:cs="宋体"/>
          <w:color w:val="auto"/>
          <w:spacing w:val="7"/>
          <w:szCs w:val="21"/>
          <w:highlight w:val="none"/>
          <w:lang w:val="en-US" w:eastAsia="zh-CN"/>
        </w:rPr>
        <w:t>等</w:t>
      </w:r>
      <w:r>
        <w:rPr>
          <w:rFonts w:hint="eastAsia" w:ascii="宋体" w:hAnsi="宋体" w:cs="宋体"/>
          <w:color w:val="auto"/>
          <w:spacing w:val="7"/>
          <w:szCs w:val="21"/>
          <w:highlight w:val="none"/>
        </w:rPr>
        <w:t>需工程暂停的，</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7"/>
          <w:szCs w:val="21"/>
          <w:highlight w:val="none"/>
        </w:rPr>
        <w:t>需</w:t>
      </w:r>
      <w:r>
        <w:rPr>
          <w:rFonts w:hint="eastAsia" w:ascii="宋体" w:hAnsi="宋体" w:cs="宋体"/>
          <w:color w:val="auto"/>
          <w:spacing w:val="14"/>
          <w:szCs w:val="21"/>
          <w:highlight w:val="none"/>
        </w:rPr>
        <w:t>无</w:t>
      </w:r>
      <w:r>
        <w:rPr>
          <w:rFonts w:hint="eastAsia" w:ascii="宋体" w:hAnsi="宋体" w:cs="宋体"/>
          <w:color w:val="auto"/>
          <w:spacing w:val="9"/>
          <w:szCs w:val="21"/>
          <w:highlight w:val="none"/>
        </w:rPr>
        <w:t>条</w:t>
      </w:r>
      <w:r>
        <w:rPr>
          <w:rFonts w:hint="eastAsia" w:ascii="宋体" w:hAnsi="宋体" w:cs="宋体"/>
          <w:color w:val="auto"/>
          <w:spacing w:val="7"/>
          <w:szCs w:val="21"/>
          <w:highlight w:val="none"/>
        </w:rPr>
        <w:t>件配合，工期依据暂停时间自动顺延；但因此产生的其他影响或成本支出由</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7"/>
          <w:szCs w:val="21"/>
          <w:highlight w:val="none"/>
        </w:rPr>
        <w:t>自</w:t>
      </w:r>
      <w:r>
        <w:rPr>
          <w:rFonts w:hint="eastAsia" w:ascii="宋体" w:hAnsi="宋体" w:cs="宋体"/>
          <w:color w:val="auto"/>
          <w:spacing w:val="5"/>
          <w:szCs w:val="21"/>
          <w:highlight w:val="none"/>
        </w:rPr>
        <w:t>行承担。</w:t>
      </w:r>
    </w:p>
    <w:p w14:paraId="06ADBB5A">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left="0" w:firstLine="440" w:firstLineChars="200"/>
        <w:jc w:val="left"/>
        <w:textAlignment w:val="auto"/>
        <w:rPr>
          <w:rFonts w:ascii="宋体" w:hAnsi="宋体" w:cs="宋体"/>
          <w:color w:val="auto"/>
          <w:szCs w:val="21"/>
          <w:highlight w:val="none"/>
        </w:rPr>
      </w:pPr>
      <w:r>
        <w:rPr>
          <w:rFonts w:hint="eastAsia" w:ascii="宋体" w:hAnsi="宋体" w:cs="宋体"/>
          <w:color w:val="auto"/>
          <w:spacing w:val="5"/>
          <w:szCs w:val="21"/>
          <w:highlight w:val="none"/>
        </w:rPr>
        <w:t>履约地点：采购人指定地点</w:t>
      </w:r>
    </w:p>
    <w:p w14:paraId="5DBC57D9">
      <w:pPr>
        <w:keepNext w:val="0"/>
        <w:keepLines w:val="0"/>
        <w:pageBreakBefore w:val="0"/>
        <w:widowControl w:val="0"/>
        <w:kinsoku/>
        <w:wordWrap/>
        <w:overflowPunct/>
        <w:topLinePunct w:val="0"/>
        <w:autoSpaceDE/>
        <w:autoSpaceDN/>
        <w:bidi w:val="0"/>
        <w:adjustRightInd w:val="0"/>
        <w:snapToGrid w:val="0"/>
        <w:spacing w:line="360" w:lineRule="auto"/>
        <w:ind w:left="0" w:firstLine="460" w:firstLineChars="200"/>
        <w:jc w:val="left"/>
        <w:textAlignment w:val="auto"/>
        <w:rPr>
          <w:rFonts w:ascii="宋体" w:hAnsi="宋体" w:cs="宋体"/>
          <w:color w:val="auto"/>
          <w:spacing w:val="10"/>
          <w:szCs w:val="21"/>
          <w:highlight w:val="none"/>
        </w:rPr>
      </w:pPr>
      <w:r>
        <w:rPr>
          <w:rFonts w:hint="eastAsia" w:ascii="宋体" w:hAnsi="宋体" w:cs="宋体"/>
          <w:color w:val="auto"/>
          <w:spacing w:val="10"/>
          <w:szCs w:val="21"/>
          <w:highlight w:val="none"/>
        </w:rPr>
        <w:t>（</w:t>
      </w:r>
      <w:r>
        <w:rPr>
          <w:rFonts w:hint="eastAsia" w:ascii="宋体" w:hAnsi="宋体" w:cs="宋体"/>
          <w:color w:val="auto"/>
          <w:spacing w:val="10"/>
          <w:szCs w:val="21"/>
          <w:highlight w:val="none"/>
          <w:lang w:val="en-US" w:eastAsia="zh-CN"/>
        </w:rPr>
        <w:t>三</w:t>
      </w:r>
      <w:r>
        <w:rPr>
          <w:rFonts w:hint="eastAsia" w:ascii="宋体" w:hAnsi="宋体" w:cs="宋体"/>
          <w:color w:val="auto"/>
          <w:spacing w:val="10"/>
          <w:szCs w:val="21"/>
          <w:highlight w:val="none"/>
        </w:rPr>
        <w:t>）合同价款</w:t>
      </w:r>
    </w:p>
    <w:p w14:paraId="0ADBF2C4">
      <w:pPr>
        <w:keepNext w:val="0"/>
        <w:keepLines w:val="0"/>
        <w:pageBreakBefore w:val="0"/>
        <w:widowControl w:val="0"/>
        <w:kinsoku/>
        <w:wordWrap/>
        <w:overflowPunct/>
        <w:topLinePunct w:val="0"/>
        <w:autoSpaceDE/>
        <w:autoSpaceDN/>
        <w:bidi w:val="0"/>
        <w:adjustRightInd w:val="0"/>
        <w:snapToGrid w:val="0"/>
        <w:spacing w:line="360" w:lineRule="auto"/>
        <w:ind w:left="0" w:firstLine="476"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14"/>
          <w:szCs w:val="21"/>
          <w:highlight w:val="none"/>
        </w:rPr>
        <w:t>合</w:t>
      </w:r>
      <w:r>
        <w:rPr>
          <w:rFonts w:hint="eastAsia" w:ascii="宋体" w:hAnsi="宋体" w:cs="宋体"/>
          <w:color w:val="auto"/>
          <w:spacing w:val="10"/>
          <w:szCs w:val="21"/>
          <w:highlight w:val="none"/>
        </w:rPr>
        <w:t>同价是供应商响应采购项目要求的全部工作内容的价格体现，包括设计构思及方案、</w:t>
      </w:r>
      <w:r>
        <w:rPr>
          <w:rFonts w:hint="eastAsia" w:ascii="宋体" w:hAnsi="宋体" w:cs="宋体"/>
          <w:color w:val="auto"/>
          <w:spacing w:val="7"/>
          <w:szCs w:val="21"/>
          <w:highlight w:val="none"/>
        </w:rPr>
        <w:t>设计概算、施工图设计、施工图预算、施工（含建筑、装饰、电</w:t>
      </w:r>
      <w:r>
        <w:rPr>
          <w:rFonts w:hint="eastAsia" w:ascii="宋体" w:hAnsi="宋体" w:cs="宋体"/>
          <w:color w:val="auto"/>
          <w:spacing w:val="12"/>
          <w:szCs w:val="21"/>
          <w:highlight w:val="none"/>
        </w:rPr>
        <w:t>气</w:t>
      </w:r>
      <w:r>
        <w:rPr>
          <w:rFonts w:hint="eastAsia" w:ascii="宋体" w:hAnsi="宋体" w:cs="宋体"/>
          <w:color w:val="auto"/>
          <w:spacing w:val="9"/>
          <w:szCs w:val="21"/>
          <w:highlight w:val="none"/>
        </w:rPr>
        <w:t>、</w:t>
      </w:r>
      <w:r>
        <w:rPr>
          <w:rFonts w:hint="eastAsia" w:ascii="宋体" w:hAnsi="宋体" w:cs="宋体"/>
          <w:color w:val="auto"/>
          <w:spacing w:val="6"/>
          <w:szCs w:val="21"/>
          <w:highlight w:val="none"/>
        </w:rPr>
        <w:t>弱电等所有涉及相关专业的施工，以及施工范围内的所有拆除及建筑垃圾外运工作）、施工许可证、施工验收、消防审批、验收等涉及相关审批、</w:t>
      </w:r>
      <w:r>
        <w:rPr>
          <w:rFonts w:hint="eastAsia" w:ascii="宋体" w:hAnsi="宋体" w:cs="宋体"/>
          <w:color w:val="auto"/>
          <w:spacing w:val="14"/>
          <w:szCs w:val="21"/>
          <w:highlight w:val="none"/>
        </w:rPr>
        <w:t>材料</w:t>
      </w:r>
      <w:r>
        <w:rPr>
          <w:rFonts w:hint="eastAsia" w:ascii="宋体" w:hAnsi="宋体" w:cs="宋体"/>
          <w:color w:val="auto"/>
          <w:spacing w:val="9"/>
          <w:szCs w:val="21"/>
          <w:highlight w:val="none"/>
        </w:rPr>
        <w:t>设</w:t>
      </w:r>
      <w:r>
        <w:rPr>
          <w:rFonts w:hint="eastAsia" w:ascii="宋体" w:hAnsi="宋体" w:cs="宋体"/>
          <w:color w:val="auto"/>
          <w:spacing w:val="7"/>
          <w:szCs w:val="21"/>
          <w:highlight w:val="none"/>
        </w:rPr>
        <w:t>备采购与安装、验收、移交、保修，以及对工程项目进行质量、安全、进度、投资等</w:t>
      </w:r>
      <w:r>
        <w:rPr>
          <w:rFonts w:hint="eastAsia" w:ascii="宋体" w:hAnsi="宋体" w:cs="宋体"/>
          <w:color w:val="auto"/>
          <w:spacing w:val="18"/>
          <w:szCs w:val="21"/>
          <w:highlight w:val="none"/>
        </w:rPr>
        <w:t>控</w:t>
      </w:r>
      <w:r>
        <w:rPr>
          <w:rFonts w:hint="eastAsia" w:ascii="宋体" w:hAnsi="宋体" w:cs="宋体"/>
          <w:color w:val="auto"/>
          <w:spacing w:val="15"/>
          <w:szCs w:val="21"/>
          <w:highlight w:val="none"/>
        </w:rPr>
        <w:t>制</w:t>
      </w:r>
      <w:r>
        <w:rPr>
          <w:rFonts w:hint="eastAsia" w:ascii="宋体" w:hAnsi="宋体" w:cs="宋体"/>
          <w:color w:val="auto"/>
          <w:spacing w:val="9"/>
          <w:szCs w:val="21"/>
          <w:highlight w:val="none"/>
        </w:rPr>
        <w:t>，合同、信息等</w:t>
      </w:r>
      <w:r>
        <w:rPr>
          <w:rFonts w:hint="eastAsia" w:ascii="宋体" w:hAnsi="宋体" w:cs="宋体"/>
          <w:color w:val="auto"/>
          <w:spacing w:val="6"/>
          <w:szCs w:val="21"/>
          <w:highlight w:val="none"/>
        </w:rPr>
        <w:t>管理，组织协调等全过程管理工作及合同约定的全部内容。</w:t>
      </w:r>
    </w:p>
    <w:p w14:paraId="048348B5">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rPr>
        <w:t>（</w:t>
      </w:r>
      <w:r>
        <w:rPr>
          <w:rFonts w:hint="eastAsia" w:ascii="宋体" w:hAnsi="宋体" w:cs="宋体"/>
          <w:color w:val="auto"/>
          <w:spacing w:val="6"/>
          <w:szCs w:val="21"/>
          <w:highlight w:val="none"/>
          <w:lang w:val="en-US" w:eastAsia="zh-CN"/>
        </w:rPr>
        <w:t>四</w:t>
      </w:r>
      <w:r>
        <w:rPr>
          <w:rFonts w:hint="eastAsia" w:ascii="宋体" w:hAnsi="宋体" w:cs="宋体"/>
          <w:color w:val="auto"/>
          <w:spacing w:val="6"/>
          <w:szCs w:val="21"/>
          <w:highlight w:val="none"/>
        </w:rPr>
        <w:t>）付款方式</w:t>
      </w:r>
    </w:p>
    <w:p w14:paraId="056DEAE2">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lang w:eastAsia="zh-CN"/>
        </w:rPr>
      </w:pPr>
      <w:r>
        <w:rPr>
          <w:rFonts w:hint="eastAsia" w:ascii="宋体" w:hAnsi="宋体" w:cs="宋体"/>
          <w:color w:val="auto"/>
          <w:spacing w:val="6"/>
          <w:szCs w:val="21"/>
          <w:highlight w:val="none"/>
        </w:rPr>
        <w:t xml:space="preserve"> (1)合同生效以及具备实施条件后7个工作日内，支付至合同总价的</w:t>
      </w:r>
      <w:r>
        <w:rPr>
          <w:rFonts w:hint="eastAsia" w:ascii="宋体" w:hAnsi="宋体" w:cs="宋体"/>
          <w:color w:val="auto"/>
          <w:spacing w:val="6"/>
          <w:szCs w:val="21"/>
          <w:highlight w:val="none"/>
          <w:lang w:val="en-US" w:eastAsia="zh-CN"/>
        </w:rPr>
        <w:t>3</w:t>
      </w:r>
      <w:r>
        <w:rPr>
          <w:rFonts w:hint="eastAsia" w:ascii="宋体" w:hAnsi="宋体" w:cs="宋体"/>
          <w:color w:val="auto"/>
          <w:spacing w:val="6"/>
          <w:szCs w:val="21"/>
          <w:highlight w:val="none"/>
        </w:rPr>
        <w:t>0%</w:t>
      </w:r>
      <w:r>
        <w:rPr>
          <w:rFonts w:hint="eastAsia" w:ascii="宋体" w:hAnsi="宋体" w:cs="宋体"/>
          <w:color w:val="auto"/>
          <w:spacing w:val="6"/>
          <w:szCs w:val="21"/>
          <w:highlight w:val="none"/>
          <w:lang w:eastAsia="zh-CN"/>
        </w:rPr>
        <w:t>。</w:t>
      </w:r>
    </w:p>
    <w:p w14:paraId="4AC885E4">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rPr>
        <w:t xml:space="preserve"> (2)竣工验收合格后，发包人在收到承包人完整的竣工资料后7个工作日内</w:t>
      </w:r>
      <w:r>
        <w:rPr>
          <w:rFonts w:hint="eastAsia" w:ascii="宋体" w:hAnsi="宋体" w:cs="宋体"/>
          <w:color w:val="auto"/>
          <w:spacing w:val="6"/>
          <w:szCs w:val="21"/>
          <w:highlight w:val="none"/>
          <w:lang w:val="en-US" w:eastAsia="zh-CN"/>
        </w:rPr>
        <w:t>支付至</w:t>
      </w:r>
      <w:r>
        <w:rPr>
          <w:rFonts w:hint="eastAsia" w:ascii="宋体" w:hAnsi="宋体" w:cs="宋体"/>
          <w:color w:val="auto"/>
          <w:spacing w:val="6"/>
          <w:szCs w:val="21"/>
          <w:highlight w:val="none"/>
        </w:rPr>
        <w:t>合同总价的</w:t>
      </w:r>
      <w:r>
        <w:rPr>
          <w:rFonts w:hint="eastAsia" w:ascii="宋体" w:hAnsi="宋体" w:cs="宋体"/>
          <w:color w:val="auto"/>
          <w:spacing w:val="6"/>
          <w:szCs w:val="21"/>
          <w:highlight w:val="none"/>
          <w:lang w:val="en-US" w:eastAsia="zh-CN"/>
        </w:rPr>
        <w:t>80</w:t>
      </w:r>
      <w:r>
        <w:rPr>
          <w:rFonts w:hint="eastAsia" w:ascii="宋体" w:hAnsi="宋体" w:cs="宋体"/>
          <w:color w:val="auto"/>
          <w:spacing w:val="6"/>
          <w:szCs w:val="21"/>
          <w:highlight w:val="none"/>
        </w:rPr>
        <w:t>%。</w:t>
      </w:r>
    </w:p>
    <w:p w14:paraId="24C4E518">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rPr>
        <w:t>(</w:t>
      </w:r>
      <w:r>
        <w:rPr>
          <w:rFonts w:hint="eastAsia" w:ascii="宋体" w:hAnsi="宋体" w:cs="宋体"/>
          <w:color w:val="auto"/>
          <w:spacing w:val="6"/>
          <w:szCs w:val="21"/>
          <w:highlight w:val="none"/>
          <w:lang w:val="en-US" w:eastAsia="zh-CN"/>
        </w:rPr>
        <w:t>3</w:t>
      </w:r>
      <w:r>
        <w:rPr>
          <w:rFonts w:hint="eastAsia" w:ascii="宋体" w:hAnsi="宋体" w:cs="宋体"/>
          <w:color w:val="auto"/>
          <w:spacing w:val="6"/>
          <w:szCs w:val="21"/>
          <w:highlight w:val="none"/>
        </w:rPr>
        <w:t>)审计完成后支付剩余尾款（若有违约金</w:t>
      </w:r>
      <w:r>
        <w:rPr>
          <w:rFonts w:hint="eastAsia" w:ascii="宋体" w:hAnsi="宋体" w:cs="宋体"/>
          <w:color w:val="auto"/>
          <w:spacing w:val="6"/>
          <w:szCs w:val="21"/>
          <w:highlight w:val="none"/>
          <w:lang w:val="en-US" w:eastAsia="zh-CN"/>
        </w:rPr>
        <w:t>或质保金</w:t>
      </w:r>
      <w:r>
        <w:rPr>
          <w:rFonts w:hint="eastAsia" w:ascii="宋体" w:hAnsi="宋体" w:cs="宋体"/>
          <w:color w:val="auto"/>
          <w:spacing w:val="6"/>
          <w:szCs w:val="21"/>
          <w:highlight w:val="none"/>
        </w:rPr>
        <w:t>，应扣除相应违约金</w:t>
      </w:r>
      <w:r>
        <w:rPr>
          <w:rFonts w:hint="eastAsia" w:ascii="宋体" w:hAnsi="宋体" w:cs="宋体"/>
          <w:color w:val="auto"/>
          <w:spacing w:val="6"/>
          <w:szCs w:val="21"/>
          <w:highlight w:val="none"/>
          <w:lang w:val="en-US" w:eastAsia="zh-CN"/>
        </w:rPr>
        <w:t>或质保金</w:t>
      </w:r>
      <w:r>
        <w:rPr>
          <w:rFonts w:hint="eastAsia" w:ascii="宋体" w:hAnsi="宋体" w:cs="宋体"/>
          <w:color w:val="auto"/>
          <w:spacing w:val="6"/>
          <w:szCs w:val="21"/>
          <w:highlight w:val="none"/>
        </w:rPr>
        <w:t>部分）。</w:t>
      </w:r>
    </w:p>
    <w:p w14:paraId="2FFC30CB">
      <w:pPr>
        <w:keepNext w:val="0"/>
        <w:keepLines w:val="0"/>
        <w:pageBreakBefore w:val="0"/>
        <w:widowControl w:val="0"/>
        <w:kinsoku/>
        <w:wordWrap/>
        <w:overflowPunct/>
        <w:topLinePunct w:val="0"/>
        <w:autoSpaceDE/>
        <w:autoSpaceDN/>
        <w:bidi w:val="0"/>
        <w:adjustRightInd w:val="0"/>
        <w:snapToGrid w:val="0"/>
        <w:spacing w:line="360" w:lineRule="auto"/>
        <w:ind w:left="0" w:firstLine="454"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8"/>
          <w:szCs w:val="21"/>
          <w:highlight w:val="none"/>
        </w:rPr>
        <w:t>七、履约验收</w:t>
      </w:r>
    </w:p>
    <w:p w14:paraId="6505C05B">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ascii="宋体" w:hAnsi="宋体" w:cs="宋体"/>
          <w:color w:val="auto"/>
          <w:szCs w:val="21"/>
          <w:highlight w:val="none"/>
        </w:rPr>
      </w:pPr>
      <w:r>
        <w:rPr>
          <w:rFonts w:hint="eastAsia" w:ascii="宋体" w:hAnsi="宋体" w:cs="宋体"/>
          <w:color w:val="auto"/>
          <w:spacing w:val="6"/>
          <w:szCs w:val="21"/>
          <w:highlight w:val="none"/>
        </w:rPr>
        <w:t>1</w:t>
      </w:r>
      <w:r>
        <w:rPr>
          <w:rFonts w:hint="eastAsia" w:ascii="宋体" w:hAnsi="宋体" w:cs="宋体"/>
          <w:color w:val="auto"/>
          <w:spacing w:val="6"/>
          <w:szCs w:val="21"/>
          <w:highlight w:val="none"/>
          <w:lang w:val="en-US" w:eastAsia="zh-CN"/>
        </w:rPr>
        <w:t>.</w:t>
      </w:r>
      <w:r>
        <w:rPr>
          <w:rFonts w:hint="eastAsia" w:ascii="宋体" w:hAnsi="宋体" w:cs="宋体"/>
          <w:color w:val="auto"/>
          <w:spacing w:val="6"/>
          <w:szCs w:val="21"/>
          <w:highlight w:val="none"/>
        </w:rPr>
        <w:t>本项目在供应商通</w:t>
      </w:r>
      <w:r>
        <w:rPr>
          <w:rFonts w:hint="eastAsia" w:ascii="宋体" w:hAnsi="宋体" w:cs="宋体"/>
          <w:color w:val="auto"/>
          <w:spacing w:val="5"/>
          <w:szCs w:val="21"/>
          <w:highlight w:val="none"/>
        </w:rPr>
        <w:t>知</w:t>
      </w:r>
      <w:r>
        <w:rPr>
          <w:rFonts w:hint="eastAsia" w:ascii="宋体" w:hAnsi="宋体" w:cs="宋体"/>
          <w:color w:val="auto"/>
          <w:spacing w:val="3"/>
          <w:szCs w:val="21"/>
          <w:highlight w:val="none"/>
        </w:rPr>
        <w:t>履约完毕后15个工作日内进行验收，验收合格后签署《验收报</w:t>
      </w:r>
      <w:r>
        <w:rPr>
          <w:rFonts w:hint="eastAsia" w:ascii="宋体" w:hAnsi="宋体" w:cs="宋体"/>
          <w:color w:val="auto"/>
          <w:spacing w:val="-2"/>
          <w:szCs w:val="21"/>
          <w:highlight w:val="none"/>
        </w:rPr>
        <w:t>告》</w:t>
      </w:r>
      <w:r>
        <w:rPr>
          <w:rFonts w:hint="eastAsia" w:ascii="宋体" w:hAnsi="宋体" w:cs="宋体"/>
          <w:color w:val="auto"/>
          <w:spacing w:val="-1"/>
          <w:szCs w:val="21"/>
          <w:highlight w:val="none"/>
        </w:rPr>
        <w:t>。</w:t>
      </w:r>
    </w:p>
    <w:p w14:paraId="63E8109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zCs w:val="21"/>
          <w:highlight w:val="none"/>
        </w:rPr>
      </w:pPr>
      <w:r>
        <w:rPr>
          <w:rFonts w:hint="eastAsia" w:ascii="宋体" w:hAnsi="宋体" w:cs="宋体"/>
          <w:color w:val="auto"/>
          <w:spacing w:val="18"/>
          <w:szCs w:val="21"/>
          <w:highlight w:val="none"/>
        </w:rPr>
        <w:t>2</w:t>
      </w:r>
      <w:r>
        <w:rPr>
          <w:rFonts w:hint="eastAsia" w:ascii="宋体" w:hAnsi="宋体" w:cs="宋体"/>
          <w:color w:val="auto"/>
          <w:spacing w:val="18"/>
          <w:szCs w:val="21"/>
          <w:highlight w:val="none"/>
          <w:lang w:val="en-US" w:eastAsia="zh-CN"/>
        </w:rPr>
        <w:t>.</w:t>
      </w:r>
      <w:r>
        <w:rPr>
          <w:rFonts w:hint="eastAsia" w:ascii="宋体" w:hAnsi="宋体" w:cs="宋体"/>
          <w:color w:val="auto"/>
          <w:spacing w:val="12"/>
          <w:szCs w:val="21"/>
          <w:highlight w:val="none"/>
        </w:rPr>
        <w:t>验</w:t>
      </w:r>
      <w:r>
        <w:rPr>
          <w:rFonts w:hint="eastAsia" w:ascii="宋体" w:hAnsi="宋体" w:cs="宋体"/>
          <w:color w:val="auto"/>
          <w:spacing w:val="9"/>
          <w:szCs w:val="21"/>
          <w:highlight w:val="none"/>
        </w:rPr>
        <w:t>收标准：按国家有关规定以及采购文件的质量要求和技术指标、供应商的响应文</w:t>
      </w:r>
      <w:r>
        <w:rPr>
          <w:rFonts w:hint="eastAsia" w:ascii="宋体" w:hAnsi="宋体" w:cs="宋体"/>
          <w:color w:val="auto"/>
          <w:spacing w:val="14"/>
          <w:szCs w:val="21"/>
          <w:highlight w:val="none"/>
        </w:rPr>
        <w:t>件</w:t>
      </w:r>
      <w:r>
        <w:rPr>
          <w:rFonts w:hint="eastAsia" w:ascii="宋体" w:hAnsi="宋体" w:cs="宋体"/>
          <w:color w:val="auto"/>
          <w:spacing w:val="11"/>
          <w:szCs w:val="21"/>
          <w:highlight w:val="none"/>
        </w:rPr>
        <w:t>及</w:t>
      </w:r>
      <w:r>
        <w:rPr>
          <w:rFonts w:hint="eastAsia" w:ascii="宋体" w:hAnsi="宋体" w:cs="宋体"/>
          <w:color w:val="auto"/>
          <w:spacing w:val="7"/>
          <w:szCs w:val="21"/>
          <w:highlight w:val="none"/>
        </w:rPr>
        <w:t>承诺与本合同约定标准进行验收；采购人与供应商双方如对质量要求和技术指标的约定</w:t>
      </w:r>
      <w:r>
        <w:rPr>
          <w:rFonts w:hint="eastAsia" w:ascii="宋体" w:hAnsi="宋体" w:cs="宋体"/>
          <w:color w:val="auto"/>
          <w:spacing w:val="14"/>
          <w:szCs w:val="21"/>
          <w:highlight w:val="none"/>
        </w:rPr>
        <w:t>标</w:t>
      </w:r>
      <w:r>
        <w:rPr>
          <w:rFonts w:hint="eastAsia" w:ascii="宋体" w:hAnsi="宋体" w:cs="宋体"/>
          <w:color w:val="auto"/>
          <w:spacing w:val="11"/>
          <w:szCs w:val="21"/>
          <w:highlight w:val="none"/>
        </w:rPr>
        <w:t>准</w:t>
      </w:r>
      <w:r>
        <w:rPr>
          <w:rFonts w:hint="eastAsia" w:ascii="宋体" w:hAnsi="宋体" w:cs="宋体"/>
          <w:color w:val="auto"/>
          <w:spacing w:val="7"/>
          <w:szCs w:val="21"/>
          <w:highlight w:val="none"/>
        </w:rPr>
        <w:t>有相互抵触或异议的事项，由采购人在采购文件及响应文件中按质量要求和技术指标比</w:t>
      </w:r>
      <w:r>
        <w:rPr>
          <w:rFonts w:hint="eastAsia" w:ascii="宋体" w:hAnsi="宋体" w:cs="宋体"/>
          <w:color w:val="auto"/>
          <w:spacing w:val="10"/>
          <w:szCs w:val="21"/>
          <w:highlight w:val="none"/>
        </w:rPr>
        <w:t>较</w:t>
      </w:r>
      <w:r>
        <w:rPr>
          <w:rFonts w:hint="eastAsia" w:ascii="宋体" w:hAnsi="宋体" w:cs="宋体"/>
          <w:color w:val="auto"/>
          <w:spacing w:val="9"/>
          <w:szCs w:val="21"/>
          <w:highlight w:val="none"/>
        </w:rPr>
        <w:t>优胜的原则确定该项的约定标准进行</w:t>
      </w:r>
      <w:r>
        <w:rPr>
          <w:rFonts w:hint="eastAsia" w:ascii="宋体" w:hAnsi="宋体" w:cs="宋体"/>
          <w:color w:val="auto"/>
          <w:spacing w:val="7"/>
          <w:szCs w:val="21"/>
          <w:highlight w:val="none"/>
        </w:rPr>
        <w:t>验收</w:t>
      </w:r>
      <w:r>
        <w:rPr>
          <w:rFonts w:hint="eastAsia" w:ascii="宋体" w:hAnsi="宋体" w:cs="宋体"/>
          <w:color w:val="auto"/>
          <w:spacing w:val="9"/>
          <w:szCs w:val="21"/>
          <w:highlight w:val="none"/>
        </w:rPr>
        <w:t>。</w:t>
      </w:r>
    </w:p>
    <w:p w14:paraId="323D40CE">
      <w:pPr>
        <w:keepNext w:val="0"/>
        <w:keepLines w:val="0"/>
        <w:pageBreakBefore w:val="0"/>
        <w:widowControl w:val="0"/>
        <w:kinsoku/>
        <w:wordWrap/>
        <w:overflowPunct/>
        <w:topLinePunct w:val="0"/>
        <w:autoSpaceDE/>
        <w:autoSpaceDN/>
        <w:bidi w:val="0"/>
        <w:adjustRightInd w:val="0"/>
        <w:snapToGrid w:val="0"/>
        <w:spacing w:line="360" w:lineRule="auto"/>
        <w:ind w:left="0" w:firstLine="422" w:firstLineChars="200"/>
        <w:jc w:val="left"/>
        <w:textAlignment w:val="auto"/>
        <w:rPr>
          <w:rFonts w:ascii="宋体" w:hAnsi="宋体" w:cs="宋体"/>
          <w:b/>
          <w:bCs/>
          <w:color w:val="auto"/>
          <w:szCs w:val="21"/>
          <w:highlight w:val="none"/>
        </w:rPr>
      </w:pPr>
      <w:r>
        <w:rPr>
          <w:rFonts w:hint="eastAsia" w:ascii="宋体" w:hAnsi="宋体" w:cs="宋体"/>
          <w:b/>
          <w:bCs/>
          <w:color w:val="auto"/>
          <w:szCs w:val="21"/>
          <w:highlight w:val="none"/>
        </w:rPr>
        <w:t>八、采购人提供的材料</w:t>
      </w:r>
    </w:p>
    <w:p w14:paraId="4851847B">
      <w:pPr>
        <w:keepNext w:val="0"/>
        <w:keepLines w:val="0"/>
        <w:pageBreakBefore w:val="0"/>
        <w:widowControl w:val="0"/>
        <w:kinsoku/>
        <w:wordWrap/>
        <w:overflowPunct/>
        <w:topLinePunct w:val="0"/>
        <w:autoSpaceDE/>
        <w:autoSpaceDN/>
        <w:bidi w:val="0"/>
        <w:adjustRightInd w:val="0"/>
        <w:snapToGrid w:val="0"/>
        <w:spacing w:line="360" w:lineRule="auto"/>
        <w:ind w:left="0" w:firstLine="456" w:firstLineChars="200"/>
        <w:jc w:val="left"/>
        <w:textAlignment w:val="auto"/>
        <w:rPr>
          <w:rFonts w:hint="default" w:ascii="宋体" w:hAnsi="宋体" w:cs="宋体"/>
          <w:color w:val="auto"/>
          <w:spacing w:val="9"/>
          <w:szCs w:val="21"/>
          <w:highlight w:val="none"/>
          <w:lang w:val="en-US" w:eastAsia="zh-CN"/>
        </w:rPr>
      </w:pPr>
      <w:r>
        <w:rPr>
          <w:rFonts w:hint="eastAsia" w:ascii="宋体" w:hAnsi="宋体" w:cs="宋体"/>
          <w:color w:val="auto"/>
          <w:spacing w:val="9"/>
          <w:szCs w:val="21"/>
          <w:highlight w:val="none"/>
        </w:rPr>
        <w:t>附件：</w:t>
      </w:r>
      <w:r>
        <w:rPr>
          <w:rFonts w:hint="eastAsia" w:ascii="宋体" w:hAnsi="宋体" w:cs="宋体"/>
          <w:color w:val="auto"/>
          <w:spacing w:val="9"/>
          <w:szCs w:val="21"/>
          <w:highlight w:val="none"/>
          <w:lang w:val="en-US" w:eastAsia="zh-CN"/>
        </w:rPr>
        <w:t>医技楼相关的</w:t>
      </w:r>
      <w:r>
        <w:rPr>
          <w:rFonts w:hint="eastAsia" w:ascii="宋体" w:hAnsi="宋体" w:cs="宋体"/>
          <w:color w:val="auto"/>
          <w:spacing w:val="9"/>
          <w:szCs w:val="21"/>
          <w:highlight w:val="none"/>
        </w:rPr>
        <w:t>平</w:t>
      </w:r>
      <w:r>
        <w:rPr>
          <w:rFonts w:hint="eastAsia" w:ascii="宋体" w:hAnsi="宋体" w:cs="宋体"/>
          <w:color w:val="auto"/>
          <w:spacing w:val="9"/>
          <w:szCs w:val="21"/>
          <w:highlight w:val="none"/>
          <w:lang w:val="en-US" w:eastAsia="zh-CN"/>
        </w:rPr>
        <w:t>立</w:t>
      </w:r>
      <w:r>
        <w:rPr>
          <w:rFonts w:hint="eastAsia" w:ascii="宋体" w:hAnsi="宋体" w:cs="宋体"/>
          <w:color w:val="auto"/>
          <w:spacing w:val="9"/>
          <w:szCs w:val="21"/>
          <w:highlight w:val="none"/>
        </w:rPr>
        <w:t>面图</w:t>
      </w:r>
      <w:r>
        <w:rPr>
          <w:rFonts w:hint="eastAsia" w:ascii="宋体" w:hAnsi="宋体" w:cs="宋体"/>
          <w:color w:val="auto"/>
          <w:spacing w:val="9"/>
          <w:szCs w:val="21"/>
          <w:highlight w:val="none"/>
          <w:lang w:eastAsia="zh-CN"/>
        </w:rPr>
        <w:t>。</w:t>
      </w:r>
    </w:p>
    <w:p w14:paraId="0B1C00E7">
      <w:pPr>
        <w:keepNext w:val="0"/>
        <w:keepLines w:val="0"/>
        <w:pageBreakBefore w:val="0"/>
        <w:widowControl w:val="0"/>
        <w:kinsoku/>
        <w:wordWrap/>
        <w:overflowPunct/>
        <w:topLinePunct w:val="0"/>
        <w:autoSpaceDE/>
        <w:autoSpaceDN/>
        <w:bidi w:val="0"/>
        <w:adjustRightInd w:val="0"/>
        <w:snapToGrid w:val="0"/>
        <w:spacing w:line="360" w:lineRule="auto"/>
        <w:ind w:left="0" w:firstLine="462"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10"/>
          <w:szCs w:val="21"/>
          <w:highlight w:val="none"/>
        </w:rPr>
        <w:t>九</w:t>
      </w:r>
      <w:r>
        <w:rPr>
          <w:rFonts w:hint="eastAsia" w:ascii="宋体" w:hAnsi="宋体" w:cs="宋体"/>
          <w:b/>
          <w:bCs/>
          <w:color w:val="auto"/>
          <w:spacing w:val="9"/>
          <w:szCs w:val="21"/>
          <w:highlight w:val="none"/>
        </w:rPr>
        <w:t>、其他要求</w:t>
      </w:r>
    </w:p>
    <w:p w14:paraId="5534D3F3">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ascii="宋体" w:hAnsi="宋体" w:cs="宋体"/>
          <w:color w:val="auto"/>
          <w:szCs w:val="21"/>
          <w:highlight w:val="none"/>
        </w:rPr>
      </w:pPr>
      <w:r>
        <w:rPr>
          <w:rFonts w:hint="eastAsia" w:ascii="宋体" w:hAnsi="宋体" w:cs="宋体"/>
          <w:color w:val="auto"/>
          <w:spacing w:val="6"/>
          <w:szCs w:val="21"/>
          <w:highlight w:val="none"/>
        </w:rPr>
        <w:t>1</w:t>
      </w:r>
      <w:r>
        <w:rPr>
          <w:rFonts w:hint="eastAsia" w:ascii="宋体" w:hAnsi="宋体" w:cs="宋体"/>
          <w:color w:val="auto"/>
          <w:spacing w:val="6"/>
          <w:szCs w:val="21"/>
          <w:highlight w:val="none"/>
          <w:lang w:val="en-US" w:eastAsia="zh-CN"/>
        </w:rPr>
        <w:t>.</w:t>
      </w:r>
      <w:r>
        <w:rPr>
          <w:rFonts w:hint="eastAsia" w:ascii="宋体" w:hAnsi="宋体" w:cs="宋体"/>
          <w:color w:val="auto"/>
          <w:spacing w:val="6"/>
          <w:szCs w:val="21"/>
          <w:highlight w:val="none"/>
        </w:rPr>
        <w:t>合同签订时间：</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3"/>
          <w:szCs w:val="21"/>
          <w:highlight w:val="none"/>
        </w:rPr>
        <w:t>应自中标通知书发出之日起30日内与采购人签定施工合同</w:t>
      </w:r>
      <w:r>
        <w:rPr>
          <w:rFonts w:hint="eastAsia" w:ascii="宋体" w:hAnsi="宋体" w:cs="宋体"/>
          <w:color w:val="auto"/>
          <w:spacing w:val="-10"/>
          <w:szCs w:val="21"/>
          <w:highlight w:val="none"/>
        </w:rPr>
        <w:t>。</w:t>
      </w:r>
    </w:p>
    <w:p w14:paraId="560ED43E">
      <w:pPr>
        <w:keepNext w:val="0"/>
        <w:keepLines w:val="0"/>
        <w:pageBreakBefore w:val="0"/>
        <w:widowControl w:val="0"/>
        <w:kinsoku/>
        <w:wordWrap/>
        <w:overflowPunct/>
        <w:topLinePunct w:val="0"/>
        <w:autoSpaceDE/>
        <w:autoSpaceDN/>
        <w:bidi w:val="0"/>
        <w:adjustRightInd w:val="0"/>
        <w:snapToGrid w:val="0"/>
        <w:spacing w:line="360" w:lineRule="auto"/>
        <w:ind w:left="0" w:firstLine="484" w:firstLineChars="200"/>
        <w:jc w:val="left"/>
        <w:textAlignment w:val="auto"/>
        <w:rPr>
          <w:rFonts w:ascii="宋体" w:hAnsi="宋体" w:cs="宋体"/>
          <w:color w:val="auto"/>
          <w:szCs w:val="21"/>
          <w:highlight w:val="none"/>
        </w:rPr>
      </w:pPr>
      <w:r>
        <w:rPr>
          <w:rFonts w:hint="eastAsia" w:ascii="宋体" w:hAnsi="宋体" w:cs="宋体"/>
          <w:color w:val="auto"/>
          <w:spacing w:val="16"/>
          <w:szCs w:val="21"/>
          <w:highlight w:val="none"/>
        </w:rPr>
        <w:t>2</w:t>
      </w:r>
      <w:r>
        <w:rPr>
          <w:rFonts w:hint="eastAsia" w:ascii="宋体" w:hAnsi="宋体" w:cs="宋体"/>
          <w:color w:val="auto"/>
          <w:spacing w:val="10"/>
          <w:szCs w:val="21"/>
          <w:highlight w:val="none"/>
          <w:lang w:val="en-US" w:eastAsia="zh-CN"/>
        </w:rPr>
        <w:t>.</w:t>
      </w:r>
      <w:r>
        <w:rPr>
          <w:rFonts w:hint="eastAsia" w:ascii="宋体" w:hAnsi="宋体" w:cs="宋体"/>
          <w:color w:val="auto"/>
          <w:spacing w:val="8"/>
          <w:szCs w:val="21"/>
          <w:highlight w:val="none"/>
        </w:rPr>
        <w:t>供应商服务人员在服务期间发生伤亡事故，或在服务过程中造成第三人伤亡的，</w:t>
      </w:r>
      <w:r>
        <w:rPr>
          <w:rFonts w:hint="eastAsia" w:ascii="宋体" w:hAnsi="宋体" w:cs="宋体"/>
          <w:color w:val="auto"/>
          <w:spacing w:val="16"/>
          <w:szCs w:val="21"/>
          <w:highlight w:val="none"/>
        </w:rPr>
        <w:t>责</w:t>
      </w:r>
      <w:r>
        <w:rPr>
          <w:rFonts w:hint="eastAsia" w:ascii="宋体" w:hAnsi="宋体" w:cs="宋体"/>
          <w:color w:val="auto"/>
          <w:spacing w:val="9"/>
          <w:szCs w:val="21"/>
          <w:highlight w:val="none"/>
        </w:rPr>
        <w:t>任由供应商全额承担（</w:t>
      </w:r>
      <w:r>
        <w:rPr>
          <w:rFonts w:hint="eastAsia" w:ascii="宋体" w:hAnsi="宋体" w:cs="宋体"/>
          <w:b/>
          <w:bCs/>
          <w:color w:val="auto"/>
          <w:spacing w:val="9"/>
          <w:szCs w:val="21"/>
          <w:highlight w:val="none"/>
        </w:rPr>
        <w:t>应在响应文件中提供承诺函，格式自拟</w:t>
      </w:r>
      <w:r>
        <w:rPr>
          <w:rFonts w:hint="eastAsia" w:ascii="宋体" w:hAnsi="宋体" w:cs="宋体"/>
          <w:color w:val="auto"/>
          <w:spacing w:val="9"/>
          <w:szCs w:val="21"/>
          <w:highlight w:val="none"/>
        </w:rPr>
        <w:t>）。</w:t>
      </w:r>
    </w:p>
    <w:p w14:paraId="0AEE2E9D">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zCs w:val="21"/>
          <w:highlight w:val="none"/>
        </w:rPr>
      </w:pPr>
      <w:r>
        <w:rPr>
          <w:rFonts w:hint="eastAsia" w:ascii="宋体" w:hAnsi="宋体" w:cs="宋体"/>
          <w:color w:val="auto"/>
          <w:spacing w:val="18"/>
          <w:szCs w:val="21"/>
          <w:highlight w:val="none"/>
        </w:rPr>
        <w:t>3</w:t>
      </w:r>
      <w:r>
        <w:rPr>
          <w:rFonts w:hint="eastAsia" w:ascii="宋体" w:hAnsi="宋体" w:cs="宋体"/>
          <w:color w:val="auto"/>
          <w:spacing w:val="18"/>
          <w:szCs w:val="21"/>
          <w:highlight w:val="none"/>
          <w:lang w:val="en-US" w:eastAsia="zh-CN"/>
        </w:rPr>
        <w:t>.</w:t>
      </w:r>
      <w:r>
        <w:rPr>
          <w:rFonts w:hint="eastAsia" w:ascii="宋体" w:hAnsi="宋体" w:cs="宋体"/>
          <w:color w:val="auto"/>
          <w:spacing w:val="10"/>
          <w:szCs w:val="21"/>
          <w:highlight w:val="none"/>
        </w:rPr>
        <w:t>采</w:t>
      </w:r>
      <w:r>
        <w:rPr>
          <w:rFonts w:hint="eastAsia" w:ascii="宋体" w:hAnsi="宋体" w:cs="宋体"/>
          <w:color w:val="auto"/>
          <w:spacing w:val="9"/>
          <w:szCs w:val="21"/>
          <w:highlight w:val="none"/>
        </w:rPr>
        <w:t>购人定期核对</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9"/>
          <w:szCs w:val="21"/>
          <w:highlight w:val="none"/>
        </w:rPr>
        <w:t>所配备的人员数量及相关信息，对于未按照采购文件及响应</w:t>
      </w:r>
      <w:r>
        <w:rPr>
          <w:rFonts w:hint="eastAsia" w:ascii="宋体" w:hAnsi="宋体" w:cs="宋体"/>
          <w:color w:val="auto"/>
          <w:spacing w:val="18"/>
          <w:szCs w:val="21"/>
          <w:highlight w:val="none"/>
        </w:rPr>
        <w:t>要</w:t>
      </w:r>
      <w:r>
        <w:rPr>
          <w:rFonts w:hint="eastAsia" w:ascii="宋体" w:hAnsi="宋体" w:cs="宋体"/>
          <w:color w:val="auto"/>
          <w:spacing w:val="13"/>
          <w:szCs w:val="21"/>
          <w:highlight w:val="none"/>
        </w:rPr>
        <w:t>求</w:t>
      </w:r>
      <w:r>
        <w:rPr>
          <w:rFonts w:hint="eastAsia" w:ascii="宋体" w:hAnsi="宋体" w:cs="宋体"/>
          <w:color w:val="auto"/>
          <w:spacing w:val="9"/>
          <w:szCs w:val="21"/>
          <w:highlight w:val="none"/>
        </w:rPr>
        <w:t>执行或存在不合理的部分有权下达整改通知书，并要求供应商限期整改。</w:t>
      </w:r>
    </w:p>
    <w:p w14:paraId="415DD0B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zCs w:val="21"/>
          <w:highlight w:val="none"/>
        </w:rPr>
      </w:pPr>
      <w:r>
        <w:rPr>
          <w:rFonts w:hint="eastAsia" w:ascii="宋体" w:hAnsi="宋体" w:cs="宋体"/>
          <w:color w:val="auto"/>
          <w:spacing w:val="18"/>
          <w:position w:val="1"/>
          <w:szCs w:val="21"/>
          <w:highlight w:val="none"/>
        </w:rPr>
        <w:t>4</w:t>
      </w:r>
      <w:r>
        <w:rPr>
          <w:rFonts w:hint="eastAsia" w:ascii="宋体" w:hAnsi="宋体" w:cs="宋体"/>
          <w:color w:val="auto"/>
          <w:spacing w:val="14"/>
          <w:position w:val="1"/>
          <w:szCs w:val="21"/>
          <w:highlight w:val="none"/>
          <w:lang w:val="en-US" w:eastAsia="zh-CN"/>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9"/>
          <w:position w:val="1"/>
          <w:szCs w:val="21"/>
          <w:highlight w:val="none"/>
        </w:rPr>
        <w:t>定期及时向采购人通告本项目服务范围内有关服务的重大事项及其进度。</w:t>
      </w:r>
    </w:p>
    <w:p w14:paraId="34610D86">
      <w:pPr>
        <w:pStyle w:val="2"/>
        <w:rPr>
          <w:rFonts w:hint="eastAsia" w:eastAsiaTheme="minorEastAsia"/>
          <w:lang w:eastAsia="zh-CN"/>
        </w:rPr>
      </w:pPr>
      <w:r>
        <w:rPr>
          <w:rFonts w:hint="eastAsia" w:ascii="宋体" w:hAnsi="宋体" w:cs="宋体"/>
          <w:color w:val="auto"/>
          <w:spacing w:val="14"/>
          <w:position w:val="1"/>
          <w:szCs w:val="21"/>
          <w:highlight w:val="none"/>
        </w:rPr>
        <w:t>5</w:t>
      </w:r>
      <w:r>
        <w:rPr>
          <w:rFonts w:hint="eastAsia" w:ascii="宋体" w:hAnsi="宋体" w:cs="宋体"/>
          <w:color w:val="auto"/>
          <w:spacing w:val="14"/>
          <w:position w:val="1"/>
          <w:szCs w:val="21"/>
          <w:highlight w:val="none"/>
          <w:lang w:val="en-US" w:eastAsia="zh-CN"/>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4"/>
          <w:position w:val="1"/>
          <w:szCs w:val="21"/>
          <w:highlight w:val="none"/>
        </w:rPr>
        <w:t>对施工过程中应采取有效的质量控制手段，接受采购人的监督</w:t>
      </w:r>
      <w:r>
        <w:rPr>
          <w:rFonts w:hint="eastAsia" w:ascii="宋体" w:hAnsi="宋体"/>
          <w:color w:val="auto"/>
          <w:sz w:val="24"/>
          <w:highlight w:val="none"/>
        </w:rPr>
        <w:t>。</w:t>
      </w:r>
    </w:p>
    <w:p w14:paraId="70B21A1D">
      <w:pPr>
        <w:spacing w:line="360" w:lineRule="auto"/>
        <w:ind w:firstLine="420" w:firstLineChars="200"/>
        <w:jc w:val="left"/>
        <w:rPr>
          <w:color w:val="auto"/>
          <w:highlight w:val="none"/>
        </w:rPr>
      </w:pPr>
    </w:p>
    <w:p w14:paraId="67597261">
      <w:pPr>
        <w:spacing w:line="360" w:lineRule="auto"/>
        <w:jc w:val="left"/>
        <w:rPr>
          <w:color w:val="auto"/>
          <w:highlight w:val="none"/>
        </w:rPr>
      </w:pPr>
    </w:p>
    <w:p w14:paraId="2E442168">
      <w:pPr>
        <w:pStyle w:val="80"/>
        <w:rPr>
          <w:color w:val="auto"/>
          <w:highlight w:val="none"/>
        </w:rPr>
      </w:pPr>
    </w:p>
    <w:p w14:paraId="24D6EDF3">
      <w:pPr>
        <w:rPr>
          <w:rFonts w:ascii="宋体" w:hAnsi="宋体" w:cs="宋体"/>
          <w:snapToGrid w:val="0"/>
          <w:color w:val="auto"/>
          <w:kern w:val="0"/>
          <w:sz w:val="24"/>
          <w:highlight w:val="none"/>
        </w:rPr>
      </w:pPr>
    </w:p>
    <w:p w14:paraId="61472FEE">
      <w:pPr>
        <w:snapToGrid w:val="0"/>
        <w:spacing w:line="360" w:lineRule="auto"/>
        <w:jc w:val="center"/>
        <w:rPr>
          <w:rStyle w:val="285"/>
          <w:color w:val="auto"/>
          <w:highlight w:val="none"/>
        </w:rPr>
      </w:pPr>
      <w:r>
        <w:rPr>
          <w:rFonts w:hint="eastAsia" w:ascii="宋体" w:hAnsi="宋体" w:cs="宋体"/>
          <w:b/>
          <w:color w:val="auto"/>
          <w:sz w:val="24"/>
          <w:highlight w:val="none"/>
        </w:rPr>
        <w:br w:type="page"/>
      </w:r>
      <w:bookmarkStart w:id="103" w:name="_Toc27879"/>
      <w:r>
        <w:rPr>
          <w:rStyle w:val="285"/>
          <w:rFonts w:hint="eastAsia"/>
          <w:color w:val="auto"/>
          <w:highlight w:val="none"/>
        </w:rPr>
        <w:t>第四部分</w:t>
      </w:r>
      <w:bookmarkStart w:id="104" w:name="_Toc184313240"/>
      <w:bookmarkEnd w:id="104"/>
      <w:bookmarkStart w:id="105" w:name="_Toc184314417"/>
      <w:bookmarkEnd w:id="105"/>
      <w:bookmarkStart w:id="106" w:name="_Toc184310279"/>
      <w:bookmarkEnd w:id="106"/>
      <w:bookmarkStart w:id="107" w:name="_Toc184310298"/>
      <w:bookmarkEnd w:id="107"/>
      <w:bookmarkStart w:id="108" w:name="_Toc184310309"/>
      <w:bookmarkEnd w:id="108"/>
      <w:bookmarkStart w:id="109" w:name="_Toc184314453"/>
      <w:bookmarkEnd w:id="109"/>
      <w:bookmarkStart w:id="110" w:name="_Toc184313241"/>
      <w:bookmarkEnd w:id="110"/>
      <w:bookmarkStart w:id="111" w:name="_Toc184308051"/>
      <w:bookmarkEnd w:id="111"/>
      <w:bookmarkStart w:id="112" w:name="_Toc184314437"/>
      <w:bookmarkEnd w:id="112"/>
      <w:bookmarkStart w:id="113" w:name="_Toc184310280"/>
      <w:bookmarkEnd w:id="113"/>
      <w:bookmarkStart w:id="114" w:name="_Toc184313273"/>
      <w:bookmarkEnd w:id="114"/>
      <w:bookmarkStart w:id="115" w:name="_Toc184312068"/>
      <w:bookmarkEnd w:id="115"/>
      <w:bookmarkStart w:id="116" w:name="_Toc184310294"/>
      <w:bookmarkEnd w:id="116"/>
      <w:bookmarkStart w:id="117" w:name="_Toc184312096"/>
      <w:bookmarkEnd w:id="117"/>
      <w:bookmarkStart w:id="118" w:name="_Toc184312084"/>
      <w:bookmarkEnd w:id="118"/>
      <w:bookmarkStart w:id="119" w:name="_Toc184312115"/>
      <w:bookmarkEnd w:id="119"/>
      <w:bookmarkStart w:id="120" w:name="_Toc184308042"/>
      <w:bookmarkEnd w:id="120"/>
      <w:bookmarkStart w:id="121" w:name="_Toc184312094"/>
      <w:bookmarkEnd w:id="121"/>
      <w:bookmarkStart w:id="122" w:name="_Toc184312127"/>
      <w:bookmarkEnd w:id="122"/>
      <w:bookmarkStart w:id="123" w:name="_Toc184310307"/>
      <w:bookmarkEnd w:id="123"/>
      <w:bookmarkStart w:id="124" w:name="_Toc184313308"/>
      <w:bookmarkEnd w:id="124"/>
      <w:bookmarkStart w:id="125" w:name="_Toc184313283"/>
      <w:bookmarkEnd w:id="125"/>
      <w:bookmarkStart w:id="126" w:name="_Toc184308104"/>
      <w:bookmarkEnd w:id="126"/>
      <w:bookmarkStart w:id="127" w:name="_Toc184313238"/>
      <w:bookmarkEnd w:id="127"/>
      <w:bookmarkStart w:id="128" w:name="_Toc184313239"/>
      <w:bookmarkEnd w:id="128"/>
      <w:bookmarkStart w:id="129" w:name="_Toc184308108"/>
      <w:bookmarkEnd w:id="129"/>
      <w:bookmarkStart w:id="130" w:name="_Toc184312139"/>
      <w:bookmarkEnd w:id="130"/>
      <w:bookmarkStart w:id="131" w:name="_Toc184314459"/>
      <w:bookmarkEnd w:id="131"/>
      <w:bookmarkStart w:id="132" w:name="_Toc184308101"/>
      <w:bookmarkEnd w:id="132"/>
      <w:bookmarkStart w:id="133" w:name="_Toc184310332"/>
      <w:bookmarkEnd w:id="133"/>
      <w:bookmarkStart w:id="134" w:name="_Toc184308092"/>
      <w:bookmarkEnd w:id="134"/>
      <w:bookmarkStart w:id="135" w:name="_Toc184308080"/>
      <w:bookmarkEnd w:id="135"/>
      <w:bookmarkStart w:id="136" w:name="_Toc184310285"/>
      <w:bookmarkEnd w:id="136"/>
      <w:bookmarkStart w:id="137" w:name="_Toc184313264"/>
      <w:bookmarkEnd w:id="137"/>
      <w:bookmarkStart w:id="138" w:name="_Toc184314467"/>
      <w:bookmarkEnd w:id="138"/>
      <w:bookmarkStart w:id="139" w:name="_Toc184310286"/>
      <w:bookmarkEnd w:id="139"/>
      <w:bookmarkStart w:id="140" w:name="_Toc184312092"/>
      <w:bookmarkEnd w:id="140"/>
      <w:bookmarkStart w:id="141" w:name="_Toc184308044"/>
      <w:bookmarkEnd w:id="141"/>
      <w:bookmarkStart w:id="142" w:name="_Toc184313254"/>
      <w:bookmarkEnd w:id="142"/>
      <w:bookmarkStart w:id="143" w:name="_Toc184312110"/>
      <w:bookmarkEnd w:id="143"/>
      <w:bookmarkStart w:id="144" w:name="_Toc184310344"/>
      <w:bookmarkEnd w:id="144"/>
      <w:bookmarkStart w:id="145" w:name="_Toc184314430"/>
      <w:bookmarkEnd w:id="145"/>
      <w:bookmarkStart w:id="146" w:name="_Toc184310322"/>
      <w:bookmarkEnd w:id="146"/>
      <w:bookmarkStart w:id="147" w:name="_Toc184310333"/>
      <w:bookmarkEnd w:id="147"/>
      <w:bookmarkStart w:id="148" w:name="_Toc184312107"/>
      <w:bookmarkEnd w:id="148"/>
      <w:bookmarkStart w:id="149" w:name="_Toc184313244"/>
      <w:bookmarkEnd w:id="149"/>
      <w:bookmarkStart w:id="150" w:name="_Toc184314420"/>
      <w:bookmarkEnd w:id="150"/>
      <w:bookmarkStart w:id="151" w:name="_Toc184312108"/>
      <w:bookmarkEnd w:id="151"/>
      <w:bookmarkStart w:id="152" w:name="_Toc184308054"/>
      <w:bookmarkEnd w:id="152"/>
      <w:bookmarkStart w:id="153" w:name="_Toc184310310"/>
      <w:bookmarkEnd w:id="153"/>
      <w:bookmarkStart w:id="154" w:name="_Toc184308083"/>
      <w:bookmarkEnd w:id="154"/>
      <w:bookmarkStart w:id="155" w:name="_Toc184312095"/>
      <w:bookmarkEnd w:id="155"/>
      <w:bookmarkStart w:id="156" w:name="_Toc184308107"/>
      <w:bookmarkEnd w:id="156"/>
      <w:bookmarkStart w:id="157" w:name="_Toc184313280"/>
      <w:bookmarkEnd w:id="157"/>
      <w:bookmarkStart w:id="158" w:name="_Toc184313251"/>
      <w:bookmarkEnd w:id="158"/>
      <w:bookmarkStart w:id="159" w:name="_Toc184308103"/>
      <w:bookmarkEnd w:id="159"/>
      <w:bookmarkStart w:id="160" w:name="_Toc184308095"/>
      <w:bookmarkEnd w:id="160"/>
      <w:bookmarkStart w:id="161" w:name="_Toc184312129"/>
      <w:bookmarkEnd w:id="161"/>
      <w:bookmarkStart w:id="162" w:name="_Toc184314431"/>
      <w:bookmarkEnd w:id="162"/>
      <w:bookmarkStart w:id="163" w:name="_Toc184314422"/>
      <w:bookmarkEnd w:id="163"/>
      <w:bookmarkStart w:id="164" w:name="_Toc184314447"/>
      <w:bookmarkEnd w:id="164"/>
      <w:bookmarkStart w:id="165" w:name="_Toc184314434"/>
      <w:bookmarkEnd w:id="165"/>
      <w:bookmarkStart w:id="166" w:name="_Toc184312100"/>
      <w:bookmarkEnd w:id="166"/>
      <w:bookmarkStart w:id="167" w:name="_Toc184313257"/>
      <w:bookmarkEnd w:id="167"/>
      <w:bookmarkStart w:id="168" w:name="_Toc184312118"/>
      <w:bookmarkEnd w:id="168"/>
      <w:bookmarkStart w:id="169" w:name="_Toc184310341"/>
      <w:bookmarkEnd w:id="169"/>
      <w:bookmarkStart w:id="170" w:name="_Toc184310337"/>
      <w:bookmarkEnd w:id="170"/>
      <w:bookmarkStart w:id="171" w:name="_Toc184312098"/>
      <w:bookmarkEnd w:id="171"/>
      <w:bookmarkStart w:id="172" w:name="_Toc184314468"/>
      <w:bookmarkEnd w:id="172"/>
      <w:bookmarkStart w:id="173" w:name="_Toc184312070"/>
      <w:bookmarkEnd w:id="173"/>
      <w:bookmarkStart w:id="174" w:name="_Toc184308047"/>
      <w:bookmarkEnd w:id="174"/>
      <w:bookmarkStart w:id="175" w:name="_Toc184313303"/>
      <w:bookmarkEnd w:id="175"/>
      <w:bookmarkStart w:id="176" w:name="_Toc184312122"/>
      <w:bookmarkEnd w:id="176"/>
      <w:bookmarkStart w:id="177" w:name="_Toc184313242"/>
      <w:bookmarkEnd w:id="177"/>
      <w:bookmarkStart w:id="178" w:name="_Toc184313279"/>
      <w:bookmarkEnd w:id="178"/>
      <w:bookmarkStart w:id="179" w:name="_Toc184314461"/>
      <w:bookmarkEnd w:id="179"/>
      <w:bookmarkStart w:id="180" w:name="_Toc184313248"/>
      <w:bookmarkEnd w:id="180"/>
      <w:bookmarkStart w:id="181" w:name="_Toc184310297"/>
      <w:bookmarkEnd w:id="181"/>
      <w:bookmarkStart w:id="182" w:name="_Toc184312119"/>
      <w:bookmarkEnd w:id="182"/>
      <w:bookmarkStart w:id="183" w:name="_Toc184313282"/>
      <w:bookmarkEnd w:id="183"/>
      <w:bookmarkStart w:id="184" w:name="_Toc184312082"/>
      <w:bookmarkEnd w:id="184"/>
      <w:bookmarkStart w:id="185" w:name="_Toc184314456"/>
      <w:bookmarkEnd w:id="185"/>
      <w:bookmarkStart w:id="186" w:name="_Toc184314477"/>
      <w:bookmarkEnd w:id="186"/>
      <w:bookmarkStart w:id="187" w:name="_Toc184314413"/>
      <w:bookmarkEnd w:id="187"/>
      <w:bookmarkStart w:id="188" w:name="_Toc184310321"/>
      <w:bookmarkEnd w:id="188"/>
      <w:bookmarkStart w:id="189" w:name="_Toc184313285"/>
      <w:bookmarkEnd w:id="189"/>
      <w:bookmarkStart w:id="190" w:name="_Toc184312102"/>
      <w:bookmarkEnd w:id="190"/>
      <w:bookmarkStart w:id="191" w:name="_Toc184314433"/>
      <w:bookmarkEnd w:id="191"/>
      <w:bookmarkStart w:id="192" w:name="_Toc184314416"/>
      <w:bookmarkEnd w:id="192"/>
      <w:bookmarkStart w:id="193" w:name="_Toc184313255"/>
      <w:bookmarkEnd w:id="193"/>
      <w:bookmarkStart w:id="194" w:name="_Toc184308048"/>
      <w:bookmarkEnd w:id="194"/>
      <w:bookmarkStart w:id="195" w:name="_Toc184312083"/>
      <w:bookmarkEnd w:id="195"/>
      <w:bookmarkStart w:id="196" w:name="_Toc184314455"/>
      <w:bookmarkEnd w:id="196"/>
      <w:bookmarkStart w:id="197" w:name="_Toc184310318"/>
      <w:bookmarkEnd w:id="197"/>
      <w:bookmarkStart w:id="198" w:name="_Toc184312113"/>
      <w:bookmarkEnd w:id="198"/>
      <w:bookmarkStart w:id="199" w:name="_Toc184314445"/>
      <w:bookmarkEnd w:id="199"/>
      <w:bookmarkStart w:id="200" w:name="_Toc184313276"/>
      <w:bookmarkEnd w:id="200"/>
      <w:bookmarkStart w:id="201" w:name="_Toc184313270"/>
      <w:bookmarkEnd w:id="201"/>
      <w:bookmarkStart w:id="202" w:name="_Toc184310283"/>
      <w:bookmarkEnd w:id="202"/>
      <w:bookmarkStart w:id="203" w:name="_Toc184308058"/>
      <w:bookmarkEnd w:id="203"/>
      <w:bookmarkStart w:id="204" w:name="_Toc184313274"/>
      <w:bookmarkEnd w:id="204"/>
      <w:bookmarkStart w:id="205" w:name="_Toc184310277"/>
      <w:bookmarkEnd w:id="205"/>
      <w:bookmarkStart w:id="206" w:name="_Toc184313245"/>
      <w:bookmarkEnd w:id="206"/>
      <w:bookmarkStart w:id="207" w:name="_Toc184313286"/>
      <w:bookmarkEnd w:id="207"/>
      <w:bookmarkStart w:id="208" w:name="_Toc184310302"/>
      <w:bookmarkEnd w:id="208"/>
      <w:bookmarkStart w:id="209" w:name="_Toc184314427"/>
      <w:bookmarkEnd w:id="209"/>
      <w:bookmarkStart w:id="210" w:name="_Toc184308070"/>
      <w:bookmarkEnd w:id="210"/>
      <w:bookmarkStart w:id="211" w:name="_Toc184308061"/>
      <w:bookmarkEnd w:id="211"/>
      <w:bookmarkStart w:id="212" w:name="_Toc184308088"/>
      <w:bookmarkEnd w:id="212"/>
      <w:bookmarkStart w:id="213" w:name="_Toc184313300"/>
      <w:bookmarkEnd w:id="213"/>
      <w:bookmarkStart w:id="214" w:name="_Toc184308037"/>
      <w:bookmarkEnd w:id="214"/>
      <w:bookmarkStart w:id="215" w:name="_Toc184310273"/>
      <w:bookmarkEnd w:id="215"/>
      <w:bookmarkStart w:id="216" w:name="_Toc184314421"/>
      <w:bookmarkEnd w:id="216"/>
      <w:bookmarkStart w:id="217" w:name="_Toc184312074"/>
      <w:bookmarkEnd w:id="217"/>
      <w:bookmarkStart w:id="218" w:name="_Toc184310308"/>
      <w:bookmarkEnd w:id="218"/>
      <w:bookmarkStart w:id="219" w:name="_Toc184312072"/>
      <w:bookmarkEnd w:id="219"/>
      <w:bookmarkStart w:id="220" w:name="_Toc184308038"/>
      <w:bookmarkEnd w:id="220"/>
      <w:bookmarkStart w:id="221" w:name="_Toc184308039"/>
      <w:bookmarkEnd w:id="221"/>
      <w:bookmarkStart w:id="222" w:name="_Toc184310293"/>
      <w:bookmarkEnd w:id="222"/>
      <w:bookmarkStart w:id="223" w:name="_Toc184310317"/>
      <w:bookmarkEnd w:id="223"/>
      <w:bookmarkStart w:id="224" w:name="_Toc184310334"/>
      <w:bookmarkEnd w:id="224"/>
      <w:bookmarkStart w:id="225" w:name="_Toc184312106"/>
      <w:bookmarkEnd w:id="225"/>
      <w:bookmarkStart w:id="226" w:name="_Toc184314418"/>
      <w:bookmarkEnd w:id="226"/>
      <w:bookmarkStart w:id="227" w:name="_Toc184314463"/>
      <w:bookmarkEnd w:id="227"/>
      <w:bookmarkStart w:id="228" w:name="_Toc184308075"/>
      <w:bookmarkEnd w:id="228"/>
      <w:bookmarkStart w:id="229" w:name="_Toc184314425"/>
      <w:bookmarkEnd w:id="229"/>
      <w:bookmarkStart w:id="230" w:name="_Toc184312134"/>
      <w:bookmarkEnd w:id="230"/>
      <w:bookmarkStart w:id="231" w:name="_Toc184310331"/>
      <w:bookmarkEnd w:id="231"/>
      <w:bookmarkStart w:id="232" w:name="_Toc184312099"/>
      <w:bookmarkEnd w:id="232"/>
      <w:bookmarkStart w:id="233" w:name="_Toc184308046"/>
      <w:bookmarkEnd w:id="233"/>
      <w:bookmarkStart w:id="234" w:name="_Toc184314451"/>
      <w:bookmarkEnd w:id="234"/>
      <w:bookmarkStart w:id="235" w:name="_Toc184312101"/>
      <w:bookmarkEnd w:id="235"/>
      <w:bookmarkStart w:id="236" w:name="_Toc184314412"/>
      <w:bookmarkEnd w:id="236"/>
      <w:bookmarkStart w:id="237" w:name="_Toc184310296"/>
      <w:bookmarkEnd w:id="237"/>
      <w:bookmarkStart w:id="238" w:name="_Toc184310290"/>
      <w:bookmarkEnd w:id="238"/>
      <w:bookmarkStart w:id="239" w:name="_Toc184310304"/>
      <w:bookmarkEnd w:id="239"/>
      <w:bookmarkStart w:id="240" w:name="_Toc184310295"/>
      <w:bookmarkEnd w:id="240"/>
      <w:bookmarkStart w:id="241" w:name="_Toc184308056"/>
      <w:bookmarkEnd w:id="241"/>
      <w:bookmarkStart w:id="242" w:name="_Toc184313306"/>
      <w:bookmarkEnd w:id="242"/>
      <w:bookmarkStart w:id="243" w:name="_Toc184310330"/>
      <w:bookmarkEnd w:id="243"/>
      <w:bookmarkStart w:id="244" w:name="_Toc184312087"/>
      <w:bookmarkEnd w:id="244"/>
      <w:bookmarkStart w:id="245" w:name="_Toc184310315"/>
      <w:bookmarkEnd w:id="245"/>
      <w:bookmarkStart w:id="246" w:name="_Toc184310336"/>
      <w:bookmarkEnd w:id="246"/>
      <w:bookmarkStart w:id="247" w:name="_Toc184313262"/>
      <w:bookmarkEnd w:id="247"/>
      <w:bookmarkStart w:id="248" w:name="_Toc184313288"/>
      <w:bookmarkEnd w:id="248"/>
      <w:bookmarkStart w:id="249" w:name="_Toc184314410"/>
      <w:bookmarkEnd w:id="249"/>
      <w:bookmarkStart w:id="250" w:name="_Toc184308098"/>
      <w:bookmarkEnd w:id="250"/>
      <w:bookmarkStart w:id="251" w:name="_Toc184308059"/>
      <w:bookmarkEnd w:id="251"/>
      <w:bookmarkStart w:id="252" w:name="_Toc184312088"/>
      <w:bookmarkEnd w:id="252"/>
      <w:bookmarkStart w:id="253" w:name="_Toc184312086"/>
      <w:bookmarkEnd w:id="253"/>
      <w:bookmarkStart w:id="254" w:name="_Toc184310343"/>
      <w:bookmarkEnd w:id="254"/>
      <w:bookmarkStart w:id="255" w:name="_Toc184308087"/>
      <w:bookmarkEnd w:id="255"/>
      <w:bookmarkStart w:id="256" w:name="_Toc184314446"/>
      <w:bookmarkEnd w:id="256"/>
      <w:bookmarkStart w:id="257" w:name="_Toc184312069"/>
      <w:bookmarkEnd w:id="257"/>
      <w:bookmarkStart w:id="258" w:name="_Toc184312112"/>
      <w:bookmarkEnd w:id="258"/>
      <w:bookmarkStart w:id="259" w:name="_Toc184312078"/>
      <w:bookmarkEnd w:id="259"/>
      <w:bookmarkStart w:id="260" w:name="_Toc184314440"/>
      <w:bookmarkEnd w:id="260"/>
      <w:bookmarkStart w:id="261" w:name="_Toc184313277"/>
      <w:bookmarkEnd w:id="261"/>
      <w:bookmarkStart w:id="262" w:name="_Toc184314428"/>
      <w:bookmarkEnd w:id="262"/>
      <w:bookmarkStart w:id="263" w:name="_Toc184310328"/>
      <w:bookmarkEnd w:id="263"/>
      <w:bookmarkStart w:id="264" w:name="_Toc184314424"/>
      <w:bookmarkEnd w:id="264"/>
      <w:bookmarkStart w:id="265" w:name="_Toc184308100"/>
      <w:bookmarkEnd w:id="265"/>
      <w:bookmarkStart w:id="266" w:name="_Toc184313275"/>
      <w:bookmarkEnd w:id="266"/>
      <w:bookmarkStart w:id="267" w:name="_Toc184313309"/>
      <w:bookmarkEnd w:id="267"/>
      <w:bookmarkStart w:id="268" w:name="_Toc184314414"/>
      <w:bookmarkEnd w:id="268"/>
      <w:bookmarkStart w:id="269" w:name="_Toc184308076"/>
      <w:bookmarkEnd w:id="269"/>
      <w:bookmarkStart w:id="270" w:name="_Toc184308041"/>
      <w:bookmarkEnd w:id="270"/>
      <w:bookmarkStart w:id="271" w:name="_Toc184312105"/>
      <w:bookmarkEnd w:id="271"/>
      <w:bookmarkStart w:id="272" w:name="_Toc184312137"/>
      <w:bookmarkEnd w:id="272"/>
      <w:bookmarkStart w:id="273" w:name="_Toc184314432"/>
      <w:bookmarkEnd w:id="273"/>
      <w:bookmarkStart w:id="274" w:name="_Toc184308043"/>
      <w:bookmarkEnd w:id="274"/>
      <w:bookmarkStart w:id="275" w:name="_Toc184312125"/>
      <w:bookmarkEnd w:id="275"/>
      <w:bookmarkStart w:id="276" w:name="_Toc184308067"/>
      <w:bookmarkEnd w:id="276"/>
      <w:bookmarkStart w:id="277" w:name="_Toc184313272"/>
      <w:bookmarkEnd w:id="277"/>
      <w:bookmarkStart w:id="278" w:name="_Toc184313281"/>
      <w:bookmarkEnd w:id="278"/>
      <w:bookmarkStart w:id="279" w:name="_Toc184313307"/>
      <w:bookmarkEnd w:id="279"/>
      <w:bookmarkStart w:id="280" w:name="_Toc184312135"/>
      <w:bookmarkEnd w:id="280"/>
      <w:bookmarkStart w:id="281" w:name="_Toc184310284"/>
      <w:bookmarkEnd w:id="281"/>
      <w:bookmarkStart w:id="282" w:name="_Toc184313271"/>
      <w:bookmarkEnd w:id="282"/>
      <w:bookmarkStart w:id="283" w:name="_Toc184308090"/>
      <w:bookmarkEnd w:id="283"/>
      <w:bookmarkStart w:id="284" w:name="_Toc184314470"/>
      <w:bookmarkEnd w:id="284"/>
      <w:bookmarkStart w:id="285" w:name="_Toc184313278"/>
      <w:bookmarkEnd w:id="285"/>
      <w:bookmarkStart w:id="286" w:name="_Toc184312076"/>
      <w:bookmarkEnd w:id="286"/>
      <w:bookmarkStart w:id="287" w:name="_Toc184312126"/>
      <w:bookmarkEnd w:id="287"/>
      <w:bookmarkStart w:id="288" w:name="_Toc184314436"/>
      <w:bookmarkEnd w:id="288"/>
      <w:bookmarkStart w:id="289" w:name="_Toc184310313"/>
      <w:bookmarkEnd w:id="289"/>
      <w:bookmarkStart w:id="290" w:name="_Toc184314419"/>
      <w:bookmarkEnd w:id="290"/>
      <w:bookmarkStart w:id="291" w:name="_Toc184313294"/>
      <w:bookmarkEnd w:id="291"/>
      <w:bookmarkStart w:id="292" w:name="_Toc184308069"/>
      <w:bookmarkEnd w:id="292"/>
      <w:bookmarkStart w:id="293" w:name="_Toc184312071"/>
      <w:bookmarkEnd w:id="293"/>
      <w:bookmarkStart w:id="294" w:name="_Toc184308093"/>
      <w:bookmarkEnd w:id="294"/>
      <w:bookmarkStart w:id="295" w:name="_Toc184313269"/>
      <w:bookmarkEnd w:id="295"/>
      <w:bookmarkStart w:id="296" w:name="_Toc184313266"/>
      <w:bookmarkEnd w:id="296"/>
      <w:bookmarkStart w:id="297" w:name="_Toc184313293"/>
      <w:bookmarkEnd w:id="297"/>
      <w:bookmarkStart w:id="298" w:name="_Toc184313290"/>
      <w:bookmarkEnd w:id="298"/>
      <w:bookmarkStart w:id="299" w:name="_Toc184308079"/>
      <w:bookmarkEnd w:id="299"/>
      <w:bookmarkStart w:id="300" w:name="_Toc184308081"/>
      <w:bookmarkEnd w:id="300"/>
      <w:bookmarkStart w:id="301" w:name="_Toc184313289"/>
      <w:bookmarkEnd w:id="301"/>
      <w:bookmarkStart w:id="302" w:name="_Toc184314448"/>
      <w:bookmarkEnd w:id="302"/>
      <w:bookmarkStart w:id="303" w:name="_Toc184310326"/>
      <w:bookmarkEnd w:id="303"/>
      <w:bookmarkStart w:id="304" w:name="_Toc184308085"/>
      <w:bookmarkEnd w:id="304"/>
      <w:bookmarkStart w:id="305" w:name="_Toc184310300"/>
      <w:bookmarkEnd w:id="305"/>
      <w:bookmarkStart w:id="306" w:name="_Toc184308052"/>
      <w:bookmarkEnd w:id="306"/>
      <w:bookmarkStart w:id="307" w:name="_Toc184312079"/>
      <w:bookmarkEnd w:id="307"/>
      <w:bookmarkStart w:id="308" w:name="_Toc184308057"/>
      <w:bookmarkEnd w:id="308"/>
      <w:bookmarkStart w:id="309" w:name="_Toc184310276"/>
      <w:bookmarkEnd w:id="309"/>
      <w:bookmarkStart w:id="310" w:name="_Toc184313253"/>
      <w:bookmarkEnd w:id="310"/>
      <w:bookmarkStart w:id="311" w:name="_Toc184308071"/>
      <w:bookmarkEnd w:id="311"/>
      <w:bookmarkStart w:id="312" w:name="_Toc184308077"/>
      <w:bookmarkEnd w:id="312"/>
      <w:bookmarkStart w:id="313" w:name="_Toc184310301"/>
      <w:bookmarkEnd w:id="313"/>
      <w:bookmarkStart w:id="314" w:name="_Toc184308045"/>
      <w:bookmarkEnd w:id="314"/>
      <w:bookmarkStart w:id="315" w:name="_Toc184314442"/>
      <w:bookmarkEnd w:id="315"/>
      <w:bookmarkStart w:id="316" w:name="_Toc184310329"/>
      <w:bookmarkEnd w:id="316"/>
      <w:bookmarkStart w:id="317" w:name="_Toc184308097"/>
      <w:bookmarkEnd w:id="317"/>
      <w:bookmarkStart w:id="318" w:name="_Toc184314458"/>
      <w:bookmarkEnd w:id="318"/>
      <w:bookmarkStart w:id="319" w:name="_Toc184308049"/>
      <w:bookmarkEnd w:id="319"/>
      <w:bookmarkStart w:id="320" w:name="_Toc184314480"/>
      <w:bookmarkEnd w:id="320"/>
      <w:bookmarkStart w:id="321" w:name="_Toc184310320"/>
      <w:bookmarkEnd w:id="321"/>
      <w:bookmarkStart w:id="322" w:name="_Toc184313263"/>
      <w:bookmarkEnd w:id="322"/>
      <w:bookmarkStart w:id="323" w:name="_Toc184314411"/>
      <w:bookmarkEnd w:id="323"/>
      <w:bookmarkStart w:id="324" w:name="_Toc184310272"/>
      <w:bookmarkEnd w:id="324"/>
      <w:bookmarkStart w:id="325" w:name="_Toc184312131"/>
      <w:bookmarkEnd w:id="325"/>
      <w:bookmarkStart w:id="326" w:name="_Toc184313259"/>
      <w:bookmarkEnd w:id="326"/>
      <w:bookmarkStart w:id="327" w:name="_Toc184310305"/>
      <w:bookmarkEnd w:id="327"/>
      <w:bookmarkStart w:id="328" w:name="_Toc184314429"/>
      <w:bookmarkEnd w:id="328"/>
      <w:bookmarkStart w:id="329" w:name="_Toc184314481"/>
      <w:bookmarkEnd w:id="329"/>
      <w:bookmarkStart w:id="330" w:name="_Toc184310288"/>
      <w:bookmarkEnd w:id="330"/>
      <w:bookmarkStart w:id="331" w:name="_Toc184313301"/>
      <w:bookmarkEnd w:id="331"/>
      <w:bookmarkStart w:id="332" w:name="_Toc184313249"/>
      <w:bookmarkEnd w:id="332"/>
      <w:bookmarkStart w:id="333" w:name="_Toc184308040"/>
      <w:bookmarkEnd w:id="333"/>
      <w:bookmarkStart w:id="334" w:name="_Toc184312121"/>
      <w:bookmarkEnd w:id="334"/>
      <w:bookmarkStart w:id="335" w:name="_Toc184308066"/>
      <w:bookmarkEnd w:id="335"/>
      <w:bookmarkStart w:id="336" w:name="_Toc184310314"/>
      <w:bookmarkEnd w:id="336"/>
      <w:bookmarkStart w:id="337" w:name="_Toc184310323"/>
      <w:bookmarkEnd w:id="337"/>
      <w:bookmarkStart w:id="338" w:name="_Toc184310316"/>
      <w:bookmarkEnd w:id="338"/>
      <w:bookmarkStart w:id="339" w:name="_Toc184310327"/>
      <w:bookmarkEnd w:id="339"/>
      <w:bookmarkStart w:id="340" w:name="_Toc184314478"/>
      <w:bookmarkEnd w:id="340"/>
      <w:bookmarkStart w:id="341" w:name="_Toc184313304"/>
      <w:bookmarkEnd w:id="341"/>
      <w:bookmarkStart w:id="342" w:name="_Toc184313284"/>
      <w:bookmarkEnd w:id="342"/>
      <w:bookmarkStart w:id="343" w:name="_Toc184310291"/>
      <w:bookmarkEnd w:id="343"/>
      <w:bookmarkStart w:id="344" w:name="_Toc184310312"/>
      <w:bookmarkEnd w:id="344"/>
      <w:bookmarkStart w:id="345" w:name="_Toc184312104"/>
      <w:bookmarkEnd w:id="345"/>
      <w:bookmarkStart w:id="346" w:name="_Toc184312132"/>
      <w:bookmarkEnd w:id="346"/>
      <w:bookmarkStart w:id="347" w:name="_Toc184312138"/>
      <w:bookmarkEnd w:id="347"/>
      <w:bookmarkStart w:id="348" w:name="_Toc184313246"/>
      <w:bookmarkEnd w:id="348"/>
      <w:bookmarkStart w:id="349" w:name="_Toc184314462"/>
      <w:bookmarkEnd w:id="349"/>
      <w:bookmarkStart w:id="350" w:name="_Toc184308106"/>
      <w:bookmarkEnd w:id="350"/>
      <w:bookmarkStart w:id="351" w:name="_Toc184310281"/>
      <w:bookmarkEnd w:id="351"/>
      <w:bookmarkStart w:id="352" w:name="_Toc184312103"/>
      <w:bookmarkEnd w:id="352"/>
      <w:bookmarkStart w:id="353" w:name="_Toc184312124"/>
      <w:bookmarkEnd w:id="353"/>
      <w:bookmarkStart w:id="354" w:name="_Toc184312136"/>
      <w:bookmarkEnd w:id="354"/>
      <w:bookmarkStart w:id="355" w:name="_Toc184314475"/>
      <w:bookmarkEnd w:id="355"/>
      <w:bookmarkStart w:id="356" w:name="_Toc184313267"/>
      <w:bookmarkEnd w:id="356"/>
      <w:bookmarkStart w:id="357" w:name="_Toc184314449"/>
      <w:bookmarkEnd w:id="357"/>
      <w:bookmarkStart w:id="358" w:name="_Toc184308063"/>
      <w:bookmarkEnd w:id="358"/>
      <w:bookmarkStart w:id="359" w:name="_Toc184308105"/>
      <w:bookmarkEnd w:id="359"/>
      <w:bookmarkStart w:id="360" w:name="_Toc184310335"/>
      <w:bookmarkEnd w:id="360"/>
      <w:bookmarkStart w:id="361" w:name="_Toc184308073"/>
      <w:bookmarkEnd w:id="361"/>
      <w:bookmarkStart w:id="362" w:name="_Toc184308096"/>
      <w:bookmarkEnd w:id="362"/>
      <w:bookmarkStart w:id="363" w:name="_Toc184312120"/>
      <w:bookmarkEnd w:id="363"/>
      <w:bookmarkStart w:id="364" w:name="_Toc184312093"/>
      <w:bookmarkEnd w:id="364"/>
      <w:bookmarkStart w:id="365" w:name="_Toc184310303"/>
      <w:bookmarkEnd w:id="365"/>
      <w:bookmarkStart w:id="366" w:name="_Toc184308053"/>
      <w:bookmarkEnd w:id="366"/>
      <w:bookmarkStart w:id="367" w:name="_Toc184312089"/>
      <w:bookmarkEnd w:id="367"/>
      <w:bookmarkStart w:id="368" w:name="_Toc184314476"/>
      <w:bookmarkEnd w:id="368"/>
      <w:bookmarkStart w:id="369" w:name="_Toc184308094"/>
      <w:bookmarkEnd w:id="369"/>
      <w:bookmarkStart w:id="370" w:name="_Toc184310292"/>
      <w:bookmarkEnd w:id="370"/>
      <w:bookmarkStart w:id="371" w:name="_Toc184310319"/>
      <w:bookmarkEnd w:id="371"/>
      <w:bookmarkStart w:id="372" w:name="_Toc184313260"/>
      <w:bookmarkEnd w:id="372"/>
      <w:bookmarkStart w:id="373" w:name="_Toc184313258"/>
      <w:bookmarkEnd w:id="373"/>
      <w:bookmarkStart w:id="374" w:name="_Toc184312116"/>
      <w:bookmarkEnd w:id="374"/>
      <w:bookmarkStart w:id="375" w:name="_Toc184312073"/>
      <w:bookmarkEnd w:id="375"/>
      <w:bookmarkStart w:id="376" w:name="_Toc184313291"/>
      <w:bookmarkEnd w:id="376"/>
      <w:bookmarkStart w:id="377" w:name="_Toc184314457"/>
      <w:bookmarkEnd w:id="377"/>
      <w:bookmarkStart w:id="378" w:name="_Toc184314466"/>
      <w:bookmarkEnd w:id="378"/>
      <w:bookmarkStart w:id="379" w:name="_Toc184314454"/>
      <w:bookmarkEnd w:id="379"/>
      <w:bookmarkStart w:id="380" w:name="_Toc184310342"/>
      <w:bookmarkEnd w:id="380"/>
      <w:bookmarkStart w:id="381" w:name="_Toc184314438"/>
      <w:bookmarkEnd w:id="381"/>
      <w:bookmarkStart w:id="382" w:name="_Toc184312090"/>
      <w:bookmarkEnd w:id="382"/>
      <w:bookmarkStart w:id="383" w:name="_Toc184314443"/>
      <w:bookmarkEnd w:id="383"/>
      <w:bookmarkStart w:id="384" w:name="_Toc184310274"/>
      <w:bookmarkEnd w:id="384"/>
      <w:bookmarkStart w:id="385" w:name="_Toc184312111"/>
      <w:bookmarkEnd w:id="385"/>
      <w:bookmarkStart w:id="386" w:name="_Toc184308068"/>
      <w:bookmarkEnd w:id="386"/>
      <w:bookmarkStart w:id="387" w:name="_Toc184308099"/>
      <w:bookmarkEnd w:id="387"/>
      <w:bookmarkStart w:id="388" w:name="_Toc184312081"/>
      <w:bookmarkEnd w:id="388"/>
      <w:bookmarkStart w:id="389" w:name="_Toc184310324"/>
      <w:bookmarkEnd w:id="389"/>
      <w:bookmarkStart w:id="390" w:name="_Toc184313297"/>
      <w:bookmarkEnd w:id="390"/>
      <w:bookmarkStart w:id="391" w:name="_Toc184313287"/>
      <w:bookmarkEnd w:id="391"/>
      <w:bookmarkStart w:id="392" w:name="_Toc184313295"/>
      <w:bookmarkEnd w:id="392"/>
      <w:bookmarkStart w:id="393" w:name="_Toc184312097"/>
      <w:bookmarkEnd w:id="393"/>
      <w:bookmarkStart w:id="394" w:name="_Toc184310306"/>
      <w:bookmarkEnd w:id="394"/>
      <w:bookmarkStart w:id="395" w:name="_Toc184314450"/>
      <w:bookmarkEnd w:id="395"/>
      <w:bookmarkStart w:id="396" w:name="_Toc184314469"/>
      <w:bookmarkEnd w:id="396"/>
      <w:bookmarkStart w:id="397" w:name="_Toc184310275"/>
      <w:bookmarkEnd w:id="397"/>
      <w:bookmarkStart w:id="398" w:name="_Toc184313261"/>
      <w:bookmarkEnd w:id="398"/>
      <w:bookmarkStart w:id="399" w:name="_Toc184312133"/>
      <w:bookmarkEnd w:id="399"/>
      <w:bookmarkStart w:id="400" w:name="_Toc184310338"/>
      <w:bookmarkEnd w:id="400"/>
      <w:bookmarkStart w:id="401" w:name="_Toc184314452"/>
      <w:bookmarkEnd w:id="401"/>
      <w:bookmarkStart w:id="402" w:name="_Toc184314482"/>
      <w:bookmarkEnd w:id="402"/>
      <w:bookmarkStart w:id="403" w:name="_Toc184312091"/>
      <w:bookmarkEnd w:id="403"/>
      <w:bookmarkStart w:id="404" w:name="_Toc184313292"/>
      <w:bookmarkEnd w:id="404"/>
      <w:bookmarkStart w:id="405" w:name="_Toc184313305"/>
      <w:bookmarkEnd w:id="405"/>
      <w:bookmarkStart w:id="406" w:name="_Toc184314444"/>
      <w:bookmarkEnd w:id="406"/>
      <w:bookmarkStart w:id="407" w:name="_Toc184308102"/>
      <w:bookmarkEnd w:id="407"/>
      <w:bookmarkStart w:id="408" w:name="_Toc184308086"/>
      <w:bookmarkEnd w:id="408"/>
      <w:bookmarkStart w:id="409" w:name="_Toc184312109"/>
      <w:bookmarkEnd w:id="409"/>
      <w:bookmarkStart w:id="410" w:name="_Toc184314439"/>
      <w:bookmarkEnd w:id="410"/>
      <w:bookmarkStart w:id="411" w:name="_Toc184308078"/>
      <w:bookmarkEnd w:id="411"/>
      <w:bookmarkStart w:id="412" w:name="_Toc184312080"/>
      <w:bookmarkEnd w:id="412"/>
      <w:bookmarkStart w:id="413" w:name="_Toc184314426"/>
      <w:bookmarkEnd w:id="413"/>
      <w:bookmarkStart w:id="414" w:name="_Toc184313299"/>
      <w:bookmarkEnd w:id="414"/>
      <w:bookmarkStart w:id="415" w:name="_Toc184308082"/>
      <w:bookmarkEnd w:id="415"/>
      <w:bookmarkStart w:id="416" w:name="_Toc184313310"/>
      <w:bookmarkEnd w:id="416"/>
      <w:bookmarkStart w:id="417" w:name="_Toc184308084"/>
      <w:bookmarkEnd w:id="417"/>
      <w:bookmarkStart w:id="418" w:name="_Toc184312123"/>
      <w:bookmarkEnd w:id="418"/>
      <w:bookmarkStart w:id="419" w:name="_Toc184313296"/>
      <w:bookmarkEnd w:id="419"/>
      <w:bookmarkStart w:id="420" w:name="_Toc184314479"/>
      <w:bookmarkEnd w:id="420"/>
      <w:bookmarkStart w:id="421" w:name="_Toc184308036"/>
      <w:bookmarkEnd w:id="421"/>
      <w:bookmarkStart w:id="422" w:name="_Toc184308091"/>
      <w:bookmarkEnd w:id="422"/>
      <w:bookmarkStart w:id="423" w:name="_Toc184308060"/>
      <w:bookmarkEnd w:id="423"/>
      <w:bookmarkStart w:id="424" w:name="_Toc184312130"/>
      <w:bookmarkEnd w:id="424"/>
      <w:bookmarkStart w:id="425" w:name="_Toc184308050"/>
      <w:bookmarkEnd w:id="425"/>
      <w:bookmarkStart w:id="426" w:name="_Toc184314460"/>
      <w:bookmarkEnd w:id="426"/>
      <w:bookmarkStart w:id="427" w:name="_Toc184310340"/>
      <w:bookmarkEnd w:id="427"/>
      <w:bookmarkStart w:id="428" w:name="_Toc184313247"/>
      <w:bookmarkEnd w:id="428"/>
      <w:bookmarkStart w:id="429" w:name="_Toc184314471"/>
      <w:bookmarkEnd w:id="429"/>
      <w:bookmarkStart w:id="430" w:name="_Toc184312114"/>
      <w:bookmarkEnd w:id="430"/>
      <w:bookmarkStart w:id="431" w:name="_Toc184308074"/>
      <w:bookmarkEnd w:id="431"/>
      <w:bookmarkStart w:id="432" w:name="_Toc184312128"/>
      <w:bookmarkEnd w:id="432"/>
      <w:bookmarkStart w:id="433" w:name="_Toc184314472"/>
      <w:bookmarkEnd w:id="433"/>
      <w:bookmarkStart w:id="434" w:name="_Toc184314435"/>
      <w:bookmarkEnd w:id="434"/>
      <w:bookmarkStart w:id="435" w:name="_Toc184313298"/>
      <w:bookmarkEnd w:id="435"/>
      <w:bookmarkStart w:id="436" w:name="_Toc184312075"/>
      <w:bookmarkEnd w:id="436"/>
      <w:bookmarkStart w:id="437" w:name="_Toc184312067"/>
      <w:bookmarkEnd w:id="437"/>
      <w:bookmarkStart w:id="438" w:name="_Toc184310311"/>
      <w:bookmarkEnd w:id="438"/>
      <w:bookmarkStart w:id="439" w:name="_Toc184312117"/>
      <w:bookmarkEnd w:id="439"/>
      <w:bookmarkStart w:id="440" w:name="_Toc184314474"/>
      <w:bookmarkEnd w:id="440"/>
      <w:bookmarkStart w:id="441" w:name="_Toc184313252"/>
      <w:bookmarkEnd w:id="441"/>
      <w:bookmarkStart w:id="442" w:name="_Toc184308055"/>
      <w:bookmarkEnd w:id="442"/>
      <w:bookmarkStart w:id="443" w:name="_Toc184310282"/>
      <w:bookmarkEnd w:id="443"/>
      <w:bookmarkStart w:id="444" w:name="_Toc184313256"/>
      <w:bookmarkEnd w:id="444"/>
      <w:bookmarkStart w:id="445" w:name="_Toc184310299"/>
      <w:bookmarkEnd w:id="445"/>
      <w:bookmarkStart w:id="446" w:name="_Toc184313302"/>
      <w:bookmarkEnd w:id="446"/>
      <w:bookmarkStart w:id="447" w:name="_Toc184308062"/>
      <w:bookmarkEnd w:id="447"/>
      <w:bookmarkStart w:id="448" w:name="_Toc184308065"/>
      <w:bookmarkEnd w:id="448"/>
      <w:bookmarkStart w:id="449" w:name="_Toc184310289"/>
      <w:bookmarkEnd w:id="449"/>
      <w:bookmarkStart w:id="450" w:name="_Toc184314464"/>
      <w:bookmarkEnd w:id="450"/>
      <w:bookmarkStart w:id="451" w:name="_Toc184313268"/>
      <w:bookmarkEnd w:id="451"/>
      <w:bookmarkStart w:id="452" w:name="_Toc184314473"/>
      <w:bookmarkEnd w:id="452"/>
      <w:bookmarkStart w:id="453" w:name="_Toc184308072"/>
      <w:bookmarkEnd w:id="453"/>
      <w:bookmarkStart w:id="454" w:name="_Toc184313250"/>
      <w:bookmarkEnd w:id="454"/>
      <w:bookmarkStart w:id="455" w:name="_Toc184313243"/>
      <w:bookmarkEnd w:id="455"/>
      <w:bookmarkStart w:id="456" w:name="_Toc184313265"/>
      <w:bookmarkEnd w:id="456"/>
      <w:bookmarkStart w:id="457" w:name="_Toc184314423"/>
      <w:bookmarkEnd w:id="457"/>
      <w:bookmarkStart w:id="458" w:name="_Toc184310325"/>
      <w:bookmarkEnd w:id="458"/>
      <w:bookmarkStart w:id="459" w:name="_Toc184314441"/>
      <w:bookmarkEnd w:id="459"/>
      <w:bookmarkStart w:id="460" w:name="_Toc184312085"/>
      <w:bookmarkEnd w:id="460"/>
      <w:bookmarkStart w:id="461" w:name="_Toc184314465"/>
      <w:bookmarkEnd w:id="461"/>
      <w:bookmarkStart w:id="462" w:name="_Toc184308089"/>
      <w:bookmarkEnd w:id="462"/>
      <w:bookmarkStart w:id="463" w:name="_Toc184310287"/>
      <w:bookmarkEnd w:id="463"/>
      <w:bookmarkStart w:id="464" w:name="_Toc184308064"/>
      <w:bookmarkEnd w:id="464"/>
      <w:bookmarkStart w:id="465" w:name="_Toc184310339"/>
      <w:bookmarkEnd w:id="465"/>
      <w:bookmarkStart w:id="466" w:name="_Toc184310278"/>
      <w:bookmarkEnd w:id="466"/>
      <w:bookmarkStart w:id="467" w:name="_Toc184312077"/>
      <w:bookmarkEnd w:id="467"/>
      <w:bookmarkStart w:id="468" w:name="_Toc184314415"/>
      <w:bookmarkEnd w:id="468"/>
      <w:r>
        <w:rPr>
          <w:rStyle w:val="285"/>
          <w:rFonts w:hint="eastAsia"/>
          <w:color w:val="auto"/>
          <w:highlight w:val="none"/>
        </w:rPr>
        <w:t xml:space="preserve"> 评审办法</w:t>
      </w:r>
    </w:p>
    <w:bookmarkEnd w:id="103"/>
    <w:p w14:paraId="54B607C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评审办法前附表</w:t>
      </w:r>
    </w:p>
    <w:tbl>
      <w:tblPr>
        <w:tblStyle w:val="63"/>
        <w:tblW w:w="93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5897"/>
        <w:gridCol w:w="953"/>
        <w:gridCol w:w="1824"/>
      </w:tblGrid>
      <w:tr w14:paraId="13F6B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297FAC71">
            <w:pPr>
              <w:snapToGrid w:val="0"/>
              <w:jc w:val="center"/>
              <w:outlineLvl w:val="0"/>
              <w:rPr>
                <w:rFonts w:hint="eastAsia" w:ascii="宋体" w:hAnsi="宋体" w:eastAsia="宋体" w:cs="宋体"/>
                <w:bCs/>
                <w:color w:val="auto"/>
                <w:sz w:val="21"/>
                <w:szCs w:val="21"/>
                <w:highlight w:val="none"/>
              </w:rPr>
            </w:pPr>
            <w:bookmarkStart w:id="469" w:name="_Toc5721"/>
            <w:bookmarkStart w:id="470" w:name="_Toc6165"/>
            <w:bookmarkStart w:id="471" w:name="_Toc3755"/>
            <w:r>
              <w:rPr>
                <w:rFonts w:hint="eastAsia" w:ascii="宋体" w:hAnsi="宋体" w:eastAsia="宋体" w:cs="宋体"/>
                <w:bCs/>
                <w:color w:val="auto"/>
                <w:sz w:val="21"/>
                <w:szCs w:val="21"/>
                <w:highlight w:val="none"/>
              </w:rPr>
              <w:t>序号</w:t>
            </w:r>
            <w:bookmarkEnd w:id="469"/>
            <w:bookmarkEnd w:id="470"/>
            <w:bookmarkEnd w:id="471"/>
          </w:p>
        </w:tc>
        <w:tc>
          <w:tcPr>
            <w:tcW w:w="5897" w:type="dxa"/>
            <w:vAlign w:val="center"/>
          </w:tcPr>
          <w:p w14:paraId="57F232F5">
            <w:pPr>
              <w:snapToGrid w:val="0"/>
              <w:jc w:val="center"/>
              <w:outlineLvl w:val="0"/>
              <w:rPr>
                <w:rFonts w:hint="eastAsia" w:ascii="宋体" w:hAnsi="宋体" w:eastAsia="宋体" w:cs="宋体"/>
                <w:bCs/>
                <w:color w:val="auto"/>
                <w:sz w:val="21"/>
                <w:szCs w:val="21"/>
                <w:highlight w:val="none"/>
              </w:rPr>
            </w:pPr>
            <w:bookmarkStart w:id="472" w:name="_Toc795"/>
            <w:bookmarkStart w:id="473" w:name="_Toc8145"/>
            <w:bookmarkStart w:id="474" w:name="_Toc23005"/>
            <w:r>
              <w:rPr>
                <w:rFonts w:hint="eastAsia" w:ascii="宋体" w:hAnsi="宋体" w:eastAsia="宋体" w:cs="宋体"/>
                <w:bCs/>
                <w:color w:val="auto"/>
                <w:sz w:val="21"/>
                <w:szCs w:val="21"/>
                <w:highlight w:val="none"/>
              </w:rPr>
              <w:t>评审标准</w:t>
            </w:r>
            <w:bookmarkEnd w:id="472"/>
            <w:bookmarkEnd w:id="473"/>
            <w:bookmarkEnd w:id="474"/>
          </w:p>
        </w:tc>
        <w:tc>
          <w:tcPr>
            <w:tcW w:w="953" w:type="dxa"/>
            <w:vAlign w:val="center"/>
          </w:tcPr>
          <w:p w14:paraId="4C3455B7">
            <w:pPr>
              <w:snapToGrid w:val="0"/>
              <w:jc w:val="center"/>
              <w:outlineLvl w:val="0"/>
              <w:rPr>
                <w:rFonts w:hint="eastAsia" w:ascii="宋体" w:hAnsi="宋体" w:eastAsia="宋体" w:cs="宋体"/>
                <w:bCs/>
                <w:color w:val="auto"/>
                <w:sz w:val="21"/>
                <w:szCs w:val="21"/>
                <w:highlight w:val="none"/>
              </w:rPr>
            </w:pPr>
            <w:bookmarkStart w:id="475" w:name="_Toc6326"/>
            <w:bookmarkStart w:id="476" w:name="_Toc10466"/>
            <w:bookmarkStart w:id="477" w:name="_Toc24457"/>
            <w:r>
              <w:rPr>
                <w:rFonts w:hint="eastAsia" w:ascii="宋体" w:hAnsi="宋体" w:eastAsia="宋体" w:cs="宋体"/>
                <w:bCs/>
                <w:color w:val="auto"/>
                <w:sz w:val="21"/>
                <w:szCs w:val="21"/>
                <w:highlight w:val="none"/>
              </w:rPr>
              <w:t>权重</w:t>
            </w:r>
            <w:bookmarkEnd w:id="475"/>
            <w:bookmarkEnd w:id="476"/>
            <w:bookmarkEnd w:id="477"/>
          </w:p>
        </w:tc>
        <w:tc>
          <w:tcPr>
            <w:tcW w:w="1824" w:type="dxa"/>
          </w:tcPr>
          <w:p w14:paraId="3DEB3CDA">
            <w:pPr>
              <w:snapToGrid w:val="0"/>
              <w:jc w:val="center"/>
              <w:outlineLvl w:val="0"/>
              <w:rPr>
                <w:rFonts w:hint="eastAsia" w:ascii="宋体" w:hAnsi="宋体" w:eastAsia="宋体" w:cs="宋体"/>
                <w:bCs/>
                <w:color w:val="auto"/>
                <w:sz w:val="21"/>
                <w:szCs w:val="21"/>
                <w:highlight w:val="none"/>
              </w:rPr>
            </w:pPr>
            <w:bookmarkStart w:id="478" w:name="_Toc29899"/>
            <w:bookmarkStart w:id="479" w:name="_Toc3923"/>
            <w:bookmarkStart w:id="480" w:name="_Toc27087"/>
            <w:r>
              <w:rPr>
                <w:rFonts w:hint="eastAsia" w:ascii="宋体" w:hAnsi="宋体" w:eastAsia="宋体" w:cs="宋体"/>
                <w:bCs/>
                <w:color w:val="auto"/>
                <w:sz w:val="21"/>
                <w:szCs w:val="21"/>
                <w:highlight w:val="none"/>
              </w:rPr>
              <w:t>响应文件中评审标准相应的商务技术资料目录</w:t>
            </w:r>
            <w:r>
              <w:rPr>
                <w:rFonts w:hint="eastAsia" w:ascii="宋体" w:hAnsi="宋体" w:eastAsia="宋体" w:cs="宋体"/>
                <w:color w:val="auto"/>
                <w:sz w:val="21"/>
                <w:szCs w:val="21"/>
                <w:highlight w:val="none"/>
                <w:shd w:val="clear" w:color="auto" w:fill="FFFFFF"/>
              </w:rPr>
              <w:t> *</w:t>
            </w:r>
            <w:bookmarkEnd w:id="478"/>
            <w:bookmarkEnd w:id="479"/>
            <w:bookmarkEnd w:id="480"/>
          </w:p>
        </w:tc>
      </w:tr>
      <w:tr w14:paraId="475DC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723134A2">
            <w:pPr>
              <w:numPr>
                <w:ilvl w:val="0"/>
                <w:numId w:val="2"/>
              </w:numPr>
              <w:snapToGrid w:val="0"/>
              <w:jc w:val="center"/>
              <w:outlineLvl w:val="0"/>
              <w:rPr>
                <w:rFonts w:hint="eastAsia" w:ascii="宋体" w:hAnsi="宋体" w:eastAsia="宋体" w:cs="宋体"/>
                <w:color w:val="auto"/>
                <w:sz w:val="21"/>
                <w:szCs w:val="21"/>
                <w:highlight w:val="none"/>
              </w:rPr>
            </w:pPr>
            <w:bookmarkStart w:id="481" w:name="_Toc15719"/>
            <w:bookmarkEnd w:id="481"/>
          </w:p>
        </w:tc>
        <w:tc>
          <w:tcPr>
            <w:tcW w:w="5897" w:type="dxa"/>
            <w:vAlign w:val="center"/>
          </w:tcPr>
          <w:p w14:paraId="41CACE8D">
            <w:pPr>
              <w:pStyle w:val="260"/>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供应商具备有效的质量、环境、职业健康安全管理体系认证证书，每项得1分，最高的3分。【证明材料：证书复印件加盖公章，</w:t>
            </w:r>
            <w:r>
              <w:rPr>
                <w:rFonts w:hint="eastAsia" w:ascii="宋体" w:hAnsi="宋体" w:eastAsia="宋体" w:cs="宋体"/>
                <w:b/>
                <w:bCs/>
                <w:color w:val="auto"/>
                <w:kern w:val="2"/>
                <w:sz w:val="21"/>
                <w:szCs w:val="21"/>
                <w:highlight w:val="none"/>
                <w:lang w:val="en-US" w:eastAsia="zh-CN" w:bidi="ar-SA"/>
              </w:rPr>
              <w:t>如采用联合体投标的，联合体牵头方需具备方可得分</w:t>
            </w:r>
            <w:r>
              <w:rPr>
                <w:rFonts w:hint="eastAsia" w:ascii="宋体" w:hAnsi="宋体" w:eastAsia="宋体" w:cs="宋体"/>
                <w:color w:val="auto"/>
                <w:kern w:val="2"/>
                <w:sz w:val="21"/>
                <w:szCs w:val="21"/>
                <w:highlight w:val="none"/>
                <w:lang w:val="en-US" w:eastAsia="zh-CN" w:bidi="ar-SA"/>
              </w:rPr>
              <w:t>】</w:t>
            </w:r>
          </w:p>
        </w:tc>
        <w:tc>
          <w:tcPr>
            <w:tcW w:w="953" w:type="dxa"/>
            <w:vAlign w:val="center"/>
          </w:tcPr>
          <w:p w14:paraId="460C12DF">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c>
          <w:tcPr>
            <w:tcW w:w="1824" w:type="dxa"/>
            <w:vAlign w:val="center"/>
          </w:tcPr>
          <w:p w14:paraId="11964B3A">
            <w:pPr>
              <w:snapToGrid w:val="0"/>
              <w:jc w:val="center"/>
              <w:rPr>
                <w:rFonts w:hint="eastAsia" w:ascii="宋体" w:hAnsi="宋体" w:eastAsia="宋体" w:cs="宋体"/>
                <w:color w:val="auto"/>
                <w:sz w:val="21"/>
                <w:szCs w:val="21"/>
                <w:highlight w:val="none"/>
              </w:rPr>
            </w:pPr>
          </w:p>
        </w:tc>
      </w:tr>
      <w:tr w14:paraId="61441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57F5A154">
            <w:pPr>
              <w:numPr>
                <w:ilvl w:val="0"/>
                <w:numId w:val="2"/>
              </w:numPr>
              <w:snapToGrid w:val="0"/>
              <w:jc w:val="center"/>
              <w:outlineLvl w:val="0"/>
              <w:rPr>
                <w:rFonts w:hint="eastAsia" w:ascii="宋体" w:hAnsi="宋体" w:eastAsia="宋体" w:cs="宋体"/>
                <w:color w:val="auto"/>
                <w:sz w:val="21"/>
                <w:szCs w:val="21"/>
                <w:highlight w:val="none"/>
              </w:rPr>
            </w:pPr>
            <w:bookmarkStart w:id="482" w:name="_Toc6368"/>
            <w:bookmarkEnd w:id="482"/>
          </w:p>
        </w:tc>
        <w:tc>
          <w:tcPr>
            <w:tcW w:w="5897" w:type="dxa"/>
            <w:vAlign w:val="center"/>
          </w:tcPr>
          <w:p w14:paraId="0A7D8706">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供应商同类项目业绩：自202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年1月1日（以合同签订时间为准）至响应文件提交截止时间，具有类似工程业绩的，每提供一个项目的证明材料得1分，最高</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分，未提供的不得分。</w:t>
            </w:r>
            <w:r>
              <w:rPr>
                <w:rFonts w:hint="eastAsia" w:ascii="宋体" w:hAnsi="宋体" w:eastAsia="宋体" w:cs="宋体"/>
                <w:color w:val="auto"/>
                <w:spacing w:val="-6"/>
                <w:sz w:val="21"/>
                <w:szCs w:val="21"/>
                <w:highlight w:val="none"/>
              </w:rPr>
              <w:t>【证明材料：合同复印件加盖公章，</w:t>
            </w:r>
            <w:r>
              <w:rPr>
                <w:rFonts w:hint="eastAsia" w:ascii="宋体" w:hAnsi="宋体" w:eastAsia="宋体" w:cs="宋体"/>
                <w:b/>
                <w:bCs/>
                <w:color w:val="auto"/>
                <w:spacing w:val="-6"/>
                <w:sz w:val="21"/>
                <w:szCs w:val="21"/>
                <w:highlight w:val="none"/>
              </w:rPr>
              <w:t>如采用联合体投标的，联合体</w:t>
            </w:r>
            <w:r>
              <w:rPr>
                <w:rFonts w:hint="eastAsia" w:ascii="宋体" w:hAnsi="宋体" w:eastAsia="宋体" w:cs="宋体"/>
                <w:b/>
                <w:bCs/>
                <w:color w:val="auto"/>
                <w:spacing w:val="-6"/>
                <w:sz w:val="21"/>
                <w:szCs w:val="21"/>
                <w:highlight w:val="none"/>
                <w:lang w:val="en-US" w:eastAsia="zh-CN"/>
              </w:rPr>
              <w:t>牵头方需</w:t>
            </w:r>
            <w:r>
              <w:rPr>
                <w:rFonts w:hint="eastAsia" w:ascii="宋体" w:hAnsi="宋体" w:eastAsia="宋体" w:cs="宋体"/>
                <w:b/>
                <w:bCs/>
                <w:color w:val="auto"/>
                <w:spacing w:val="-6"/>
                <w:sz w:val="21"/>
                <w:szCs w:val="21"/>
                <w:highlight w:val="none"/>
              </w:rPr>
              <w:t>满足</w:t>
            </w:r>
            <w:r>
              <w:rPr>
                <w:rFonts w:hint="eastAsia" w:ascii="宋体" w:hAnsi="宋体" w:eastAsia="宋体" w:cs="宋体"/>
                <w:b/>
                <w:bCs/>
                <w:color w:val="auto"/>
                <w:spacing w:val="-6"/>
                <w:sz w:val="21"/>
                <w:szCs w:val="21"/>
                <w:highlight w:val="none"/>
                <w:lang w:eastAsia="zh-CN"/>
              </w:rPr>
              <w:t>方</w:t>
            </w:r>
            <w:r>
              <w:rPr>
                <w:rFonts w:hint="eastAsia" w:ascii="宋体" w:hAnsi="宋体" w:eastAsia="宋体" w:cs="宋体"/>
                <w:b/>
                <w:bCs/>
                <w:color w:val="auto"/>
                <w:spacing w:val="-6"/>
                <w:sz w:val="21"/>
                <w:szCs w:val="21"/>
                <w:highlight w:val="none"/>
                <w:lang w:val="en-US" w:eastAsia="zh-CN"/>
              </w:rPr>
              <w:t>可</w:t>
            </w:r>
            <w:r>
              <w:rPr>
                <w:rFonts w:hint="eastAsia" w:ascii="宋体" w:hAnsi="宋体" w:eastAsia="宋体" w:cs="宋体"/>
                <w:b/>
                <w:bCs/>
                <w:color w:val="auto"/>
                <w:spacing w:val="-6"/>
                <w:sz w:val="21"/>
                <w:szCs w:val="21"/>
                <w:highlight w:val="none"/>
              </w:rPr>
              <w:t>得分</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rPr>
              <w:t>。</w:t>
            </w:r>
          </w:p>
        </w:tc>
        <w:tc>
          <w:tcPr>
            <w:tcW w:w="953" w:type="dxa"/>
            <w:vAlign w:val="center"/>
          </w:tcPr>
          <w:p w14:paraId="3ED1C696">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3分</w:t>
            </w:r>
          </w:p>
        </w:tc>
        <w:tc>
          <w:tcPr>
            <w:tcW w:w="1824" w:type="dxa"/>
          </w:tcPr>
          <w:p w14:paraId="7A32A08A">
            <w:pPr>
              <w:snapToGrid w:val="0"/>
              <w:rPr>
                <w:rFonts w:hint="eastAsia" w:ascii="宋体" w:hAnsi="宋体" w:eastAsia="宋体" w:cs="宋体"/>
                <w:color w:val="auto"/>
                <w:sz w:val="21"/>
                <w:szCs w:val="21"/>
                <w:highlight w:val="none"/>
              </w:rPr>
            </w:pPr>
          </w:p>
        </w:tc>
      </w:tr>
      <w:tr w14:paraId="263C1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62079868">
            <w:pPr>
              <w:numPr>
                <w:ilvl w:val="0"/>
                <w:numId w:val="2"/>
              </w:numPr>
              <w:snapToGrid w:val="0"/>
              <w:jc w:val="center"/>
              <w:outlineLvl w:val="0"/>
              <w:rPr>
                <w:rFonts w:hint="eastAsia" w:ascii="宋体" w:hAnsi="宋体" w:eastAsia="宋体" w:cs="宋体"/>
                <w:color w:val="auto"/>
                <w:sz w:val="21"/>
                <w:szCs w:val="21"/>
                <w:highlight w:val="none"/>
              </w:rPr>
            </w:pPr>
            <w:bookmarkStart w:id="483" w:name="_Toc15165"/>
            <w:bookmarkEnd w:id="483"/>
          </w:p>
        </w:tc>
        <w:tc>
          <w:tcPr>
            <w:tcW w:w="5897" w:type="dxa"/>
            <w:vAlign w:val="center"/>
          </w:tcPr>
          <w:p w14:paraId="0B6F9A31">
            <w:pPr>
              <w:snapToGrid w:val="0"/>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投标人拟派项目负责人</w:t>
            </w:r>
            <w:r>
              <w:rPr>
                <w:rFonts w:hint="eastAsia" w:ascii="宋体" w:hAnsi="宋体" w:eastAsia="宋体" w:cs="宋体"/>
                <w:color w:val="auto"/>
                <w:sz w:val="21"/>
                <w:szCs w:val="21"/>
                <w:highlight w:val="none"/>
                <w:lang w:eastAsia="zh-CN"/>
              </w:rPr>
              <w:t>：</w:t>
            </w:r>
          </w:p>
          <w:p w14:paraId="11435BC6">
            <w:pPr>
              <w:numPr>
                <w:ilvl w:val="0"/>
                <w:numId w:val="0"/>
              </w:num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具有</w:t>
            </w:r>
            <w:r>
              <w:rPr>
                <w:rFonts w:hint="eastAsia" w:ascii="宋体" w:hAnsi="宋体" w:cs="宋体"/>
                <w:color w:val="auto"/>
                <w:sz w:val="21"/>
                <w:szCs w:val="21"/>
                <w:highlight w:val="none"/>
                <w:lang w:val="en-US" w:eastAsia="zh-CN"/>
              </w:rPr>
              <w:t>机电安装</w:t>
            </w:r>
            <w:r>
              <w:rPr>
                <w:rFonts w:hint="eastAsia" w:ascii="宋体" w:hAnsi="宋体" w:eastAsia="宋体" w:cs="宋体"/>
                <w:color w:val="auto"/>
                <w:sz w:val="21"/>
                <w:szCs w:val="21"/>
                <w:highlight w:val="none"/>
                <w:lang w:val="en-US" w:eastAsia="zh-CN"/>
              </w:rPr>
              <w:t>工程二</w:t>
            </w:r>
            <w:r>
              <w:rPr>
                <w:rFonts w:hint="eastAsia" w:ascii="宋体" w:hAnsi="宋体" w:eastAsia="宋体" w:cs="宋体"/>
                <w:color w:val="auto"/>
                <w:sz w:val="21"/>
                <w:szCs w:val="21"/>
                <w:highlight w:val="none"/>
              </w:rPr>
              <w:t>级</w:t>
            </w:r>
            <w:r>
              <w:rPr>
                <w:rFonts w:hint="eastAsia" w:ascii="宋体" w:hAnsi="宋体" w:eastAsia="宋体" w:cs="宋体"/>
                <w:color w:val="auto"/>
                <w:sz w:val="21"/>
                <w:szCs w:val="21"/>
                <w:highlight w:val="none"/>
                <w:lang w:val="en-US" w:eastAsia="zh-CN"/>
              </w:rPr>
              <w:t>及以上</w:t>
            </w:r>
            <w:r>
              <w:rPr>
                <w:rFonts w:hint="eastAsia" w:ascii="宋体" w:hAnsi="宋体" w:eastAsia="宋体" w:cs="宋体"/>
                <w:color w:val="auto"/>
                <w:sz w:val="21"/>
                <w:szCs w:val="21"/>
                <w:highlight w:val="none"/>
              </w:rPr>
              <w:t>建造师注册证书</w:t>
            </w:r>
            <w:r>
              <w:rPr>
                <w:rFonts w:hint="eastAsia" w:ascii="宋体" w:hAnsi="宋体" w:eastAsia="宋体" w:cs="宋体"/>
                <w:color w:val="auto"/>
                <w:sz w:val="21"/>
                <w:szCs w:val="21"/>
                <w:highlight w:val="none"/>
                <w:lang w:val="en-US" w:eastAsia="zh-CN"/>
              </w:rPr>
              <w:t>得2分</w:t>
            </w:r>
            <w:r>
              <w:rPr>
                <w:rStyle w:val="79"/>
                <w:rFonts w:hint="eastAsia" w:ascii="宋体" w:hAnsi="宋体" w:eastAsia="宋体" w:cs="宋体"/>
                <w:color w:val="auto"/>
                <w:sz w:val="21"/>
                <w:szCs w:val="21"/>
                <w:highlight w:val="none"/>
                <w:lang w:eastAsia="zh-CN"/>
              </w:rPr>
              <w:t>。</w:t>
            </w:r>
          </w:p>
          <w:p w14:paraId="70B99DD9">
            <w:pPr>
              <w:numPr>
                <w:ilvl w:val="0"/>
                <w:numId w:val="0"/>
              </w:numPr>
              <w:snapToGrid w:val="0"/>
              <w:spacing w:line="360" w:lineRule="auto"/>
              <w:ind w:left="0" w:leftChars="0" w:firstLine="0" w:firstLineChars="0"/>
              <w:rPr>
                <w:rFonts w:hint="eastAsia" w:ascii="宋体" w:hAnsi="宋体" w:eastAsia="宋体" w:cs="宋体"/>
                <w:color w:val="auto"/>
                <w:sz w:val="21"/>
                <w:szCs w:val="21"/>
                <w:highlight w:val="none"/>
              </w:rPr>
            </w:pPr>
            <w:r>
              <w:rPr>
                <w:rStyle w:val="79"/>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自202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年1月1日（以合同签订时间为准）至响应文件提交截止时间，具有类似工程业绩的，每提供一个项目的证明材料得1分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最高</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pacing w:val="-6"/>
                <w:sz w:val="21"/>
                <w:szCs w:val="21"/>
                <w:highlight w:val="none"/>
              </w:rPr>
              <w:t>【证明材料：合同复印件加盖公章】</w:t>
            </w:r>
            <w:r>
              <w:rPr>
                <w:rFonts w:hint="eastAsia" w:ascii="宋体" w:hAnsi="宋体" w:eastAsia="宋体" w:cs="宋体"/>
                <w:color w:val="auto"/>
                <w:sz w:val="21"/>
                <w:szCs w:val="21"/>
                <w:highlight w:val="none"/>
              </w:rPr>
              <w:t>。</w:t>
            </w:r>
          </w:p>
        </w:tc>
        <w:tc>
          <w:tcPr>
            <w:tcW w:w="953" w:type="dxa"/>
            <w:vAlign w:val="center"/>
          </w:tcPr>
          <w:p w14:paraId="23975B3B">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5分</w:t>
            </w:r>
          </w:p>
        </w:tc>
        <w:tc>
          <w:tcPr>
            <w:tcW w:w="1824" w:type="dxa"/>
          </w:tcPr>
          <w:p w14:paraId="39186E38">
            <w:pPr>
              <w:snapToGrid w:val="0"/>
              <w:rPr>
                <w:rFonts w:hint="eastAsia" w:ascii="宋体" w:hAnsi="宋体" w:eastAsia="宋体" w:cs="宋体"/>
                <w:color w:val="auto"/>
                <w:sz w:val="21"/>
                <w:szCs w:val="21"/>
                <w:highlight w:val="none"/>
              </w:rPr>
            </w:pPr>
          </w:p>
        </w:tc>
      </w:tr>
      <w:tr w14:paraId="69923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5CD5BD5E">
            <w:pPr>
              <w:numPr>
                <w:ilvl w:val="0"/>
                <w:numId w:val="2"/>
              </w:numPr>
              <w:snapToGrid w:val="0"/>
              <w:jc w:val="center"/>
              <w:outlineLvl w:val="0"/>
              <w:rPr>
                <w:rFonts w:hint="eastAsia" w:ascii="宋体" w:hAnsi="宋体" w:eastAsia="宋体" w:cs="宋体"/>
                <w:color w:val="auto"/>
                <w:sz w:val="21"/>
                <w:szCs w:val="21"/>
                <w:highlight w:val="none"/>
              </w:rPr>
            </w:pPr>
            <w:bookmarkStart w:id="484" w:name="_Toc30653"/>
            <w:bookmarkEnd w:id="484"/>
          </w:p>
        </w:tc>
        <w:tc>
          <w:tcPr>
            <w:tcW w:w="5897" w:type="dxa"/>
            <w:vAlign w:val="center"/>
          </w:tcPr>
          <w:p w14:paraId="0BC78893">
            <w:pPr>
              <w:pStyle w:val="260"/>
              <w:spacing w:line="360" w:lineRule="auto"/>
              <w:ind w:firstLine="0" w:firstLineChars="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对本项目理解：</w:t>
            </w:r>
          </w:p>
          <w:p w14:paraId="353F8329">
            <w:pPr>
              <w:pStyle w:val="260"/>
              <w:spacing w:line="360" w:lineRule="auto"/>
              <w:ind w:firstLine="0" w:firstLineChars="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投标人根据对本项目情况的熟悉和理解情况，结合采购文件采购需求对完成本项目的重点、难点进行分析，提出相应措施和解决方案。（1）重点分析5分；（2）难点分析5分。</w:t>
            </w:r>
          </w:p>
          <w:p w14:paraId="0656F1D6">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单项打分</w:t>
            </w:r>
            <w:r>
              <w:rPr>
                <w:rFonts w:hint="eastAsia" w:ascii="宋体" w:hAnsi="宋体" w:cs="宋体"/>
                <w:color w:val="auto"/>
                <w:sz w:val="21"/>
                <w:szCs w:val="21"/>
                <w:highlight w:val="none"/>
                <w:lang w:val="en-US" w:eastAsia="zh-CN"/>
              </w:rPr>
              <w:t>范围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详细的得</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eastAsia="zh-CN"/>
              </w:rPr>
              <w:t>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较详细得</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一般存在略微瑕疵的得</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eastAsia="zh-CN"/>
              </w:rPr>
              <w:t>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存在缺陷的得2分；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较差，存在明显缺陷的得1分；</w:t>
            </w:r>
            <w:r>
              <w:rPr>
                <w:rFonts w:hint="eastAsia" w:ascii="宋体" w:hAnsi="宋体" w:eastAsia="宋体" w:cs="宋体"/>
                <w:color w:val="auto"/>
                <w:kern w:val="2"/>
                <w:sz w:val="21"/>
                <w:szCs w:val="21"/>
                <w:highlight w:val="none"/>
                <w:lang w:val="en-US" w:eastAsia="zh-CN" w:bidi="ar-SA"/>
              </w:rPr>
              <w:t>未提供的不得分。</w:t>
            </w:r>
          </w:p>
        </w:tc>
        <w:tc>
          <w:tcPr>
            <w:tcW w:w="953" w:type="dxa"/>
            <w:vAlign w:val="center"/>
          </w:tcPr>
          <w:p w14:paraId="17E83CFA">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10</w:t>
            </w:r>
            <w:r>
              <w:rPr>
                <w:rFonts w:hint="eastAsia" w:ascii="宋体" w:hAnsi="宋体" w:eastAsia="宋体" w:cs="宋体"/>
                <w:color w:val="auto"/>
                <w:sz w:val="21"/>
                <w:szCs w:val="21"/>
                <w:highlight w:val="none"/>
              </w:rPr>
              <w:t>分</w:t>
            </w:r>
          </w:p>
        </w:tc>
        <w:tc>
          <w:tcPr>
            <w:tcW w:w="1824" w:type="dxa"/>
          </w:tcPr>
          <w:p w14:paraId="5AD38A89">
            <w:pPr>
              <w:snapToGrid w:val="0"/>
              <w:rPr>
                <w:rFonts w:hint="eastAsia" w:ascii="宋体" w:hAnsi="宋体" w:eastAsia="宋体" w:cs="宋体"/>
                <w:color w:val="auto"/>
                <w:sz w:val="21"/>
                <w:szCs w:val="21"/>
                <w:highlight w:val="none"/>
              </w:rPr>
            </w:pPr>
          </w:p>
        </w:tc>
      </w:tr>
      <w:tr w14:paraId="63694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0A705BB5">
            <w:pPr>
              <w:numPr>
                <w:ilvl w:val="0"/>
                <w:numId w:val="2"/>
              </w:numPr>
              <w:snapToGrid w:val="0"/>
              <w:jc w:val="center"/>
              <w:outlineLvl w:val="0"/>
              <w:rPr>
                <w:rFonts w:hint="eastAsia" w:ascii="宋体" w:hAnsi="宋体" w:eastAsia="宋体" w:cs="宋体"/>
                <w:color w:val="auto"/>
                <w:sz w:val="21"/>
                <w:szCs w:val="21"/>
                <w:highlight w:val="none"/>
              </w:rPr>
            </w:pPr>
            <w:bookmarkStart w:id="485" w:name="_Toc20899"/>
            <w:bookmarkEnd w:id="485"/>
          </w:p>
        </w:tc>
        <w:tc>
          <w:tcPr>
            <w:tcW w:w="5897" w:type="dxa"/>
            <w:vAlign w:val="center"/>
          </w:tcPr>
          <w:p w14:paraId="28F1478F">
            <w:pPr>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设计方案：</w:t>
            </w:r>
          </w:p>
          <w:p w14:paraId="28034FA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方案设计（或初步设计）的优化，具体包括主要设计思路、设计创新、先进技术应用、节能环保等（3分）；</w:t>
            </w:r>
          </w:p>
          <w:p w14:paraId="63B6CA9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工程经济的合理性分析、评价（投资估算是否与设计方案匹配、是否结合现场建设条件，各项指标取值是否合理、是否满足规范要求等（3分）；</w:t>
            </w:r>
          </w:p>
          <w:p w14:paraId="23D46C8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设计管理机构的构成和设计力量的配备（3分）；</w:t>
            </w:r>
          </w:p>
          <w:p w14:paraId="3E8388F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设计组织方案及各阶段计划进度安排（3分）；</w:t>
            </w:r>
          </w:p>
          <w:p w14:paraId="457BA130">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施工图设计质量控制措施（3分）。</w:t>
            </w:r>
          </w:p>
          <w:p w14:paraId="437FA3EA">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单项打分依据：内容合理能满足项目需求，具有明确的针对性及可操作性得3分；内容能基本满足项目需求，针对性及可操作性基本满足的得2分；内容较差，方案无针对性，可操作性差的得1分；未提供的不得分。</w:t>
            </w:r>
          </w:p>
        </w:tc>
        <w:tc>
          <w:tcPr>
            <w:tcW w:w="953" w:type="dxa"/>
            <w:vAlign w:val="center"/>
          </w:tcPr>
          <w:p w14:paraId="2B9FFAFD">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15</w:t>
            </w:r>
            <w:r>
              <w:rPr>
                <w:rFonts w:hint="eastAsia" w:ascii="宋体" w:hAnsi="宋体" w:eastAsia="宋体" w:cs="宋体"/>
                <w:color w:val="auto"/>
                <w:sz w:val="21"/>
                <w:szCs w:val="21"/>
                <w:highlight w:val="none"/>
              </w:rPr>
              <w:t>分</w:t>
            </w:r>
          </w:p>
        </w:tc>
        <w:tc>
          <w:tcPr>
            <w:tcW w:w="1824" w:type="dxa"/>
          </w:tcPr>
          <w:p w14:paraId="2F0D6356">
            <w:pPr>
              <w:snapToGrid w:val="0"/>
              <w:rPr>
                <w:rFonts w:hint="eastAsia" w:ascii="宋体" w:hAnsi="宋体" w:eastAsia="宋体" w:cs="宋体"/>
                <w:color w:val="auto"/>
                <w:sz w:val="21"/>
                <w:szCs w:val="21"/>
                <w:highlight w:val="none"/>
              </w:rPr>
            </w:pPr>
          </w:p>
        </w:tc>
      </w:tr>
      <w:tr w14:paraId="02F2B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692" w:type="dxa"/>
            <w:vAlign w:val="center"/>
          </w:tcPr>
          <w:p w14:paraId="33E7E612">
            <w:pPr>
              <w:numPr>
                <w:ilvl w:val="0"/>
                <w:numId w:val="2"/>
              </w:numPr>
              <w:snapToGrid w:val="0"/>
              <w:jc w:val="center"/>
              <w:outlineLvl w:val="0"/>
              <w:rPr>
                <w:rFonts w:hint="eastAsia" w:ascii="宋体" w:hAnsi="宋体" w:eastAsia="宋体" w:cs="宋体"/>
                <w:color w:val="auto"/>
                <w:sz w:val="21"/>
                <w:szCs w:val="21"/>
                <w:highlight w:val="none"/>
              </w:rPr>
            </w:pPr>
            <w:bookmarkStart w:id="486" w:name="_Toc26417"/>
            <w:bookmarkEnd w:id="486"/>
          </w:p>
        </w:tc>
        <w:tc>
          <w:tcPr>
            <w:tcW w:w="5897" w:type="dxa"/>
            <w:vAlign w:val="center"/>
          </w:tcPr>
          <w:p w14:paraId="69C67AA3">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施工方案：</w:t>
            </w:r>
          </w:p>
          <w:p w14:paraId="2359DE63">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针对采购人工程的特点和施工环境、特殊区域环境条件下组织施工的技术方案和措施。</w:t>
            </w:r>
          </w:p>
          <w:p w14:paraId="170E1C87">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（1）装修工程施工技术方案和措施（5分）；</w:t>
            </w:r>
          </w:p>
          <w:p w14:paraId="0A38B70A">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（2）供应商的施工组织设计（5分）；</w:t>
            </w:r>
          </w:p>
          <w:p w14:paraId="6C406FF3">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（3）针对本项目的主要施工方法（5分）。</w:t>
            </w:r>
          </w:p>
          <w:p w14:paraId="248CDDA6">
            <w:pPr>
              <w:pStyle w:val="973"/>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单项打分依据</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详细的得</w:t>
            </w:r>
            <w:r>
              <w:rPr>
                <w:rFonts w:hint="eastAsia" w:ascii="宋体" w:hAnsi="宋体" w:eastAsia="宋体" w:cs="宋体"/>
                <w:color w:val="auto"/>
                <w:spacing w:val="-6"/>
                <w:sz w:val="21"/>
                <w:szCs w:val="21"/>
                <w:highlight w:val="none"/>
                <w:lang w:val="en-US" w:eastAsia="zh-CN"/>
              </w:rPr>
              <w:t>5</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较详细得</w:t>
            </w: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一般存在略微瑕疵的得</w:t>
            </w:r>
            <w:r>
              <w:rPr>
                <w:rFonts w:hint="eastAsia" w:ascii="宋体" w:hAnsi="宋体" w:eastAsia="宋体" w:cs="宋体"/>
                <w:color w:val="auto"/>
                <w:spacing w:val="-6"/>
                <w:sz w:val="21"/>
                <w:szCs w:val="21"/>
                <w:highlight w:val="none"/>
                <w:lang w:val="en-US" w:eastAsia="zh-CN"/>
              </w:rPr>
              <w:t>3</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存在缺陷的得2分；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较差，存在明显缺陷的得1分；</w:t>
            </w:r>
            <w:r>
              <w:rPr>
                <w:rFonts w:hint="eastAsia" w:ascii="宋体" w:hAnsi="宋体" w:eastAsia="宋体" w:cs="宋体"/>
                <w:color w:val="auto"/>
                <w:spacing w:val="-6"/>
                <w:sz w:val="21"/>
                <w:szCs w:val="21"/>
                <w:highlight w:val="none"/>
                <w:lang w:val="en-US" w:eastAsia="zh-CN"/>
              </w:rPr>
              <w:t>未提供的不得分。</w:t>
            </w:r>
          </w:p>
        </w:tc>
        <w:tc>
          <w:tcPr>
            <w:tcW w:w="953" w:type="dxa"/>
            <w:vAlign w:val="center"/>
          </w:tcPr>
          <w:p w14:paraId="38F878CE">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15</w:t>
            </w:r>
            <w:r>
              <w:rPr>
                <w:rFonts w:hint="eastAsia" w:ascii="宋体" w:hAnsi="宋体" w:eastAsia="宋体" w:cs="宋体"/>
                <w:color w:val="auto"/>
                <w:sz w:val="21"/>
                <w:szCs w:val="21"/>
                <w:highlight w:val="none"/>
              </w:rPr>
              <w:t>分</w:t>
            </w:r>
          </w:p>
        </w:tc>
        <w:tc>
          <w:tcPr>
            <w:tcW w:w="1824" w:type="dxa"/>
          </w:tcPr>
          <w:p w14:paraId="241BD160">
            <w:pPr>
              <w:snapToGrid w:val="0"/>
              <w:rPr>
                <w:rFonts w:hint="eastAsia" w:ascii="宋体" w:hAnsi="宋体" w:eastAsia="宋体" w:cs="宋体"/>
                <w:color w:val="auto"/>
                <w:sz w:val="21"/>
                <w:szCs w:val="21"/>
                <w:highlight w:val="none"/>
              </w:rPr>
            </w:pPr>
          </w:p>
        </w:tc>
      </w:tr>
      <w:tr w14:paraId="4DC5B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692" w:type="dxa"/>
            <w:vAlign w:val="center"/>
          </w:tcPr>
          <w:p w14:paraId="2F9EF52B">
            <w:pPr>
              <w:numPr>
                <w:ilvl w:val="0"/>
                <w:numId w:val="2"/>
              </w:numPr>
              <w:snapToGrid w:val="0"/>
              <w:jc w:val="center"/>
              <w:outlineLvl w:val="0"/>
              <w:rPr>
                <w:rFonts w:hint="eastAsia" w:ascii="宋体" w:hAnsi="宋体" w:eastAsia="宋体" w:cs="宋体"/>
                <w:color w:val="auto"/>
                <w:sz w:val="21"/>
                <w:szCs w:val="21"/>
                <w:highlight w:val="none"/>
              </w:rPr>
            </w:pPr>
            <w:bookmarkStart w:id="487" w:name="_Toc2168"/>
            <w:bookmarkEnd w:id="487"/>
          </w:p>
        </w:tc>
        <w:tc>
          <w:tcPr>
            <w:tcW w:w="5897" w:type="dxa"/>
            <w:vAlign w:val="center"/>
          </w:tcPr>
          <w:p w14:paraId="2DB71EA1">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人员配置：</w:t>
            </w:r>
          </w:p>
          <w:p w14:paraId="7C2B4CCD">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拟投入本工程的管理人员的岗位、专业及各专业工种劳动力配置的针对性、合理性。满足施工需要的得3分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基本满足的得2分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略有不足的得1分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未提供的不得分。</w:t>
            </w:r>
          </w:p>
        </w:tc>
        <w:tc>
          <w:tcPr>
            <w:tcW w:w="953" w:type="dxa"/>
            <w:vAlign w:val="center"/>
          </w:tcPr>
          <w:p w14:paraId="247A1C33">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3</w:t>
            </w:r>
            <w:r>
              <w:rPr>
                <w:rFonts w:hint="eastAsia" w:ascii="宋体" w:hAnsi="宋体" w:eastAsia="宋体" w:cs="宋体"/>
                <w:color w:val="auto"/>
                <w:sz w:val="21"/>
                <w:szCs w:val="21"/>
                <w:highlight w:val="none"/>
              </w:rPr>
              <w:t>分</w:t>
            </w:r>
          </w:p>
        </w:tc>
        <w:tc>
          <w:tcPr>
            <w:tcW w:w="1824" w:type="dxa"/>
          </w:tcPr>
          <w:p w14:paraId="444DDB92">
            <w:pPr>
              <w:snapToGrid w:val="0"/>
              <w:rPr>
                <w:rFonts w:hint="eastAsia" w:ascii="宋体" w:hAnsi="宋体" w:eastAsia="宋体" w:cs="宋体"/>
                <w:color w:val="auto"/>
                <w:sz w:val="21"/>
                <w:szCs w:val="21"/>
                <w:highlight w:val="none"/>
              </w:rPr>
            </w:pPr>
          </w:p>
        </w:tc>
      </w:tr>
      <w:tr w14:paraId="32295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4115929D">
            <w:pPr>
              <w:numPr>
                <w:ilvl w:val="0"/>
                <w:numId w:val="2"/>
              </w:numPr>
              <w:snapToGrid w:val="0"/>
              <w:jc w:val="center"/>
              <w:outlineLvl w:val="0"/>
              <w:rPr>
                <w:rFonts w:hint="eastAsia" w:ascii="宋体" w:hAnsi="宋体" w:eastAsia="宋体" w:cs="宋体"/>
                <w:color w:val="auto"/>
                <w:sz w:val="21"/>
                <w:szCs w:val="21"/>
                <w:highlight w:val="none"/>
              </w:rPr>
            </w:pPr>
            <w:bookmarkStart w:id="488" w:name="_Toc23484"/>
            <w:bookmarkEnd w:id="488"/>
          </w:p>
        </w:tc>
        <w:tc>
          <w:tcPr>
            <w:tcW w:w="5897" w:type="dxa"/>
            <w:vAlign w:val="center"/>
          </w:tcPr>
          <w:p w14:paraId="5FD149FE">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材料设备进场计划及施工计划情况：</w:t>
            </w:r>
          </w:p>
          <w:p w14:paraId="068F4629">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具有详细的材料设备进场计划且计划周密，材料数量、质量控制，时间安排合理，满足施工需要的得3分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基本满足的得2分，略有不足的得1分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未提供的不得分。</w:t>
            </w:r>
          </w:p>
        </w:tc>
        <w:tc>
          <w:tcPr>
            <w:tcW w:w="953" w:type="dxa"/>
            <w:vAlign w:val="center"/>
          </w:tcPr>
          <w:p w14:paraId="46B0A634">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3分</w:t>
            </w:r>
          </w:p>
        </w:tc>
        <w:tc>
          <w:tcPr>
            <w:tcW w:w="1824" w:type="dxa"/>
          </w:tcPr>
          <w:p w14:paraId="5124CC5A">
            <w:pPr>
              <w:snapToGrid w:val="0"/>
              <w:rPr>
                <w:rFonts w:hint="eastAsia" w:ascii="宋体" w:hAnsi="宋体" w:eastAsia="宋体" w:cs="宋体"/>
                <w:color w:val="auto"/>
                <w:sz w:val="21"/>
                <w:szCs w:val="21"/>
                <w:highlight w:val="none"/>
              </w:rPr>
            </w:pPr>
          </w:p>
        </w:tc>
      </w:tr>
      <w:tr w14:paraId="4CD13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2F739765">
            <w:pPr>
              <w:numPr>
                <w:ilvl w:val="0"/>
                <w:numId w:val="2"/>
              </w:numPr>
              <w:snapToGrid w:val="0"/>
              <w:jc w:val="center"/>
              <w:outlineLvl w:val="0"/>
              <w:rPr>
                <w:rFonts w:hint="eastAsia" w:ascii="宋体" w:hAnsi="宋体" w:eastAsia="宋体" w:cs="宋体"/>
                <w:color w:val="auto"/>
                <w:sz w:val="21"/>
                <w:szCs w:val="21"/>
                <w:highlight w:val="none"/>
              </w:rPr>
            </w:pPr>
            <w:bookmarkStart w:id="489" w:name="_Toc26071"/>
            <w:bookmarkEnd w:id="489"/>
          </w:p>
        </w:tc>
        <w:tc>
          <w:tcPr>
            <w:tcW w:w="5897" w:type="dxa"/>
            <w:vAlign w:val="center"/>
          </w:tcPr>
          <w:p w14:paraId="288AFED5">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质量保证措施：</w:t>
            </w:r>
          </w:p>
          <w:p w14:paraId="4CB6FF89">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施工质量保证措施是否合理、有力</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满足施工需要的得</w:t>
            </w: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分，基本满足的得</w:t>
            </w:r>
            <w:r>
              <w:rPr>
                <w:rFonts w:hint="eastAsia" w:ascii="宋体" w:hAnsi="宋体" w:eastAsia="宋体" w:cs="宋体"/>
                <w:color w:val="auto"/>
                <w:spacing w:val="-6"/>
                <w:sz w:val="21"/>
                <w:szCs w:val="21"/>
                <w:highlight w:val="none"/>
                <w:lang w:val="en-US" w:eastAsia="zh-CN"/>
              </w:rPr>
              <w:t>3</w:t>
            </w:r>
            <w:r>
              <w:rPr>
                <w:rFonts w:hint="eastAsia" w:ascii="宋体" w:hAnsi="宋体" w:eastAsia="宋体" w:cs="宋体"/>
                <w:color w:val="auto"/>
                <w:spacing w:val="-6"/>
                <w:sz w:val="21"/>
                <w:szCs w:val="21"/>
                <w:highlight w:val="none"/>
              </w:rPr>
              <w:t>分，略有不足的得</w:t>
            </w:r>
            <w:r>
              <w:rPr>
                <w:rFonts w:hint="eastAsia" w:ascii="宋体" w:hAnsi="宋体" w:eastAsia="宋体" w:cs="宋体"/>
                <w:color w:val="auto"/>
                <w:spacing w:val="-6"/>
                <w:sz w:val="21"/>
                <w:szCs w:val="21"/>
                <w:highlight w:val="none"/>
                <w:lang w:val="en-US" w:eastAsia="zh-CN"/>
              </w:rPr>
              <w:t>2</w:t>
            </w:r>
            <w:r>
              <w:rPr>
                <w:rFonts w:hint="eastAsia" w:ascii="宋体" w:hAnsi="宋体" w:eastAsia="宋体" w:cs="宋体"/>
                <w:color w:val="auto"/>
                <w:spacing w:val="-6"/>
                <w:sz w:val="21"/>
                <w:szCs w:val="21"/>
                <w:highlight w:val="none"/>
              </w:rPr>
              <w:t>分</w:t>
            </w:r>
            <w:r>
              <w:rPr>
                <w:rFonts w:hint="eastAsia" w:ascii="宋体" w:hAnsi="宋体" w:eastAsia="宋体" w:cs="宋体"/>
                <w:color w:val="auto"/>
                <w:spacing w:val="-6"/>
                <w:sz w:val="21"/>
                <w:szCs w:val="21"/>
                <w:highlight w:val="none"/>
                <w:lang w:eastAsia="zh-CN"/>
              </w:rPr>
              <w:t>，存在缺陷的得</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rPr>
              <w:t>未提供的不得分。</w:t>
            </w:r>
          </w:p>
        </w:tc>
        <w:tc>
          <w:tcPr>
            <w:tcW w:w="953" w:type="dxa"/>
            <w:vAlign w:val="center"/>
          </w:tcPr>
          <w:p w14:paraId="174C21A2">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z w:val="21"/>
                <w:szCs w:val="21"/>
                <w:highlight w:val="none"/>
              </w:rPr>
              <w:t>分</w:t>
            </w:r>
          </w:p>
        </w:tc>
        <w:tc>
          <w:tcPr>
            <w:tcW w:w="1824" w:type="dxa"/>
          </w:tcPr>
          <w:p w14:paraId="0E486643">
            <w:pPr>
              <w:snapToGrid w:val="0"/>
              <w:rPr>
                <w:rFonts w:hint="eastAsia" w:ascii="宋体" w:hAnsi="宋体" w:eastAsia="宋体" w:cs="宋体"/>
                <w:color w:val="auto"/>
                <w:sz w:val="21"/>
                <w:szCs w:val="21"/>
                <w:highlight w:val="none"/>
              </w:rPr>
            </w:pPr>
          </w:p>
        </w:tc>
      </w:tr>
      <w:tr w14:paraId="6B7F0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25220D58">
            <w:pPr>
              <w:numPr>
                <w:ilvl w:val="0"/>
                <w:numId w:val="2"/>
              </w:numPr>
              <w:snapToGrid w:val="0"/>
              <w:jc w:val="center"/>
              <w:outlineLvl w:val="0"/>
              <w:rPr>
                <w:rFonts w:hint="eastAsia" w:ascii="宋体" w:hAnsi="宋体" w:eastAsia="宋体" w:cs="宋体"/>
                <w:color w:val="auto"/>
                <w:sz w:val="21"/>
                <w:szCs w:val="21"/>
                <w:highlight w:val="none"/>
              </w:rPr>
            </w:pPr>
            <w:bookmarkStart w:id="490" w:name="_Toc31098"/>
            <w:bookmarkEnd w:id="490"/>
            <w:bookmarkStart w:id="491" w:name="_Toc66"/>
            <w:bookmarkEnd w:id="491"/>
          </w:p>
        </w:tc>
        <w:tc>
          <w:tcPr>
            <w:tcW w:w="5897" w:type="dxa"/>
            <w:vAlign w:val="center"/>
          </w:tcPr>
          <w:p w14:paraId="41E3362D">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安全文明措施：</w:t>
            </w:r>
          </w:p>
          <w:p w14:paraId="5C6BE8D9">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对</w:t>
            </w:r>
            <w:r>
              <w:rPr>
                <w:rFonts w:hint="eastAsia" w:ascii="宋体" w:hAnsi="宋体" w:eastAsia="宋体" w:cs="宋体"/>
                <w:color w:val="auto"/>
                <w:sz w:val="21"/>
                <w:szCs w:val="21"/>
                <w:highlight w:val="none"/>
              </w:rPr>
              <w:t>采购人大楼</w:t>
            </w:r>
            <w:r>
              <w:rPr>
                <w:rFonts w:hint="eastAsia" w:ascii="宋体" w:hAnsi="宋体" w:eastAsia="宋体" w:cs="宋体"/>
                <w:color w:val="auto"/>
                <w:spacing w:val="-6"/>
                <w:sz w:val="21"/>
                <w:szCs w:val="21"/>
                <w:highlight w:val="none"/>
              </w:rPr>
              <w:t>正常工作的保护措施，以及市政、环保、消防等的保证措施是否科学、合理流动、到位</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满足施工需要的得3分，基本满足的得2分，略有不足的得1分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未提供的不得分。</w:t>
            </w:r>
          </w:p>
        </w:tc>
        <w:tc>
          <w:tcPr>
            <w:tcW w:w="953" w:type="dxa"/>
            <w:vAlign w:val="center"/>
          </w:tcPr>
          <w:p w14:paraId="1CF2D056">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3</w:t>
            </w:r>
            <w:r>
              <w:rPr>
                <w:rFonts w:hint="eastAsia" w:ascii="宋体" w:hAnsi="宋体" w:eastAsia="宋体" w:cs="宋体"/>
                <w:color w:val="auto"/>
                <w:sz w:val="21"/>
                <w:szCs w:val="21"/>
                <w:highlight w:val="none"/>
              </w:rPr>
              <w:t>分</w:t>
            </w:r>
          </w:p>
        </w:tc>
        <w:tc>
          <w:tcPr>
            <w:tcW w:w="1824" w:type="dxa"/>
          </w:tcPr>
          <w:p w14:paraId="0E36D952">
            <w:pPr>
              <w:snapToGrid w:val="0"/>
              <w:rPr>
                <w:rFonts w:hint="eastAsia" w:ascii="宋体" w:hAnsi="宋体" w:eastAsia="宋体" w:cs="宋体"/>
                <w:color w:val="auto"/>
                <w:sz w:val="21"/>
                <w:szCs w:val="21"/>
                <w:highlight w:val="none"/>
              </w:rPr>
            </w:pPr>
          </w:p>
        </w:tc>
      </w:tr>
      <w:tr w14:paraId="2205D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17507264">
            <w:pPr>
              <w:numPr>
                <w:ilvl w:val="0"/>
                <w:numId w:val="2"/>
              </w:numPr>
              <w:snapToGrid w:val="0"/>
              <w:jc w:val="center"/>
              <w:outlineLvl w:val="0"/>
              <w:rPr>
                <w:rFonts w:hint="eastAsia" w:ascii="宋体" w:hAnsi="宋体" w:eastAsia="宋体" w:cs="宋体"/>
                <w:color w:val="auto"/>
                <w:sz w:val="21"/>
                <w:szCs w:val="21"/>
                <w:highlight w:val="none"/>
              </w:rPr>
            </w:pPr>
            <w:bookmarkStart w:id="492" w:name="_Toc7254"/>
            <w:bookmarkEnd w:id="492"/>
          </w:p>
        </w:tc>
        <w:tc>
          <w:tcPr>
            <w:tcW w:w="5897" w:type="dxa"/>
            <w:vAlign w:val="center"/>
          </w:tcPr>
          <w:p w14:paraId="41453668">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供应商的施工降噪措施：</w:t>
            </w:r>
          </w:p>
          <w:p w14:paraId="6164873A">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各项内容及措施完善且到位的得3分；各项内容及措施基本完善的得2分，</w:t>
            </w:r>
            <w:r>
              <w:rPr>
                <w:rFonts w:hint="eastAsia" w:ascii="宋体" w:hAnsi="宋体" w:eastAsia="宋体" w:cs="宋体"/>
                <w:color w:val="auto"/>
                <w:spacing w:val="-6"/>
                <w:sz w:val="21"/>
                <w:szCs w:val="21"/>
                <w:highlight w:val="none"/>
              </w:rPr>
              <w:t>略有不足的得1分</w:t>
            </w:r>
            <w:r>
              <w:rPr>
                <w:rFonts w:hint="eastAsia" w:ascii="宋体" w:hAnsi="宋体" w:eastAsia="宋体" w:cs="宋体"/>
                <w:color w:val="auto"/>
                <w:sz w:val="21"/>
                <w:szCs w:val="21"/>
                <w:highlight w:val="none"/>
              </w:rPr>
              <w:t>的，未提供的</w:t>
            </w:r>
            <w:r>
              <w:rPr>
                <w:rFonts w:hint="eastAsia" w:ascii="宋体" w:hAnsi="宋体" w:eastAsia="宋体" w:cs="宋体"/>
                <w:color w:val="auto"/>
                <w:sz w:val="21"/>
                <w:szCs w:val="21"/>
                <w:highlight w:val="none"/>
                <w:lang w:val="en-US" w:eastAsia="zh-CN"/>
              </w:rPr>
              <w:t>不得分</w:t>
            </w:r>
            <w:r>
              <w:rPr>
                <w:rFonts w:hint="eastAsia" w:ascii="宋体" w:hAnsi="宋体" w:eastAsia="宋体" w:cs="宋体"/>
                <w:color w:val="auto"/>
                <w:sz w:val="21"/>
                <w:szCs w:val="21"/>
                <w:highlight w:val="none"/>
              </w:rPr>
              <w:t>。</w:t>
            </w:r>
          </w:p>
        </w:tc>
        <w:tc>
          <w:tcPr>
            <w:tcW w:w="953" w:type="dxa"/>
            <w:vAlign w:val="center"/>
          </w:tcPr>
          <w:p w14:paraId="0C9B7D4C">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3</w:t>
            </w:r>
            <w:r>
              <w:rPr>
                <w:rFonts w:hint="eastAsia" w:ascii="宋体" w:hAnsi="宋体" w:eastAsia="宋体" w:cs="宋体"/>
                <w:color w:val="auto"/>
                <w:sz w:val="21"/>
                <w:szCs w:val="21"/>
                <w:highlight w:val="none"/>
              </w:rPr>
              <w:t>分</w:t>
            </w:r>
          </w:p>
        </w:tc>
        <w:tc>
          <w:tcPr>
            <w:tcW w:w="1824" w:type="dxa"/>
          </w:tcPr>
          <w:p w14:paraId="7CE8E505">
            <w:pPr>
              <w:snapToGrid w:val="0"/>
              <w:rPr>
                <w:rFonts w:hint="eastAsia" w:ascii="宋体" w:hAnsi="宋体" w:eastAsia="宋体" w:cs="宋体"/>
                <w:color w:val="auto"/>
                <w:sz w:val="21"/>
                <w:szCs w:val="21"/>
                <w:highlight w:val="none"/>
              </w:rPr>
            </w:pPr>
          </w:p>
        </w:tc>
      </w:tr>
      <w:tr w14:paraId="10902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6BFA1836">
            <w:pPr>
              <w:numPr>
                <w:ilvl w:val="0"/>
                <w:numId w:val="2"/>
              </w:numPr>
              <w:snapToGrid w:val="0"/>
              <w:jc w:val="center"/>
              <w:outlineLvl w:val="0"/>
              <w:rPr>
                <w:rFonts w:hint="eastAsia" w:ascii="宋体" w:hAnsi="宋体" w:eastAsia="宋体" w:cs="宋体"/>
                <w:color w:val="auto"/>
                <w:sz w:val="21"/>
                <w:szCs w:val="21"/>
                <w:highlight w:val="none"/>
              </w:rPr>
            </w:pPr>
            <w:bookmarkStart w:id="493" w:name="_Toc4199"/>
            <w:bookmarkEnd w:id="493"/>
          </w:p>
        </w:tc>
        <w:tc>
          <w:tcPr>
            <w:tcW w:w="5897" w:type="dxa"/>
            <w:vAlign w:val="center"/>
          </w:tcPr>
          <w:p w14:paraId="23246F59">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质保期及相关维保承诺：</w:t>
            </w:r>
          </w:p>
          <w:p w14:paraId="3C830724">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根据售后服务承诺的范围和完善程度（包括质保期限，保修范围，保修、服务标准，人员配备，故障响应修复时间方式及保障措施）</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z w:val="21"/>
                <w:szCs w:val="21"/>
                <w:highlight w:val="none"/>
              </w:rPr>
              <w:t>完善且到位的得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分，基本完善的得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pacing w:val="-6"/>
                <w:sz w:val="21"/>
                <w:szCs w:val="21"/>
                <w:highlight w:val="none"/>
              </w:rPr>
              <w:t>略有不足的得</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分</w:t>
            </w:r>
            <w:r>
              <w:rPr>
                <w:rFonts w:hint="eastAsia" w:ascii="宋体" w:hAnsi="宋体" w:eastAsia="宋体" w:cs="宋体"/>
                <w:color w:val="auto"/>
                <w:sz w:val="21"/>
                <w:szCs w:val="21"/>
                <w:highlight w:val="none"/>
              </w:rPr>
              <w:t>，未提供</w:t>
            </w:r>
            <w:r>
              <w:rPr>
                <w:rFonts w:hint="eastAsia" w:ascii="宋体" w:hAnsi="宋体" w:eastAsia="宋体" w:cs="宋体"/>
                <w:color w:val="auto"/>
                <w:sz w:val="21"/>
                <w:szCs w:val="21"/>
                <w:highlight w:val="none"/>
                <w:lang w:val="en-US" w:eastAsia="zh-CN"/>
              </w:rPr>
              <w:t>不得分</w:t>
            </w:r>
            <w:r>
              <w:rPr>
                <w:rFonts w:hint="eastAsia" w:ascii="宋体" w:hAnsi="宋体" w:eastAsia="宋体" w:cs="宋体"/>
                <w:color w:val="auto"/>
                <w:sz w:val="21"/>
                <w:szCs w:val="21"/>
                <w:highlight w:val="none"/>
              </w:rPr>
              <w:t>。</w:t>
            </w:r>
          </w:p>
        </w:tc>
        <w:tc>
          <w:tcPr>
            <w:tcW w:w="953" w:type="dxa"/>
            <w:vAlign w:val="center"/>
          </w:tcPr>
          <w:p w14:paraId="40BB1A36">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lang w:val="en-US" w:eastAsia="zh-CN"/>
              </w:rPr>
              <w:t>3</w:t>
            </w:r>
            <w:r>
              <w:rPr>
                <w:rFonts w:hint="eastAsia" w:ascii="宋体" w:hAnsi="宋体" w:eastAsia="宋体" w:cs="宋体"/>
                <w:color w:val="auto"/>
                <w:sz w:val="21"/>
                <w:szCs w:val="21"/>
                <w:highlight w:val="none"/>
              </w:rPr>
              <w:t>分</w:t>
            </w:r>
          </w:p>
        </w:tc>
        <w:tc>
          <w:tcPr>
            <w:tcW w:w="1824" w:type="dxa"/>
          </w:tcPr>
          <w:p w14:paraId="41778152">
            <w:pPr>
              <w:snapToGrid w:val="0"/>
              <w:rPr>
                <w:rFonts w:hint="eastAsia" w:ascii="宋体" w:hAnsi="宋体" w:eastAsia="宋体" w:cs="宋体"/>
                <w:color w:val="auto"/>
                <w:sz w:val="21"/>
                <w:szCs w:val="21"/>
                <w:highlight w:val="none"/>
              </w:rPr>
            </w:pPr>
          </w:p>
        </w:tc>
      </w:tr>
      <w:tr w14:paraId="4577D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5CC8E9DE">
            <w:pPr>
              <w:numPr>
                <w:ilvl w:val="0"/>
                <w:numId w:val="2"/>
              </w:numPr>
              <w:snapToGrid w:val="0"/>
              <w:jc w:val="center"/>
              <w:outlineLvl w:val="0"/>
              <w:rPr>
                <w:rFonts w:hint="eastAsia" w:ascii="宋体" w:hAnsi="宋体" w:eastAsia="宋体" w:cs="宋体"/>
                <w:color w:val="auto"/>
                <w:sz w:val="21"/>
                <w:szCs w:val="21"/>
                <w:highlight w:val="none"/>
              </w:rPr>
            </w:pPr>
            <w:bookmarkStart w:id="494" w:name="_Toc13938"/>
            <w:bookmarkEnd w:id="494"/>
            <w:bookmarkStart w:id="495" w:name="_Toc17849"/>
            <w:bookmarkEnd w:id="495"/>
          </w:p>
        </w:tc>
        <w:tc>
          <w:tcPr>
            <w:tcW w:w="5897" w:type="dxa"/>
          </w:tcPr>
          <w:p w14:paraId="5E3B6D4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有效最后报价的最低价作为评审基准价，其最低报价为满分；按［最后报价得分=（评审基准价/最后报价）×30］的计算公式计算。</w:t>
            </w:r>
          </w:p>
        </w:tc>
        <w:tc>
          <w:tcPr>
            <w:tcW w:w="953" w:type="dxa"/>
            <w:vAlign w:val="center"/>
          </w:tcPr>
          <w:p w14:paraId="1C7F110E">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30分</w:t>
            </w:r>
          </w:p>
        </w:tc>
        <w:tc>
          <w:tcPr>
            <w:tcW w:w="1824" w:type="dxa"/>
          </w:tcPr>
          <w:p w14:paraId="0759F260">
            <w:pPr>
              <w:snapToGrid w:val="0"/>
              <w:rPr>
                <w:rFonts w:hint="eastAsia" w:ascii="宋体" w:hAnsi="宋体" w:eastAsia="宋体" w:cs="宋体"/>
                <w:color w:val="auto"/>
                <w:sz w:val="21"/>
                <w:szCs w:val="21"/>
                <w:highlight w:val="none"/>
              </w:rPr>
            </w:pPr>
          </w:p>
        </w:tc>
      </w:tr>
    </w:tbl>
    <w:p w14:paraId="7208C6B7">
      <w:pPr>
        <w:pStyle w:val="27"/>
        <w:rPr>
          <w:color w:val="auto"/>
          <w:highlight w:val="none"/>
        </w:rPr>
      </w:pPr>
    </w:p>
    <w:p w14:paraId="09AEA80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供应商编制响应文件（商务技术文件部分）时，建议按此目录（序号和内容）提供评审标准相应的商务技术资料。 </w:t>
      </w:r>
    </w:p>
    <w:p w14:paraId="119461CB">
      <w:pPr>
        <w:jc w:val="left"/>
        <w:rPr>
          <w:rFonts w:ascii="宋体" w:hAnsi="宋体" w:cs="宋体"/>
          <w:b/>
          <w:color w:val="auto"/>
          <w:sz w:val="32"/>
          <w:highlight w:val="none"/>
        </w:rPr>
      </w:pPr>
      <w:r>
        <w:rPr>
          <w:rFonts w:hint="eastAsia" w:ascii="宋体" w:hAnsi="宋体" w:cs="宋体"/>
          <w:b/>
          <w:color w:val="auto"/>
          <w:sz w:val="32"/>
          <w:highlight w:val="none"/>
        </w:rPr>
        <w:br w:type="page"/>
      </w:r>
    </w:p>
    <w:p w14:paraId="2BE53103">
      <w:pPr>
        <w:snapToGrid w:val="0"/>
        <w:spacing w:line="360" w:lineRule="auto"/>
        <w:jc w:val="center"/>
        <w:rPr>
          <w:rFonts w:ascii="宋体" w:hAnsi="宋体" w:cs="宋体"/>
          <w:b/>
          <w:color w:val="auto"/>
          <w:sz w:val="28"/>
          <w:szCs w:val="28"/>
          <w:highlight w:val="none"/>
        </w:rPr>
      </w:pPr>
      <w:r>
        <w:rPr>
          <w:rFonts w:hint="eastAsia" w:ascii="宋体" w:hAnsi="宋体" w:cs="宋体"/>
          <w:b/>
          <w:color w:val="auto"/>
          <w:sz w:val="32"/>
          <w:highlight w:val="none"/>
        </w:rPr>
        <w:t>一、评审方法</w:t>
      </w:r>
    </w:p>
    <w:p w14:paraId="4F7991B9">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综合评分法，是指响应文件满足磋商文件全部实质性要求且按评审因素的量化指标评审得分最高的供应商为成交候选供应商的评审方法。</w:t>
      </w:r>
    </w:p>
    <w:p w14:paraId="49B9DD67">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二、评审标准</w:t>
      </w:r>
    </w:p>
    <w:p w14:paraId="2BE3E92D">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评审标准：</w:t>
      </w:r>
      <w:r>
        <w:rPr>
          <w:rFonts w:hint="eastAsia" w:ascii="宋体" w:hAnsi="宋体" w:cs="宋体"/>
          <w:color w:val="auto"/>
          <w:kern w:val="0"/>
          <w:sz w:val="24"/>
          <w:highlight w:val="none"/>
        </w:rPr>
        <w:t>见评审办法前附表。</w:t>
      </w:r>
    </w:p>
    <w:p w14:paraId="22CE5978">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三、评审程序</w:t>
      </w:r>
    </w:p>
    <w:p w14:paraId="3016ED2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磋商小组应当对符合资格的供应商的响应文件进行符合性审查，以确定其是否满足采购文件的实质性要求。不满足采购文件的实质性要求的，响应文件无效。</w:t>
      </w:r>
    </w:p>
    <w:p w14:paraId="436C975A">
      <w:pPr>
        <w:spacing w:line="360" w:lineRule="auto"/>
        <w:ind w:firstLine="472" w:firstLineChars="196"/>
        <w:rPr>
          <w:rFonts w:ascii="宋体" w:hAnsi="宋体" w:cs="宋体"/>
          <w:color w:val="auto"/>
          <w:sz w:val="24"/>
          <w:highlight w:val="none"/>
        </w:rPr>
      </w:pPr>
      <w:r>
        <w:rPr>
          <w:rFonts w:hint="eastAsia" w:ascii="宋体" w:hAnsi="宋体" w:cs="宋体"/>
          <w:b/>
          <w:color w:val="auto"/>
          <w:kern w:val="0"/>
          <w:sz w:val="24"/>
          <w:highlight w:val="none"/>
        </w:rPr>
        <w:t>3.2 磋商。</w:t>
      </w:r>
      <w:r>
        <w:rPr>
          <w:rFonts w:hint="eastAsia" w:ascii="宋体" w:hAnsi="宋体" w:cs="宋体"/>
          <w:color w:val="auto"/>
          <w:sz w:val="24"/>
          <w:highlight w:val="none"/>
        </w:rPr>
        <w:t>磋商小组将对确定为实质性响应本采购文件的响应文件进行详细评价和比较，主要就资信、服务方案内容、服务承诺等磋商小组认为与本次采购有关的因素与</w:t>
      </w:r>
      <w:r>
        <w:rPr>
          <w:rFonts w:hint="eastAsia" w:ascii="宋体" w:hAnsi="宋体" w:cs="宋体"/>
          <w:color w:val="auto"/>
          <w:kern w:val="0"/>
          <w:sz w:val="24"/>
          <w:highlight w:val="none"/>
        </w:rPr>
        <w:t>符合性审查合格的</w:t>
      </w:r>
      <w:r>
        <w:rPr>
          <w:rFonts w:hint="eastAsia" w:ascii="宋体" w:hAnsi="宋体" w:cs="宋体"/>
          <w:color w:val="auto"/>
          <w:sz w:val="24"/>
          <w:highlight w:val="none"/>
        </w:rPr>
        <w:t>供应商逐一进行磋商。</w:t>
      </w:r>
    </w:p>
    <w:p w14:paraId="4A36F512">
      <w:pPr>
        <w:spacing w:line="360" w:lineRule="auto"/>
        <w:ind w:firstLine="470" w:firstLineChars="196"/>
        <w:rPr>
          <w:rFonts w:ascii="宋体" w:hAnsi="宋体" w:cs="宋体"/>
          <w:b/>
          <w:color w:val="auto"/>
          <w:sz w:val="24"/>
          <w:highlight w:val="none"/>
        </w:rPr>
      </w:pPr>
      <w:r>
        <w:rPr>
          <w:rFonts w:hint="eastAsia" w:ascii="宋体" w:hAnsi="宋体" w:cs="宋体"/>
          <w:bCs/>
          <w:color w:val="auto"/>
          <w:sz w:val="24"/>
          <w:highlight w:val="none"/>
        </w:rPr>
        <w:t xml:space="preserve">3.2.1 </w:t>
      </w:r>
      <w:r>
        <w:rPr>
          <w:rFonts w:hint="eastAsia" w:ascii="宋体" w:hAnsi="宋体" w:cs="宋体"/>
          <w:color w:val="auto"/>
          <w:sz w:val="24"/>
          <w:highlight w:val="none"/>
        </w:rPr>
        <w:t>供应商逐家回答磋商小组的提问；</w:t>
      </w:r>
      <w:r>
        <w:rPr>
          <w:rFonts w:hint="eastAsia" w:ascii="宋体" w:hAnsi="宋体" w:cs="宋体"/>
          <w:b/>
          <w:color w:val="auto"/>
          <w:sz w:val="24"/>
          <w:highlight w:val="none"/>
        </w:rPr>
        <w:t>逐家磋商一次为一个轮次，磋商轮次根据实际情况进行。</w:t>
      </w:r>
    </w:p>
    <w:p w14:paraId="725B48C8">
      <w:pPr>
        <w:spacing w:line="360" w:lineRule="auto"/>
        <w:ind w:firstLine="470" w:firstLineChars="196"/>
        <w:rPr>
          <w:rFonts w:ascii="宋体" w:hAnsi="宋体" w:cs="宋体"/>
          <w:color w:val="auto"/>
          <w:sz w:val="24"/>
          <w:highlight w:val="none"/>
        </w:rPr>
      </w:pPr>
      <w:r>
        <w:rPr>
          <w:rFonts w:hint="eastAsia" w:ascii="宋体" w:hAnsi="宋体" w:cs="宋体"/>
          <w:bCs/>
          <w:color w:val="auto"/>
          <w:sz w:val="24"/>
          <w:highlight w:val="none"/>
        </w:rPr>
        <w:t xml:space="preserve">3.2.2 </w:t>
      </w:r>
      <w:r>
        <w:rPr>
          <w:rFonts w:hint="eastAsia" w:ascii="宋体" w:hAnsi="宋体" w:cs="宋体"/>
          <w:color w:val="auto"/>
          <w:sz w:val="24"/>
          <w:highlight w:val="none"/>
        </w:rPr>
        <w:t>供应商应按磋商小组通知的时间在线或以邮件回复做出承诺或回复，承诺或回复的内容须由供应商法定代表人或授权代表签署，并作为响应文件的补充部分。</w:t>
      </w:r>
    </w:p>
    <w:p w14:paraId="55175278">
      <w:pPr>
        <w:spacing w:line="360" w:lineRule="auto"/>
        <w:ind w:firstLine="470" w:firstLineChars="196"/>
        <w:rPr>
          <w:rFonts w:ascii="宋体" w:hAnsi="宋体" w:cs="宋体"/>
          <w:bCs/>
          <w:color w:val="auto"/>
          <w:kern w:val="0"/>
          <w:sz w:val="24"/>
          <w:highlight w:val="none"/>
        </w:rPr>
      </w:pPr>
      <w:r>
        <w:rPr>
          <w:rFonts w:hint="eastAsia" w:ascii="宋体" w:hAnsi="宋体" w:cs="宋体"/>
          <w:color w:val="auto"/>
          <w:sz w:val="24"/>
          <w:highlight w:val="none"/>
        </w:rPr>
        <w:t xml:space="preserve">3.2.3 </w:t>
      </w:r>
      <w:r>
        <w:rPr>
          <w:rFonts w:hint="eastAsia" w:ascii="宋体" w:hAnsi="宋体" w:cs="宋体"/>
          <w:b/>
          <w:bCs/>
          <w:color w:val="auto"/>
          <w:sz w:val="24"/>
          <w:highlight w:val="none"/>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color w:val="auto"/>
          <w:sz w:val="24"/>
          <w:highlight w:val="none"/>
        </w:rPr>
        <w:t>实质性变动的内容，须经采购人代表确认。磋商文件有实质性变动的，磋商小组将以书面形式通知所有</w:t>
      </w:r>
      <w:r>
        <w:rPr>
          <w:rFonts w:hint="eastAsia" w:ascii="宋体" w:hAnsi="宋体" w:cs="宋体"/>
          <w:color w:val="auto"/>
          <w:kern w:val="0"/>
          <w:sz w:val="24"/>
          <w:highlight w:val="none"/>
        </w:rPr>
        <w:t>符合性审查合格的</w:t>
      </w:r>
      <w:r>
        <w:rPr>
          <w:rFonts w:hint="eastAsia" w:ascii="宋体" w:hAnsi="宋体" w:cs="宋体"/>
          <w:color w:val="auto"/>
          <w:sz w:val="24"/>
          <w:highlight w:val="none"/>
        </w:rPr>
        <w:t xml:space="preserve">供应商。 </w:t>
      </w:r>
    </w:p>
    <w:p w14:paraId="2ADC1545">
      <w:pPr>
        <w:spacing w:line="360" w:lineRule="auto"/>
        <w:ind w:firstLine="472" w:firstLineChars="196"/>
        <w:rPr>
          <w:rFonts w:ascii="宋体" w:hAnsi="宋体" w:cs="宋体"/>
          <w:b/>
          <w:bCs/>
          <w:color w:val="auto"/>
          <w:kern w:val="0"/>
          <w:sz w:val="24"/>
          <w:highlight w:val="none"/>
        </w:rPr>
      </w:pPr>
      <w:r>
        <w:rPr>
          <w:rFonts w:hint="eastAsia" w:ascii="宋体" w:hAnsi="宋体" w:cs="宋体"/>
          <w:b/>
          <w:bCs/>
          <w:color w:val="auto"/>
          <w:kern w:val="0"/>
          <w:sz w:val="24"/>
          <w:highlight w:val="none"/>
        </w:rPr>
        <w:t>3.3最后报价</w:t>
      </w:r>
    </w:p>
    <w:p w14:paraId="161C7709">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3.3.1 磋商文件能够详细列明采购标的的技术、服务要求的，磋商结束后，磋商小组应当要求所有符合性审查合格的供应商在规定时间内提交最后报价，提交最后报价的供应商不得少于3家。</w:t>
      </w:r>
    </w:p>
    <w:p w14:paraId="06D1CB65">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5AC38816">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3.3.3 已提交响应文件的供应商，在提交最后报价之前，可以根据磋商情况退出磋商。</w:t>
      </w:r>
    </w:p>
    <w:p w14:paraId="50A26A7B">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3.4 综合评分。</w:t>
      </w:r>
      <w:r>
        <w:rPr>
          <w:rFonts w:hint="eastAsia" w:ascii="宋体" w:hAnsi="宋体" w:cs="宋体"/>
          <w:bCs/>
          <w:color w:val="auto"/>
          <w:kern w:val="0"/>
          <w:sz w:val="24"/>
          <w:highlight w:val="none"/>
        </w:rPr>
        <w:t>经磋商确定最终采购需求和提交最后报价的供应商后，</w:t>
      </w:r>
      <w:r>
        <w:rPr>
          <w:rFonts w:hint="eastAsia" w:ascii="宋体" w:hAnsi="宋体" w:cs="宋体"/>
          <w:color w:val="auto"/>
          <w:kern w:val="0"/>
          <w:sz w:val="24"/>
          <w:highlight w:val="none"/>
        </w:rPr>
        <w:t>磋商小组应当按照采购文件中规定的评审标准，对符合性审查合格的响应文件进行综合评分。磋商文件中没有规定的评审标准不得作为评审依据。</w:t>
      </w:r>
    </w:p>
    <w:p w14:paraId="54B0F07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3.5汇总商务技术得分。</w:t>
      </w:r>
      <w:r>
        <w:rPr>
          <w:rFonts w:hint="eastAsia" w:ascii="宋体" w:hAnsi="宋体" w:cs="宋体"/>
          <w:color w:val="auto"/>
          <w:kern w:val="0"/>
          <w:sz w:val="24"/>
          <w:highlight w:val="none"/>
        </w:rPr>
        <w:t>磋商小组各成员应当独立对每个供应商的商务和技术文件进行评价，并汇总商务技术得分情况。磋商小组成员总评分偏离平均分30%以上的，以及个人主观打分偏离所有磋商小组成员主观打分平均值</w:t>
      </w:r>
      <w:r>
        <w:rPr>
          <w:rFonts w:ascii="宋体" w:hAnsi="宋体" w:cs="宋体"/>
          <w:color w:val="auto"/>
          <w:kern w:val="0"/>
          <w:sz w:val="24"/>
          <w:highlight w:val="none"/>
        </w:rPr>
        <w:t>30%以上的，由</w:t>
      </w:r>
      <w:r>
        <w:rPr>
          <w:rFonts w:hint="eastAsia" w:ascii="宋体" w:hAnsi="宋体" w:cs="宋体"/>
          <w:color w:val="auto"/>
          <w:kern w:val="0"/>
          <w:sz w:val="24"/>
          <w:highlight w:val="none"/>
        </w:rPr>
        <w:t>磋商小组</w:t>
      </w:r>
      <w:r>
        <w:rPr>
          <w:rFonts w:ascii="宋体" w:hAnsi="宋体" w:cs="宋体"/>
          <w:color w:val="auto"/>
          <w:kern w:val="0"/>
          <w:sz w:val="24"/>
          <w:highlight w:val="none"/>
        </w:rPr>
        <w:t>启动评分畸高、畸低行为认定程序</w:t>
      </w:r>
      <w:r>
        <w:rPr>
          <w:rFonts w:hint="eastAsia" w:ascii="宋体" w:hAnsi="宋体" w:cs="宋体"/>
          <w:color w:val="auto"/>
          <w:kern w:val="0"/>
          <w:sz w:val="24"/>
          <w:highlight w:val="none"/>
        </w:rPr>
        <w:t>，磋商小组组长应提醒相关评审人员进行复核或书面说明理由，评审人员拒绝说明的，由现场监督员据实记录；评审人员的评审、修改记录应保留原件，随项目其他资料一并存档。</w:t>
      </w:r>
    </w:p>
    <w:p w14:paraId="61756E14">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3.6报价评审。</w:t>
      </w:r>
    </w:p>
    <w:p w14:paraId="17038E81">
      <w:pPr>
        <w:pStyle w:val="13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3.6.1响应文件报价出现前后不一致的，按照下列规定修正：</w:t>
      </w:r>
    </w:p>
    <w:p w14:paraId="786F5E6D">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3.6.1.1响应文件中已标价工程量清单内容与响应文件中相应内容不一致的，以已标价工程量清单为准</w:t>
      </w:r>
      <w:r>
        <w:rPr>
          <w:rFonts w:hint="eastAsia" w:ascii="宋体" w:hAnsi="宋体" w:cs="宋体"/>
          <w:color w:val="auto"/>
          <w:kern w:val="0"/>
          <w:szCs w:val="24"/>
          <w:highlight w:val="none"/>
          <w:lang w:eastAsia="zh-CN"/>
        </w:rPr>
        <w:t>；</w:t>
      </w:r>
    </w:p>
    <w:p w14:paraId="195F4016">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3.6.1.2大写金额和小写金额不一致的，以大写金额为准</w:t>
      </w:r>
      <w:r>
        <w:rPr>
          <w:rFonts w:hint="eastAsia" w:ascii="宋体" w:hAnsi="宋体" w:cs="宋体"/>
          <w:color w:val="auto"/>
          <w:kern w:val="0"/>
          <w:szCs w:val="24"/>
          <w:highlight w:val="none"/>
          <w:lang w:eastAsia="zh-CN"/>
        </w:rPr>
        <w:t>；</w:t>
      </w:r>
    </w:p>
    <w:p w14:paraId="62406E25">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3.6.1.3单价金额小数点或者百分比有明显错位的，以已标价工程量清单的总价为准，并修改单价</w:t>
      </w:r>
      <w:r>
        <w:rPr>
          <w:rFonts w:hint="eastAsia" w:ascii="宋体" w:hAnsi="宋体" w:cs="宋体"/>
          <w:color w:val="auto"/>
          <w:kern w:val="0"/>
          <w:szCs w:val="24"/>
          <w:highlight w:val="none"/>
          <w:lang w:eastAsia="zh-CN"/>
        </w:rPr>
        <w:t>；</w:t>
      </w:r>
    </w:p>
    <w:p w14:paraId="34537AFE">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3.6.1.4总价金额与按单价汇总金额不一致的，以单价金额计算结果为准</w:t>
      </w:r>
      <w:r>
        <w:rPr>
          <w:rFonts w:hint="eastAsia" w:ascii="宋体" w:hAnsi="宋体" w:cs="宋体"/>
          <w:color w:val="auto"/>
          <w:kern w:val="0"/>
          <w:szCs w:val="24"/>
          <w:highlight w:val="none"/>
          <w:lang w:eastAsia="zh-CN"/>
        </w:rPr>
        <w:t>；</w:t>
      </w:r>
    </w:p>
    <w:p w14:paraId="2114FBBF">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3.6.1.5同时出现两种以上不一致的，按照3.6.1规定的顺序修正。修正后的报价经供应商确认后产生约束力。</w:t>
      </w:r>
    </w:p>
    <w:p w14:paraId="57E8E4D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3.6.2响应文件出现不是唯一的、有选择性最后报价的，响应文件无效。</w:t>
      </w:r>
    </w:p>
    <w:p w14:paraId="7BA6251F">
      <w:pPr>
        <w:snapToGrid w:val="0"/>
        <w:spacing w:line="360" w:lineRule="auto"/>
        <w:ind w:firstLine="480" w:firstLineChars="200"/>
        <w:jc w:val="left"/>
        <w:rPr>
          <w:rFonts w:ascii="宋体" w:hAnsi="宋体" w:cs="宋体"/>
          <w:color w:val="auto"/>
          <w:kern w:val="0"/>
          <w:szCs w:val="24"/>
          <w:highlight w:val="none"/>
        </w:rPr>
      </w:pPr>
      <w:r>
        <w:rPr>
          <w:rFonts w:hint="eastAsia" w:ascii="宋体" w:hAnsi="宋体" w:cs="宋体"/>
          <w:color w:val="auto"/>
          <w:kern w:val="0"/>
          <w:sz w:val="24"/>
          <w:highlight w:val="none"/>
        </w:rPr>
        <w:t>3.6.3最后报价超过采购文件中规定的预算金额或者最高限价的，响应文件无效。</w:t>
      </w:r>
    </w:p>
    <w:p w14:paraId="0054135C">
      <w:pPr>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3.7排序与推荐。</w:t>
      </w:r>
      <w:r>
        <w:rPr>
          <w:rFonts w:hint="eastAsia" w:ascii="宋体" w:hAnsi="宋体" w:cs="宋体"/>
          <w:color w:val="auto"/>
          <w:kern w:val="0"/>
          <w:sz w:val="24"/>
          <w:highlight w:val="none"/>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14:paraId="611E717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3.8编写评审报告。</w:t>
      </w:r>
      <w:r>
        <w:rPr>
          <w:rFonts w:hint="eastAsia" w:ascii="宋体" w:hAnsi="宋体" w:cs="宋体"/>
          <w:color w:val="auto"/>
          <w:kern w:val="0"/>
          <w:sz w:val="24"/>
          <w:highlight w:val="none"/>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623C65D8">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四、评审中的其他事项</w:t>
      </w:r>
    </w:p>
    <w:p w14:paraId="59B6A19C">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4.1供应商澄清、说明或者补正。</w:t>
      </w:r>
      <w:r>
        <w:rPr>
          <w:rFonts w:hint="eastAsia" w:ascii="宋体" w:hAnsi="宋体" w:cs="宋体"/>
          <w:color w:val="auto"/>
          <w:kern w:val="0"/>
          <w:szCs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EECF5E7">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4.2响应文件无效。</w:t>
      </w:r>
      <w:r>
        <w:rPr>
          <w:rFonts w:hint="eastAsia" w:cs="宋体"/>
          <w:color w:val="auto"/>
          <w:szCs w:val="21"/>
          <w:highlight w:val="none"/>
        </w:rPr>
        <w:t>有下列情形之一的，响应文件无效：</w:t>
      </w:r>
    </w:p>
    <w:p w14:paraId="66C97A1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4.2.1供应商不具备采购文件中规定的资格要求的（供应商未提供有效的资格文件的，视为供应商不具备采购文件中规定的资格要求）；</w:t>
      </w:r>
    </w:p>
    <w:p w14:paraId="6B789F1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4.2.2响应文件未按照采购文件要求签署、盖章的；</w:t>
      </w:r>
    </w:p>
    <w:p w14:paraId="3954903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4.2.3采购人拟采购的产品属于政府强制采购的节能产品品目清单范围的，供应商未按采购文件要求提供国家确定的认证机构出具的、处于有效期之内的节能产品认证证书的；</w:t>
      </w:r>
    </w:p>
    <w:p w14:paraId="616C836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4.2.4响应文件含有采购人不能接受的附加条件的；</w:t>
      </w:r>
    </w:p>
    <w:p w14:paraId="0DF2804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4.2.5响应文件中承诺的响应文件有效期少于采购文件中载明的响应文件有效期的；</w:t>
      </w:r>
    </w:p>
    <w:p w14:paraId="1B05DA4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4.2.6响应文件出现不是唯一的、有选择性最后报价的；</w:t>
      </w:r>
    </w:p>
    <w:p w14:paraId="6FB44CE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4.2.7最后报价超过采购文件中规定的预算金额或者最高限价的；</w:t>
      </w:r>
    </w:p>
    <w:p w14:paraId="62D1A32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4.2.8报价明显低于其他通过符合性审查供应商的报价，有可能影响产品质量或者不能诚信履约的，未能按要求提供书面说明或者提交相关证明材料，不能证明其报价合理性的；</w:t>
      </w:r>
    </w:p>
    <w:p w14:paraId="53129D6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4.2.9供应商对根据修正原则修正后的报价不确认的；</w:t>
      </w:r>
    </w:p>
    <w:p w14:paraId="470AF08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4.2.10供应商提供虚假材料响应的；</w:t>
      </w:r>
    </w:p>
    <w:p w14:paraId="02EA767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4.2.11供应商有恶意串通、妨碍其他供应商的竞争行为、损害采购人或者其他供应商的合法权益情形的；</w:t>
      </w:r>
    </w:p>
    <w:p w14:paraId="31DEF7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4.2.12供应商仅提交备份响应文件，未在电子交易平台传输递交响应文件的，响应文件无效；</w:t>
      </w:r>
    </w:p>
    <w:p w14:paraId="1AA9C5E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 响应文件不满足采购文件的其它实质性要求的；</w:t>
      </w:r>
    </w:p>
    <w:p w14:paraId="7C4B376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64E02928">
      <w:pPr>
        <w:pStyle w:val="26"/>
        <w:snapToGrid w:val="0"/>
        <w:spacing w:line="360" w:lineRule="auto"/>
        <w:ind w:firstLine="472" w:firstLineChars="196"/>
        <w:rPr>
          <w:rFonts w:cs="宋体"/>
          <w:color w:val="auto"/>
          <w:highlight w:val="none"/>
        </w:rPr>
      </w:pPr>
      <w:r>
        <w:rPr>
          <w:rFonts w:hint="eastAsia" w:cs="宋体"/>
          <w:b/>
          <w:color w:val="auto"/>
          <w:highlight w:val="none"/>
        </w:rPr>
        <w:t>5.终止竞争性磋商采购活动。</w:t>
      </w:r>
      <w:r>
        <w:rPr>
          <w:rFonts w:hint="eastAsia" w:cs="宋体"/>
          <w:color w:val="auto"/>
          <w:highlight w:val="none"/>
        </w:rPr>
        <w:t>出现下列情形之一的，采购人或者采购代理机构应当终止竞争性磋商采购活动，发布项目终止公告并说明原因，重新开展采购活动：</w:t>
      </w:r>
    </w:p>
    <w:p w14:paraId="4F792E04">
      <w:pPr>
        <w:pStyle w:val="26"/>
        <w:snapToGrid w:val="0"/>
        <w:spacing w:line="360" w:lineRule="auto"/>
        <w:rPr>
          <w:rFonts w:cs="宋体"/>
          <w:color w:val="auto"/>
          <w:highlight w:val="none"/>
        </w:rPr>
      </w:pPr>
      <w:r>
        <w:rPr>
          <w:rFonts w:hint="eastAsia" w:cs="宋体"/>
          <w:color w:val="auto"/>
          <w:highlight w:val="none"/>
        </w:rPr>
        <w:t>5.1因情况变化，不再符合规定的竞争性磋商采购方式适用情形的；</w:t>
      </w:r>
    </w:p>
    <w:p w14:paraId="5F4DB3BE">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740E0DB1">
      <w:pPr>
        <w:pStyle w:val="26"/>
        <w:snapToGrid w:val="0"/>
        <w:spacing w:line="360" w:lineRule="auto"/>
        <w:rPr>
          <w:rFonts w:cs="宋体"/>
          <w:color w:val="auto"/>
          <w:highlight w:val="none"/>
        </w:rPr>
      </w:pPr>
      <w:r>
        <w:rPr>
          <w:rFonts w:hint="eastAsia" w:cs="宋体"/>
          <w:color w:val="auto"/>
          <w:highlight w:val="none"/>
        </w:rPr>
        <w:t>5.3除本办法第二十一条第三款规定的情形外，在采购过程中符合要求的供应商或者报价未超过采购预算的供应商不足3家的。</w:t>
      </w:r>
    </w:p>
    <w:p w14:paraId="5F506A3A">
      <w:pPr>
        <w:pStyle w:val="26"/>
        <w:snapToGrid w:val="0"/>
        <w:spacing w:line="360" w:lineRule="auto"/>
        <w:rPr>
          <w:rFonts w:cs="宋体"/>
          <w:color w:val="auto"/>
          <w:highlight w:val="none"/>
        </w:rPr>
      </w:pPr>
      <w:r>
        <w:rPr>
          <w:rFonts w:hint="eastAsia" w:cs="宋体"/>
          <w:color w:val="auto"/>
          <w:highlight w:val="none"/>
        </w:rPr>
        <w:t>5.4在采购活动中因重大变故，采购任务取消的，采购人或者采购代理机构应当终止采购活动，通知所有参加采购活动的供应商，并将项目实施情况和采购任务取消原因报送本级财政部门。</w:t>
      </w:r>
    </w:p>
    <w:p w14:paraId="7BD32090">
      <w:pPr>
        <w:pStyle w:val="26"/>
        <w:snapToGrid w:val="0"/>
        <w:spacing w:line="360" w:lineRule="auto"/>
        <w:ind w:firstLine="482"/>
        <w:rPr>
          <w:rFonts w:cs="宋体"/>
          <w:color w:val="auto"/>
          <w:highlight w:val="none"/>
        </w:rPr>
      </w:pPr>
      <w:r>
        <w:rPr>
          <w:rFonts w:hint="eastAsia" w:cs="宋体"/>
          <w:b/>
          <w:color w:val="auto"/>
          <w:kern w:val="0"/>
          <w:highlight w:val="none"/>
        </w:rPr>
        <w:t>6.重新开展采购。</w:t>
      </w:r>
      <w:r>
        <w:rPr>
          <w:rFonts w:hint="eastAsia" w:cs="宋体"/>
          <w:color w:val="auto"/>
          <w:highlight w:val="none"/>
        </w:rPr>
        <w:t>依照下列规定处理：</w:t>
      </w:r>
    </w:p>
    <w:p w14:paraId="59C8AECE">
      <w:pPr>
        <w:pStyle w:val="26"/>
        <w:snapToGrid w:val="0"/>
        <w:spacing w:line="360" w:lineRule="auto"/>
        <w:rPr>
          <w:rFonts w:cs="宋体"/>
          <w:color w:val="auto"/>
          <w:highlight w:val="none"/>
        </w:rPr>
      </w:pPr>
      <w:r>
        <w:rPr>
          <w:rFonts w:hint="eastAsia" w:cs="宋体"/>
          <w:color w:val="auto"/>
          <w:highlight w:val="none"/>
        </w:rPr>
        <w:t>6.1未确定成交供应商的，终止本次采购活动，重新开展采购活动。</w:t>
      </w:r>
    </w:p>
    <w:p w14:paraId="1B142C5A">
      <w:pPr>
        <w:pStyle w:val="26"/>
        <w:snapToGrid w:val="0"/>
        <w:spacing w:line="360" w:lineRule="auto"/>
        <w:rPr>
          <w:rFonts w:cs="宋体"/>
          <w:color w:val="auto"/>
          <w:highlight w:val="none"/>
        </w:rPr>
      </w:pPr>
      <w:r>
        <w:rPr>
          <w:rFonts w:hint="eastAsia" w:cs="宋体"/>
          <w:color w:val="auto"/>
          <w:highlight w:val="none"/>
        </w:rPr>
        <w:t>6.2已确定成交供应商但尚未签订采购合同的，成交结果无效，从合格的成交候选供应商中另行确定成交供应商；没有合格的成交候选供应商的，重新开展采购活动。</w:t>
      </w:r>
    </w:p>
    <w:p w14:paraId="3318DB72">
      <w:pPr>
        <w:pStyle w:val="26"/>
        <w:snapToGrid w:val="0"/>
        <w:spacing w:line="360" w:lineRule="auto"/>
        <w:rPr>
          <w:rFonts w:cs="宋体"/>
          <w:color w:val="auto"/>
          <w:highlight w:val="none"/>
        </w:rPr>
      </w:pPr>
      <w:r>
        <w:rPr>
          <w:rFonts w:hint="eastAsia" w:cs="宋体"/>
          <w:color w:val="auto"/>
          <w:highlight w:val="none"/>
        </w:rPr>
        <w:t>6.3采购合同已签订但尚未履行的，撤销合同，从合格的成交候选供应商中另行确定成交供应商；没有合格的成交候选供应商的，重新开展采购活动。</w:t>
      </w:r>
    </w:p>
    <w:p w14:paraId="77DE7F7C">
      <w:pPr>
        <w:pStyle w:val="26"/>
        <w:snapToGrid w:val="0"/>
        <w:spacing w:line="360" w:lineRule="auto"/>
        <w:rPr>
          <w:rFonts w:cs="宋体"/>
          <w:color w:val="auto"/>
          <w:highlight w:val="none"/>
        </w:rPr>
      </w:pPr>
      <w:r>
        <w:rPr>
          <w:rFonts w:hint="eastAsia" w:cs="宋体"/>
          <w:color w:val="auto"/>
          <w:highlight w:val="none"/>
        </w:rPr>
        <w:t>6.4采购合同已经履行，给采购人、供应商造成损失的，由责任人承担赔偿责任。</w:t>
      </w:r>
    </w:p>
    <w:p w14:paraId="22E52564">
      <w:pPr>
        <w:pStyle w:val="26"/>
        <w:snapToGrid w:val="0"/>
        <w:spacing w:line="360" w:lineRule="auto"/>
        <w:rPr>
          <w:rFonts w:cs="宋体"/>
          <w:color w:val="auto"/>
          <w:highlight w:val="none"/>
        </w:rPr>
      </w:pPr>
      <w:r>
        <w:rPr>
          <w:rFonts w:hint="eastAsia" w:cs="宋体"/>
          <w:color w:val="auto"/>
          <w:highlight w:val="none"/>
        </w:rPr>
        <w:t>6.5采购当事人有其他违反采购法或者采购法实施条例等法律法规规定的行为，经改正后仍然影响或者可能影响成交结果或者依法被认定为成交无效的，依照6.1-6.4规定处理。</w:t>
      </w:r>
    </w:p>
    <w:p w14:paraId="022D83AD">
      <w:pPr>
        <w:pStyle w:val="26"/>
        <w:snapToGrid w:val="0"/>
        <w:spacing w:line="360" w:lineRule="auto"/>
        <w:ind w:firstLine="0" w:firstLineChars="0"/>
        <w:rPr>
          <w:rFonts w:cs="宋体"/>
          <w:color w:val="auto"/>
          <w:highlight w:val="none"/>
        </w:rPr>
        <w:sectPr>
          <w:pgSz w:w="11907" w:h="16840"/>
          <w:pgMar w:top="1440" w:right="1080" w:bottom="1440" w:left="1080" w:header="851" w:footer="851" w:gutter="0"/>
          <w:pgNumType w:fmt="decimal"/>
          <w:cols w:space="720" w:num="1"/>
        </w:sectPr>
      </w:pPr>
    </w:p>
    <w:bookmarkEnd w:id="91"/>
    <w:p w14:paraId="2E6482EC">
      <w:pPr>
        <w:pStyle w:val="5"/>
        <w:snapToGrid w:val="0"/>
        <w:spacing w:before="0" w:after="0" w:line="360" w:lineRule="auto"/>
        <w:ind w:left="0" w:firstLine="0"/>
        <w:jc w:val="center"/>
        <w:rPr>
          <w:color w:val="auto"/>
          <w:highlight w:val="none"/>
        </w:rPr>
      </w:pPr>
      <w:bookmarkStart w:id="496" w:name="_Toc12059"/>
      <w:bookmarkStart w:id="497" w:name="第五部分"/>
      <w:bookmarkStart w:id="498" w:name="_Toc86217003"/>
      <w:r>
        <w:rPr>
          <w:rFonts w:hint="eastAsia"/>
          <w:color w:val="auto"/>
          <w:highlight w:val="none"/>
        </w:rPr>
        <w:t>第五部分 拟签订的合同文本</w:t>
      </w:r>
      <w:bookmarkEnd w:id="496"/>
    </w:p>
    <w:p w14:paraId="4E81CBBB">
      <w:pPr>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（最终以双方签字盖章的合同文本为准）</w:t>
      </w:r>
      <w:bookmarkStart w:id="499" w:name="_Toc103956895"/>
      <w:bookmarkEnd w:id="499"/>
    </w:p>
    <w:p w14:paraId="79C65627">
      <w:pPr>
        <w:pStyle w:val="35"/>
        <w:widowControl/>
        <w:spacing w:before="120" w:after="120" w:line="360" w:lineRule="auto"/>
        <w:jc w:val="center"/>
        <w:outlineLvl w:val="0"/>
        <w:rPr>
          <w:rFonts w:hAnsi="宋体" w:cs="宋体"/>
          <w:iCs/>
          <w:color w:val="auto"/>
          <w:sz w:val="32"/>
          <w:szCs w:val="32"/>
          <w:highlight w:val="none"/>
        </w:rPr>
      </w:pPr>
      <w:bookmarkStart w:id="500" w:name="_Toc31318"/>
      <w:r>
        <w:rPr>
          <w:rStyle w:val="119"/>
          <w:rFonts w:hint="eastAsia" w:hAnsi="宋体" w:cs="宋体"/>
          <w:iCs/>
          <w:color w:val="auto"/>
          <w:highlight w:val="none"/>
        </w:rPr>
        <w:t>第一部分合同协议书</w:t>
      </w:r>
      <w:bookmarkEnd w:id="500"/>
    </w:p>
    <w:p w14:paraId="11FA8770">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发 包 人（全称）：</w:t>
      </w:r>
    </w:p>
    <w:p w14:paraId="65602FB5">
      <w:pPr>
        <w:spacing w:line="400" w:lineRule="exact"/>
        <w:ind w:firstLine="420" w:firstLineChars="200"/>
        <w:rPr>
          <w:rFonts w:ascii="宋体" w:hAnsi="宋体" w:cs="宋体"/>
          <w:iCs/>
          <w:color w:val="auto"/>
          <w:highlight w:val="none"/>
          <w:u w:val="single"/>
        </w:rPr>
      </w:pPr>
      <w:r>
        <w:rPr>
          <w:rFonts w:hint="eastAsia" w:ascii="宋体" w:hAnsi="宋体" w:cs="宋体"/>
          <w:iCs/>
          <w:color w:val="auto"/>
          <w:highlight w:val="none"/>
        </w:rPr>
        <w:t>承 包 人（全称）：</w:t>
      </w:r>
    </w:p>
    <w:p w14:paraId="673D955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根据《中华人民共和国民法典》、《中华人民共和国建筑法》及有关法律规定，遵循平等、自愿、公平和诚实信用的原则，双方就施工及有关事项协商一致，共同达成如下协议：</w:t>
      </w:r>
    </w:p>
    <w:p w14:paraId="2E6BD0AD">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一、工程概况</w:t>
      </w:r>
    </w:p>
    <w:p w14:paraId="50AF5FD6">
      <w:pPr>
        <w:spacing w:line="400" w:lineRule="exact"/>
        <w:ind w:firstLine="420" w:firstLineChars="200"/>
        <w:rPr>
          <w:rFonts w:hint="eastAsia" w:ascii="宋体" w:hAnsi="宋体" w:eastAsia="宋体" w:cs="宋体"/>
          <w:iCs/>
          <w:color w:val="auto"/>
          <w:highlight w:val="none"/>
          <w:u w:val="single"/>
          <w:lang w:eastAsia="zh-CN"/>
        </w:rPr>
      </w:pPr>
      <w:r>
        <w:rPr>
          <w:rFonts w:hint="eastAsia" w:ascii="宋体" w:hAnsi="宋体" w:cs="宋体"/>
          <w:iCs/>
          <w:color w:val="auto"/>
          <w:highlight w:val="none"/>
        </w:rPr>
        <w:t>1.工程名称：</w:t>
      </w:r>
      <w:r>
        <w:rPr>
          <w:rFonts w:hint="eastAsia" w:ascii="宋体" w:hAnsi="宋体" w:cs="宋体"/>
          <w:iCs/>
          <w:color w:val="auto"/>
          <w:highlight w:val="none"/>
          <w:u w:val="single"/>
        </w:rPr>
        <w:t xml:space="preserve">          </w:t>
      </w:r>
      <w:r>
        <w:rPr>
          <w:rFonts w:hint="eastAsia" w:ascii="宋体" w:hAnsi="宋体" w:cs="宋体"/>
          <w:iCs/>
          <w:color w:val="auto"/>
          <w:highlight w:val="none"/>
          <w:u w:val="none"/>
          <w:lang w:eastAsia="zh-CN"/>
        </w:rPr>
        <w:t>。</w:t>
      </w:r>
    </w:p>
    <w:p w14:paraId="4E76EB8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2.工程地点：</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p>
    <w:p w14:paraId="1A446F0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3.资金来源</w:t>
      </w:r>
      <w:r>
        <w:rPr>
          <w:rFonts w:hint="eastAsia" w:ascii="宋体" w:hAnsi="宋体" w:cs="宋体"/>
          <w:iCs/>
          <w:color w:val="auto"/>
          <w:highlight w:val="none"/>
          <w:u w:val="single"/>
        </w:rPr>
        <w:t>：</w:t>
      </w:r>
      <w:r>
        <w:rPr>
          <w:rFonts w:hint="eastAsia" w:ascii="宋体" w:hAnsi="宋体" w:cs="宋体"/>
          <w:iCs/>
          <w:color w:val="auto"/>
          <w:highlight w:val="none"/>
          <w:u w:val="single"/>
          <w:lang w:val="en-US" w:eastAsia="zh-CN"/>
        </w:rPr>
        <w:t>自筹资金</w:t>
      </w:r>
      <w:r>
        <w:rPr>
          <w:rFonts w:hint="eastAsia" w:ascii="宋体" w:hAnsi="宋体" w:cs="宋体"/>
          <w:iCs/>
          <w:color w:val="auto"/>
          <w:highlight w:val="none"/>
          <w:u w:val="single"/>
        </w:rPr>
        <w:t xml:space="preserve"> </w:t>
      </w:r>
      <w:r>
        <w:rPr>
          <w:rFonts w:hint="eastAsia" w:ascii="宋体" w:hAnsi="宋体" w:cs="宋体"/>
          <w:iCs/>
          <w:color w:val="auto"/>
          <w:highlight w:val="none"/>
        </w:rPr>
        <w:t>。</w:t>
      </w:r>
    </w:p>
    <w:p w14:paraId="62D4C687">
      <w:pPr>
        <w:spacing w:line="400" w:lineRule="exact"/>
        <w:ind w:firstLine="420" w:firstLineChars="200"/>
        <w:rPr>
          <w:rFonts w:ascii="宋体" w:hAnsi="宋体" w:cs="宋体"/>
          <w:iCs/>
          <w:color w:val="auto"/>
          <w:highlight w:val="none"/>
          <w:u w:val="single"/>
        </w:rPr>
      </w:pPr>
      <w:r>
        <w:rPr>
          <w:rFonts w:hint="eastAsia" w:ascii="宋体" w:hAnsi="宋体" w:cs="宋体"/>
          <w:iCs/>
          <w:color w:val="auto"/>
          <w:highlight w:val="none"/>
        </w:rPr>
        <w:t>4.工程内容：</w:t>
      </w:r>
      <w:r>
        <w:rPr>
          <w:rFonts w:hint="eastAsia" w:ascii="宋体" w:hAnsi="宋体" w:cs="宋体"/>
          <w:iCs/>
          <w:color w:val="auto"/>
          <w:highlight w:val="none"/>
          <w:u w:val="single"/>
        </w:rPr>
        <w:t>杭州市老年病医</w:t>
      </w:r>
      <w:r>
        <w:rPr>
          <w:rFonts w:hint="eastAsia" w:ascii="宋体" w:hAnsi="宋体" w:cs="宋体"/>
          <w:iCs/>
          <w:color w:val="auto"/>
          <w:highlight w:val="none"/>
          <w:u w:val="single"/>
          <w:lang w:eastAsia="zh-CN"/>
        </w:rPr>
        <w:t>院医技楼医用气体及呼叫系统改造</w:t>
      </w:r>
      <w:r>
        <w:rPr>
          <w:rFonts w:hint="eastAsia" w:ascii="宋体" w:hAnsi="宋体" w:cs="宋体"/>
          <w:iCs/>
          <w:color w:val="auto"/>
          <w:highlight w:val="none"/>
          <w:u w:val="single"/>
        </w:rPr>
        <w:t>项目，具体以发包人要求及</w:t>
      </w:r>
      <w:r>
        <w:rPr>
          <w:rFonts w:hint="eastAsia" w:ascii="宋体" w:hAnsi="宋体" w:cs="宋体"/>
          <w:iCs/>
          <w:color w:val="auto"/>
          <w:highlight w:val="none"/>
          <w:u w:val="single"/>
          <w:lang w:val="en-US" w:eastAsia="zh-CN"/>
        </w:rPr>
        <w:t>采购</w:t>
      </w:r>
      <w:r>
        <w:rPr>
          <w:rFonts w:hint="eastAsia" w:ascii="宋体" w:hAnsi="宋体" w:cs="宋体"/>
          <w:iCs/>
          <w:color w:val="auto"/>
          <w:highlight w:val="none"/>
          <w:u w:val="single"/>
        </w:rPr>
        <w:t>文件中明确的内容为准</w:t>
      </w:r>
      <w:r>
        <w:rPr>
          <w:rFonts w:hint="eastAsia" w:ascii="宋体" w:hAnsi="宋体" w:cs="宋体"/>
          <w:iCs/>
          <w:color w:val="auto"/>
          <w:highlight w:val="none"/>
        </w:rPr>
        <w:t>。</w:t>
      </w:r>
    </w:p>
    <w:p w14:paraId="001BB84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群体工程应附《承包人承揽工程项目一览表》（附件1）。</w:t>
      </w:r>
    </w:p>
    <w:p w14:paraId="778816F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lang w:val="en-US" w:eastAsia="zh-CN"/>
        </w:rPr>
        <w:t>5</w:t>
      </w:r>
      <w:r>
        <w:rPr>
          <w:rFonts w:hint="eastAsia" w:ascii="宋体" w:hAnsi="宋体" w:cs="宋体"/>
          <w:iCs/>
          <w:color w:val="auto"/>
          <w:highlight w:val="none"/>
        </w:rPr>
        <w:t>.工程承包范围：本项目方案设计及发包人要求范围内全部内容的工程设计、工程施工、材料设备采购与安装、竣工验收、备案、移交和工程缺陷责任期内的缺陷修复、保修服务等内容，以及对工程项目进行质量、安全、进度、费用、合同、信息等管理和控制。具体包括：</w:t>
      </w:r>
    </w:p>
    <w:p w14:paraId="7C5C8C0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（1）工程设计范围：包含建设内容的所有施工图设计（施工图设计深度应满足本招标文件内合同要求；完整性和准确性满足采购人施工要求）。</w:t>
      </w:r>
    </w:p>
    <w:p w14:paraId="2240323B">
      <w:pPr>
        <w:spacing w:line="360" w:lineRule="auto"/>
        <w:ind w:firstLine="420" w:firstLineChars="200"/>
        <w:rPr>
          <w:rFonts w:ascii="宋体" w:hAnsi="宋体" w:cs="宋体"/>
          <w:iCs/>
          <w:color w:val="auto"/>
          <w:highlight w:val="none"/>
        </w:rPr>
      </w:pPr>
      <w:r>
        <w:rPr>
          <w:rFonts w:hint="eastAsia" w:ascii="宋体" w:hAnsi="宋体" w:cs="宋体"/>
          <w:iCs/>
          <w:color w:val="auto"/>
          <w:highlight w:val="none"/>
        </w:rPr>
        <w:t>（2）工程施工范围：包含工程设计范围内的所有工程。</w:t>
      </w:r>
    </w:p>
    <w:p w14:paraId="518195C6">
      <w:pPr>
        <w:pStyle w:val="260"/>
        <w:ind w:firstLine="480"/>
        <w:rPr>
          <w:rFonts w:ascii="宋体" w:hAnsi="宋体" w:eastAsia="宋体" w:cs="宋体"/>
          <w:color w:val="auto"/>
          <w:highlight w:val="none"/>
        </w:rPr>
      </w:pPr>
      <w:r>
        <w:rPr>
          <w:rFonts w:hint="eastAsia" w:ascii="宋体" w:hAnsi="宋体" w:eastAsia="宋体" w:cs="宋体"/>
          <w:color w:val="auto"/>
          <w:highlight w:val="none"/>
        </w:rPr>
        <w:t>（3）本工程如需要办理消防手续，承包单位需无条件配合办理，并确保消防验收顺利通过。</w:t>
      </w:r>
    </w:p>
    <w:p w14:paraId="4693667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二、合同工期</w:t>
      </w:r>
    </w:p>
    <w:p w14:paraId="6EACE30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计划开工日期：</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年</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月</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日。</w:t>
      </w:r>
    </w:p>
    <w:p w14:paraId="17BFA27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计划竣工日期：</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年</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月</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日。</w:t>
      </w:r>
    </w:p>
    <w:p w14:paraId="3ECC37CC">
      <w:pPr>
        <w:tabs>
          <w:tab w:val="left" w:pos="336"/>
        </w:tabs>
        <w:spacing w:line="360" w:lineRule="auto"/>
        <w:ind w:firstLine="420" w:firstLineChars="200"/>
        <w:rPr>
          <w:rFonts w:ascii="宋体" w:hAnsi="宋体" w:cs="宋体"/>
          <w:color w:val="auto"/>
          <w:highlight w:val="none"/>
        </w:rPr>
      </w:pPr>
      <w:r>
        <w:rPr>
          <w:rFonts w:hint="eastAsia" w:ascii="宋体" w:hAnsi="宋体" w:cs="宋体"/>
          <w:iCs/>
          <w:color w:val="auto"/>
          <w:highlight w:val="none"/>
        </w:rPr>
        <w:t>工期总日历天数：</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天（</w:t>
      </w:r>
      <w:r>
        <w:rPr>
          <w:rFonts w:hint="eastAsia" w:ascii="宋体" w:hAnsi="宋体" w:cs="宋体"/>
          <w:color w:val="auto"/>
          <w:highlight w:val="none"/>
        </w:rPr>
        <w:t>其中：设计工期：</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rPr>
        <w:t>个日历天；施工工期：</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rPr>
        <w:t>个日历天</w:t>
      </w:r>
      <w:r>
        <w:rPr>
          <w:rFonts w:hint="eastAsia" w:ascii="宋体" w:hAnsi="宋体" w:cs="宋体"/>
          <w:iCs/>
          <w:color w:val="auto"/>
          <w:highlight w:val="none"/>
        </w:rPr>
        <w:t>）。工期总日历天数与根据前述计划开竣工日期计算的工期天数不一致的，以工期总日历天数为准。具体开工时间以开工报告时间为准。</w:t>
      </w:r>
    </w:p>
    <w:p w14:paraId="22AD3F3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三、质量标准</w:t>
      </w:r>
    </w:p>
    <w:p w14:paraId="5520D1C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工程质量符合</w:t>
      </w:r>
      <w:r>
        <w:rPr>
          <w:rFonts w:hint="eastAsia" w:ascii="宋体" w:hAnsi="宋体" w:cs="宋体"/>
          <w:iCs/>
          <w:color w:val="auto"/>
          <w:highlight w:val="none"/>
          <w:u w:val="single"/>
        </w:rPr>
        <w:t>建筑工程质量验收规范的合格</w:t>
      </w:r>
      <w:r>
        <w:rPr>
          <w:rFonts w:hint="eastAsia" w:ascii="宋体" w:hAnsi="宋体" w:cs="宋体"/>
          <w:iCs/>
          <w:color w:val="auto"/>
          <w:highlight w:val="none"/>
        </w:rPr>
        <w:t>标准</w:t>
      </w:r>
    </w:p>
    <w:p w14:paraId="19EF5EE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四、签约合同价与合同价格形式</w:t>
      </w:r>
      <w:r>
        <w:rPr>
          <w:rFonts w:hint="eastAsia" w:ascii="宋体" w:hAnsi="宋体" w:cs="宋体"/>
          <w:iCs/>
          <w:color w:val="auto"/>
          <w:highlight w:val="none"/>
        </w:rPr>
        <w:tab/>
      </w:r>
    </w:p>
    <w:p w14:paraId="08E2AF3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1.签约合同价为：</w:t>
      </w:r>
    </w:p>
    <w:p w14:paraId="693A185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12A8027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 xml:space="preserve">其中： </w:t>
      </w:r>
    </w:p>
    <w:p w14:paraId="47D7306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（1）安全文明施工费：</w:t>
      </w:r>
    </w:p>
    <w:p w14:paraId="28A0EA4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3F2E3DC8">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（2）材料和工程设备暂估价金额：</w:t>
      </w:r>
    </w:p>
    <w:p w14:paraId="2F937D8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03B4C15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（3）专业工程暂估价金额：</w:t>
      </w:r>
    </w:p>
    <w:p w14:paraId="7913DA7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412D55F8">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（4）暂列金额：</w:t>
      </w:r>
    </w:p>
    <w:p w14:paraId="56F1DC7A">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24C3DF00">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2.合同价格形式：</w:t>
      </w:r>
      <w:r>
        <w:rPr>
          <w:rFonts w:hint="eastAsia" w:ascii="宋体" w:hAnsi="宋体" w:cs="宋体"/>
          <w:iCs/>
          <w:color w:val="auto"/>
          <w:highlight w:val="none"/>
          <w:u w:val="single"/>
        </w:rPr>
        <w:t>固定总价合同</w:t>
      </w:r>
      <w:r>
        <w:rPr>
          <w:rFonts w:hint="eastAsia" w:ascii="宋体" w:hAnsi="宋体" w:cs="宋体"/>
          <w:iCs/>
          <w:color w:val="auto"/>
          <w:highlight w:val="none"/>
        </w:rPr>
        <w:t>。</w:t>
      </w:r>
    </w:p>
    <w:p w14:paraId="1B4D025A">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五、项目经理</w:t>
      </w:r>
    </w:p>
    <w:p w14:paraId="6A5CB99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承包人项目经理：</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w:t>
      </w:r>
    </w:p>
    <w:p w14:paraId="50E1A2A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六、合同文件构成</w:t>
      </w:r>
    </w:p>
    <w:p w14:paraId="2ADD281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本协议书与下列文件一起构成合同文件：</w:t>
      </w:r>
    </w:p>
    <w:p w14:paraId="60BE6B5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w:t>
      </w:r>
      <w:r>
        <w:rPr>
          <w:rFonts w:hint="eastAsia" w:ascii="宋体" w:hAnsi="宋体" w:cs="宋体"/>
          <w:iCs/>
          <w:color w:val="auto"/>
          <w:highlight w:val="none"/>
          <w:lang w:val="en-US" w:eastAsia="zh-CN"/>
        </w:rPr>
        <w:t>成交</w:t>
      </w:r>
      <w:r>
        <w:rPr>
          <w:rFonts w:hint="eastAsia" w:ascii="宋体" w:hAnsi="宋体" w:cs="宋体"/>
          <w:iCs/>
          <w:color w:val="auto"/>
          <w:highlight w:val="none"/>
        </w:rPr>
        <w:t>通知书（如果有）；</w:t>
      </w:r>
    </w:p>
    <w:p w14:paraId="1EC2298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 xml:space="preserve">（2）投标函及其附录（如果有）； </w:t>
      </w:r>
    </w:p>
    <w:p w14:paraId="6CE91E1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（3）专用合同条款及其附件；</w:t>
      </w:r>
    </w:p>
    <w:p w14:paraId="0C70E15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（4）通用合同条款；</w:t>
      </w:r>
    </w:p>
    <w:p w14:paraId="19B477F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（5）技术标准和要求；</w:t>
      </w:r>
    </w:p>
    <w:p w14:paraId="54BCC38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（6）图纸；</w:t>
      </w:r>
    </w:p>
    <w:p w14:paraId="4C69166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（7）已标价工程量清单或预算书；</w:t>
      </w:r>
    </w:p>
    <w:p w14:paraId="34424D5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（8）其他合同文件。</w:t>
      </w:r>
    </w:p>
    <w:p w14:paraId="6788E893">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在合同订立及履行过程中形成的与合同有关的文件均构成合同文件组成部分。</w:t>
      </w:r>
    </w:p>
    <w:p w14:paraId="484E446E">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上述各项合同文件包括合同当事人就该项合同文件所作出的补充和修改，属于同一类内容的文件，应以最新签署的为准。专用合同条款及其附件须经合同当事人盖章。</w:t>
      </w:r>
    </w:p>
    <w:p w14:paraId="3B63D26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七、承诺</w:t>
      </w:r>
    </w:p>
    <w:p w14:paraId="2B1ABCB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1.发包人承诺按照法律规定履行项目审批手续、筹集工程建设资金并按照合同约定的期限和方式支付合同价款。</w:t>
      </w:r>
    </w:p>
    <w:p w14:paraId="2008842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2.承包人承诺按照法律规定及合同约定组织完成工程施工，确保工程质量和安全，不进行转包及违法分包，并在缺陷责任期及保修期内承担相应的工程维修责任。</w:t>
      </w:r>
    </w:p>
    <w:p w14:paraId="1B16CBD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3.发包人和承包人通过招投标形式签订合同的，双方理解并承诺不再就同一工程另行签订与合同实质性内容相背离的协议。</w:t>
      </w:r>
    </w:p>
    <w:p w14:paraId="6174DEE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八、词语含义</w:t>
      </w:r>
    </w:p>
    <w:p w14:paraId="108F503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本协议书中词语含义与第二部分通用合同条款中赋予的含义相同。</w:t>
      </w:r>
    </w:p>
    <w:p w14:paraId="72DD5BB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九、签订时间</w:t>
      </w:r>
    </w:p>
    <w:p w14:paraId="02FEEB9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本合同于年月日签订。</w:t>
      </w:r>
    </w:p>
    <w:p w14:paraId="23FAD66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十、签订地点</w:t>
      </w:r>
    </w:p>
    <w:p w14:paraId="55A8465A">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本合同在</w:t>
      </w:r>
      <w:r>
        <w:rPr>
          <w:rFonts w:hint="eastAsia" w:ascii="宋体" w:hAnsi="宋体" w:cs="宋体"/>
          <w:iCs/>
          <w:color w:val="auto"/>
          <w:highlight w:val="none"/>
          <w:u w:val="single"/>
        </w:rPr>
        <w:t xml:space="preserve">  工程所在地  </w:t>
      </w:r>
      <w:r>
        <w:rPr>
          <w:rFonts w:hint="eastAsia" w:ascii="宋体" w:hAnsi="宋体" w:cs="宋体"/>
          <w:iCs/>
          <w:color w:val="auto"/>
          <w:highlight w:val="none"/>
        </w:rPr>
        <w:t>签订。</w:t>
      </w:r>
    </w:p>
    <w:p w14:paraId="7CFCC64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十一、补充协议</w:t>
      </w:r>
    </w:p>
    <w:p w14:paraId="7CDE6F42">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合同未尽事宜，合同当事人另行签订补充协议，补充协议是合同的组成部分。</w:t>
      </w:r>
    </w:p>
    <w:p w14:paraId="1B23CC1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十二、合同生效</w:t>
      </w:r>
    </w:p>
    <w:p w14:paraId="1A8877B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本合同自经双方盖章之日起生效。</w:t>
      </w:r>
    </w:p>
    <w:p w14:paraId="7F85B4E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十三、合同份数</w:t>
      </w:r>
    </w:p>
    <w:p w14:paraId="34477183">
      <w:pPr>
        <w:widowControl/>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 xml:space="preserve">本合同一式 </w:t>
      </w:r>
      <w:r>
        <w:rPr>
          <w:rFonts w:hint="eastAsia" w:ascii="宋体" w:hAnsi="宋体" w:cs="宋体"/>
          <w:iCs/>
          <w:color w:val="auto"/>
          <w:highlight w:val="none"/>
          <w:u w:val="single"/>
        </w:rPr>
        <w:t xml:space="preserve"> 肆 </w:t>
      </w:r>
      <w:r>
        <w:rPr>
          <w:rFonts w:hint="eastAsia" w:ascii="宋体" w:hAnsi="宋体" w:cs="宋体"/>
          <w:iCs/>
          <w:color w:val="auto"/>
          <w:highlight w:val="none"/>
        </w:rPr>
        <w:t>份，均具有同等法律效力，发包人执</w:t>
      </w:r>
      <w:r>
        <w:rPr>
          <w:rFonts w:hint="eastAsia" w:ascii="宋体" w:hAnsi="宋体" w:cs="宋体"/>
          <w:iCs/>
          <w:color w:val="auto"/>
          <w:highlight w:val="none"/>
          <w:u w:val="single"/>
        </w:rPr>
        <w:t xml:space="preserve"> 贰 </w:t>
      </w:r>
      <w:r>
        <w:rPr>
          <w:rFonts w:hint="eastAsia" w:ascii="宋体" w:hAnsi="宋体" w:cs="宋体"/>
          <w:iCs/>
          <w:color w:val="auto"/>
          <w:highlight w:val="none"/>
        </w:rPr>
        <w:t>份，承包人执</w:t>
      </w:r>
      <w:r>
        <w:rPr>
          <w:rFonts w:hint="eastAsia" w:ascii="宋体" w:hAnsi="宋体" w:cs="宋体"/>
          <w:iCs/>
          <w:color w:val="auto"/>
          <w:highlight w:val="none"/>
          <w:u w:val="single"/>
        </w:rPr>
        <w:t xml:space="preserve"> 贰 </w:t>
      </w:r>
      <w:r>
        <w:rPr>
          <w:rFonts w:hint="eastAsia" w:ascii="宋体" w:hAnsi="宋体" w:cs="宋体"/>
          <w:iCs/>
          <w:color w:val="auto"/>
          <w:highlight w:val="none"/>
        </w:rPr>
        <w:t>份。</w:t>
      </w:r>
    </w:p>
    <w:p w14:paraId="5F1C5FF3">
      <w:pPr>
        <w:spacing w:line="400" w:lineRule="exact"/>
        <w:ind w:firstLine="420" w:firstLineChars="200"/>
        <w:rPr>
          <w:rFonts w:ascii="宋体" w:hAnsi="宋体" w:cs="宋体"/>
          <w:iCs/>
          <w:color w:val="auto"/>
          <w:highlight w:val="none"/>
        </w:rPr>
      </w:pPr>
    </w:p>
    <w:tbl>
      <w:tblPr>
        <w:tblStyle w:val="63"/>
        <w:tblW w:w="9218" w:type="dxa"/>
        <w:tblInd w:w="0" w:type="dxa"/>
        <w:tblLayout w:type="fixed"/>
        <w:tblCellMar>
          <w:top w:w="0" w:type="dxa"/>
          <w:left w:w="108" w:type="dxa"/>
          <w:bottom w:w="0" w:type="dxa"/>
          <w:right w:w="108" w:type="dxa"/>
        </w:tblCellMar>
      </w:tblPr>
      <w:tblGrid>
        <w:gridCol w:w="4679"/>
        <w:gridCol w:w="4539"/>
      </w:tblGrid>
      <w:tr w14:paraId="7AF7490A">
        <w:tblPrEx>
          <w:tblCellMar>
            <w:top w:w="0" w:type="dxa"/>
            <w:left w:w="108" w:type="dxa"/>
            <w:bottom w:w="0" w:type="dxa"/>
            <w:right w:w="108" w:type="dxa"/>
          </w:tblCellMar>
        </w:tblPrEx>
        <w:tc>
          <w:tcPr>
            <w:tcW w:w="4679" w:type="dxa"/>
            <w:noWrap/>
          </w:tcPr>
          <w:p w14:paraId="413CAFC4">
            <w:pPr>
              <w:snapToGrid w:val="0"/>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发包人（盖章）：</w:t>
            </w:r>
          </w:p>
          <w:p w14:paraId="52E2E663">
            <w:pPr>
              <w:pStyle w:val="59"/>
              <w:tabs>
                <w:tab w:val="right" w:leader="dot" w:pos="8987"/>
              </w:tabs>
              <w:spacing w:line="400" w:lineRule="exact"/>
              <w:ind w:firstLine="480" w:firstLineChars="200"/>
              <w:jc w:val="both"/>
              <w:rPr>
                <w:rFonts w:cs="宋体"/>
                <w:color w:val="auto"/>
                <w:highlight w:val="none"/>
              </w:rPr>
            </w:pPr>
          </w:p>
        </w:tc>
        <w:tc>
          <w:tcPr>
            <w:tcW w:w="4539" w:type="dxa"/>
            <w:noWrap/>
          </w:tcPr>
          <w:p w14:paraId="3D7882F3">
            <w:pPr>
              <w:snapToGrid w:val="0"/>
              <w:spacing w:line="400" w:lineRule="exact"/>
              <w:ind w:firstLine="420" w:firstLineChars="200"/>
              <w:rPr>
                <w:rFonts w:ascii="宋体" w:hAnsi="宋体" w:cs="宋体"/>
                <w:color w:val="auto"/>
                <w:highlight w:val="none"/>
              </w:rPr>
            </w:pPr>
            <w:r>
              <w:rPr>
                <w:rFonts w:hint="eastAsia" w:ascii="宋体" w:hAnsi="宋体" w:cs="宋体"/>
                <w:bCs/>
                <w:color w:val="auto"/>
                <w:highlight w:val="none"/>
              </w:rPr>
              <w:t>承包人（盖章）：</w:t>
            </w:r>
          </w:p>
          <w:p w14:paraId="6EE399F6">
            <w:pPr>
              <w:pStyle w:val="59"/>
              <w:tabs>
                <w:tab w:val="right" w:leader="dot" w:pos="8987"/>
              </w:tabs>
              <w:spacing w:line="400" w:lineRule="exact"/>
              <w:ind w:firstLine="480" w:firstLineChars="200"/>
              <w:jc w:val="both"/>
              <w:rPr>
                <w:rFonts w:cs="宋体"/>
                <w:color w:val="auto"/>
                <w:highlight w:val="none"/>
              </w:rPr>
            </w:pPr>
          </w:p>
        </w:tc>
      </w:tr>
      <w:tr w14:paraId="312B12F8">
        <w:tblPrEx>
          <w:tblCellMar>
            <w:top w:w="0" w:type="dxa"/>
            <w:left w:w="108" w:type="dxa"/>
            <w:bottom w:w="0" w:type="dxa"/>
            <w:right w:w="108" w:type="dxa"/>
          </w:tblCellMar>
        </w:tblPrEx>
        <w:tc>
          <w:tcPr>
            <w:tcW w:w="4679" w:type="dxa"/>
            <w:noWrap/>
          </w:tcPr>
          <w:p w14:paraId="43347103">
            <w:pPr>
              <w:snapToGrid w:val="0"/>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法定代表或委托代表（签字或盖章）：</w:t>
            </w:r>
          </w:p>
        </w:tc>
        <w:tc>
          <w:tcPr>
            <w:tcW w:w="4539" w:type="dxa"/>
            <w:noWrap/>
          </w:tcPr>
          <w:p w14:paraId="0F55B499">
            <w:pPr>
              <w:snapToGrid w:val="0"/>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法定代表或委托代表（签字或盖章）：</w:t>
            </w:r>
          </w:p>
          <w:p w14:paraId="4EEEF352">
            <w:pPr>
              <w:snapToGrid w:val="0"/>
              <w:spacing w:line="400" w:lineRule="exact"/>
              <w:ind w:firstLine="420" w:firstLineChars="200"/>
              <w:rPr>
                <w:rFonts w:ascii="宋体" w:hAnsi="宋体" w:cs="宋体"/>
                <w:bCs/>
                <w:color w:val="auto"/>
                <w:highlight w:val="none"/>
              </w:rPr>
            </w:pPr>
          </w:p>
        </w:tc>
      </w:tr>
      <w:tr w14:paraId="1F5003A1">
        <w:tblPrEx>
          <w:tblCellMar>
            <w:top w:w="0" w:type="dxa"/>
            <w:left w:w="108" w:type="dxa"/>
            <w:bottom w:w="0" w:type="dxa"/>
            <w:right w:w="108" w:type="dxa"/>
          </w:tblCellMar>
        </w:tblPrEx>
        <w:tc>
          <w:tcPr>
            <w:tcW w:w="4679" w:type="dxa"/>
            <w:noWrap/>
          </w:tcPr>
          <w:p w14:paraId="26047268">
            <w:pPr>
              <w:snapToGrid w:val="0"/>
              <w:spacing w:line="400" w:lineRule="exact"/>
              <w:ind w:firstLine="315" w:firstLineChars="150"/>
              <w:rPr>
                <w:rFonts w:ascii="宋体" w:hAnsi="宋体" w:cs="宋体"/>
                <w:bCs/>
                <w:color w:val="auto"/>
                <w:highlight w:val="none"/>
              </w:rPr>
            </w:pPr>
            <w:r>
              <w:rPr>
                <w:rFonts w:hint="eastAsia" w:ascii="宋体" w:hAnsi="宋体" w:cs="宋体"/>
                <w:color w:val="auto"/>
                <w:highlight w:val="none"/>
              </w:rPr>
              <w:t xml:space="preserve">组织机构代码： </w:t>
            </w:r>
          </w:p>
        </w:tc>
        <w:tc>
          <w:tcPr>
            <w:tcW w:w="4539" w:type="dxa"/>
            <w:noWrap/>
          </w:tcPr>
          <w:p w14:paraId="774453FD">
            <w:pPr>
              <w:snapToGrid w:val="0"/>
              <w:spacing w:line="400" w:lineRule="exact"/>
              <w:ind w:firstLine="315" w:firstLineChars="150"/>
              <w:rPr>
                <w:rFonts w:ascii="宋体" w:hAnsi="宋体" w:cs="宋体"/>
                <w:bCs/>
                <w:color w:val="auto"/>
                <w:highlight w:val="none"/>
              </w:rPr>
            </w:pPr>
            <w:r>
              <w:rPr>
                <w:rFonts w:hint="eastAsia" w:ascii="宋体" w:hAnsi="宋体" w:cs="宋体"/>
                <w:color w:val="auto"/>
                <w:highlight w:val="none"/>
              </w:rPr>
              <w:t xml:space="preserve">组织机构代码： </w:t>
            </w:r>
          </w:p>
        </w:tc>
      </w:tr>
      <w:tr w14:paraId="447A27C9">
        <w:tblPrEx>
          <w:tblCellMar>
            <w:top w:w="0" w:type="dxa"/>
            <w:left w:w="108" w:type="dxa"/>
            <w:bottom w:w="0" w:type="dxa"/>
            <w:right w:w="108" w:type="dxa"/>
          </w:tblCellMar>
        </w:tblPrEx>
        <w:tc>
          <w:tcPr>
            <w:tcW w:w="4679" w:type="dxa"/>
            <w:noWrap/>
          </w:tcPr>
          <w:p w14:paraId="40DE2148">
            <w:pPr>
              <w:snapToGrid w:val="0"/>
              <w:spacing w:line="400" w:lineRule="exact"/>
              <w:ind w:firstLine="315" w:firstLineChars="150"/>
              <w:rPr>
                <w:rFonts w:ascii="宋体" w:hAnsi="宋体" w:cs="宋体"/>
                <w:bCs/>
                <w:color w:val="auto"/>
                <w:highlight w:val="none"/>
              </w:rPr>
            </w:pPr>
            <w:r>
              <w:rPr>
                <w:rFonts w:hint="eastAsia" w:ascii="宋体" w:hAnsi="宋体" w:cs="宋体"/>
                <w:bCs/>
                <w:color w:val="auto"/>
                <w:highlight w:val="none"/>
              </w:rPr>
              <w:t xml:space="preserve">地址： </w:t>
            </w:r>
          </w:p>
        </w:tc>
        <w:tc>
          <w:tcPr>
            <w:tcW w:w="4539" w:type="dxa"/>
            <w:noWrap/>
          </w:tcPr>
          <w:p w14:paraId="0D9580F4">
            <w:pPr>
              <w:snapToGrid w:val="0"/>
              <w:spacing w:line="400" w:lineRule="exact"/>
              <w:ind w:firstLine="315" w:firstLineChars="150"/>
              <w:rPr>
                <w:rFonts w:ascii="宋体" w:hAnsi="宋体" w:cs="宋体"/>
                <w:bCs/>
                <w:color w:val="auto"/>
                <w:highlight w:val="none"/>
              </w:rPr>
            </w:pPr>
            <w:r>
              <w:rPr>
                <w:rFonts w:hint="eastAsia" w:ascii="宋体" w:hAnsi="宋体" w:cs="宋体"/>
                <w:bCs/>
                <w:color w:val="auto"/>
                <w:highlight w:val="none"/>
              </w:rPr>
              <w:t>地址：</w:t>
            </w:r>
          </w:p>
        </w:tc>
      </w:tr>
      <w:tr w14:paraId="22F221F1">
        <w:tblPrEx>
          <w:tblCellMar>
            <w:top w:w="0" w:type="dxa"/>
            <w:left w:w="108" w:type="dxa"/>
            <w:bottom w:w="0" w:type="dxa"/>
            <w:right w:w="108" w:type="dxa"/>
          </w:tblCellMar>
        </w:tblPrEx>
        <w:tc>
          <w:tcPr>
            <w:tcW w:w="4679" w:type="dxa"/>
            <w:noWrap/>
          </w:tcPr>
          <w:p w14:paraId="58D38279">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邮政编码：</w:t>
            </w:r>
          </w:p>
        </w:tc>
        <w:tc>
          <w:tcPr>
            <w:tcW w:w="4539" w:type="dxa"/>
            <w:noWrap/>
          </w:tcPr>
          <w:p w14:paraId="101B2158">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 xml:space="preserve">邮政编码： </w:t>
            </w:r>
          </w:p>
        </w:tc>
      </w:tr>
      <w:tr w14:paraId="28FD8BCC">
        <w:tblPrEx>
          <w:tblCellMar>
            <w:top w:w="0" w:type="dxa"/>
            <w:left w:w="108" w:type="dxa"/>
            <w:bottom w:w="0" w:type="dxa"/>
            <w:right w:w="108" w:type="dxa"/>
          </w:tblCellMar>
        </w:tblPrEx>
        <w:tc>
          <w:tcPr>
            <w:tcW w:w="4679" w:type="dxa"/>
            <w:noWrap/>
          </w:tcPr>
          <w:p w14:paraId="29A840E3">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电　　话： </w:t>
            </w:r>
          </w:p>
        </w:tc>
        <w:tc>
          <w:tcPr>
            <w:tcW w:w="4539" w:type="dxa"/>
            <w:noWrap/>
          </w:tcPr>
          <w:p w14:paraId="57702FF5">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 xml:space="preserve">电  话： </w:t>
            </w:r>
          </w:p>
        </w:tc>
      </w:tr>
      <w:tr w14:paraId="2CE89CD3">
        <w:tblPrEx>
          <w:tblCellMar>
            <w:top w:w="0" w:type="dxa"/>
            <w:left w:w="108" w:type="dxa"/>
            <w:bottom w:w="0" w:type="dxa"/>
            <w:right w:w="108" w:type="dxa"/>
          </w:tblCellMar>
        </w:tblPrEx>
        <w:trPr>
          <w:trHeight w:val="345" w:hRule="atLeast"/>
        </w:trPr>
        <w:tc>
          <w:tcPr>
            <w:tcW w:w="4679" w:type="dxa"/>
            <w:noWrap/>
          </w:tcPr>
          <w:p w14:paraId="3314F89A">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开户银行： </w:t>
            </w:r>
          </w:p>
        </w:tc>
        <w:tc>
          <w:tcPr>
            <w:tcW w:w="4539" w:type="dxa"/>
            <w:noWrap/>
          </w:tcPr>
          <w:p w14:paraId="750491F5">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 xml:space="preserve">开户银行： </w:t>
            </w:r>
          </w:p>
        </w:tc>
      </w:tr>
      <w:tr w14:paraId="116A1BD8">
        <w:tblPrEx>
          <w:tblCellMar>
            <w:top w:w="0" w:type="dxa"/>
            <w:left w:w="108" w:type="dxa"/>
            <w:bottom w:w="0" w:type="dxa"/>
            <w:right w:w="108" w:type="dxa"/>
          </w:tblCellMar>
        </w:tblPrEx>
        <w:tc>
          <w:tcPr>
            <w:tcW w:w="4679" w:type="dxa"/>
            <w:noWrap/>
          </w:tcPr>
          <w:p w14:paraId="1A6714E9">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银行帐号： </w:t>
            </w:r>
          </w:p>
        </w:tc>
        <w:tc>
          <w:tcPr>
            <w:tcW w:w="4539" w:type="dxa"/>
            <w:noWrap/>
          </w:tcPr>
          <w:p w14:paraId="78F0413F">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银行</w:t>
            </w:r>
            <w:r>
              <w:rPr>
                <w:rFonts w:hint="eastAsia" w:ascii="宋体" w:hAnsi="宋体" w:cs="宋体"/>
                <w:color w:val="auto"/>
                <w:szCs w:val="21"/>
                <w:highlight w:val="none"/>
              </w:rPr>
              <w:t xml:space="preserve">账号： </w:t>
            </w:r>
          </w:p>
        </w:tc>
      </w:tr>
    </w:tbl>
    <w:p w14:paraId="1B9EE25D">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r>
        <w:rPr>
          <w:rFonts w:hint="eastAsia" w:ascii="宋体" w:hAnsi="宋体" w:cs="宋体"/>
          <w:color w:val="auto"/>
          <w:sz w:val="24"/>
          <w:highlight w:val="none"/>
        </w:rPr>
        <w:t>第二部分  通用合同条款（略）</w:t>
      </w:r>
    </w:p>
    <w:p w14:paraId="000DCCB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第三部分  专用合同条款</w:t>
      </w:r>
    </w:p>
    <w:p w14:paraId="088C146B">
      <w:pPr>
        <w:rPr>
          <w:rFonts w:ascii="宋体" w:hAnsi="宋体" w:cs="宋体"/>
          <w:color w:val="auto"/>
          <w:highlight w:val="none"/>
        </w:rPr>
      </w:pPr>
    </w:p>
    <w:p w14:paraId="7B07589E">
      <w:pPr>
        <w:rPr>
          <w:rFonts w:ascii="宋体" w:hAnsi="宋体" w:cs="宋体"/>
          <w:color w:val="auto"/>
          <w:highlight w:val="none"/>
        </w:rPr>
      </w:pPr>
    </w:p>
    <w:p w14:paraId="42E08E12">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第1条 一般约定</w:t>
      </w:r>
    </w:p>
    <w:p w14:paraId="6F10F4D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 词语定义和解释</w:t>
      </w:r>
    </w:p>
    <w:p w14:paraId="163827B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1.1.1 合同</w:t>
      </w:r>
    </w:p>
    <w:p w14:paraId="20377B1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1.1.1.10 其他合同文件：</w:t>
      </w:r>
      <w:r>
        <w:rPr>
          <w:rFonts w:hint="eastAsia" w:ascii="宋体" w:hAnsi="宋体" w:cs="宋体"/>
          <w:color w:val="auto"/>
          <w:szCs w:val="21"/>
          <w:highlight w:val="none"/>
          <w:u w:val="single"/>
        </w:rPr>
        <w:t>招标文件等采购人在发布招标公告时提供的资料、施工组织设计（施工组织设计是用来指导施工项目全过程各项活动的技术、经济和组织的综合性文件）、双方在履行合同过程中形成的双方授权代表签署的会议纪要、备忘录、补充文件、变更和洽商等书面形式的文件构成本合同的组成分</w:t>
      </w:r>
      <w:r>
        <w:rPr>
          <w:rFonts w:hint="eastAsia" w:ascii="宋体" w:hAnsi="宋体" w:cs="宋体"/>
          <w:color w:val="auto"/>
          <w:szCs w:val="21"/>
          <w:highlight w:val="none"/>
        </w:rPr>
        <w:t>。</w:t>
      </w:r>
    </w:p>
    <w:p w14:paraId="5E8E287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 工程和设备</w:t>
      </w:r>
    </w:p>
    <w:p w14:paraId="69EFE2E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1.1.3.5 单位/区段工程的范围：。</w:t>
      </w:r>
    </w:p>
    <w:p w14:paraId="1B99E85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1.1.3.9 作为施工场所组成部分的其他场所包括：</w:t>
      </w:r>
      <w:r>
        <w:rPr>
          <w:rFonts w:hint="eastAsia" w:ascii="宋体" w:hAnsi="宋体" w:cs="宋体"/>
          <w:color w:val="auto"/>
          <w:szCs w:val="21"/>
          <w:highlight w:val="none"/>
          <w:u w:val="single"/>
        </w:rPr>
        <w:t xml:space="preserve">符合通用条款规定的施工场地，包括永久占地和临时占地 </w:t>
      </w:r>
      <w:r>
        <w:rPr>
          <w:rFonts w:hint="eastAsia" w:ascii="宋体" w:hAnsi="宋体" w:cs="宋体"/>
          <w:color w:val="auto"/>
          <w:szCs w:val="21"/>
          <w:highlight w:val="none"/>
        </w:rPr>
        <w:t>。</w:t>
      </w:r>
    </w:p>
    <w:p w14:paraId="22BA6C1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1.1.3.10 永久占地包括：</w:t>
      </w:r>
      <w:r>
        <w:rPr>
          <w:rFonts w:hint="eastAsia" w:ascii="宋体" w:hAnsi="宋体" w:cs="宋体"/>
          <w:color w:val="auto"/>
          <w:szCs w:val="21"/>
          <w:highlight w:val="none"/>
          <w:u w:val="single"/>
        </w:rPr>
        <w:t>依据设计图纸的红线范围</w:t>
      </w:r>
      <w:r>
        <w:rPr>
          <w:rFonts w:hint="eastAsia" w:ascii="宋体" w:hAnsi="宋体" w:cs="宋体"/>
          <w:color w:val="auto"/>
          <w:szCs w:val="21"/>
          <w:highlight w:val="none"/>
        </w:rPr>
        <w:t>。</w:t>
      </w:r>
    </w:p>
    <w:p w14:paraId="117028F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1.1.3.11 临时占地包括：</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4015B6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1.2 语言文字</w:t>
      </w:r>
    </w:p>
    <w:p w14:paraId="5BD8079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本合同除使用汉语外，还使用</w:t>
      </w:r>
      <w:r>
        <w:rPr>
          <w:rFonts w:hint="eastAsia" w:ascii="宋体" w:hAnsi="宋体" w:cs="宋体"/>
          <w:color w:val="auto"/>
          <w:szCs w:val="21"/>
          <w:highlight w:val="none"/>
          <w:u w:val="single"/>
        </w:rPr>
        <w:t>/</w:t>
      </w:r>
      <w:r>
        <w:rPr>
          <w:rFonts w:hint="eastAsia" w:ascii="宋体" w:hAnsi="宋体" w:cs="宋体"/>
          <w:color w:val="auto"/>
          <w:szCs w:val="21"/>
          <w:highlight w:val="none"/>
        </w:rPr>
        <w:t>语言。</w:t>
      </w:r>
    </w:p>
    <w:p w14:paraId="1825DD3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 法律</w:t>
      </w:r>
    </w:p>
    <w:p w14:paraId="085354B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适用于合同的其他规范性文件：</w:t>
      </w:r>
      <w:r>
        <w:rPr>
          <w:rFonts w:hint="eastAsia" w:ascii="宋体" w:hAnsi="宋体" w:cs="宋体"/>
          <w:color w:val="auto"/>
          <w:szCs w:val="21"/>
          <w:highlight w:val="none"/>
          <w:u w:val="single"/>
        </w:rPr>
        <w:t>《中华人民共和国民法典》、《中华人民共和国招标投标法》和《建筑工程质量管理条例》及其国家和工程所在地的适用于工程的包括但不限于法律、法规、规定、通知、决定、指导意见等各种规范性文件，包括但不仅限于以下文件</w:t>
      </w:r>
      <w:r>
        <w:rPr>
          <w:rFonts w:hint="eastAsia" w:ascii="宋体" w:hAnsi="宋体" w:cs="宋体"/>
          <w:color w:val="auto"/>
          <w:szCs w:val="21"/>
          <w:highlight w:val="none"/>
        </w:rPr>
        <w:t>。</w:t>
      </w:r>
    </w:p>
    <w:p w14:paraId="676787F9">
      <w:pPr>
        <w:spacing w:line="360" w:lineRule="auto"/>
        <w:ind w:firstLine="525" w:firstLineChars="250"/>
        <w:rPr>
          <w:rFonts w:hint="eastAsia" w:ascii="宋体" w:hAnsi="宋体" w:eastAsia="宋体" w:cs="宋体"/>
          <w:color w:val="auto"/>
          <w:szCs w:val="21"/>
          <w:highlight w:val="none"/>
          <w:u w:val="single"/>
        </w:rPr>
      </w:pPr>
      <w:bookmarkStart w:id="501" w:name="_Toc11302"/>
      <w:r>
        <w:rPr>
          <w:rFonts w:hint="eastAsia" w:ascii="宋体" w:hAnsi="宋体" w:eastAsia="宋体" w:cs="宋体"/>
          <w:color w:val="auto"/>
          <w:szCs w:val="21"/>
          <w:highlight w:val="none"/>
          <w:u w:val="single"/>
        </w:rPr>
        <w:t>1.3.1  《关于印发杭州市房屋建筑和市政基础设施项目工程总承包项目计价指引的通知》（杭建市发（202</w:t>
      </w:r>
      <w:r>
        <w:rPr>
          <w:rFonts w:hint="eastAsia" w:ascii="宋体" w:hAnsi="宋体" w:cs="宋体"/>
          <w:color w:val="auto"/>
          <w:szCs w:val="21"/>
          <w:highlight w:val="none"/>
          <w:u w:val="single"/>
          <w:lang w:val="en-US" w:eastAsia="zh-CN"/>
        </w:rPr>
        <w:t>2</w:t>
      </w:r>
      <w:r>
        <w:rPr>
          <w:rFonts w:hint="eastAsia" w:ascii="宋体" w:hAnsi="宋体" w:eastAsia="宋体" w:cs="宋体"/>
          <w:color w:val="auto"/>
          <w:szCs w:val="21"/>
          <w:highlight w:val="none"/>
          <w:u w:val="single"/>
        </w:rPr>
        <w:t>）27号）；</w:t>
      </w:r>
      <w:bookmarkEnd w:id="501"/>
    </w:p>
    <w:p w14:paraId="05870B24">
      <w:pPr>
        <w:spacing w:line="360" w:lineRule="auto"/>
        <w:ind w:firstLine="525" w:firstLineChars="250"/>
        <w:rPr>
          <w:rFonts w:ascii="宋体" w:hAnsi="宋体" w:cs="宋体"/>
          <w:color w:val="auto"/>
          <w:szCs w:val="21"/>
          <w:highlight w:val="none"/>
          <w:u w:val="single"/>
        </w:rPr>
      </w:pPr>
      <w:r>
        <w:rPr>
          <w:rFonts w:hint="eastAsia" w:ascii="宋体" w:hAnsi="宋体" w:cs="宋体"/>
          <w:color w:val="auto"/>
          <w:szCs w:val="21"/>
          <w:highlight w:val="none"/>
          <w:u w:val="single"/>
        </w:rPr>
        <w:t>1.3.2《关于进一步加强杭州市建设工程市场要素价格动态管理的指导意见》（杭建市发〔2018〕579号）；</w:t>
      </w:r>
    </w:p>
    <w:p w14:paraId="4D7BD283">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 xml:space="preserve"> 1.3.3 关于印发《杭州市房屋建筑和市政基础设施工程总承包项目计价办法（暂行）》的通知（杭建市发〔2021〕55号）；</w:t>
      </w:r>
    </w:p>
    <w:p w14:paraId="1973BB8B">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1.3.4省市建设行政部门颁发的其他现行有效文件(包括但不仅限于以下文件)：</w:t>
      </w:r>
    </w:p>
    <w:p w14:paraId="570AD448">
      <w:pPr>
        <w:tabs>
          <w:tab w:val="left" w:pos="304"/>
        </w:tabs>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（1）《关于发布&lt;杭州市新冠病毒肺炎疫情期间在建工程合同及工程价款调整的指导性细则&gt;的通知》(杭建市发〔2020〕164号)；</w:t>
      </w:r>
    </w:p>
    <w:p w14:paraId="3ACA6CC5">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（2）《关于转发&lt;关于在全省工程建设领域改革保证金制度的通知&gt;的通知》(杭建市通知〔2020〕4号)；</w:t>
      </w:r>
    </w:p>
    <w:p w14:paraId="2D33B280">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（3）《杭州市建设领域农民工“无欠薪”管理实施细则（试行）》（杭建市〔2018〕161号）；</w:t>
      </w:r>
    </w:p>
    <w:p w14:paraId="596F2EB6">
      <w:pPr>
        <w:tabs>
          <w:tab w:val="left" w:pos="304"/>
        </w:tabs>
        <w:spacing w:line="360" w:lineRule="auto"/>
        <w:ind w:firstLine="420" w:firstLineChars="200"/>
        <w:jc w:val="left"/>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（4）《杭州市城乡建设委员会关于推进杭州市建筑施工领域安全生产责任保险工作的通知》（杭建工发〔2021〕384号）</w:t>
      </w:r>
      <w:r>
        <w:rPr>
          <w:rFonts w:hint="eastAsia" w:ascii="宋体" w:hAnsi="宋体" w:cs="宋体"/>
          <w:color w:val="auto"/>
          <w:szCs w:val="21"/>
          <w:highlight w:val="none"/>
          <w:u w:val="single"/>
          <w:lang w:eastAsia="zh-CN"/>
        </w:rPr>
        <w:t>；</w:t>
      </w:r>
    </w:p>
    <w:p w14:paraId="1CFAAD78">
      <w:pPr>
        <w:spacing w:line="360" w:lineRule="auto"/>
        <w:ind w:firstLine="420" w:firstLineChars="20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（5）《关于印发&lt;关于进一步提升杭州市市政道路建设质量管理的若干意见&gt;及相关配套文件的通知》（杭建工发〔2021〕32号）</w:t>
      </w:r>
      <w:r>
        <w:rPr>
          <w:rFonts w:hint="eastAsia" w:ascii="宋体" w:hAnsi="宋体" w:cs="宋体"/>
          <w:color w:val="auto"/>
          <w:szCs w:val="21"/>
          <w:highlight w:val="none"/>
          <w:u w:val="single"/>
          <w:lang w:eastAsia="zh-CN"/>
        </w:rPr>
        <w:t>；</w:t>
      </w:r>
    </w:p>
    <w:p w14:paraId="106E8180">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（6）《关于开展建筑工程扬尘在线监测设施安装工作的通知》（杭建工〔2019〕103号）；</w:t>
      </w:r>
    </w:p>
    <w:p w14:paraId="7528D569">
      <w:pPr>
        <w:spacing w:line="360" w:lineRule="auto"/>
        <w:ind w:left="0" w:leftChars="0" w:firstLine="420" w:firstLineChars="0"/>
        <w:rPr>
          <w:rFonts w:ascii="宋体" w:hAnsi="宋体" w:cs="宋体"/>
          <w:color w:val="auto"/>
          <w:szCs w:val="21"/>
          <w:highlight w:val="none"/>
          <w:u w:val="single"/>
        </w:rPr>
      </w:pPr>
      <w:r>
        <w:rPr>
          <w:rFonts w:hint="eastAsia" w:ascii="宋体" w:hAnsi="宋体" w:cs="宋体"/>
          <w:color w:val="auto"/>
          <w:szCs w:val="21"/>
          <w:highlight w:val="none"/>
          <w:u w:val="single"/>
        </w:rPr>
        <w:t>（7）《关于全力做好疫情防控支持建筑业发展的通知》杭建研发〔2020〕41号文；</w:t>
      </w:r>
    </w:p>
    <w:p w14:paraId="6BAA666B">
      <w:pPr>
        <w:tabs>
          <w:tab w:val="left" w:pos="304"/>
        </w:tabs>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（8）《关于明确杭州市建筑施工领域安全生产责任保险费用计取的通知》（杭建招标造价中心（2021）84号）</w:t>
      </w:r>
      <w:r>
        <w:rPr>
          <w:rFonts w:hint="eastAsia" w:ascii="宋体" w:hAnsi="宋体" w:cs="宋体"/>
          <w:color w:val="auto"/>
          <w:szCs w:val="21"/>
          <w:highlight w:val="none"/>
          <w:u w:val="single"/>
          <w:lang w:eastAsia="zh-CN"/>
        </w:rPr>
        <w:t>；</w:t>
      </w:r>
    </w:p>
    <w:p w14:paraId="4B552FD6">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（9）《杭州市建设工程渣土管理办法》（市政府令第192号）</w:t>
      </w:r>
      <w:r>
        <w:rPr>
          <w:rFonts w:hint="eastAsia" w:ascii="宋体" w:hAnsi="宋体" w:cs="宋体"/>
          <w:color w:val="auto"/>
          <w:szCs w:val="21"/>
          <w:highlight w:val="none"/>
          <w:u w:val="single"/>
          <w:lang w:eastAsia="zh-CN"/>
        </w:rPr>
        <w:t>；</w:t>
      </w:r>
    </w:p>
    <w:p w14:paraId="0144FE37">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（10）市政府办公厅2023年5月15日发布的《杭州市人民政府办公厅关于进一步规范工程建筑垃圾管理的通知》</w:t>
      </w:r>
      <w:r>
        <w:rPr>
          <w:rFonts w:hint="eastAsia" w:ascii="宋体" w:hAnsi="宋体" w:cs="宋体"/>
          <w:color w:val="auto"/>
          <w:szCs w:val="21"/>
          <w:highlight w:val="none"/>
          <w:u w:val="single"/>
          <w:lang w:eastAsia="zh-CN"/>
        </w:rPr>
        <w:t>；</w:t>
      </w:r>
    </w:p>
    <w:p w14:paraId="080F664A">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lang w:eastAsia="zh-CN"/>
        </w:rPr>
        <w:t>（</w:t>
      </w:r>
      <w:r>
        <w:rPr>
          <w:rFonts w:hint="eastAsia" w:ascii="宋体" w:hAnsi="宋体" w:cs="宋体"/>
          <w:color w:val="auto"/>
          <w:szCs w:val="21"/>
          <w:highlight w:val="none"/>
          <w:u w:val="single"/>
          <w:lang w:val="en-US" w:eastAsia="zh-CN"/>
        </w:rPr>
        <w:t>11</w:t>
      </w:r>
      <w:r>
        <w:rPr>
          <w:rFonts w:hint="eastAsia" w:ascii="宋体" w:hAnsi="宋体" w:cs="宋体"/>
          <w:color w:val="auto"/>
          <w:szCs w:val="21"/>
          <w:highlight w:val="none"/>
          <w:u w:val="single"/>
          <w:lang w:eastAsia="zh-CN"/>
        </w:rPr>
        <w:t>）</w:t>
      </w:r>
      <w:r>
        <w:rPr>
          <w:rFonts w:hint="eastAsia" w:ascii="宋体" w:hAnsi="宋体" w:cs="宋体"/>
          <w:color w:val="auto"/>
          <w:szCs w:val="21"/>
          <w:highlight w:val="none"/>
          <w:u w:val="single"/>
        </w:rPr>
        <w:t>《关于发布杭州市工程渣土消纳市场信息价的通知》（杭渣土领〔2020〕1号）</w:t>
      </w:r>
      <w:r>
        <w:rPr>
          <w:rFonts w:hint="eastAsia" w:ascii="宋体" w:hAnsi="宋体" w:cs="宋体"/>
          <w:color w:val="auto"/>
          <w:szCs w:val="21"/>
          <w:highlight w:val="none"/>
          <w:u w:val="single"/>
          <w:lang w:eastAsia="zh-CN"/>
        </w:rPr>
        <w:t>；</w:t>
      </w:r>
    </w:p>
    <w:p w14:paraId="17964330">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（1</w:t>
      </w:r>
      <w:r>
        <w:rPr>
          <w:rFonts w:hint="eastAsia" w:ascii="宋体" w:hAnsi="宋体" w:cs="宋体"/>
          <w:color w:val="auto"/>
          <w:szCs w:val="21"/>
          <w:highlight w:val="none"/>
          <w:u w:val="single"/>
          <w:lang w:val="en-US" w:eastAsia="zh-CN"/>
        </w:rPr>
        <w:t>2</w:t>
      </w:r>
      <w:r>
        <w:rPr>
          <w:rFonts w:hint="eastAsia" w:ascii="宋体" w:hAnsi="宋体" w:cs="宋体"/>
          <w:color w:val="auto"/>
          <w:szCs w:val="21"/>
          <w:highlight w:val="none"/>
          <w:u w:val="single"/>
        </w:rPr>
        <w:t>）市建委2020年10月30日发布的《关于明确杭州市渣土运输及消纳项目计价清单编制和报价口径的通知》</w:t>
      </w:r>
      <w:r>
        <w:rPr>
          <w:rFonts w:hint="eastAsia" w:ascii="宋体" w:hAnsi="宋体" w:cs="宋体"/>
          <w:color w:val="auto"/>
          <w:szCs w:val="21"/>
          <w:highlight w:val="none"/>
          <w:u w:val="single"/>
          <w:lang w:eastAsia="zh-CN"/>
        </w:rPr>
        <w:t>；</w:t>
      </w:r>
    </w:p>
    <w:p w14:paraId="4A6A8C83">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（1</w:t>
      </w:r>
      <w:r>
        <w:rPr>
          <w:rFonts w:hint="eastAsia" w:ascii="宋体" w:hAnsi="宋体" w:cs="宋体"/>
          <w:color w:val="auto"/>
          <w:szCs w:val="21"/>
          <w:highlight w:val="none"/>
          <w:u w:val="single"/>
          <w:lang w:val="en-US" w:eastAsia="zh-CN"/>
        </w:rPr>
        <w:t>3</w:t>
      </w:r>
      <w:r>
        <w:rPr>
          <w:rFonts w:hint="eastAsia" w:ascii="宋体" w:hAnsi="宋体" w:cs="宋体"/>
          <w:color w:val="auto"/>
          <w:szCs w:val="21"/>
          <w:highlight w:val="none"/>
          <w:u w:val="single"/>
        </w:rPr>
        <w:t>）其他：国家现行的法律法规及浙江省、杭州市相关的法律法规及采购人的适用于工程的相关文件，包括在合同期内不时更新后的文件</w:t>
      </w:r>
      <w:r>
        <w:rPr>
          <w:rFonts w:hint="eastAsia" w:ascii="宋体" w:hAnsi="宋体" w:cs="宋体"/>
          <w:color w:val="auto"/>
          <w:szCs w:val="21"/>
          <w:highlight w:val="none"/>
          <w:u w:val="single"/>
          <w:lang w:eastAsia="zh-CN"/>
        </w:rPr>
        <w:t>。</w:t>
      </w:r>
    </w:p>
    <w:p w14:paraId="76CB504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 标准和规范</w:t>
      </w:r>
    </w:p>
    <w:p w14:paraId="7AF01F3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 适用于本合同的标准、规范（名称）包括:</w:t>
      </w:r>
      <w:r>
        <w:rPr>
          <w:rFonts w:hint="eastAsia" w:ascii="宋体" w:hAnsi="宋体" w:cs="宋体"/>
          <w:color w:val="auto"/>
          <w:szCs w:val="21"/>
          <w:highlight w:val="none"/>
          <w:u w:val="single"/>
        </w:rPr>
        <w:t xml:space="preserve"> 现行国家建筑工程设计规范、施工规范、验收规范、质量检验评定标准等   </w:t>
      </w:r>
      <w:r>
        <w:rPr>
          <w:rFonts w:hint="eastAsia" w:ascii="宋体" w:hAnsi="宋体" w:cs="宋体"/>
          <w:color w:val="auto"/>
          <w:szCs w:val="21"/>
          <w:highlight w:val="none"/>
        </w:rPr>
        <w:t>；</w:t>
      </w:r>
    </w:p>
    <w:p w14:paraId="6EC77D1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 发包人提供的国外标准、规范的名称：</w:t>
      </w:r>
      <w:r>
        <w:rPr>
          <w:rFonts w:hint="eastAsia" w:ascii="宋体" w:hAnsi="宋体" w:cs="宋体"/>
          <w:color w:val="auto"/>
          <w:szCs w:val="21"/>
          <w:highlight w:val="none"/>
          <w:u w:val="single"/>
        </w:rPr>
        <w:t>/</w:t>
      </w:r>
      <w:r>
        <w:rPr>
          <w:rFonts w:hint="eastAsia" w:ascii="宋体" w:hAnsi="宋体" w:cs="宋体"/>
          <w:color w:val="auto"/>
          <w:szCs w:val="21"/>
          <w:highlight w:val="none"/>
        </w:rPr>
        <w:t>；发包人提供的国外标准、规范的份数：</w:t>
      </w:r>
      <w:r>
        <w:rPr>
          <w:rFonts w:hint="eastAsia" w:ascii="宋体" w:hAnsi="宋体" w:cs="宋体"/>
          <w:color w:val="auto"/>
          <w:szCs w:val="21"/>
          <w:highlight w:val="none"/>
          <w:u w:val="single"/>
        </w:rPr>
        <w:t>/</w:t>
      </w:r>
      <w:r>
        <w:rPr>
          <w:rFonts w:hint="eastAsia" w:ascii="宋体" w:hAnsi="宋体" w:cs="宋体"/>
          <w:color w:val="auto"/>
          <w:szCs w:val="21"/>
          <w:highlight w:val="none"/>
        </w:rPr>
        <w:t>；发包人提供的国外标准、规范的时间：</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BC949D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 没有成文规范、标准规定的约定：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013E51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 发包人对于工程的技术标准、功能要求：</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1E0968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 合同文件的优先顺序</w:t>
      </w:r>
    </w:p>
    <w:p w14:paraId="2CA6BE8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合同文件组成及优先顺序为： </w:t>
      </w:r>
    </w:p>
    <w:p w14:paraId="2B2BF57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（1） 合同协议书；</w:t>
      </w:r>
    </w:p>
    <w:p w14:paraId="342D2EE2">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（2） 中标通知书或项目发承包基本情况表；</w:t>
      </w:r>
    </w:p>
    <w:p w14:paraId="283D8194">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（3） 投标函及投标函附录（如果有）；</w:t>
      </w:r>
    </w:p>
    <w:p w14:paraId="23C5C32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 专用合同条件及《发包人要求》等附件；</w:t>
      </w:r>
    </w:p>
    <w:p w14:paraId="08D4281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（5） 通用合同条件；</w:t>
      </w:r>
    </w:p>
    <w:p w14:paraId="32DDC58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（6） 承包人建议书； </w:t>
      </w:r>
    </w:p>
    <w:p w14:paraId="5D2252E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（7） 价格清单；</w:t>
      </w:r>
    </w:p>
    <w:p w14:paraId="06A5B76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（8） 双方约定的其他合同文件：双方约定构成合同组成部分的其他文件，包括双方在履行合同过程中形成的双方授权代表签署的会议纪要、备忘录、补充文件、变更和洽商等书面形式的文件构成本合同的组成部分。</w:t>
      </w:r>
    </w:p>
    <w:p w14:paraId="4E577B0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上述各项合同文件包括合同当事人就该项合同文件所作出的补充和修改，属于同一类内容的文件，应以最新签署的为准。</w:t>
      </w:r>
    </w:p>
    <w:p w14:paraId="5DC476D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1.6 文件的提供和照管 </w:t>
      </w:r>
    </w:p>
    <w:p w14:paraId="107CD3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1.6.1 发包人文件的提供</w:t>
      </w:r>
    </w:p>
    <w:p w14:paraId="4372F19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发包人文件的提供期限、名称、数量和形式：</w:t>
      </w:r>
      <w:r>
        <w:rPr>
          <w:rFonts w:hint="eastAsia" w:ascii="宋体" w:hAnsi="宋体" w:cs="宋体"/>
          <w:color w:val="auto"/>
          <w:szCs w:val="21"/>
          <w:highlight w:val="none"/>
          <w:u w:val="single"/>
        </w:rPr>
        <w:t xml:space="preserve"> 发包人已随招标文件一并提供前期工作相关资料、工程勘察报告等已有文件，承包人应据此投标并组织工程设计、现场施工，如因此导致工期延误由承包人自行承担责任</w:t>
      </w:r>
      <w:r>
        <w:rPr>
          <w:rFonts w:hint="eastAsia" w:ascii="宋体" w:hAnsi="宋体" w:cs="宋体"/>
          <w:color w:val="auto"/>
          <w:szCs w:val="21"/>
          <w:highlight w:val="none"/>
        </w:rPr>
        <w:t>。</w:t>
      </w:r>
    </w:p>
    <w:p w14:paraId="5223B80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1.6.2 承包人文件的提供</w:t>
      </w:r>
    </w:p>
    <w:p w14:paraId="3CD39B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承包人文件的内容、提供期限、名称、数量和形式：</w:t>
      </w:r>
      <w:r>
        <w:rPr>
          <w:rFonts w:hint="eastAsia" w:ascii="宋体" w:hAnsi="宋体" w:cs="宋体"/>
          <w:color w:val="auto"/>
          <w:szCs w:val="21"/>
          <w:highlight w:val="none"/>
          <w:u w:val="single"/>
        </w:rPr>
        <w:t>按合同约定时间内完成施工图设计文件及相关工作；其中各专业工程施工图出图节点时间以发包人要求为准。 施工组织设计、进度计划、发包人和政府规定要求必须提供的其他文件，视工程实际进度和发包人要求提供</w:t>
      </w:r>
      <w:r>
        <w:rPr>
          <w:rFonts w:hint="eastAsia" w:ascii="宋体" w:hAnsi="宋体" w:cs="宋体"/>
          <w:color w:val="auto"/>
          <w:szCs w:val="21"/>
          <w:highlight w:val="none"/>
        </w:rPr>
        <w:t>。</w:t>
      </w:r>
    </w:p>
    <w:p w14:paraId="32BCF70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1.6.4 文件的照管</w:t>
      </w:r>
    </w:p>
    <w:p w14:paraId="605144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关于现场文件准备的约定：</w:t>
      </w:r>
      <w:r>
        <w:rPr>
          <w:rFonts w:hint="eastAsia" w:ascii="宋体" w:hAnsi="宋体" w:cs="宋体"/>
          <w:color w:val="auto"/>
          <w:szCs w:val="21"/>
          <w:highlight w:val="none"/>
          <w:u w:val="single"/>
        </w:rPr>
        <w:t xml:space="preserve">按通用条款执行 </w:t>
      </w:r>
      <w:r>
        <w:rPr>
          <w:rFonts w:hint="eastAsia" w:ascii="宋体" w:hAnsi="宋体" w:cs="宋体"/>
          <w:color w:val="auto"/>
          <w:szCs w:val="21"/>
          <w:highlight w:val="none"/>
        </w:rPr>
        <w:t>。</w:t>
      </w:r>
    </w:p>
    <w:p w14:paraId="18359C0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 联络</w:t>
      </w:r>
    </w:p>
    <w:p w14:paraId="6FE7A2A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1.7.2 发包人指定的送达方式（包括电子传输方式）：。</w:t>
      </w:r>
    </w:p>
    <w:p w14:paraId="3A6842F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发包人的送达地址：。</w:t>
      </w:r>
    </w:p>
    <w:p w14:paraId="6B28D81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承包人指定的送达方式（包括电子传输方式）： 。</w:t>
      </w:r>
    </w:p>
    <w:p w14:paraId="25BB641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承包人的送达地址：。</w:t>
      </w:r>
    </w:p>
    <w:p w14:paraId="59EE81B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1.10 知识产权</w:t>
      </w:r>
    </w:p>
    <w:p w14:paraId="72A2770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1.10.1 由发包人（或以发包人名义）编制的《发包人要求》和其他文件的著作权归属：</w:t>
      </w:r>
      <w:r>
        <w:rPr>
          <w:rFonts w:hint="eastAsia" w:ascii="宋体" w:hAnsi="宋体" w:cs="宋体"/>
          <w:color w:val="auto"/>
          <w:szCs w:val="21"/>
          <w:highlight w:val="none"/>
          <w:u w:val="single"/>
        </w:rPr>
        <w:t>归发包人所有</w:t>
      </w:r>
      <w:r>
        <w:rPr>
          <w:rFonts w:hint="eastAsia" w:ascii="宋体" w:hAnsi="宋体" w:cs="宋体"/>
          <w:color w:val="auto"/>
          <w:szCs w:val="21"/>
          <w:highlight w:val="none"/>
        </w:rPr>
        <w:t>。</w:t>
      </w:r>
    </w:p>
    <w:p w14:paraId="031C495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1.10.2 由承包人（或以承包人名义）为实施工程所编制的文件、承包人完成的设计工作成果和建造完成的建筑物的知识产权归属：</w:t>
      </w:r>
      <w:r>
        <w:rPr>
          <w:rFonts w:hint="eastAsia" w:ascii="宋体" w:hAnsi="宋体" w:cs="宋体"/>
          <w:color w:val="auto"/>
          <w:szCs w:val="21"/>
          <w:highlight w:val="none"/>
          <w:u w:val="single"/>
        </w:rPr>
        <w:t>归发包人所有</w:t>
      </w:r>
      <w:r>
        <w:rPr>
          <w:rFonts w:hint="eastAsia" w:ascii="宋体" w:hAnsi="宋体" w:cs="宋体"/>
          <w:color w:val="auto"/>
          <w:szCs w:val="21"/>
          <w:highlight w:val="none"/>
        </w:rPr>
        <w:t>。</w:t>
      </w:r>
    </w:p>
    <w:p w14:paraId="63B192B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1.10.4 承包人在投标文件中采用的专利、专有技术、技术秘密的使用费的承担方式：</w:t>
      </w:r>
      <w:r>
        <w:rPr>
          <w:rFonts w:hint="eastAsia" w:ascii="宋体" w:hAnsi="宋体" w:cs="宋体"/>
          <w:color w:val="auto"/>
          <w:szCs w:val="21"/>
          <w:highlight w:val="none"/>
          <w:u w:val="single"/>
        </w:rPr>
        <w:t xml:space="preserve"> 由承包人承担。</w:t>
      </w:r>
    </w:p>
    <w:p w14:paraId="3FF7898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1.11 保密</w:t>
      </w:r>
    </w:p>
    <w:p w14:paraId="2E2519A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双方订立的商业保密协议（名称）：</w:t>
      </w:r>
      <w:r>
        <w:rPr>
          <w:rFonts w:hint="eastAsia" w:ascii="宋体" w:hAnsi="宋体" w:cs="宋体"/>
          <w:color w:val="auto"/>
          <w:szCs w:val="21"/>
          <w:highlight w:val="none"/>
          <w:u w:val="single"/>
        </w:rPr>
        <w:t>/</w:t>
      </w:r>
      <w:r>
        <w:rPr>
          <w:rFonts w:hint="eastAsia" w:ascii="宋体" w:hAnsi="宋体" w:cs="宋体"/>
          <w:color w:val="auto"/>
          <w:szCs w:val="21"/>
          <w:highlight w:val="none"/>
        </w:rPr>
        <w:t>，作为本合同附件。</w:t>
      </w:r>
    </w:p>
    <w:p w14:paraId="3207BBC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双方订立的技术保密协议（名称）：</w:t>
      </w:r>
      <w:r>
        <w:rPr>
          <w:rFonts w:hint="eastAsia" w:ascii="宋体" w:hAnsi="宋体" w:cs="宋体"/>
          <w:color w:val="auto"/>
          <w:szCs w:val="21"/>
          <w:highlight w:val="none"/>
          <w:u w:val="single"/>
        </w:rPr>
        <w:t>/</w:t>
      </w:r>
      <w:r>
        <w:rPr>
          <w:rFonts w:hint="eastAsia" w:ascii="宋体" w:hAnsi="宋体" w:cs="宋体"/>
          <w:color w:val="auto"/>
          <w:szCs w:val="21"/>
          <w:highlight w:val="none"/>
        </w:rPr>
        <w:t>，作为本合同附件。</w:t>
      </w:r>
    </w:p>
    <w:p w14:paraId="69B13EA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 责任限制</w:t>
      </w:r>
    </w:p>
    <w:p w14:paraId="7D8E140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承包人对发包人赔偿责任的最高限额为</w:t>
      </w:r>
      <w:r>
        <w:rPr>
          <w:rFonts w:hint="eastAsia" w:ascii="宋体" w:hAnsi="宋体" w:cs="宋体"/>
          <w:color w:val="auto"/>
          <w:szCs w:val="21"/>
          <w:highlight w:val="none"/>
          <w:u w:val="single"/>
        </w:rPr>
        <w:t xml:space="preserve">  无</w:t>
      </w:r>
      <w:r>
        <w:rPr>
          <w:rFonts w:hint="eastAsia" w:ascii="宋体" w:hAnsi="宋体" w:cs="宋体"/>
          <w:color w:val="auto"/>
          <w:szCs w:val="21"/>
          <w:highlight w:val="none"/>
        </w:rPr>
        <w:t>。</w:t>
      </w:r>
    </w:p>
    <w:p w14:paraId="3775A29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1.14 建筑信息模型技术的应用</w:t>
      </w:r>
    </w:p>
    <w:p w14:paraId="3D99A33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关于建筑信息模型技术的开发、使用、存储、传输、交付及费用约定如下：</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848439D">
      <w:pPr>
        <w:pStyle w:val="972"/>
        <w:rPr>
          <w:rFonts w:cs="宋体"/>
          <w:b w:val="0"/>
          <w:color w:val="auto"/>
          <w:sz w:val="21"/>
          <w:szCs w:val="21"/>
          <w:highlight w:val="none"/>
        </w:rPr>
      </w:pPr>
      <w:r>
        <w:rPr>
          <w:rFonts w:hint="eastAsia" w:cs="宋体"/>
          <w:b w:val="0"/>
          <w:color w:val="auto"/>
          <w:sz w:val="21"/>
          <w:szCs w:val="21"/>
          <w:highlight w:val="none"/>
        </w:rPr>
        <w:t>第2条 发包人</w:t>
      </w:r>
    </w:p>
    <w:p w14:paraId="4CD89ED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2.2 提供施工现场和工作条件</w:t>
      </w:r>
    </w:p>
    <w:p w14:paraId="0C7E140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2.2.1 提供施工现场</w:t>
      </w:r>
    </w:p>
    <w:p w14:paraId="755834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关于发包人提供施工现场的范围和期限：</w:t>
      </w:r>
      <w:r>
        <w:rPr>
          <w:rFonts w:hint="eastAsia" w:ascii="宋体" w:hAnsi="宋体" w:cs="宋体"/>
          <w:color w:val="auto"/>
          <w:szCs w:val="21"/>
          <w:highlight w:val="none"/>
          <w:u w:val="single"/>
        </w:rPr>
        <w:t>合同签署后 3日历天内提供，最迟于开工日期 3 天前向承包人移交施工现场</w:t>
      </w:r>
      <w:r>
        <w:rPr>
          <w:rFonts w:hint="eastAsia" w:ascii="宋体" w:hAnsi="宋体" w:cs="宋体"/>
          <w:color w:val="auto"/>
          <w:szCs w:val="21"/>
          <w:highlight w:val="none"/>
        </w:rPr>
        <w:t>。</w:t>
      </w:r>
    </w:p>
    <w:p w14:paraId="75B165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2.2.2 提供工作条件</w:t>
      </w:r>
    </w:p>
    <w:p w14:paraId="4337B3D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关于发包人应负责提供的工作条件包括：</w:t>
      </w:r>
      <w:r>
        <w:rPr>
          <w:rFonts w:hint="eastAsia" w:ascii="宋体" w:hAnsi="宋体" w:cs="宋体"/>
          <w:color w:val="auto"/>
          <w:szCs w:val="21"/>
          <w:highlight w:val="none"/>
          <w:u w:val="single"/>
        </w:rPr>
        <w:t>合同签署时施工现场现状，即发包人提供的工作条件</w:t>
      </w:r>
      <w:r>
        <w:rPr>
          <w:rFonts w:hint="eastAsia" w:ascii="宋体" w:hAnsi="宋体" w:cs="宋体"/>
          <w:color w:val="auto"/>
          <w:szCs w:val="21"/>
          <w:highlight w:val="none"/>
        </w:rPr>
        <w:t>。</w:t>
      </w:r>
    </w:p>
    <w:p w14:paraId="28FF6F2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2.3 提供基础资料</w:t>
      </w:r>
    </w:p>
    <w:p w14:paraId="5DF685B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关于发包人应提供的基础资料的范围和期限：</w:t>
      </w:r>
      <w:r>
        <w:rPr>
          <w:rFonts w:hint="eastAsia" w:ascii="宋体" w:hAnsi="宋体" w:cs="宋体"/>
          <w:color w:val="auto"/>
          <w:szCs w:val="21"/>
          <w:highlight w:val="none"/>
          <w:u w:val="single"/>
        </w:rPr>
        <w:t>发包人提供方案图纸等前期的各项基础资料。发包人向承包人提供的任何数据、资料、意见，不能减免或免除承包人承担的设计、采购、施工责任</w:t>
      </w:r>
      <w:r>
        <w:rPr>
          <w:rFonts w:hint="eastAsia" w:ascii="宋体" w:hAnsi="宋体" w:cs="宋体"/>
          <w:color w:val="auto"/>
          <w:szCs w:val="21"/>
          <w:highlight w:val="none"/>
        </w:rPr>
        <w:t>。</w:t>
      </w:r>
    </w:p>
    <w:p w14:paraId="22C2DE8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除发包人提供的基础资料外，承包人应自行踏勘现场障碍物，包括工程设计、现场施工所需的地上和地下已有的建筑物、构筑物、线缆、管道、受保护的古建筑、古树木等坐标方位、数据和其它相关资料，现场障碍勘测和处理产生的费用由承包人自行承担。</w:t>
      </w:r>
    </w:p>
    <w:p w14:paraId="1F38D62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2.5 支付合同价款</w:t>
      </w:r>
    </w:p>
    <w:p w14:paraId="0EA2295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2.5.2 发包人提供资金来源证明及资金安排的期限要求：</w:t>
      </w:r>
      <w:r>
        <w:rPr>
          <w:rFonts w:hint="eastAsia" w:ascii="宋体" w:hAnsi="宋体" w:cs="宋体"/>
          <w:color w:val="auto"/>
          <w:szCs w:val="21"/>
          <w:highlight w:val="none"/>
          <w:u w:val="single"/>
        </w:rPr>
        <w:t xml:space="preserve">已落实 </w:t>
      </w:r>
      <w:r>
        <w:rPr>
          <w:rFonts w:hint="eastAsia" w:ascii="宋体" w:hAnsi="宋体" w:cs="宋体"/>
          <w:color w:val="auto"/>
          <w:szCs w:val="21"/>
          <w:highlight w:val="none"/>
        </w:rPr>
        <w:t>。</w:t>
      </w:r>
    </w:p>
    <w:p w14:paraId="20302D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2.5.3 发包人提供支付担保的形式、期限、金额（或比例）：</w:t>
      </w:r>
      <w:r>
        <w:rPr>
          <w:rFonts w:hint="eastAsia" w:ascii="宋体" w:hAnsi="宋体" w:cs="宋体"/>
          <w:color w:val="auto"/>
          <w:szCs w:val="21"/>
          <w:highlight w:val="none"/>
          <w:u w:val="single"/>
        </w:rPr>
        <w:t>按项目所在地项目监管要求执行</w:t>
      </w:r>
      <w:r>
        <w:rPr>
          <w:rFonts w:hint="eastAsia" w:ascii="宋体" w:hAnsi="宋体" w:cs="宋体"/>
          <w:color w:val="auto"/>
          <w:szCs w:val="21"/>
          <w:highlight w:val="none"/>
        </w:rPr>
        <w:t>。</w:t>
      </w:r>
    </w:p>
    <w:p w14:paraId="2ABCF28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2.7 其他义务</w:t>
      </w:r>
    </w:p>
    <w:p w14:paraId="5F243AD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发包人应履行的其他义务：</w:t>
      </w:r>
      <w:r>
        <w:rPr>
          <w:rFonts w:hint="eastAsia" w:ascii="宋体" w:hAnsi="宋体" w:cs="宋体"/>
          <w:color w:val="auto"/>
          <w:szCs w:val="21"/>
          <w:highlight w:val="none"/>
          <w:u w:val="single"/>
        </w:rPr>
        <w:t>发包人应在承包人进行项目各项报批、报审过程中提供必要的协助</w:t>
      </w:r>
      <w:r>
        <w:rPr>
          <w:rFonts w:hint="eastAsia" w:ascii="宋体" w:hAnsi="宋体" w:cs="宋体"/>
          <w:color w:val="auto"/>
          <w:szCs w:val="21"/>
          <w:highlight w:val="none"/>
        </w:rPr>
        <w:t>。</w:t>
      </w:r>
    </w:p>
    <w:p w14:paraId="6846B361">
      <w:pPr>
        <w:spacing w:line="360" w:lineRule="auto"/>
        <w:ind w:firstLine="308" w:firstLineChars="147"/>
        <w:rPr>
          <w:rFonts w:ascii="宋体" w:hAnsi="宋体" w:cs="宋体"/>
          <w:color w:val="auto"/>
          <w:szCs w:val="21"/>
          <w:highlight w:val="none"/>
        </w:rPr>
      </w:pPr>
      <w:r>
        <w:rPr>
          <w:rFonts w:hint="eastAsia" w:ascii="宋体" w:hAnsi="宋体" w:cs="宋体"/>
          <w:bCs/>
          <w:color w:val="auto"/>
          <w:szCs w:val="21"/>
          <w:highlight w:val="none"/>
        </w:rPr>
        <w:t>发包人的管理</w:t>
      </w:r>
      <w:r>
        <w:rPr>
          <w:rFonts w:hint="eastAsia" w:ascii="宋体" w:hAnsi="宋体" w:cs="宋体"/>
          <w:b/>
          <w:color w:val="auto"/>
          <w:szCs w:val="21"/>
          <w:highlight w:val="none"/>
        </w:rPr>
        <w:t>：</w:t>
      </w:r>
      <w:r>
        <w:rPr>
          <w:rFonts w:hint="eastAsia" w:ascii="宋体" w:hAnsi="宋体" w:cs="宋体"/>
          <w:color w:val="auto"/>
          <w:szCs w:val="21"/>
          <w:highlight w:val="none"/>
        </w:rPr>
        <w:t>发包人应根据工程所需配备发包人代表，同时配备1-2名相关人员到岗履职。发包人应做好承包人农民工工资保证金缴存情况的审核工作，督促未缴存农民工工资保证金的承包人及时缴存。</w:t>
      </w:r>
    </w:p>
    <w:p w14:paraId="69180B89">
      <w:pPr>
        <w:spacing w:line="360" w:lineRule="auto"/>
        <w:ind w:firstLine="308" w:firstLineChars="147"/>
        <w:rPr>
          <w:rFonts w:ascii="宋体" w:hAnsi="宋体" w:cs="宋体"/>
          <w:color w:val="auto"/>
          <w:szCs w:val="21"/>
          <w:highlight w:val="none"/>
        </w:rPr>
      </w:pPr>
      <w:r>
        <w:rPr>
          <w:rFonts w:hint="eastAsia" w:ascii="宋体" w:hAnsi="宋体" w:cs="宋体"/>
          <w:color w:val="auto"/>
          <w:szCs w:val="21"/>
          <w:highlight w:val="none"/>
        </w:rPr>
        <w:t>建设工程施工前，发包人必须对工程项目建筑垃圾总量、回填利用量进行全面准确测算，并到项目所在地城管部门办理建筑垃圾处置手续。</w:t>
      </w:r>
    </w:p>
    <w:p w14:paraId="7D453BCB">
      <w:pPr>
        <w:spacing w:line="360" w:lineRule="auto"/>
        <w:ind w:firstLine="308" w:firstLineChars="147"/>
        <w:rPr>
          <w:rFonts w:ascii="宋体" w:hAnsi="宋体" w:cs="宋体"/>
          <w:color w:val="auto"/>
          <w:szCs w:val="21"/>
          <w:highlight w:val="none"/>
        </w:rPr>
      </w:pPr>
      <w:r>
        <w:rPr>
          <w:rFonts w:hint="eastAsia" w:ascii="宋体" w:hAnsi="宋体" w:cs="宋体"/>
          <w:color w:val="auto"/>
          <w:szCs w:val="21"/>
          <w:highlight w:val="none"/>
        </w:rPr>
        <w:t>发包人有权开展现场检查，督促承包人落实规范垃圾处置合同分包、车辆装载、车辆冲洗和规范消纳等措施。</w:t>
      </w:r>
    </w:p>
    <w:p w14:paraId="3B778BD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3.1 发包人代表</w:t>
      </w:r>
    </w:p>
    <w:p w14:paraId="4181CF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发包人代表的姓名：；</w:t>
      </w:r>
    </w:p>
    <w:p w14:paraId="090F36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发包人代表的身份证号：；</w:t>
      </w:r>
    </w:p>
    <w:p w14:paraId="3D0AC55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发包人代表的职务：；</w:t>
      </w:r>
    </w:p>
    <w:p w14:paraId="418729B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发包人代表的联系电话：；</w:t>
      </w:r>
    </w:p>
    <w:p w14:paraId="7C8B5F8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发包人代表的电子邮箱：；</w:t>
      </w:r>
    </w:p>
    <w:p w14:paraId="18E5E6C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发包人代表的通信地址：；</w:t>
      </w:r>
    </w:p>
    <w:p w14:paraId="6E38485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发包人对发包人代表的授权范围如下：</w:t>
      </w:r>
      <w:r>
        <w:rPr>
          <w:rFonts w:hint="eastAsia" w:ascii="宋体" w:hAnsi="宋体" w:cs="宋体"/>
          <w:color w:val="auto"/>
          <w:szCs w:val="21"/>
          <w:highlight w:val="none"/>
          <w:u w:val="single"/>
        </w:rPr>
        <w:t>项目总负责职责；负责设计、采购、施工等各阶段的协调管理工作</w:t>
      </w:r>
      <w:r>
        <w:rPr>
          <w:rFonts w:hint="eastAsia" w:ascii="宋体" w:hAnsi="宋体" w:cs="宋体"/>
          <w:color w:val="auto"/>
          <w:szCs w:val="21"/>
          <w:highlight w:val="none"/>
        </w:rPr>
        <w:t>；</w:t>
      </w:r>
    </w:p>
    <w:p w14:paraId="6B17396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发包人代表的职责：</w:t>
      </w:r>
      <w:r>
        <w:rPr>
          <w:rFonts w:hint="eastAsia" w:ascii="宋体" w:hAnsi="宋体" w:cs="宋体"/>
          <w:color w:val="auto"/>
          <w:szCs w:val="21"/>
          <w:highlight w:val="none"/>
          <w:u w:val="single"/>
        </w:rPr>
        <w:t>代表发包人针对本工程做好设计、施工、采购等各阶段管理、协调和监督工作，行使并履行本合同明确约定或合理推定的工程师的全部权力和职责，受理与其相关的所有通知、指示、同意、批准、证书、决定及其通讯联络</w:t>
      </w:r>
      <w:r>
        <w:rPr>
          <w:rFonts w:hint="eastAsia" w:ascii="宋体" w:hAnsi="宋体" w:cs="宋体"/>
          <w:color w:val="auto"/>
          <w:szCs w:val="21"/>
          <w:highlight w:val="none"/>
        </w:rPr>
        <w:t>。</w:t>
      </w:r>
    </w:p>
    <w:p w14:paraId="5FEACA2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3.2 发包人人员</w:t>
      </w:r>
    </w:p>
    <w:p w14:paraId="6C8C060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发包人人员姓名：；</w:t>
      </w:r>
    </w:p>
    <w:p w14:paraId="2A6E4F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发包人人员职务：；</w:t>
      </w:r>
    </w:p>
    <w:p w14:paraId="3A555F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发包人人员职责：。</w:t>
      </w:r>
    </w:p>
    <w:p w14:paraId="35DFE48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3.3 工程师</w:t>
      </w:r>
    </w:p>
    <w:p w14:paraId="38E39B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3.3.1 工程师名称：；工程师监督管理范围、内容：；工程师权限：。</w:t>
      </w:r>
    </w:p>
    <w:p w14:paraId="7E38AF7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3.6 商定或确定</w:t>
      </w:r>
    </w:p>
    <w:p w14:paraId="1AF9CB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3.6.2 关于商定时间限制的具体约定：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0DBC6F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3.6.3 关于商定或确定效力的具体约定：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；关于对工程师的确定提出异议的具体约定：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B5484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3.7 会议</w:t>
      </w:r>
    </w:p>
    <w:p w14:paraId="30B9F08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3.7.1 关于召开会议的具体约定：</w:t>
      </w:r>
      <w:r>
        <w:rPr>
          <w:rFonts w:hint="eastAsia" w:ascii="宋体" w:hAnsi="宋体" w:cs="宋体"/>
          <w:color w:val="auto"/>
          <w:szCs w:val="21"/>
          <w:highlight w:val="none"/>
          <w:u w:val="single"/>
        </w:rPr>
        <w:t>（1）设计人员应及时到现场协助解决施工中遇到的技术问题，按时参加例会（如有需要）、工程专题会、工程验收会等会议，如不能响应此条款，发包人有权对其处违约金 2000 元/次。</w:t>
      </w:r>
    </w:p>
    <w:p w14:paraId="6CE92AF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3.7.2 关于保存和提供会议纪要的具体约定：</w:t>
      </w:r>
      <w:r>
        <w:rPr>
          <w:rFonts w:hint="eastAsia" w:ascii="宋体" w:hAnsi="宋体" w:cs="宋体"/>
          <w:color w:val="auto"/>
          <w:szCs w:val="21"/>
          <w:highlight w:val="none"/>
          <w:u w:val="single"/>
        </w:rPr>
        <w:t>承包人应保存每次会议参加人签名的记录，并将会议纪要提供给出席会议的人员。任何根据此类会议以及会议纪要采取的行动应符合本合同的约定</w:t>
      </w:r>
      <w:r>
        <w:rPr>
          <w:rFonts w:hint="eastAsia" w:ascii="宋体" w:hAnsi="宋体" w:cs="宋体"/>
          <w:color w:val="auto"/>
          <w:szCs w:val="21"/>
          <w:highlight w:val="none"/>
        </w:rPr>
        <w:t>。</w:t>
      </w:r>
    </w:p>
    <w:p w14:paraId="44E8D270">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第4条 承包人</w:t>
      </w:r>
    </w:p>
    <w:p w14:paraId="50799D5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4.1 承包人的一般义务</w:t>
      </w:r>
    </w:p>
    <w:p w14:paraId="3A385324">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承包人应履行的其他义务：</w:t>
      </w:r>
      <w:r>
        <w:rPr>
          <w:rFonts w:hint="eastAsia" w:ascii="宋体" w:hAnsi="宋体" w:cs="宋体"/>
          <w:color w:val="auto"/>
          <w:szCs w:val="21"/>
          <w:highlight w:val="none"/>
          <w:u w:val="single"/>
        </w:rPr>
        <w:t>约定时间和要求，完成以下工作（费用列入投标总价）：</w:t>
      </w:r>
    </w:p>
    <w:p w14:paraId="1BEF469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a、应提供计划、报表的名称及完成时间：在合同签署后 7 天内，承包人提供项目总实施计划，包括：设计进度计划、施工进度计划、项目管理规划、材料设备采购计划、项目资金使用计划及项目重点难点和关键工序的施工计划。各类计划、文件均需一式捌份。</w:t>
      </w:r>
    </w:p>
    <w:p w14:paraId="0592DA6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b、承担施工安全保卫工作及非夜间施工照明的责任和要求：按照杭州市当地建筑工地安全文明施工管理规定执行。承包人应加强施工的安全生产管理，制定安全操作规程，保证工程施工的安全，承包人应教育其职工进行文明施工，配备必要的安全生产设施和劳动保护用具。承包人应对其管辖范围内的人员和设备（包括业主及监理单位的人员和设备）以及工程的安全负责，应负责做好其所辖人员的工作场所和居住区的日常治安管理和安全保护工作。承包人必须注意保护工地邻近建筑物和附近居民的安全，防止因施工措施不当使附近居民的人员财产遭受损失，否则承包人负全责。承包人必须对施工现场的用电安全负责。施工现场用电必须遵照杭州市建委颁布的施工现场用电管理条例执行。在工地现场做好警戒告示牌，提醒进入施工现场人员的注意。以上内容发生的费用和责任全部由承包人承担。</w:t>
      </w:r>
    </w:p>
    <w:p w14:paraId="351EB0F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c、需承包人办理的有关施工场地交通、环卫和施工噪音管理等手续：按通用条款及有关政府部门的管理规定和发包人的要求做好降噪工作、环境保护、交通秩序、光污染等工作，费用由承包人自理。承包人在办好后应书面通知发包人。如发包人因此被罚款的，其款项由承包人承担，并在进度款中直接扣除。</w:t>
      </w:r>
    </w:p>
    <w:p w14:paraId="51AEF7B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d、已完工程成品保护的特殊要求及费用承担：工程未经竣工验收合格、交付发包人之前，承包人负责承包范围内的已完工工程的现场保护，如发生损坏的由承包人自费修复；若承包人的成品、半成品保护措施不力，发包人有权提出具体要求，承包人必须执行，且费用由承包人承担；若因第三方原因造成承包人的成品、半成品损坏的，承包人应及时先予修复，不得以向第三方主张权利为由而拖延修复。竣工验收后交付前的工程保护，按前述约定执行。</w:t>
      </w:r>
    </w:p>
    <w:p w14:paraId="6C2F52E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e、施工场地周围地下管线和邻近建筑物、构筑物（含文物保护建筑）、古树名木的保护要求及费用承担：承包人在施工前要对施工场地周围建筑物、构筑物（含文物保护建筑）、古树名木和地下管线提出可行的保护措施，报发包人和有关部门审核后方可施工。施工期间，承包人应做好保护工作，除文物、古树名木保护及发包人认可发生的费用由发包人承担，其余由承包人承担相关费用及法律责任。</w:t>
      </w:r>
    </w:p>
    <w:p w14:paraId="2971A15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f、施工场地清洁卫生的要求：工程完工交付 3 天内现场应清除所有不再需要的临时工程、承包人的设备和多余材料、全部建筑、生活垃圾，达到工程师满意的使用状态。如承包人不履行，发包人可自行清除或另行委托他人处理，发生的费用由承包人双倍承担。</w:t>
      </w:r>
    </w:p>
    <w:p w14:paraId="35FD882B">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g、按期支付工人工资的要求：承包人应当按照国家法律法规的要求每月按期足额向其全体施工工人发放工资，为其购买国家规定的各种强制性保险。若因承包人未支付工人工资，当地政府或司法部门要求发包人先予垫付的，视同发包人给承包人的借款，其本息（利息按不低于同期 LPR 利率计算）在下期工程进度款中全额扣回，同时处以合同价万分之一的罚款。</w:t>
      </w:r>
    </w:p>
    <w:p w14:paraId="3F85D67D">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h、双方约定承包人应做的其他工作：</w:t>
      </w:r>
    </w:p>
    <w:p w14:paraId="7E708342">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①承包人负责安装在施工过程中为自己所用的供水管网、用电线路及其设施，并严格按供水、供电的有关规定执行，否则一切后果均由承包人负责。施工场地内的施工便道由承包人负责。承包人服从发包人和监理公司书面提出的合理相关工作内容。</w:t>
      </w:r>
    </w:p>
    <w:p w14:paraId="5B8864C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②承包人在施工区域及现场办公区域、临时生活区域内做好各项安全保卫工作。</w:t>
      </w:r>
    </w:p>
    <w:p w14:paraId="5928D4DB">
      <w:pPr>
        <w:spacing w:line="360" w:lineRule="auto"/>
        <w:ind w:firstLine="630" w:firstLineChars="300"/>
        <w:rPr>
          <w:rFonts w:ascii="宋体" w:hAnsi="宋体" w:cs="宋体"/>
          <w:color w:val="auto"/>
          <w:szCs w:val="21"/>
          <w:highlight w:val="none"/>
          <w:u w:val="single"/>
        </w:rPr>
      </w:pPr>
      <w:r>
        <w:rPr>
          <w:rFonts w:hint="eastAsia" w:ascii="宋体" w:hAnsi="宋体" w:cs="宋体"/>
          <w:color w:val="auto"/>
          <w:szCs w:val="21"/>
          <w:highlight w:val="none"/>
          <w:u w:val="single"/>
        </w:rPr>
        <w:t>③承包人应规范建筑垃圾处置分包合同管理，建筑垃圾运输业务应当发包给本工程建筑垃圾处置证核准确定的运输单位。承包人应根据施工合同约定和相关法律法规要求，编制工程建筑垃圾处置方案，向项目所在地城管部门进行备案，并在工地出入口做好公示及日常维护工作。承包人要加强建筑垃圾处置分包合同履约监管，严格核对建筑垃圾运输车辆，对不具备垃圾处置证、准运证、通行证的工程车辆，要及时清退。杜绝运输单位将建筑垃圾运输至非指定消纳场所，确保运输和处置规范。承包人应落实出土三联单制度，承包人、运输单位、末端处置单位各一联，承包人取得消纳处置场地接纳回执后，方可与运输、处置单位结算相关费用。</w:t>
      </w:r>
    </w:p>
    <w:p w14:paraId="3649365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4.1.1承包人对设计义务的要求： </w:t>
      </w:r>
    </w:p>
    <w:p w14:paraId="75576EE6">
      <w:pPr>
        <w:tabs>
          <w:tab w:val="left" w:pos="840"/>
          <w:tab w:val="left" w:pos="1474"/>
        </w:tabs>
        <w:kinsoku w:val="0"/>
        <w:overflowPunct w:val="0"/>
        <w:snapToGrid w:val="0"/>
        <w:spacing w:line="360" w:lineRule="auto"/>
        <w:ind w:firstLine="525" w:firstLineChars="250"/>
        <w:rPr>
          <w:rFonts w:ascii="宋体" w:hAnsi="宋体" w:cs="宋体"/>
          <w:color w:val="auto"/>
          <w:szCs w:val="21"/>
          <w:highlight w:val="none"/>
          <w:u w:val="single"/>
        </w:rPr>
      </w:pPr>
      <w:r>
        <w:rPr>
          <w:rFonts w:hint="eastAsia" w:ascii="宋体" w:hAnsi="宋体" w:cs="宋体"/>
          <w:color w:val="auto"/>
          <w:szCs w:val="21"/>
          <w:highlight w:val="none"/>
          <w:u w:val="single"/>
        </w:rPr>
        <w:t>4.1.1.1承包人应按照国家规范、标准及《发包人要求》的规定完成工程项目的设计工作，承包人应按双方约定的合同价格进行限额设计。</w:t>
      </w:r>
    </w:p>
    <w:p w14:paraId="5177DB3A">
      <w:pPr>
        <w:tabs>
          <w:tab w:val="left" w:pos="840"/>
          <w:tab w:val="left" w:pos="1474"/>
        </w:tabs>
        <w:kinsoku w:val="0"/>
        <w:overflowPunct w:val="0"/>
        <w:snapToGrid w:val="0"/>
        <w:spacing w:line="360" w:lineRule="auto"/>
        <w:ind w:firstLine="525" w:firstLineChars="250"/>
        <w:rPr>
          <w:rFonts w:ascii="宋体" w:hAnsi="宋体" w:cs="宋体"/>
          <w:color w:val="auto"/>
          <w:szCs w:val="21"/>
          <w:highlight w:val="none"/>
          <w:u w:val="single"/>
        </w:rPr>
      </w:pPr>
      <w:r>
        <w:rPr>
          <w:rFonts w:hint="eastAsia" w:ascii="宋体" w:hAnsi="宋体" w:cs="宋体"/>
          <w:color w:val="auto"/>
          <w:szCs w:val="21"/>
          <w:highlight w:val="none"/>
          <w:u w:val="single"/>
        </w:rPr>
        <w:t>4.1.1.2承包人应在进行施工图设计前，就设计方案中的建设规模、建设标准、功能和技术要求等内容进行认真复核。如发现设计方案不符合设计规范，或者与《发包人要求》有矛盾的，应及时与发包人进行沟通，经发包人同意后，需调整并构成变更的，按本合同条款第13条变更与调整处理。</w:t>
      </w:r>
    </w:p>
    <w:p w14:paraId="3E454D2E">
      <w:pPr>
        <w:pStyle w:val="973"/>
        <w:tabs>
          <w:tab w:val="left" w:pos="840"/>
          <w:tab w:val="left" w:pos="1474"/>
        </w:tabs>
        <w:kinsoku w:val="0"/>
        <w:overflowPunct w:val="0"/>
        <w:snapToGrid w:val="0"/>
        <w:ind w:firstLine="480"/>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4.1.1.3承包人提供的施工图设计应标明符合招标文件和合同约定的主要材料、设备的规格、型号、性能等技术参数，其质量要求必须符合国家规定的标准。</w:t>
      </w:r>
    </w:p>
    <w:p w14:paraId="463B222A">
      <w:pPr>
        <w:spacing w:line="360" w:lineRule="auto"/>
        <w:ind w:firstLine="420" w:firstLineChars="200"/>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4.1.1.4承包人应按照合同约定的设计审查阶段及其审查会议的时间安排提交符合相关阶段设计深度要求的设计文件。</w:t>
      </w:r>
    </w:p>
    <w:p w14:paraId="1451AD3F">
      <w:pPr>
        <w:pStyle w:val="973"/>
        <w:tabs>
          <w:tab w:val="left" w:pos="840"/>
          <w:tab w:val="left" w:pos="1474"/>
        </w:tabs>
        <w:kinsoku w:val="0"/>
        <w:overflowPunct w:val="0"/>
        <w:snapToGrid w:val="0"/>
        <w:jc w:val="left"/>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4.1.1.5承包人应负责工程设计的组织、协调、进度控制等所有相关设计工作，对所有相关设计文件的正确性、合理性承担责任。</w:t>
      </w:r>
    </w:p>
    <w:p w14:paraId="7AD321ED">
      <w:pPr>
        <w:pStyle w:val="973"/>
        <w:tabs>
          <w:tab w:val="left" w:pos="840"/>
          <w:tab w:val="left" w:pos="1474"/>
        </w:tabs>
        <w:kinsoku w:val="0"/>
        <w:overflowPunct w:val="0"/>
        <w:snapToGrid w:val="0"/>
        <w:ind w:firstLine="480"/>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 xml:space="preserve">4.1.1.6 其他：                 /                  </w:t>
      </w:r>
    </w:p>
    <w:p w14:paraId="200FDA4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4.1.2承包人对施工义务的要求： </w:t>
      </w:r>
    </w:p>
    <w:p w14:paraId="0FAFFD3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4.1.2.1承包人应当在工程开工建设前，到项目所在地商业银行开设农民工工资专用账户，专项用于支付该工程建设项目农民工工资。</w:t>
      </w:r>
    </w:p>
    <w:p w14:paraId="2E2313C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4.1.2.2承包人应建立实名制电子考勤系统，做好与杭州市智慧工地实名制管理应用系统的数据对接工作。</w:t>
      </w:r>
    </w:p>
    <w:p w14:paraId="4D276BE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4.1.2.3承包人应及时向项目所在地保证金管理部门缴存农民工工资保证金，并做好分包单位农民工工资保证金缴存的查验工作。</w:t>
      </w:r>
    </w:p>
    <w:p w14:paraId="21A0FC61">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4.1.2.4承包人应当在工程项目部配备劳资专管员，对分包单位劳动用工实施监督管理。实行分包单位农民工工资委托项目总承包单位代发制度。承包人应当按照与农民工依法约定的工资支付周期和具体支付日期支付工资，且每月至少向农民工足额支付一次工资。</w:t>
      </w:r>
    </w:p>
    <w:p w14:paraId="3C5F05C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4.1.2.5其他：              /                </w:t>
      </w:r>
    </w:p>
    <w:p w14:paraId="482F19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4.2 履约担保</w:t>
      </w:r>
    </w:p>
    <w:p w14:paraId="114F5DF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承包人是否提供履约担保：</w:t>
      </w:r>
      <w:r>
        <w:rPr>
          <w:rFonts w:hint="eastAsia" w:ascii="宋体" w:hAnsi="宋体" w:cs="宋体"/>
          <w:color w:val="auto"/>
          <w:szCs w:val="21"/>
          <w:highlight w:val="none"/>
          <w:u w:val="single"/>
        </w:rPr>
        <w:t>否</w:t>
      </w:r>
      <w:r>
        <w:rPr>
          <w:rFonts w:hint="eastAsia" w:ascii="宋体" w:hAnsi="宋体" w:cs="宋体"/>
          <w:color w:val="auto"/>
          <w:szCs w:val="21"/>
          <w:highlight w:val="none"/>
        </w:rPr>
        <w:t>。</w:t>
      </w:r>
    </w:p>
    <w:p w14:paraId="46C130A5">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 xml:space="preserve">履约担保的方式、金额及期限: </w:t>
      </w:r>
      <w:r>
        <w:rPr>
          <w:rFonts w:hint="eastAsia" w:ascii="宋体" w:hAnsi="宋体" w:cs="宋体"/>
          <w:color w:val="auto"/>
          <w:szCs w:val="21"/>
          <w:highlight w:val="none"/>
          <w:u w:val="single"/>
        </w:rPr>
        <w:t xml:space="preserve">     /     </w:t>
      </w:r>
    </w:p>
    <w:p w14:paraId="015EB9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 工程总承包项目经理</w:t>
      </w:r>
    </w:p>
    <w:p w14:paraId="4C7B5D2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4.3.1 工程总承包项目经理姓名：；</w:t>
      </w:r>
    </w:p>
    <w:p w14:paraId="37844D1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执业资格或职称类型：；</w:t>
      </w:r>
    </w:p>
    <w:p w14:paraId="1E56AD4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执业资格证或职称证号码：；</w:t>
      </w:r>
    </w:p>
    <w:p w14:paraId="43C5BD7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联系电话：；</w:t>
      </w:r>
    </w:p>
    <w:p w14:paraId="7136A17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电子邮箱：；</w:t>
      </w:r>
    </w:p>
    <w:p w14:paraId="51093AB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通信地址：。</w:t>
      </w:r>
    </w:p>
    <w:p w14:paraId="7B78B4E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承包人未提交劳动合同，以及没有为工程总承包项目经理缴纳社会保险证明的违约责任：</w:t>
      </w:r>
      <w:r>
        <w:rPr>
          <w:rFonts w:hint="eastAsia" w:ascii="宋体" w:hAnsi="宋体" w:cs="宋体"/>
          <w:color w:val="auto"/>
          <w:szCs w:val="21"/>
          <w:highlight w:val="none"/>
          <w:u w:val="single"/>
        </w:rPr>
        <w:t>由承包人自行承担相关责任，且发包人有权要求更换项目经理，并通报有关建设行政主管部门进行处罚。</w:t>
      </w:r>
    </w:p>
    <w:p w14:paraId="6E41D2D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4.3.2 工程总承包项目经理每月在现场的时间要求：</w:t>
      </w:r>
      <w:r>
        <w:rPr>
          <w:rFonts w:hint="eastAsia" w:ascii="宋体" w:hAnsi="宋体" w:cs="宋体"/>
          <w:color w:val="auto"/>
          <w:szCs w:val="21"/>
          <w:highlight w:val="none"/>
          <w:u w:val="single"/>
        </w:rPr>
        <w:t xml:space="preserve">不得少于 20 日，每天8小时 </w:t>
      </w:r>
      <w:r>
        <w:rPr>
          <w:rFonts w:hint="eastAsia" w:ascii="宋体" w:hAnsi="宋体" w:cs="宋体"/>
          <w:color w:val="auto"/>
          <w:szCs w:val="21"/>
          <w:highlight w:val="none"/>
        </w:rPr>
        <w:t>。</w:t>
      </w:r>
    </w:p>
    <w:p w14:paraId="66F1D0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工程总承包项目经理未经批准擅自离开施工现场的违约责任：</w:t>
      </w:r>
      <w:r>
        <w:rPr>
          <w:rFonts w:hint="eastAsia" w:ascii="宋体" w:hAnsi="宋体" w:cs="宋体"/>
          <w:color w:val="auto"/>
          <w:szCs w:val="21"/>
          <w:highlight w:val="none"/>
          <w:u w:val="single"/>
        </w:rPr>
        <w:t xml:space="preserve">按月以日历天为基数计算考核，未达到的按每天 1000 元处以违约金。承包人中标项目负责人施工期间离岗七天以上必须经发包人同意，如发现项目负责人不在现场组织施工，发包人有权按违约处理，并有权单方终止合同，后果由承包人负责  </w:t>
      </w:r>
      <w:r>
        <w:rPr>
          <w:rFonts w:hint="eastAsia" w:ascii="宋体" w:hAnsi="宋体" w:cs="宋体"/>
          <w:color w:val="auto"/>
          <w:szCs w:val="21"/>
          <w:highlight w:val="none"/>
        </w:rPr>
        <w:t>。</w:t>
      </w:r>
    </w:p>
    <w:p w14:paraId="4D9C64B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4.3.3 承包人对工程总承包项目经理的授权范围:</w:t>
      </w:r>
      <w:r>
        <w:rPr>
          <w:rFonts w:hint="eastAsia" w:ascii="宋体" w:hAnsi="宋体" w:cs="宋体"/>
          <w:color w:val="auto"/>
          <w:szCs w:val="21"/>
          <w:highlight w:val="none"/>
          <w:u w:val="single"/>
        </w:rPr>
        <w:t>代表承包人承担本项目工程总承包的各项权利、义务和责任</w:t>
      </w:r>
      <w:r>
        <w:rPr>
          <w:rFonts w:hint="eastAsia" w:ascii="宋体" w:hAnsi="宋体" w:cs="宋体"/>
          <w:color w:val="auto"/>
          <w:szCs w:val="21"/>
          <w:highlight w:val="none"/>
        </w:rPr>
        <w:t>。</w:t>
      </w:r>
    </w:p>
    <w:p w14:paraId="78BB2C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4.3.4 承包人擅自更换工程总承包项目经理的违约责任：</w:t>
      </w:r>
      <w:r>
        <w:rPr>
          <w:rFonts w:hint="eastAsia" w:ascii="宋体" w:hAnsi="宋体" w:cs="宋体"/>
          <w:color w:val="auto"/>
          <w:szCs w:val="21"/>
          <w:highlight w:val="none"/>
          <w:u w:val="single"/>
        </w:rPr>
        <w:t xml:space="preserve"> 承包人在施工期间不准擅自更换项目经理，特殊情况要求更换项目经理的，须征得发包人同意。承包人擅自更换项目经理的将被视为承包人违约，处以1万元/次的违约金，情节严重的发包人有权解除合同  </w:t>
      </w:r>
      <w:r>
        <w:rPr>
          <w:rFonts w:hint="eastAsia" w:ascii="宋体" w:hAnsi="宋体" w:cs="宋体"/>
          <w:color w:val="auto"/>
          <w:szCs w:val="21"/>
          <w:highlight w:val="none"/>
        </w:rPr>
        <w:t>。</w:t>
      </w:r>
    </w:p>
    <w:p w14:paraId="74D83C1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4.3.5承包人无正当理由拒绝更换工程总承包项目经理的违约责任:</w:t>
      </w:r>
      <w:r>
        <w:rPr>
          <w:rFonts w:hint="eastAsia" w:ascii="宋体" w:hAnsi="宋体" w:cs="宋体"/>
          <w:color w:val="auto"/>
          <w:szCs w:val="21"/>
          <w:highlight w:val="none"/>
          <w:u w:val="single"/>
        </w:rPr>
        <w:t>原项目经理不能按约定到岗履职的或能力不能满足工作需要的，发包人书面通知承包人进行更换项目经理，承包人在两个星期内未做出更换项目经理的，处以合同价的 1.5%的违约金，情节严重的发包人有权解除合同</w:t>
      </w:r>
      <w:r>
        <w:rPr>
          <w:rFonts w:hint="eastAsia" w:ascii="宋体" w:hAnsi="宋体" w:cs="宋体"/>
          <w:color w:val="auto"/>
          <w:szCs w:val="21"/>
          <w:highlight w:val="none"/>
        </w:rPr>
        <w:t>。</w:t>
      </w:r>
    </w:p>
    <w:p w14:paraId="4AB6B9B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4.3.6 设计总负责人姓名： ；</w:t>
      </w:r>
    </w:p>
    <w:p w14:paraId="2EA9AA3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设计总负责人职务： ；</w:t>
      </w:r>
    </w:p>
    <w:p w14:paraId="0B46344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设计负责人联系电话： ；</w:t>
      </w:r>
    </w:p>
    <w:p w14:paraId="5028A1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设计负责人身份证号码： 。</w:t>
      </w:r>
    </w:p>
    <w:p w14:paraId="7C8A6BA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4.3.7 设计总负责人职责：</w:t>
      </w:r>
    </w:p>
    <w:p w14:paraId="3523681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（1）领会设计意图，掌握设计标准，做好所承担项目的初步设计、专项设计、施工图设计，解决工程设计中的相关技术问题。参与重大工程技术问题的决策。</w:t>
      </w:r>
    </w:p>
    <w:p w14:paraId="755C480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（2）代表公司接受发包人的管理和指令，参与与相关单位的协调配合工作。</w:t>
      </w:r>
    </w:p>
    <w:p w14:paraId="36BE69B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（3）主持制定本项目各阶段的设计工作、质量计划、进度计划及总体计划。</w:t>
      </w:r>
    </w:p>
    <w:p w14:paraId="316D3A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（4）深入施工现场，处理矛盾，解决问题。加强与发包人、方案设计单位、监理单位的协作与沟通。</w:t>
      </w:r>
    </w:p>
    <w:p w14:paraId="5C268C9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（5）监督各专业设计进度与设计质量，保证设计团队的人员配备到位。</w:t>
      </w:r>
    </w:p>
    <w:p w14:paraId="0C1D35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（6）做好项目的设计管理工作，保证设计成果符合国家规范要求。</w:t>
      </w:r>
    </w:p>
    <w:p w14:paraId="1C4B10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 承包人人员</w:t>
      </w:r>
    </w:p>
    <w:p w14:paraId="7030C34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4.4.1 人员安排</w:t>
      </w:r>
    </w:p>
    <w:p w14:paraId="1D711C9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承包人提交项目管理机构及施工现场人员安排的报告的期限：</w:t>
      </w:r>
      <w:r>
        <w:rPr>
          <w:rFonts w:hint="eastAsia" w:ascii="宋体" w:hAnsi="宋体" w:cs="宋体"/>
          <w:color w:val="auto"/>
          <w:szCs w:val="21"/>
          <w:highlight w:val="none"/>
          <w:u w:val="single"/>
        </w:rPr>
        <w:t>承包人承诺的项目经理及项目部其他管理人员必须按投标承诺名单及时到位。若因特殊情况或实际需要必须调换的，承包人必须事先向发包人提供以下材料并取得发包人的书面批准以后，才能派替换的人员进场</w:t>
      </w:r>
      <w:r>
        <w:rPr>
          <w:rFonts w:hint="eastAsia" w:ascii="宋体" w:hAnsi="宋体" w:cs="宋体"/>
          <w:color w:val="auto"/>
          <w:szCs w:val="21"/>
          <w:highlight w:val="none"/>
        </w:rPr>
        <w:t>：</w:t>
      </w:r>
    </w:p>
    <w:p w14:paraId="3A5417B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a、书面请示报告；</w:t>
      </w:r>
    </w:p>
    <w:p w14:paraId="34227C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b、替换人的技术职称证书、岗位证书、身份证（验证原件，提供复印件）及其工作经历与业绩等有关证明材料。</w:t>
      </w:r>
    </w:p>
    <w:p w14:paraId="3136EE5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当替换人的技术职称、资质和工作经历满足招标文件要求或发包人认为可以接受时，发包人可以给予批准。当发包人认为项目经理或其他人员不能胜任该工作，有权要求承包人无条件更换。</w:t>
      </w:r>
    </w:p>
    <w:p w14:paraId="646573F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从项目中标到竣工，施工企业不得随意更换项目经理。确因以下情形需要更换项目经理的，应当办理书面更换手续。</w:t>
      </w:r>
    </w:p>
    <w:p w14:paraId="47043F6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（一）项目经理长期缺岗和缺位采购人要求更换的；</w:t>
      </w:r>
    </w:p>
    <w:p w14:paraId="3E50C4F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（二）因身体原因（应有市级及以上医院的住院证明）不能胜任项目管理工作的；</w:t>
      </w:r>
    </w:p>
    <w:p w14:paraId="138563B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（三）劳动合同到期不再续签、劳动合同解除或终止的；</w:t>
      </w:r>
    </w:p>
    <w:p w14:paraId="45C4A49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（四）项目经理年满六十五周岁的；</w:t>
      </w:r>
    </w:p>
    <w:p w14:paraId="7302096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（五）项目经理不具备执业资格的。</w:t>
      </w:r>
    </w:p>
    <w:p w14:paraId="30CA0A1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承包人提交关键人员信息及注册执业资格等证明其具备担任关键人员能力的相关文件的期限：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652B31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4.4.2 关键人员更换</w:t>
      </w:r>
    </w:p>
    <w:p w14:paraId="5704333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承包人擅自更换关键人员的违约责任：</w:t>
      </w:r>
      <w:r>
        <w:rPr>
          <w:rFonts w:hint="eastAsia" w:ascii="宋体" w:hAnsi="宋体" w:cs="宋体"/>
          <w:color w:val="auto"/>
          <w:szCs w:val="21"/>
          <w:highlight w:val="none"/>
          <w:u w:val="single"/>
        </w:rPr>
        <w:t>在施工期间不准更换，特殊情况要求更换的，须经发包人同意备案且处违约金分别为 1万元（技术负责人）、5000元（其他人员）；承包人擅自更换技术负责人、其他人员的将被视为承包人违约，额外处以违约金分别为1万元（技术负责人）、3000元（其他人员），情节严重的发包人有权单方面解除合同</w:t>
      </w:r>
      <w:r>
        <w:rPr>
          <w:rFonts w:hint="eastAsia" w:ascii="宋体" w:hAnsi="宋体" w:cs="宋体"/>
          <w:color w:val="auto"/>
          <w:szCs w:val="21"/>
          <w:highlight w:val="none"/>
        </w:rPr>
        <w:t>。</w:t>
      </w:r>
    </w:p>
    <w:p w14:paraId="5CB3AF5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承包人无正当理由拒绝撤换关键人员的违约责任：</w:t>
      </w:r>
      <w:r>
        <w:rPr>
          <w:rFonts w:hint="eastAsia" w:ascii="宋体" w:hAnsi="宋体" w:cs="宋体"/>
          <w:color w:val="auto"/>
          <w:szCs w:val="21"/>
          <w:highlight w:val="none"/>
          <w:u w:val="single"/>
        </w:rPr>
        <w:t>技术负责人处 5000 元/人•次的违约金，其他管理人员处2000 元/人•次的违约金</w:t>
      </w:r>
      <w:r>
        <w:rPr>
          <w:rFonts w:hint="eastAsia" w:ascii="宋体" w:hAnsi="宋体" w:cs="宋体"/>
          <w:color w:val="auto"/>
          <w:szCs w:val="21"/>
          <w:highlight w:val="none"/>
        </w:rPr>
        <w:t>。</w:t>
      </w:r>
    </w:p>
    <w:p w14:paraId="5163067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4.4.3 现场管理关键人员在岗要求</w:t>
      </w:r>
    </w:p>
    <w:p w14:paraId="6AACE11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承包人现场管理关键人员离开施工现场的批准要求：</w:t>
      </w:r>
      <w:r>
        <w:rPr>
          <w:rFonts w:hint="eastAsia" w:ascii="宋体" w:hAnsi="宋体" w:cs="宋体"/>
          <w:color w:val="auto"/>
          <w:szCs w:val="21"/>
          <w:highlight w:val="none"/>
          <w:u w:val="single"/>
        </w:rPr>
        <w:t>报监理人和发包人书面批准</w:t>
      </w:r>
      <w:r>
        <w:rPr>
          <w:rFonts w:hint="eastAsia" w:ascii="宋体" w:hAnsi="宋体" w:cs="宋体"/>
          <w:color w:val="auto"/>
          <w:szCs w:val="21"/>
          <w:highlight w:val="none"/>
        </w:rPr>
        <w:t>。</w:t>
      </w:r>
    </w:p>
    <w:p w14:paraId="57859B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承包人现场管理关键人员擅自离开施工现场的违约责任：</w:t>
      </w:r>
      <w:r>
        <w:rPr>
          <w:rFonts w:hint="eastAsia" w:ascii="宋体" w:hAnsi="宋体" w:cs="宋体"/>
          <w:color w:val="auto"/>
          <w:szCs w:val="21"/>
          <w:highlight w:val="none"/>
          <w:u w:val="single"/>
        </w:rPr>
        <w:t>项目经理无故三次以上不到位的处以违约金 5000 元/人.次；其他主要管理人员无故三次以上不到位的处以违约金 1000 元/人.次，情节严重的发包人有权解除合同</w:t>
      </w:r>
      <w:r>
        <w:rPr>
          <w:rFonts w:hint="eastAsia" w:ascii="宋体" w:hAnsi="宋体" w:cs="宋体"/>
          <w:color w:val="auto"/>
          <w:szCs w:val="21"/>
          <w:highlight w:val="none"/>
        </w:rPr>
        <w:t>。</w:t>
      </w:r>
    </w:p>
    <w:p w14:paraId="3942CD8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 分包</w:t>
      </w:r>
    </w:p>
    <w:p w14:paraId="11485D8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4.5.1 一般约定</w:t>
      </w:r>
    </w:p>
    <w:p w14:paraId="6E4FDE7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禁止分包的工程包括：。</w:t>
      </w:r>
    </w:p>
    <w:p w14:paraId="3EDD8EE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4.5.2 分包的确定</w:t>
      </w:r>
    </w:p>
    <w:p w14:paraId="03B3DB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允许分包的工程包括：</w:t>
      </w:r>
      <w:r>
        <w:rPr>
          <w:rFonts w:hint="eastAsia" w:ascii="宋体" w:hAnsi="宋体" w:cs="宋体"/>
          <w:color w:val="auto"/>
          <w:szCs w:val="21"/>
          <w:highlight w:val="none"/>
          <w:u w:val="single"/>
        </w:rPr>
        <w:t>消防工程允许分包；承包人设计及施工许可资质未达到相应要求，则需将其分包给具有相应资质的单位实施</w:t>
      </w:r>
      <w:r>
        <w:rPr>
          <w:rFonts w:hint="eastAsia" w:ascii="宋体" w:hAnsi="宋体" w:cs="宋体"/>
          <w:color w:val="auto"/>
          <w:szCs w:val="21"/>
          <w:highlight w:val="none"/>
        </w:rPr>
        <w:t>。</w:t>
      </w:r>
    </w:p>
    <w:p w14:paraId="550565C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其他关于分包的约定：承包人设计及施工许可资质未达到相应要求，则需将其分包给具有相应资质的单位实施，分包单位及人员需经发包人及监理书面认可并同意，所需设计、制作、安装、施工等一切费用包含在本次总价中。承包人应将发包人专业分包工程的进度、资料纳入承包人统一管理。承包人应明确专业分包工程的完工时间并提交给各专业分包单位进行工期安排（需经发包人、承包人、分包方等各方共同认可），并按时为分包单位提供工作面。承包人应在分包单位提交工程资料后 10 天内审核、盖章完毕，承包人应做好各分包单位技术上、交叉施工中的管理和配合协调工作。重大材料设备的采购时需经发包人确认，如不满足发包人需求，需另行采购，费用由承包人支付。</w:t>
      </w:r>
    </w:p>
    <w:p w14:paraId="77E1720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承包人对分包人的行为向发包人负责，承包人和分包人就分包工作向发包人承担连带责任。承包人有义务对分包人的资质进行审查。分包单位的资质、财务状况、分包协议均需在发包人备案。</w:t>
      </w:r>
    </w:p>
    <w:p w14:paraId="1C9C53D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4.5.5 分包合同价款支付</w:t>
      </w:r>
    </w:p>
    <w:p w14:paraId="11D8F9D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关于分包合同价款支付的约定：</w:t>
      </w:r>
      <w:r>
        <w:rPr>
          <w:rFonts w:hint="eastAsia" w:ascii="宋体" w:hAnsi="宋体" w:cs="宋体"/>
          <w:color w:val="auto"/>
          <w:szCs w:val="21"/>
          <w:highlight w:val="none"/>
          <w:u w:val="single"/>
        </w:rPr>
        <w:t>各分包单位进度款应纳入总承包单位统一申报。承包人应按分包合同约定，及时向分包人支付合同价款，不得无故延误分包人价款的支付</w:t>
      </w:r>
      <w:r>
        <w:rPr>
          <w:rFonts w:hint="eastAsia" w:ascii="宋体" w:hAnsi="宋体" w:cs="宋体"/>
          <w:color w:val="auto"/>
          <w:szCs w:val="21"/>
          <w:highlight w:val="none"/>
        </w:rPr>
        <w:t>。</w:t>
      </w:r>
    </w:p>
    <w:p w14:paraId="22F1AA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若存在承包人未按约定及时支付分包款项情况，若因此而影响工程实施进度或造成不良影响的，发包人可视情节轻重按每次按 1-3万元对承包人进行违约处理。由此造成的损失和工期拖延由均承包人自行承担。</w:t>
      </w:r>
    </w:p>
    <w:p w14:paraId="746C722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4.6 联合体</w:t>
      </w:r>
    </w:p>
    <w:p w14:paraId="4D06648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4.6.2 联合体各成员的分工、费用收取、发票开具等事项：</w:t>
      </w:r>
      <w:r>
        <w:rPr>
          <w:rFonts w:hint="eastAsia" w:ascii="宋体" w:hAnsi="宋体" w:cs="宋体"/>
          <w:color w:val="auto"/>
          <w:szCs w:val="21"/>
          <w:highlight w:val="none"/>
          <w:u w:val="single"/>
        </w:rPr>
        <w:t xml:space="preserve"> 联合体各成员的分工按联合体协议书。设计费及工程费由发包人支付至联合体牵头人，联合体牵头人按照联合体协议将设计费或工程费支付给联合体成员；发票由联合体牵头人全额开具至发包人</w:t>
      </w:r>
      <w:r>
        <w:rPr>
          <w:rFonts w:hint="eastAsia" w:ascii="宋体" w:hAnsi="宋体" w:cs="宋体"/>
          <w:color w:val="auto"/>
          <w:szCs w:val="21"/>
          <w:highlight w:val="none"/>
        </w:rPr>
        <w:t>。</w:t>
      </w:r>
    </w:p>
    <w:p w14:paraId="761E086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4.7 承包人现场查勘</w:t>
      </w:r>
    </w:p>
    <w:p w14:paraId="67529DB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4.7.1 双方当事人对现场查勘的责任承担的约定：</w:t>
      </w:r>
      <w:r>
        <w:rPr>
          <w:rFonts w:hint="eastAsia" w:ascii="宋体" w:hAnsi="宋体" w:cs="宋体"/>
          <w:color w:val="auto"/>
          <w:szCs w:val="21"/>
          <w:highlight w:val="none"/>
          <w:u w:val="single"/>
        </w:rPr>
        <w:t>承包人应对现场和工程实施条件进行查勘，并充分了解工程所在地的气象条件、交通条件、风俗习惯以及其他与完成合同工作有关的其他资料（如不限于工地位置、情况、道路、储存空间、装卸限制、三通一平、场地现状、周边环境、临时施工道路、当地的公安、市政、市容、交通、治安、环保、排污排水、环卫、城管、绿化、卫生、当地村民及任何其它足以影响合同价的情况），并已充分估计了应承担的责任和风险</w:t>
      </w:r>
      <w:r>
        <w:rPr>
          <w:rFonts w:hint="eastAsia" w:ascii="宋体" w:hAnsi="宋体" w:cs="宋体"/>
          <w:color w:val="auto"/>
          <w:szCs w:val="21"/>
          <w:highlight w:val="none"/>
        </w:rPr>
        <w:t>。</w:t>
      </w:r>
    </w:p>
    <w:p w14:paraId="20C08F5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4.8 不可预见的困难</w:t>
      </w:r>
    </w:p>
    <w:p w14:paraId="783697F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不可预见的困难包括：</w:t>
      </w:r>
      <w:r>
        <w:rPr>
          <w:rFonts w:hint="eastAsia" w:ascii="宋体" w:hAnsi="宋体" w:cs="宋体"/>
          <w:color w:val="auto"/>
          <w:szCs w:val="21"/>
          <w:highlight w:val="none"/>
          <w:u w:val="single"/>
        </w:rPr>
        <w:t xml:space="preserve"> 是指不可预见、不能避免并不能克服的客观情况：</w:t>
      </w:r>
    </w:p>
    <w:p w14:paraId="7675A9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包括以下各种异常事件或情况：1）战争、敌对行动（不论宣战与否）、入侵、外敌行为；2）叛乱、恐怖主义、革命、暴动、军事政变或篡夺政权、内乱；3）承包人及其分包商雇员以外的人员骚乱、喧闹、罢工或停工；4）战争军火、爆炸物质、电离辐射或放射性污染；5）自然灾害；6）传染病爆发、火灾等其他非发包人承包人责任的事件引发的后果；7）政府行为；8）社会异常事件；9）禁运、禁止令或其他政府的限制行动；10）国家法律法规变化。11）发生不可抗力情况时，承包人在有能力采取有效措施的情况不采取有效措施而造成的损失由承包人承担。</w:t>
      </w:r>
    </w:p>
    <w:p w14:paraId="16494EF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5.2 承包人文件审查</w:t>
      </w:r>
    </w:p>
    <w:p w14:paraId="64763F5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5.2.1 承包人文件审查的期限：</w:t>
      </w:r>
      <w:r>
        <w:rPr>
          <w:rFonts w:hint="eastAsia" w:ascii="宋体" w:hAnsi="宋体" w:cs="宋体"/>
          <w:color w:val="auto"/>
          <w:szCs w:val="21"/>
          <w:highlight w:val="none"/>
          <w:u w:val="single"/>
        </w:rPr>
        <w:t>自收到承包人文件以及承包人的通知之日起，发包人对承包人文件审查期不超过7天。承包人的设计文件对于合同约定有偏离的，应在通知中说明。承包人需要修改已提交的承包人文件的，应立即通知发包人，并向发包人提交修改后的承包人文件，审查期重新起算。</w:t>
      </w:r>
    </w:p>
    <w:p w14:paraId="1E582E4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因承包人原因，未能按照合同约定的设计审查阶段及其审查会议的时间安排提交相关阶段的设计文件、或提交的相关设计文件不符合相关审核阶段的设计深度要求时，须在 3 日内提交修改或补充资料，造成设计审查会议延误的，由承包人自费采取措施赶上；造成关键路径延误，或给发包人造成损失的，由承包人承担。</w:t>
      </w:r>
    </w:p>
    <w:p w14:paraId="093876D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对发包人（或发包人委托的第三方审查单位）提出的任何建议、预审应给予响应，并按提出的修改意见进行调整，直至发包人满意确认为止。发包人（或发包人委托的第三方审查单位）的建议、预审和确认，并不能减轻和免除承包人的合同责任和义务。过程的设计修改费用由承包人自行承担。</w:t>
      </w:r>
    </w:p>
    <w:p w14:paraId="217FCA5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应根据合同的约定，向发包人提交相关设计审查阶段的设计文件，设计文件应符合国家有关部门、行业工程建设标准规范对相关设计审查阶段的设计文件、图纸和资料的深度规定。承包人有义务参加设计审查会议并向审查者介绍、解答、解释其设计文件，并提供审查过程中需提供的补充资料。</w:t>
      </w:r>
    </w:p>
    <w:p w14:paraId="120E034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u w:val="single"/>
        </w:rPr>
        <w:t>承包人所设计的施工图必须经发包人确认后方可实施，若在施工图确认后，因使用单位或发包人要求增加超过招标文件约定的工程内容（含设备等） 的相关费用由发包人承担。但是无论施工图确认与否，设计文件存在遗漏、错误、缺陷和不足的，造成修复、弥补、纠正、完善或增加工程内容的，相关费用全部由承包人承担，造成设计进度延误时，承包人应自行采取赶工措施以确保进度。</w:t>
      </w:r>
    </w:p>
    <w:p w14:paraId="1EF2A8F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5.2.2 审查会议的审查形式和时间安排为：</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，审查会议的相关费用由</w:t>
      </w:r>
      <w:r>
        <w:rPr>
          <w:rFonts w:hint="eastAsia" w:ascii="宋体" w:hAnsi="宋体" w:cs="宋体"/>
          <w:color w:val="auto"/>
          <w:szCs w:val="21"/>
          <w:highlight w:val="none"/>
          <w:u w:val="single"/>
        </w:rPr>
        <w:t>承包人</w:t>
      </w:r>
      <w:r>
        <w:rPr>
          <w:rFonts w:hint="eastAsia" w:ascii="宋体" w:hAnsi="宋体" w:cs="宋体"/>
          <w:color w:val="auto"/>
          <w:szCs w:val="21"/>
          <w:highlight w:val="none"/>
        </w:rPr>
        <w:t>承担。</w:t>
      </w:r>
    </w:p>
    <w:p w14:paraId="02C6C5D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5.2.3 关于第三方审查单位的约定：</w:t>
      </w:r>
      <w:r>
        <w:rPr>
          <w:rFonts w:hint="eastAsia" w:ascii="宋体" w:hAnsi="宋体" w:cs="宋体"/>
          <w:color w:val="auto"/>
          <w:szCs w:val="21"/>
          <w:highlight w:val="none"/>
          <w:u w:val="single"/>
        </w:rPr>
        <w:t xml:space="preserve"> 按工程所在地建设行政主管部门的规定确定第三方审查单位，工程范围内的审查费用由承包人承担</w:t>
      </w:r>
      <w:r>
        <w:rPr>
          <w:rFonts w:hint="eastAsia" w:ascii="宋体" w:hAnsi="宋体" w:cs="宋体"/>
          <w:color w:val="auto"/>
          <w:szCs w:val="21"/>
          <w:highlight w:val="none"/>
        </w:rPr>
        <w:t>。</w:t>
      </w:r>
    </w:p>
    <w:p w14:paraId="0A4DA9C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5.3 培训</w:t>
      </w:r>
    </w:p>
    <w:p w14:paraId="6A9B26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培训的时长为</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，承包人应为培训提供的人员、设施和其它必要条件为</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3389846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5.4 竣工文件</w:t>
      </w:r>
    </w:p>
    <w:p w14:paraId="36D06EA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5.4.1 竣工文件的形式、提供的份数、技术标准以及其它相关要求：</w:t>
      </w:r>
      <w:r>
        <w:rPr>
          <w:rFonts w:hint="eastAsia" w:ascii="宋体" w:hAnsi="宋体" w:cs="宋体"/>
          <w:color w:val="auto"/>
          <w:szCs w:val="21"/>
          <w:highlight w:val="none"/>
          <w:u w:val="single"/>
        </w:rPr>
        <w:t>竣工验收合格后 28 天内，承包人按《建筑工程资料管理规程》JGJ／T185-2009、《建筑工程资料归档规范》GB/T 50328-2014、杭州市城建档案馆、相关部门及发包人资料归档要求（包含采购人向杭州市城建档案馆移交的所有资料，包括但不仅限于电子存档等），费用由承包人承担</w:t>
      </w:r>
      <w:r>
        <w:rPr>
          <w:rFonts w:hint="eastAsia" w:ascii="宋体" w:hAnsi="宋体" w:cs="宋体"/>
          <w:color w:val="auto"/>
          <w:szCs w:val="21"/>
          <w:highlight w:val="none"/>
        </w:rPr>
        <w:t>。</w:t>
      </w:r>
    </w:p>
    <w:p w14:paraId="62491E4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5.4.3 关于竣工文件的其他约定：</w:t>
      </w:r>
      <w:r>
        <w:rPr>
          <w:rFonts w:hint="eastAsia" w:ascii="宋体" w:hAnsi="宋体" w:cs="宋体"/>
          <w:color w:val="auto"/>
          <w:szCs w:val="21"/>
          <w:highlight w:val="none"/>
          <w:u w:val="single"/>
        </w:rPr>
        <w:t>（1）承包人应在确认工程竣工，拟竣工验收工程符合工程各项竣工要求以及施工期间国家、当地政府各种强制性规定的基础上，向发包人签发《预约竣工验收的通知书》，说明拟交工项目的情况，商定有关竣工验收事项；并向发包人提交《竣工工程拟验收报告》和完整的符合规范要求的工程竣工资料原件（包括但不限于：工程施工资料，各专项验收报批资料，工程质量保证资料，工程检验评定资料，竣工图，规定的其他应交资料、各种管线图纸、附属设施以及设备的使用说明书、质量保证书、维修卡等），约定竣工验收日期。若承包人递交的竣工验收资料不完整或不符合合同约定，发包人有权拒绝接受《竣工工程拟验收报告》，要求承包人补齐资料后方组织进行竣工验收。</w:t>
      </w:r>
    </w:p>
    <w:p w14:paraId="150DC2C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2）发包人收到《竣工工程拟验收报告》和完整的符合规范要求的工程竣工资料原件后的三十天内，应组织有关单位并通知承包人在施工地点，进行竣工验收。若发包人在前述期限内没有组织验收的，承包人有义务再次书面通知、确定一个合理日期进行验收，发包人如仍没有组织验收的，视为《竣工工程拟验收报告》已经被认可。竣工验收应依据但不仅限于下列文件:a 批准的设计文件,施工图纸及说明书；b 双方签订的合同；c 设计变更通知书；d 设备技术说明书；e施工验收规范及质量验收标准；f 外资工程应依据我国有关规定提交竣工验收文件。</w:t>
      </w:r>
    </w:p>
    <w:p w14:paraId="4BD523F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3）发包人组织设计、施工等单位按照竣工验收程序，对工程进行核查后，应做出验收结论，并形成《工程竣工验收报告》；参与竣工验收的各方负责人应在竣工验收报告上签字并盖单位公章。竣工验收合格之日为实际竣工日期。</w:t>
      </w:r>
    </w:p>
    <w:p w14:paraId="776FC64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如果参与竣工验收的各方负责人在竣工验收报告上确认拟竣工工程严重不合格的，发包人有权在《工程竣工验收报告》签署后三十天内提出对工程质量进行鉴定，鉴定费用由承包人负担。发包人有权根据鉴定结论书面向承包人提出工程返工意见以及索赔要求，并确定第二次竣工验收日期，工期延误责任由承包人负担。返工结束并经验收合格之日为实际竣工日期。</w:t>
      </w:r>
    </w:p>
    <w:p w14:paraId="64B532D2">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对于参与竣工验收的各方负责人在竣工验收报告上确认拟竣工工程基本合格、某些次要部分不合格的，发包人有权在《工程竣工验收报告》签署后三十天内书面向承包人提出工程改进、返工意见以及索赔要求，工期延误责任由承包人负担。承包人按照要求在规定日期内修改，并承担由于自身原因造成修改的费用。承包人整改结束并经确认之日为实际竣工日期。</w:t>
      </w:r>
    </w:p>
    <w:p w14:paraId="1D1CFCF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发包人在《工程竣工验收报告》签署后三十天内没有提出鉴定意见、修改意见的，视为竣工工程已经验收通过。</w:t>
      </w:r>
    </w:p>
    <w:p w14:paraId="41BD463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5）自本工程竣工验收合格后十五日内，承包人应配合发包人在当地建设行政主管部门办理竣工验收备案，并提供应由承包人出具的相关资料。如因承包人原因造成发包人未能及时完成竣工验收备案，承包人应向发包人赔偿给发包人造成的直接、间接经济损失（包括由此给发包人造成的房屋交付、办证延迟导致的违约赔偿）。</w:t>
      </w:r>
    </w:p>
    <w:p w14:paraId="6FE8E14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（6）在工程竣工验收通过后一个月内,承包人向发包人免费提交竣工图 8 套及竣工资料一式 8 份,并按城建档案馆及相关部门资料归档要求整理。如因资料不符合城建档案馆及其他有关部门的要求，而产生的资料整理费用，由承包人承担。</w:t>
      </w:r>
    </w:p>
    <w:p w14:paraId="6681ACE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（7）合格工程的移交</w:t>
      </w:r>
    </w:p>
    <w:p w14:paraId="74B0669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通过竣工验收程序、发包人确认竣工工程验收合格后，承包人应在发包人通知的期限内（该期限不得迟于验收合格日后十五天）向发包人办理工程移交手续；承包人不得以任何理由拒绝在发包人通知的期限内完整地向发包人移交工程，否则，发包人有权拒绝办理竣工结算、支付剩余的工程价款。</w:t>
      </w:r>
    </w:p>
    <w:p w14:paraId="725DB7D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承包人应当向发包人实施工程移交的内容包括：</w:t>
      </w:r>
    </w:p>
    <w:p w14:paraId="4F8F2BD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①承包人实施承包的全部工程；</w:t>
      </w:r>
    </w:p>
    <w:p w14:paraId="3306243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②工程的全部附属设施、设备；</w:t>
      </w:r>
    </w:p>
    <w:p w14:paraId="5C1DEEF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③工程竣工资料原件（包括但不限于：工程施工资料，工程质量保证资料，工程检验评定资料，竣工图，规定的其他应交资料、各种管线图纸、附属设施以及设备的使用说明书、质量保证书、维修卡等）；</w:t>
      </w:r>
    </w:p>
    <w:p w14:paraId="4A49FC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④其他属于承包人移交义务的工程、设施、设备、文件资料。</w:t>
      </w:r>
    </w:p>
    <w:p w14:paraId="13B5359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5.5 操作和维修手册</w:t>
      </w:r>
    </w:p>
    <w:p w14:paraId="41C178E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5.5.3 对最终操作和维修手册的约定：</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357EA424">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第6条 材料、工程设备</w:t>
      </w:r>
    </w:p>
    <w:p w14:paraId="43F926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6.1 实施方法</w:t>
      </w:r>
    </w:p>
    <w:p w14:paraId="752090A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双方当事人约定的实施方法、设备、设施和材料：</w:t>
      </w:r>
      <w:r>
        <w:rPr>
          <w:rFonts w:hint="eastAsia" w:ascii="宋体" w:hAnsi="宋体" w:cs="宋体"/>
          <w:color w:val="auto"/>
          <w:szCs w:val="21"/>
          <w:highlight w:val="none"/>
          <w:u w:val="single"/>
        </w:rPr>
        <w:t xml:space="preserve">按通用条款执行  </w:t>
      </w:r>
      <w:r>
        <w:rPr>
          <w:rFonts w:hint="eastAsia" w:ascii="宋体" w:hAnsi="宋体" w:cs="宋体"/>
          <w:color w:val="auto"/>
          <w:szCs w:val="21"/>
          <w:highlight w:val="none"/>
        </w:rPr>
        <w:t>。</w:t>
      </w:r>
    </w:p>
    <w:p w14:paraId="11FF7F3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 材料和工程设备</w:t>
      </w:r>
    </w:p>
    <w:p w14:paraId="7F8CA90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6.2.1 发包人提供的材料和工程设备</w:t>
      </w:r>
    </w:p>
    <w:p w14:paraId="4D23D4E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发包人提供的材料和工程设备验收后，由</w:t>
      </w:r>
      <w:r>
        <w:rPr>
          <w:rFonts w:hint="eastAsia" w:ascii="宋体" w:hAnsi="宋体" w:cs="宋体"/>
          <w:color w:val="auto"/>
          <w:szCs w:val="21"/>
          <w:highlight w:val="none"/>
          <w:u w:val="single"/>
        </w:rPr>
        <w:t>承包人</w:t>
      </w:r>
      <w:r>
        <w:rPr>
          <w:rFonts w:hint="eastAsia" w:ascii="宋体" w:hAnsi="宋体" w:cs="宋体"/>
          <w:color w:val="auto"/>
          <w:szCs w:val="21"/>
          <w:highlight w:val="none"/>
        </w:rPr>
        <w:t>负责接收、运输和保管。</w:t>
      </w:r>
    </w:p>
    <w:p w14:paraId="45F7583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6.2.2 承包人提供的材料和工程设备</w:t>
      </w:r>
    </w:p>
    <w:p w14:paraId="29024F7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材料和工程设备的类别、估算数量：</w:t>
      </w:r>
      <w:r>
        <w:rPr>
          <w:rFonts w:hint="eastAsia" w:ascii="宋体" w:hAnsi="宋体" w:cs="宋体"/>
          <w:color w:val="auto"/>
          <w:szCs w:val="21"/>
          <w:highlight w:val="none"/>
          <w:u w:val="single"/>
        </w:rPr>
        <w:t>合同有约定品牌或生产厂家或系列、规格的材料（设备）等，承包人须按合同约定进行采购和供货。施工中如承包人遇材料（设备）因实际情况需要变更的，以不降低工程品质为前提，经发包人、监理人同意，材料变更原则上应在招标文件推荐的品牌、规格范围内，价格不予调整</w:t>
      </w:r>
      <w:r>
        <w:rPr>
          <w:rFonts w:hint="eastAsia" w:ascii="宋体" w:hAnsi="宋体" w:cs="宋体"/>
          <w:color w:val="auto"/>
          <w:szCs w:val="21"/>
          <w:highlight w:val="none"/>
        </w:rPr>
        <w:t>。</w:t>
      </w:r>
    </w:p>
    <w:p w14:paraId="73D3A31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竣工后试验的生产性材料的类别或（和）清单：</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8C37D6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6.2.3 材料和工程设备的保管</w:t>
      </w:r>
    </w:p>
    <w:p w14:paraId="675DD4C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发包人供应的材料和工程设备的保管费用由</w:t>
      </w:r>
      <w:r>
        <w:rPr>
          <w:rFonts w:hint="eastAsia" w:ascii="宋体" w:hAnsi="宋体" w:cs="宋体"/>
          <w:color w:val="auto"/>
          <w:szCs w:val="21"/>
          <w:highlight w:val="none"/>
          <w:u w:val="single"/>
        </w:rPr>
        <w:t>承包人</w:t>
      </w:r>
      <w:r>
        <w:rPr>
          <w:rFonts w:hint="eastAsia" w:ascii="宋体" w:hAnsi="宋体" w:cs="宋体"/>
          <w:color w:val="auto"/>
          <w:szCs w:val="21"/>
          <w:highlight w:val="none"/>
        </w:rPr>
        <w:t>承担。</w:t>
      </w:r>
    </w:p>
    <w:p w14:paraId="3E4A34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承包人提交保管、维护方案的时间：</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EA9C5E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发包人提供的库房、堆场、设施和设备：</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2BBC93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6.3 样品</w:t>
      </w:r>
    </w:p>
    <w:p w14:paraId="2D97ED8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6.3.1 样品的报送与封存</w:t>
      </w:r>
    </w:p>
    <w:p w14:paraId="3BDAF88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需要承包人报送样品的材料或工程设备，样品种类、名称、规格、数量：</w:t>
      </w:r>
      <w:r>
        <w:rPr>
          <w:rFonts w:hint="eastAsia" w:ascii="宋体" w:hAnsi="宋体" w:cs="宋体"/>
          <w:color w:val="auto"/>
          <w:szCs w:val="21"/>
          <w:highlight w:val="none"/>
          <w:u w:val="single"/>
        </w:rPr>
        <w:t>主要建筑、安装材料（设备）须按双方约定的品牌、系列、规格并经工程师和发包人书面同意封样后方可订货。否则引起的损失由承包人承担。未明确品牌、系列的材料，发包人对承包人提供的样品不满意或价格不合理（指市场的实际价格和预算审定价相差较大），发包人有权要求承包人调换，直至发包人满意为止，引起的损失由承包人承担且不应以此理由要求顺延工期</w:t>
      </w:r>
      <w:r>
        <w:rPr>
          <w:rFonts w:hint="eastAsia" w:ascii="宋体" w:hAnsi="宋体" w:cs="宋体"/>
          <w:color w:val="auto"/>
          <w:szCs w:val="21"/>
          <w:highlight w:val="none"/>
        </w:rPr>
        <w:t>。</w:t>
      </w:r>
    </w:p>
    <w:p w14:paraId="3D2D279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本项目要求施工样板先行，材料及施工工艺、样板经发包人、设计人、监理单位评审认可后方可开始大面积施工</w:t>
      </w:r>
    </w:p>
    <w:p w14:paraId="4EA9A0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 质量检查</w:t>
      </w:r>
    </w:p>
    <w:p w14:paraId="26B5D6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6.4.1 工程质量要求</w:t>
      </w:r>
    </w:p>
    <w:p w14:paraId="2B414C6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工程质量的特殊标准或要求：</w:t>
      </w:r>
      <w:r>
        <w:rPr>
          <w:rFonts w:hint="eastAsia" w:ascii="宋体" w:hAnsi="宋体" w:cs="宋体"/>
          <w:color w:val="auto"/>
          <w:szCs w:val="21"/>
          <w:highlight w:val="none"/>
          <w:u w:val="single"/>
        </w:rPr>
        <w:t>工程设计质量标准：符合现行国家规范，达到《建筑工程设计文件编制深度规定（2016 版）》</w:t>
      </w:r>
      <w:r>
        <w:rPr>
          <w:rFonts w:hint="eastAsia" w:ascii="宋体" w:hAnsi="宋体" w:cs="宋体"/>
          <w:color w:val="auto"/>
          <w:szCs w:val="21"/>
          <w:highlight w:val="none"/>
        </w:rPr>
        <w:t>。</w:t>
      </w:r>
    </w:p>
    <w:p w14:paraId="45CC407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工程施工质量标准：符合《建筑工程施工质量验收统一标准》（GB-50300-2013）“合格”标准。各分部、分项工程一次性达到国家、省市及地方相关专业验收合格标准，整体工程一次性验收合格标准。</w:t>
      </w:r>
    </w:p>
    <w:p w14:paraId="13DF1C8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6.4.2 质量检查</w:t>
      </w:r>
    </w:p>
    <w:p w14:paraId="3B419F9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除通用合同条件已列明的质量检查的地点外，发包人有权进行质量检查的其他地点：</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C46CDF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6.4.3 隐蔽工程检查</w:t>
      </w:r>
    </w:p>
    <w:p w14:paraId="5B2D175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关于隐蔽工程和中间验收的特别约定：</w:t>
      </w:r>
      <w:r>
        <w:rPr>
          <w:rFonts w:hint="eastAsia" w:ascii="宋体" w:hAnsi="宋体" w:cs="宋体"/>
          <w:color w:val="auto"/>
          <w:szCs w:val="21"/>
          <w:highlight w:val="none"/>
          <w:u w:val="single"/>
        </w:rPr>
        <w:t>工程具备覆盖、掩盖条件或达到协议条款约定的中间验收部位，承包人自检合格后在隐蔽和中间验收 48 小时前通知监理人、发包人代表参加。通知包括承包人自检记录、隐蔽和中间验收的内容、验收时间和地点。承包人准备验收记录。验收合格，发包人代表在验收记录上签字后，方可进行隐蔽和继续施工。验收不合格，承包人在发包人限定时间内修改后重新验收。施工期间，承包方应严格实行隐蔽工程验收制度，如承包人有未经监理方自行验收隐蔽工程的或私自将工程隐蔽部位覆盖的，监理方和发包方有权要求复验，所有费用由承包方承担，发包方有权视情节轻重对承包方处以 2000元/次的违约金。复验期间不顺延施工工期。施工期间，承包方应严格遵守城发集团相关工程管理制度，若有费用产生由承包方承担，发包人有权视情节轻重对承包方按制度处以违约金。</w:t>
      </w:r>
    </w:p>
    <w:p w14:paraId="6026B72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6.5 由承包人试验和检验</w:t>
      </w:r>
    </w:p>
    <w:p w14:paraId="63068A0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6.5.1 试验设备与试验人员</w:t>
      </w:r>
    </w:p>
    <w:p w14:paraId="42ECB46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试验的内容、时间和地点：</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47E35C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试验所需要的试验设备、取样装置、试验场所和试验条件：</w:t>
      </w:r>
      <w:r>
        <w:rPr>
          <w:rFonts w:hint="eastAsia" w:ascii="宋体" w:hAnsi="宋体" w:cs="宋体"/>
          <w:color w:val="auto"/>
          <w:szCs w:val="21"/>
          <w:highlight w:val="none"/>
          <w:u w:val="single"/>
        </w:rPr>
        <w:t xml:space="preserve">  按通用条款执行  </w:t>
      </w:r>
      <w:r>
        <w:rPr>
          <w:rFonts w:hint="eastAsia" w:ascii="宋体" w:hAnsi="宋体" w:cs="宋体"/>
          <w:color w:val="auto"/>
          <w:szCs w:val="21"/>
          <w:highlight w:val="none"/>
        </w:rPr>
        <w:t>。</w:t>
      </w:r>
    </w:p>
    <w:p w14:paraId="2E3574C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试验和检验费用的计价原则：</w:t>
      </w:r>
      <w:r>
        <w:rPr>
          <w:rFonts w:hint="eastAsia" w:ascii="宋体" w:hAnsi="宋体" w:cs="宋体"/>
          <w:color w:val="auto"/>
          <w:szCs w:val="21"/>
          <w:highlight w:val="none"/>
          <w:u w:val="single"/>
        </w:rPr>
        <w:t>本工程材料见证取样检测费由承包人承担</w:t>
      </w:r>
      <w:r>
        <w:rPr>
          <w:rFonts w:hint="eastAsia" w:ascii="宋体" w:hAnsi="宋体" w:cs="宋体"/>
          <w:color w:val="auto"/>
          <w:szCs w:val="21"/>
          <w:highlight w:val="none"/>
        </w:rPr>
        <w:t>。</w:t>
      </w:r>
    </w:p>
    <w:p w14:paraId="740CD25A">
      <w:pPr>
        <w:pStyle w:val="972"/>
        <w:ind w:firstLine="422" w:firstLineChars="200"/>
        <w:rPr>
          <w:rFonts w:cs="宋体"/>
          <w:color w:val="auto"/>
          <w:sz w:val="21"/>
          <w:szCs w:val="21"/>
          <w:highlight w:val="none"/>
        </w:rPr>
      </w:pPr>
      <w:r>
        <w:rPr>
          <w:rFonts w:hint="eastAsia" w:cs="宋体"/>
          <w:color w:val="auto"/>
          <w:sz w:val="21"/>
          <w:szCs w:val="21"/>
          <w:highlight w:val="none"/>
        </w:rPr>
        <w:t>第7条 施工</w:t>
      </w:r>
    </w:p>
    <w:p w14:paraId="5A28F4F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 交通运输</w:t>
      </w:r>
    </w:p>
    <w:p w14:paraId="20A11CC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7.1.1 出入现场的权利</w:t>
      </w:r>
    </w:p>
    <w:p w14:paraId="27C8FD0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关于出入现场的权利的约定：</w:t>
      </w:r>
      <w:r>
        <w:rPr>
          <w:rFonts w:hint="eastAsia" w:ascii="宋体" w:hAnsi="宋体" w:cs="宋体"/>
          <w:color w:val="auto"/>
          <w:szCs w:val="21"/>
          <w:highlight w:val="none"/>
          <w:u w:val="single"/>
        </w:rPr>
        <w:t xml:space="preserve">施工便道及进场通道、公共道路道口开设、施工场地平整等由施工单位负责，费用由承包方承担。场内道路设置及场外施工便道由承包商自行考虑，费用由承包方承担。但承包人应遵守当地交通部门限制通行的有关规定。发包人及发包人认可的单位及人员具有随时出入施工现场的权利 </w:t>
      </w:r>
      <w:r>
        <w:rPr>
          <w:rFonts w:hint="eastAsia" w:ascii="宋体" w:hAnsi="宋体" w:cs="宋体"/>
          <w:color w:val="auto"/>
          <w:szCs w:val="21"/>
          <w:highlight w:val="none"/>
        </w:rPr>
        <w:t>。</w:t>
      </w:r>
    </w:p>
    <w:p w14:paraId="0EFC43A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7.1.2 场外交通</w:t>
      </w:r>
    </w:p>
    <w:p w14:paraId="42D1546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关于场外交通的特别约定：</w:t>
      </w:r>
      <w:r>
        <w:rPr>
          <w:rFonts w:hint="eastAsia" w:ascii="宋体" w:hAnsi="宋体" w:cs="宋体"/>
          <w:color w:val="auto"/>
          <w:szCs w:val="21"/>
          <w:highlight w:val="none"/>
          <w:u w:val="single"/>
        </w:rPr>
        <w:t>承包人自行获取场外交通设施的技术参数和具体条件，场外交通设施无法满足工程施工需要的，由承包人负责承担由此产生的相关费用。承包人应遵守有关交通法规，严格按照道路和桥梁的限制荷载行驶，执行有关道路限速、限行、禁止超载的 规定，并配合交通管理部门的监督和检查。承包人车辆外出行驶所需的场外公共道路的通行费、养路费和税款等由承包人承担。</w:t>
      </w:r>
    </w:p>
    <w:p w14:paraId="7161EF7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本工程在施工中必须保证行人、车辆的通行安全，出入口设置交通维管员，承包人进场后应在各路口搭设有足够强度的安全防护通道，负责工程影响区域内的交通疏导标示标牌等的制作、安装及日常维护，设置必要的安全防护网，施工现场附近的人行道和机动车道的设置必须满足施工期间交通组织的要求，保证交通畅通，并承担施工期间管理范围内道路的市政设施及便道的日常养护和维修工作。若由于承包人管理范围内的市政设施及施工便道的维护不力造成后果的，均由承包人负责。</w:t>
      </w:r>
    </w:p>
    <w:p w14:paraId="06ADE31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7.1.3 场内交通</w:t>
      </w:r>
    </w:p>
    <w:p w14:paraId="25193B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关于场内交通的特别约定：</w:t>
      </w:r>
      <w:r>
        <w:rPr>
          <w:rFonts w:hint="eastAsia" w:ascii="宋体" w:hAnsi="宋体" w:cs="宋体"/>
          <w:color w:val="auto"/>
          <w:szCs w:val="21"/>
          <w:highlight w:val="none"/>
          <w:u w:val="single"/>
        </w:rPr>
        <w:t>包人应负责修建、维修、养护和管理施工所需的临时道路和交通设施，包括维修、养护和管理发包人提供的道路和交通设施，并承担相应费用。承包人修建的临时道路和交通设施应免费提供发包人和工程师为实现合同目的使用</w:t>
      </w:r>
      <w:r>
        <w:rPr>
          <w:rFonts w:hint="eastAsia" w:ascii="宋体" w:hAnsi="宋体" w:cs="宋体"/>
          <w:color w:val="auto"/>
          <w:szCs w:val="21"/>
          <w:highlight w:val="none"/>
        </w:rPr>
        <w:t>。</w:t>
      </w:r>
    </w:p>
    <w:p w14:paraId="3DEEDE5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关于场内交通与场外交通边界的约定：</w:t>
      </w:r>
      <w:r>
        <w:rPr>
          <w:rFonts w:hint="eastAsia" w:ascii="宋体" w:hAnsi="宋体" w:cs="宋体"/>
          <w:color w:val="auto"/>
          <w:szCs w:val="21"/>
          <w:highlight w:val="none"/>
          <w:u w:val="single"/>
        </w:rPr>
        <w:t>以发包人要求为准</w:t>
      </w:r>
      <w:r>
        <w:rPr>
          <w:rFonts w:hint="eastAsia" w:ascii="宋体" w:hAnsi="宋体" w:cs="宋体"/>
          <w:color w:val="auto"/>
          <w:szCs w:val="21"/>
          <w:highlight w:val="none"/>
        </w:rPr>
        <w:t>。</w:t>
      </w:r>
    </w:p>
    <w:p w14:paraId="2D5E990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7.1.4 超大件和超重件的运输</w:t>
      </w:r>
    </w:p>
    <w:p w14:paraId="0DD5499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运输超大件或超重件所需的道路和桥梁临时加固改造费用和其他有关费用由</w:t>
      </w:r>
      <w:r>
        <w:rPr>
          <w:rFonts w:hint="eastAsia" w:ascii="宋体" w:hAnsi="宋体" w:cs="宋体"/>
          <w:color w:val="auto"/>
          <w:szCs w:val="21"/>
          <w:highlight w:val="none"/>
          <w:u w:val="single"/>
        </w:rPr>
        <w:t xml:space="preserve">承包人 </w:t>
      </w:r>
      <w:r>
        <w:rPr>
          <w:rFonts w:hint="eastAsia" w:ascii="宋体" w:hAnsi="宋体" w:cs="宋体"/>
          <w:color w:val="auto"/>
          <w:szCs w:val="21"/>
          <w:highlight w:val="none"/>
        </w:rPr>
        <w:t>承担。</w:t>
      </w:r>
    </w:p>
    <w:p w14:paraId="345B96C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7.2 施工设备和临时设施</w:t>
      </w:r>
    </w:p>
    <w:p w14:paraId="180EBA7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7.2.1 承包人提供的施工设备和临时设施</w:t>
      </w:r>
    </w:p>
    <w:p w14:paraId="4DBC514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临时设施的费用和临时占地手续和费用承担的特别约定：</w:t>
      </w:r>
      <w:r>
        <w:rPr>
          <w:rFonts w:hint="eastAsia" w:ascii="宋体" w:hAnsi="宋体" w:cs="宋体"/>
          <w:color w:val="auto"/>
          <w:szCs w:val="21"/>
          <w:highlight w:val="none"/>
          <w:u w:val="single"/>
        </w:rPr>
        <w:t>（1）承包人修建临时设施需要临时占地及红线外的借地由承包人自行解决（含租地），由承包人办理申请手续并承担相应手续费用及场地使用费</w:t>
      </w:r>
      <w:r>
        <w:rPr>
          <w:rFonts w:hint="eastAsia" w:ascii="宋体" w:hAnsi="宋体" w:cs="宋体"/>
          <w:color w:val="auto"/>
          <w:szCs w:val="21"/>
          <w:highlight w:val="none"/>
        </w:rPr>
        <w:t>。</w:t>
      </w:r>
    </w:p>
    <w:p w14:paraId="3BD3EF91">
      <w:pPr>
        <w:numPr>
          <w:ilvl w:val="0"/>
          <w:numId w:val="3"/>
        </w:numPr>
        <w:autoSpaceDE w:val="0"/>
        <w:autoSpaceDN w:val="0"/>
        <w:spacing w:line="360" w:lineRule="auto"/>
        <w:ind w:firstLine="600"/>
        <w:jc w:val="left"/>
        <w:rPr>
          <w:rFonts w:ascii="宋体" w:hAnsi="宋体" w:cs="宋体"/>
          <w:color w:val="auto"/>
          <w:szCs w:val="21"/>
          <w:highlight w:val="none"/>
          <w:u w:val="single"/>
        </w:rPr>
      </w:pPr>
      <w:r>
        <w:rPr>
          <w:rFonts w:hint="eastAsia" w:ascii="宋体" w:hAnsi="宋体" w:cs="宋体"/>
          <w:color w:val="auto"/>
          <w:szCs w:val="21"/>
          <w:highlight w:val="none"/>
          <w:u w:val="single"/>
        </w:rPr>
        <w:t>承包人应事先到工地踏勘以充分了解工地位置、情况、道路、储存空间、装卸限制、三通一平、场地现状（含地下障碍物）、周边环境、临时施工道路、当地的公安、市政、市容、交通、治安、环保、排污排水、环卫、城管、绿化、卫生、当地村民及任何其它足以影响承包价的情况，费用均由承包人承担。任何因忽视或误解工地情况而导致的索赔申请将不获批准。</w:t>
      </w:r>
    </w:p>
    <w:p w14:paraId="4A265893">
      <w:pPr>
        <w:numPr>
          <w:ilvl w:val="0"/>
          <w:numId w:val="3"/>
        </w:numPr>
        <w:autoSpaceDE w:val="0"/>
        <w:autoSpaceDN w:val="0"/>
        <w:spacing w:line="360" w:lineRule="auto"/>
        <w:ind w:firstLine="600"/>
        <w:jc w:val="left"/>
        <w:rPr>
          <w:rFonts w:ascii="宋体" w:hAnsi="宋体" w:cs="宋体"/>
          <w:color w:val="auto"/>
          <w:szCs w:val="21"/>
          <w:highlight w:val="none"/>
          <w:u w:val="single"/>
        </w:rPr>
      </w:pPr>
      <w:r>
        <w:rPr>
          <w:rFonts w:hint="eastAsia" w:ascii="宋体" w:hAnsi="宋体" w:cs="宋体"/>
          <w:color w:val="auto"/>
          <w:szCs w:val="21"/>
          <w:highlight w:val="none"/>
          <w:u w:val="single"/>
        </w:rPr>
        <w:t>本工程承包人搭设的所有临时设施及临时道路，在工程竣工验收合格后，必须在发包人规定的期限内自行拆除清运完毕，否则发包人有权委托他人处理，但承包人应承担相应的费用。</w:t>
      </w:r>
    </w:p>
    <w:p w14:paraId="66B6D04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7.2.2 发包人提供的施工设备和临时设施</w:t>
      </w:r>
    </w:p>
    <w:p w14:paraId="555B271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发包人提供的施工设备或临时设施范围：</w:t>
      </w:r>
      <w:r>
        <w:rPr>
          <w:rFonts w:hint="eastAsia" w:ascii="宋体" w:hAnsi="宋体" w:cs="宋体"/>
          <w:color w:val="auto"/>
          <w:szCs w:val="21"/>
          <w:highlight w:val="none"/>
          <w:u w:val="single"/>
        </w:rPr>
        <w:t>无</w:t>
      </w:r>
      <w:r>
        <w:rPr>
          <w:rFonts w:hint="eastAsia" w:ascii="宋体" w:hAnsi="宋体" w:cs="宋体"/>
          <w:color w:val="auto"/>
          <w:szCs w:val="21"/>
          <w:highlight w:val="none"/>
        </w:rPr>
        <w:t>。</w:t>
      </w:r>
    </w:p>
    <w:p w14:paraId="201A139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7.3 现场合作</w:t>
      </w:r>
    </w:p>
    <w:p w14:paraId="69926E0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关于现场合作费用的特别约定：</w:t>
      </w:r>
      <w:r>
        <w:rPr>
          <w:rFonts w:hint="eastAsia" w:ascii="宋体" w:hAnsi="宋体" w:cs="宋体"/>
          <w:color w:val="auto"/>
          <w:szCs w:val="21"/>
          <w:highlight w:val="none"/>
          <w:u w:val="single"/>
        </w:rPr>
        <w:t>由承包人负责办理其他与设计、施工及施工验收有关的手续，相关费用已包含在合同价款中</w:t>
      </w:r>
      <w:r>
        <w:rPr>
          <w:rFonts w:hint="eastAsia" w:ascii="宋体" w:hAnsi="宋体" w:cs="宋体"/>
          <w:color w:val="auto"/>
          <w:szCs w:val="21"/>
          <w:highlight w:val="none"/>
        </w:rPr>
        <w:t>。</w:t>
      </w:r>
    </w:p>
    <w:p w14:paraId="3F77E5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7.4 测量放线</w:t>
      </w:r>
    </w:p>
    <w:p w14:paraId="3D10D20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7.4.1 关于测量放线的特别约定的技术规范：</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。施工控制网资料的告知期限：</w:t>
      </w:r>
      <w:r>
        <w:rPr>
          <w:rFonts w:hint="eastAsia" w:ascii="宋体" w:hAnsi="宋体" w:cs="宋体"/>
          <w:color w:val="auto"/>
          <w:szCs w:val="21"/>
          <w:highlight w:val="none"/>
          <w:u w:val="single"/>
        </w:rPr>
        <w:t>测量放线工作完成后 3 日历内将施工控制网资料报送工程师</w:t>
      </w:r>
      <w:r>
        <w:rPr>
          <w:rFonts w:hint="eastAsia" w:ascii="宋体" w:hAnsi="宋体" w:cs="宋体"/>
          <w:color w:val="auto"/>
          <w:szCs w:val="21"/>
          <w:highlight w:val="none"/>
        </w:rPr>
        <w:t>。</w:t>
      </w:r>
    </w:p>
    <w:p w14:paraId="15CEC1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7.5 现场劳动用工</w:t>
      </w:r>
    </w:p>
    <w:p w14:paraId="3D4E59D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7.5.2 合同当事人对建筑工人工资清偿事宜和违约责任的约定：</w:t>
      </w:r>
      <w:r>
        <w:rPr>
          <w:rFonts w:hint="eastAsia" w:ascii="宋体" w:hAnsi="宋体" w:cs="宋体"/>
          <w:color w:val="auto"/>
          <w:szCs w:val="21"/>
          <w:highlight w:val="none"/>
          <w:u w:val="single"/>
        </w:rPr>
        <w:t xml:space="preserve">承包人应开设农民工工资专用账户，承包人应确保民工工资的及时支付，如不及时支付，视作违约，发包人有权代承包人支付民工工资，并在工程款中扣除。并罚扣承包人 3-5 万元  </w:t>
      </w:r>
      <w:r>
        <w:rPr>
          <w:rFonts w:hint="eastAsia" w:ascii="宋体" w:hAnsi="宋体" w:cs="宋体"/>
          <w:color w:val="auto"/>
          <w:szCs w:val="21"/>
          <w:highlight w:val="none"/>
        </w:rPr>
        <w:t>。</w:t>
      </w:r>
    </w:p>
    <w:p w14:paraId="3A0C08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7.6 安全文明施工</w:t>
      </w:r>
    </w:p>
    <w:p w14:paraId="3F4CF85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安全文明施工基本费金额：</w:t>
      </w:r>
      <w:r>
        <w:rPr>
          <w:rFonts w:hint="eastAsia" w:ascii="宋体" w:hAnsi="宋体" w:cs="宋体"/>
          <w:color w:val="auto"/>
          <w:szCs w:val="21"/>
          <w:highlight w:val="none"/>
          <w:u w:val="single"/>
        </w:rPr>
        <w:t xml:space="preserve">         元（大写：         ）</w:t>
      </w:r>
    </w:p>
    <w:p w14:paraId="0433A4D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支付比例和支付期限的约定：</w:t>
      </w:r>
    </w:p>
    <w:p w14:paraId="5843795B">
      <w:pPr>
        <w:numPr>
          <w:ilvl w:val="0"/>
          <w:numId w:val="4"/>
        </w:numPr>
        <w:autoSpaceDE w:val="0"/>
        <w:autoSpaceDN w:val="0"/>
        <w:spacing w:line="360" w:lineRule="auto"/>
        <w:ind w:firstLine="600"/>
        <w:jc w:val="left"/>
        <w:rPr>
          <w:rFonts w:ascii="宋体" w:hAnsi="宋体" w:cs="宋体"/>
          <w:color w:val="auto"/>
          <w:szCs w:val="21"/>
          <w:highlight w:val="none"/>
          <w:u w:val="single"/>
        </w:rPr>
      </w:pPr>
      <w:r>
        <w:rPr>
          <w:rFonts w:hint="eastAsia" w:ascii="宋体" w:hAnsi="宋体" w:cs="宋体"/>
          <w:color w:val="auto"/>
          <w:szCs w:val="21"/>
          <w:highlight w:val="none"/>
          <w:u w:val="single"/>
        </w:rPr>
        <w:t>对国有资金投资的建设项目，发包人在开工后 28 天内预付的安全文明施工费用不得低于工程费用1.5%的60%（即            元）。剩余部分支付按以下第（1）种方式约定：</w:t>
      </w:r>
    </w:p>
    <w:p w14:paraId="0739F35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①视相关措施的落实情况与进度款同期支付。</w:t>
      </w:r>
    </w:p>
    <w:p w14:paraId="08FB904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②其他：      /          。</w:t>
      </w:r>
    </w:p>
    <w:p w14:paraId="3817CF4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7.6.1 安全生产要求</w:t>
      </w:r>
    </w:p>
    <w:p w14:paraId="63E47E75">
      <w:pPr>
        <w:spacing w:line="360" w:lineRule="auto"/>
        <w:ind w:firstLine="336" w:firstLineChars="160"/>
        <w:rPr>
          <w:rFonts w:ascii="宋体" w:hAnsi="宋体" w:cs="宋体"/>
          <w:color w:val="auto"/>
          <w:szCs w:val="21"/>
          <w:highlight w:val="none"/>
        </w:rPr>
      </w:pPr>
      <w:r>
        <w:rPr>
          <w:rFonts w:hint="eastAsia" w:ascii="宋体" w:hAnsi="宋体" w:cs="宋体"/>
          <w:color w:val="auto"/>
          <w:szCs w:val="21"/>
          <w:highlight w:val="none"/>
        </w:rPr>
        <w:t>合同当事人对安全施工的要求：</w:t>
      </w:r>
      <w:r>
        <w:rPr>
          <w:rFonts w:hint="eastAsia" w:ascii="宋体" w:hAnsi="宋体" w:cs="宋体"/>
          <w:color w:val="auto"/>
          <w:szCs w:val="21"/>
          <w:highlight w:val="none"/>
          <w:u w:val="single"/>
        </w:rPr>
        <w:t>施工现场按照《市政工程施工安全检查标准》（CJJ/T 275-2018）评定达到“合格”标准。承包人必须严格遵守和执行中华人民共和国以及杭州市安全生产和劳动保护的有关规定，保证采取一切必要的安全预防措施，以防止承包人的雇员、发包人和工程师的职员及其他人员因承包人的不当操作而受到伤害。在施工过程中由于承包人原因而发生的人身伤亡、财产损失及其它一切事故，其责任全部由承包人负责。承包人人员在工地现场发生打架、破坏污染建筑单体的行为，发包人将视责任程度每次处以 300-5000 元的违约金，对造成的损失由承包人照价赔偿。不定期进行安全文明施工检查，施工单位应及时整改，被一次警告后不作处罚，限期整改，被二次警告后扣除相应比例的文明施工费</w:t>
      </w:r>
      <w:r>
        <w:rPr>
          <w:rFonts w:hint="eastAsia" w:ascii="宋体" w:hAnsi="宋体" w:cs="宋体"/>
          <w:color w:val="auto"/>
          <w:szCs w:val="21"/>
          <w:highlight w:val="none"/>
        </w:rPr>
        <w:t>。</w:t>
      </w:r>
    </w:p>
    <w:p w14:paraId="648DB4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7.6.3 文明施工</w:t>
      </w:r>
    </w:p>
    <w:p w14:paraId="00FBE19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合同当事人对文明施工的要求：</w:t>
      </w:r>
    </w:p>
    <w:p w14:paraId="402C151A">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（1）遵守地方政府和有关部门对施工场地交通、环卫、安全和施工噪音等管理规定，并办理相关审批手续。</w:t>
      </w:r>
    </w:p>
    <w:p w14:paraId="4C2DD93A">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（2）承包人应采取有效措施尽量减小尘土和噪音污染，需要进行夜间作业时应经有关部门批准。</w:t>
      </w:r>
    </w:p>
    <w:p w14:paraId="77B4C2E4">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（3）其他：文明施工按《2018 年全市建设工程文明施工和扬尘管控水平提升专项行动实施方案&gt;的通知》（杭建文领办（2018）1 号）、杭建监总（2003）38号关于实施《杭州市市政建设工地安全生产、文明施工管理实施细则（试行）的通知》及文明工地杭建监总[2011]21 号《关于打造“文明工地”创建全国文明城市活动实施方案》执行，否则若造成工程损失或人身伤害，由承包人承担全部责任及费用 。</w:t>
      </w:r>
    </w:p>
    <w:p w14:paraId="29F228B5">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4）承担施工安全保卫工作及非夜间施工照明的责任和要求：按照杭州市当地建筑工地安全文明施工管理规定执行。承包人应加强施工的安全生产管理，制定安全操作规程，保证工程施工的安全，承包人应教育其职工进行文明施工，配备必要的安全生产设施和劳动保护用具。承包人应对其管辖范围内的人员和设备（包括业主及监理单位的人员和设备）以及工程的安全负责，应负责做好其所辖人员的工作场所和居住区的日常治安管理和安全保护工作。承包人必须注意保护工地邻近建筑物和附近居民的安全，防止因施工措施不当使附近居民的人员财产遭受损失，否则承包人负全责。承包人必须对施工现场的用电安全负责。施工现场用电必须遵照杭州市建委颁布的施工现场用电管理条例执行。在工地现场做好警戒告示牌，提醒进入施工现场人员的注意。以上内容发生的费用和责任全部</w:t>
      </w:r>
    </w:p>
    <w:p w14:paraId="6DBE2AB1">
      <w:pPr>
        <w:spacing w:line="360" w:lineRule="auto"/>
        <w:rPr>
          <w:rFonts w:ascii="宋体" w:hAnsi="宋体" w:cs="宋体"/>
          <w:color w:val="auto"/>
          <w:szCs w:val="21"/>
          <w:highlight w:val="none"/>
          <w:u w:val="single"/>
        </w:rPr>
      </w:pPr>
      <w:r>
        <w:rPr>
          <w:rFonts w:hint="eastAsia" w:ascii="宋体" w:hAnsi="宋体" w:cs="宋体"/>
          <w:color w:val="auto"/>
          <w:szCs w:val="21"/>
          <w:highlight w:val="none"/>
          <w:u w:val="single"/>
        </w:rPr>
        <w:t>由承包人承担。</w:t>
      </w:r>
    </w:p>
    <w:p w14:paraId="30FD94D7">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 xml:space="preserve">（5）上述手续办理费用约定如下：由承包人自行承担，在结算时不予调整  。 </w:t>
      </w:r>
    </w:p>
    <w:p w14:paraId="3A5799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7.9 临时性公用设施</w:t>
      </w:r>
    </w:p>
    <w:p w14:paraId="4D31D1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关于临时性公用设施的特别约定：</w:t>
      </w:r>
      <w:r>
        <w:rPr>
          <w:rFonts w:hint="eastAsia" w:ascii="宋体" w:hAnsi="宋体" w:cs="宋体"/>
          <w:color w:val="auto"/>
          <w:szCs w:val="21"/>
          <w:highlight w:val="none"/>
          <w:u w:val="single"/>
        </w:rPr>
        <w:t>本工程施工用水、用电、电力、通讯线、交通等施工所需条件均由承包人自行负责，并承担相关费用</w:t>
      </w:r>
      <w:r>
        <w:rPr>
          <w:rFonts w:hint="eastAsia" w:ascii="宋体" w:hAnsi="宋体" w:cs="宋体"/>
          <w:color w:val="auto"/>
          <w:szCs w:val="21"/>
          <w:highlight w:val="none"/>
        </w:rPr>
        <w:t>。</w:t>
      </w:r>
    </w:p>
    <w:p w14:paraId="686E8CB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7.10 现场安保</w:t>
      </w:r>
    </w:p>
    <w:p w14:paraId="028F95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承包人现场安保义务的特别约定：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393FD57">
      <w:pPr>
        <w:pStyle w:val="972"/>
        <w:rPr>
          <w:rFonts w:cs="宋体"/>
          <w:b w:val="0"/>
          <w:color w:val="auto"/>
          <w:sz w:val="21"/>
          <w:szCs w:val="21"/>
          <w:highlight w:val="none"/>
        </w:rPr>
      </w:pPr>
      <w:r>
        <w:rPr>
          <w:rFonts w:hint="eastAsia" w:cs="宋体"/>
          <w:b w:val="0"/>
          <w:color w:val="auto"/>
          <w:sz w:val="21"/>
          <w:szCs w:val="21"/>
          <w:highlight w:val="none"/>
        </w:rPr>
        <w:t>第8条 工期和进度</w:t>
      </w:r>
    </w:p>
    <w:p w14:paraId="4A70FF5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8.1 开始工作</w:t>
      </w:r>
    </w:p>
    <w:p w14:paraId="2B17424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8.1.1 开始准备工作：</w:t>
      </w:r>
      <w:r>
        <w:rPr>
          <w:rFonts w:hint="eastAsia" w:ascii="宋体" w:hAnsi="宋体" w:cs="宋体"/>
          <w:color w:val="auto"/>
          <w:szCs w:val="21"/>
          <w:highlight w:val="none"/>
          <w:u w:val="single"/>
        </w:rPr>
        <w:t>承包人应在合同签订后及时编制临时设施方案，完成临时设施的搭建工作。通道口有地下管网线的，承包人应采取保护措施，因承包人未采取保护措施导致地下已知管网线受损的，责任由承包人承担</w:t>
      </w:r>
      <w:r>
        <w:rPr>
          <w:rFonts w:hint="eastAsia" w:ascii="宋体" w:hAnsi="宋体" w:cs="宋体"/>
          <w:color w:val="auto"/>
          <w:szCs w:val="21"/>
          <w:highlight w:val="none"/>
        </w:rPr>
        <w:t>。</w:t>
      </w:r>
    </w:p>
    <w:p w14:paraId="574ADC3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8.1.2 发包人可在计划开始工作之日起84日后发出开始工作通知的特殊情形：</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CDAC1B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8.2 竣工日期</w:t>
      </w:r>
    </w:p>
    <w:p w14:paraId="1D9F4A7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竣工日期的约定：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937AC2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8.3 项目实施计划</w:t>
      </w:r>
    </w:p>
    <w:p w14:paraId="3141D82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8.3.1 项目实施计划的内容</w:t>
      </w:r>
    </w:p>
    <w:p w14:paraId="6AFA60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项目实施计划的内容：</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68A64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8.3.2 项目实施计划的提交和修改</w:t>
      </w:r>
    </w:p>
    <w:p w14:paraId="1E29C88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项目实施计划的提交及修改期限：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33E5332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 项目进度计划</w:t>
      </w:r>
    </w:p>
    <w:p w14:paraId="5F86FA4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8.4.1 工程师在收到进度计划后确认或提出修改意见的期限：</w:t>
      </w:r>
      <w:r>
        <w:rPr>
          <w:rFonts w:hint="eastAsia" w:ascii="宋体" w:hAnsi="宋体" w:cs="宋体"/>
          <w:color w:val="auto"/>
          <w:szCs w:val="21"/>
          <w:highlight w:val="none"/>
          <w:u w:val="single"/>
        </w:rPr>
        <w:t>发包人应在收到修订的施工进度计划后 7 天内完成审核和批准或提出修改意见（月计划 7 天、周计划 2 天内完成审核和批准或提出修改意见）</w:t>
      </w:r>
      <w:r>
        <w:rPr>
          <w:rFonts w:hint="eastAsia" w:ascii="宋体" w:hAnsi="宋体" w:cs="宋体"/>
          <w:color w:val="auto"/>
          <w:szCs w:val="21"/>
          <w:highlight w:val="none"/>
        </w:rPr>
        <w:t>。</w:t>
      </w:r>
    </w:p>
    <w:p w14:paraId="620F031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8.4.2 进度计划的具体要求：</w:t>
      </w:r>
      <w:r>
        <w:rPr>
          <w:rFonts w:hint="eastAsia" w:ascii="宋体" w:hAnsi="宋体" w:cs="宋体"/>
          <w:color w:val="auto"/>
          <w:szCs w:val="21"/>
          <w:highlight w:val="none"/>
          <w:u w:val="single"/>
        </w:rPr>
        <w:t>在合同签署后 7 天内，承包人提供项目实施总进度计划，包括：设计进度计划、施工进度计划、项目管理规划、材料设备采购计划、项目资金使用计划及项目重点难点和关键工序的施工计划（设计阶段提供月、周设计进度计划）</w:t>
      </w:r>
      <w:r>
        <w:rPr>
          <w:rFonts w:hint="eastAsia" w:ascii="宋体" w:hAnsi="宋体" w:cs="宋体"/>
          <w:color w:val="auto"/>
          <w:szCs w:val="21"/>
          <w:highlight w:val="none"/>
        </w:rPr>
        <w:t>。</w:t>
      </w:r>
    </w:p>
    <w:p w14:paraId="10C4D5C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关键路径及关键路径变化的确定原则：</w:t>
      </w:r>
      <w:r>
        <w:rPr>
          <w:rFonts w:hint="eastAsia" w:ascii="宋体" w:hAnsi="宋体" w:cs="宋体"/>
          <w:color w:val="auto"/>
          <w:szCs w:val="21"/>
          <w:highlight w:val="none"/>
          <w:u w:val="single"/>
        </w:rPr>
        <w:t>由承包人上报，经发包人审定为准，若由于非发包人及非不可抗力因素而造成项目节点落后，承包人应做出充分说明，并提交书面整改报告。</w:t>
      </w:r>
    </w:p>
    <w:p w14:paraId="07383475">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承包人提交项目进度计划的份数和时间：</w:t>
      </w:r>
      <w:r>
        <w:rPr>
          <w:rFonts w:hint="eastAsia" w:ascii="宋体" w:hAnsi="宋体" w:cs="宋体"/>
          <w:color w:val="auto"/>
          <w:szCs w:val="21"/>
          <w:highlight w:val="none"/>
          <w:u w:val="single"/>
        </w:rPr>
        <w:t>每月 22 日提供下月进度计划及当月工程统计报表，上报发包人核定。如工程师另有要求时,还应按工程师指定的进度提交单位工程的进度计划。各类计划、文件均需一式捌份。</w:t>
      </w:r>
    </w:p>
    <w:p w14:paraId="7B74375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8.4.3 进度计划的修订</w:t>
      </w:r>
    </w:p>
    <w:p w14:paraId="4EA1F0F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承包人提交修订项目进度计划申请报告的期限：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CAEF42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发包人批复修订项目进度计划申请报告的期限：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C782BE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承包人答复发包人提出修订合同计划的期限：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367B01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8.5 进度报告</w:t>
      </w:r>
    </w:p>
    <w:p w14:paraId="0313C85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进度报告的具体要求：</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022F0E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 工期延误</w:t>
      </w:r>
    </w:p>
    <w:p w14:paraId="6246E67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8.7.2 因承包人原因导致工期延误</w:t>
      </w:r>
    </w:p>
    <w:p w14:paraId="7659813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因承包人原因使竣工日期延误，每拖延一天处以违约金为签约合同价的万分之二（延期超过一个月的，每拖延一天处以违约金为签约合同价的万分之四。）</w:t>
      </w:r>
    </w:p>
    <w:p w14:paraId="573E94C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累计最高赔偿金额为合同价格的：2%。</w:t>
      </w:r>
    </w:p>
    <w:p w14:paraId="0A000B3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因承包人原因造成工期延误的，金。</w:t>
      </w:r>
    </w:p>
    <w:p w14:paraId="74560DB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8.7.3 行政审批迟延</w:t>
      </w:r>
    </w:p>
    <w:p w14:paraId="6E39A1A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行政审批报送的职责分工：</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4ED836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8.7.4 异常恶劣的气候条件</w:t>
      </w:r>
    </w:p>
    <w:p w14:paraId="327C2A24">
      <w:pPr>
        <w:spacing w:line="360" w:lineRule="auto"/>
        <w:ind w:left="525" w:leftChars="250" w:firstLine="105" w:firstLineChars="50"/>
        <w:rPr>
          <w:rFonts w:ascii="宋体" w:hAnsi="宋体" w:cs="宋体"/>
          <w:color w:val="auto"/>
          <w:szCs w:val="21"/>
          <w:highlight w:val="none"/>
        </w:rPr>
      </w:pPr>
      <w:r>
        <w:rPr>
          <w:rFonts w:hint="eastAsia" w:ascii="宋体" w:hAnsi="宋体" w:cs="宋体"/>
          <w:color w:val="auto"/>
          <w:szCs w:val="21"/>
          <w:highlight w:val="none"/>
        </w:rPr>
        <w:t>双方约定视为异常恶劣的气候条件的情形：</w:t>
      </w:r>
    </w:p>
    <w:p w14:paraId="49B66334">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（1）启动台风橙色及以上预警的天气；</w:t>
      </w:r>
    </w:p>
    <w:p w14:paraId="57B87A7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（2）启动防汛预案一级响应的天气；</w:t>
      </w:r>
    </w:p>
    <w:p w14:paraId="694DE9C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（3）启动防冻预案一级响应的天气</w:t>
      </w:r>
      <w:r>
        <w:rPr>
          <w:rFonts w:hint="eastAsia" w:ascii="宋体" w:hAnsi="宋体" w:cs="宋体"/>
          <w:color w:val="auto"/>
          <w:szCs w:val="21"/>
          <w:highlight w:val="none"/>
        </w:rPr>
        <w:t>。</w:t>
      </w:r>
    </w:p>
    <w:p w14:paraId="197C42D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8.8 工期提前</w:t>
      </w:r>
    </w:p>
    <w:p w14:paraId="1B30441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8.8.2 承包人提前竣工的奖励：</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3878774C">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第9条 竣工试验</w:t>
      </w:r>
    </w:p>
    <w:p w14:paraId="3A70B6B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9.1 竣工试验的义务</w:t>
      </w:r>
    </w:p>
    <w:p w14:paraId="6F6D033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9.1.3 竣工试验的阶段、内容和顺序：</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75621D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竣工试验的操作要求：</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EF328F0">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第10条 验收和工程接收</w:t>
      </w:r>
    </w:p>
    <w:p w14:paraId="71BC3C6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10.1 竣工验收</w:t>
      </w:r>
    </w:p>
    <w:p w14:paraId="6EDF502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10.1.2 关于竣工验收程序的约定：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C19695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发包人不按照合同约定组织竣工验收、颁发工程接受证书的违约金的计算方式：</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A33234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w:t>
      </w:r>
      <w:r>
        <w:rPr>
          <w:rFonts w:hint="eastAsia" w:ascii="宋体" w:hAnsi="宋体" w:cs="宋体"/>
          <w:color w:val="auto"/>
          <w:szCs w:val="21"/>
          <w:highlight w:val="none"/>
        </w:rPr>
        <w:tab/>
      </w:r>
      <w:r>
        <w:rPr>
          <w:rFonts w:hint="eastAsia" w:ascii="宋体" w:hAnsi="宋体" w:cs="宋体"/>
          <w:color w:val="auto"/>
          <w:szCs w:val="21"/>
          <w:highlight w:val="none"/>
        </w:rPr>
        <w:t xml:space="preserve"> 工程的接收</w:t>
      </w:r>
    </w:p>
    <w:p w14:paraId="169951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10.3.1工程接收的先后顺序、时间安排和其他要求：</w:t>
      </w:r>
      <w:r>
        <w:rPr>
          <w:rFonts w:hint="eastAsia" w:ascii="宋体" w:hAnsi="宋体" w:cs="宋体"/>
          <w:color w:val="auto"/>
          <w:szCs w:val="21"/>
          <w:highlight w:val="none"/>
          <w:u w:val="single"/>
        </w:rPr>
        <w:t>竣工后整体接收</w:t>
      </w:r>
      <w:r>
        <w:rPr>
          <w:rFonts w:hint="eastAsia" w:ascii="宋体" w:hAnsi="宋体" w:cs="宋体"/>
          <w:color w:val="auto"/>
          <w:szCs w:val="21"/>
          <w:highlight w:val="none"/>
        </w:rPr>
        <w:t>。</w:t>
      </w:r>
    </w:p>
    <w:p w14:paraId="364837E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10.3.2 接受工程时承包人需提交竣工验收资料的类别、内容、份数和提交时间：</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011A92F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10.3.3 发包人逾期接收工程的违约责任：</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7EE0FB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10.3.4 承包人无正当理由不移交工程的违约责任：</w:t>
      </w:r>
      <w:r>
        <w:rPr>
          <w:rFonts w:hint="eastAsia" w:ascii="宋体" w:hAnsi="宋体" w:cs="宋体"/>
          <w:color w:val="auto"/>
          <w:szCs w:val="21"/>
          <w:highlight w:val="none"/>
          <w:u w:val="single"/>
        </w:rPr>
        <w:t xml:space="preserve">按通用条款执行 </w:t>
      </w:r>
      <w:r>
        <w:rPr>
          <w:rFonts w:hint="eastAsia" w:ascii="宋体" w:hAnsi="宋体" w:cs="宋体"/>
          <w:color w:val="auto"/>
          <w:szCs w:val="21"/>
          <w:highlight w:val="none"/>
        </w:rPr>
        <w:t>。</w:t>
      </w:r>
    </w:p>
    <w:p w14:paraId="33EC588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10.4 接收证书</w:t>
      </w:r>
    </w:p>
    <w:p w14:paraId="263948F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10.4.1 工程接收证书颁发时间：</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BEDD24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10.5 竣工退场</w:t>
      </w:r>
    </w:p>
    <w:p w14:paraId="0934505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10.5.1 竣工退场的相关约定：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FE9BFA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10.5.3人员撤离</w:t>
      </w:r>
    </w:p>
    <w:p w14:paraId="1BD69EC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工程师同意需在缺陷责任期内继续工作和使用的人员、施工设备和临时工程的内容：</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1013A62">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第11条 缺陷责任与保修</w:t>
      </w:r>
    </w:p>
    <w:p w14:paraId="3D0100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11.2 缺陷责任期</w:t>
      </w:r>
    </w:p>
    <w:p w14:paraId="6F494A8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缺陷责任期的期限：</w:t>
      </w:r>
      <w:r>
        <w:rPr>
          <w:rFonts w:hint="eastAsia" w:ascii="宋体" w:hAnsi="宋体" w:cs="宋体"/>
          <w:color w:val="auto"/>
          <w:szCs w:val="21"/>
          <w:highlight w:val="none"/>
          <w:u w:val="single"/>
        </w:rPr>
        <w:t xml:space="preserve">24 个月 </w:t>
      </w:r>
      <w:r>
        <w:rPr>
          <w:rFonts w:hint="eastAsia" w:ascii="宋体" w:hAnsi="宋体" w:cs="宋体"/>
          <w:color w:val="auto"/>
          <w:szCs w:val="21"/>
          <w:highlight w:val="none"/>
        </w:rPr>
        <w:t>。</w:t>
      </w:r>
    </w:p>
    <w:p w14:paraId="2AD9D71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 缺陷调查</w:t>
      </w:r>
    </w:p>
    <w:p w14:paraId="436E15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11.3.4 修复通知</w:t>
      </w:r>
    </w:p>
    <w:p w14:paraId="734B10E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承包人收到保修通知并到达工程现场的合理时间：</w:t>
      </w:r>
      <w:r>
        <w:rPr>
          <w:rFonts w:hint="eastAsia" w:ascii="宋体" w:hAnsi="宋体" w:cs="宋体"/>
          <w:color w:val="auto"/>
          <w:szCs w:val="21"/>
          <w:highlight w:val="none"/>
          <w:u w:val="single"/>
        </w:rPr>
        <w:t>承包人应在收到通知后48 小时内到达工程现场，遇紧急情况应在收到通知后 2 小时内到达</w:t>
      </w:r>
      <w:r>
        <w:rPr>
          <w:rFonts w:hint="eastAsia" w:ascii="宋体" w:hAnsi="宋体" w:cs="宋体"/>
          <w:color w:val="auto"/>
          <w:szCs w:val="21"/>
          <w:highlight w:val="none"/>
        </w:rPr>
        <w:t>。</w:t>
      </w:r>
    </w:p>
    <w:p w14:paraId="032E8A3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11.6 缺陷责任期终止证书</w:t>
      </w:r>
    </w:p>
    <w:p w14:paraId="5C288D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承包人应于缺陷责任期届满后</w:t>
      </w:r>
      <w:r>
        <w:rPr>
          <w:rFonts w:hint="eastAsia" w:ascii="宋体" w:hAnsi="宋体" w:cs="宋体"/>
          <w:color w:val="auto"/>
          <w:szCs w:val="21"/>
          <w:highlight w:val="none"/>
          <w:u w:val="single"/>
        </w:rPr>
        <w:t>7</w:t>
      </w:r>
      <w:r>
        <w:rPr>
          <w:rFonts w:hint="eastAsia" w:ascii="宋体" w:hAnsi="宋体" w:cs="宋体"/>
          <w:color w:val="auto"/>
          <w:szCs w:val="21"/>
          <w:highlight w:val="none"/>
        </w:rPr>
        <w:t>天内向发包人发出缺陷责任期届满通知，发包人应在收到缺陷责任期满通知后</w:t>
      </w:r>
      <w:r>
        <w:rPr>
          <w:rFonts w:hint="eastAsia" w:ascii="宋体" w:hAnsi="宋体" w:cs="宋体"/>
          <w:color w:val="auto"/>
          <w:szCs w:val="21"/>
          <w:highlight w:val="none"/>
          <w:u w:val="single"/>
        </w:rPr>
        <w:t>7</w:t>
      </w:r>
      <w:r>
        <w:rPr>
          <w:rFonts w:hint="eastAsia" w:ascii="宋体" w:hAnsi="宋体" w:cs="宋体"/>
          <w:color w:val="auto"/>
          <w:szCs w:val="21"/>
          <w:highlight w:val="none"/>
        </w:rPr>
        <w:t>天内核实承包人是否履行缺陷修复义务，承包人未能履行缺陷修复义务的，发包人有权扣除相应金额的维修费用。发包人应在收到缺陷责任期届满通知后</w:t>
      </w:r>
      <w:r>
        <w:rPr>
          <w:rFonts w:hint="eastAsia" w:ascii="宋体" w:hAnsi="宋体" w:cs="宋体"/>
          <w:color w:val="auto"/>
          <w:szCs w:val="21"/>
          <w:highlight w:val="none"/>
          <w:u w:val="single"/>
        </w:rPr>
        <w:t>7</w:t>
      </w:r>
      <w:r>
        <w:rPr>
          <w:rFonts w:hint="eastAsia" w:ascii="宋体" w:hAnsi="宋体" w:cs="宋体"/>
          <w:color w:val="auto"/>
          <w:szCs w:val="21"/>
          <w:highlight w:val="none"/>
        </w:rPr>
        <w:t>天内，向承包人颁发缺陷责任期终止证书。</w:t>
      </w:r>
    </w:p>
    <w:p w14:paraId="72B0E81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11.7 保修责任</w:t>
      </w:r>
    </w:p>
    <w:p w14:paraId="349112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工程质量保修范围、期限和责任为：</w:t>
      </w:r>
      <w:r>
        <w:rPr>
          <w:rFonts w:hint="eastAsia" w:ascii="宋体" w:hAnsi="宋体" w:cs="宋体"/>
          <w:color w:val="auto"/>
          <w:szCs w:val="21"/>
          <w:highlight w:val="none"/>
          <w:u w:val="single"/>
        </w:rPr>
        <w:t>以工程质量保修书为准</w:t>
      </w:r>
      <w:r>
        <w:rPr>
          <w:rFonts w:hint="eastAsia" w:ascii="宋体" w:hAnsi="宋体" w:cs="宋体"/>
          <w:color w:val="auto"/>
          <w:szCs w:val="21"/>
          <w:highlight w:val="none"/>
        </w:rPr>
        <w:t>。</w:t>
      </w:r>
    </w:p>
    <w:p w14:paraId="5398DDEA">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第12条 竣工后试验</w:t>
      </w:r>
    </w:p>
    <w:p w14:paraId="1255574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本合同工程是否包含竣工后试验：</w:t>
      </w:r>
      <w:r>
        <w:rPr>
          <w:rFonts w:hint="eastAsia" w:ascii="宋体" w:hAnsi="宋体" w:cs="宋体"/>
          <w:color w:val="auto"/>
          <w:szCs w:val="21"/>
          <w:highlight w:val="none"/>
          <w:u w:val="single"/>
        </w:rPr>
        <w:t xml:space="preserve">是 </w:t>
      </w:r>
      <w:r>
        <w:rPr>
          <w:rFonts w:hint="eastAsia" w:ascii="宋体" w:hAnsi="宋体" w:cs="宋体"/>
          <w:color w:val="auto"/>
          <w:szCs w:val="21"/>
          <w:highlight w:val="none"/>
        </w:rPr>
        <w:t>。</w:t>
      </w:r>
    </w:p>
    <w:p w14:paraId="4FA2AEB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12.1 竣工后试验的程序</w:t>
      </w:r>
    </w:p>
    <w:p w14:paraId="73F35F0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12.1.2 竣工后试验全部电力、水、污水处理、燃料、消耗品和材料，以及全部其他仪器、协助、文件或其他信息、设备、工具、劳力，启动工程设备，并组织安排有适当资质、经验和能力的工作人员等必要条件的提供方：</w:t>
      </w:r>
      <w:r>
        <w:rPr>
          <w:rFonts w:hint="eastAsia" w:ascii="宋体" w:hAnsi="宋体" w:cs="宋体"/>
          <w:color w:val="auto"/>
          <w:szCs w:val="21"/>
          <w:highlight w:val="none"/>
          <w:u w:val="single"/>
        </w:rPr>
        <w:t>由承包人提供并承担相应费用，试运行期间出现的质量问题由承包人免费维修</w:t>
      </w:r>
      <w:r>
        <w:rPr>
          <w:rFonts w:hint="eastAsia" w:ascii="宋体" w:hAnsi="宋体" w:cs="宋体"/>
          <w:color w:val="auto"/>
          <w:szCs w:val="21"/>
          <w:highlight w:val="none"/>
        </w:rPr>
        <w:t>。</w:t>
      </w:r>
    </w:p>
    <w:p w14:paraId="779D5E6A">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第13条 变更与调整</w:t>
      </w:r>
    </w:p>
    <w:p w14:paraId="41010FC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 承包人的合理化建议</w:t>
      </w:r>
    </w:p>
    <w:p w14:paraId="598CC7E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13.2.2 工程师应在收到承包人提交的合理化建议后</w:t>
      </w:r>
      <w:r>
        <w:rPr>
          <w:rFonts w:hint="eastAsia" w:ascii="宋体" w:hAnsi="宋体" w:cs="宋体"/>
          <w:color w:val="auto"/>
          <w:szCs w:val="21"/>
          <w:highlight w:val="none"/>
          <w:u w:val="single"/>
        </w:rPr>
        <w:t xml:space="preserve">  7  </w:t>
      </w:r>
      <w:r>
        <w:rPr>
          <w:rFonts w:hint="eastAsia" w:ascii="宋体" w:hAnsi="宋体" w:cs="宋体"/>
          <w:color w:val="auto"/>
          <w:szCs w:val="21"/>
          <w:highlight w:val="none"/>
        </w:rPr>
        <w:t>日内审查完毕并报送发包人，发现其中存在技术上的缺陷，应通知承包人修改。发包人应在收到工程师报送的合理化建议后</w:t>
      </w:r>
      <w:r>
        <w:rPr>
          <w:rFonts w:hint="eastAsia" w:ascii="宋体" w:hAnsi="宋体" w:cs="宋体"/>
          <w:color w:val="auto"/>
          <w:szCs w:val="21"/>
          <w:highlight w:val="none"/>
          <w:u w:val="single"/>
        </w:rPr>
        <w:t>7</w:t>
      </w:r>
      <w:r>
        <w:rPr>
          <w:rFonts w:hint="eastAsia" w:ascii="宋体" w:hAnsi="宋体" w:cs="宋体"/>
          <w:color w:val="auto"/>
          <w:szCs w:val="21"/>
          <w:highlight w:val="none"/>
        </w:rPr>
        <w:t>日内审批完毕。合理化建议经发包人批准的，工程师应及时发出变更指示，由此引起的合同价格调整按照</w:t>
      </w:r>
      <w:r>
        <w:rPr>
          <w:rFonts w:hint="eastAsia" w:ascii="宋体" w:hAnsi="宋体" w:cs="宋体"/>
          <w:color w:val="auto"/>
          <w:szCs w:val="21"/>
          <w:highlight w:val="none"/>
          <w:u w:val="single"/>
        </w:rPr>
        <w:t xml:space="preserve"> 第 13.3.3 项[变更估价] </w:t>
      </w:r>
      <w:r>
        <w:rPr>
          <w:rFonts w:hint="eastAsia" w:ascii="宋体" w:hAnsi="宋体" w:cs="宋体"/>
          <w:color w:val="auto"/>
          <w:szCs w:val="21"/>
          <w:highlight w:val="none"/>
        </w:rPr>
        <w:t>执行。发包人不同意变更的，工程师应书面通知承包人</w:t>
      </w:r>
    </w:p>
    <w:p w14:paraId="7DF1FDC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13.2.3 承包人提出的合理化变更建议的利益分享约定：</w:t>
      </w:r>
      <w:r>
        <w:rPr>
          <w:rFonts w:hint="eastAsia" w:ascii="宋体" w:hAnsi="宋体" w:cs="宋体"/>
          <w:color w:val="auto"/>
          <w:szCs w:val="21"/>
          <w:highlight w:val="none"/>
          <w:u w:val="single"/>
        </w:rPr>
        <w:t xml:space="preserve">双方协商确定 </w:t>
      </w:r>
      <w:r>
        <w:rPr>
          <w:rFonts w:hint="eastAsia" w:ascii="宋体" w:hAnsi="宋体" w:cs="宋体"/>
          <w:color w:val="auto"/>
          <w:szCs w:val="21"/>
          <w:highlight w:val="none"/>
        </w:rPr>
        <w:t>。</w:t>
      </w:r>
    </w:p>
    <w:p w14:paraId="6BEE47F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13.3 变更程序</w:t>
      </w:r>
    </w:p>
    <w:p w14:paraId="1F7BE11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13.3.3 变更估价</w:t>
      </w:r>
    </w:p>
    <w:p w14:paraId="21A824D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13.3.3.1 变更估价原则</w:t>
      </w:r>
    </w:p>
    <w:p w14:paraId="2B7EC43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关于变更估价原则的约定</w:t>
      </w:r>
    </w:p>
    <w:p w14:paraId="0FB5F3B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变更范围 ：</w:t>
      </w:r>
    </w:p>
    <w:p w14:paraId="6A01FA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（一）主要工程材料、设备、人工价格与编制期信息价（指投标截止日前 28天所在月份对应的省、市造价管理机构发布的信息价格）相比，波动幅度超过合同约定风险幅度的部分（详见 13.8.3）；</w:t>
      </w:r>
    </w:p>
    <w:p w14:paraId="5AB6AEB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（二）因国家法律法规政策变化引起的合同价格和工期的变化；</w:t>
      </w:r>
    </w:p>
    <w:p w14:paraId="5D4537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（三）不可预见的地质条件造成的工程费用和工期的变化；</w:t>
      </w:r>
    </w:p>
    <w:p w14:paraId="1970B04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（四）因采购人原因产生的工程费用和工期的变化；</w:t>
      </w:r>
    </w:p>
    <w:p w14:paraId="2B95319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（五）不可抗力造成的工程费用和工期的变化。</w:t>
      </w:r>
    </w:p>
    <w:p w14:paraId="681E728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根据本工程特点，商定的其它变更范围：（1）施工图图审之前，因发包人提出规模性、功能性或标准的重大工程变更，双方另行协商。（2）施工图图审之后，如发包人指示的工程变更（以甲方通过监理工程师发出的规模性、功能性或标准的工程变更联系单为标志，以按本合同审查通过的施工图为参照）导致本项目合同口径实际费用发生变化的。(3)限额设计审计后最终预算价未能达到工程费用的中标价的，则作为变更项需扣除相应差额，如达到或超过则不再增加费用。</w:t>
      </w:r>
    </w:p>
    <w:p w14:paraId="710C6A9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本工程为 EPC 总承包工程，承包人施工图修改完善不属于变更。</w:t>
      </w:r>
    </w:p>
    <w:p w14:paraId="32D873F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 变更价款确定</w:t>
      </w:r>
    </w:p>
    <w:p w14:paraId="335E390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变更价款按以下方法确定：</w:t>
      </w:r>
    </w:p>
    <w:p w14:paraId="118F896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变更价款约定方法：允许工程变更范围内发生的工程量增减，有定额的，由承包人依据浙江省 2018 版预算定额或现行相应专业定额（材料、人工、机械价格按照投标截止日前 28天所在月份的造价管理部门发布的正刊信息价（信息价套用正刊发布的价格顺序：杭州造价信息（杭州市市区）、杭州市市区没有套用浙江省信息价），费率按中值计取）与中标让利幅度同比例下浮作为综合单价；无价材料和设备：施工图预算中无信息价的主要材料（设备）价格有签证价（不含税）按签证价计入，无签证价根据市场价（不含税）暂定计入，该部分主要材料和设备不参与下浮，只计取税金。最终以结算审计为准。</w:t>
      </w:r>
    </w:p>
    <w:p w14:paraId="104FD67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施工中如承包人遇材料因实际情况需要变更，不得降低品质，并且须经发包方、监理方同意，材料变更应在招标文件选定的品牌、规格范围内，单价不应突破原材料预算审定价。</w:t>
      </w:r>
    </w:p>
    <w:p w14:paraId="7A3BB23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关于变更的补充约定：</w:t>
      </w:r>
    </w:p>
    <w:p w14:paraId="2218C00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承包人提出的变更均须报发包人确认后执行，所有变更均不得降低工程品质，承包人以偷工减料为目的出具的变更，发包人不予以接受，有权要求承包人重新修改返工。</w:t>
      </w:r>
    </w:p>
    <w:p w14:paraId="593C66E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13.4 暂估价</w:t>
      </w:r>
    </w:p>
    <w:p w14:paraId="0816C0E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13.4.1 依法必须招标的暂估价项目</w:t>
      </w:r>
    </w:p>
    <w:p w14:paraId="2B388F1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承包人可以参与投标的暂估价项目范围：</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14:paraId="7B393C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承包人不得参与投标的暂估价项目范围：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116CDF1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招投标程序及其他约定：</w:t>
      </w:r>
      <w:r>
        <w:rPr>
          <w:rFonts w:hint="eastAsia" w:ascii="宋体" w:hAnsi="宋体" w:cs="宋体"/>
          <w:color w:val="auto"/>
          <w:szCs w:val="21"/>
          <w:highlight w:val="none"/>
          <w:u w:val="single"/>
        </w:rPr>
        <w:t>/</w:t>
      </w:r>
      <w:r>
        <w:rPr>
          <w:rFonts w:hint="eastAsia" w:ascii="宋体" w:hAnsi="宋体" w:cs="宋体"/>
          <w:color w:val="auto"/>
          <w:szCs w:val="21"/>
          <w:highlight w:val="none"/>
        </w:rPr>
        <w:t xml:space="preserve"> 。</w:t>
      </w:r>
    </w:p>
    <w:p w14:paraId="0D0D39B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13.4.2 不属于依法必须招标的暂估价项目</w:t>
      </w:r>
    </w:p>
    <w:p w14:paraId="72873BCB">
      <w:pPr>
        <w:spacing w:line="360" w:lineRule="auto"/>
        <w:ind w:left="525" w:leftChars="250" w:firstLine="105" w:firstLineChars="50"/>
        <w:rPr>
          <w:rFonts w:ascii="宋体" w:hAnsi="宋体" w:cs="宋体"/>
          <w:color w:val="auto"/>
          <w:szCs w:val="21"/>
          <w:highlight w:val="none"/>
        </w:rPr>
      </w:pPr>
      <w:r>
        <w:rPr>
          <w:rFonts w:hint="eastAsia" w:ascii="宋体" w:hAnsi="宋体" w:cs="宋体"/>
          <w:color w:val="auto"/>
          <w:szCs w:val="21"/>
          <w:highlight w:val="none"/>
        </w:rPr>
        <w:t xml:space="preserve">不属于依法必须招标的暂估价项目的协商及估价的约定： </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14:paraId="4373E63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13.5 暂列金额</w:t>
      </w:r>
    </w:p>
    <w:p w14:paraId="4737561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其他关于暂列金额使用的约定：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7448EA2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13.8 市场价格波动引起的调整</w:t>
      </w:r>
    </w:p>
    <w:p w14:paraId="180D78F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13.8.2 关于是否采用《价格指数权重表》的约定：</w:t>
      </w:r>
      <w:r>
        <w:rPr>
          <w:rFonts w:hint="eastAsia" w:ascii="宋体" w:hAnsi="宋体" w:cs="宋体"/>
          <w:color w:val="auto"/>
          <w:szCs w:val="21"/>
          <w:highlight w:val="none"/>
          <w:u w:val="single"/>
        </w:rPr>
        <w:t xml:space="preserve"> 否</w:t>
      </w:r>
      <w:r>
        <w:rPr>
          <w:rFonts w:hint="eastAsia" w:ascii="宋体" w:hAnsi="宋体" w:cs="宋体"/>
          <w:color w:val="auto"/>
          <w:szCs w:val="21"/>
          <w:highlight w:val="none"/>
        </w:rPr>
        <w:t xml:space="preserve"> 。</w:t>
      </w:r>
    </w:p>
    <w:p w14:paraId="71B3FD88">
      <w:pPr>
        <w:spacing w:line="400" w:lineRule="exact"/>
        <w:ind w:firstLine="525" w:firstLineChars="250"/>
        <w:rPr>
          <w:rFonts w:ascii="宋体" w:hAnsi="宋体" w:cs="宋体"/>
          <w:color w:val="auto"/>
          <w:szCs w:val="21"/>
          <w:highlight w:val="none"/>
          <w:u w:val="single"/>
        </w:rPr>
      </w:pPr>
      <w:r>
        <w:rPr>
          <w:rFonts w:hint="eastAsia" w:ascii="宋体" w:hAnsi="宋体" w:cs="宋体"/>
          <w:color w:val="auto"/>
          <w:szCs w:val="21"/>
          <w:highlight w:val="none"/>
        </w:rPr>
        <w:t xml:space="preserve">13.8.3 关于采用其他方式调整合同价款的约定： </w:t>
      </w:r>
      <w:r>
        <w:rPr>
          <w:rFonts w:hint="eastAsia" w:ascii="宋体" w:hAnsi="宋体" w:cs="宋体"/>
          <w:color w:val="auto"/>
          <w:szCs w:val="21"/>
          <w:highlight w:val="none"/>
          <w:u w:val="single"/>
        </w:rPr>
        <w:t>（一）本工程在施工过程中市场价格波动不影响合同价格(除钢材（土建用钢材）、水泥、干混砂浆、商品混凝土根据政策性文件调价外)。</w:t>
      </w:r>
    </w:p>
    <w:p w14:paraId="1E25D9DB">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可调规格材料（仅限钢材（土建用钢材）、水泥、干混砂浆、商品混凝土）价款动态调整结算方式采用分段调差结算：材料上涨或下跌在约定的风险幅度范围以内的，不予调整。</w:t>
      </w:r>
    </w:p>
    <w:p w14:paraId="49982224">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材料上涨或下跌在约定的风险幅度范围以外的，按以下公式计算：</w:t>
      </w:r>
    </w:p>
    <w:p w14:paraId="3503A8A2">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①当单种规格材料价格（仅限钢材（土建用钢材）、水泥、干混砂浆、商品混凝土）上涨超过约定的风险幅度时，材料差价（正值）=〔施工期信息价平均值-编制期信息价×（1+风险幅度）〕×单种规格材料用量。</w:t>
      </w:r>
    </w:p>
    <w:p w14:paraId="6F421FFB">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②当单种规格材料价格（仅限钢材（土建用钢材）、水泥、干混砂浆、商品混凝土）下跌超过约定的风险幅度时，材料差价（负值）=〔施工期信息价平均值-编制期信息价×（1-风险幅度)〕×单种规格材料用量。</w:t>
      </w:r>
    </w:p>
    <w:p w14:paraId="4DECBA56">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注：单种规格材料用量”，是指可调规格材料原合同审定预算书的定额消耗量与联系单变更用量之和。“编制期信息价”，是指由工程造价管理部门在投标截止日前28日历天所在月份造价信息正刊发布的当期信息价。所在月份信息价如遇工程造价管理部门发布信息价格调整的，则该月信息价格按所发布信息价执行天数加权平均。）</w:t>
      </w:r>
    </w:p>
    <w:p w14:paraId="080EBFE1">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施工期信息价平均值（含次月针对该月的调整信息价）的计算方法如下：</w:t>
      </w:r>
    </w:p>
    <w:p w14:paraId="27299FB5">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钢材（土建用钢材）、水泥、干混砂浆、商品混凝土：经双方确认的实际开工日当月至主体中间结构验收通过当月《杭州造价信息》（正刊）中的信息价的算术平均值；干混砂浆按主体中间结构验收通过当月至工程竣工初验当月《杭州造价信息》（正刊）信息价的算术平均值</w:t>
      </w:r>
    </w:p>
    <w:p w14:paraId="333B8DDE">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本工程约定：单种规格材料价格（仅限钢材（土建用钢材）、水泥、干混砂浆、商品混凝土）风险幅度为5%。</w:t>
      </w:r>
    </w:p>
    <w:p w14:paraId="1962A64A">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按上述办法计算的材料价差款，待结算办理完毕与工程结算款一并支付。</w:t>
      </w:r>
    </w:p>
    <w:p w14:paraId="0BBF0728">
      <w:pPr>
        <w:spacing w:line="400" w:lineRule="exact"/>
        <w:ind w:firstLine="200"/>
        <w:rPr>
          <w:rFonts w:ascii="宋体" w:hAnsi="宋体" w:cs="宋体"/>
          <w:color w:val="auto"/>
          <w:szCs w:val="21"/>
          <w:highlight w:val="none"/>
          <w:u w:val="single"/>
        </w:rPr>
      </w:pPr>
      <w:r>
        <w:rPr>
          <w:rFonts w:hint="eastAsia" w:ascii="宋体" w:hAnsi="宋体" w:cs="宋体"/>
          <w:color w:val="auto"/>
          <w:szCs w:val="21"/>
          <w:highlight w:val="none"/>
          <w:u w:val="single"/>
        </w:rPr>
        <w:t>（二）人工：当人工市场价格波动幅度超过合同约定时，发、承包双方按照竣工后一次性结算方式调整人工费价差。人工价差采用价格指数法调价，价差只计取税金。风险幅度以外人工价差计算公式为：</w:t>
      </w:r>
    </w:p>
    <w:p w14:paraId="6203759A">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①当施工期人工价格指数平均值相对于编制期人工价格指数的比值上涨超过约定的风险幅度时，人工费价差（正值）=〔合同工期内各月份人工价格指数算术平均值／编制期人工价格指数－（1+风险幅度）〕×人工费总额。②当施工期人工价格指数平均值相对于编制期人工价格指数的比值下跌超过约定的风险幅度时，人工费价差（负值）=〔合同工期内各月份人工价格指数算术平均值／编制期人工价格指数）－（1-风险幅度)〕×人工费总额（注：公式中的“人工费总额”，是指按原合同口径计算的结算造价的人工费（包括合同价及联系单调整部分的人工费）。“编制期人工价格指数”，是指投标截止日所在月份前28日历天由工程造价管理部门发布的人工价格指数）。</w:t>
      </w:r>
    </w:p>
    <w:p w14:paraId="70DD5554">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人工费的风险幅度为5%。</w:t>
      </w:r>
    </w:p>
    <w:p w14:paraId="29678A84">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以上材料、人工的调差，1）由于承包方原因延误工期而遇价格涨跌的，延误期间的价格上涨费用由承包方自行承担；反之，因价格下降造成的价差则由发包人受益，发包人结算时扣回价差。2）非承包方原因延误工期而遇价格涨跌的，延误期间的价格上涨费用由发包人承担，价差计入工程造价；反之，因价格下降造成的价差则由承包人受益，发包人不得扣</w:t>
      </w:r>
      <w:r>
        <w:rPr>
          <w:rFonts w:hint="eastAsia" w:ascii="宋体" w:hAnsi="宋体" w:cs="宋体"/>
          <w:color w:val="auto"/>
          <w:szCs w:val="21"/>
          <w:highlight w:val="none"/>
          <w:u w:val="single"/>
        </w:rPr>
        <w:drawing>
          <wp:anchor distT="0" distB="0" distL="114300" distR="114300" simplePos="0" relativeHeight="251665408" behindDoc="0" locked="0" layoutInCell="1" allowOverlap="1">
            <wp:simplePos x="0" y="0"/>
            <wp:positionH relativeFrom="column">
              <wp:posOffset>8890</wp:posOffset>
            </wp:positionH>
            <wp:positionV relativeFrom="paragraph">
              <wp:posOffset>275590</wp:posOffset>
            </wp:positionV>
            <wp:extent cx="533400" cy="6350"/>
            <wp:effectExtent l="0" t="0" r="0" b="0"/>
            <wp:wrapNone/>
            <wp:docPr id="19" name="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 33"/>
                    <pic:cNvPicPr>
                      <a:picLocks noChangeAspect="1"/>
                    </pic:cNvPicPr>
                  </pic:nvPicPr>
                  <pic:blipFill>
                    <a:blip r:embed="rId25"/>
                    <a:stretch>
                      <a:fillRect/>
                    </a:stretch>
                  </pic:blipFill>
                  <pic:spPr>
                    <a:xfrm>
                      <a:off x="0" y="0"/>
                      <a:ext cx="533400" cy="6350"/>
                    </a:xfrm>
                    <a:prstGeom prst="rect">
                      <a:avLst/>
                    </a:prstGeom>
                    <a:noFill/>
                    <a:ln>
                      <a:noFill/>
                    </a:ln>
                  </pic:spPr>
                </pic:pic>
              </a:graphicData>
            </a:graphic>
          </wp:anchor>
        </w:drawing>
      </w:r>
      <w:r>
        <w:rPr>
          <w:rFonts w:hint="eastAsia" w:ascii="宋体" w:hAnsi="宋体" w:cs="宋体"/>
          <w:color w:val="auto"/>
          <w:szCs w:val="21"/>
          <w:highlight w:val="none"/>
          <w:u w:val="single"/>
        </w:rPr>
        <w:t>回价差。</w:t>
      </w:r>
    </w:p>
    <w:p w14:paraId="02A7AC58">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工程结算以审计部门审计结果为准。</w:t>
      </w:r>
    </w:p>
    <w:p w14:paraId="0DC3EE99">
      <w:pPr>
        <w:spacing w:line="360" w:lineRule="auto"/>
        <w:ind w:firstLine="600"/>
        <w:rPr>
          <w:rFonts w:ascii="宋体" w:hAnsi="宋体" w:cs="宋体"/>
          <w:b/>
          <w:bCs/>
          <w:color w:val="auto"/>
          <w:szCs w:val="21"/>
          <w:highlight w:val="none"/>
        </w:rPr>
      </w:pPr>
      <w:r>
        <w:rPr>
          <w:rFonts w:hint="eastAsia" w:ascii="宋体" w:hAnsi="宋体" w:cs="宋体"/>
          <w:b/>
          <w:bCs/>
          <w:color w:val="auto"/>
          <w:szCs w:val="21"/>
          <w:highlight w:val="none"/>
        </w:rPr>
        <w:t>第14条 合同价格与支付</w:t>
      </w:r>
    </w:p>
    <w:p w14:paraId="5FB66C1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 合同价格形式</w:t>
      </w:r>
    </w:p>
    <w:p w14:paraId="16C532A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14.1.1 关于合同价格形式的约定：</w:t>
      </w:r>
      <w:r>
        <w:rPr>
          <w:rFonts w:hint="eastAsia" w:ascii="宋体" w:hAnsi="宋体" w:cs="宋体"/>
          <w:color w:val="auto"/>
          <w:szCs w:val="21"/>
          <w:highlight w:val="none"/>
          <w:u w:val="single"/>
        </w:rPr>
        <w:t xml:space="preserve"> 本合同为固定总价合同，除根据第 13条变更和合同价格的调整，以及合同中其它相关增减金额的约定进行调整外，合同价格不做调整。调整后的合同总价不得超过经核定的投资概算。</w:t>
      </w:r>
    </w:p>
    <w:p w14:paraId="409ABB84">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承包人未按合同约定或未按图如实施工的部分在结算时应予以扣除；承包人未经发包人同意而擅自降低初步设计或约定要求和标准进行设计或实施的部分在结算时应扣减相应费用，且发包人有权追究违约责任。</w:t>
      </w:r>
    </w:p>
    <w:p w14:paraId="1518869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14.1.2 关于合同价格调整的约定：</w:t>
      </w:r>
    </w:p>
    <w:p w14:paraId="6A19C23D">
      <w:pPr>
        <w:widowControl/>
        <w:spacing w:line="360" w:lineRule="auto"/>
        <w:ind w:firstLine="510" w:firstLineChars="243"/>
        <w:rPr>
          <w:rFonts w:ascii="宋体" w:hAnsi="宋体" w:cs="宋体"/>
          <w:bCs/>
          <w:color w:val="auto"/>
          <w:szCs w:val="21"/>
          <w:highlight w:val="none"/>
          <w:u w:val="single"/>
        </w:rPr>
      </w:pPr>
      <w:r>
        <w:rPr>
          <w:rFonts w:hint="eastAsia" w:ascii="宋体" w:hAnsi="宋体" w:cs="宋体"/>
          <w:bCs/>
          <w:color w:val="auto"/>
          <w:szCs w:val="21"/>
          <w:highlight w:val="none"/>
          <w:u w:val="single"/>
        </w:rPr>
        <w:t>合同总价的确定原则：</w:t>
      </w:r>
    </w:p>
    <w:p w14:paraId="205EBA04">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（1）本合同总价为固定总价合同，除根据第13.3.3.1条变更和合同价格的调整，以及合同中其它相关增减金额的约定进行调整外，合同价格不做调整。</w:t>
      </w:r>
    </w:p>
    <w:p w14:paraId="726433FF">
      <w:pPr>
        <w:snapToGrid w:val="0"/>
        <w:spacing w:line="360" w:lineRule="auto"/>
        <w:ind w:firstLine="422" w:firstLineChars="200"/>
        <w:rPr>
          <w:rFonts w:ascii="宋体" w:hAnsi="宋体" w:cs="宋体"/>
          <w:b/>
          <w:bCs/>
          <w:color w:val="auto"/>
          <w:szCs w:val="21"/>
          <w:highlight w:val="none"/>
          <w:u w:val="single"/>
        </w:rPr>
      </w:pPr>
      <w:r>
        <w:rPr>
          <w:rFonts w:hint="eastAsia" w:ascii="宋体" w:hAnsi="宋体" w:cs="宋体"/>
          <w:b/>
          <w:bCs/>
          <w:color w:val="auto"/>
          <w:szCs w:val="21"/>
          <w:highlight w:val="none"/>
          <w:u w:val="single"/>
        </w:rPr>
        <w:t>（2）最终合同结算价=中标价±变更结算价款±人工材料调差费。</w:t>
      </w:r>
    </w:p>
    <w:p w14:paraId="5F8504A0">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（3）施工图预算编制原则及方法。</w:t>
      </w:r>
    </w:p>
    <w:p w14:paraId="160B8B38">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①关于工程量的确定按《建设工程工程量清单计价规范》（GB50500-2013）文件。</w:t>
      </w:r>
    </w:p>
    <w:p w14:paraId="123D3E8D">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②编制依据：计价规则及定额套用按《浙江省建设工程计价规则》（2018版）、《浙江省房屋建筑和市政基础设施项目工程总承包计价规则》（2018版）、《浙江省房屋建筑与装饰工程预算定额》（2018 版）、《浙江省通用安装工程预算定额》（2018 版）、《浙江省市政工程预算定额》（2018 版）、《浙江省园林绿化及仿古建筑预算定额》（2018 版）和《浙江省建设工程施工机械台班费用定额》（2018 版）及相应的补充规定。</w:t>
      </w:r>
    </w:p>
    <w:p w14:paraId="26D0CE5C">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③企业管理费、规费、利润均按《浙江省建设工程计价规则》（2018 版）中建筑安装工程施工取费费率中其所属专业工程的“一般计税法”中的中值计取。</w:t>
      </w:r>
    </w:p>
    <w:p w14:paraId="5D007BAA">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④材料价格有信息价的按编制期除税信息价格，信息价正刊的套用顺序为《杭州造价信息》、《浙江造价信息》。无信息价的按市场除税价。</w:t>
      </w:r>
    </w:p>
    <w:p w14:paraId="21589B3D">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⑤施工组织措施费、技术措施费按规定计取。</w:t>
      </w:r>
    </w:p>
    <w:p w14:paraId="07A54AFA">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⑥税金按9%（如有最新规定的按最新规定）。</w:t>
      </w:r>
    </w:p>
    <w:p w14:paraId="0B2675C7">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 xml:space="preserve">⑦无信息价的材料、设备，在采购前必须经发包人确认后方可采购。 </w:t>
      </w:r>
      <w:r>
        <w:rPr>
          <w:rFonts w:hint="eastAsia" w:ascii="宋体" w:hAnsi="宋体" w:cs="宋体"/>
          <w:b/>
          <w:bCs/>
          <w:color w:val="auto"/>
          <w:szCs w:val="21"/>
          <w:highlight w:val="none"/>
          <w:u w:val="single"/>
        </w:rPr>
        <w:tab/>
      </w:r>
    </w:p>
    <w:p w14:paraId="3F64BCD5">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⑧有信息价、有定额的按上述①至⑥计算综合单价，并按投标报价同比例下浮。</w:t>
      </w:r>
    </w:p>
    <w:p w14:paraId="403BD30F">
      <w:pPr>
        <w:spacing w:line="360" w:lineRule="auto"/>
        <w:ind w:firstLine="422" w:firstLineChars="200"/>
        <w:rPr>
          <w:rFonts w:ascii="宋体" w:hAnsi="宋体" w:cs="宋体"/>
          <w:b/>
          <w:bCs/>
          <w:color w:val="auto"/>
          <w:szCs w:val="21"/>
          <w:highlight w:val="none"/>
          <w:u w:val="single"/>
        </w:rPr>
      </w:pPr>
      <w:r>
        <w:rPr>
          <w:rFonts w:hint="eastAsia" w:ascii="宋体" w:hAnsi="宋体" w:cs="宋体"/>
          <w:b/>
          <w:bCs/>
          <w:color w:val="auto"/>
          <w:szCs w:val="21"/>
          <w:highlight w:val="none"/>
          <w:u w:val="single"/>
        </w:rPr>
        <w:fldChar w:fldCharType="begin"/>
      </w:r>
      <w:r>
        <w:rPr>
          <w:rFonts w:hint="eastAsia" w:ascii="宋体" w:hAnsi="宋体" w:cs="宋体"/>
          <w:b/>
          <w:bCs/>
          <w:color w:val="auto"/>
          <w:szCs w:val="21"/>
          <w:highlight w:val="none"/>
          <w:u w:val="single"/>
        </w:rPr>
        <w:instrText xml:space="preserve">= 9 \* GB3</w:instrText>
      </w:r>
      <w:r>
        <w:rPr>
          <w:rFonts w:hint="eastAsia" w:ascii="宋体" w:hAnsi="宋体" w:cs="宋体"/>
          <w:b/>
          <w:bCs/>
          <w:color w:val="auto"/>
          <w:szCs w:val="21"/>
          <w:highlight w:val="none"/>
          <w:u w:val="single"/>
        </w:rPr>
        <w:fldChar w:fldCharType="separate"/>
      </w:r>
      <w:r>
        <w:rPr>
          <w:rFonts w:hint="eastAsia" w:ascii="宋体" w:hAnsi="宋体" w:cs="宋体"/>
          <w:b/>
          <w:bCs/>
          <w:color w:val="auto"/>
          <w:szCs w:val="21"/>
          <w:highlight w:val="none"/>
          <w:u w:val="single"/>
        </w:rPr>
        <w:t>⑨</w:t>
      </w:r>
      <w:r>
        <w:rPr>
          <w:rFonts w:hint="eastAsia" w:ascii="宋体" w:hAnsi="宋体" w:cs="宋体"/>
          <w:b/>
          <w:bCs/>
          <w:color w:val="auto"/>
          <w:szCs w:val="21"/>
          <w:highlight w:val="none"/>
          <w:u w:val="single"/>
        </w:rPr>
        <w:fldChar w:fldCharType="end"/>
      </w:r>
      <w:r>
        <w:rPr>
          <w:rFonts w:hint="eastAsia" w:ascii="宋体" w:hAnsi="宋体" w:cs="宋体"/>
          <w:b/>
          <w:bCs/>
          <w:color w:val="auto"/>
          <w:szCs w:val="21"/>
          <w:highlight w:val="none"/>
          <w:u w:val="single"/>
        </w:rPr>
        <w:t>无信息价、有定额的按上述①至⑥计算综合单价，并按投标报价同比例下浮。</w:t>
      </w:r>
      <w:r>
        <w:rPr>
          <w:rFonts w:hint="eastAsia" w:ascii="宋体" w:hAnsi="宋体" w:cs="宋体"/>
          <w:b/>
          <w:color w:val="auto"/>
          <w:szCs w:val="21"/>
          <w:highlight w:val="none"/>
          <w:u w:val="single"/>
        </w:rPr>
        <w:t>（其中除税市场价签证材料费不下浮）</w:t>
      </w:r>
    </w:p>
    <w:p w14:paraId="2E6D216C">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fldChar w:fldCharType="begin"/>
      </w:r>
      <w:r>
        <w:rPr>
          <w:rFonts w:hint="eastAsia" w:ascii="宋体" w:hAnsi="宋体" w:cs="宋体"/>
          <w:b/>
          <w:bCs/>
          <w:color w:val="auto"/>
          <w:szCs w:val="21"/>
          <w:highlight w:val="none"/>
          <w:u w:val="single"/>
        </w:rPr>
        <w:instrText xml:space="preserve">= 10 \* GB3</w:instrText>
      </w:r>
      <w:r>
        <w:rPr>
          <w:rFonts w:hint="eastAsia" w:ascii="宋体" w:hAnsi="宋体" w:cs="宋体"/>
          <w:b/>
          <w:bCs/>
          <w:color w:val="auto"/>
          <w:szCs w:val="21"/>
          <w:highlight w:val="none"/>
          <w:u w:val="single"/>
        </w:rPr>
        <w:fldChar w:fldCharType="separate"/>
      </w:r>
      <w:r>
        <w:rPr>
          <w:rFonts w:hint="eastAsia" w:ascii="宋体" w:hAnsi="宋体" w:cs="宋体"/>
          <w:b/>
          <w:bCs/>
          <w:color w:val="auto"/>
          <w:szCs w:val="21"/>
          <w:highlight w:val="none"/>
          <w:u w:val="single"/>
        </w:rPr>
        <w:t>⑩</w:t>
      </w:r>
      <w:r>
        <w:rPr>
          <w:rFonts w:hint="eastAsia" w:ascii="宋体" w:hAnsi="宋体" w:cs="宋体"/>
          <w:b/>
          <w:bCs/>
          <w:color w:val="auto"/>
          <w:szCs w:val="21"/>
          <w:highlight w:val="none"/>
          <w:u w:val="single"/>
        </w:rPr>
        <w:fldChar w:fldCharType="end"/>
      </w:r>
      <w:r>
        <w:rPr>
          <w:rFonts w:hint="eastAsia" w:ascii="宋体" w:hAnsi="宋体" w:cs="宋体"/>
          <w:b/>
          <w:bCs/>
          <w:color w:val="auto"/>
          <w:szCs w:val="21"/>
          <w:highlight w:val="none"/>
          <w:u w:val="single"/>
        </w:rPr>
        <w:t>无定额的经市场询价后，由发包人、承包人共同确定综合单价。</w:t>
      </w:r>
    </w:p>
    <w:p w14:paraId="70730A16">
      <w:pPr>
        <w:spacing w:line="360" w:lineRule="auto"/>
        <w:ind w:firstLine="310" w:firstLineChars="147"/>
        <w:rPr>
          <w:rFonts w:ascii="宋体" w:hAnsi="宋体" w:cs="宋体"/>
          <w:b/>
          <w:color w:val="auto"/>
          <w:szCs w:val="21"/>
          <w:highlight w:val="none"/>
          <w:u w:val="single"/>
        </w:rPr>
      </w:pPr>
      <w:r>
        <w:rPr>
          <w:rFonts w:hint="eastAsia" w:ascii="宋体" w:hAnsi="宋体" w:cs="宋体"/>
          <w:b/>
          <w:color w:val="auto"/>
          <w:szCs w:val="21"/>
          <w:highlight w:val="none"/>
          <w:u w:val="single"/>
        </w:rPr>
        <w:t>⑪清理现场的费用：除变更范围外包含在合同总价内（包含但不限于施工前场地平整、场地内苗木迁移、围墙砌筑、渣土（含施工时现场地下 4 米内障碍物，包括但不限于拆房剩余的钢筋混凝土、硬地坪、承台、基础、原有桩基础、地梁、废除的管线、各类水沟暗塘等，以及建筑垃圾及碎块、生活垃圾、弃土等）清除（挖）外运、周边管线的保护也包含在本次招标范围内。</w:t>
      </w:r>
    </w:p>
    <w:p w14:paraId="0EDEB69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14.1.3 按实际完成的工程量支付工程价款的计量方法、估价方法：</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14:paraId="2B97A4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 预付款</w:t>
      </w:r>
    </w:p>
    <w:p w14:paraId="41EAC9A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14.2.1 预付款支付</w:t>
      </w:r>
    </w:p>
    <w:p w14:paraId="0661FA2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预付款的金额或比例为：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12FF2D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预付款支付期限：</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1A5435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预付款扣回的方式：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C39B6A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14.2.2预付款担保</w:t>
      </w:r>
    </w:p>
    <w:p w14:paraId="225E8EF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提供预付款担保期限：</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8E47E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预付款担保形式：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374786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 工程进度款</w:t>
      </w:r>
    </w:p>
    <w:p w14:paraId="6A7C7F7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14.3.1 工程进度付款申请</w:t>
      </w:r>
    </w:p>
    <w:p w14:paraId="75E07FC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工程进度付款申请方式： 按 14.3.2 约定  。</w:t>
      </w:r>
    </w:p>
    <w:p w14:paraId="23042F9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承包人提交进度付款申请单的格式、内容、份数和时间：</w:t>
      </w:r>
      <w:r>
        <w:rPr>
          <w:rFonts w:hint="eastAsia" w:ascii="宋体" w:hAnsi="宋体" w:cs="宋体"/>
          <w:color w:val="auto"/>
          <w:szCs w:val="21"/>
          <w:highlight w:val="none"/>
          <w:u w:val="single"/>
        </w:rPr>
        <w:t xml:space="preserve">按发包人要求 </w:t>
      </w:r>
      <w:r>
        <w:rPr>
          <w:rFonts w:hint="eastAsia" w:ascii="宋体" w:hAnsi="宋体" w:cs="宋体"/>
          <w:color w:val="auto"/>
          <w:szCs w:val="21"/>
          <w:highlight w:val="none"/>
        </w:rPr>
        <w:t>。</w:t>
      </w:r>
    </w:p>
    <w:p w14:paraId="0388450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进度付款申请单应包括的内容： </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411824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14.3.2 进度付款审核和支付</w:t>
      </w:r>
    </w:p>
    <w:p w14:paraId="1A82CE0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进度付款的审核方式和支付的约定：</w:t>
      </w:r>
    </w:p>
    <w:p w14:paraId="2E6BEFA3">
      <w:pPr>
        <w:spacing w:line="360" w:lineRule="auto"/>
        <w:ind w:firstLine="420" w:firstLineChars="200"/>
        <w:rPr>
          <w:rFonts w:ascii="宋体" w:hAnsi="宋体" w:cs="宋体"/>
          <w:color w:val="auto"/>
          <w:spacing w:val="12"/>
          <w:szCs w:val="21"/>
          <w:highlight w:val="none"/>
        </w:rPr>
      </w:pPr>
      <w:r>
        <w:rPr>
          <w:rFonts w:hint="eastAsia" w:ascii="宋体" w:hAnsi="宋体" w:cs="宋体"/>
          <w:color w:val="auto"/>
          <w:szCs w:val="21"/>
          <w:highlight w:val="none"/>
        </w:rPr>
        <w:t xml:space="preserve"> (</w:t>
      </w:r>
      <w:r>
        <w:rPr>
          <w:rFonts w:hint="eastAsia" w:ascii="宋体" w:hAnsi="宋体" w:cs="宋体"/>
          <w:color w:val="auto"/>
          <w:spacing w:val="12"/>
          <w:szCs w:val="21"/>
          <w:highlight w:val="none"/>
        </w:rPr>
        <w:t>1</w:t>
      </w:r>
      <w:r>
        <w:rPr>
          <w:rFonts w:hint="eastAsia" w:ascii="宋体" w:hAnsi="宋体" w:cs="宋体"/>
          <w:color w:val="auto"/>
          <w:szCs w:val="21"/>
          <w:highlight w:val="none"/>
        </w:rPr>
        <w:t>)</w:t>
      </w:r>
      <w:r>
        <w:rPr>
          <w:rFonts w:hint="eastAsia" w:ascii="宋体" w:hAnsi="宋体" w:cs="宋体"/>
          <w:color w:val="auto"/>
          <w:spacing w:val="12"/>
          <w:szCs w:val="21"/>
          <w:highlight w:val="none"/>
        </w:rPr>
        <w:t>合同生效以及具备实施条件后7个工作日内，支付至合同总价的40%；</w:t>
      </w:r>
    </w:p>
    <w:p w14:paraId="532A1E11">
      <w:pPr>
        <w:spacing w:line="360" w:lineRule="auto"/>
        <w:ind w:firstLine="420" w:firstLineChars="200"/>
        <w:rPr>
          <w:rFonts w:ascii="宋体" w:hAnsi="宋体" w:cs="宋体"/>
          <w:color w:val="auto"/>
          <w:spacing w:val="12"/>
          <w:szCs w:val="21"/>
          <w:highlight w:val="none"/>
        </w:rPr>
      </w:pPr>
      <w:r>
        <w:rPr>
          <w:rFonts w:hint="eastAsia" w:ascii="宋体" w:hAnsi="宋体" w:cs="宋体"/>
          <w:color w:val="auto"/>
          <w:szCs w:val="21"/>
          <w:highlight w:val="none"/>
        </w:rPr>
        <w:t xml:space="preserve"> (</w:t>
      </w:r>
      <w:r>
        <w:rPr>
          <w:rFonts w:hint="eastAsia" w:ascii="宋体" w:hAnsi="宋体" w:cs="宋体"/>
          <w:color w:val="auto"/>
          <w:spacing w:val="12"/>
          <w:szCs w:val="21"/>
          <w:highlight w:val="none"/>
        </w:rPr>
        <w:t>2</w:t>
      </w:r>
      <w:r>
        <w:rPr>
          <w:rFonts w:hint="eastAsia" w:ascii="宋体" w:hAnsi="宋体" w:cs="宋体"/>
          <w:color w:val="auto"/>
          <w:szCs w:val="21"/>
          <w:highlight w:val="none"/>
        </w:rPr>
        <w:t>)</w:t>
      </w:r>
      <w:r>
        <w:rPr>
          <w:rFonts w:hint="eastAsia" w:ascii="宋体" w:hAnsi="宋体" w:cs="宋体"/>
          <w:color w:val="auto"/>
          <w:spacing w:val="12"/>
          <w:szCs w:val="21"/>
          <w:highlight w:val="none"/>
        </w:rPr>
        <w:t>竣工验收合格后，发包人在收到承包人完整的竣工资料后7个工作日内支付合同总价的 90%。</w:t>
      </w:r>
    </w:p>
    <w:p w14:paraId="7EA9AB38">
      <w:pPr>
        <w:spacing w:line="360" w:lineRule="auto"/>
        <w:ind w:firstLine="630" w:firstLineChars="300"/>
        <w:rPr>
          <w:rFonts w:ascii="宋体" w:hAnsi="宋体" w:cs="宋体"/>
          <w:color w:val="auto"/>
          <w:spacing w:val="2"/>
          <w:szCs w:val="21"/>
          <w:highlight w:val="none"/>
        </w:rPr>
      </w:pPr>
      <w:r>
        <w:rPr>
          <w:rFonts w:hint="eastAsia" w:ascii="宋体" w:hAnsi="宋体" w:cs="宋体"/>
          <w:color w:val="auto"/>
          <w:szCs w:val="21"/>
          <w:highlight w:val="none"/>
        </w:rPr>
        <w:t>(</w:t>
      </w:r>
      <w:r>
        <w:rPr>
          <w:rFonts w:hint="eastAsia" w:ascii="宋体" w:hAnsi="宋体" w:cs="宋体"/>
          <w:color w:val="auto"/>
          <w:spacing w:val="12"/>
          <w:szCs w:val="21"/>
          <w:highlight w:val="none"/>
          <w:lang w:val="en-US" w:eastAsia="zh-CN"/>
        </w:rPr>
        <w:t>3</w:t>
      </w:r>
      <w:r>
        <w:rPr>
          <w:rFonts w:hint="eastAsia" w:ascii="宋体" w:hAnsi="宋体" w:cs="宋体"/>
          <w:color w:val="auto"/>
          <w:szCs w:val="21"/>
          <w:highlight w:val="none"/>
        </w:rPr>
        <w:t>)</w:t>
      </w:r>
      <w:r>
        <w:rPr>
          <w:rFonts w:hint="eastAsia" w:ascii="宋体" w:hAnsi="宋体" w:cs="宋体"/>
          <w:color w:val="auto"/>
          <w:spacing w:val="12"/>
          <w:szCs w:val="21"/>
          <w:highlight w:val="none"/>
        </w:rPr>
        <w:t>审计完成后支付剩余尾款（若有违约金，应扣除相应违约金部分）</w:t>
      </w:r>
      <w:r>
        <w:rPr>
          <w:rFonts w:hint="eastAsia" w:ascii="宋体" w:hAnsi="宋体" w:cs="宋体"/>
          <w:color w:val="auto"/>
          <w:spacing w:val="6"/>
          <w:szCs w:val="21"/>
          <w:highlight w:val="none"/>
        </w:rPr>
        <w:t>。</w:t>
      </w:r>
    </w:p>
    <w:p w14:paraId="50104EF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 付款计划表</w:t>
      </w:r>
    </w:p>
    <w:p w14:paraId="39465AD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14.4.1 付款计划表的编制要求：</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79AF51A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14.4.2 付款计划表的编制与审批</w:t>
      </w:r>
    </w:p>
    <w:p w14:paraId="52BC9F5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付款计划表的编制：</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4D0ADD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14.5 竣工结算</w:t>
      </w:r>
    </w:p>
    <w:p w14:paraId="7EDEC09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14.5.1 竣工结算申请</w:t>
      </w:r>
    </w:p>
    <w:p w14:paraId="1781AD2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 xml:space="preserve">承包人提交竣工结算申请的时间： </w:t>
      </w:r>
      <w:r>
        <w:rPr>
          <w:rFonts w:hint="eastAsia" w:ascii="宋体" w:hAnsi="宋体" w:cs="宋体"/>
          <w:color w:val="auto"/>
          <w:szCs w:val="21"/>
          <w:highlight w:val="none"/>
          <w:u w:val="single"/>
        </w:rPr>
        <w:t>竣工验收合格通过日后的三十天内  。</w:t>
      </w:r>
    </w:p>
    <w:p w14:paraId="7612C2F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应向发包人提交承包人盖章、承包人总经理、项目经理签字的竣工结算报告及完整、有效的结算资料（工程联系单的有效性按照本合同专用条款的约定执行），发包人工程师在竣工结算资料回执上签字并加盖发包人公章后方可视为发包人收到竣工结算资料。发包人拒收的，承包人可以公证送达或者以特快专递给发包人总经理、工程师的方式送达。承包人不按期报送竣工结算资料且经发包人催促后 14 天内仍未提供的，发包人有权根据已有资料进行审查，责任由承包人自负，同时发包人有权按补充条款的约定进行处罚。</w:t>
      </w:r>
    </w:p>
    <w:p w14:paraId="67D6670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发包人自有效收到之日，选择按照如下方式完成对承包人提交的竣工结算报告及完整、有效的结算资料的审计：</w:t>
      </w:r>
    </w:p>
    <w:p w14:paraId="2F5BCC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（1）该工程为政府性投资项目，发包人根据国家造价管理的有关规定以委托审定 （发包人审定或委托审定） 的工程结算价为准，与承包人办理最终价款结算手续。</w:t>
      </w:r>
    </w:p>
    <w:p w14:paraId="08F891D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若发包人委托中介机构对承包人提交的竣工结算报告进行审核（计）时，承包人必须根据发包人及中介机构的要求履行配合义务，因承包人不配合中介机构，导致中介机构无法及时完成造价审核（审计）的，责任由承包人承担，承包人不得以此要求发包人承担逾期付款违约责任。</w:t>
      </w:r>
    </w:p>
    <w:p w14:paraId="65C8F3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（3）发包人向承包人提交审核报告（审计报告）后 30 日内，承包人未提出异议的或异议不符合合同约定和文件规定的，视为承包人认可该审核报告（审计报告），发包人按审核报告支付结算款。</w:t>
      </w:r>
    </w:p>
    <w:p w14:paraId="757D566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在竣工结算价款最终由承包人书面确认或者由审价机构的审核报告最终确认或者诉至法院被法院最终判决确认后的十五日内，承包人应提供收款明细表和财务凭证，会同发包人对已经支付的工程价款、未付的工程结算价款进行对帐并确认，多退少补。承包人应协助发包人从有关单位退还各类工程建设各类押金，在工程结算造价审定后支付前，承包人应将退还押金所需的资料准备妥当并提供给发包人，因承包人未准备和提供因而导致发包人未能从有关单位退还墙改、水泥、档案等各项押金的，发包人有权扣除与押金总额相等金额的工程款，待退还押金后再将款项支付给承包人。</w:t>
      </w:r>
    </w:p>
    <w:p w14:paraId="4F44B4A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竣工结算申请的资料清单和份数： 按发包人要求 。</w:t>
      </w:r>
    </w:p>
    <w:p w14:paraId="7412F1E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竣工结算申请单的内容应包括： 按通用条款执行 。</w:t>
      </w:r>
    </w:p>
    <w:p w14:paraId="29B6504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14.5.2 竣工结算审核</w:t>
      </w:r>
    </w:p>
    <w:p w14:paraId="4731A6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发包人在收到承包人提交竣工结算申请书后。有关确认竣工结算审核的具体时间以发包人出具正式结算审定意见之日为准。</w:t>
      </w:r>
    </w:p>
    <w:p w14:paraId="0802983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发包人审批竣工付款申请单的期限：</w:t>
      </w:r>
      <w:r>
        <w:rPr>
          <w:rFonts w:hint="eastAsia" w:ascii="宋体" w:hAnsi="宋体" w:cs="宋体"/>
          <w:color w:val="auto"/>
          <w:szCs w:val="21"/>
          <w:highlight w:val="none"/>
          <w:u w:val="single"/>
        </w:rPr>
        <w:t xml:space="preserve">收到竣工付款申请单 30 天内 </w:t>
      </w:r>
      <w:r>
        <w:rPr>
          <w:rFonts w:hint="eastAsia" w:ascii="宋体" w:hAnsi="宋体" w:cs="宋体"/>
          <w:color w:val="auto"/>
          <w:szCs w:val="21"/>
          <w:highlight w:val="none"/>
        </w:rPr>
        <w:t>。</w:t>
      </w:r>
    </w:p>
    <w:p w14:paraId="60847C81">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发包人完成竣工付款的期限：</w:t>
      </w:r>
      <w:r>
        <w:rPr>
          <w:rFonts w:hint="eastAsia" w:ascii="宋体" w:hAnsi="宋体" w:cs="宋体"/>
          <w:color w:val="auto"/>
          <w:szCs w:val="21"/>
          <w:highlight w:val="none"/>
          <w:u w:val="single"/>
        </w:rPr>
        <w:t>经发包人相关部门审定或备案后，发包人支付至结算价的100%。</w:t>
      </w:r>
    </w:p>
    <w:p w14:paraId="3CEF431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关于竣工付款证书异议部分复核的方式和程序： </w:t>
      </w:r>
      <w:r>
        <w:rPr>
          <w:rFonts w:hint="eastAsia" w:ascii="宋体" w:hAnsi="宋体" w:cs="宋体"/>
          <w:color w:val="auto"/>
          <w:szCs w:val="21"/>
          <w:highlight w:val="none"/>
          <w:u w:val="single"/>
        </w:rPr>
        <w:t xml:space="preserve"> 按通用条款执行    </w:t>
      </w:r>
      <w:r>
        <w:rPr>
          <w:rFonts w:hint="eastAsia" w:ascii="宋体" w:hAnsi="宋体" w:cs="宋体"/>
          <w:color w:val="auto"/>
          <w:szCs w:val="21"/>
          <w:highlight w:val="none"/>
        </w:rPr>
        <w:t xml:space="preserve"> 。</w:t>
      </w:r>
    </w:p>
    <w:p w14:paraId="4A67000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（1）发包人根据国家造价管理的有关规定以及发包人审定的工程造价结算，与承包人办理最终价款结算手续。承包方应当在工程验收合格后的一个月内向发包方提交完整的工程竣工结算资料，经发包人催促后 14 天内仍未提供或没有明确答复，发包人有权根据已有资料进行审查，承包人同意，无论双方对工程量和工程造价结算是否存在异议，也无论这一异议最终是否提交诉讼或仲裁，最终工程款的结算价格以发包人审定的工程造价为唯一的确定依据，责任由承包人自负。</w:t>
      </w:r>
    </w:p>
    <w:p w14:paraId="55DCABC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（2）工程价款结算审计按杭财建（2014）109 号文件执行，超过 5%以外的核减额追加费用由施工单位支付。</w:t>
      </w:r>
    </w:p>
    <w:p w14:paraId="7CF0FA8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（3）承包人必须保证施工过程所提出的签证内容是合法的、真实的，并不由于发包人和监理工程师的确认而免除承包人的责任。</w:t>
      </w:r>
    </w:p>
    <w:p w14:paraId="5C9B899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若财政或审计部门委托中介机构对承包人提交的竣工结算报告进行审核（计）时，承包人必须根据发包人及中介机构的要求履行配合义务，因承包人不配合中介机构或配合不到位，导致中介机构无法及时完成造价审核（审计）的，责任由承包人承担，承包人不得以此要求发包人承担逾期付款违约责任。承包人不配合的情形包括但不限于：拒绝核对工程量；拒绝接受中介机构的询证、询问和审核；拒绝对审计审价报告征求初稿发表意见；拒绝签收审计审价报告初稿等。</w:t>
      </w:r>
    </w:p>
    <w:p w14:paraId="0C1ACC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（5）发包人向承包人提交审核报告（审计报告）初稿后 30 日内，承包人未书面提出异议或异议内容无合法依据的，视为承包人认可该报告数据，审核中介机构可以出具单方审核报告，发包人按审核报告结算工程款。</w:t>
      </w:r>
    </w:p>
    <w:p w14:paraId="57BF6D1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（6）工程竣工结算总造价应控制在政府有关部门已批复的概算内，否则不予支付。</w:t>
      </w:r>
    </w:p>
    <w:p w14:paraId="7EFB364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（7）承包人提交竣工结算资料时必须提供预算软件导出的带有计价软件格式的电子结算文件。</w:t>
      </w:r>
    </w:p>
    <w:p w14:paraId="56C07D0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14.6 质量保证金</w:t>
      </w:r>
    </w:p>
    <w:p w14:paraId="2A834D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14.6.1 承包人提供质量保证金的方式</w:t>
      </w:r>
    </w:p>
    <w:p w14:paraId="64FC0A8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质量保证金采用以下第</w:t>
      </w:r>
      <w:r>
        <w:rPr>
          <w:rFonts w:hint="eastAsia" w:ascii="宋体" w:hAnsi="宋体" w:cs="宋体"/>
          <w:color w:val="auto"/>
          <w:szCs w:val="21"/>
          <w:highlight w:val="none"/>
          <w:u w:val="single"/>
        </w:rPr>
        <w:t>/</w:t>
      </w:r>
      <w:r>
        <w:rPr>
          <w:rFonts w:hint="eastAsia" w:ascii="宋体" w:hAnsi="宋体" w:cs="宋体"/>
          <w:color w:val="auto"/>
          <w:szCs w:val="21"/>
          <w:highlight w:val="none"/>
        </w:rPr>
        <w:t>种方式：</w:t>
      </w:r>
    </w:p>
    <w:p w14:paraId="7C1632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1、工程质量保证担保，保证金额为：</w:t>
      </w:r>
      <w:r>
        <w:rPr>
          <w:rFonts w:hint="eastAsia" w:ascii="宋体" w:hAnsi="宋体" w:cs="宋体"/>
          <w:color w:val="auto"/>
          <w:szCs w:val="21"/>
          <w:highlight w:val="none"/>
          <w:u w:val="single"/>
        </w:rPr>
        <w:t>采用（  /  ） 方式</w:t>
      </w:r>
      <w:r>
        <w:rPr>
          <w:rFonts w:hint="eastAsia" w:ascii="宋体" w:hAnsi="宋体" w:cs="宋体"/>
          <w:color w:val="auto"/>
          <w:szCs w:val="21"/>
          <w:highlight w:val="none"/>
        </w:rPr>
        <w:t>；</w:t>
      </w:r>
    </w:p>
    <w:p w14:paraId="38330ED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（1）保证保险，保证金额为：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1E6DB8F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（2）银行保函，保证金额为：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60C230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（3）融资担保公司担保，保证金额为：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9A071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2、预留</w:t>
      </w:r>
      <w:r>
        <w:rPr>
          <w:rFonts w:hint="eastAsia" w:ascii="宋体" w:hAnsi="宋体" w:cs="宋体"/>
          <w:color w:val="auto"/>
          <w:szCs w:val="21"/>
          <w:highlight w:val="none"/>
          <w:u w:val="single"/>
        </w:rPr>
        <w:t>/</w:t>
      </w:r>
      <w:r>
        <w:rPr>
          <w:rFonts w:hint="eastAsia" w:ascii="宋体" w:hAnsi="宋体" w:cs="宋体"/>
          <w:color w:val="auto"/>
          <w:szCs w:val="21"/>
          <w:highlight w:val="none"/>
        </w:rPr>
        <w:t>%的工程款；</w:t>
      </w:r>
    </w:p>
    <w:p w14:paraId="207E1F9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3、其他方式：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530C5FE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14.6.2 质量保证金的预留</w:t>
      </w:r>
    </w:p>
    <w:p w14:paraId="022E8FD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质量保证金的预留采取以下第</w:t>
      </w:r>
      <w:r>
        <w:rPr>
          <w:rFonts w:hint="eastAsia" w:ascii="宋体" w:hAnsi="宋体" w:cs="宋体"/>
          <w:color w:val="auto"/>
          <w:szCs w:val="21"/>
          <w:highlight w:val="none"/>
          <w:u w:val="single"/>
        </w:rPr>
        <w:t>/</w:t>
      </w:r>
      <w:r>
        <w:rPr>
          <w:rFonts w:hint="eastAsia" w:ascii="宋体" w:hAnsi="宋体" w:cs="宋体"/>
          <w:color w:val="auto"/>
          <w:szCs w:val="21"/>
          <w:highlight w:val="none"/>
        </w:rPr>
        <w:t>种方式：</w:t>
      </w:r>
    </w:p>
    <w:p w14:paraId="246937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 在支付工程进度款时逐次预留的质量保证金的比例：</w:t>
      </w:r>
      <w:r>
        <w:rPr>
          <w:rFonts w:hint="eastAsia" w:ascii="宋体" w:hAnsi="宋体" w:cs="宋体"/>
          <w:color w:val="auto"/>
          <w:szCs w:val="21"/>
          <w:highlight w:val="none"/>
          <w:u w:val="single"/>
        </w:rPr>
        <w:t>//</w:t>
      </w:r>
      <w:r>
        <w:rPr>
          <w:rFonts w:hint="eastAsia" w:ascii="宋体" w:hAnsi="宋体" w:cs="宋体"/>
          <w:color w:val="auto"/>
          <w:szCs w:val="21"/>
          <w:highlight w:val="none"/>
        </w:rPr>
        <w:t>，在此情形下，质量保证金的计算基数不包括预付款的支付、扣回以及价格调整的金额；</w:t>
      </w:r>
    </w:p>
    <w:p w14:paraId="0EBB82E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 工程竣工结算时一次性预留专用合同条件第14.6.1项第(2)目约定的工程款预留比例的质量保证金；</w:t>
      </w:r>
    </w:p>
    <w:p w14:paraId="31ADA7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 其他预留方式: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5A967C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关于质量保证金的补充约定：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2A01FB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14.7 最终结清</w:t>
      </w:r>
    </w:p>
    <w:p w14:paraId="26DECC2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14.7.1 最终结清申请单</w:t>
      </w:r>
    </w:p>
    <w:p w14:paraId="7FA7E54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当事人双方关于最终结清申请的其他约定：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EE87EA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14.7.2 最终结清证书和支付</w:t>
      </w:r>
    </w:p>
    <w:p w14:paraId="709227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当事人双方关于最终结清支付的其他约定：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5B75155">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第15条 违约</w:t>
      </w:r>
    </w:p>
    <w:p w14:paraId="6036BF3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15.1 发包人违约</w:t>
      </w:r>
    </w:p>
    <w:p w14:paraId="39C9311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15.1.1 发包人违约的情形</w:t>
      </w:r>
    </w:p>
    <w:p w14:paraId="48C5BB5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发包人违约的其他情形</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4F39C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15.1.3 发包人违约的责任</w:t>
      </w:r>
    </w:p>
    <w:p w14:paraId="099B836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发包人违约责任的承担方式和计算方法：</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1B0BAE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15.2 承包人违约</w:t>
      </w:r>
    </w:p>
    <w:p w14:paraId="0A9CC6E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15.2.1 承包人违约的情形</w:t>
      </w:r>
    </w:p>
    <w:p w14:paraId="1BB2336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承包人违约的其他情形：</w:t>
      </w:r>
    </w:p>
    <w:p w14:paraId="576962A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1）工期延期在一个月内的，每拖延一天处以违约金为签约合同价的万分之二，延期超过一个月的，每拖延一天处以违约金为签约合同价的万分之四。如因承包人自身原因造成工期严重滞后，又无明显改进措施的，发包人有权要求承包人无条件退场，并承担由此产生的一切损失，同时，发包人也有权安排其他施工队伍进场施工，费用经审计机构审核后从承包人合同价款中扣除。承包人拒不退场，也不配合第三方施工队伍进场的，必须承担一切赔偿责任；承包人必须严格按照施工图及工程施工验收规范等精心组织施工，严格把好每道工序的质量关，确保工程质量达到合格等级。经验收，如有不合格工程，承包人应无条件返工、整改、采取相应的补救、修复措施，直至验收合格，由此追加的费用和延误的工期均由承包人负责，并处以工程结算总造价的 5%的违约金。</w:t>
      </w:r>
    </w:p>
    <w:p w14:paraId="70B9F508">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（2）承包人违反合同约定进行转包或违法分包的，一经发现，发包人有权终止合同，承包人应支付签约合同价 1%的违约金，由此所产生的一切后果及经济损失均由承包人承担。</w:t>
      </w:r>
    </w:p>
    <w:p w14:paraId="214620D7">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（3）</w:t>
      </w:r>
      <w:r>
        <w:rPr>
          <w:rFonts w:hint="eastAsia" w:ascii="宋体" w:hAnsi="宋体" w:cs="宋体"/>
          <w:color w:val="auto"/>
          <w:szCs w:val="21"/>
          <w:highlight w:val="none"/>
          <w:u w:val="single"/>
        </w:rPr>
        <w:t>发包人检查发现的因承包人原因引起质量问题，在书面整改通知的时间内未整改，每延迟整改一天则有权违约金2000 元/项；在施工过程中发现偷工减料现象、使用不合格或以次充好的材料有权违约金 10000 元/次；不能一次性通过合格验收，则扣除合同总价 2%的违约金。</w:t>
      </w:r>
    </w:p>
    <w:p w14:paraId="354961A9">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（4）</w:t>
      </w:r>
      <w:r>
        <w:rPr>
          <w:rFonts w:hint="eastAsia" w:ascii="宋体" w:hAnsi="宋体" w:cs="宋体"/>
          <w:color w:val="auto"/>
          <w:szCs w:val="21"/>
          <w:highlight w:val="none"/>
          <w:u w:val="single"/>
        </w:rPr>
        <w:t>因承包人原因造成工期延误，逾期竣工违约金的上限：不超过工程签约合同的 2% 。</w:t>
      </w:r>
    </w:p>
    <w:p w14:paraId="666DD5C6">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（5）</w:t>
      </w:r>
      <w:r>
        <w:rPr>
          <w:rFonts w:hint="eastAsia" w:ascii="宋体" w:hAnsi="宋体" w:cs="宋体"/>
          <w:color w:val="auto"/>
          <w:szCs w:val="21"/>
          <w:highlight w:val="none"/>
          <w:u w:val="single"/>
        </w:rPr>
        <w:t>从项目中标到竣工，承包人不得随意更换项目总负责人和项目经理（即施工负责人，下同）。确因需要更换项目总负责人或项目经理的，应当办理书面更换手续，更换后的项目总负责人或项目经理必须同样满足执业资格、业绩等要求，项目总负责人或项目经理每更换一次处以 1 万元作为违约金。</w:t>
      </w:r>
    </w:p>
    <w:p w14:paraId="0B488E00">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（6）</w:t>
      </w:r>
      <w:r>
        <w:rPr>
          <w:rFonts w:hint="eastAsia" w:ascii="宋体" w:hAnsi="宋体" w:cs="宋体"/>
          <w:color w:val="auto"/>
          <w:szCs w:val="21"/>
          <w:highlight w:val="none"/>
          <w:u w:val="single"/>
        </w:rPr>
        <w:t>承包人应定期对项目经理到岗率和履行岗位职责情况进行检查和考核，并做好书面记录，要求施工企业副总及以上职位人员每月不少于一次参加工地例会、每月不少于一次带班检查工地。若发现不到会议、未带班检查情况，每次处以合同价的0.1%作为违约金(每人次上限800元)。</w:t>
      </w:r>
    </w:p>
    <w:p w14:paraId="6702B4A7">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（7）</w:t>
      </w:r>
      <w:r>
        <w:rPr>
          <w:rFonts w:hint="eastAsia" w:ascii="宋体" w:hAnsi="宋体" w:cs="宋体"/>
          <w:color w:val="auto"/>
          <w:szCs w:val="21"/>
          <w:highlight w:val="none"/>
          <w:u w:val="single"/>
        </w:rPr>
        <w:t>项目施工机构应对进场用于工程材料、设备、构配件审查报验，并按照规定对用于工程的材料进行复试检验。若发现已使用未检验或经检验不合格已使用或经检验不合格未限期退场的工程材料、设备、构配件(含不限于材料设备尺寸、品牌、型号、外观、含量等)，以及现场未按施工图施工等情况，视作施工机构不履职违约，每次每项处以5000元作为违约金。</w:t>
      </w:r>
    </w:p>
    <w:p w14:paraId="4F5345D6">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（8）</w:t>
      </w:r>
      <w:r>
        <w:rPr>
          <w:rFonts w:hint="eastAsia" w:ascii="宋体" w:hAnsi="宋体" w:cs="宋体"/>
          <w:color w:val="auto"/>
          <w:szCs w:val="21"/>
          <w:highlight w:val="none"/>
          <w:u w:val="single"/>
        </w:rPr>
        <w:t>项目若发生质量、安全事故视作承包人不履职违约情况，若发生一般(有伤亡)、一般以上事故，每起处以5万元作为违约金；若发生一般(未伤亡)事故，每起处以1万元作为违约金。</w:t>
      </w:r>
    </w:p>
    <w:p w14:paraId="47F4643B">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（9）</w:t>
      </w:r>
      <w:r>
        <w:rPr>
          <w:rFonts w:hint="eastAsia" w:ascii="宋体" w:hAnsi="宋体" w:cs="宋体"/>
          <w:color w:val="auto"/>
          <w:szCs w:val="21"/>
          <w:highlight w:val="none"/>
          <w:u w:val="single"/>
        </w:rPr>
        <w:t>项目若因质量、安全、环境隐患问题发生媒体曝光、政府部门通报、政府部门约谈、3 人及以上群体信访、造成社会影响事件情况，视作承包人不履职违约，每起处以</w:t>
      </w:r>
      <w:r>
        <w:rPr>
          <w:rFonts w:hint="eastAsia" w:ascii="宋体" w:hAnsi="宋体" w:cs="宋体"/>
          <w:color w:val="auto"/>
          <w:szCs w:val="21"/>
          <w:highlight w:val="none"/>
          <w:u w:val="single"/>
          <w:lang w:val="en-US" w:eastAsia="zh-CN"/>
        </w:rPr>
        <w:t>1</w:t>
      </w:r>
      <w:r>
        <w:rPr>
          <w:rFonts w:hint="eastAsia" w:ascii="宋体" w:hAnsi="宋体" w:cs="宋体"/>
          <w:color w:val="auto"/>
          <w:szCs w:val="21"/>
          <w:highlight w:val="none"/>
          <w:u w:val="single"/>
        </w:rPr>
        <w:t>万元作为违约金(每次每项上限</w:t>
      </w:r>
      <w:r>
        <w:rPr>
          <w:rFonts w:hint="eastAsia" w:ascii="宋体" w:hAnsi="宋体" w:cs="宋体"/>
          <w:color w:val="auto"/>
          <w:szCs w:val="21"/>
          <w:highlight w:val="none"/>
          <w:u w:val="single"/>
          <w:lang w:val="en-US" w:eastAsia="zh-CN"/>
        </w:rPr>
        <w:t>1</w:t>
      </w:r>
      <w:r>
        <w:rPr>
          <w:rFonts w:hint="eastAsia" w:ascii="宋体" w:hAnsi="宋体" w:cs="宋体"/>
          <w:color w:val="auto"/>
          <w:szCs w:val="21"/>
          <w:highlight w:val="none"/>
          <w:u w:val="single"/>
        </w:rPr>
        <w:t>万元)。</w:t>
      </w:r>
    </w:p>
    <w:p w14:paraId="65573232">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（10）</w:t>
      </w:r>
      <w:r>
        <w:rPr>
          <w:rFonts w:hint="eastAsia" w:ascii="宋体" w:hAnsi="宋体" w:cs="宋体"/>
          <w:color w:val="auto"/>
          <w:szCs w:val="21"/>
          <w:highlight w:val="none"/>
          <w:u w:val="single"/>
        </w:rPr>
        <w:t>由承包人原因导致实际进度滞后于要求计划进度时，造成工期延误情况，视作承包人不履职违约，并处以事件延误每天合同价的0.02%作为违约金(每起上限1000元)。</w:t>
      </w:r>
    </w:p>
    <w:p w14:paraId="10133CC1">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u w:val="single"/>
        </w:rPr>
        <w:t>（11）承包人未按4.4.i条规定分包渣土运输业务的，发包人将处以罚款 5000元；承包人未按照4.4.i条规定加强建筑垃圾处置分包合同履约监管，出现分包单位使用不符合规定的车辆进出施工现场运输建筑垃圾或将建筑垃圾运输至非指定消纳场所等现象的，发包人将处以罚款 5000 元；承包人未做好工程垃圾处理出土处置台账的，发包人将处以罚款1000元；承包人未落实出土三联单制度，取得消纳处置场地接纳回执后，与运输、处置单位结算相关费用的，发包人将处以罚款500元；承包人未按照已备案的渣土处置方案落实渣土处置措施的，发包人将处以罚款5000元；</w:t>
      </w:r>
    </w:p>
    <w:p w14:paraId="3DD790E4">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15.1.2 </w:t>
      </w:r>
      <w:r>
        <w:rPr>
          <w:rFonts w:hint="eastAsia" w:ascii="宋体" w:hAnsi="宋体" w:cs="宋体"/>
          <w:color w:val="auto"/>
          <w:szCs w:val="21"/>
          <w:highlight w:val="none"/>
          <w:u w:val="single"/>
        </w:rPr>
        <w:t>因发包人原因造成工程质量未达到合同约定标准的，由发包人承担由此增加的费用和（或）延误的工期，但不包括承包人的利润损失。</w:t>
      </w:r>
    </w:p>
    <w:p w14:paraId="1F0837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15.2.2 通知改正</w:t>
      </w:r>
    </w:p>
    <w:p w14:paraId="4A1003A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工程师通知承包人改正的合理期限是：</w:t>
      </w:r>
      <w:r>
        <w:rPr>
          <w:rFonts w:hint="eastAsia" w:ascii="宋体" w:hAnsi="宋体" w:cs="宋体"/>
          <w:color w:val="auto"/>
          <w:szCs w:val="21"/>
          <w:highlight w:val="none"/>
          <w:u w:val="single"/>
        </w:rPr>
        <w:t>由于承包人原因未能通过竣工试验或竣工后试验的，在接到工程师整改通知书后 28 天内整改完成，逾期未整改的按承包人违约处理</w:t>
      </w:r>
      <w:r>
        <w:rPr>
          <w:rFonts w:hint="eastAsia" w:ascii="宋体" w:hAnsi="宋体" w:cs="宋体"/>
          <w:color w:val="auto"/>
          <w:szCs w:val="21"/>
          <w:highlight w:val="none"/>
        </w:rPr>
        <w:t>。</w:t>
      </w:r>
    </w:p>
    <w:p w14:paraId="5073D62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15.2.3 承包人违约的责任</w:t>
      </w:r>
    </w:p>
    <w:p w14:paraId="24909CE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承包人违约责任的承担方式和计算方法：</w:t>
      </w:r>
      <w:r>
        <w:rPr>
          <w:rFonts w:hint="eastAsia" w:ascii="宋体" w:hAnsi="宋体" w:cs="宋体"/>
          <w:color w:val="auto"/>
          <w:szCs w:val="21"/>
          <w:highlight w:val="none"/>
          <w:u w:val="single"/>
        </w:rPr>
        <w:t>承包人应承担因其违约行为而增加的费用和（或）延误的工期</w:t>
      </w:r>
      <w:r>
        <w:rPr>
          <w:rFonts w:hint="eastAsia" w:ascii="宋体" w:hAnsi="宋体" w:cs="宋体"/>
          <w:color w:val="auto"/>
          <w:szCs w:val="21"/>
          <w:highlight w:val="none"/>
        </w:rPr>
        <w:t>。</w:t>
      </w:r>
    </w:p>
    <w:p w14:paraId="46D13E0C">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第16条 合同解除</w:t>
      </w:r>
    </w:p>
    <w:p w14:paraId="0B68F1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16.1 由发包人解除合同</w:t>
      </w:r>
    </w:p>
    <w:p w14:paraId="605F020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16.1.1 因承包人违约解除合同</w:t>
      </w:r>
    </w:p>
    <w:p w14:paraId="4B05235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双方约定可由发包人解除合同的其他事由：</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F998C5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16.2 由承包人解除合同</w:t>
      </w:r>
    </w:p>
    <w:p w14:paraId="1C858E9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16.2.1 因发包人违约解除合同</w:t>
      </w:r>
    </w:p>
    <w:p w14:paraId="1748D94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双方约定可由承包人解除合同的其他事由：</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923D96C">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第17条 不可抗力</w:t>
      </w:r>
    </w:p>
    <w:p w14:paraId="7C20BD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17.1 不可抗力的定义</w:t>
      </w:r>
    </w:p>
    <w:p w14:paraId="651BB11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除通用合同条件约定的不可抗力事件之外，视为不可抗力的其他情形：</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047229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17.6 因不可抗力解除合同</w:t>
      </w:r>
    </w:p>
    <w:p w14:paraId="4825E4F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合同解除后，发包人应当在商定或确定发包人应支付款项后的</w:t>
      </w:r>
      <w:r>
        <w:rPr>
          <w:rFonts w:hint="eastAsia" w:ascii="宋体" w:hAnsi="宋体" w:cs="宋体"/>
          <w:color w:val="auto"/>
          <w:szCs w:val="21"/>
          <w:highlight w:val="none"/>
          <w:u w:val="single"/>
        </w:rPr>
        <w:t>28</w:t>
      </w:r>
      <w:r>
        <w:rPr>
          <w:rFonts w:hint="eastAsia" w:ascii="宋体" w:hAnsi="宋体" w:cs="宋体"/>
          <w:color w:val="auto"/>
          <w:szCs w:val="21"/>
          <w:highlight w:val="none"/>
        </w:rPr>
        <w:t>天内完成款项的支付。</w:t>
      </w:r>
    </w:p>
    <w:p w14:paraId="679519B7">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第18条保险</w:t>
      </w:r>
    </w:p>
    <w:p w14:paraId="6599ABD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18.1 设计和工程保险</w:t>
      </w:r>
    </w:p>
    <w:p w14:paraId="4CF2A14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18.1.1 双方当事人关于设计和工程保险的特别约定：</w:t>
      </w:r>
      <w:r>
        <w:rPr>
          <w:rFonts w:hint="eastAsia" w:ascii="宋体" w:hAnsi="宋体" w:cs="宋体"/>
          <w:color w:val="auto"/>
          <w:szCs w:val="21"/>
          <w:highlight w:val="none"/>
          <w:u w:val="single"/>
        </w:rPr>
        <w:t xml:space="preserve"> 为保证工程及双方现场人员、机械设备、原材料的安全，相关一切保险（包含工程强制性保险及为施工现场人员、设备、材料办理的商业保险）由承包人自行投保，费用包含在合同价款内。承包人须为本工程办理建设工程一切险并支付保险费用。在开工前承包人需提供工程一切险参保的相应凭据，若未能投保，则发包人有权从合同价款中扣除相关费用并向相应保险机构投保，工程其他人员、机械、原材料的相关保险，在工程发生相应事故（自然灾害或其他情况造成现场人员、机械、原材料造成损失的）的情况下，承包人应首先向保险公司办理索赔程序，如承包人未购买相应保险的，不得向发包人提出索赔申请</w:t>
      </w:r>
      <w:r>
        <w:rPr>
          <w:rFonts w:hint="eastAsia" w:ascii="宋体" w:hAnsi="宋体" w:cs="宋体"/>
          <w:color w:val="auto"/>
          <w:szCs w:val="21"/>
          <w:highlight w:val="none"/>
        </w:rPr>
        <w:t>。</w:t>
      </w:r>
    </w:p>
    <w:p w14:paraId="222DF73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18.1.2 双方当事人关于第三方责任险的特别约定：</w:t>
      </w:r>
      <w:r>
        <w:rPr>
          <w:rFonts w:hint="eastAsia" w:ascii="宋体" w:hAnsi="宋体" w:cs="宋体"/>
          <w:color w:val="auto"/>
          <w:szCs w:val="21"/>
          <w:highlight w:val="none"/>
          <w:u w:val="single"/>
        </w:rPr>
        <w:t>承包人应按国家地方有关规定和工程建设需要投保</w:t>
      </w:r>
      <w:r>
        <w:rPr>
          <w:rFonts w:hint="eastAsia" w:ascii="宋体" w:hAnsi="宋体" w:cs="宋体"/>
          <w:color w:val="auto"/>
          <w:szCs w:val="21"/>
          <w:highlight w:val="none"/>
        </w:rPr>
        <w:t>。</w:t>
      </w:r>
    </w:p>
    <w:p w14:paraId="43A84CA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18.2 工伤和意外伤害保险</w:t>
      </w:r>
    </w:p>
    <w:p w14:paraId="0F0D062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18.2.3 关于工伤保险和意外伤害保险的特别约定：</w:t>
      </w:r>
      <w:r>
        <w:rPr>
          <w:rFonts w:hint="eastAsia" w:ascii="宋体" w:hAnsi="宋体" w:cs="宋体"/>
          <w:color w:val="auto"/>
          <w:szCs w:val="21"/>
          <w:highlight w:val="none"/>
          <w:u w:val="single"/>
        </w:rPr>
        <w:t>承包人应按国家地方有关规定和工程建设需要投保</w:t>
      </w:r>
      <w:r>
        <w:rPr>
          <w:rFonts w:hint="eastAsia" w:ascii="宋体" w:hAnsi="宋体" w:cs="宋体"/>
          <w:color w:val="auto"/>
          <w:szCs w:val="21"/>
          <w:highlight w:val="none"/>
        </w:rPr>
        <w:t>。</w:t>
      </w:r>
    </w:p>
    <w:p w14:paraId="23C477C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18.3 货物保险</w:t>
      </w:r>
    </w:p>
    <w:p w14:paraId="12353C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关于承包人应为其施工设备、材料、工程设备和临时工程等办理财产保险的特别约定：</w:t>
      </w:r>
      <w:r>
        <w:rPr>
          <w:rFonts w:hint="eastAsia" w:ascii="宋体" w:hAnsi="宋体" w:cs="宋体"/>
          <w:color w:val="auto"/>
          <w:szCs w:val="21"/>
          <w:highlight w:val="none"/>
          <w:u w:val="single"/>
        </w:rPr>
        <w:t>承包人应按国家地方有关规定和工程建设需要投保</w:t>
      </w:r>
      <w:r>
        <w:rPr>
          <w:rFonts w:hint="eastAsia" w:ascii="宋体" w:hAnsi="宋体" w:cs="宋体"/>
          <w:color w:val="auto"/>
          <w:szCs w:val="21"/>
          <w:highlight w:val="none"/>
        </w:rPr>
        <w:t>。</w:t>
      </w:r>
    </w:p>
    <w:p w14:paraId="3D96D7E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18.4 其他保险</w:t>
      </w:r>
    </w:p>
    <w:p w14:paraId="0AEBC6D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关于其他保险的约定：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E61710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18.5 对各项保险的一般要求</w:t>
      </w:r>
    </w:p>
    <w:p w14:paraId="4BF546E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18.5.2 保险凭证</w:t>
      </w:r>
    </w:p>
    <w:p w14:paraId="28052E1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保险单的条件：</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A2A3A1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18.5.4 通知义务</w:t>
      </w:r>
    </w:p>
    <w:p w14:paraId="1DE486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关于变更保险合同时的通知义务的约定：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0E5CDDB">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第20条 争议解决</w:t>
      </w:r>
    </w:p>
    <w:p w14:paraId="3918A84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 争议评审</w:t>
      </w:r>
    </w:p>
    <w:p w14:paraId="473687D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合同当事人是否同意将工程争议提交争议评审小组决定： </w:t>
      </w:r>
      <w:r>
        <w:rPr>
          <w:rFonts w:hint="eastAsia" w:ascii="宋体" w:hAnsi="宋体" w:cs="宋体"/>
          <w:color w:val="auto"/>
          <w:szCs w:val="21"/>
          <w:highlight w:val="none"/>
          <w:u w:val="single"/>
        </w:rPr>
        <w:t xml:space="preserve"> 否</w:t>
      </w:r>
      <w:r>
        <w:rPr>
          <w:rFonts w:hint="eastAsia" w:ascii="宋体" w:hAnsi="宋体" w:cs="宋体"/>
          <w:color w:val="auto"/>
          <w:szCs w:val="21"/>
          <w:highlight w:val="none"/>
        </w:rPr>
        <w:t>。</w:t>
      </w:r>
    </w:p>
    <w:p w14:paraId="6D966B4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20.3.1 争议评审小组的确定</w:t>
      </w:r>
    </w:p>
    <w:p w14:paraId="31549B8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争议评审小组成员的人数：</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643C3D1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争议评审小组成员的确定：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524870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选定争议避免/评审组的期限：</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2256E1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评审机构：</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5084F48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其他事项的约定：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DC26C5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争议评审员报酬的承担人：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BFF91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20.3.2 争议的避免</w:t>
      </w:r>
    </w:p>
    <w:p w14:paraId="29E754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发包人和承包人是否均出席争议避免的非正式讨论：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ED547C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20.3.3 争议评审小组的决定</w:t>
      </w:r>
    </w:p>
    <w:p w14:paraId="766FFFB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关于争议评审小组的决定的特别约定：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76562D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20.4 仲裁或诉讼</w:t>
      </w:r>
    </w:p>
    <w:p w14:paraId="3D9872F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因合同及合同有关事项发生的争议，按下列第 2 种方式解决：</w:t>
      </w:r>
    </w:p>
    <w:p w14:paraId="27DCC86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（1）向</w:t>
      </w:r>
      <w:r>
        <w:rPr>
          <w:rFonts w:hint="eastAsia" w:ascii="宋体" w:hAnsi="宋体" w:cs="宋体"/>
          <w:color w:val="auto"/>
          <w:szCs w:val="21"/>
          <w:highlight w:val="none"/>
          <w:u w:val="single"/>
        </w:rPr>
        <w:t>/</w:t>
      </w:r>
      <w:r>
        <w:rPr>
          <w:rFonts w:hint="eastAsia" w:ascii="宋体" w:hAnsi="宋体" w:cs="宋体"/>
          <w:color w:val="auto"/>
          <w:szCs w:val="21"/>
          <w:highlight w:val="none"/>
        </w:rPr>
        <w:t>仲裁委员会申请仲裁；</w:t>
      </w:r>
    </w:p>
    <w:p w14:paraId="5C039F3B">
      <w:pPr>
        <w:pStyle w:val="45"/>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（2）向</w:t>
      </w:r>
      <w:r>
        <w:rPr>
          <w:rFonts w:hint="eastAsia" w:ascii="宋体" w:hAnsi="宋体" w:cs="宋体"/>
          <w:color w:val="auto"/>
          <w:szCs w:val="21"/>
          <w:highlight w:val="none"/>
          <w:u w:val="single"/>
        </w:rPr>
        <w:t>工程所在地</w:t>
      </w:r>
      <w:r>
        <w:rPr>
          <w:rFonts w:hint="eastAsia" w:ascii="宋体" w:hAnsi="宋体" w:cs="宋体"/>
          <w:color w:val="auto"/>
          <w:szCs w:val="21"/>
          <w:highlight w:val="none"/>
        </w:rPr>
        <w:t>人民法院起诉。</w:t>
      </w:r>
    </w:p>
    <w:p w14:paraId="149F8FC2">
      <w:pPr>
        <w:spacing w:line="360" w:lineRule="auto"/>
        <w:rPr>
          <w:rFonts w:ascii="宋体" w:hAnsi="宋体" w:cs="宋体"/>
          <w:color w:val="auto"/>
          <w:sz w:val="24"/>
          <w:highlight w:val="none"/>
        </w:rPr>
      </w:pPr>
    </w:p>
    <w:p w14:paraId="441629C0">
      <w:pPr>
        <w:spacing w:line="360" w:lineRule="auto"/>
        <w:rPr>
          <w:rFonts w:ascii="宋体" w:hAnsi="宋体" w:cs="宋体"/>
          <w:color w:val="auto"/>
          <w:sz w:val="24"/>
          <w:highlight w:val="none"/>
        </w:rPr>
      </w:pPr>
    </w:p>
    <w:p w14:paraId="464AD830">
      <w:pPr>
        <w:spacing w:line="360" w:lineRule="auto"/>
        <w:rPr>
          <w:rFonts w:ascii="宋体" w:hAnsi="宋体" w:cs="宋体"/>
          <w:color w:val="auto"/>
          <w:sz w:val="24"/>
          <w:highlight w:val="none"/>
        </w:rPr>
      </w:pPr>
    </w:p>
    <w:p w14:paraId="2DDED2F5">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附件1:工程质量保修书</w:t>
      </w:r>
    </w:p>
    <w:p w14:paraId="2A31D4E6">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附件2:安全生产责任协议书</w:t>
      </w:r>
    </w:p>
    <w:p w14:paraId="4D10C33E">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附件3:文明施工责任协议书</w:t>
      </w:r>
    </w:p>
    <w:p w14:paraId="5EB15B4D">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附件4:建设工程廉洁协议书</w:t>
      </w:r>
    </w:p>
    <w:p w14:paraId="01C4C513">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附件5</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承诺书</w:t>
      </w:r>
    </w:p>
    <w:p w14:paraId="60CF980B">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附件6</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联合体协议书</w:t>
      </w:r>
    </w:p>
    <w:p w14:paraId="692E5757">
      <w:pPr>
        <w:spacing w:line="360" w:lineRule="auto"/>
        <w:rPr>
          <w:rFonts w:ascii="宋体" w:hAnsi="宋体" w:cs="宋体"/>
          <w:color w:val="auto"/>
          <w:sz w:val="24"/>
          <w:highlight w:val="none"/>
        </w:rPr>
      </w:pPr>
    </w:p>
    <w:p w14:paraId="600A1C03">
      <w:pPr>
        <w:spacing w:line="360" w:lineRule="auto"/>
        <w:rPr>
          <w:rFonts w:ascii="宋体" w:hAnsi="宋体" w:cs="宋体"/>
          <w:color w:val="auto"/>
          <w:sz w:val="24"/>
          <w:highlight w:val="none"/>
        </w:rPr>
      </w:pPr>
    </w:p>
    <w:p w14:paraId="04CD881E">
      <w:pPr>
        <w:pStyle w:val="82"/>
        <w:rPr>
          <w:rFonts w:ascii="宋体" w:hAnsi="宋体" w:cs="宋体"/>
          <w:color w:val="auto"/>
          <w:highlight w:val="none"/>
        </w:rPr>
      </w:pPr>
    </w:p>
    <w:p w14:paraId="4EA11F3B">
      <w:pPr>
        <w:pStyle w:val="82"/>
        <w:rPr>
          <w:rFonts w:ascii="宋体" w:hAnsi="宋体" w:cs="宋体"/>
          <w:color w:val="auto"/>
          <w:highlight w:val="none"/>
        </w:rPr>
      </w:pPr>
    </w:p>
    <w:p w14:paraId="146E683B">
      <w:pPr>
        <w:pStyle w:val="82"/>
        <w:rPr>
          <w:rFonts w:ascii="宋体" w:hAnsi="宋体" w:cs="宋体"/>
          <w:color w:val="auto"/>
          <w:highlight w:val="none"/>
        </w:rPr>
      </w:pPr>
    </w:p>
    <w:p w14:paraId="7FFEA66B">
      <w:pPr>
        <w:spacing w:line="360" w:lineRule="auto"/>
        <w:rPr>
          <w:rFonts w:ascii="宋体" w:hAnsi="宋体" w:cs="宋体"/>
          <w:color w:val="auto"/>
          <w:sz w:val="24"/>
          <w:highlight w:val="none"/>
        </w:rPr>
      </w:pPr>
    </w:p>
    <w:p w14:paraId="65BF99D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附件1</w:t>
      </w:r>
    </w:p>
    <w:p w14:paraId="6A9C396A">
      <w:pPr>
        <w:spacing w:line="360" w:lineRule="auto"/>
        <w:jc w:val="center"/>
        <w:rPr>
          <w:rFonts w:ascii="宋体" w:hAnsi="宋体" w:cs="宋体"/>
          <w:color w:val="auto"/>
          <w:sz w:val="21"/>
          <w:szCs w:val="21"/>
          <w:highlight w:val="none"/>
        </w:rPr>
      </w:pPr>
      <w:bookmarkStart w:id="502" w:name="_Toc363065940"/>
      <w:r>
        <w:rPr>
          <w:rFonts w:hint="eastAsia" w:ascii="宋体" w:hAnsi="宋体" w:cs="宋体"/>
          <w:color w:val="auto"/>
          <w:sz w:val="21"/>
          <w:szCs w:val="21"/>
          <w:highlight w:val="none"/>
        </w:rPr>
        <w:t>工程质量保修书</w:t>
      </w:r>
      <w:bookmarkEnd w:id="502"/>
    </w:p>
    <w:p w14:paraId="360FECFF">
      <w:pPr>
        <w:spacing w:line="360" w:lineRule="auto"/>
        <w:rPr>
          <w:rFonts w:ascii="宋体" w:hAnsi="宋体" w:cs="宋体"/>
          <w:color w:val="auto"/>
          <w:sz w:val="21"/>
          <w:szCs w:val="21"/>
          <w:highlight w:val="none"/>
        </w:rPr>
      </w:pPr>
    </w:p>
    <w:p w14:paraId="29287CD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发包人（全称）： </w:t>
      </w:r>
    </w:p>
    <w:p w14:paraId="1937A8D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承包人（全称）：</w:t>
      </w:r>
    </w:p>
    <w:p w14:paraId="62C180D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为保证在合理使用期限内正常使用，发包人承包人协商一致签订工程质量保修书。承包人在质量保修期内按照有关管理规定及双方约定承担工程质量保修责任。</w:t>
      </w:r>
    </w:p>
    <w:p w14:paraId="45F744C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一、工程质量保修范围和内容</w:t>
      </w:r>
    </w:p>
    <w:p w14:paraId="7760956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承包人质量保修期内，按照有关法律、法规、规章的管理规定和双方约定，承担本工程质量保修责任。</w:t>
      </w:r>
    </w:p>
    <w:p w14:paraId="50F6CAB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保修内容为：本合同承包范围内的全部工程内容的施工质量和材料质量承担免费保修义务，避免出现任何质量劣化现象。</w:t>
      </w:r>
    </w:p>
    <w:p w14:paraId="36E82BC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二、质量保修期</w:t>
      </w:r>
    </w:p>
    <w:p w14:paraId="77640B1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质量保修期从工程实际竣工之日算起。</w:t>
      </w:r>
    </w:p>
    <w:p w14:paraId="2AFC510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双方根据《建设工程质量管理条例》及国家有关规定，结合具体工程情况约定质量保修期如下：</w:t>
      </w:r>
    </w:p>
    <w:p w14:paraId="449BF1D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1、地基基础工程和主体结构工程为设计文件规定的该工程合理使用年限；</w:t>
      </w:r>
    </w:p>
    <w:p w14:paraId="1EB57C7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2、屋面防水工程、有防水要求的卫生间、房间和外墙面的防渗漏为五年；</w:t>
      </w:r>
    </w:p>
    <w:p w14:paraId="6A2754F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3、装修工程为贰年；</w:t>
      </w:r>
    </w:p>
    <w:p w14:paraId="6029660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4、电气管线、给排水管道、设备安装工程为</w:t>
      </w:r>
      <w:r>
        <w:rPr>
          <w:rFonts w:hint="eastAsia" w:ascii="宋体" w:hAnsi="宋体" w:cs="宋体"/>
          <w:color w:val="auto"/>
          <w:sz w:val="21"/>
          <w:szCs w:val="21"/>
          <w:highlight w:val="none"/>
          <w:lang w:val="en-US" w:eastAsia="zh-CN"/>
        </w:rPr>
        <w:t>叁</w:t>
      </w:r>
      <w:r>
        <w:rPr>
          <w:rFonts w:hint="eastAsia" w:ascii="宋体" w:hAnsi="宋体" w:cs="宋体"/>
          <w:color w:val="auto"/>
          <w:sz w:val="21"/>
          <w:szCs w:val="21"/>
          <w:highlight w:val="none"/>
        </w:rPr>
        <w:t>年；</w:t>
      </w:r>
    </w:p>
    <w:p w14:paraId="3EEA96A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5、供热与供冷系统为贰个采暖期、供冷期；</w:t>
      </w:r>
    </w:p>
    <w:p w14:paraId="4A3B23E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6、其他约定：</w:t>
      </w:r>
    </w:p>
    <w:p w14:paraId="4839542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三、缺陷责任期</w:t>
      </w:r>
    </w:p>
    <w:p w14:paraId="571A276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工程缺陷责任期为</w:t>
      </w:r>
      <w:r>
        <w:rPr>
          <w:rFonts w:hint="eastAsia" w:ascii="宋体" w:hAnsi="宋体" w:cs="宋体"/>
          <w:color w:val="auto"/>
          <w:sz w:val="21"/>
          <w:szCs w:val="21"/>
          <w:highlight w:val="none"/>
          <w:u w:val="single"/>
        </w:rPr>
        <w:t>24</w:t>
      </w:r>
      <w:r>
        <w:rPr>
          <w:rFonts w:hint="eastAsia" w:ascii="宋体" w:hAnsi="宋体" w:cs="宋体"/>
          <w:color w:val="auto"/>
          <w:sz w:val="21"/>
          <w:szCs w:val="21"/>
          <w:highlight w:val="none"/>
        </w:rPr>
        <w:t>个月，缺陷责任期自工程竣工验收合格之日起计算。单位工程先于全部工程进行验收，单位工程缺陷责任期自单位工程验收合格之日起算。</w:t>
      </w:r>
    </w:p>
    <w:p w14:paraId="6ACA671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缺陷责任期终止后，发包人应退还剩余的质量保证金。</w:t>
      </w:r>
    </w:p>
    <w:p w14:paraId="724A24F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四、质量保修责任</w:t>
      </w:r>
    </w:p>
    <w:p w14:paraId="3488F123">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1、属于保修范围、内容的项目，承包人必须在接到报修通知之日起24小时内派人保修。承包人不在约定期限内派人保修，发包人可委托其他人员修理。</w:t>
      </w:r>
    </w:p>
    <w:p w14:paraId="098D288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2、发生须紧急抢修事故，承包人在接到事故通知后，应当立即到达事故现场抢修。</w:t>
      </w:r>
    </w:p>
    <w:p w14:paraId="7602BED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对于涉及结构安全的质量问题，应当按照《房屋建筑工程质量保修办法》的规定，立即向当地建设行政主管部门报告，采取安全防范措施；由原设计单位或者具有相应资质等级的设计单位提出保修方案，承包人实施保修。</w:t>
      </w:r>
    </w:p>
    <w:p w14:paraId="6C67BA5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五、保修费用</w:t>
      </w:r>
    </w:p>
    <w:p w14:paraId="57B5AF8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保修费用由造成质量缺陷的责任方承担，工程竣工验收之日起，缺陷责任期内的维修费用由承包人负责。</w:t>
      </w:r>
    </w:p>
    <w:p w14:paraId="1048138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六、其他</w:t>
      </w:r>
    </w:p>
    <w:p w14:paraId="10B8D97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双方约定的其他工程质量保修事项：</w:t>
      </w:r>
      <w:r>
        <w:rPr>
          <w:rFonts w:hint="eastAsia" w:ascii="宋体" w:hAnsi="宋体" w:cs="宋体"/>
          <w:color w:val="auto"/>
          <w:sz w:val="21"/>
          <w:szCs w:val="21"/>
          <w:highlight w:val="none"/>
          <w:u w:val="single"/>
        </w:rPr>
        <w:t>/</w:t>
      </w:r>
    </w:p>
    <w:p w14:paraId="15DE892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本工程质量保修书，由施工合同发包人、承包人双方在竣工验收前共同签署，作为施工合同附件，其有效期限至保修期满。</w:t>
      </w:r>
    </w:p>
    <w:p w14:paraId="62C06B72">
      <w:pPr>
        <w:spacing w:line="360" w:lineRule="auto"/>
        <w:rPr>
          <w:rFonts w:ascii="宋体" w:hAnsi="宋体" w:cs="宋体"/>
          <w:color w:val="auto"/>
          <w:sz w:val="21"/>
          <w:szCs w:val="21"/>
          <w:highlight w:val="none"/>
        </w:rPr>
      </w:pPr>
    </w:p>
    <w:p w14:paraId="63D8ED68">
      <w:pPr>
        <w:spacing w:line="360" w:lineRule="auto"/>
        <w:rPr>
          <w:rFonts w:ascii="宋体" w:hAnsi="宋体" w:cs="宋体"/>
          <w:color w:val="auto"/>
          <w:sz w:val="21"/>
          <w:szCs w:val="21"/>
          <w:highlight w:val="none"/>
        </w:rPr>
      </w:pPr>
    </w:p>
    <w:p w14:paraId="2E09FF7F">
      <w:pPr>
        <w:spacing w:line="360" w:lineRule="auto"/>
        <w:rPr>
          <w:rFonts w:ascii="宋体" w:hAnsi="宋体" w:cs="宋体"/>
          <w:color w:val="auto"/>
          <w:sz w:val="21"/>
          <w:szCs w:val="21"/>
          <w:highlight w:val="none"/>
        </w:rPr>
      </w:pPr>
    </w:p>
    <w:p w14:paraId="14F0DFE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发包人（公章）：承包人（公章）：</w:t>
      </w:r>
    </w:p>
    <w:p w14:paraId="691723F2">
      <w:pPr>
        <w:spacing w:line="360" w:lineRule="auto"/>
        <w:rPr>
          <w:rFonts w:ascii="宋体" w:hAnsi="宋体" w:cs="宋体"/>
          <w:color w:val="auto"/>
          <w:sz w:val="21"/>
          <w:szCs w:val="21"/>
          <w:highlight w:val="none"/>
        </w:rPr>
      </w:pPr>
    </w:p>
    <w:p w14:paraId="4F33AB4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5E1DBF7A">
      <w:pPr>
        <w:spacing w:line="360" w:lineRule="auto"/>
        <w:rPr>
          <w:rFonts w:ascii="宋体" w:hAnsi="宋体" w:cs="宋体"/>
          <w:color w:val="auto"/>
          <w:sz w:val="21"/>
          <w:szCs w:val="21"/>
          <w:highlight w:val="none"/>
        </w:rPr>
      </w:pPr>
    </w:p>
    <w:p w14:paraId="5BF89D8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0D00BE9C">
      <w:pPr>
        <w:spacing w:line="360" w:lineRule="auto"/>
        <w:rPr>
          <w:rFonts w:ascii="宋体" w:hAnsi="宋体" w:cs="宋体"/>
          <w:color w:val="auto"/>
          <w:sz w:val="21"/>
          <w:szCs w:val="21"/>
          <w:highlight w:val="none"/>
        </w:rPr>
      </w:pPr>
    </w:p>
    <w:p w14:paraId="6B3ACDD1">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年月    日                           年月日</w:t>
      </w:r>
      <w:r>
        <w:rPr>
          <w:rFonts w:hint="eastAsia" w:ascii="宋体" w:hAnsi="宋体" w:cs="宋体"/>
          <w:color w:val="auto"/>
          <w:sz w:val="21"/>
          <w:szCs w:val="21"/>
          <w:highlight w:val="none"/>
        </w:rPr>
        <w:br w:type="page"/>
      </w:r>
    </w:p>
    <w:p w14:paraId="6A33B62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附件2</w:t>
      </w:r>
    </w:p>
    <w:p w14:paraId="7E62E99F">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安全生产责任协议书</w:t>
      </w:r>
    </w:p>
    <w:p w14:paraId="13E9FD4F">
      <w:pPr>
        <w:spacing w:line="360" w:lineRule="auto"/>
        <w:rPr>
          <w:rFonts w:ascii="宋体" w:hAnsi="宋体" w:cs="宋体"/>
          <w:color w:val="auto"/>
          <w:sz w:val="21"/>
          <w:szCs w:val="21"/>
          <w:highlight w:val="none"/>
        </w:rPr>
      </w:pPr>
    </w:p>
    <w:p w14:paraId="30A1291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甲方（发包人）： </w:t>
      </w:r>
    </w:p>
    <w:p w14:paraId="45FB6B7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乙方（承包人）：</w:t>
      </w:r>
    </w:p>
    <w:p w14:paraId="4D2704D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工程项目名称：</w:t>
      </w:r>
    </w:p>
    <w:p w14:paraId="12EA034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落实安全生产的管理要求，确保工程建设的顺利进行，按《杭州市建设工程安全生产、文明施工标准化样板工地管理办法》和《浙江省建筑安全文明施工标准化工地管理办法》（浙建建[2005]41号)规定，甲乙双方共同协商，一致同意如下：</w:t>
      </w:r>
    </w:p>
    <w:p w14:paraId="155FA69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发包人在施工开始前向承包人提交必要的施工场地，明确承包人安全生产管理的责任区域和要求，承包人负责施工现场的安全管理工作，是施工现场的安全管理的责任单位。承包人必须建立健全安全生产保证体系，建立健全应急救援体系其相关文件报发包人备案。</w:t>
      </w:r>
    </w:p>
    <w:p w14:paraId="78767A2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二、发包人应积极组织和督促承包人开展安全达标活动，及时传达和部署上级的有关安全生产精神和要求，定期听取承包人的意见和要求。加强安全生产的指导和协调。</w:t>
      </w:r>
    </w:p>
    <w:p w14:paraId="5079AB5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发包人负责组织对承包人安全规范作业、文明施工情况的检查，定期组织考核；对承包人及有关人员在安全生产工作中有突出贡献或成绩显著的集体、个人应给予表彰和物资奖励。对承包人及有关人员发出的违章、违法行为和存在的问题以及在安全生产、文明等创优达标活动中不积极配合的，发包人有权制止教育、责成其限期整改。</w:t>
      </w:r>
    </w:p>
    <w:p w14:paraId="1890AA7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凡工地内发生生产事故或重大人员伤亡的，发包人派员参与劳动行政部门、司法机关调查处理。发包人可按其造成的后果及影响，对责任单位以按责任违约给予一次性经济的处理。责任违约的经济处理按约定扣除。事故造成的经济损失及因承包人责任给发包人造成的连带经济损失全部由承包人承担。</w:t>
      </w:r>
    </w:p>
    <w:p w14:paraId="34222E2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责任违约的经济处理的约定：</w:t>
      </w:r>
    </w:p>
    <w:p w14:paraId="05A3EEF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依据国家和地方相关法律法规、政策、规定、制度以及本工程施工合同执行。</w:t>
      </w:r>
    </w:p>
    <w:p w14:paraId="64A404A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承包人应严格贯彻执行国家和市颁布的有关安全生产的法律、法规，严格按照中华人民共和国建设部建标（99）79号“关于发布行业标准《建筑施工安全检查标准》的通知”的要求加强内部安全管理，落实各项安全防护措施，确保工程建设中不发生人员死亡事故。</w:t>
      </w:r>
    </w:p>
    <w:p w14:paraId="0146BDA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承包人要按照安全作业规范针对本工程项目的特点、性质、规模以及施工现场条件编制施工组织设计和施工方案，制定和组织落实各项的施工安全技术措施，并向全体施工人员进行安全技术交底。严格按照施工组织设计和有关安全要求施工。</w:t>
      </w:r>
    </w:p>
    <w:p w14:paraId="17BD896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七、承包人进入工地后应明确落实施工现场安全生产第一责任人。根据建设部办公厅2000年10号文件要求配置专职安全管理人员。即施工人员超过50人的工地必须配置专职安全管理人员；工程造价在1000万元以上的工地，必须配置2-3名管理安全生产工作人员；工程造价在5000万元以上的工地，要按专业设置专职安全员，组成安全管理组负责工地的安全生产管理工作。并将名单报发包人备案。承包人要建立健全安全生产保证体系，落实各级安全责任制，完善各项安全生产制度（包括奖惩制度）：按照”谁施工谁负责”的原则，负责单位内部和施工责任区域的安全生产管理工作。</w:t>
      </w:r>
    </w:p>
    <w:p w14:paraId="435D4A0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八、承包人对各分包单位及外聘人员的安全生产工作要纳入本单位统一管理的范围，明确要求，签订管理协议；要加强对全体施工人员安全作业、文明施工和自我保护的宣传教育；做好上岗前的安全培训，特殊工种作业人员必须做到持证上岗：进入本市施工的外市特殊作业人员，还必须经本市有关特种作业考核站进审证教育，禁止实习、学习人员现场作业。严格执行各种安全操作规程，确保施工安全。</w:t>
      </w:r>
    </w:p>
    <w:p w14:paraId="3FEEAF5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九、承包人要按照“安全自查，隐患自改、责任自负”的原则加强对施工责任区的日常安全检查。及时制止和处理各类违章违法行为。对查获的隐患要及时落实整改措施，消除隐患。</w:t>
      </w:r>
    </w:p>
    <w:p w14:paraId="58FD6D2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承包人应主动接受发包人在安全生产工作上的业务指导，检查和督促，服从管理；对发包人的工作布置和组织的活动要积极贯彻实施和参加。对发包人给予因责任违约的经济处理如有异议可要求复核。对发包人工作人员利用职权营私舞弊、有意刁难的违法行为，有权检举揭发，要求处理。</w:t>
      </w:r>
    </w:p>
    <w:p w14:paraId="6ED26F0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一、在施工现场或施工作业过程中，因承包人原因发生安全事故或造成人员伤亡的，由承包人承担处理和所有的经济赔偿责任。承包人须妥善处理事故，积极抢救受伤人员、保护现场，并按规定时限向当地安监等相关政府部门报告，并立即报告发包人，不得迟报瞒报。发包人应积极配合处理。</w:t>
      </w:r>
    </w:p>
    <w:p w14:paraId="4CED7BD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十二、承包人须参加由发包人召集的每周一次的工程工作列会，对工程进度、工程质量、安全施工等情况向会议进行汇报，并接受发包人和监理单位的安全检查。</w:t>
      </w:r>
    </w:p>
    <w:p w14:paraId="19A90A7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十三、承包人不准将工程项目进行整体转包。</w:t>
      </w:r>
    </w:p>
    <w:p w14:paraId="75BDD8C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四、承包人对施工现场的安全负责。在施工过程中或施工现场，因承包人原因造成的安全事故，由承包人承担处理和所有的经济赔偿责任，承包人须按规定将事故发生情况向当地政府相关部门报告，并立即报告发包人。发包人积极协助处理。</w:t>
      </w:r>
    </w:p>
    <w:p w14:paraId="6FAF5BF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十五、承包人须为施工作业人员缴纳相关保险，并在合同签订之日起的个工作日内将缴纳保险凭证复印件交发包人。</w:t>
      </w:r>
    </w:p>
    <w:p w14:paraId="5DE40EA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十六、本协议中未涉及的有关条款，甲乙双方可根据需要协商补充修改。</w:t>
      </w:r>
    </w:p>
    <w:p w14:paraId="4E58F69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如遇有国家和本市的有关法规不符的，应按国家和本市的有关法规执行。</w:t>
      </w:r>
    </w:p>
    <w:p w14:paraId="7074257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十七、本协议作为甲乙双方工程承包合同的附件，在工程承包合同签约后生效，与工程承包合同具有同等法律效力。工程承包合同期满，本协议终止。</w:t>
      </w:r>
    </w:p>
    <w:p w14:paraId="1BA33FAE">
      <w:pPr>
        <w:spacing w:line="360" w:lineRule="auto"/>
        <w:rPr>
          <w:rFonts w:ascii="宋体" w:hAnsi="宋体" w:cs="宋体"/>
          <w:color w:val="auto"/>
          <w:sz w:val="21"/>
          <w:szCs w:val="21"/>
          <w:highlight w:val="none"/>
        </w:rPr>
      </w:pPr>
    </w:p>
    <w:p w14:paraId="5D80692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  承包人（公章）：</w:t>
      </w:r>
    </w:p>
    <w:p w14:paraId="6A847BF0">
      <w:pPr>
        <w:spacing w:line="360" w:lineRule="auto"/>
        <w:rPr>
          <w:rFonts w:ascii="宋体" w:hAnsi="宋体" w:cs="宋体"/>
          <w:color w:val="auto"/>
          <w:sz w:val="21"/>
          <w:szCs w:val="21"/>
          <w:highlight w:val="none"/>
        </w:rPr>
      </w:pPr>
    </w:p>
    <w:p w14:paraId="75A0DFB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1DD2D038">
      <w:pPr>
        <w:spacing w:line="360" w:lineRule="auto"/>
        <w:rPr>
          <w:rFonts w:ascii="宋体" w:hAnsi="宋体" w:cs="宋体"/>
          <w:color w:val="auto"/>
          <w:sz w:val="21"/>
          <w:szCs w:val="21"/>
          <w:highlight w:val="none"/>
        </w:rPr>
      </w:pPr>
    </w:p>
    <w:p w14:paraId="42159BB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3456BCC2">
      <w:pPr>
        <w:spacing w:line="360" w:lineRule="auto"/>
        <w:rPr>
          <w:rFonts w:ascii="宋体" w:hAnsi="宋体" w:cs="宋体"/>
          <w:color w:val="auto"/>
          <w:sz w:val="21"/>
          <w:szCs w:val="21"/>
          <w:highlight w:val="none"/>
        </w:rPr>
      </w:pPr>
    </w:p>
    <w:p w14:paraId="1FE5AB0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年月    日                                  年月日</w:t>
      </w:r>
      <w:r>
        <w:rPr>
          <w:rFonts w:hint="eastAsia" w:ascii="宋体" w:hAnsi="宋体" w:cs="宋体"/>
          <w:color w:val="auto"/>
          <w:sz w:val="21"/>
          <w:szCs w:val="21"/>
          <w:highlight w:val="none"/>
        </w:rPr>
        <w:br w:type="page"/>
      </w:r>
    </w:p>
    <w:p w14:paraId="3C751B9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附件3</w:t>
      </w:r>
    </w:p>
    <w:p w14:paraId="1F9F8600">
      <w:pPr>
        <w:spacing w:line="360" w:lineRule="auto"/>
        <w:jc w:val="center"/>
        <w:rPr>
          <w:rFonts w:ascii="宋体" w:hAnsi="宋体" w:cs="宋体"/>
          <w:color w:val="auto"/>
          <w:sz w:val="21"/>
          <w:szCs w:val="21"/>
          <w:highlight w:val="none"/>
        </w:rPr>
      </w:pPr>
    </w:p>
    <w:p w14:paraId="0BB9BBBB">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文明施工责任协议书</w:t>
      </w:r>
    </w:p>
    <w:p w14:paraId="3CE00B5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甲方（发包人）： </w:t>
      </w:r>
    </w:p>
    <w:p w14:paraId="4D420BD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乙方（承包人）：</w:t>
      </w:r>
    </w:p>
    <w:p w14:paraId="7AAD310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工程项目名称：</w:t>
      </w:r>
    </w:p>
    <w:p w14:paraId="4DACA0B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为认真做好工程建设施工区域内的文明施工，现经甲、乙双方协商同意，明确在文明施工和文明施工管理中的各自职责，并签订如下协议。</w:t>
      </w:r>
    </w:p>
    <w:p w14:paraId="7517436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双方同意在在工程管理和工程建设中必须坚持社会效益第一，经济效益和社会效益相—致，“方便人民生活，有利于发展生产、保护生态环境”的原则，坚持便民、利民、为民服务的宗旨。搞好工程建设中的文明施工。</w:t>
      </w:r>
    </w:p>
    <w:p w14:paraId="6128282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双方要认真贯彻”采购人负责，施工单位实施，地方政府监督”的文明施工原则。现场由甲方代表牵头，建立参方共同参与的文明施工管理小组，负责日常管理协调工作，争创文明工地。甲方按合同有关要求，及时拨付有关费用并按市有关创建文明工地的规定，组织、指导、检查、考核、和开展选评工作，创建活动的实施由乙方负责。</w:t>
      </w:r>
    </w:p>
    <w:p w14:paraId="6061AC6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三、乙方应遵守如下规定：</w:t>
      </w:r>
    </w:p>
    <w:p w14:paraId="3F9932B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1、根据工程的特点，编制文明施工实施方案，在开工前5日内，将文明施工实施方案报甲方和市安全监督部门备案。</w:t>
      </w:r>
    </w:p>
    <w:p w14:paraId="468E7BC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2、乙方按有关规定专项包干使用文明施工费，不得挪作他用。</w:t>
      </w:r>
    </w:p>
    <w:p w14:paraId="14B5391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3、工地应设置专职文明施工安全员，做到佩证上岗、动态管理，及时收集、记录、整理、管理台帐等技术资料。</w:t>
      </w:r>
    </w:p>
    <w:p w14:paraId="22F44A6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4、施工现场应按文明施工安全生产的要求，设置各项临时设施，并达到下列要求：</w:t>
      </w:r>
    </w:p>
    <w:p w14:paraId="11F2E47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（1）施工区域与非施工区域严格分隔。</w:t>
      </w:r>
    </w:p>
    <w:p w14:paraId="5DEC0F4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（2）施工区域内应设置能保证施工安全的夜间照明和警示标志，并采取安全防护措施。</w:t>
      </w:r>
    </w:p>
    <w:p w14:paraId="3AAE121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（3）各类材料、机具设备按工地总平面图的布置，在固定场地整齐堆放，不得侵占场内道路及安全防护等设施。</w:t>
      </w:r>
    </w:p>
    <w:p w14:paraId="166451B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（4）其他要求：</w:t>
      </w:r>
    </w:p>
    <w:p w14:paraId="116D2A7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5、工地民工宿舍应符合卫生要求和居住条件，地面应用砼硬化，照明电线敷设应符合规范，不得任意拉线接电。宿舍应保持整洁有序，不得男女混杂居住及居住与施工无关的人员。</w:t>
      </w:r>
    </w:p>
    <w:p w14:paraId="6EB9EDB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6、施工现场设有食堂的，应符合杭州市职工食堂管理的有关规定，并配备冷冻、冷藏设备，其位置应远离厕所、垃圾容器等污染源，炊事员应持有效健康证明及岗位培训合格证。施工单位有义务避免发生食物中毒现象的发生。施工现场应设置茶桶、保障茶水供应。</w:t>
      </w:r>
    </w:p>
    <w:p w14:paraId="7D897DD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7、建筑垃圾和其他散体物料装运应实行车辆密闭式运输，冲洗干净后出场，运输过程中严禁沿途抛、洒、滴、漏。</w:t>
      </w:r>
    </w:p>
    <w:p w14:paraId="13B0D0F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8、乙方应当严格依照《中华人民共和国消防条例》的规定，在工地建立和执行防火管理制度，重点部位设置符合消防要求的消防设施，并保持完好的备用状态。　</w:t>
      </w:r>
    </w:p>
    <w:p w14:paraId="773BBAE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9、遵守建设地的现场管理要求。</w:t>
      </w:r>
    </w:p>
    <w:p w14:paraId="6CDE7F5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10、施工单位在施工中应遵守下列规定：</w:t>
      </w:r>
    </w:p>
    <w:p w14:paraId="7EA66D4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（1）完善技术和操作管理规程，确保防汛设施和地下管线通畅、安全。</w:t>
      </w:r>
    </w:p>
    <w:p w14:paraId="33BFD1A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（2）采取各种有效措施，控制扬尘、噪声。</w:t>
      </w:r>
    </w:p>
    <w:p w14:paraId="6A8391F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（3）设置各种防护设施，防止施工中废弃物、杂物影响周围环境，伤害过往行人。</w:t>
      </w:r>
    </w:p>
    <w:p w14:paraId="7B47056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（4）随时清理建筑垃圾，控制工地污染。</w:t>
      </w:r>
    </w:p>
    <w:p w14:paraId="57B2A78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（5）控制夜间施工作业，确需夜间作业的，必须事先向环保部门申办《夜间施工许可证》。</w:t>
      </w:r>
    </w:p>
    <w:p w14:paraId="581C8C7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（6）运用其他有效方式，减少施工时对市容、绿化和环境的不良影响。</w:t>
      </w:r>
    </w:p>
    <w:p w14:paraId="3C23D77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（7）遵守交通管理规定，不得使用人力车、三轮车向场外运输建筑垃圾、废土、物料。</w:t>
      </w:r>
    </w:p>
    <w:p w14:paraId="70322C2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11、施工人员在施工中应严格遵守下列规定:</w:t>
      </w:r>
    </w:p>
    <w:p w14:paraId="401F1DB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（1）施工中产生的各类垃圾应及时清运到市容环境卫生管理部门指定的地点，严禁随意倾倒在城市道路、河道、绿化带、空旷地带和居民生活垃圾容器内。</w:t>
      </w:r>
    </w:p>
    <w:p w14:paraId="3453B32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（2）施工中不得随意丢弃废物、旧料和其他杂物。</w:t>
      </w:r>
    </w:p>
    <w:p w14:paraId="623E7B7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（3）施工中应注意清理施工场地，做到随做随清。</w:t>
      </w:r>
    </w:p>
    <w:p w14:paraId="71DDECE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（4）其他：</w:t>
      </w:r>
    </w:p>
    <w:p w14:paraId="174A15E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12、乙方应确保工地出入口和道路的畅通、安全。施工中造成沿线单位、人员的出入口障碍和道路交通堵塞，应及时采取有效措施。</w:t>
      </w:r>
    </w:p>
    <w:p w14:paraId="6C1AF39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13、施工中造成下水道和其他地下管线堵塞或损坏的，应立即疏浚或修复；对工地周围的单位及人员财产造成损失的，应承担经济赔偿责任。</w:t>
      </w:r>
    </w:p>
    <w:p w14:paraId="11F9B18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四、甲方对乙方开展创建文明土地的工作要经常性地给予指导，定期组织检查，对乙方存在的问题应及时通知乙方进行整改，并有权对乙方责任违约，按约定办法进行经济处理。</w:t>
      </w:r>
    </w:p>
    <w:p w14:paraId="2524A69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 违反约定的责任处理办法：</w:t>
      </w:r>
    </w:p>
    <w:p w14:paraId="2EEA100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凡乙方整改不力，逾期不改的，甲方根据实际情况可给予承包商一次性的经济处理 (100-5000元人民币)。</w:t>
      </w:r>
    </w:p>
    <w:p w14:paraId="48919F0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五、因乙方违反文明施工管理要求，被地方政府有关部门查获而受到的经济处罚，以及由此而使甲方受到的经济损失，均由乙方承担。</w:t>
      </w:r>
    </w:p>
    <w:p w14:paraId="5A7D250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六、本协议作为甲乙双方工程合同的附件，在工程合同正式签约后有效，与工程合同具有同等法律效力。工程合同期满，本协议终止。</w:t>
      </w:r>
    </w:p>
    <w:p w14:paraId="63D86779">
      <w:pPr>
        <w:spacing w:line="360" w:lineRule="auto"/>
        <w:rPr>
          <w:rFonts w:ascii="宋体" w:hAnsi="宋体" w:cs="宋体"/>
          <w:color w:val="auto"/>
          <w:sz w:val="21"/>
          <w:szCs w:val="21"/>
          <w:highlight w:val="none"/>
        </w:rPr>
      </w:pPr>
    </w:p>
    <w:p w14:paraId="70CB8D4D">
      <w:pPr>
        <w:spacing w:line="360" w:lineRule="auto"/>
        <w:rPr>
          <w:rFonts w:ascii="宋体" w:hAnsi="宋体" w:cs="宋体"/>
          <w:color w:val="auto"/>
          <w:sz w:val="21"/>
          <w:szCs w:val="21"/>
          <w:highlight w:val="none"/>
        </w:rPr>
      </w:pPr>
    </w:p>
    <w:p w14:paraId="52F7E38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 承包人（公章）：</w:t>
      </w:r>
    </w:p>
    <w:p w14:paraId="46271965">
      <w:pPr>
        <w:spacing w:line="360" w:lineRule="auto"/>
        <w:rPr>
          <w:rFonts w:ascii="宋体" w:hAnsi="宋体" w:cs="宋体"/>
          <w:color w:val="auto"/>
          <w:sz w:val="21"/>
          <w:szCs w:val="21"/>
          <w:highlight w:val="none"/>
        </w:rPr>
      </w:pPr>
    </w:p>
    <w:p w14:paraId="7D63A46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3D2AACE9">
      <w:pPr>
        <w:spacing w:line="360" w:lineRule="auto"/>
        <w:rPr>
          <w:rFonts w:ascii="宋体" w:hAnsi="宋体" w:cs="宋体"/>
          <w:color w:val="auto"/>
          <w:sz w:val="21"/>
          <w:szCs w:val="21"/>
          <w:highlight w:val="none"/>
        </w:rPr>
      </w:pPr>
    </w:p>
    <w:p w14:paraId="421548E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05830123">
      <w:pPr>
        <w:spacing w:line="360" w:lineRule="auto"/>
        <w:rPr>
          <w:rFonts w:ascii="宋体" w:hAnsi="宋体" w:cs="宋体"/>
          <w:color w:val="auto"/>
          <w:sz w:val="21"/>
          <w:szCs w:val="21"/>
          <w:highlight w:val="none"/>
        </w:rPr>
      </w:pPr>
    </w:p>
    <w:p w14:paraId="5B30B1D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年月    日                                    年月日</w:t>
      </w:r>
    </w:p>
    <w:p w14:paraId="1E14490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br w:type="page"/>
      </w:r>
    </w:p>
    <w:p w14:paraId="2C9BE63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附件4</w:t>
      </w:r>
    </w:p>
    <w:p w14:paraId="41941122">
      <w:pPr>
        <w:spacing w:line="360" w:lineRule="auto"/>
        <w:rPr>
          <w:rFonts w:ascii="宋体" w:hAnsi="宋体" w:cs="宋体"/>
          <w:color w:val="auto"/>
          <w:sz w:val="21"/>
          <w:szCs w:val="21"/>
          <w:highlight w:val="none"/>
        </w:rPr>
      </w:pPr>
    </w:p>
    <w:p w14:paraId="57EE2F72">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建设工程廉洁协议书</w:t>
      </w:r>
    </w:p>
    <w:p w14:paraId="7B71F31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甲方（发包人）： </w:t>
      </w:r>
    </w:p>
    <w:p w14:paraId="5217EF1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乙方（承包人）：   </w:t>
      </w:r>
    </w:p>
    <w:p w14:paraId="12035CC3">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工程项目名称：</w:t>
      </w:r>
    </w:p>
    <w:p w14:paraId="12CEBB9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为了在工程建设中保持廉政自律的工作作风，防止各种不正当行为的发生，根据国家和省市有关建设工程承发包和廉政建设的各项规定，结合工程建设的特点，订立本协议如下：</w:t>
      </w:r>
    </w:p>
    <w:p w14:paraId="403C7E2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一、甲乙双方应当自觉遵守国家和市关于建设工程承发包工作规则以及有关廉政建设的各项规定。</w:t>
      </w:r>
    </w:p>
    <w:p w14:paraId="50B911A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二、甲方及其工作人员不得以任何形式向乙方索要和收受回扣等好处费。</w:t>
      </w:r>
    </w:p>
    <w:p w14:paraId="6871DB5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三、甲方工作人员应当保持与乙方的正常业务交往，不得接受乙方的现金、有价证券和贵重物品，不得在乙方报销任何应有个人支付的费用。</w:t>
      </w:r>
    </w:p>
    <w:p w14:paraId="14F2ED3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四、甲方工作人员不得参加可能对公正执行公务有影响的宴请和娱乐活动。</w:t>
      </w:r>
    </w:p>
    <w:p w14:paraId="6DB127D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五、甲方工作人员不得要求接受乙方为其住房装修、婚丧嫁娶、家属和子女的工作安排以及出国等提供方便。</w:t>
      </w:r>
    </w:p>
    <w:p w14:paraId="7B329CC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六、甲方工作人员不得向乙方介绍家属或者亲友从事与甲方工程有关的材料设备供应、工程分包等经济活动。</w:t>
      </w:r>
    </w:p>
    <w:p w14:paraId="2FDC286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七、乙方应当通过正常途径开展相对业务工作，不得为获取某些不正当利益而向甲方工作人员赠送礼金、有价证券和贵重物品等。</w:t>
      </w:r>
    </w:p>
    <w:p w14:paraId="152A90F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八、乙方不得为谋取私利擅自与甲方工作人员就工程承包、工程费用、材料设备供应、工程量变动、工程验收、工程质量问题处理等进行私下商谈或者达成默契。</w:t>
      </w:r>
    </w:p>
    <w:p w14:paraId="243FC45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九、乙方不得以洽谈业务、签订经济合同为借口，邀请甲方工作人员外出旅游和进入高档娱乐性场所。</w:t>
      </w:r>
    </w:p>
    <w:p w14:paraId="54DBB68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十、乙方不得为甲方和个人购置或者提供通讯工具、家电、高档办公用品等物品。</w:t>
      </w:r>
    </w:p>
    <w:p w14:paraId="674F22F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一、乙方如发现甲方工作人员有违反上述协议者，应向甲方领导或者甲方上级单位举报。甲方不得找任何借口对乙方进行报复。甲方对举报属实和严格遵守廉政协议的乙方，在同等条件下给予承接后续工程的优先邀请投标权。</w:t>
      </w:r>
    </w:p>
    <w:p w14:paraId="6DC0F30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二、甲方发现乙方有违反本协议或者采用不正当的手段行贿甲方工作人员，甲方根据具体情节和造成的后果追究乙方工程合同造价1%—5%的违约金，由此给甲方造成的损失均由乙方承担，乙方用不正当手段获取的非法所得由甲方单位予以追缴。</w:t>
      </w:r>
    </w:p>
    <w:p w14:paraId="414E12E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十三、严格执行中纪委下发的中纪发【2007】7号《中共中央纪委关于严格禁止利用职务上的便利谋取不正当利益的若干规定》。</w:t>
      </w:r>
    </w:p>
    <w:p w14:paraId="26FFC07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十四、本廉政协议作为工程承发包合同的附件，与工程承发包合同具有同等法律效力，经协议双方签署后立即生效。</w:t>
      </w:r>
    </w:p>
    <w:p w14:paraId="1EB3056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十五、本协议一式三份，甲、乙双方各执一份，送交见证部门一份。</w:t>
      </w:r>
    </w:p>
    <w:p w14:paraId="65F11CB3">
      <w:pPr>
        <w:spacing w:line="360" w:lineRule="auto"/>
        <w:rPr>
          <w:rFonts w:ascii="宋体" w:hAnsi="宋体" w:cs="宋体"/>
          <w:color w:val="auto"/>
          <w:sz w:val="21"/>
          <w:szCs w:val="21"/>
          <w:highlight w:val="none"/>
        </w:rPr>
      </w:pPr>
    </w:p>
    <w:p w14:paraId="3B7159D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发包人（公章）：承包人（公章）：</w:t>
      </w:r>
    </w:p>
    <w:p w14:paraId="6A73EBCB">
      <w:pPr>
        <w:spacing w:line="360" w:lineRule="auto"/>
        <w:rPr>
          <w:rFonts w:ascii="宋体" w:hAnsi="宋体" w:cs="宋体"/>
          <w:color w:val="auto"/>
          <w:sz w:val="21"/>
          <w:szCs w:val="21"/>
          <w:highlight w:val="none"/>
        </w:rPr>
      </w:pPr>
    </w:p>
    <w:p w14:paraId="3FA20C7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41EEC437">
      <w:pPr>
        <w:spacing w:line="360" w:lineRule="auto"/>
        <w:rPr>
          <w:rFonts w:ascii="宋体" w:hAnsi="宋体" w:cs="宋体"/>
          <w:color w:val="auto"/>
          <w:sz w:val="21"/>
          <w:szCs w:val="21"/>
          <w:highlight w:val="none"/>
        </w:rPr>
      </w:pPr>
    </w:p>
    <w:p w14:paraId="53EDE94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7617CD73">
      <w:pPr>
        <w:spacing w:line="360" w:lineRule="auto"/>
        <w:rPr>
          <w:rFonts w:ascii="宋体" w:hAnsi="宋体" w:cs="宋体"/>
          <w:color w:val="auto"/>
          <w:sz w:val="21"/>
          <w:szCs w:val="21"/>
          <w:highlight w:val="none"/>
        </w:rPr>
      </w:pPr>
    </w:p>
    <w:p w14:paraId="3CC4E788">
      <w:pPr>
        <w:snapToGrid w:val="0"/>
        <w:spacing w:line="360" w:lineRule="auto"/>
        <w:ind w:firstLine="945" w:firstLineChars="450"/>
        <w:rPr>
          <w:rFonts w:ascii="宋体" w:hAnsi="宋体" w:cs="宋体"/>
          <w:color w:val="auto"/>
          <w:sz w:val="21"/>
          <w:szCs w:val="21"/>
          <w:highlight w:val="none"/>
        </w:rPr>
      </w:pPr>
      <w:r>
        <w:rPr>
          <w:rFonts w:hint="eastAsia" w:ascii="宋体" w:hAnsi="宋体" w:cs="宋体"/>
          <w:color w:val="auto"/>
          <w:sz w:val="21"/>
          <w:szCs w:val="21"/>
          <w:highlight w:val="none"/>
        </w:rPr>
        <w:t>年月日年月日</w:t>
      </w:r>
    </w:p>
    <w:p w14:paraId="2B706AC8">
      <w:pPr>
        <w:snapToGrid w:val="0"/>
        <w:spacing w:line="360" w:lineRule="auto"/>
        <w:ind w:firstLine="420" w:firstLineChars="200"/>
        <w:rPr>
          <w:rFonts w:ascii="宋体" w:hAnsi="宋体" w:cs="宋体"/>
          <w:color w:val="auto"/>
          <w:sz w:val="21"/>
          <w:szCs w:val="21"/>
          <w:highlight w:val="none"/>
        </w:rPr>
      </w:pPr>
    </w:p>
    <w:p w14:paraId="65C2A479">
      <w:pPr>
        <w:snapToGrid w:val="0"/>
        <w:spacing w:line="360" w:lineRule="auto"/>
        <w:ind w:firstLine="420" w:firstLineChars="200"/>
        <w:rPr>
          <w:rFonts w:ascii="宋体" w:hAnsi="宋体" w:cs="宋体"/>
          <w:color w:val="auto"/>
          <w:sz w:val="21"/>
          <w:szCs w:val="21"/>
          <w:highlight w:val="none"/>
        </w:rPr>
      </w:pPr>
    </w:p>
    <w:p w14:paraId="4775F6AE">
      <w:pPr>
        <w:snapToGrid w:val="0"/>
        <w:spacing w:line="360" w:lineRule="auto"/>
        <w:ind w:firstLine="4620" w:firstLineChars="2200"/>
        <w:rPr>
          <w:rFonts w:ascii="宋体" w:hAnsi="宋体" w:cs="宋体"/>
          <w:color w:val="auto"/>
          <w:sz w:val="21"/>
          <w:szCs w:val="21"/>
          <w:highlight w:val="none"/>
        </w:rPr>
      </w:pPr>
    </w:p>
    <w:p w14:paraId="7DB6DC99">
      <w:pPr>
        <w:snapToGrid w:val="0"/>
        <w:spacing w:line="360" w:lineRule="auto"/>
        <w:ind w:firstLine="420" w:firstLineChars="200"/>
        <w:rPr>
          <w:rFonts w:ascii="宋体" w:hAnsi="宋体" w:cs="宋体"/>
          <w:color w:val="auto"/>
          <w:sz w:val="21"/>
          <w:szCs w:val="21"/>
          <w:highlight w:val="none"/>
        </w:rPr>
        <w:sectPr>
          <w:footerReference r:id="rId10" w:type="default"/>
          <w:pgSz w:w="11906" w:h="16838"/>
          <w:pgMar w:top="1418" w:right="1588" w:bottom="1418" w:left="1588" w:header="851" w:footer="992" w:gutter="0"/>
          <w:cols w:space="720" w:num="1"/>
          <w:docGrid w:linePitch="312" w:charSpace="0"/>
        </w:sectPr>
      </w:pPr>
    </w:p>
    <w:p w14:paraId="5150DBE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附件5：</w:t>
      </w:r>
    </w:p>
    <w:p w14:paraId="2F017158">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承 诺 书</w:t>
      </w:r>
    </w:p>
    <w:p w14:paraId="34890125">
      <w:pPr>
        <w:spacing w:line="360" w:lineRule="auto"/>
        <w:rPr>
          <w:rFonts w:ascii="宋体" w:hAnsi="宋体" w:cs="宋体"/>
          <w:color w:val="auto"/>
          <w:sz w:val="21"/>
          <w:szCs w:val="21"/>
          <w:highlight w:val="none"/>
        </w:rPr>
      </w:pPr>
    </w:p>
    <w:p w14:paraId="37842BF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杭州市老年病医院：</w:t>
      </w:r>
    </w:p>
    <w:p w14:paraId="1D50968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本公司对</w:t>
      </w:r>
      <w:r>
        <w:rPr>
          <w:rFonts w:hint="eastAsia" w:ascii="宋体" w:hAnsi="宋体" w:cs="宋体"/>
          <w:color w:val="auto"/>
          <w:sz w:val="21"/>
          <w:szCs w:val="21"/>
          <w:highlight w:val="none"/>
          <w:lang w:eastAsia="zh-CN"/>
        </w:rPr>
        <w:t>杭州市老年病医院医技楼医用气体及呼叫系统改造项目</w:t>
      </w:r>
      <w:r>
        <w:rPr>
          <w:rFonts w:hint="eastAsia" w:ascii="宋体" w:hAnsi="宋体" w:cs="宋体"/>
          <w:color w:val="auto"/>
          <w:sz w:val="21"/>
          <w:szCs w:val="21"/>
          <w:highlight w:val="none"/>
        </w:rPr>
        <w:t>履行工程质量安全责任制，承诺所提供设备、材料等均为符合国家或者行业规范的优质产品，工程施工按照国家、地方有关施工、验收规范和标准以及设计文件（施工图及设计联系单）进行，并以优异的施工工艺完成该工程的施工，确保工程安全使用。</w:t>
      </w:r>
    </w:p>
    <w:p w14:paraId="6F5E5845">
      <w:pPr>
        <w:spacing w:line="360" w:lineRule="auto"/>
        <w:rPr>
          <w:rFonts w:ascii="宋体" w:hAnsi="宋体" w:cs="宋体"/>
          <w:color w:val="auto"/>
          <w:sz w:val="21"/>
          <w:szCs w:val="21"/>
          <w:highlight w:val="none"/>
        </w:rPr>
      </w:pPr>
    </w:p>
    <w:p w14:paraId="2166F30C">
      <w:pPr>
        <w:spacing w:line="360" w:lineRule="auto"/>
        <w:rPr>
          <w:rFonts w:ascii="宋体" w:hAnsi="宋体" w:cs="宋体"/>
          <w:color w:val="auto"/>
          <w:sz w:val="21"/>
          <w:szCs w:val="21"/>
          <w:highlight w:val="none"/>
        </w:rPr>
      </w:pPr>
    </w:p>
    <w:p w14:paraId="0B3D416E">
      <w:pPr>
        <w:spacing w:line="360" w:lineRule="auto"/>
        <w:rPr>
          <w:rFonts w:ascii="宋体" w:hAnsi="宋体" w:cs="宋体"/>
          <w:color w:val="auto"/>
          <w:sz w:val="21"/>
          <w:szCs w:val="21"/>
          <w:highlight w:val="none"/>
        </w:rPr>
      </w:pPr>
    </w:p>
    <w:p w14:paraId="10569D0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供应商（单位公章）：            </w:t>
      </w:r>
    </w:p>
    <w:p w14:paraId="3EB9CF4E">
      <w:pPr>
        <w:spacing w:line="360" w:lineRule="auto"/>
        <w:rPr>
          <w:rFonts w:ascii="宋体" w:hAnsi="宋体" w:cs="宋体"/>
          <w:color w:val="auto"/>
          <w:sz w:val="21"/>
          <w:szCs w:val="21"/>
          <w:highlight w:val="none"/>
        </w:rPr>
      </w:pPr>
    </w:p>
    <w:p w14:paraId="4339263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法定代表人或委托代理人（签字或盖章）：</w:t>
      </w:r>
    </w:p>
    <w:p w14:paraId="011DCE86">
      <w:pPr>
        <w:spacing w:line="360" w:lineRule="auto"/>
        <w:rPr>
          <w:rFonts w:ascii="宋体" w:hAnsi="宋体" w:cs="宋体"/>
          <w:color w:val="auto"/>
          <w:sz w:val="21"/>
          <w:szCs w:val="21"/>
          <w:highlight w:val="none"/>
        </w:rPr>
      </w:pPr>
    </w:p>
    <w:p w14:paraId="0E13E21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日期：      年    月    日</w:t>
      </w:r>
    </w:p>
    <w:p w14:paraId="789C457B">
      <w:pPr>
        <w:rPr>
          <w:rFonts w:ascii="宋体" w:hAnsi="宋体" w:cs="宋体"/>
          <w:snapToGrid w:val="0"/>
          <w:color w:val="auto"/>
          <w:kern w:val="0"/>
          <w:sz w:val="21"/>
          <w:szCs w:val="21"/>
          <w:highlight w:val="none"/>
        </w:rPr>
      </w:pPr>
      <w:r>
        <w:rPr>
          <w:rFonts w:ascii="宋体" w:hAnsi="宋体" w:cs="宋体"/>
          <w:snapToGrid w:val="0"/>
          <w:color w:val="auto"/>
          <w:kern w:val="0"/>
          <w:sz w:val="21"/>
          <w:szCs w:val="21"/>
          <w:highlight w:val="none"/>
        </w:rPr>
        <w:br w:type="page"/>
      </w:r>
    </w:p>
    <w:p w14:paraId="2158C126">
      <w:pPr>
        <w:spacing w:line="360" w:lineRule="auto"/>
        <w:ind w:left="-420" w:leftChars="-200" w:right="-420" w:rightChars="-200" w:firstLine="420" w:firstLineChars="200"/>
        <w:jc w:val="center"/>
        <w:outlineLvl w:val="0"/>
        <w:rPr>
          <w:rFonts w:ascii="宋体" w:hAnsi="宋体" w:cs="宋体"/>
          <w:color w:val="auto"/>
          <w:sz w:val="24"/>
          <w:highlight w:val="none"/>
        </w:rPr>
      </w:pPr>
      <w:r>
        <w:rPr>
          <w:rFonts w:hint="eastAsia" w:ascii="宋体" w:hAnsi="宋体" w:eastAsia="宋体" w:cs="宋体"/>
          <w:color w:val="auto"/>
          <w:sz w:val="21"/>
          <w:szCs w:val="21"/>
          <w:highlight w:val="none"/>
        </w:rPr>
        <w:t>附件6:联合体协议书</w:t>
      </w:r>
    </w:p>
    <w:p w14:paraId="3C625DAA">
      <w:pPr>
        <w:spacing w:line="360" w:lineRule="auto"/>
        <w:ind w:left="-420" w:leftChars="-200" w:right="-420" w:rightChars="-200" w:firstLine="480" w:firstLineChars="200"/>
        <w:jc w:val="center"/>
        <w:outlineLvl w:val="0"/>
        <w:rPr>
          <w:rFonts w:ascii="宋体" w:hAnsi="宋体" w:cs="宋体"/>
          <w:color w:val="auto"/>
          <w:sz w:val="24"/>
          <w:highlight w:val="none"/>
        </w:rPr>
        <w:sectPr>
          <w:headerReference r:id="rId12" w:type="first"/>
          <w:footerReference r:id="rId14" w:type="first"/>
          <w:headerReference r:id="rId11" w:type="default"/>
          <w:footerReference r:id="rId13" w:type="default"/>
          <w:pgSz w:w="11906" w:h="16838"/>
          <w:pgMar w:top="1440" w:right="1080" w:bottom="1440" w:left="1080" w:header="851" w:footer="992" w:gutter="0"/>
          <w:pgNumType w:fmt="decimal"/>
          <w:cols w:space="720" w:num="1"/>
          <w:titlePg/>
          <w:docGrid w:linePitch="312" w:charSpace="0"/>
        </w:sectPr>
      </w:pPr>
    </w:p>
    <w:p w14:paraId="75F27311">
      <w:pPr>
        <w:pStyle w:val="5"/>
        <w:snapToGrid w:val="0"/>
        <w:spacing w:before="0" w:after="0" w:line="360" w:lineRule="auto"/>
        <w:ind w:left="0" w:firstLine="0"/>
        <w:jc w:val="center"/>
        <w:rPr>
          <w:color w:val="auto"/>
          <w:highlight w:val="none"/>
        </w:rPr>
      </w:pPr>
      <w:bookmarkStart w:id="503" w:name="_Toc18246"/>
      <w:r>
        <w:rPr>
          <w:rFonts w:hint="eastAsia"/>
          <w:color w:val="auto"/>
          <w:highlight w:val="none"/>
        </w:rPr>
        <w:t>第六部分</w:t>
      </w:r>
      <w:bookmarkEnd w:id="497"/>
      <w:r>
        <w:rPr>
          <w:rFonts w:hint="eastAsia"/>
          <w:color w:val="auto"/>
          <w:highlight w:val="none"/>
        </w:rPr>
        <w:t xml:space="preserve"> </w:t>
      </w:r>
      <w:bookmarkEnd w:id="498"/>
      <w:r>
        <w:rPr>
          <w:rFonts w:hint="eastAsia"/>
          <w:color w:val="auto"/>
          <w:highlight w:val="none"/>
        </w:rPr>
        <w:t>应提交的有关格式范例</w:t>
      </w:r>
      <w:bookmarkEnd w:id="503"/>
    </w:p>
    <w:p w14:paraId="1C907EA6">
      <w:pPr>
        <w:spacing w:line="360" w:lineRule="auto"/>
        <w:jc w:val="center"/>
        <w:outlineLvl w:val="0"/>
        <w:rPr>
          <w:rFonts w:ascii="宋体" w:hAnsi="宋体" w:cs="宋体"/>
          <w:b/>
          <w:color w:val="auto"/>
          <w:kern w:val="0"/>
          <w:sz w:val="36"/>
          <w:szCs w:val="36"/>
          <w:highlight w:val="none"/>
        </w:rPr>
      </w:pPr>
    </w:p>
    <w:p w14:paraId="12B7F2AB">
      <w:pPr>
        <w:spacing w:line="360" w:lineRule="auto"/>
        <w:jc w:val="center"/>
        <w:outlineLvl w:val="0"/>
        <w:rPr>
          <w:rFonts w:ascii="宋体" w:hAnsi="宋体" w:cs="宋体"/>
          <w:b/>
          <w:color w:val="auto"/>
          <w:kern w:val="0"/>
          <w:sz w:val="36"/>
          <w:szCs w:val="36"/>
          <w:highlight w:val="none"/>
        </w:rPr>
      </w:pPr>
      <w:bookmarkStart w:id="504" w:name="_Toc26830"/>
      <w:r>
        <w:rPr>
          <w:rFonts w:hint="eastAsia" w:ascii="宋体" w:hAnsi="宋体" w:cs="宋体"/>
          <w:b/>
          <w:color w:val="auto"/>
          <w:kern w:val="0"/>
          <w:sz w:val="36"/>
          <w:szCs w:val="36"/>
          <w:highlight w:val="none"/>
        </w:rPr>
        <w:t>资格文件部分</w:t>
      </w:r>
      <w:bookmarkEnd w:id="504"/>
    </w:p>
    <w:p w14:paraId="16131429">
      <w:pPr>
        <w:spacing w:line="360" w:lineRule="auto"/>
        <w:jc w:val="center"/>
        <w:outlineLvl w:val="0"/>
        <w:rPr>
          <w:rFonts w:ascii="宋体" w:hAnsi="宋体" w:cs="宋体"/>
          <w:b/>
          <w:color w:val="auto"/>
          <w:kern w:val="0"/>
          <w:sz w:val="36"/>
          <w:szCs w:val="36"/>
          <w:highlight w:val="none"/>
        </w:rPr>
      </w:pPr>
      <w:bookmarkStart w:id="505" w:name="_Toc11663"/>
      <w:r>
        <w:rPr>
          <w:rFonts w:hint="eastAsia" w:ascii="宋体" w:hAnsi="宋体" w:cs="宋体"/>
          <w:b/>
          <w:color w:val="auto"/>
          <w:kern w:val="0"/>
          <w:sz w:val="36"/>
          <w:szCs w:val="36"/>
          <w:highlight w:val="none"/>
        </w:rPr>
        <w:t>目录</w:t>
      </w:r>
      <w:bookmarkEnd w:id="505"/>
    </w:p>
    <w:p w14:paraId="6DF2C418">
      <w:pPr>
        <w:spacing w:line="360" w:lineRule="auto"/>
        <w:jc w:val="center"/>
        <w:outlineLvl w:val="0"/>
        <w:rPr>
          <w:rFonts w:ascii="宋体" w:hAnsi="宋体" w:cs="宋体"/>
          <w:b/>
          <w:color w:val="auto"/>
          <w:kern w:val="0"/>
          <w:sz w:val="36"/>
          <w:szCs w:val="36"/>
          <w:highlight w:val="none"/>
        </w:rPr>
      </w:pPr>
    </w:p>
    <w:p w14:paraId="118DB7C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页码）</w:t>
      </w:r>
    </w:p>
    <w:p w14:paraId="30E30E7D">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3AD227F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）本项目的特定资格要求…………………………………………………………………（页码）</w:t>
      </w:r>
    </w:p>
    <w:p w14:paraId="07EF650A">
      <w:pPr>
        <w:snapToGrid w:val="0"/>
        <w:spacing w:line="360" w:lineRule="auto"/>
        <w:ind w:firstLine="480" w:firstLineChars="200"/>
        <w:rPr>
          <w:rFonts w:ascii="宋体" w:hAnsi="宋体" w:cs="宋体"/>
          <w:color w:val="auto"/>
          <w:sz w:val="24"/>
          <w:highlight w:val="none"/>
        </w:rPr>
      </w:pPr>
    </w:p>
    <w:p w14:paraId="082EB014">
      <w:pPr>
        <w:spacing w:line="360" w:lineRule="auto"/>
        <w:ind w:firstLine="480" w:firstLineChars="200"/>
        <w:rPr>
          <w:rFonts w:ascii="宋体" w:hAnsi="宋体" w:cs="宋体"/>
          <w:color w:val="auto"/>
          <w:sz w:val="24"/>
          <w:highlight w:val="none"/>
        </w:rPr>
      </w:pPr>
    </w:p>
    <w:p w14:paraId="0A57A49A">
      <w:pPr>
        <w:snapToGrid w:val="0"/>
        <w:spacing w:line="360" w:lineRule="auto"/>
        <w:ind w:right="480"/>
        <w:jc w:val="left"/>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24"/>
          <w:szCs w:val="24"/>
          <w:highlight w:val="none"/>
        </w:rPr>
        <w:t>一、 满足《中华人民共和国政府采购法》第二十二条规定；未被“信用中国”（www.creditchina.gov.cn)、中国政府采购网（www.ccgp.gov.cn）列入失信被执行人、重大税收违法案件当事人名单、政府采购严重违法失信行为记录名单</w:t>
      </w:r>
    </w:p>
    <w:p w14:paraId="5CEE71ED">
      <w:pPr>
        <w:snapToGrid w:val="0"/>
        <w:spacing w:line="360" w:lineRule="auto"/>
        <w:ind w:right="480"/>
        <w:jc w:val="left"/>
        <w:rPr>
          <w:rFonts w:ascii="宋体" w:hAnsi="宋体" w:cs="宋体"/>
          <w:b/>
          <w:color w:val="auto"/>
          <w:sz w:val="24"/>
          <w:highlight w:val="none"/>
        </w:rPr>
      </w:pPr>
    </w:p>
    <w:p w14:paraId="02D5A78B">
      <w:pPr>
        <w:snapToGrid w:val="0"/>
        <w:spacing w:line="360" w:lineRule="auto"/>
        <w:ind w:right="480"/>
        <w:jc w:val="left"/>
        <w:rPr>
          <w:rFonts w:ascii="宋体" w:hAnsi="宋体" w:cs="宋体"/>
          <w:b/>
          <w:color w:val="auto"/>
          <w:sz w:val="24"/>
          <w:highlight w:val="none"/>
        </w:rPr>
      </w:pPr>
    </w:p>
    <w:p w14:paraId="5AE4E93B">
      <w:pPr>
        <w:snapToGrid w:val="0"/>
        <w:spacing w:line="360" w:lineRule="auto"/>
        <w:ind w:right="480"/>
        <w:jc w:val="left"/>
        <w:rPr>
          <w:rFonts w:ascii="宋体" w:hAnsi="宋体" w:cs="宋体"/>
          <w:b/>
          <w:color w:val="auto"/>
          <w:kern w:val="0"/>
          <w:sz w:val="24"/>
          <w:highlight w:val="none"/>
        </w:rPr>
      </w:pPr>
      <w:r>
        <w:rPr>
          <w:rFonts w:hint="eastAsia" w:ascii="宋体" w:hAnsi="宋体" w:cs="宋体"/>
          <w:b/>
          <w:color w:val="auto"/>
          <w:sz w:val="24"/>
          <w:highlight w:val="none"/>
        </w:rPr>
        <w:t>（1）营业执照(或事业法人登记证书或其它工商等登记证明材料；自然人参与政府采购，提供身份证)复印件；</w:t>
      </w:r>
      <w:r>
        <w:rPr>
          <w:rFonts w:hint="eastAsia" w:ascii="宋体" w:hAnsi="宋体" w:cs="宋体"/>
          <w:b/>
          <w:color w:val="auto"/>
          <w:kern w:val="0"/>
          <w:sz w:val="24"/>
          <w:highlight w:val="none"/>
        </w:rPr>
        <w:t xml:space="preserve"> </w:t>
      </w:r>
    </w:p>
    <w:p w14:paraId="62CBE563">
      <w:pPr>
        <w:pStyle w:val="26"/>
        <w:ind w:firstLine="0" w:firstLineChars="0"/>
        <w:rPr>
          <w:color w:val="auto"/>
          <w:highlight w:val="none"/>
        </w:rPr>
      </w:pPr>
    </w:p>
    <w:p w14:paraId="15FBFA42">
      <w:pPr>
        <w:pStyle w:val="27"/>
        <w:rPr>
          <w:color w:val="auto"/>
          <w:highlight w:val="none"/>
        </w:rPr>
      </w:pPr>
    </w:p>
    <w:p w14:paraId="55988AE3">
      <w:pPr>
        <w:snapToGrid w:val="0"/>
        <w:spacing w:line="360" w:lineRule="auto"/>
        <w:ind w:right="480"/>
        <w:jc w:val="center"/>
        <w:rPr>
          <w:rFonts w:ascii="宋体" w:hAnsi="宋体" w:cs="宋体"/>
          <w:b/>
          <w:color w:val="auto"/>
          <w:kern w:val="0"/>
          <w:sz w:val="32"/>
          <w:szCs w:val="32"/>
          <w:highlight w:val="none"/>
        </w:rPr>
      </w:pPr>
    </w:p>
    <w:p w14:paraId="015E6EE8">
      <w:pPr>
        <w:rPr>
          <w:rFonts w:ascii="宋体" w:hAnsi="宋体" w:cs="宋体"/>
          <w:b/>
          <w:color w:val="auto"/>
          <w:sz w:val="24"/>
          <w:highlight w:val="none"/>
        </w:rPr>
      </w:pPr>
      <w:r>
        <w:rPr>
          <w:rFonts w:hint="eastAsia" w:ascii="宋体" w:hAnsi="宋体" w:cs="宋体"/>
          <w:b/>
          <w:color w:val="auto"/>
          <w:sz w:val="24"/>
          <w:highlight w:val="none"/>
        </w:rPr>
        <w:br w:type="page"/>
      </w:r>
    </w:p>
    <w:p w14:paraId="3AC18859">
      <w:pPr>
        <w:snapToGrid w:val="0"/>
        <w:spacing w:line="360" w:lineRule="auto"/>
        <w:ind w:right="480"/>
        <w:jc w:val="left"/>
        <w:rPr>
          <w:rFonts w:ascii="宋体" w:hAnsi="宋体" w:cs="宋体"/>
          <w:b/>
          <w:color w:val="auto"/>
          <w:sz w:val="24"/>
          <w:highlight w:val="none"/>
        </w:rPr>
      </w:pPr>
      <w:r>
        <w:rPr>
          <w:rFonts w:hint="eastAsia" w:ascii="宋体" w:hAnsi="宋体" w:cs="宋体"/>
          <w:b/>
          <w:color w:val="auto"/>
          <w:sz w:val="24"/>
          <w:highlight w:val="none"/>
        </w:rPr>
        <w:t>（2）符合参加采购活动应当具备的一般条件的承诺函</w:t>
      </w:r>
    </w:p>
    <w:p w14:paraId="6414F6B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E3E33F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我方参与（项目名称）【项目编号：（采购编号）】采购活动，郑重承诺：</w:t>
      </w:r>
    </w:p>
    <w:p w14:paraId="18172BD2">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1C58A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1206D7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CD51A6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6F236D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7C12751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EF5246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47B0059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0BA7B0EA">
      <w:pPr>
        <w:snapToGrid w:val="0"/>
        <w:spacing w:line="360" w:lineRule="auto"/>
        <w:ind w:firstLine="5520" w:firstLineChars="2300"/>
        <w:rPr>
          <w:rFonts w:ascii="宋体" w:hAnsi="宋体" w:cs="宋体"/>
          <w:color w:val="auto"/>
          <w:kern w:val="0"/>
          <w:sz w:val="24"/>
          <w:highlight w:val="none"/>
        </w:rPr>
      </w:pPr>
    </w:p>
    <w:p w14:paraId="5B7FB72A">
      <w:pPr>
        <w:snapToGrid w:val="0"/>
        <w:spacing w:line="360" w:lineRule="auto"/>
        <w:ind w:firstLine="5520" w:firstLineChars="2300"/>
        <w:rPr>
          <w:rFonts w:ascii="宋体" w:hAnsi="宋体" w:cs="宋体"/>
          <w:color w:val="auto"/>
          <w:kern w:val="0"/>
          <w:sz w:val="24"/>
          <w:highlight w:val="none"/>
        </w:rPr>
      </w:pPr>
    </w:p>
    <w:p w14:paraId="08156A14">
      <w:pPr>
        <w:snapToGrid w:val="0"/>
        <w:spacing w:line="360" w:lineRule="auto"/>
        <w:ind w:firstLine="5520" w:firstLineChars="2300"/>
        <w:rPr>
          <w:rFonts w:ascii="宋体" w:hAnsi="宋体" w:cs="宋体"/>
          <w:color w:val="auto"/>
          <w:kern w:val="0"/>
          <w:sz w:val="24"/>
          <w:highlight w:val="none"/>
        </w:rPr>
      </w:pPr>
    </w:p>
    <w:p w14:paraId="23FE3A8F">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212627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1E89918">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6443D9C9">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1302DB4">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[以联合体形式参与的，提供联合协议（附件5）；本项目不接受联合体或者供应商不以联合体形式投参与的，则不需要提供]</w:t>
      </w:r>
    </w:p>
    <w:p w14:paraId="133FC8B9">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3D9E10D4">
      <w:pPr>
        <w:rPr>
          <w:rFonts w:ascii="宋体" w:hAnsi="宋体" w:cs="宋体"/>
          <w:b/>
          <w:color w:val="auto"/>
          <w:kern w:val="0"/>
          <w:sz w:val="32"/>
          <w:szCs w:val="32"/>
          <w:highlight w:val="none"/>
        </w:rPr>
      </w:pPr>
    </w:p>
    <w:p w14:paraId="187E4895">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、本项目的特定资格要求</w:t>
      </w:r>
    </w:p>
    <w:p w14:paraId="2D059B9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（根据竞争性磋商公告本项目的特定资格要求提供相应的材料；未要求的，无需提供）</w:t>
      </w:r>
    </w:p>
    <w:p w14:paraId="6A9C4158">
      <w:pPr>
        <w:rPr>
          <w:rFonts w:ascii="宋体" w:hAnsi="宋体" w:cs="宋体"/>
          <w:color w:val="auto"/>
          <w:highlight w:val="none"/>
        </w:rPr>
      </w:pPr>
    </w:p>
    <w:p w14:paraId="7F92F566">
      <w:pPr>
        <w:numPr>
          <w:ilvl w:val="0"/>
          <w:numId w:val="0"/>
        </w:numPr>
        <w:snapToGrid w:val="0"/>
        <w:spacing w:line="360" w:lineRule="auto"/>
        <w:ind w:right="480" w:rightChars="0"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（1）具有住房和城乡建设部门核发的具有建筑装饰工程设计专项乙级及以上资质；</w:t>
      </w:r>
    </w:p>
    <w:p w14:paraId="2772A467">
      <w:pPr>
        <w:numPr>
          <w:ilvl w:val="0"/>
          <w:numId w:val="0"/>
        </w:numPr>
        <w:snapToGrid w:val="0"/>
        <w:spacing w:line="360" w:lineRule="auto"/>
        <w:ind w:right="480" w:rightChars="0"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（2）具有建筑装修装饰工程专业承包二级及以上资质；</w:t>
      </w:r>
    </w:p>
    <w:p w14:paraId="7D793DFD">
      <w:pPr>
        <w:numPr>
          <w:ilvl w:val="0"/>
          <w:numId w:val="0"/>
        </w:numPr>
        <w:snapToGrid w:val="0"/>
        <w:spacing w:line="360" w:lineRule="auto"/>
        <w:ind w:right="480" w:rightChars="0" w:firstLine="480" w:firstLineChars="200"/>
        <w:jc w:val="left"/>
        <w:rPr>
          <w:rFonts w:ascii="宋体" w:hAnsi="宋体" w:cs="宋体"/>
          <w:color w:val="auto"/>
          <w:sz w:val="24"/>
          <w:highlight w:val="none"/>
        </w:rPr>
      </w:pPr>
      <w:r>
        <w:rPr>
          <w:rFonts w:hint="eastAsia" w:ascii="宋体" w:hAnsi="宋体" w:cs="宋体"/>
          <w:color w:val="auto"/>
          <w:sz w:val="24"/>
          <w:highlight w:val="none"/>
        </w:rPr>
        <w:t>（3）承担施工的单位具有有效的企业安全生产许可证；</w:t>
      </w:r>
    </w:p>
    <w:p w14:paraId="11026736">
      <w:pPr>
        <w:snapToGrid w:val="0"/>
        <w:spacing w:line="360" w:lineRule="auto"/>
        <w:ind w:firstLine="480" w:firstLineChars="200"/>
        <w:rPr>
          <w:rFonts w:ascii="宋体" w:hAnsi="宋体" w:cs="宋体"/>
          <w:color w:val="auto"/>
          <w:sz w:val="24"/>
          <w:highlight w:val="none"/>
        </w:rPr>
      </w:pPr>
    </w:p>
    <w:p w14:paraId="36DE4DA6">
      <w:pPr>
        <w:snapToGrid w:val="0"/>
        <w:spacing w:line="360" w:lineRule="auto"/>
        <w:ind w:firstLine="480" w:firstLineChars="200"/>
        <w:rPr>
          <w:rFonts w:ascii="宋体" w:hAnsi="宋体" w:cs="宋体"/>
          <w:color w:val="auto"/>
          <w:sz w:val="24"/>
          <w:highlight w:val="none"/>
        </w:rPr>
      </w:pPr>
    </w:p>
    <w:p w14:paraId="57312AA1">
      <w:pPr>
        <w:snapToGrid w:val="0"/>
        <w:spacing w:line="360" w:lineRule="auto"/>
        <w:ind w:firstLine="480" w:firstLineChars="200"/>
        <w:rPr>
          <w:rFonts w:ascii="宋体" w:hAnsi="宋体" w:cs="宋体"/>
          <w:color w:val="auto"/>
          <w:sz w:val="24"/>
          <w:highlight w:val="none"/>
        </w:rPr>
      </w:pPr>
    </w:p>
    <w:p w14:paraId="0E270AA7">
      <w:pPr>
        <w:rPr>
          <w:rFonts w:ascii="宋体" w:hAnsi="宋体" w:cs="宋体"/>
          <w:color w:val="auto"/>
          <w:sz w:val="24"/>
          <w:highlight w:val="none"/>
        </w:rPr>
      </w:pPr>
      <w:r>
        <w:rPr>
          <w:rFonts w:hint="eastAsia" w:ascii="宋体" w:hAnsi="宋体" w:cs="宋体"/>
          <w:color w:val="auto"/>
          <w:sz w:val="24"/>
          <w:highlight w:val="none"/>
        </w:rPr>
        <w:br w:type="page"/>
      </w:r>
    </w:p>
    <w:p w14:paraId="02ED62C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5F4ECC50">
      <w:pPr>
        <w:pStyle w:val="26"/>
        <w:ind w:firstLine="0" w:firstLineChars="0"/>
        <w:rPr>
          <w:color w:val="auto"/>
          <w:highlight w:val="none"/>
        </w:rPr>
      </w:pPr>
    </w:p>
    <w:p w14:paraId="5AE7B4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064D13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我方参与（项目名称）【项目编号：（采购编号）】采购活动，郑重承诺不存在以下情况：</w:t>
      </w:r>
    </w:p>
    <w:p w14:paraId="1D5233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1、单位负责人为同一人或者存在直接控股、管理关系的不同供应商参加同一合同项下的采购活动的；</w:t>
      </w:r>
    </w:p>
    <w:p w14:paraId="7DC955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2EC415B6">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657929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622A6F4">
      <w:pPr>
        <w:pStyle w:val="27"/>
        <w:rPr>
          <w:color w:val="auto"/>
          <w:highlight w:val="none"/>
        </w:rPr>
        <w:sectPr>
          <w:pgSz w:w="11906" w:h="16838"/>
          <w:pgMar w:top="1440" w:right="1080" w:bottom="1440" w:left="1080" w:header="851" w:footer="992" w:gutter="0"/>
          <w:pgNumType w:fmt="decimal"/>
          <w:cols w:space="720" w:num="1"/>
          <w:titlePg/>
          <w:docGrid w:linePitch="312" w:charSpace="0"/>
        </w:sectPr>
      </w:pPr>
    </w:p>
    <w:p w14:paraId="6F02860A">
      <w:pPr>
        <w:pStyle w:val="6"/>
        <w:rPr>
          <w:rFonts w:ascii="宋体" w:hAnsi="宋体" w:cs="宋体"/>
          <w:b w:val="0"/>
          <w:color w:val="auto"/>
          <w:kern w:val="0"/>
          <w:sz w:val="36"/>
          <w:szCs w:val="36"/>
          <w:highlight w:val="none"/>
        </w:rPr>
      </w:pPr>
    </w:p>
    <w:p w14:paraId="59C6C938">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6A3D783">
      <w:pPr>
        <w:spacing w:line="360" w:lineRule="auto"/>
        <w:jc w:val="center"/>
        <w:outlineLvl w:val="0"/>
        <w:rPr>
          <w:rFonts w:ascii="宋体" w:hAnsi="宋体" w:cs="宋体"/>
          <w:b/>
          <w:color w:val="auto"/>
          <w:kern w:val="0"/>
          <w:sz w:val="28"/>
          <w:szCs w:val="28"/>
          <w:highlight w:val="none"/>
        </w:rPr>
      </w:pPr>
      <w:bookmarkStart w:id="506" w:name="_Toc31282"/>
      <w:r>
        <w:rPr>
          <w:rFonts w:hint="eastAsia" w:ascii="宋体" w:hAnsi="宋体" w:cs="宋体"/>
          <w:b/>
          <w:color w:val="auto"/>
          <w:kern w:val="0"/>
          <w:sz w:val="28"/>
          <w:szCs w:val="28"/>
          <w:highlight w:val="none"/>
        </w:rPr>
        <w:t>目录</w:t>
      </w:r>
      <w:bookmarkEnd w:id="506"/>
    </w:p>
    <w:p w14:paraId="71065954">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响应函………………………………………………………………………………（页码）</w:t>
      </w:r>
    </w:p>
    <w:p w14:paraId="70933A5F">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2）授权委托书或法定代表人（单位负责人、自然人本人）身份证明</w:t>
      </w:r>
      <w:r>
        <w:rPr>
          <w:rFonts w:hint="eastAsia" w:ascii="宋体" w:hAnsi="宋体" w:cs="宋体"/>
          <w:color w:val="auto"/>
          <w:sz w:val="24"/>
          <w:highlight w:val="none"/>
        </w:rPr>
        <w:t>……………（页码）</w:t>
      </w:r>
    </w:p>
    <w:p w14:paraId="126ADAAF">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）分包意向协议………………………………………………………………………（页码）</w:t>
      </w:r>
    </w:p>
    <w:p w14:paraId="5139A64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）符合性审查资料……………………………………………………………………（页码）</w:t>
      </w:r>
    </w:p>
    <w:p w14:paraId="08843308">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）评审标准相应的商务技术资料……………………………………………………（页码）（</w:t>
      </w:r>
      <w:r>
        <w:rPr>
          <w:rFonts w:ascii="宋体" w:hAnsi="宋体" w:cs="宋体"/>
          <w:color w:val="auto"/>
          <w:sz w:val="24"/>
          <w:highlight w:val="none"/>
        </w:rPr>
        <w:t>6</w:t>
      </w:r>
      <w:r>
        <w:rPr>
          <w:rFonts w:hint="eastAsia" w:ascii="宋体" w:hAnsi="宋体" w:cs="宋体"/>
          <w:color w:val="auto"/>
          <w:sz w:val="24"/>
          <w:highlight w:val="none"/>
        </w:rPr>
        <w:t>）商务技术偏离表……………………………………………………………………（页码）</w:t>
      </w:r>
    </w:p>
    <w:p w14:paraId="2519D0B5">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lang w:val="zh-CN"/>
        </w:rPr>
        <w:t>（</w:t>
      </w:r>
      <w:r>
        <w:rPr>
          <w:rFonts w:ascii="宋体" w:hAnsi="宋体" w:cs="宋体"/>
          <w:color w:val="auto"/>
          <w:sz w:val="24"/>
          <w:highlight w:val="none"/>
        </w:rPr>
        <w:t>7</w:t>
      </w:r>
      <w:r>
        <w:rPr>
          <w:rFonts w:hint="eastAsia" w:ascii="宋体" w:hAnsi="宋体" w:cs="宋体"/>
          <w:color w:val="auto"/>
          <w:sz w:val="24"/>
          <w:highlight w:val="none"/>
          <w:lang w:val="zh-CN"/>
        </w:rPr>
        <w:t>）采购供应商廉洁自律承诺书</w:t>
      </w:r>
      <w:r>
        <w:rPr>
          <w:rFonts w:hint="eastAsia" w:ascii="宋体" w:hAnsi="宋体" w:cs="宋体"/>
          <w:color w:val="auto"/>
          <w:sz w:val="24"/>
          <w:highlight w:val="none"/>
        </w:rPr>
        <w:t>…………………………………………………（页码）</w:t>
      </w:r>
    </w:p>
    <w:p w14:paraId="296EA867">
      <w:pPr>
        <w:snapToGrid w:val="0"/>
        <w:spacing w:line="360" w:lineRule="auto"/>
        <w:jc w:val="center"/>
        <w:rPr>
          <w:rFonts w:ascii="宋体" w:hAnsi="宋体" w:cs="宋体"/>
          <w:b/>
          <w:color w:val="auto"/>
          <w:kern w:val="0"/>
          <w:sz w:val="24"/>
          <w:szCs w:val="32"/>
          <w:highlight w:val="none"/>
          <w:lang w:val="zh-CN"/>
        </w:rPr>
        <w:sectPr>
          <w:pgSz w:w="11906" w:h="16838"/>
          <w:pgMar w:top="1440" w:right="1080" w:bottom="1440" w:left="1080" w:header="851" w:footer="992" w:gutter="0"/>
          <w:pgNumType w:fmt="decimal"/>
          <w:cols w:space="720" w:num="1"/>
          <w:titlePg/>
          <w:docGrid w:linePitch="312" w:charSpace="0"/>
        </w:sectPr>
      </w:pPr>
    </w:p>
    <w:p w14:paraId="6465AFC3">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一、响应函</w:t>
      </w:r>
    </w:p>
    <w:p w14:paraId="37D4D36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474096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我方参加你方组织的（项目名称）【项目编号：（采购编号）】采购的有关活动，并对此项目提交响应文件及报价。为此：</w:t>
      </w:r>
    </w:p>
    <w:p w14:paraId="384208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1、我方承诺响应文件有效期从提交响应文件的截止之日起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本响应文件在响应文件有效期满之前均具有约束力。</w:t>
      </w:r>
    </w:p>
    <w:p w14:paraId="31ACBE6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2、我方的响应文件包括以下内容：</w:t>
      </w:r>
    </w:p>
    <w:p w14:paraId="3D4FA82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5F842F9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798AE0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51A49F3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本项目的特定资格要求（如果有）。</w:t>
      </w:r>
    </w:p>
    <w:p w14:paraId="30941E77">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44F8160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2.2.1响应函；</w:t>
      </w:r>
      <w:r>
        <w:rPr>
          <w:rFonts w:hint="eastAsia" w:ascii="宋体" w:hAnsi="宋体" w:cs="宋体"/>
          <w:color w:val="auto"/>
          <w:sz w:val="24"/>
          <w:highlight w:val="none"/>
          <w:lang w:val="zh-CN"/>
        </w:rPr>
        <w:t xml:space="preserve"> </w:t>
      </w:r>
    </w:p>
    <w:p w14:paraId="295DF37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362F94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3F6EB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4C0EC1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评审标准相应的商务技术资料；</w:t>
      </w:r>
    </w:p>
    <w:p w14:paraId="2FCA28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2.2.6商务技术偏离表；</w:t>
      </w:r>
    </w:p>
    <w:p w14:paraId="5551A0A2">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采购供应商廉洁自律承诺书；</w:t>
      </w:r>
    </w:p>
    <w:p w14:paraId="353C59B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B9C02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2.3.1报价单；</w:t>
      </w:r>
    </w:p>
    <w:p w14:paraId="75A0943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2.3.2已标价工程量清单。</w:t>
      </w:r>
    </w:p>
    <w:p w14:paraId="50EF9FD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3、我方承诺除商务技术偏离表列出的偏离外，我方响应采购文件的全部要求。对响应文件中材料的真实性、合法性负责。</w:t>
      </w:r>
    </w:p>
    <w:p w14:paraId="05C19CF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4、如我方成交，我方承诺：</w:t>
      </w:r>
    </w:p>
    <w:p w14:paraId="0AAEF56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4.1在收到成交通知书后，在成交通知书规定的期限内与你方签订合同； </w:t>
      </w:r>
    </w:p>
    <w:p w14:paraId="43F9D4E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47CDCE4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4.3按照采购文件要求提交履约保证金； </w:t>
      </w:r>
    </w:p>
    <w:p w14:paraId="0835C95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4883CBC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3E4DD18">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供应商名称（电子签名）：                          </w:t>
      </w:r>
    </w:p>
    <w:p w14:paraId="255E6A9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1909D4CD">
      <w:pPr>
        <w:snapToGrid w:val="0"/>
        <w:spacing w:line="360" w:lineRule="auto"/>
        <w:ind w:left="420" w:leftChars="200" w:firstLine="4200" w:firstLineChars="1750"/>
        <w:rPr>
          <w:rFonts w:ascii="宋体" w:hAnsi="宋体" w:cs="宋体"/>
          <w:color w:val="auto"/>
          <w:kern w:val="0"/>
          <w:sz w:val="24"/>
          <w:highlight w:val="none"/>
          <w:u w:val="single"/>
        </w:rPr>
      </w:pPr>
    </w:p>
    <w:p w14:paraId="21ED659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D5322C1">
      <w:pPr>
        <w:snapToGrid w:val="0"/>
        <w:spacing w:line="360" w:lineRule="auto"/>
        <w:jc w:val="center"/>
        <w:rPr>
          <w:rFonts w:ascii="宋体" w:hAnsi="宋体" w:cs="宋体"/>
          <w:b/>
          <w:color w:val="auto"/>
          <w:kern w:val="0"/>
          <w:sz w:val="32"/>
          <w:szCs w:val="32"/>
          <w:highlight w:val="none"/>
        </w:rPr>
      </w:pPr>
    </w:p>
    <w:p w14:paraId="25578EFD">
      <w:pPr>
        <w:snapToGrid w:val="0"/>
        <w:spacing w:line="360" w:lineRule="auto"/>
        <w:rPr>
          <w:rFonts w:ascii="宋体" w:hAnsi="宋体" w:cs="宋体"/>
          <w:color w:val="auto"/>
          <w:sz w:val="24"/>
          <w:highlight w:val="none"/>
        </w:rPr>
      </w:pPr>
    </w:p>
    <w:p w14:paraId="702A46C5">
      <w:pPr>
        <w:jc w:val="center"/>
        <w:rPr>
          <w:rFonts w:ascii="宋体" w:hAnsi="宋体" w:cs="宋体"/>
          <w:b/>
          <w:color w:val="auto"/>
          <w:kern w:val="0"/>
          <w:sz w:val="32"/>
          <w:szCs w:val="32"/>
          <w:highlight w:val="none"/>
        </w:rPr>
      </w:pPr>
    </w:p>
    <w:p w14:paraId="6FB23E10">
      <w:pPr>
        <w:jc w:val="center"/>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2DEDB516">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二、授权委托书或法定代表人（单位负责人、自然人本人）身份证明</w:t>
      </w:r>
    </w:p>
    <w:p w14:paraId="7B10AFB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5384062">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授权委托书（适用于非联合体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14:paraId="0C8FBC0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8753CD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14:paraId="28B993A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7413D4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79F636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14:paraId="75022A12">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815F7DB">
      <w:pPr>
        <w:snapToGrid w:val="0"/>
        <w:spacing w:line="360" w:lineRule="auto"/>
        <w:rPr>
          <w:rFonts w:ascii="宋体" w:hAnsi="宋体" w:cs="宋体"/>
          <w:color w:val="auto"/>
          <w:sz w:val="24"/>
          <w:highlight w:val="none"/>
        </w:rPr>
      </w:pPr>
    </w:p>
    <w:p w14:paraId="0B3D8D3A">
      <w:pPr>
        <w:snapToGrid w:val="0"/>
        <w:spacing w:line="360" w:lineRule="auto"/>
        <w:rPr>
          <w:rFonts w:ascii="宋体" w:hAnsi="宋体" w:cs="宋体"/>
          <w:color w:val="auto"/>
          <w:sz w:val="24"/>
          <w:highlight w:val="none"/>
        </w:rPr>
      </w:pPr>
    </w:p>
    <w:p w14:paraId="64A26E96">
      <w:pPr>
        <w:snapToGrid w:val="0"/>
        <w:spacing w:line="360" w:lineRule="auto"/>
        <w:rPr>
          <w:rFonts w:ascii="宋体" w:hAnsi="宋体" w:cs="宋体"/>
          <w:color w:val="auto"/>
          <w:sz w:val="24"/>
          <w:highlight w:val="none"/>
        </w:rPr>
      </w:pPr>
    </w:p>
    <w:p w14:paraId="61D9717C">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14:paraId="791CC45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4DE314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14:paraId="089341F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035786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F4A1022">
      <w:pPr>
        <w:jc w:val="center"/>
        <w:rPr>
          <w:rFonts w:ascii="宋体" w:hAnsi="宋体" w:cs="宋体"/>
          <w:b/>
          <w:color w:val="auto"/>
          <w:kern w:val="0"/>
          <w:sz w:val="32"/>
          <w:szCs w:val="32"/>
          <w:highlight w:val="none"/>
        </w:rPr>
      </w:pPr>
    </w:p>
    <w:p w14:paraId="5B65A9C1">
      <w:pPr>
        <w:jc w:val="center"/>
        <w:rPr>
          <w:rFonts w:ascii="宋体" w:hAnsi="宋体" w:cs="宋体"/>
          <w:b/>
          <w:color w:val="auto"/>
          <w:kern w:val="0"/>
          <w:sz w:val="32"/>
          <w:szCs w:val="32"/>
          <w:highlight w:val="none"/>
        </w:rPr>
      </w:pPr>
    </w:p>
    <w:p w14:paraId="4CCDC5C5">
      <w:pPr>
        <w:jc w:val="center"/>
        <w:rPr>
          <w:rFonts w:ascii="宋体" w:hAnsi="宋体" w:cs="宋体"/>
          <w:b/>
          <w:color w:val="auto"/>
          <w:kern w:val="0"/>
          <w:sz w:val="32"/>
          <w:szCs w:val="32"/>
          <w:highlight w:val="none"/>
        </w:rPr>
      </w:pPr>
    </w:p>
    <w:p w14:paraId="4B6954CB">
      <w:pPr>
        <w:rPr>
          <w:rFonts w:ascii="宋体" w:hAnsi="宋体" w:cs="宋体"/>
          <w:color w:val="auto"/>
          <w:highlight w:val="none"/>
        </w:rPr>
      </w:pPr>
    </w:p>
    <w:p w14:paraId="35F0333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D7F400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4C425F">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792E7D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1FCCE88">
      <w:pPr>
        <w:rPr>
          <w:rFonts w:hint="eastAsia"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br w:type="page"/>
      </w:r>
    </w:p>
    <w:p w14:paraId="3F1CEC00">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zh-CN"/>
        </w:rPr>
        <w:t>法定代表人、单位负责人或自然人本人</w:t>
      </w:r>
      <w:r>
        <w:rPr>
          <w:rFonts w:hint="eastAsia" w:ascii="宋体" w:hAnsi="宋体" w:cs="宋体"/>
          <w:b/>
          <w:bCs/>
          <w:color w:val="auto"/>
          <w:sz w:val="32"/>
          <w:szCs w:val="32"/>
          <w:highlight w:val="none"/>
        </w:rPr>
        <w:t>的身份证明（适用于法定代表人、单位负责人或者自然人本人代表供应商参加响应）</w:t>
      </w:r>
    </w:p>
    <w:p w14:paraId="76CC8121">
      <w:pPr>
        <w:pStyle w:val="15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BC9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C5890E0">
            <w:pPr>
              <w:pStyle w:val="15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93E1757">
            <w:pPr>
              <w:pStyle w:val="151"/>
              <w:adjustRightInd w:val="0"/>
              <w:spacing w:line="360" w:lineRule="auto"/>
              <w:rPr>
                <w:rFonts w:hAnsi="宋体" w:cs="宋体"/>
                <w:bCs/>
                <w:color w:val="auto"/>
                <w:sz w:val="24"/>
                <w:highlight w:val="none"/>
              </w:rPr>
            </w:pPr>
          </w:p>
        </w:tc>
      </w:tr>
    </w:tbl>
    <w:p w14:paraId="328D9E35">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BE7E95F">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14:paraId="5B40AF59">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D822D67">
      <w:pPr>
        <w:jc w:val="center"/>
        <w:rPr>
          <w:rFonts w:ascii="宋体" w:hAnsi="宋体" w:cs="宋体"/>
          <w:b/>
          <w:color w:val="auto"/>
          <w:kern w:val="0"/>
          <w:sz w:val="32"/>
          <w:szCs w:val="32"/>
          <w:highlight w:val="none"/>
        </w:rPr>
      </w:pPr>
    </w:p>
    <w:p w14:paraId="51330EE3">
      <w:pPr>
        <w:jc w:val="center"/>
        <w:rPr>
          <w:rFonts w:ascii="宋体" w:hAnsi="宋体" w:cs="宋体"/>
          <w:b/>
          <w:color w:val="auto"/>
          <w:kern w:val="0"/>
          <w:sz w:val="32"/>
          <w:szCs w:val="32"/>
          <w:highlight w:val="none"/>
        </w:rPr>
      </w:pPr>
    </w:p>
    <w:p w14:paraId="5E4BE9DB">
      <w:pPr>
        <w:jc w:val="center"/>
        <w:rPr>
          <w:rFonts w:ascii="宋体" w:hAnsi="宋体" w:cs="宋体"/>
          <w:b/>
          <w:color w:val="auto"/>
          <w:kern w:val="0"/>
          <w:sz w:val="32"/>
          <w:szCs w:val="32"/>
          <w:highlight w:val="none"/>
        </w:rPr>
      </w:pPr>
    </w:p>
    <w:p w14:paraId="6C72BD7B">
      <w:pPr>
        <w:jc w:val="center"/>
        <w:rPr>
          <w:rFonts w:ascii="宋体" w:hAnsi="宋体" w:cs="宋体"/>
          <w:b/>
          <w:color w:val="auto"/>
          <w:kern w:val="0"/>
          <w:sz w:val="32"/>
          <w:szCs w:val="32"/>
          <w:highlight w:val="none"/>
        </w:rPr>
      </w:pPr>
    </w:p>
    <w:p w14:paraId="59CD4FEB">
      <w:pPr>
        <w:jc w:val="center"/>
        <w:rPr>
          <w:rFonts w:ascii="宋体" w:hAnsi="宋体" w:cs="宋体"/>
          <w:b/>
          <w:color w:val="auto"/>
          <w:kern w:val="0"/>
          <w:sz w:val="32"/>
          <w:szCs w:val="32"/>
          <w:highlight w:val="none"/>
        </w:rPr>
      </w:pPr>
    </w:p>
    <w:p w14:paraId="5B1E9AD5">
      <w:pPr>
        <w:jc w:val="center"/>
        <w:rPr>
          <w:rFonts w:ascii="宋体" w:hAnsi="宋体" w:cs="宋体"/>
          <w:b/>
          <w:color w:val="auto"/>
          <w:kern w:val="0"/>
          <w:sz w:val="32"/>
          <w:szCs w:val="32"/>
          <w:highlight w:val="none"/>
        </w:rPr>
      </w:pPr>
    </w:p>
    <w:p w14:paraId="1F973CCD">
      <w:pPr>
        <w:jc w:val="center"/>
        <w:rPr>
          <w:rFonts w:ascii="宋体" w:hAnsi="宋体" w:cs="宋体"/>
          <w:b/>
          <w:color w:val="auto"/>
          <w:kern w:val="0"/>
          <w:sz w:val="32"/>
          <w:szCs w:val="32"/>
          <w:highlight w:val="none"/>
        </w:rPr>
      </w:pPr>
    </w:p>
    <w:p w14:paraId="58241D18">
      <w:pPr>
        <w:jc w:val="center"/>
        <w:rPr>
          <w:rFonts w:ascii="宋体" w:hAnsi="宋体" w:cs="宋体"/>
          <w:b/>
          <w:color w:val="auto"/>
          <w:kern w:val="0"/>
          <w:sz w:val="32"/>
          <w:szCs w:val="32"/>
          <w:highlight w:val="none"/>
        </w:rPr>
      </w:pPr>
    </w:p>
    <w:p w14:paraId="6D3CBD89">
      <w:pPr>
        <w:jc w:val="center"/>
        <w:rPr>
          <w:rFonts w:ascii="宋体" w:hAnsi="宋体" w:cs="宋体"/>
          <w:b/>
          <w:color w:val="auto"/>
          <w:kern w:val="0"/>
          <w:sz w:val="32"/>
          <w:szCs w:val="32"/>
          <w:highlight w:val="none"/>
        </w:rPr>
      </w:pPr>
    </w:p>
    <w:p w14:paraId="38832646">
      <w:pPr>
        <w:jc w:val="center"/>
        <w:rPr>
          <w:rFonts w:ascii="宋体" w:hAnsi="宋体" w:cs="宋体"/>
          <w:b/>
          <w:color w:val="auto"/>
          <w:kern w:val="0"/>
          <w:sz w:val="32"/>
          <w:szCs w:val="32"/>
          <w:highlight w:val="none"/>
        </w:rPr>
      </w:pPr>
    </w:p>
    <w:p w14:paraId="2F69F169">
      <w:pPr>
        <w:snapToGrid w:val="0"/>
        <w:spacing w:line="360" w:lineRule="auto"/>
        <w:ind w:right="480"/>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5764510C">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三、分包意向协议</w:t>
      </w:r>
    </w:p>
    <w:p w14:paraId="126E6033">
      <w:pPr>
        <w:widowControl/>
        <w:spacing w:line="360" w:lineRule="auto"/>
        <w:ind w:firstLine="120" w:firstLineChars="50"/>
        <w:jc w:val="left"/>
        <w:rPr>
          <w:rFonts w:ascii="宋体" w:hAnsi="宋体" w:cs="宋体"/>
          <w:color w:val="auto"/>
          <w:sz w:val="24"/>
          <w:highlight w:val="none"/>
        </w:rPr>
      </w:pPr>
      <w:bookmarkStart w:id="507" w:name="_Hlk101169080"/>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；采购人不同意分包或者供应商成交后不以分包方式履行合同的，则不需要提供。</w:t>
      </w:r>
      <w:r>
        <w:rPr>
          <w:rFonts w:hint="eastAsia" w:ascii="宋体" w:hAnsi="宋体" w:cs="宋体"/>
          <w:color w:val="auto"/>
          <w:sz w:val="24"/>
          <w:highlight w:val="none"/>
        </w:rPr>
        <w:t>]</w:t>
      </w:r>
    </w:p>
    <w:bookmarkEnd w:id="507"/>
    <w:p w14:paraId="7541A10C">
      <w:pPr>
        <w:snapToGrid w:val="0"/>
        <w:spacing w:line="360" w:lineRule="auto"/>
        <w:rPr>
          <w:rFonts w:ascii="宋体" w:hAnsi="宋体" w:cs="宋体"/>
          <w:color w:val="auto"/>
          <w:kern w:val="0"/>
          <w:sz w:val="24"/>
          <w:highlight w:val="none"/>
        </w:rPr>
      </w:pPr>
    </w:p>
    <w:p w14:paraId="76CF26E9">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四、符合性审查资料</w:t>
      </w:r>
    </w:p>
    <w:p w14:paraId="3F64CA9E">
      <w:pP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B88E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D2C576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5D3F39E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717EA0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062CAF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响应文件中的</w:t>
            </w:r>
          </w:p>
          <w:p w14:paraId="4F0F270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6E38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8189AD5">
            <w:pP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14:paraId="7EE7DE36">
            <w:pPr>
              <w:spacing w:line="360" w:lineRule="auto"/>
              <w:rPr>
                <w:rFonts w:ascii="宋体" w:hAnsi="宋体" w:cs="宋体"/>
                <w:color w:val="auto"/>
                <w:sz w:val="24"/>
                <w:highlight w:val="none"/>
              </w:rPr>
            </w:pPr>
            <w:r>
              <w:rPr>
                <w:rFonts w:hint="eastAsia" w:ascii="宋体" w:hAnsi="宋体" w:cs="宋体"/>
                <w:color w:val="auto"/>
                <w:sz w:val="24"/>
                <w:highlight w:val="none"/>
              </w:rPr>
              <w:t>响应文件按照采购文件要求签署、盖章。</w:t>
            </w:r>
          </w:p>
        </w:tc>
        <w:tc>
          <w:tcPr>
            <w:tcW w:w="2551" w:type="dxa"/>
            <w:vAlign w:val="center"/>
          </w:tcPr>
          <w:p w14:paraId="10A6EB0F">
            <w:pPr>
              <w:rPr>
                <w:rFonts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14:paraId="7EE2927F">
            <w:pPr>
              <w:rPr>
                <w:rFonts w:ascii="宋体" w:hAnsi="宋体" w:cs="宋体"/>
                <w:color w:val="auto"/>
                <w:sz w:val="24"/>
                <w:highlight w:val="none"/>
              </w:rPr>
            </w:pPr>
            <w:r>
              <w:rPr>
                <w:rFonts w:hint="eastAsia" w:ascii="宋体" w:hAnsi="宋体" w:cs="宋体"/>
                <w:color w:val="auto"/>
                <w:sz w:val="24"/>
                <w:highlight w:val="none"/>
              </w:rPr>
              <w:t>见响应文件</w:t>
            </w:r>
          </w:p>
          <w:p w14:paraId="7F18CCCA">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310E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506ABA">
            <w:pP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4991" w:type="dxa"/>
            <w:vAlign w:val="center"/>
          </w:tcPr>
          <w:p w14:paraId="72D70F37">
            <w:pPr>
              <w:spacing w:line="360" w:lineRule="auto"/>
              <w:rPr>
                <w:rFonts w:ascii="宋体" w:hAnsi="宋体" w:cs="宋体"/>
                <w:color w:val="auto"/>
                <w:sz w:val="24"/>
                <w:highlight w:val="none"/>
              </w:rPr>
            </w:pPr>
            <w:r>
              <w:rPr>
                <w:rFonts w:hint="eastAsia" w:ascii="宋体" w:hAnsi="宋体" w:cs="宋体"/>
                <w:color w:val="auto"/>
                <w:sz w:val="24"/>
                <w:highlight w:val="none"/>
              </w:rPr>
              <w:t>响应文件中承诺的响应文件有效期不少于采购文件中载明的响应文件有效期。</w:t>
            </w:r>
          </w:p>
        </w:tc>
        <w:tc>
          <w:tcPr>
            <w:tcW w:w="2551" w:type="dxa"/>
            <w:vAlign w:val="center"/>
          </w:tcPr>
          <w:p w14:paraId="42DBC3A1">
            <w:pPr>
              <w:rPr>
                <w:rFonts w:ascii="宋体" w:hAnsi="宋体" w:cs="宋体"/>
                <w:color w:val="auto"/>
                <w:sz w:val="24"/>
                <w:highlight w:val="none"/>
              </w:rPr>
            </w:pPr>
            <w:r>
              <w:rPr>
                <w:rFonts w:hint="eastAsia" w:ascii="宋体" w:hAnsi="宋体" w:cs="宋体"/>
                <w:color w:val="auto"/>
                <w:sz w:val="24"/>
                <w:highlight w:val="none"/>
              </w:rPr>
              <w:t>响应函</w:t>
            </w:r>
          </w:p>
        </w:tc>
        <w:tc>
          <w:tcPr>
            <w:tcW w:w="1418" w:type="dxa"/>
            <w:vAlign w:val="center"/>
          </w:tcPr>
          <w:p w14:paraId="0563FCE2">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F031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0FAB483">
            <w:pP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4991" w:type="dxa"/>
            <w:vAlign w:val="center"/>
          </w:tcPr>
          <w:p w14:paraId="1A1FF87B">
            <w:pPr>
              <w:spacing w:line="360" w:lineRule="auto"/>
              <w:rPr>
                <w:rFonts w:ascii="宋体" w:hAnsi="宋体" w:cs="宋体"/>
                <w:color w:val="auto"/>
                <w:sz w:val="24"/>
                <w:highlight w:val="none"/>
              </w:rPr>
            </w:pPr>
            <w:r>
              <w:rPr>
                <w:rFonts w:hint="eastAsia" w:ascii="宋体" w:hAnsi="宋体" w:cs="宋体"/>
                <w:color w:val="auto"/>
                <w:sz w:val="24"/>
                <w:highlight w:val="none"/>
              </w:rPr>
              <w:t>响应文件满足采购文件的其它实质性要求。</w:t>
            </w:r>
          </w:p>
        </w:tc>
        <w:tc>
          <w:tcPr>
            <w:tcW w:w="2551" w:type="dxa"/>
            <w:vAlign w:val="center"/>
          </w:tcPr>
          <w:p w14:paraId="0B7D966C">
            <w:pPr>
              <w:rPr>
                <w:rFonts w:ascii="宋体" w:hAnsi="宋体" w:cs="宋体"/>
                <w:color w:val="auto"/>
                <w:sz w:val="24"/>
                <w:highlight w:val="none"/>
              </w:rPr>
            </w:pPr>
            <w:r>
              <w:rPr>
                <w:rFonts w:hint="eastAsia" w:ascii="宋体" w:hAnsi="宋体" w:cs="宋体"/>
                <w:color w:val="auto"/>
                <w:kern w:val="0"/>
                <w:sz w:val="24"/>
                <w:highlight w:val="none"/>
              </w:rPr>
              <w:t>采购文件其它实质性要求相应的材料（“▲” 系指实质性要求条款，采购文件无其它实质性要求的，无需提供）</w:t>
            </w:r>
          </w:p>
        </w:tc>
        <w:tc>
          <w:tcPr>
            <w:tcW w:w="1418" w:type="dxa"/>
            <w:vAlign w:val="center"/>
          </w:tcPr>
          <w:p w14:paraId="4A08D0D1">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0E3658F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194B17F">
      <w:pPr>
        <w:jc w:val="center"/>
        <w:rPr>
          <w:rFonts w:ascii="宋体" w:hAnsi="宋体" w:cs="宋体"/>
          <w:b/>
          <w:color w:val="auto"/>
          <w:kern w:val="0"/>
          <w:sz w:val="32"/>
          <w:szCs w:val="32"/>
          <w:highlight w:val="none"/>
        </w:rPr>
      </w:pPr>
    </w:p>
    <w:p w14:paraId="46E8D77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1E2A285">
      <w:pPr>
        <w:jc w:val="center"/>
        <w:rPr>
          <w:rFonts w:ascii="宋体" w:hAnsi="宋体" w:cs="宋体"/>
          <w:b/>
          <w:color w:val="auto"/>
          <w:kern w:val="0"/>
          <w:sz w:val="32"/>
          <w:szCs w:val="32"/>
          <w:highlight w:val="none"/>
        </w:rPr>
      </w:pPr>
    </w:p>
    <w:p w14:paraId="51794914">
      <w:pPr>
        <w:jc w:val="center"/>
        <w:rPr>
          <w:rFonts w:ascii="宋体" w:hAnsi="宋体" w:cs="宋体"/>
          <w:b/>
          <w:color w:val="auto"/>
          <w:kern w:val="0"/>
          <w:sz w:val="32"/>
          <w:szCs w:val="32"/>
          <w:highlight w:val="none"/>
        </w:rPr>
      </w:pPr>
    </w:p>
    <w:p w14:paraId="5385EF62">
      <w:pPr>
        <w:jc w:val="center"/>
        <w:rPr>
          <w:rFonts w:ascii="宋体" w:hAnsi="宋体" w:cs="宋体"/>
          <w:b/>
          <w:color w:val="auto"/>
          <w:kern w:val="0"/>
          <w:sz w:val="32"/>
          <w:szCs w:val="32"/>
          <w:highlight w:val="none"/>
        </w:rPr>
      </w:pPr>
    </w:p>
    <w:p w14:paraId="2E116110">
      <w:pPr>
        <w:jc w:val="center"/>
        <w:rPr>
          <w:rFonts w:ascii="宋体" w:hAnsi="宋体" w:cs="宋体"/>
          <w:b/>
          <w:color w:val="auto"/>
          <w:kern w:val="0"/>
          <w:sz w:val="32"/>
          <w:szCs w:val="32"/>
          <w:highlight w:val="none"/>
        </w:rPr>
      </w:pPr>
    </w:p>
    <w:p w14:paraId="6647D74A">
      <w:pPr>
        <w:jc w:val="center"/>
        <w:rPr>
          <w:rFonts w:ascii="宋体" w:hAnsi="宋体" w:cs="宋体"/>
          <w:b/>
          <w:color w:val="auto"/>
          <w:kern w:val="0"/>
          <w:sz w:val="32"/>
          <w:szCs w:val="32"/>
          <w:highlight w:val="none"/>
        </w:rPr>
      </w:pPr>
    </w:p>
    <w:p w14:paraId="11EA2719">
      <w:pPr>
        <w:jc w:val="center"/>
        <w:rPr>
          <w:rFonts w:ascii="宋体" w:hAnsi="宋体" w:cs="宋体"/>
          <w:b/>
          <w:color w:val="auto"/>
          <w:kern w:val="0"/>
          <w:sz w:val="32"/>
          <w:szCs w:val="32"/>
          <w:highlight w:val="none"/>
        </w:rPr>
      </w:pPr>
    </w:p>
    <w:p w14:paraId="6E32A612">
      <w:pPr>
        <w:jc w:val="center"/>
        <w:rPr>
          <w:rFonts w:ascii="宋体" w:hAnsi="宋体" w:cs="宋体"/>
          <w:b/>
          <w:color w:val="auto"/>
          <w:kern w:val="0"/>
          <w:sz w:val="32"/>
          <w:szCs w:val="32"/>
          <w:highlight w:val="none"/>
        </w:rPr>
      </w:pPr>
    </w:p>
    <w:p w14:paraId="24E61C38">
      <w:pPr>
        <w:jc w:val="center"/>
        <w:rPr>
          <w:rFonts w:ascii="宋体" w:hAnsi="宋体" w:cs="宋体"/>
          <w:b/>
          <w:color w:val="auto"/>
          <w:kern w:val="0"/>
          <w:sz w:val="32"/>
          <w:szCs w:val="32"/>
          <w:highlight w:val="none"/>
        </w:rPr>
      </w:pPr>
    </w:p>
    <w:p w14:paraId="1DDBF109">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五、评审标准相应的商务技术资料</w:t>
      </w:r>
    </w:p>
    <w:p w14:paraId="3E9CA7B6">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（按采购文件第四部分评审办法前附表中“响应文件中评审标准相应的商务技术资料目录”提供资料。）</w:t>
      </w:r>
    </w:p>
    <w:p w14:paraId="70EDDB90">
      <w:pPr>
        <w:jc w:val="center"/>
        <w:rPr>
          <w:rFonts w:ascii="宋体" w:hAnsi="宋体" w:cs="宋体"/>
          <w:b/>
          <w:color w:val="auto"/>
          <w:kern w:val="0"/>
          <w:sz w:val="32"/>
          <w:szCs w:val="32"/>
          <w:highlight w:val="none"/>
        </w:rPr>
      </w:pPr>
    </w:p>
    <w:p w14:paraId="58DAB12E">
      <w:pPr>
        <w:jc w:val="center"/>
        <w:rPr>
          <w:rFonts w:ascii="宋体" w:hAnsi="宋体" w:cs="宋体"/>
          <w:b/>
          <w:color w:val="auto"/>
          <w:kern w:val="0"/>
          <w:sz w:val="32"/>
          <w:szCs w:val="32"/>
          <w:highlight w:val="none"/>
        </w:rPr>
      </w:pPr>
    </w:p>
    <w:p w14:paraId="704A9A1C">
      <w:pPr>
        <w:jc w:val="center"/>
        <w:rPr>
          <w:rFonts w:ascii="宋体" w:hAnsi="宋体" w:cs="宋体"/>
          <w:b/>
          <w:color w:val="auto"/>
          <w:kern w:val="0"/>
          <w:sz w:val="32"/>
          <w:szCs w:val="32"/>
          <w:highlight w:val="none"/>
        </w:rPr>
      </w:pPr>
    </w:p>
    <w:p w14:paraId="7950A7D6">
      <w:pPr>
        <w:jc w:val="center"/>
        <w:rPr>
          <w:rFonts w:ascii="宋体" w:hAnsi="宋体" w:cs="宋体"/>
          <w:b/>
          <w:color w:val="auto"/>
          <w:kern w:val="0"/>
          <w:sz w:val="32"/>
          <w:szCs w:val="32"/>
          <w:highlight w:val="none"/>
        </w:rPr>
      </w:pPr>
    </w:p>
    <w:p w14:paraId="3A5F501A">
      <w:pPr>
        <w:jc w:val="center"/>
        <w:rPr>
          <w:rFonts w:ascii="宋体" w:hAnsi="宋体" w:cs="宋体"/>
          <w:b/>
          <w:color w:val="auto"/>
          <w:kern w:val="0"/>
          <w:sz w:val="32"/>
          <w:szCs w:val="32"/>
          <w:highlight w:val="none"/>
        </w:rPr>
      </w:pPr>
    </w:p>
    <w:p w14:paraId="08B42586">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8022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380AEF">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17B75697">
            <w:pPr>
              <w:jc w:val="center"/>
              <w:rPr>
                <w:rFonts w:ascii="宋体" w:hAnsi="宋体" w:cs="宋体"/>
                <w:b/>
                <w:bCs/>
                <w:color w:val="auto"/>
                <w:sz w:val="24"/>
                <w:highlight w:val="none"/>
              </w:rPr>
            </w:pPr>
            <w:r>
              <w:rPr>
                <w:rFonts w:hint="eastAsia" w:ascii="宋体" w:hAnsi="宋体" w:cs="宋体"/>
                <w:b/>
                <w:bCs/>
                <w:color w:val="auto"/>
                <w:sz w:val="24"/>
                <w:highlight w:val="none"/>
              </w:rPr>
              <w:t>采购文件章节及具体内容</w:t>
            </w:r>
          </w:p>
        </w:tc>
        <w:tc>
          <w:tcPr>
            <w:tcW w:w="3546" w:type="dxa"/>
          </w:tcPr>
          <w:p w14:paraId="389F1579">
            <w:pPr>
              <w:jc w:val="center"/>
              <w:rPr>
                <w:rFonts w:ascii="宋体" w:hAnsi="宋体" w:cs="宋体"/>
                <w:b/>
                <w:bCs/>
                <w:color w:val="auto"/>
                <w:sz w:val="24"/>
                <w:highlight w:val="none"/>
              </w:rPr>
            </w:pPr>
            <w:r>
              <w:rPr>
                <w:rFonts w:hint="eastAsia" w:ascii="宋体" w:hAnsi="宋体" w:cs="宋体"/>
                <w:b/>
                <w:bCs/>
                <w:color w:val="auto"/>
                <w:sz w:val="24"/>
                <w:highlight w:val="none"/>
              </w:rPr>
              <w:t>响应文件章节及具体内容</w:t>
            </w:r>
          </w:p>
        </w:tc>
        <w:tc>
          <w:tcPr>
            <w:tcW w:w="1276" w:type="dxa"/>
          </w:tcPr>
          <w:p w14:paraId="223C0785">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33A9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2E5861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00C4C43">
            <w:pPr>
              <w:jc w:val="center"/>
              <w:rPr>
                <w:rFonts w:ascii="宋体" w:hAnsi="宋体" w:cs="宋体"/>
                <w:b/>
                <w:color w:val="auto"/>
                <w:kern w:val="0"/>
                <w:sz w:val="32"/>
                <w:szCs w:val="32"/>
                <w:highlight w:val="none"/>
              </w:rPr>
            </w:pPr>
          </w:p>
        </w:tc>
        <w:tc>
          <w:tcPr>
            <w:tcW w:w="3546" w:type="dxa"/>
          </w:tcPr>
          <w:p w14:paraId="70C269DA">
            <w:pPr>
              <w:jc w:val="center"/>
              <w:rPr>
                <w:rFonts w:ascii="宋体" w:hAnsi="宋体" w:cs="宋体"/>
                <w:b/>
                <w:color w:val="auto"/>
                <w:kern w:val="0"/>
                <w:sz w:val="32"/>
                <w:szCs w:val="32"/>
                <w:highlight w:val="none"/>
              </w:rPr>
            </w:pPr>
          </w:p>
        </w:tc>
        <w:tc>
          <w:tcPr>
            <w:tcW w:w="1276" w:type="dxa"/>
          </w:tcPr>
          <w:p w14:paraId="62FA3118">
            <w:pPr>
              <w:jc w:val="center"/>
              <w:rPr>
                <w:rFonts w:ascii="宋体" w:hAnsi="宋体" w:cs="宋体"/>
                <w:b/>
                <w:color w:val="auto"/>
                <w:kern w:val="0"/>
                <w:sz w:val="32"/>
                <w:szCs w:val="32"/>
                <w:highlight w:val="none"/>
              </w:rPr>
            </w:pPr>
          </w:p>
        </w:tc>
      </w:tr>
      <w:tr w14:paraId="795EA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A1861B0">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78C39136">
            <w:pPr>
              <w:jc w:val="center"/>
              <w:rPr>
                <w:rFonts w:ascii="宋体" w:hAnsi="宋体" w:cs="宋体"/>
                <w:b/>
                <w:color w:val="auto"/>
                <w:kern w:val="0"/>
                <w:sz w:val="32"/>
                <w:szCs w:val="32"/>
                <w:highlight w:val="none"/>
              </w:rPr>
            </w:pPr>
          </w:p>
        </w:tc>
        <w:tc>
          <w:tcPr>
            <w:tcW w:w="3546" w:type="dxa"/>
          </w:tcPr>
          <w:p w14:paraId="7D55A506">
            <w:pPr>
              <w:jc w:val="center"/>
              <w:rPr>
                <w:rFonts w:ascii="宋体" w:hAnsi="宋体" w:cs="宋体"/>
                <w:b/>
                <w:color w:val="auto"/>
                <w:kern w:val="0"/>
                <w:sz w:val="32"/>
                <w:szCs w:val="32"/>
                <w:highlight w:val="none"/>
              </w:rPr>
            </w:pPr>
          </w:p>
        </w:tc>
        <w:tc>
          <w:tcPr>
            <w:tcW w:w="1276" w:type="dxa"/>
          </w:tcPr>
          <w:p w14:paraId="3C23C5AE">
            <w:pPr>
              <w:jc w:val="center"/>
              <w:rPr>
                <w:rFonts w:ascii="宋体" w:hAnsi="宋体" w:cs="宋体"/>
                <w:b/>
                <w:color w:val="auto"/>
                <w:kern w:val="0"/>
                <w:sz w:val="32"/>
                <w:szCs w:val="32"/>
                <w:highlight w:val="none"/>
              </w:rPr>
            </w:pPr>
          </w:p>
        </w:tc>
      </w:tr>
      <w:tr w14:paraId="3A4C9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1F312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57C36B3">
            <w:pPr>
              <w:jc w:val="center"/>
              <w:rPr>
                <w:rFonts w:ascii="宋体" w:hAnsi="宋体" w:cs="宋体"/>
                <w:b/>
                <w:color w:val="auto"/>
                <w:kern w:val="0"/>
                <w:sz w:val="32"/>
                <w:szCs w:val="32"/>
                <w:highlight w:val="none"/>
              </w:rPr>
            </w:pPr>
          </w:p>
        </w:tc>
        <w:tc>
          <w:tcPr>
            <w:tcW w:w="3546" w:type="dxa"/>
          </w:tcPr>
          <w:p w14:paraId="32549C35">
            <w:pPr>
              <w:jc w:val="center"/>
              <w:rPr>
                <w:rFonts w:ascii="宋体" w:hAnsi="宋体" w:cs="宋体"/>
                <w:b/>
                <w:color w:val="auto"/>
                <w:kern w:val="0"/>
                <w:sz w:val="32"/>
                <w:szCs w:val="32"/>
                <w:highlight w:val="none"/>
              </w:rPr>
            </w:pPr>
          </w:p>
        </w:tc>
        <w:tc>
          <w:tcPr>
            <w:tcW w:w="1276" w:type="dxa"/>
          </w:tcPr>
          <w:p w14:paraId="5AD73CE9">
            <w:pPr>
              <w:jc w:val="center"/>
              <w:rPr>
                <w:rFonts w:ascii="宋体" w:hAnsi="宋体" w:cs="宋体"/>
                <w:b/>
                <w:color w:val="auto"/>
                <w:kern w:val="0"/>
                <w:sz w:val="32"/>
                <w:szCs w:val="32"/>
                <w:highlight w:val="none"/>
              </w:rPr>
            </w:pPr>
          </w:p>
        </w:tc>
      </w:tr>
    </w:tbl>
    <w:p w14:paraId="0117F367">
      <w:pPr>
        <w:jc w:val="left"/>
        <w:rPr>
          <w:rFonts w:ascii="宋体" w:hAnsi="宋体" w:cs="宋体"/>
          <w:color w:val="auto"/>
          <w:kern w:val="0"/>
          <w:sz w:val="24"/>
          <w:highlight w:val="none"/>
        </w:rPr>
      </w:pPr>
      <w:r>
        <w:rPr>
          <w:rFonts w:hint="eastAsia" w:ascii="宋体" w:hAnsi="宋体" w:cs="宋体"/>
          <w:color w:val="auto"/>
          <w:kern w:val="0"/>
          <w:sz w:val="24"/>
          <w:highlight w:val="none"/>
        </w:rPr>
        <w:t>供应商保证：除商务技术偏离表列出的偏离外，供应商响应采购文件的全部要求</w:t>
      </w:r>
    </w:p>
    <w:p w14:paraId="17EA9B0A">
      <w:pPr>
        <w:jc w:val="center"/>
        <w:rPr>
          <w:rFonts w:ascii="宋体" w:hAnsi="宋体" w:cs="宋体"/>
          <w:b/>
          <w:color w:val="auto"/>
          <w:kern w:val="0"/>
          <w:sz w:val="32"/>
          <w:szCs w:val="32"/>
          <w:highlight w:val="none"/>
        </w:rPr>
      </w:pPr>
    </w:p>
    <w:p w14:paraId="00E62F5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FC4C4D5">
      <w:pPr>
        <w:ind w:firstLine="1911" w:firstLineChars="595"/>
        <w:rPr>
          <w:rFonts w:ascii="宋体" w:hAnsi="宋体" w:cs="宋体"/>
          <w:b/>
          <w:bCs/>
          <w:color w:val="auto"/>
          <w:sz w:val="32"/>
          <w:szCs w:val="32"/>
          <w:highlight w:val="none"/>
        </w:rPr>
        <w:sectPr>
          <w:footerReference r:id="rId16" w:type="first"/>
          <w:footerReference r:id="rId15" w:type="default"/>
          <w:pgSz w:w="11906" w:h="16838"/>
          <w:pgMar w:top="1440" w:right="1080" w:bottom="1440" w:left="1080" w:header="851" w:footer="992" w:gutter="0"/>
          <w:pgNumType w:fmt="decimal"/>
          <w:cols w:space="720" w:num="1"/>
          <w:titlePg/>
          <w:docGrid w:linePitch="312" w:charSpace="0"/>
        </w:sectPr>
      </w:pPr>
    </w:p>
    <w:p w14:paraId="344D6DD0">
      <w:pPr>
        <w:snapToGrid w:val="0"/>
        <w:jc w:val="center"/>
        <w:rPr>
          <w:rFonts w:ascii="宋体" w:hAnsi="宋体" w:cs="宋体"/>
          <w:b/>
          <w:color w:val="auto"/>
          <w:kern w:val="0"/>
          <w:sz w:val="32"/>
          <w:szCs w:val="32"/>
          <w:highlight w:val="none"/>
        </w:rPr>
      </w:pPr>
      <w:r>
        <w:rPr>
          <w:rFonts w:hint="eastAsia" w:ascii="宋体" w:hAnsi="宋体" w:cs="宋体"/>
          <w:b/>
          <w:bCs/>
          <w:color w:val="auto"/>
          <w:sz w:val="32"/>
          <w:szCs w:val="32"/>
          <w:highlight w:val="none"/>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14:paraId="600F4788">
      <w:pPr>
        <w:snapToGrid w:val="0"/>
        <w:spacing w:line="360" w:lineRule="auto"/>
        <w:rPr>
          <w:rFonts w:ascii="宋体" w:hAnsi="宋体" w:cs="宋体"/>
          <w:color w:val="auto"/>
          <w:sz w:val="24"/>
          <w:highlight w:val="none"/>
        </w:rPr>
      </w:pPr>
    </w:p>
    <w:p w14:paraId="156D926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0BDA67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13C002E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1A37E6E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5A2432C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37752B7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426989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14:paraId="3879051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2A31977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4DC909E2">
      <w:pPr>
        <w:autoSpaceDE w:val="0"/>
        <w:autoSpaceDN w:val="0"/>
        <w:spacing w:line="360" w:lineRule="auto"/>
        <w:ind w:left="2"/>
        <w:jc w:val="left"/>
        <w:rPr>
          <w:rFonts w:ascii="宋体" w:hAnsi="宋体" w:cs="宋体"/>
          <w:color w:val="auto"/>
          <w:kern w:val="0"/>
          <w:sz w:val="24"/>
          <w:highlight w:val="none"/>
          <w:lang w:val="zh-CN"/>
        </w:rPr>
      </w:pPr>
    </w:p>
    <w:p w14:paraId="3F43257C">
      <w:pPr>
        <w:autoSpaceDE w:val="0"/>
        <w:autoSpaceDN w:val="0"/>
        <w:spacing w:line="360" w:lineRule="auto"/>
        <w:ind w:left="2"/>
        <w:jc w:val="left"/>
        <w:rPr>
          <w:rFonts w:ascii="宋体" w:hAnsi="宋体" w:cs="宋体"/>
          <w:color w:val="auto"/>
          <w:kern w:val="0"/>
          <w:sz w:val="24"/>
          <w:highlight w:val="none"/>
          <w:lang w:val="zh-CN"/>
        </w:rPr>
      </w:pPr>
    </w:p>
    <w:p w14:paraId="0C6615F8">
      <w:pPr>
        <w:autoSpaceDE w:val="0"/>
        <w:autoSpaceDN w:val="0"/>
        <w:spacing w:line="360" w:lineRule="auto"/>
        <w:ind w:left="2"/>
        <w:jc w:val="left"/>
        <w:rPr>
          <w:rFonts w:ascii="宋体" w:hAnsi="宋体" w:cs="宋体"/>
          <w:color w:val="auto"/>
          <w:kern w:val="0"/>
          <w:sz w:val="24"/>
          <w:highlight w:val="none"/>
          <w:lang w:val="zh-CN"/>
        </w:rPr>
      </w:pPr>
    </w:p>
    <w:p w14:paraId="2486873E">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8AB5F1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DCFC391">
      <w:pPr>
        <w:spacing w:line="360" w:lineRule="auto"/>
        <w:jc w:val="center"/>
        <w:rPr>
          <w:rFonts w:ascii="宋体" w:hAnsi="宋体" w:cs="宋体"/>
          <w:b/>
          <w:bCs/>
          <w:color w:val="auto"/>
          <w:sz w:val="24"/>
          <w:highlight w:val="none"/>
        </w:rPr>
      </w:pPr>
    </w:p>
    <w:p w14:paraId="1DF5BEB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B37106B">
      <w:pPr>
        <w:spacing w:line="360" w:lineRule="auto"/>
        <w:jc w:val="center"/>
        <w:rPr>
          <w:rFonts w:ascii="宋体" w:hAnsi="宋体" w:cs="宋体"/>
          <w:b/>
          <w:bCs/>
          <w:color w:val="auto"/>
          <w:sz w:val="24"/>
          <w:highlight w:val="none"/>
        </w:rPr>
        <w:sectPr>
          <w:pgSz w:w="11906" w:h="16838"/>
          <w:pgMar w:top="1440" w:right="1080" w:bottom="1440" w:left="1080" w:header="851" w:footer="992" w:gutter="0"/>
          <w:pgNumType w:fmt="decimal"/>
          <w:cols w:space="720" w:num="1"/>
          <w:titlePg/>
          <w:docGrid w:linePitch="312" w:charSpace="0"/>
        </w:sectPr>
      </w:pPr>
    </w:p>
    <w:p w14:paraId="7EB417AF">
      <w:pPr>
        <w:spacing w:line="360" w:lineRule="auto"/>
        <w:jc w:val="center"/>
        <w:outlineLvl w:val="0"/>
        <w:rPr>
          <w:rFonts w:ascii="宋体" w:hAnsi="宋体" w:cs="宋体"/>
          <w:b/>
          <w:color w:val="auto"/>
          <w:kern w:val="0"/>
          <w:sz w:val="36"/>
          <w:szCs w:val="36"/>
          <w:highlight w:val="none"/>
        </w:rPr>
      </w:pPr>
      <w:bookmarkStart w:id="508" w:name="_Toc16072"/>
      <w:r>
        <w:rPr>
          <w:rFonts w:hint="eastAsia" w:ascii="宋体" w:hAnsi="宋体" w:cs="宋体"/>
          <w:b/>
          <w:color w:val="auto"/>
          <w:kern w:val="0"/>
          <w:sz w:val="36"/>
          <w:szCs w:val="36"/>
          <w:highlight w:val="none"/>
        </w:rPr>
        <w:t>报价文件部分</w:t>
      </w:r>
      <w:bookmarkEnd w:id="508"/>
    </w:p>
    <w:p w14:paraId="679000A3">
      <w:pPr>
        <w:spacing w:line="360" w:lineRule="auto"/>
        <w:jc w:val="center"/>
        <w:outlineLvl w:val="0"/>
        <w:rPr>
          <w:rFonts w:ascii="宋体" w:hAnsi="宋体" w:cs="宋体"/>
          <w:b/>
          <w:color w:val="auto"/>
          <w:kern w:val="0"/>
          <w:sz w:val="36"/>
          <w:szCs w:val="36"/>
          <w:highlight w:val="none"/>
        </w:rPr>
      </w:pPr>
      <w:bookmarkStart w:id="509" w:name="_Toc16371"/>
      <w:r>
        <w:rPr>
          <w:rFonts w:hint="eastAsia" w:ascii="宋体" w:hAnsi="宋体" w:cs="宋体"/>
          <w:b/>
          <w:color w:val="auto"/>
          <w:kern w:val="0"/>
          <w:sz w:val="36"/>
          <w:szCs w:val="36"/>
          <w:highlight w:val="none"/>
        </w:rPr>
        <w:t>目录</w:t>
      </w:r>
      <w:bookmarkEnd w:id="509"/>
    </w:p>
    <w:p w14:paraId="5753B022">
      <w:pPr>
        <w:spacing w:line="360" w:lineRule="auto"/>
        <w:jc w:val="center"/>
        <w:outlineLvl w:val="0"/>
        <w:rPr>
          <w:rFonts w:ascii="宋体" w:hAnsi="宋体" w:cs="宋体"/>
          <w:b/>
          <w:color w:val="auto"/>
          <w:kern w:val="0"/>
          <w:sz w:val="36"/>
          <w:szCs w:val="36"/>
          <w:highlight w:val="none"/>
        </w:rPr>
      </w:pPr>
    </w:p>
    <w:p w14:paraId="7DCDBA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（1）报价单…………………………………………………………………………（页码）</w:t>
      </w:r>
    </w:p>
    <w:p w14:paraId="35D20AE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hAnsi="仿宋_GB2312" w:cs="仿宋_GB2312"/>
          <w:bCs/>
          <w:snapToGrid w:val="0"/>
          <w:color w:val="auto"/>
          <w:sz w:val="24"/>
          <w:highlight w:val="none"/>
        </w:rPr>
        <w:t>报价情况说明</w:t>
      </w:r>
      <w:r>
        <w:rPr>
          <w:rFonts w:hint="eastAsia" w:ascii="宋体" w:hAnsi="宋体" w:cs="宋体"/>
          <w:color w:val="auto"/>
          <w:sz w:val="24"/>
          <w:highlight w:val="none"/>
        </w:rPr>
        <w:t>…………………………………………………………………（页码）</w:t>
      </w:r>
    </w:p>
    <w:p w14:paraId="3648628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（3）已标价工程量清单……………………………………………………………（页码）</w:t>
      </w:r>
    </w:p>
    <w:p w14:paraId="4A837A4D">
      <w:pPr>
        <w:snapToGrid w:val="0"/>
        <w:spacing w:line="360" w:lineRule="auto"/>
        <w:rPr>
          <w:rFonts w:ascii="宋体" w:hAnsi="宋体" w:cs="宋体"/>
          <w:color w:val="auto"/>
          <w:sz w:val="24"/>
          <w:highlight w:val="none"/>
        </w:rPr>
      </w:pPr>
    </w:p>
    <w:p w14:paraId="7741B022">
      <w:pPr>
        <w:snapToGrid w:val="0"/>
        <w:spacing w:line="360" w:lineRule="auto"/>
        <w:ind w:right="480"/>
        <w:jc w:val="center"/>
        <w:rPr>
          <w:rFonts w:ascii="宋体" w:hAnsi="宋体" w:cs="宋体"/>
          <w:b/>
          <w:color w:val="auto"/>
          <w:kern w:val="0"/>
          <w:sz w:val="32"/>
          <w:szCs w:val="32"/>
          <w:highlight w:val="none"/>
        </w:rPr>
      </w:pPr>
    </w:p>
    <w:p w14:paraId="315F6466">
      <w:pPr>
        <w:snapToGrid w:val="0"/>
        <w:spacing w:line="360" w:lineRule="auto"/>
        <w:ind w:right="480"/>
        <w:jc w:val="center"/>
        <w:rPr>
          <w:rFonts w:ascii="宋体" w:hAnsi="宋体" w:cs="宋体"/>
          <w:b/>
          <w:color w:val="auto"/>
          <w:kern w:val="0"/>
          <w:sz w:val="32"/>
          <w:szCs w:val="32"/>
          <w:highlight w:val="none"/>
        </w:rPr>
      </w:pPr>
    </w:p>
    <w:p w14:paraId="5C63302E">
      <w:pPr>
        <w:snapToGrid w:val="0"/>
        <w:spacing w:line="360" w:lineRule="auto"/>
        <w:ind w:right="480"/>
        <w:jc w:val="center"/>
        <w:rPr>
          <w:rFonts w:ascii="宋体" w:hAnsi="宋体" w:cs="宋体"/>
          <w:b/>
          <w:color w:val="auto"/>
          <w:kern w:val="0"/>
          <w:sz w:val="32"/>
          <w:szCs w:val="32"/>
          <w:highlight w:val="none"/>
        </w:rPr>
      </w:pPr>
    </w:p>
    <w:p w14:paraId="7E4146DF">
      <w:pPr>
        <w:snapToGrid w:val="0"/>
        <w:spacing w:line="360" w:lineRule="auto"/>
        <w:ind w:right="480"/>
        <w:jc w:val="center"/>
        <w:rPr>
          <w:rFonts w:ascii="宋体" w:hAnsi="宋体" w:cs="宋体"/>
          <w:b/>
          <w:color w:val="auto"/>
          <w:kern w:val="0"/>
          <w:sz w:val="32"/>
          <w:szCs w:val="32"/>
          <w:highlight w:val="none"/>
        </w:rPr>
      </w:pPr>
    </w:p>
    <w:p w14:paraId="42E6EEAB">
      <w:pPr>
        <w:snapToGrid w:val="0"/>
        <w:spacing w:line="360" w:lineRule="auto"/>
        <w:ind w:right="480"/>
        <w:jc w:val="center"/>
        <w:rPr>
          <w:rFonts w:ascii="宋体" w:hAnsi="宋体" w:cs="宋体"/>
          <w:b/>
          <w:color w:val="auto"/>
          <w:kern w:val="0"/>
          <w:sz w:val="32"/>
          <w:szCs w:val="32"/>
          <w:highlight w:val="none"/>
        </w:rPr>
      </w:pPr>
    </w:p>
    <w:p w14:paraId="2133B877">
      <w:pPr>
        <w:snapToGrid w:val="0"/>
        <w:spacing w:line="360" w:lineRule="auto"/>
        <w:ind w:right="480"/>
        <w:jc w:val="center"/>
        <w:rPr>
          <w:rFonts w:ascii="宋体" w:hAnsi="宋体" w:cs="宋体"/>
          <w:b/>
          <w:color w:val="auto"/>
          <w:kern w:val="0"/>
          <w:sz w:val="32"/>
          <w:szCs w:val="32"/>
          <w:highlight w:val="none"/>
        </w:rPr>
      </w:pPr>
    </w:p>
    <w:p w14:paraId="6BFA4A64">
      <w:pPr>
        <w:snapToGrid w:val="0"/>
        <w:spacing w:line="360" w:lineRule="auto"/>
        <w:ind w:right="480"/>
        <w:jc w:val="center"/>
        <w:rPr>
          <w:rFonts w:ascii="宋体" w:hAnsi="宋体" w:cs="宋体"/>
          <w:b/>
          <w:color w:val="auto"/>
          <w:kern w:val="0"/>
          <w:sz w:val="32"/>
          <w:szCs w:val="32"/>
          <w:highlight w:val="none"/>
        </w:rPr>
      </w:pPr>
    </w:p>
    <w:p w14:paraId="3E4BF0FF">
      <w:pPr>
        <w:snapToGrid w:val="0"/>
        <w:spacing w:line="360" w:lineRule="auto"/>
        <w:ind w:right="480"/>
        <w:jc w:val="center"/>
        <w:rPr>
          <w:rFonts w:ascii="宋体" w:hAnsi="宋体" w:cs="宋体"/>
          <w:b/>
          <w:color w:val="auto"/>
          <w:kern w:val="0"/>
          <w:sz w:val="32"/>
          <w:szCs w:val="32"/>
          <w:highlight w:val="none"/>
        </w:rPr>
      </w:pPr>
    </w:p>
    <w:p w14:paraId="678BD8F6">
      <w:pPr>
        <w:snapToGrid w:val="0"/>
        <w:spacing w:line="360" w:lineRule="auto"/>
        <w:ind w:right="480"/>
        <w:jc w:val="center"/>
        <w:rPr>
          <w:rFonts w:ascii="宋体" w:hAnsi="宋体" w:cs="宋体"/>
          <w:b/>
          <w:color w:val="auto"/>
          <w:kern w:val="0"/>
          <w:sz w:val="32"/>
          <w:szCs w:val="32"/>
          <w:highlight w:val="none"/>
        </w:rPr>
      </w:pPr>
    </w:p>
    <w:p w14:paraId="4222C26C">
      <w:pPr>
        <w:snapToGrid w:val="0"/>
        <w:spacing w:line="360" w:lineRule="auto"/>
        <w:ind w:right="480"/>
        <w:jc w:val="center"/>
        <w:rPr>
          <w:rFonts w:ascii="宋体" w:hAnsi="宋体" w:cs="宋体"/>
          <w:b/>
          <w:color w:val="auto"/>
          <w:kern w:val="0"/>
          <w:sz w:val="32"/>
          <w:szCs w:val="32"/>
          <w:highlight w:val="none"/>
        </w:rPr>
      </w:pPr>
    </w:p>
    <w:p w14:paraId="03D8EBE5">
      <w:pPr>
        <w:snapToGrid w:val="0"/>
        <w:spacing w:line="360" w:lineRule="auto"/>
        <w:ind w:right="480"/>
        <w:jc w:val="center"/>
        <w:rPr>
          <w:rFonts w:ascii="宋体" w:hAnsi="宋体" w:cs="宋体"/>
          <w:b/>
          <w:color w:val="auto"/>
          <w:kern w:val="0"/>
          <w:sz w:val="32"/>
          <w:szCs w:val="32"/>
          <w:highlight w:val="none"/>
        </w:rPr>
      </w:pPr>
    </w:p>
    <w:p w14:paraId="26651FF3">
      <w:pPr>
        <w:snapToGrid w:val="0"/>
        <w:spacing w:line="360" w:lineRule="auto"/>
        <w:ind w:right="480"/>
        <w:jc w:val="center"/>
        <w:rPr>
          <w:rFonts w:ascii="宋体" w:hAnsi="宋体" w:cs="宋体"/>
          <w:b/>
          <w:color w:val="auto"/>
          <w:kern w:val="0"/>
          <w:sz w:val="32"/>
          <w:szCs w:val="32"/>
          <w:highlight w:val="none"/>
        </w:rPr>
      </w:pPr>
    </w:p>
    <w:p w14:paraId="16AFA40E">
      <w:pPr>
        <w:snapToGrid w:val="0"/>
        <w:spacing w:line="360" w:lineRule="auto"/>
        <w:ind w:right="480"/>
        <w:jc w:val="center"/>
        <w:rPr>
          <w:rFonts w:ascii="宋体" w:hAnsi="宋体" w:cs="宋体"/>
          <w:b/>
          <w:color w:val="auto"/>
          <w:kern w:val="0"/>
          <w:sz w:val="32"/>
          <w:szCs w:val="32"/>
          <w:highlight w:val="none"/>
        </w:rPr>
      </w:pPr>
    </w:p>
    <w:p w14:paraId="698183FF">
      <w:pPr>
        <w:snapToGrid w:val="0"/>
        <w:spacing w:line="360" w:lineRule="auto"/>
        <w:ind w:right="480"/>
        <w:jc w:val="center"/>
        <w:rPr>
          <w:rFonts w:ascii="宋体" w:hAnsi="宋体" w:cs="宋体"/>
          <w:b/>
          <w:color w:val="auto"/>
          <w:kern w:val="0"/>
          <w:sz w:val="32"/>
          <w:szCs w:val="32"/>
          <w:highlight w:val="none"/>
        </w:rPr>
      </w:pPr>
    </w:p>
    <w:p w14:paraId="63994583">
      <w:pPr>
        <w:snapToGrid w:val="0"/>
        <w:spacing w:line="360" w:lineRule="auto"/>
        <w:ind w:right="480"/>
        <w:jc w:val="center"/>
        <w:rPr>
          <w:rFonts w:ascii="宋体" w:hAnsi="宋体" w:cs="宋体"/>
          <w:b/>
          <w:color w:val="auto"/>
          <w:kern w:val="0"/>
          <w:sz w:val="32"/>
          <w:szCs w:val="32"/>
          <w:highlight w:val="none"/>
        </w:rPr>
      </w:pPr>
    </w:p>
    <w:p w14:paraId="2BEE8D78">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footerReference r:id="rId19" w:type="first"/>
          <w:headerReference r:id="rId17" w:type="default"/>
          <w:footerReference r:id="rId18" w:type="default"/>
          <w:pgSz w:w="11906" w:h="16838"/>
          <w:pgMar w:top="1440" w:right="1080" w:bottom="1440" w:left="1080" w:header="851" w:footer="992" w:gutter="0"/>
          <w:pgNumType w:fmt="decimal"/>
          <w:cols w:space="720" w:num="1"/>
          <w:titlePg/>
          <w:docGrid w:linePitch="312" w:charSpace="0"/>
        </w:sectPr>
      </w:pPr>
    </w:p>
    <w:p w14:paraId="77BC0B9B">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bookmarkStart w:id="510" w:name="_Toc9306"/>
      <w:r>
        <w:rPr>
          <w:rFonts w:hint="eastAsia" w:ascii="宋体" w:hAnsi="宋体" w:eastAsia="宋体" w:cs="宋体"/>
          <w:color w:val="auto"/>
          <w:kern w:val="2"/>
          <w:sz w:val="32"/>
          <w:szCs w:val="32"/>
          <w:highlight w:val="none"/>
        </w:rPr>
        <w:t>一、报价单</w:t>
      </w:r>
      <w:bookmarkEnd w:id="510"/>
    </w:p>
    <w:p w14:paraId="2491680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9DDCA1F">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按你方采购文件要求，我们，本响应文件签字方，谨此向你方发出要约如下：如你方接受本投标，我方承诺按照如下报价单的价格完成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【项目编号：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4FC6C7D2">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报价单(单位均为人民币元)</w:t>
      </w:r>
    </w:p>
    <w:tbl>
      <w:tblPr>
        <w:tblStyle w:val="63"/>
        <w:tblW w:w="99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1247"/>
        <w:gridCol w:w="1427"/>
        <w:gridCol w:w="1684"/>
        <w:gridCol w:w="1760"/>
      </w:tblGrid>
      <w:tr w14:paraId="24F03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1951" w:type="dxa"/>
            <w:vAlign w:val="center"/>
          </w:tcPr>
          <w:p w14:paraId="5FD4E90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项目名称</w:t>
            </w:r>
          </w:p>
        </w:tc>
        <w:tc>
          <w:tcPr>
            <w:tcW w:w="1843" w:type="dxa"/>
          </w:tcPr>
          <w:p w14:paraId="5A9D55A7">
            <w:pPr>
              <w:spacing w:line="360" w:lineRule="auto"/>
              <w:jc w:val="center"/>
              <w:rPr>
                <w:rFonts w:ascii="宋体" w:hAnsi="宋体" w:cs="宋体"/>
                <w:b/>
                <w:color w:val="auto"/>
                <w:sz w:val="24"/>
                <w:highlight w:val="none"/>
              </w:rPr>
            </w:pPr>
          </w:p>
          <w:p w14:paraId="552BC22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施工范围</w:t>
            </w:r>
          </w:p>
        </w:tc>
        <w:tc>
          <w:tcPr>
            <w:tcW w:w="1247" w:type="dxa"/>
            <w:vAlign w:val="center"/>
          </w:tcPr>
          <w:p w14:paraId="33877BF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施工工期</w:t>
            </w:r>
          </w:p>
        </w:tc>
        <w:tc>
          <w:tcPr>
            <w:tcW w:w="1427" w:type="dxa"/>
            <w:vAlign w:val="center"/>
          </w:tcPr>
          <w:p w14:paraId="4E771A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项目经理</w:t>
            </w:r>
          </w:p>
        </w:tc>
        <w:tc>
          <w:tcPr>
            <w:tcW w:w="1684" w:type="dxa"/>
            <w:vAlign w:val="center"/>
          </w:tcPr>
          <w:p w14:paraId="4ADFB8A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执业证书信息</w:t>
            </w:r>
          </w:p>
        </w:tc>
        <w:tc>
          <w:tcPr>
            <w:tcW w:w="1760" w:type="dxa"/>
            <w:vAlign w:val="center"/>
          </w:tcPr>
          <w:p w14:paraId="2A16BB99">
            <w:pPr>
              <w:spacing w:line="360" w:lineRule="auto"/>
              <w:jc w:val="center"/>
              <w:rPr>
                <w:rFonts w:ascii="宋体" w:hAnsi="宋体" w:cs="宋体"/>
                <w:b/>
                <w:color w:val="auto"/>
                <w:sz w:val="24"/>
                <w:highlight w:val="none"/>
              </w:rPr>
            </w:pPr>
          </w:p>
          <w:p w14:paraId="33AD19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2AB1EAE">
            <w:pPr>
              <w:spacing w:line="360" w:lineRule="auto"/>
              <w:jc w:val="center"/>
              <w:rPr>
                <w:rFonts w:ascii="宋体" w:hAnsi="宋体" w:cs="宋体"/>
                <w:b/>
                <w:color w:val="auto"/>
                <w:sz w:val="24"/>
                <w:highlight w:val="none"/>
              </w:rPr>
            </w:pPr>
          </w:p>
        </w:tc>
      </w:tr>
      <w:tr w14:paraId="1ABC2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951" w:type="dxa"/>
            <w:vAlign w:val="center"/>
          </w:tcPr>
          <w:p w14:paraId="4AA3C7A4">
            <w:pPr>
              <w:snapToGrid w:val="0"/>
              <w:spacing w:line="360" w:lineRule="auto"/>
              <w:jc w:val="center"/>
              <w:rPr>
                <w:rFonts w:ascii="宋体" w:hAnsi="宋体" w:cs="宋体"/>
                <w:color w:val="auto"/>
                <w:sz w:val="24"/>
                <w:highlight w:val="none"/>
              </w:rPr>
            </w:pPr>
          </w:p>
        </w:tc>
        <w:tc>
          <w:tcPr>
            <w:tcW w:w="1843" w:type="dxa"/>
            <w:vAlign w:val="center"/>
          </w:tcPr>
          <w:p w14:paraId="0A1FEC9A">
            <w:pPr>
              <w:snapToGrid w:val="0"/>
              <w:spacing w:line="360" w:lineRule="auto"/>
              <w:jc w:val="center"/>
              <w:rPr>
                <w:rFonts w:ascii="宋体" w:hAnsi="宋体" w:cs="宋体"/>
                <w:color w:val="auto"/>
                <w:sz w:val="24"/>
                <w:highlight w:val="none"/>
              </w:rPr>
            </w:pPr>
          </w:p>
        </w:tc>
        <w:tc>
          <w:tcPr>
            <w:tcW w:w="1247" w:type="dxa"/>
            <w:vAlign w:val="center"/>
          </w:tcPr>
          <w:p w14:paraId="3BBA3E59">
            <w:pPr>
              <w:snapToGrid w:val="0"/>
              <w:spacing w:line="360" w:lineRule="auto"/>
              <w:jc w:val="center"/>
              <w:rPr>
                <w:rFonts w:ascii="宋体" w:hAnsi="宋体" w:cs="宋体"/>
                <w:color w:val="auto"/>
                <w:sz w:val="24"/>
                <w:highlight w:val="none"/>
              </w:rPr>
            </w:pPr>
          </w:p>
        </w:tc>
        <w:tc>
          <w:tcPr>
            <w:tcW w:w="1427" w:type="dxa"/>
            <w:vAlign w:val="center"/>
          </w:tcPr>
          <w:p w14:paraId="6A6BC4EB">
            <w:pPr>
              <w:spacing w:line="360" w:lineRule="auto"/>
              <w:jc w:val="center"/>
              <w:rPr>
                <w:rFonts w:ascii="宋体" w:hAnsi="宋体" w:cs="宋体"/>
                <w:color w:val="auto"/>
                <w:sz w:val="24"/>
                <w:highlight w:val="none"/>
              </w:rPr>
            </w:pPr>
          </w:p>
        </w:tc>
        <w:tc>
          <w:tcPr>
            <w:tcW w:w="1684" w:type="dxa"/>
            <w:vAlign w:val="center"/>
          </w:tcPr>
          <w:p w14:paraId="0E7ECFC5">
            <w:pPr>
              <w:spacing w:line="360" w:lineRule="auto"/>
              <w:jc w:val="center"/>
              <w:rPr>
                <w:rFonts w:ascii="宋体" w:hAnsi="宋体" w:cs="宋体"/>
                <w:color w:val="auto"/>
                <w:sz w:val="24"/>
                <w:highlight w:val="none"/>
              </w:rPr>
            </w:pPr>
          </w:p>
        </w:tc>
        <w:tc>
          <w:tcPr>
            <w:tcW w:w="1760" w:type="dxa"/>
            <w:vAlign w:val="center"/>
          </w:tcPr>
          <w:p w14:paraId="13035E3B">
            <w:pPr>
              <w:spacing w:line="360" w:lineRule="auto"/>
              <w:jc w:val="center"/>
              <w:rPr>
                <w:rFonts w:ascii="宋体" w:hAnsi="宋体" w:cs="宋体"/>
                <w:color w:val="auto"/>
                <w:sz w:val="24"/>
                <w:highlight w:val="none"/>
              </w:rPr>
            </w:pPr>
          </w:p>
        </w:tc>
      </w:tr>
      <w:tr w14:paraId="69E42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5041" w:type="dxa"/>
            <w:gridSpan w:val="3"/>
            <w:vAlign w:val="center"/>
          </w:tcPr>
          <w:p w14:paraId="7F37CBD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磋商报价（小写）</w:t>
            </w:r>
          </w:p>
        </w:tc>
        <w:tc>
          <w:tcPr>
            <w:tcW w:w="4871" w:type="dxa"/>
            <w:gridSpan w:val="3"/>
            <w:vAlign w:val="center"/>
          </w:tcPr>
          <w:p w14:paraId="38AD692C">
            <w:pPr>
              <w:spacing w:line="360" w:lineRule="auto"/>
              <w:jc w:val="center"/>
              <w:rPr>
                <w:rFonts w:ascii="宋体" w:hAnsi="宋体" w:cs="宋体"/>
                <w:color w:val="auto"/>
                <w:sz w:val="24"/>
                <w:highlight w:val="none"/>
              </w:rPr>
            </w:pPr>
          </w:p>
        </w:tc>
      </w:tr>
      <w:tr w14:paraId="5774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5041" w:type="dxa"/>
            <w:gridSpan w:val="3"/>
            <w:vAlign w:val="center"/>
          </w:tcPr>
          <w:p w14:paraId="41BC34C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磋商报价（大写）</w:t>
            </w:r>
          </w:p>
        </w:tc>
        <w:tc>
          <w:tcPr>
            <w:tcW w:w="4871" w:type="dxa"/>
            <w:gridSpan w:val="3"/>
            <w:vAlign w:val="center"/>
          </w:tcPr>
          <w:p w14:paraId="22C47010">
            <w:pPr>
              <w:spacing w:line="360" w:lineRule="auto"/>
              <w:jc w:val="center"/>
              <w:rPr>
                <w:rFonts w:ascii="宋体" w:hAnsi="宋体" w:cs="宋体"/>
                <w:color w:val="auto"/>
                <w:sz w:val="24"/>
                <w:highlight w:val="none"/>
              </w:rPr>
            </w:pPr>
          </w:p>
        </w:tc>
      </w:tr>
    </w:tbl>
    <w:p w14:paraId="23057345">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56B8497">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color w:val="auto"/>
          <w:kern w:val="0"/>
          <w:sz w:val="24"/>
          <w:highlight w:val="none"/>
          <w:lang w:val="zh-CN"/>
        </w:rPr>
        <w:t>。</w:t>
      </w:r>
    </w:p>
    <w:p w14:paraId="4712119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color w:val="auto"/>
          <w:kern w:val="0"/>
          <w:sz w:val="24"/>
          <w:highlight w:val="none"/>
          <w:lang w:val="zh-CN"/>
        </w:rPr>
        <w:t>采购内容未包含在《报价单》名称栏中，供应商不能作出合理解释的，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响应文件含有采购人不能接受的附加条件的，响应文件无效。</w:t>
      </w:r>
    </w:p>
    <w:p w14:paraId="6C649CB5">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3、特别提示：采购代理机构将对项目名称和项目编号，成交供应商名称、地址和成交金额、施工范围、施工工期、项目经理、执业证书信息、品牌（如果有）、规格型号、数量、单价等予以公示。</w:t>
      </w:r>
    </w:p>
    <w:p w14:paraId="41027096">
      <w:pPr>
        <w:pStyle w:val="696"/>
        <w:keepNext w:val="0"/>
        <w:tabs>
          <w:tab w:val="clear" w:pos="720"/>
        </w:tabs>
        <w:snapToGrid w:val="0"/>
        <w:spacing w:before="120" w:after="120"/>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二、报价情况说明（如果有）</w:t>
      </w:r>
    </w:p>
    <w:p w14:paraId="3A10B045">
      <w:pPr>
        <w:snapToGrid w:val="0"/>
        <w:spacing w:before="120" w:after="120"/>
        <w:rPr>
          <w:color w:val="auto"/>
          <w:highlight w:val="none"/>
        </w:rPr>
      </w:pPr>
    </w:p>
    <w:p w14:paraId="26311B55">
      <w:pPr>
        <w:tabs>
          <w:tab w:val="left" w:pos="1313"/>
        </w:tabs>
        <w:snapToGrid w:val="0"/>
        <w:spacing w:before="120" w:after="120"/>
        <w:jc w:val="left"/>
        <w:rPr>
          <w:rFonts w:ascii="宋体" w:hAnsi="宋体" w:cs="宋体"/>
          <w:color w:val="auto"/>
          <w:sz w:val="24"/>
          <w:highlight w:val="none"/>
        </w:rPr>
      </w:pPr>
      <w:r>
        <w:rPr>
          <w:rFonts w:hint="eastAsia" w:ascii="宋体" w:hAnsi="宋体" w:cs="宋体"/>
          <w:color w:val="auto"/>
          <w:sz w:val="24"/>
          <w:highlight w:val="none"/>
        </w:rPr>
        <w:t>（如供应商报价低于项目预算50%的，应当提交本文档，详细阐述不影响产品质量或者诚信履约的具体原因）</w:t>
      </w:r>
    </w:p>
    <w:p w14:paraId="41F89F0D">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4B6419DB">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080" w:right="1440" w:bottom="1080" w:left="1440" w:header="851" w:footer="992" w:gutter="0"/>
          <w:pgNumType w:fmt="decimal"/>
          <w:cols w:space="720" w:num="1"/>
          <w:titlePg/>
          <w:docGrid w:linePitch="312" w:charSpace="0"/>
        </w:sectPr>
      </w:pPr>
    </w:p>
    <w:p w14:paraId="7669DE85">
      <w:pPr>
        <w:pStyle w:val="696"/>
        <w:keepNext w:val="0"/>
        <w:pageBreakBefore w:val="0"/>
        <w:tabs>
          <w:tab w:val="clear" w:pos="720"/>
        </w:tabs>
        <w:snapToGrid w:val="0"/>
        <w:spacing w:before="120" w:after="120"/>
        <w:outlineLvl w:val="9"/>
        <w:rPr>
          <w:rFonts w:ascii="宋体" w:hAnsi="宋体" w:eastAsia="宋体" w:cs="宋体"/>
          <w:color w:val="auto"/>
          <w:kern w:val="2"/>
          <w:sz w:val="32"/>
          <w:szCs w:val="32"/>
          <w:highlight w:val="none"/>
        </w:rPr>
      </w:pPr>
      <w:bookmarkStart w:id="511" w:name="_Toc351"/>
      <w:r>
        <w:rPr>
          <w:rFonts w:hint="eastAsia" w:ascii="宋体" w:hAnsi="宋体" w:eastAsia="宋体" w:cs="宋体"/>
          <w:color w:val="auto"/>
          <w:kern w:val="2"/>
          <w:sz w:val="32"/>
          <w:szCs w:val="32"/>
          <w:highlight w:val="none"/>
        </w:rPr>
        <w:t>三、已标价工程量清单</w:t>
      </w:r>
      <w:bookmarkEnd w:id="511"/>
    </w:p>
    <w:p w14:paraId="43565051">
      <w:pPr>
        <w:ind w:right="420"/>
        <w:rPr>
          <w:rFonts w:ascii="宋体" w:hAnsi="宋体" w:cs="宋体"/>
          <w:color w:val="auto"/>
          <w:sz w:val="24"/>
          <w:highlight w:val="none"/>
        </w:rPr>
      </w:pPr>
      <w:r>
        <w:rPr>
          <w:rFonts w:hint="eastAsia" w:ascii="宋体" w:hAnsi="宋体" w:cs="宋体"/>
          <w:color w:val="auto"/>
          <w:sz w:val="24"/>
          <w:highlight w:val="none"/>
        </w:rPr>
        <w:t xml:space="preserve">注：按采购文件工程量清单编制 </w:t>
      </w:r>
    </w:p>
    <w:p w14:paraId="43E2E251">
      <w:pPr>
        <w:pStyle w:val="62"/>
        <w:ind w:firstLine="480"/>
        <w:rPr>
          <w:rFonts w:cs="宋体"/>
          <w:color w:val="auto"/>
          <w:sz w:val="24"/>
          <w:highlight w:val="none"/>
        </w:rPr>
      </w:pPr>
    </w:p>
    <w:p w14:paraId="06A1C42F">
      <w:pPr>
        <w:pStyle w:val="62"/>
        <w:ind w:firstLine="480"/>
        <w:rPr>
          <w:rFonts w:cs="宋体"/>
          <w:color w:val="auto"/>
          <w:sz w:val="24"/>
          <w:highlight w:val="none"/>
        </w:rPr>
        <w:sectPr>
          <w:footerReference r:id="rId23" w:type="first"/>
          <w:headerReference r:id="rId20" w:type="default"/>
          <w:footerReference r:id="rId21" w:type="default"/>
          <w:footerReference r:id="rId22" w:type="even"/>
          <w:pgSz w:w="11906" w:h="16838"/>
          <w:pgMar w:top="1440" w:right="1080" w:bottom="1440" w:left="1080" w:header="851" w:footer="992" w:gutter="0"/>
          <w:pgNumType w:fmt="decimal"/>
          <w:cols w:space="720" w:num="1"/>
          <w:titlePg/>
          <w:docGrid w:linePitch="312" w:charSpace="0"/>
        </w:sectPr>
      </w:pPr>
    </w:p>
    <w:p w14:paraId="4852EF7D">
      <w:pPr>
        <w:pStyle w:val="5"/>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12" w:name="_Toc465665161"/>
      <w:bookmarkStart w:id="513" w:name="_Toc14158"/>
      <w:r>
        <w:rPr>
          <w:rFonts w:hint="eastAsia" w:ascii="宋体" w:hAnsi="宋体" w:cs="宋体"/>
          <w:color w:val="auto"/>
          <w:highlight w:val="none"/>
        </w:rPr>
        <w:t>附件</w:t>
      </w:r>
      <w:bookmarkEnd w:id="512"/>
      <w:bookmarkEnd w:id="513"/>
    </w:p>
    <w:p w14:paraId="5E880A9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附件1：质疑函范本及制作说明</w:t>
      </w:r>
    </w:p>
    <w:p w14:paraId="7B5FEDB6">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413E2171">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9F7C8D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4C9D968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5125BC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DC1F83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432AD64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E11A7C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230C49B">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4071BF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03E8F7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745AE1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03D58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3057526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6D5BE62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2954345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1CDBEF">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407FF31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931D5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98F40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66A34D2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7B73AFC">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B759AD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B01256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EAB790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CCCC742">
      <w:pPr>
        <w:spacing w:line="360" w:lineRule="auto"/>
        <w:jc w:val="center"/>
        <w:rPr>
          <w:rFonts w:ascii="宋体" w:hAnsi="宋体" w:cs="宋体"/>
          <w:b/>
          <w:bCs/>
          <w:color w:val="auto"/>
          <w:sz w:val="24"/>
          <w:highlight w:val="none"/>
        </w:rPr>
      </w:pPr>
    </w:p>
    <w:p w14:paraId="614707D4">
      <w:pPr>
        <w:spacing w:line="360" w:lineRule="auto"/>
        <w:rPr>
          <w:rFonts w:ascii="宋体" w:hAnsi="宋体" w:cs="宋体"/>
          <w:b/>
          <w:color w:val="auto"/>
          <w:sz w:val="24"/>
          <w:highlight w:val="none"/>
        </w:rPr>
      </w:pPr>
    </w:p>
    <w:p w14:paraId="53711DEE">
      <w:pPr>
        <w:spacing w:line="360" w:lineRule="auto"/>
        <w:rPr>
          <w:rFonts w:ascii="宋体" w:hAnsi="宋体" w:cs="宋体"/>
          <w:b/>
          <w:color w:val="auto"/>
          <w:sz w:val="24"/>
          <w:highlight w:val="none"/>
        </w:rPr>
      </w:pPr>
    </w:p>
    <w:p w14:paraId="43C586F6">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948D5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0B624EE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1D073D0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1F2468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69C9A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4B5EF13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21092E6">
      <w:pPr>
        <w:widowControl/>
        <w:spacing w:line="360" w:lineRule="auto"/>
        <w:ind w:firstLine="600" w:firstLineChars="200"/>
        <w:jc w:val="left"/>
        <w:rPr>
          <w:rFonts w:ascii="宋体" w:hAnsi="宋体" w:cs="宋体"/>
          <w:color w:val="auto"/>
          <w:sz w:val="30"/>
          <w:szCs w:val="30"/>
          <w:highlight w:val="none"/>
        </w:rPr>
      </w:pPr>
    </w:p>
    <w:p w14:paraId="2E4CA7BA">
      <w:pPr>
        <w:spacing w:line="360" w:lineRule="auto"/>
        <w:jc w:val="center"/>
        <w:rPr>
          <w:rFonts w:ascii="宋体" w:hAnsi="宋体" w:cs="宋体"/>
          <w:b/>
          <w:color w:val="auto"/>
          <w:spacing w:val="6"/>
          <w:sz w:val="32"/>
          <w:szCs w:val="32"/>
          <w:highlight w:val="none"/>
        </w:rPr>
      </w:pPr>
    </w:p>
    <w:p w14:paraId="4404BB1F">
      <w:pPr>
        <w:spacing w:line="360" w:lineRule="auto"/>
        <w:jc w:val="center"/>
        <w:rPr>
          <w:rFonts w:ascii="宋体" w:hAnsi="宋体" w:cs="宋体"/>
          <w:b/>
          <w:color w:val="auto"/>
          <w:spacing w:val="6"/>
          <w:sz w:val="32"/>
          <w:szCs w:val="32"/>
          <w:highlight w:val="none"/>
        </w:rPr>
      </w:pPr>
    </w:p>
    <w:p w14:paraId="6958F447">
      <w:pPr>
        <w:spacing w:line="360" w:lineRule="auto"/>
        <w:jc w:val="center"/>
        <w:rPr>
          <w:rFonts w:ascii="宋体" w:hAnsi="宋体" w:cs="宋体"/>
          <w:b/>
          <w:color w:val="auto"/>
          <w:spacing w:val="6"/>
          <w:sz w:val="32"/>
          <w:szCs w:val="32"/>
          <w:highlight w:val="none"/>
        </w:rPr>
      </w:pPr>
    </w:p>
    <w:p w14:paraId="4E94071B">
      <w:pPr>
        <w:spacing w:line="360" w:lineRule="auto"/>
        <w:jc w:val="center"/>
        <w:rPr>
          <w:rFonts w:ascii="宋体" w:hAnsi="宋体" w:cs="宋体"/>
          <w:b/>
          <w:color w:val="auto"/>
          <w:spacing w:val="6"/>
          <w:sz w:val="32"/>
          <w:szCs w:val="32"/>
          <w:highlight w:val="none"/>
        </w:rPr>
      </w:pPr>
    </w:p>
    <w:p w14:paraId="616638E5">
      <w:pPr>
        <w:spacing w:line="360" w:lineRule="auto"/>
        <w:jc w:val="center"/>
        <w:rPr>
          <w:rFonts w:ascii="宋体" w:hAnsi="宋体" w:cs="宋体"/>
          <w:b/>
          <w:color w:val="auto"/>
          <w:spacing w:val="6"/>
          <w:sz w:val="32"/>
          <w:szCs w:val="32"/>
          <w:highlight w:val="none"/>
        </w:rPr>
      </w:pPr>
    </w:p>
    <w:p w14:paraId="06B2C669">
      <w:pPr>
        <w:spacing w:line="360" w:lineRule="auto"/>
        <w:jc w:val="center"/>
        <w:rPr>
          <w:rFonts w:ascii="宋体" w:hAnsi="宋体" w:cs="宋体"/>
          <w:b/>
          <w:color w:val="auto"/>
          <w:spacing w:val="6"/>
          <w:sz w:val="32"/>
          <w:szCs w:val="32"/>
          <w:highlight w:val="none"/>
        </w:rPr>
      </w:pPr>
    </w:p>
    <w:p w14:paraId="5CA7F61D">
      <w:pPr>
        <w:spacing w:line="360" w:lineRule="auto"/>
        <w:jc w:val="center"/>
        <w:rPr>
          <w:rFonts w:ascii="宋体" w:hAnsi="宋体" w:cs="宋体"/>
          <w:b/>
          <w:color w:val="auto"/>
          <w:spacing w:val="6"/>
          <w:sz w:val="32"/>
          <w:szCs w:val="32"/>
          <w:highlight w:val="none"/>
        </w:rPr>
      </w:pPr>
    </w:p>
    <w:p w14:paraId="087F8549">
      <w:pPr>
        <w:spacing w:line="360" w:lineRule="auto"/>
        <w:jc w:val="center"/>
        <w:rPr>
          <w:rFonts w:ascii="宋体" w:hAnsi="宋体" w:cs="宋体"/>
          <w:b/>
          <w:color w:val="auto"/>
          <w:spacing w:val="6"/>
          <w:sz w:val="32"/>
          <w:szCs w:val="32"/>
          <w:highlight w:val="none"/>
        </w:rPr>
      </w:pPr>
    </w:p>
    <w:p w14:paraId="394A8D47">
      <w:pPr>
        <w:spacing w:line="360" w:lineRule="auto"/>
        <w:jc w:val="center"/>
        <w:rPr>
          <w:rFonts w:ascii="宋体" w:hAnsi="宋体" w:cs="宋体"/>
          <w:b/>
          <w:color w:val="auto"/>
          <w:spacing w:val="6"/>
          <w:sz w:val="32"/>
          <w:szCs w:val="32"/>
          <w:highlight w:val="none"/>
        </w:rPr>
      </w:pPr>
    </w:p>
    <w:p w14:paraId="29D5D54B">
      <w:pPr>
        <w:spacing w:line="360" w:lineRule="auto"/>
        <w:jc w:val="center"/>
        <w:rPr>
          <w:rFonts w:ascii="宋体" w:hAnsi="宋体" w:cs="宋体"/>
          <w:b/>
          <w:color w:val="auto"/>
          <w:spacing w:val="6"/>
          <w:sz w:val="32"/>
          <w:szCs w:val="32"/>
          <w:highlight w:val="none"/>
        </w:rPr>
      </w:pPr>
    </w:p>
    <w:p w14:paraId="33EE58A8">
      <w:pPr>
        <w:spacing w:line="360" w:lineRule="auto"/>
        <w:jc w:val="center"/>
        <w:rPr>
          <w:rFonts w:ascii="宋体" w:hAnsi="宋体" w:cs="宋体"/>
          <w:b/>
          <w:color w:val="auto"/>
          <w:spacing w:val="6"/>
          <w:sz w:val="32"/>
          <w:szCs w:val="32"/>
          <w:highlight w:val="none"/>
        </w:rPr>
      </w:pPr>
    </w:p>
    <w:p w14:paraId="5296D305">
      <w:pPr>
        <w:spacing w:line="360" w:lineRule="auto"/>
        <w:jc w:val="center"/>
        <w:rPr>
          <w:rFonts w:ascii="宋体" w:hAnsi="宋体" w:cs="宋体"/>
          <w:b/>
          <w:color w:val="auto"/>
          <w:spacing w:val="6"/>
          <w:sz w:val="32"/>
          <w:szCs w:val="32"/>
          <w:highlight w:val="none"/>
        </w:rPr>
      </w:pPr>
    </w:p>
    <w:p w14:paraId="682F1486">
      <w:pPr>
        <w:spacing w:line="360" w:lineRule="auto"/>
        <w:jc w:val="left"/>
        <w:rPr>
          <w:rFonts w:ascii="宋体" w:hAnsi="宋体" w:cs="宋体"/>
          <w:b/>
          <w:color w:val="auto"/>
          <w:spacing w:val="6"/>
          <w:sz w:val="32"/>
          <w:szCs w:val="32"/>
          <w:highlight w:val="none"/>
        </w:rPr>
      </w:pPr>
    </w:p>
    <w:p w14:paraId="383D3CF6">
      <w:pPr>
        <w:spacing w:line="360" w:lineRule="auto"/>
        <w:jc w:val="left"/>
        <w:rPr>
          <w:rFonts w:ascii="宋体" w:hAnsi="宋体" w:cs="宋体"/>
          <w:b/>
          <w:color w:val="auto"/>
          <w:spacing w:val="6"/>
          <w:sz w:val="32"/>
          <w:szCs w:val="32"/>
          <w:highlight w:val="none"/>
        </w:rPr>
      </w:pPr>
    </w:p>
    <w:p w14:paraId="6239167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2</w:t>
      </w:r>
      <w:r>
        <w:rPr>
          <w:rFonts w:hint="eastAsia" w:ascii="宋体" w:hAnsi="宋体" w:cs="宋体"/>
          <w:b/>
          <w:color w:val="auto"/>
          <w:spacing w:val="6"/>
          <w:sz w:val="32"/>
          <w:szCs w:val="32"/>
          <w:highlight w:val="none"/>
        </w:rPr>
        <w:t>：投诉书范本及制作说明</w:t>
      </w:r>
    </w:p>
    <w:p w14:paraId="04B0F0A3">
      <w:pPr>
        <w:spacing w:line="360" w:lineRule="auto"/>
        <w:jc w:val="center"/>
        <w:rPr>
          <w:rFonts w:ascii="宋体" w:hAnsi="宋体" w:cs="宋体"/>
          <w:b/>
          <w:color w:val="auto"/>
          <w:sz w:val="24"/>
          <w:highlight w:val="none"/>
        </w:rPr>
      </w:pPr>
    </w:p>
    <w:p w14:paraId="4FB497A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67CB9343">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51FC1FBE">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617E8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3153AE">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269E289">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281A5BB">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B65A2F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7DBAEB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59AECEB">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2124FA">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724E9AF">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B9BCB1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90186C2">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0D1D3F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967CD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BCFF7C6">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3E022538">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76A57864">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4DA6D34">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57054B3">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C8F8BAF">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EA8E2F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7CBB137">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0A4A29EC">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142653C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405B0DD">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DCA464A">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E2287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68B4516">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489C05F">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C124B51">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C25EF07">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231123">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4E60CEF1">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A43DFE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EA38232">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5973953">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6965D7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7131EC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80F8439">
      <w:pPr>
        <w:spacing w:line="360" w:lineRule="auto"/>
        <w:rPr>
          <w:rFonts w:ascii="宋体" w:hAnsi="宋体" w:cs="宋体"/>
          <w:b/>
          <w:color w:val="auto"/>
          <w:sz w:val="24"/>
          <w:highlight w:val="none"/>
        </w:rPr>
      </w:pPr>
    </w:p>
    <w:p w14:paraId="4E7AC231">
      <w:pPr>
        <w:spacing w:line="360" w:lineRule="auto"/>
        <w:rPr>
          <w:rFonts w:ascii="宋体" w:hAnsi="宋体" w:cs="宋体"/>
          <w:b/>
          <w:color w:val="auto"/>
          <w:sz w:val="24"/>
          <w:highlight w:val="none"/>
        </w:rPr>
      </w:pPr>
    </w:p>
    <w:p w14:paraId="469FC537">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1EC157FB">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2FA50E9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EF827E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3F43F5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7282FCD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5C77EDF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201542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98D2D64">
      <w:pPr>
        <w:rPr>
          <w:rFonts w:ascii="宋体" w:hAnsi="宋体" w:cs="宋体"/>
          <w:b/>
          <w:color w:val="auto"/>
          <w:spacing w:val="6"/>
          <w:sz w:val="32"/>
          <w:szCs w:val="32"/>
          <w:highlight w:val="none"/>
        </w:rPr>
      </w:pPr>
    </w:p>
    <w:p w14:paraId="5174F47C">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3</w:t>
      </w:r>
      <w:r>
        <w:rPr>
          <w:rFonts w:hint="eastAsia" w:ascii="宋体" w:hAnsi="宋体" w:cs="宋体"/>
          <w:b/>
          <w:color w:val="auto"/>
          <w:spacing w:val="6"/>
          <w:sz w:val="32"/>
          <w:szCs w:val="32"/>
          <w:highlight w:val="none"/>
        </w:rPr>
        <w:t>：</w:t>
      </w:r>
      <w:r>
        <w:rPr>
          <w:rFonts w:hint="eastAsia" w:ascii="宋体" w:hAnsi="宋体" w:cs="宋体"/>
          <w:b/>
          <w:bCs/>
          <w:color w:val="auto"/>
          <w:sz w:val="32"/>
          <w:szCs w:val="32"/>
          <w:highlight w:val="none"/>
        </w:rPr>
        <w:t>业务专用章使用说明函</w:t>
      </w:r>
    </w:p>
    <w:p w14:paraId="4102A003">
      <w:pPr>
        <w:spacing w:line="360" w:lineRule="auto"/>
        <w:rPr>
          <w:rFonts w:ascii="宋体" w:hAnsi="宋体" w:cs="宋体"/>
          <w:color w:val="auto"/>
          <w:sz w:val="24"/>
          <w:highlight w:val="none"/>
          <w:u w:val="single"/>
        </w:rPr>
      </w:pPr>
    </w:p>
    <w:p w14:paraId="2EBC7141">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14F96C81">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(供应商全称)是中华人民共和国依法登记注册的合法企业，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你方组织的（项目名称）项目【项目编号：（采购编号）】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039BC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D2FF3BE">
      <w:pPr>
        <w:spacing w:line="360" w:lineRule="auto"/>
        <w:ind w:firstLine="494"/>
        <w:rPr>
          <w:rFonts w:ascii="宋体" w:hAnsi="宋体" w:cs="宋体"/>
          <w:color w:val="auto"/>
          <w:sz w:val="24"/>
          <w:highlight w:val="none"/>
        </w:rPr>
      </w:pPr>
    </w:p>
    <w:p w14:paraId="4A0E1743">
      <w:pPr>
        <w:spacing w:line="360" w:lineRule="auto"/>
        <w:ind w:firstLine="494"/>
        <w:rPr>
          <w:rFonts w:ascii="宋体" w:hAnsi="宋体" w:cs="宋体"/>
          <w:color w:val="auto"/>
          <w:sz w:val="24"/>
          <w:highlight w:val="none"/>
        </w:rPr>
      </w:pPr>
    </w:p>
    <w:p w14:paraId="24AC3760">
      <w:pPr>
        <w:spacing w:line="360" w:lineRule="auto"/>
        <w:ind w:firstLine="494"/>
        <w:rPr>
          <w:rFonts w:ascii="宋体" w:hAnsi="宋体" w:cs="宋体"/>
          <w:color w:val="auto"/>
          <w:sz w:val="24"/>
          <w:highlight w:val="none"/>
        </w:rPr>
      </w:pPr>
    </w:p>
    <w:p w14:paraId="63980A3B">
      <w:pPr>
        <w:spacing w:line="360" w:lineRule="auto"/>
        <w:ind w:firstLine="494"/>
        <w:rPr>
          <w:rFonts w:ascii="宋体" w:hAnsi="宋体" w:cs="宋体"/>
          <w:color w:val="auto"/>
          <w:sz w:val="24"/>
          <w:highlight w:val="none"/>
        </w:rPr>
      </w:pPr>
    </w:p>
    <w:p w14:paraId="21CC95A0">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供应商（法定名称章）：</w:t>
      </w:r>
    </w:p>
    <w:p w14:paraId="4287E162">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95F3BDB">
      <w:pPr>
        <w:rPr>
          <w:rFonts w:ascii="宋体" w:hAnsi="宋体" w:cs="宋体"/>
          <w:color w:val="auto"/>
          <w:sz w:val="24"/>
          <w:highlight w:val="none"/>
        </w:rPr>
      </w:pPr>
      <w:r>
        <w:rPr>
          <w:rFonts w:hint="eastAsia" w:ascii="宋体" w:hAnsi="宋体" w:cs="宋体"/>
          <w:b/>
          <w:bCs/>
          <w:color w:val="auto"/>
          <w:sz w:val="24"/>
          <w:highlight w:val="none"/>
        </w:rPr>
        <w:t>附：</w:t>
      </w:r>
    </w:p>
    <w:p w14:paraId="72C3E0E7">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w:t>供应商</w:t>
      </w:r>
      <w:r>
        <w:rPr>
          <w:rFonts w:hint="eastAsia" w:ascii="宋体" w:hAnsi="宋体" w:cs="宋体"/>
          <w:color w:val="auto"/>
          <w:sz w:val="24"/>
          <w:highlight w:val="none"/>
        </w:rPr>
        <w:t>法定名称章（印模）                供应商“XX专用章”（印模）</w:t>
      </w:r>
    </w:p>
    <w:p w14:paraId="77817186">
      <w:pPr>
        <w:autoSpaceDE w:val="0"/>
        <w:autoSpaceDN w:val="0"/>
        <w:jc w:val="center"/>
        <w:rPr>
          <w:rFonts w:ascii="宋体" w:hAnsi="宋体" w:cs="宋体"/>
          <w:b/>
          <w:color w:val="auto"/>
          <w:spacing w:val="6"/>
          <w:sz w:val="32"/>
          <w:szCs w:val="32"/>
          <w:highlight w:val="none"/>
        </w:rPr>
      </w:pPr>
    </w:p>
    <w:p w14:paraId="14B9A186">
      <w:pPr>
        <w:autoSpaceDE w:val="0"/>
        <w:autoSpaceDN w:val="0"/>
        <w:jc w:val="center"/>
        <w:rPr>
          <w:rFonts w:ascii="宋体" w:hAnsi="宋体" w:cs="宋体"/>
          <w:b/>
          <w:color w:val="auto"/>
          <w:spacing w:val="6"/>
          <w:sz w:val="32"/>
          <w:szCs w:val="32"/>
          <w:highlight w:val="none"/>
        </w:rPr>
      </w:pPr>
    </w:p>
    <w:p w14:paraId="633FBCF3">
      <w:pPr>
        <w:autoSpaceDE w:val="0"/>
        <w:autoSpaceDN w:val="0"/>
        <w:jc w:val="center"/>
        <w:rPr>
          <w:rFonts w:ascii="宋体" w:hAnsi="宋体" w:cs="宋体"/>
          <w:b/>
          <w:color w:val="auto"/>
          <w:spacing w:val="6"/>
          <w:sz w:val="32"/>
          <w:szCs w:val="32"/>
          <w:highlight w:val="none"/>
        </w:rPr>
      </w:pPr>
    </w:p>
    <w:p w14:paraId="34251622">
      <w:pPr>
        <w:autoSpaceDE w:val="0"/>
        <w:autoSpaceDN w:val="0"/>
        <w:jc w:val="center"/>
        <w:rPr>
          <w:rFonts w:ascii="宋体" w:hAnsi="宋体" w:cs="宋体"/>
          <w:b/>
          <w:color w:val="auto"/>
          <w:spacing w:val="6"/>
          <w:sz w:val="32"/>
          <w:szCs w:val="32"/>
          <w:highlight w:val="none"/>
        </w:rPr>
      </w:pPr>
    </w:p>
    <w:p w14:paraId="2934EBA9">
      <w:pPr>
        <w:autoSpaceDE w:val="0"/>
        <w:autoSpaceDN w:val="0"/>
        <w:jc w:val="center"/>
        <w:rPr>
          <w:rFonts w:ascii="宋体" w:hAnsi="宋体" w:cs="宋体"/>
          <w:b/>
          <w:color w:val="auto"/>
          <w:spacing w:val="6"/>
          <w:sz w:val="32"/>
          <w:szCs w:val="32"/>
          <w:highlight w:val="none"/>
        </w:rPr>
      </w:pPr>
    </w:p>
    <w:p w14:paraId="29E1FC79">
      <w:pPr>
        <w:autoSpaceDE w:val="0"/>
        <w:autoSpaceDN w:val="0"/>
        <w:jc w:val="center"/>
        <w:rPr>
          <w:rFonts w:ascii="宋体" w:hAnsi="宋体" w:cs="宋体"/>
          <w:b/>
          <w:color w:val="auto"/>
          <w:spacing w:val="6"/>
          <w:sz w:val="32"/>
          <w:szCs w:val="32"/>
          <w:highlight w:val="none"/>
        </w:rPr>
      </w:pPr>
    </w:p>
    <w:p w14:paraId="125A79B3">
      <w:pPr>
        <w:autoSpaceDE w:val="0"/>
        <w:autoSpaceDN w:val="0"/>
        <w:jc w:val="center"/>
        <w:rPr>
          <w:rFonts w:ascii="宋体" w:hAnsi="宋体" w:cs="宋体"/>
          <w:b/>
          <w:color w:val="auto"/>
          <w:spacing w:val="6"/>
          <w:sz w:val="32"/>
          <w:szCs w:val="32"/>
          <w:highlight w:val="none"/>
        </w:rPr>
      </w:pPr>
    </w:p>
    <w:p w14:paraId="6BF71608">
      <w:pPr>
        <w:autoSpaceDE w:val="0"/>
        <w:autoSpaceDN w:val="0"/>
        <w:jc w:val="center"/>
        <w:rPr>
          <w:rFonts w:ascii="宋体" w:hAnsi="宋体" w:cs="宋体"/>
          <w:b/>
          <w:color w:val="auto"/>
          <w:spacing w:val="6"/>
          <w:sz w:val="32"/>
          <w:szCs w:val="32"/>
          <w:highlight w:val="none"/>
        </w:rPr>
      </w:pPr>
    </w:p>
    <w:p w14:paraId="6EF3049E">
      <w:pPr>
        <w:autoSpaceDE w:val="0"/>
        <w:autoSpaceDN w:val="0"/>
        <w:jc w:val="center"/>
        <w:rPr>
          <w:rFonts w:ascii="宋体" w:hAnsi="宋体" w:cs="宋体"/>
          <w:b/>
          <w:color w:val="auto"/>
          <w:spacing w:val="6"/>
          <w:sz w:val="32"/>
          <w:szCs w:val="32"/>
          <w:highlight w:val="none"/>
        </w:rPr>
      </w:pPr>
    </w:p>
    <w:p w14:paraId="472718A5">
      <w:pPr>
        <w:autoSpaceDE w:val="0"/>
        <w:autoSpaceDN w:val="0"/>
        <w:jc w:val="center"/>
        <w:rPr>
          <w:rFonts w:ascii="宋体" w:hAnsi="宋体" w:cs="宋体"/>
          <w:b/>
          <w:color w:val="auto"/>
          <w:spacing w:val="6"/>
          <w:sz w:val="32"/>
          <w:szCs w:val="32"/>
          <w:highlight w:val="none"/>
        </w:rPr>
      </w:pPr>
    </w:p>
    <w:p w14:paraId="64FDAAE5">
      <w:pPr>
        <w:autoSpaceDE w:val="0"/>
        <w:autoSpaceDN w:val="0"/>
        <w:jc w:val="center"/>
        <w:rPr>
          <w:rFonts w:ascii="宋体" w:hAnsi="宋体" w:cs="宋体"/>
          <w:b/>
          <w:color w:val="auto"/>
          <w:spacing w:val="6"/>
          <w:sz w:val="32"/>
          <w:szCs w:val="32"/>
          <w:highlight w:val="none"/>
        </w:rPr>
      </w:pPr>
    </w:p>
    <w:p w14:paraId="6DE16081">
      <w:pPr>
        <w:autoSpaceDE w:val="0"/>
        <w:autoSpaceDN w:val="0"/>
        <w:jc w:val="center"/>
        <w:rPr>
          <w:rFonts w:ascii="宋体" w:hAnsi="宋体" w:cs="宋体"/>
          <w:b/>
          <w:color w:val="auto"/>
          <w:spacing w:val="6"/>
          <w:sz w:val="32"/>
          <w:szCs w:val="32"/>
          <w:highlight w:val="none"/>
        </w:rPr>
      </w:pPr>
    </w:p>
    <w:p w14:paraId="68954EB0">
      <w:pPr>
        <w:autoSpaceDE w:val="0"/>
        <w:autoSpaceDN w:val="0"/>
        <w:jc w:val="center"/>
        <w:rPr>
          <w:rFonts w:ascii="宋体" w:hAnsi="宋体" w:cs="宋体"/>
          <w:b/>
          <w:color w:val="auto"/>
          <w:spacing w:val="6"/>
          <w:sz w:val="32"/>
          <w:szCs w:val="32"/>
          <w:highlight w:val="none"/>
        </w:rPr>
      </w:pPr>
    </w:p>
    <w:p w14:paraId="1A637DA4">
      <w:pPr>
        <w:autoSpaceDE w:val="0"/>
        <w:autoSpaceDN w:val="0"/>
        <w:jc w:val="center"/>
        <w:rPr>
          <w:rFonts w:ascii="宋体" w:hAnsi="宋体" w:cs="宋体"/>
          <w:b/>
          <w:color w:val="auto"/>
          <w:spacing w:val="6"/>
          <w:sz w:val="32"/>
          <w:szCs w:val="32"/>
          <w:highlight w:val="none"/>
        </w:rPr>
      </w:pPr>
    </w:p>
    <w:p w14:paraId="59D5A02D">
      <w:pPr>
        <w:autoSpaceDE w:val="0"/>
        <w:autoSpaceDN w:val="0"/>
        <w:jc w:val="center"/>
        <w:rPr>
          <w:rFonts w:ascii="宋体" w:hAnsi="宋体" w:cs="宋体"/>
          <w:b/>
          <w:color w:val="auto"/>
          <w:spacing w:val="6"/>
          <w:sz w:val="32"/>
          <w:szCs w:val="32"/>
          <w:highlight w:val="none"/>
        </w:rPr>
      </w:pPr>
    </w:p>
    <w:p w14:paraId="0F70AB6C">
      <w:pPr>
        <w:autoSpaceDE w:val="0"/>
        <w:autoSpaceDN w:val="0"/>
        <w:jc w:val="center"/>
        <w:rPr>
          <w:rFonts w:ascii="宋体" w:hAnsi="宋体" w:cs="宋体"/>
          <w:b/>
          <w:color w:val="auto"/>
          <w:spacing w:val="6"/>
          <w:sz w:val="32"/>
          <w:szCs w:val="32"/>
          <w:highlight w:val="none"/>
        </w:rPr>
      </w:pPr>
    </w:p>
    <w:p w14:paraId="6920DFAC">
      <w:pPr>
        <w:autoSpaceDE w:val="0"/>
        <w:autoSpaceDN w:val="0"/>
        <w:jc w:val="center"/>
        <w:rPr>
          <w:rFonts w:ascii="宋体" w:hAnsi="宋体" w:cs="宋体"/>
          <w:b/>
          <w:color w:val="auto"/>
          <w:spacing w:val="6"/>
          <w:sz w:val="32"/>
          <w:szCs w:val="32"/>
          <w:highlight w:val="none"/>
        </w:rPr>
      </w:pPr>
    </w:p>
    <w:p w14:paraId="3BDDFB1B">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4</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29391D1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（以联合体形式参与的，提供联合协议；本项目不接受联合体或者供应商不以联合体形式参与的，则不需要提供）</w:t>
      </w:r>
    </w:p>
    <w:p w14:paraId="114AF81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 xml:space="preserve">。 </w:t>
      </w:r>
    </w:p>
    <w:p w14:paraId="73C1670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3F03C10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授权代表根据采购文件规定及</w:t>
      </w:r>
      <w:r>
        <w:rPr>
          <w:rFonts w:hint="eastAsia" w:ascii="宋体" w:hAnsi="宋体" w:cs="宋体"/>
          <w:color w:val="auto"/>
          <w:kern w:val="0"/>
          <w:sz w:val="24"/>
          <w:highlight w:val="none"/>
        </w:rPr>
        <w:t>响应内容</w:t>
      </w:r>
      <w:r>
        <w:rPr>
          <w:rFonts w:hint="eastAsia" w:ascii="宋体" w:hAnsi="宋体" w:cs="宋体"/>
          <w:color w:val="auto"/>
          <w:kern w:val="0"/>
          <w:sz w:val="24"/>
          <w:highlight w:val="none"/>
          <w:lang w:val="zh-CN"/>
        </w:rPr>
        <w:t>而对采购人、采购代理机构所作的任何合法承诺，包括书面澄清及相应等均对联合投标各方产生约束力。</w:t>
      </w:r>
    </w:p>
    <w:p w14:paraId="7752ABC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中，分工如下：</w:t>
      </w:r>
    </w:p>
    <w:p w14:paraId="5A16152B">
      <w:pPr>
        <w:snapToGrid w:val="0"/>
        <w:spacing w:line="360" w:lineRule="auto"/>
        <w:ind w:firstLine="576"/>
        <w:rPr>
          <w:rFonts w:ascii="宋体" w:hAnsi="宋体" w:cs="宋体"/>
          <w:color w:val="auto"/>
          <w:kern w:val="0"/>
          <w:sz w:val="24"/>
          <w:highlight w:val="none"/>
          <w:lang w:val="zh-CN"/>
        </w:rPr>
      </w:pPr>
      <w:bookmarkStart w:id="514"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2DA137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C568B2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14"/>
    <w:p w14:paraId="44A652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四、如果成交，</w:t>
      </w:r>
      <w:r>
        <w:rPr>
          <w:rFonts w:hint="eastAsia" w:ascii="宋体" w:hAnsi="宋体" w:cs="宋体"/>
          <w:color w:val="auto"/>
          <w:sz w:val="24"/>
          <w:highlight w:val="none"/>
        </w:rPr>
        <w:t>联合体各成员方共同与采购人签订合同，并就采购合同约定的事项对采购人承担连带责任。</w:t>
      </w:r>
    </w:p>
    <w:p w14:paraId="4F4F4BF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的其他事宜：</w:t>
      </w:r>
    </w:p>
    <w:p w14:paraId="65A0213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1、联合体各方不再单独参加或者与其他供应商另外组成联合体参加同一合同项下的采购活动。</w:t>
      </w:r>
    </w:p>
    <w:p w14:paraId="5CA3490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30F18EE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10E511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57095A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F13DD6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42C18D7">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pgNumType w:fmt="decimal"/>
          <w:cols w:space="720" w:num="1"/>
          <w:titlePg/>
          <w:docGrid w:linePitch="312" w:charSpace="0"/>
        </w:sectPr>
      </w:pPr>
    </w:p>
    <w:p w14:paraId="65C01E0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21E28C91">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cs="宋体"/>
          <w:color w:val="auto"/>
          <w:sz w:val="24"/>
          <w:highlight w:val="none"/>
        </w:rPr>
        <w:t>）</w:t>
      </w:r>
    </w:p>
    <w:p w14:paraId="6C96692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的成交供应商，将依法采取分包方式履行合同。</w:t>
      </w: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343186E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C0A5E6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B913786">
      <w:pPr>
        <w:pStyle w:val="6"/>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42CF50B">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二、分包工作履行期限、地点、方式</w:t>
      </w:r>
    </w:p>
    <w:p w14:paraId="7A90899D">
      <w:pPr>
        <w:snapToGrid w:val="0"/>
        <w:spacing w:line="312"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2102BC03">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三</w:t>
      </w:r>
      <w:r>
        <w:rPr>
          <w:rFonts w:hint="eastAsia" w:ascii="宋体" w:hAnsi="宋体" w:cs="宋体"/>
          <w:color w:val="auto"/>
          <w:kern w:val="0"/>
          <w:sz w:val="24"/>
          <w:highlight w:val="none"/>
          <w:lang w:val="zh-CN"/>
        </w:rPr>
        <w:t>、质量</w:t>
      </w:r>
    </w:p>
    <w:p w14:paraId="1D359779">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C2C3DFD">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四</w:t>
      </w:r>
      <w:r>
        <w:rPr>
          <w:rFonts w:hint="eastAsia" w:ascii="宋体" w:hAnsi="宋体" w:cs="宋体"/>
          <w:color w:val="auto"/>
          <w:kern w:val="0"/>
          <w:sz w:val="24"/>
          <w:highlight w:val="none"/>
          <w:lang w:val="zh-CN"/>
        </w:rPr>
        <w:t>、价款或者报酬</w:t>
      </w:r>
    </w:p>
    <w:p w14:paraId="30198E6F">
      <w:pPr>
        <w:snapToGrid w:val="0"/>
        <w:spacing w:line="312"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2B65E2">
      <w:pPr>
        <w:snapToGrid w:val="0"/>
        <w:spacing w:line="312"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、违约责任</w:t>
      </w:r>
    </w:p>
    <w:p w14:paraId="2864F599">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5080B48">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六</w:t>
      </w:r>
      <w:r>
        <w:rPr>
          <w:rFonts w:hint="eastAsia" w:ascii="宋体" w:hAnsi="宋体" w:cs="宋体"/>
          <w:color w:val="auto"/>
          <w:kern w:val="0"/>
          <w:sz w:val="24"/>
          <w:highlight w:val="none"/>
          <w:lang w:val="zh-CN"/>
        </w:rPr>
        <w:t>、争议解决的办法</w:t>
      </w:r>
    </w:p>
    <w:p w14:paraId="5E576836">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45428DC">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w:t>
      </w:r>
    </w:p>
    <w:p w14:paraId="3A6D0D93">
      <w:pPr>
        <w:snapToGrid w:val="0"/>
        <w:spacing w:line="360" w:lineRule="auto"/>
        <w:ind w:firstLine="5640" w:firstLineChars="235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p>
    <w:p w14:paraId="0365F363">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739BC7A">
      <w:pPr>
        <w:spacing w:line="360" w:lineRule="auto"/>
        <w:jc w:val="center"/>
        <w:rPr>
          <w:rFonts w:ascii="宋体" w:hAnsi="宋体" w:cs="宋体"/>
          <w:b/>
          <w:color w:val="auto"/>
          <w:spacing w:val="6"/>
          <w:sz w:val="32"/>
          <w:szCs w:val="32"/>
          <w:highlight w:val="none"/>
        </w:rPr>
      </w:pPr>
      <w:r>
        <w:rPr>
          <w:rFonts w:hint="eastAsia" w:ascii="宋体" w:hAnsi="宋体" w:cs="宋体"/>
          <w:color w:val="auto"/>
          <w:kern w:val="0"/>
          <w:sz w:val="24"/>
          <w:highlight w:val="none"/>
          <w:lang w:val="zh-CN"/>
        </w:rPr>
        <w:t xml:space="preserve">                                        日期：  年  月   日</w:t>
      </w:r>
    </w:p>
    <w:p w14:paraId="752FB020">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pgNumType w:fmt="decimal"/>
          <w:cols w:space="720" w:num="1"/>
          <w:titlePg/>
          <w:docGrid w:linePitch="312" w:charSpace="0"/>
        </w:sectPr>
      </w:pPr>
    </w:p>
    <w:p w14:paraId="700459A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6</w:t>
      </w:r>
      <w:r>
        <w:rPr>
          <w:rFonts w:hint="eastAsia" w:ascii="宋体" w:hAnsi="宋体" w:cs="宋体"/>
          <w:b/>
          <w:color w:val="auto"/>
          <w:spacing w:val="6"/>
          <w:sz w:val="32"/>
          <w:szCs w:val="32"/>
          <w:highlight w:val="none"/>
        </w:rPr>
        <w:t>：工程量清单（另附）</w:t>
      </w:r>
    </w:p>
    <w:p w14:paraId="10922C78">
      <w:pPr>
        <w:spacing w:line="360" w:lineRule="auto"/>
        <w:jc w:val="center"/>
        <w:rPr>
          <w:rFonts w:ascii="宋体" w:hAnsi="宋体" w:cs="宋体"/>
          <w:b/>
          <w:color w:val="auto"/>
          <w:spacing w:val="6"/>
          <w:sz w:val="32"/>
          <w:szCs w:val="32"/>
          <w:highlight w:val="none"/>
        </w:rPr>
      </w:pPr>
    </w:p>
    <w:p w14:paraId="0FEF3ED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7</w:t>
      </w:r>
      <w:r>
        <w:rPr>
          <w:rFonts w:hint="eastAsia" w:ascii="宋体" w:hAnsi="宋体" w:cs="宋体"/>
          <w:b/>
          <w:color w:val="auto"/>
          <w:spacing w:val="6"/>
          <w:sz w:val="32"/>
          <w:szCs w:val="32"/>
          <w:highlight w:val="none"/>
        </w:rPr>
        <w:t>：图纸（另附）</w:t>
      </w:r>
    </w:p>
    <w:p w14:paraId="49D570EF">
      <w:pPr>
        <w:jc w:val="both"/>
        <w:rPr>
          <w:rFonts w:ascii="宋体" w:hAnsi="宋体" w:cs="宋体"/>
          <w:b/>
          <w:color w:val="auto"/>
          <w:spacing w:val="6"/>
          <w:sz w:val="32"/>
          <w:szCs w:val="32"/>
          <w:highlight w:val="none"/>
        </w:rPr>
      </w:pPr>
    </w:p>
    <w:sectPr>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Times">
    <w:altName w:val="Times New Roman"/>
    <w:panose1 w:val="02020603050405020304"/>
    <w:charset w:val="00"/>
    <w:family w:val="roman"/>
    <w:pitch w:val="default"/>
    <w:sig w:usb0="00000000" w:usb1="00000000" w:usb2="00000000" w:usb3="00000000" w:csb0="00000093"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A9B49">
    <w:pPr>
      <w:pStyle w:val="42"/>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35982A">
                          <w:pPr>
                            <w:pStyle w:val="4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C35982A">
                    <w:pPr>
                      <w:pStyle w:val="4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F3A29">
    <w:pPr>
      <w:pStyle w:val="42"/>
      <w:framePr w:wrap="around" w:vAnchor="text" w:hAnchor="margin" w:xAlign="right" w:y="1"/>
      <w:rPr>
        <w:rStyle w:val="73"/>
      </w:rPr>
    </w:pPr>
    <w:r>
      <w:fldChar w:fldCharType="begin"/>
    </w:r>
    <w:r>
      <w:rPr>
        <w:rStyle w:val="73"/>
      </w:rPr>
      <w:instrText xml:space="preserve">PAGE  </w:instrText>
    </w:r>
    <w:r>
      <w:fldChar w:fldCharType="end"/>
    </w:r>
  </w:p>
  <w:p w14:paraId="48663129">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006FF">
    <w:pPr>
      <w:pStyle w:val="42"/>
      <w:tabs>
        <w:tab w:val="center" w:pos="4649"/>
        <w:tab w:val="clear" w:pos="4153"/>
      </w:tabs>
      <w:jc w:val="both"/>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099B3">
    <w:pPr>
      <w:pStyle w:val="42"/>
      <w:jc w:val="cente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243B34">
                          <w:pPr>
                            <w:pStyle w:val="4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45243B34">
                    <w:pPr>
                      <w:pStyle w:val="4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4F07C">
    <w:pPr>
      <w:pStyle w:val="42"/>
      <w:tabs>
        <w:tab w:val="center" w:pos="4649"/>
        <w:tab w:val="clear" w:pos="4153"/>
      </w:tabs>
      <w:jc w:val="both"/>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ED5126">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6BED5126">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10ED6">
    <w:pPr>
      <w:pStyle w:val="42"/>
      <w:framePr w:wrap="around" w:vAnchor="text" w:hAnchor="margin" w:xAlign="center" w:y="1"/>
      <w:rPr>
        <w:rStyle w:val="73"/>
      </w:rPr>
    </w:pPr>
    <w:r>
      <w:fldChar w:fldCharType="begin"/>
    </w:r>
    <w:r>
      <w:rPr>
        <w:rStyle w:val="73"/>
      </w:rPr>
      <w:instrText xml:space="preserve">PAGE  </w:instrText>
    </w:r>
    <w:r>
      <w:fldChar w:fldCharType="separate"/>
    </w:r>
    <w:r>
      <w:rPr>
        <w:rStyle w:val="73"/>
      </w:rPr>
      <w:t>82</w:t>
    </w:r>
    <w:r>
      <w:fldChar w:fldCharType="end"/>
    </w:r>
  </w:p>
  <w:p w14:paraId="2A665E81">
    <w:pPr>
      <w:pStyle w:val="42"/>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11D50">
    <w:pPr>
      <w:pStyle w:val="42"/>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CC2896">
                          <w:pPr>
                            <w:pStyle w:val="4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BCC2896">
                    <w:pPr>
                      <w:pStyle w:val="42"/>
                    </w:pPr>
                    <w:r>
                      <w:fldChar w:fldCharType="begin"/>
                    </w:r>
                    <w:r>
                      <w:instrText xml:space="preserve"> PAGE  \* MERGEFORMAT </w:instrText>
                    </w:r>
                    <w:r>
                      <w:fldChar w:fldCharType="separate"/>
                    </w:r>
                    <w:r>
                      <w:t>33</w:t>
                    </w:r>
                    <w:r>
                      <w:fldChar w:fldCharType="end"/>
                    </w:r>
                  </w:p>
                </w:txbxContent>
              </v:textbox>
            </v:shape>
          </w:pict>
        </mc:Fallback>
      </mc:AlternateContent>
    </w:r>
  </w:p>
  <w:p w14:paraId="522F75B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3B535">
    <w:pPr>
      <w:pStyle w:val="42"/>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44869C">
                          <w:pPr>
                            <w:pStyle w:val="42"/>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A44869C">
                    <w:pPr>
                      <w:pStyle w:val="42"/>
                    </w:pPr>
                    <w:r>
                      <w:fldChar w:fldCharType="begin"/>
                    </w:r>
                    <w:r>
                      <w:instrText xml:space="preserve"> PAGE  \* MERGEFORMAT </w:instrText>
                    </w:r>
                    <w:r>
                      <w:fldChar w:fldCharType="separate"/>
                    </w:r>
                    <w:r>
                      <w:t>32</w:t>
                    </w:r>
                    <w:r>
                      <w:fldChar w:fldCharType="end"/>
                    </w:r>
                  </w:p>
                </w:txbxContent>
              </v:textbox>
            </v:shape>
          </w:pict>
        </mc:Fallback>
      </mc:AlternateContent>
    </w:r>
  </w:p>
  <w:p w14:paraId="6557F24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52055">
    <w:pPr>
      <w:pStyle w:val="42"/>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78A698">
                          <w:pPr>
                            <w:pStyle w:val="42"/>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1978A698">
                    <w:pPr>
                      <w:pStyle w:val="42"/>
                    </w:pPr>
                    <w:r>
                      <w:fldChar w:fldCharType="begin"/>
                    </w:r>
                    <w:r>
                      <w:instrText xml:space="preserve"> PAGE  \* MERGEFORMAT </w:instrText>
                    </w:r>
                    <w:r>
                      <w:fldChar w:fldCharType="separate"/>
                    </w:r>
                    <w:r>
                      <w:t>65</w:t>
                    </w:r>
                    <w:r>
                      <w:fldChar w:fldCharType="end"/>
                    </w:r>
                  </w:p>
                </w:txbxContent>
              </v:textbox>
            </v:shape>
          </w:pict>
        </mc:Fallback>
      </mc:AlternateContent>
    </w:r>
  </w:p>
  <w:p w14:paraId="428A5F4E">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768F5">
    <w:pPr>
      <w:pStyle w:val="42"/>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1E71E2">
                          <w:pPr>
                            <w:pStyle w:val="42"/>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261E71E2">
                    <w:pPr>
                      <w:pStyle w:val="42"/>
                    </w:pPr>
                    <w:r>
                      <w:fldChar w:fldCharType="begin"/>
                    </w:r>
                    <w:r>
                      <w:instrText xml:space="preserve"> PAGE  \* MERGEFORMAT </w:instrText>
                    </w:r>
                    <w:r>
                      <w:fldChar w:fldCharType="separate"/>
                    </w:r>
                    <w:r>
                      <w:t>64</w:t>
                    </w:r>
                    <w:r>
                      <w:fldChar w:fldCharType="end"/>
                    </w:r>
                  </w:p>
                </w:txbxContent>
              </v:textbox>
            </v:shape>
          </w:pict>
        </mc:Fallback>
      </mc:AlternateContent>
    </w:r>
  </w:p>
  <w:p w14:paraId="14303FC0">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D4D7B">
    <w:pPr>
      <w:pStyle w:val="42"/>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39DE5F">
                          <w:pPr>
                            <w:pStyle w:val="42"/>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0539DE5F">
                    <w:pPr>
                      <w:pStyle w:val="42"/>
                    </w:pPr>
                    <w:r>
                      <w:fldChar w:fldCharType="begin"/>
                    </w:r>
                    <w:r>
                      <w:instrText xml:space="preserve"> PAGE  \* MERGEFORMAT </w:instrText>
                    </w:r>
                    <w:r>
                      <w:fldChar w:fldCharType="separate"/>
                    </w:r>
                    <w:r>
                      <w:t>69</w:t>
                    </w:r>
                    <w:r>
                      <w:fldChar w:fldCharType="end"/>
                    </w:r>
                  </w:p>
                </w:txbxContent>
              </v:textbox>
            </v:shape>
          </w:pict>
        </mc:Fallback>
      </mc:AlternateContent>
    </w:r>
  </w:p>
  <w:p w14:paraId="5FC01D36">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EF2EE">
    <w:pPr>
      <w:pStyle w:val="42"/>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F2231F">
                          <w:pPr>
                            <w:pStyle w:val="42"/>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25F2231F">
                    <w:pPr>
                      <w:pStyle w:val="42"/>
                    </w:pPr>
                    <w:r>
                      <w:fldChar w:fldCharType="begin"/>
                    </w:r>
                    <w:r>
                      <w:instrText xml:space="preserve"> PAGE  \* MERGEFORMAT </w:instrText>
                    </w:r>
                    <w:r>
                      <w:fldChar w:fldCharType="separate"/>
                    </w:r>
                    <w:r>
                      <w:t>67</w:t>
                    </w:r>
                    <w:r>
                      <w:fldChar w:fldCharType="end"/>
                    </w:r>
                  </w:p>
                </w:txbxContent>
              </v:textbox>
            </v:shape>
          </w:pict>
        </mc:Fallback>
      </mc:AlternateContent>
    </w:r>
  </w:p>
  <w:p w14:paraId="62AC0D29">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62B4E">
    <w:pPr>
      <w:pStyle w:val="42"/>
      <w:jc w:val="center"/>
      <w:rPr>
        <w:rFonts w:ascii="仿宋_GB2312" w:eastAsia="仿宋_GB2312"/>
        <w:szCs w:val="24"/>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79F6E4">
                          <w:pPr>
                            <w:pStyle w:val="42"/>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5079F6E4">
                    <w:pPr>
                      <w:pStyle w:val="42"/>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EA045">
    <w:pPr>
      <w:pStyle w:val="42"/>
      <w:framePr w:wrap="around" w:vAnchor="text" w:hAnchor="margin" w:xAlign="right" w:y="1"/>
      <w:rPr>
        <w:rStyle w:val="73"/>
      </w:rPr>
    </w:pPr>
    <w:r>
      <w:fldChar w:fldCharType="begin"/>
    </w:r>
    <w:r>
      <w:rPr>
        <w:rStyle w:val="73"/>
      </w:rPr>
      <w:instrText xml:space="preserve">PAGE  </w:instrText>
    </w:r>
    <w:r>
      <w:fldChar w:fldCharType="end"/>
    </w:r>
  </w:p>
  <w:p w14:paraId="225DD0AD">
    <w:pPr>
      <w:pStyle w:val="42"/>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0C456">
    <w:pPr>
      <w:pStyle w:val="42"/>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971B1C">
                          <w:pPr>
                            <w:pStyle w:val="42"/>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15971B1C">
                    <w:pPr>
                      <w:pStyle w:val="42"/>
                    </w:pPr>
                    <w:r>
                      <w:fldChar w:fldCharType="begin"/>
                    </w:r>
                    <w:r>
                      <w:instrText xml:space="preserve"> PAGE  \* MERGEFORMAT </w:instrText>
                    </w:r>
                    <w:r>
                      <w:fldChar w:fldCharType="separate"/>
                    </w:r>
                    <w:r>
                      <w:t>70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1C973">
    <w:pPr>
      <w:pStyle w:val="43"/>
      <w:pBdr>
        <w:bottom w:val="single" w:color="auto" w:sz="6" w:space="0"/>
      </w:pBdr>
      <w:jc w:val="right"/>
      <w:rPr>
        <w:rFonts w:ascii="仿宋_GB2312" w:eastAsia="仿宋_GB2312"/>
        <w:i/>
        <w:u w:val="single"/>
      </w:rPr>
    </w:pPr>
    <w:r>
      <w:rPr>
        <w:rFonts w:hint="eastAsia"/>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FE9B7E">
    <w:pPr>
      <w:pStyle w:val="43"/>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03C0F">
    <w:pPr>
      <w:pStyle w:val="43"/>
      <w:pBdr>
        <w:bottom w:val="single" w:color="auto" w:sz="4" w:space="0"/>
      </w:pBdr>
      <w:jc w:val="right"/>
    </w:pP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F58D1">
    <w:pPr>
      <w:pStyle w:val="43"/>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AD117">
    <w:pPr>
      <w:pStyle w:val="43"/>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lang w:val="zh-CN"/>
      </w:rPr>
      <w:t>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C5551">
    <w:pPr>
      <w:pStyle w:val="43"/>
      <w:pBdr>
        <w:bottom w:val="single" w:color="auto" w:sz="6" w:space="0"/>
      </w:pBdr>
      <w:tabs>
        <w:tab w:val="center" w:pos="4535"/>
        <w:tab w:val="right" w:pos="9070"/>
        <w:tab w:val="clear" w:pos="4153"/>
        <w:tab w:val="clear" w:pos="8306"/>
      </w:tabs>
      <w:jc w:val="right"/>
      <w:rPr>
        <w:rFonts w:ascii="仿宋_GB2312"/>
        <w:b/>
        <w:i/>
        <w:iCs/>
        <w:u w:val="single"/>
      </w:rPr>
    </w:pPr>
    <w:r>
      <w:rPr>
        <w:rFonts w:hint="eastAsia"/>
        <w:lang w:val="zh-CN"/>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083F01"/>
    <w:multiLevelType w:val="singleLevel"/>
    <w:tmpl w:val="AA083F01"/>
    <w:lvl w:ilvl="0" w:tentative="0">
      <w:start w:val="1"/>
      <w:numFmt w:val="decimal"/>
      <w:suff w:val="nothing"/>
      <w:lvlText w:val="（%1）"/>
      <w:lvlJc w:val="left"/>
    </w:lvl>
  </w:abstractNum>
  <w:abstractNum w:abstractNumId="1">
    <w:nsid w:val="320299AA"/>
    <w:multiLevelType w:val="singleLevel"/>
    <w:tmpl w:val="320299AA"/>
    <w:lvl w:ilvl="0" w:tentative="0">
      <w:start w:val="2"/>
      <w:numFmt w:val="decimal"/>
      <w:suff w:val="nothing"/>
      <w:lvlText w:val="（%1）"/>
      <w:lvlJc w:val="left"/>
    </w:lvl>
  </w:abstractNum>
  <w:abstractNum w:abstractNumId="2">
    <w:nsid w:val="537ACA4D"/>
    <w:multiLevelType w:val="singleLevel"/>
    <w:tmpl w:val="537ACA4D"/>
    <w:lvl w:ilvl="0" w:tentative="0">
      <w:start w:val="1"/>
      <w:numFmt w:val="decimal"/>
      <w:lvlText w:val="%1."/>
      <w:lvlJc w:val="left"/>
      <w:pPr>
        <w:ind w:left="425" w:hanging="425"/>
      </w:pPr>
      <w:rPr>
        <w:rFonts w:hint="default"/>
      </w:rPr>
    </w:lvl>
  </w:abstractNum>
  <w:abstractNum w:abstractNumId="3">
    <w:nsid w:val="6A599B28"/>
    <w:multiLevelType w:val="singleLevel"/>
    <w:tmpl w:val="6A599B2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kwNzQ0ZDc2NWVlOTAxZmRlMGEwNTRkN2U4ZGFmOW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607A"/>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2EEF"/>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5BC"/>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9E8"/>
    <w:rsid w:val="00461F80"/>
    <w:rsid w:val="0046240D"/>
    <w:rsid w:val="00462898"/>
    <w:rsid w:val="00462D84"/>
    <w:rsid w:val="00463208"/>
    <w:rsid w:val="00463576"/>
    <w:rsid w:val="004636D6"/>
    <w:rsid w:val="0046399D"/>
    <w:rsid w:val="00463EA4"/>
    <w:rsid w:val="00464C4C"/>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45F"/>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71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35"/>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0E3A"/>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708"/>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761"/>
    <w:rsid w:val="007444E6"/>
    <w:rsid w:val="00744F5C"/>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4C1"/>
    <w:rsid w:val="007C47FF"/>
    <w:rsid w:val="007C60A8"/>
    <w:rsid w:val="007C660F"/>
    <w:rsid w:val="007C6664"/>
    <w:rsid w:val="007C66FF"/>
    <w:rsid w:val="007C69AE"/>
    <w:rsid w:val="007C6FE9"/>
    <w:rsid w:val="007C7688"/>
    <w:rsid w:val="007C76E3"/>
    <w:rsid w:val="007C76F3"/>
    <w:rsid w:val="007C7DD9"/>
    <w:rsid w:val="007D03BC"/>
    <w:rsid w:val="007D0502"/>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DA6"/>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452"/>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B89"/>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085"/>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0AA8"/>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68B"/>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131A"/>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B1A"/>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928"/>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4FC"/>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BBF"/>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42A"/>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13D6B"/>
    <w:rsid w:val="011F6449"/>
    <w:rsid w:val="01236AFB"/>
    <w:rsid w:val="01255120"/>
    <w:rsid w:val="01317F69"/>
    <w:rsid w:val="014F03EF"/>
    <w:rsid w:val="01893391"/>
    <w:rsid w:val="019F7441"/>
    <w:rsid w:val="01B37585"/>
    <w:rsid w:val="01BF5575"/>
    <w:rsid w:val="01C65DA5"/>
    <w:rsid w:val="01D55165"/>
    <w:rsid w:val="01DF6BF8"/>
    <w:rsid w:val="01EC2C57"/>
    <w:rsid w:val="01FD42EF"/>
    <w:rsid w:val="025F0711"/>
    <w:rsid w:val="026B2E25"/>
    <w:rsid w:val="02824D4D"/>
    <w:rsid w:val="02980F02"/>
    <w:rsid w:val="02AC4D64"/>
    <w:rsid w:val="02DC4B10"/>
    <w:rsid w:val="02DD76CE"/>
    <w:rsid w:val="02F36323"/>
    <w:rsid w:val="02F5619C"/>
    <w:rsid w:val="0326446A"/>
    <w:rsid w:val="032D5555"/>
    <w:rsid w:val="036634D2"/>
    <w:rsid w:val="037759DB"/>
    <w:rsid w:val="038F4AD6"/>
    <w:rsid w:val="039C229E"/>
    <w:rsid w:val="03BD0726"/>
    <w:rsid w:val="03CE5F43"/>
    <w:rsid w:val="03DD35E4"/>
    <w:rsid w:val="03F040A4"/>
    <w:rsid w:val="03F2214F"/>
    <w:rsid w:val="03FB340F"/>
    <w:rsid w:val="04076900"/>
    <w:rsid w:val="040D44D9"/>
    <w:rsid w:val="041A5A3B"/>
    <w:rsid w:val="042311BA"/>
    <w:rsid w:val="042B157A"/>
    <w:rsid w:val="043B0DC7"/>
    <w:rsid w:val="048F763B"/>
    <w:rsid w:val="049F330E"/>
    <w:rsid w:val="04AA775C"/>
    <w:rsid w:val="04AF1889"/>
    <w:rsid w:val="04BF5889"/>
    <w:rsid w:val="04C64E6C"/>
    <w:rsid w:val="04F66F48"/>
    <w:rsid w:val="05251E14"/>
    <w:rsid w:val="052C286F"/>
    <w:rsid w:val="05534766"/>
    <w:rsid w:val="05660860"/>
    <w:rsid w:val="05663F59"/>
    <w:rsid w:val="05A16594"/>
    <w:rsid w:val="05A7762D"/>
    <w:rsid w:val="05E05ABA"/>
    <w:rsid w:val="05EC26B0"/>
    <w:rsid w:val="060C2D53"/>
    <w:rsid w:val="060E5941"/>
    <w:rsid w:val="06110FAF"/>
    <w:rsid w:val="061E21DC"/>
    <w:rsid w:val="062C0CFF"/>
    <w:rsid w:val="06493CA7"/>
    <w:rsid w:val="065A6178"/>
    <w:rsid w:val="06691F53"/>
    <w:rsid w:val="066F1CF3"/>
    <w:rsid w:val="068154EF"/>
    <w:rsid w:val="06930BB8"/>
    <w:rsid w:val="06C60C92"/>
    <w:rsid w:val="070F7027"/>
    <w:rsid w:val="071E2D3E"/>
    <w:rsid w:val="07245D42"/>
    <w:rsid w:val="07264C62"/>
    <w:rsid w:val="072C7236"/>
    <w:rsid w:val="0779354C"/>
    <w:rsid w:val="07A46B95"/>
    <w:rsid w:val="07BF1F9A"/>
    <w:rsid w:val="07DE0501"/>
    <w:rsid w:val="07FE491D"/>
    <w:rsid w:val="08061376"/>
    <w:rsid w:val="08452D77"/>
    <w:rsid w:val="086401F8"/>
    <w:rsid w:val="08661343"/>
    <w:rsid w:val="08751CAA"/>
    <w:rsid w:val="087E4C40"/>
    <w:rsid w:val="08923AEE"/>
    <w:rsid w:val="08A871D0"/>
    <w:rsid w:val="08D66AD6"/>
    <w:rsid w:val="08DA33A3"/>
    <w:rsid w:val="08E80F13"/>
    <w:rsid w:val="090E6766"/>
    <w:rsid w:val="09335624"/>
    <w:rsid w:val="0944690F"/>
    <w:rsid w:val="09535675"/>
    <w:rsid w:val="09540C99"/>
    <w:rsid w:val="095F057D"/>
    <w:rsid w:val="09625C76"/>
    <w:rsid w:val="0963712E"/>
    <w:rsid w:val="09642282"/>
    <w:rsid w:val="09733572"/>
    <w:rsid w:val="09772C16"/>
    <w:rsid w:val="098353B5"/>
    <w:rsid w:val="09A92330"/>
    <w:rsid w:val="09B06B87"/>
    <w:rsid w:val="09BB3552"/>
    <w:rsid w:val="09C13146"/>
    <w:rsid w:val="09E04166"/>
    <w:rsid w:val="0A0A75A9"/>
    <w:rsid w:val="0A1C0718"/>
    <w:rsid w:val="0A3E7710"/>
    <w:rsid w:val="0A5B7E63"/>
    <w:rsid w:val="0A703465"/>
    <w:rsid w:val="0AA374A5"/>
    <w:rsid w:val="0AAB7649"/>
    <w:rsid w:val="0ABC5606"/>
    <w:rsid w:val="0AC074BD"/>
    <w:rsid w:val="0AD33E3F"/>
    <w:rsid w:val="0AFD2C6A"/>
    <w:rsid w:val="0B2B77D7"/>
    <w:rsid w:val="0B30404E"/>
    <w:rsid w:val="0B455512"/>
    <w:rsid w:val="0B4C6C14"/>
    <w:rsid w:val="0B4E1717"/>
    <w:rsid w:val="0B547599"/>
    <w:rsid w:val="0B631A88"/>
    <w:rsid w:val="0B683D45"/>
    <w:rsid w:val="0B7373D0"/>
    <w:rsid w:val="0B7F3F11"/>
    <w:rsid w:val="0B884417"/>
    <w:rsid w:val="0B995722"/>
    <w:rsid w:val="0BF6188C"/>
    <w:rsid w:val="0BF73C91"/>
    <w:rsid w:val="0C170175"/>
    <w:rsid w:val="0C571A41"/>
    <w:rsid w:val="0C5C1171"/>
    <w:rsid w:val="0C5E1CBC"/>
    <w:rsid w:val="0C615B50"/>
    <w:rsid w:val="0C74181A"/>
    <w:rsid w:val="0C78199D"/>
    <w:rsid w:val="0C8445DA"/>
    <w:rsid w:val="0C87121B"/>
    <w:rsid w:val="0CA05B8A"/>
    <w:rsid w:val="0CC007F7"/>
    <w:rsid w:val="0CC617AC"/>
    <w:rsid w:val="0CD5038D"/>
    <w:rsid w:val="0CE618DF"/>
    <w:rsid w:val="0CEF79B5"/>
    <w:rsid w:val="0CFE707A"/>
    <w:rsid w:val="0D063BDA"/>
    <w:rsid w:val="0D08375F"/>
    <w:rsid w:val="0D184CFB"/>
    <w:rsid w:val="0D4A7419"/>
    <w:rsid w:val="0D827401"/>
    <w:rsid w:val="0D84094E"/>
    <w:rsid w:val="0D8A00E9"/>
    <w:rsid w:val="0D8D589E"/>
    <w:rsid w:val="0DA01C73"/>
    <w:rsid w:val="0DC343D2"/>
    <w:rsid w:val="0DD22F49"/>
    <w:rsid w:val="0DD63300"/>
    <w:rsid w:val="0DF50604"/>
    <w:rsid w:val="0DF702FE"/>
    <w:rsid w:val="0E060E51"/>
    <w:rsid w:val="0E2F75DE"/>
    <w:rsid w:val="0E5604B2"/>
    <w:rsid w:val="0E6D5D79"/>
    <w:rsid w:val="0E72396F"/>
    <w:rsid w:val="0E755372"/>
    <w:rsid w:val="0E9438E5"/>
    <w:rsid w:val="0E9472EA"/>
    <w:rsid w:val="0E9D0089"/>
    <w:rsid w:val="0EB803EE"/>
    <w:rsid w:val="0EE619A8"/>
    <w:rsid w:val="0EF822C3"/>
    <w:rsid w:val="0EF94D4B"/>
    <w:rsid w:val="0F2A73D0"/>
    <w:rsid w:val="0F3121D5"/>
    <w:rsid w:val="0F373251"/>
    <w:rsid w:val="0F4958DC"/>
    <w:rsid w:val="0F515DF7"/>
    <w:rsid w:val="0F596BA8"/>
    <w:rsid w:val="0F6248D2"/>
    <w:rsid w:val="0F693536"/>
    <w:rsid w:val="0F6F2D42"/>
    <w:rsid w:val="0F73174D"/>
    <w:rsid w:val="0F7B0511"/>
    <w:rsid w:val="0F7B76D9"/>
    <w:rsid w:val="0F816ACD"/>
    <w:rsid w:val="0F9832DB"/>
    <w:rsid w:val="0FBF3FD2"/>
    <w:rsid w:val="0FBF7FF3"/>
    <w:rsid w:val="103203DE"/>
    <w:rsid w:val="10646583"/>
    <w:rsid w:val="10704E41"/>
    <w:rsid w:val="107D4B15"/>
    <w:rsid w:val="108A3C80"/>
    <w:rsid w:val="10C26171"/>
    <w:rsid w:val="10DB3A4D"/>
    <w:rsid w:val="10E5667A"/>
    <w:rsid w:val="10F33360"/>
    <w:rsid w:val="10FC16EA"/>
    <w:rsid w:val="110006C9"/>
    <w:rsid w:val="110022FD"/>
    <w:rsid w:val="110F1D40"/>
    <w:rsid w:val="111807FE"/>
    <w:rsid w:val="11266F33"/>
    <w:rsid w:val="112F3D99"/>
    <w:rsid w:val="113E311D"/>
    <w:rsid w:val="113F222E"/>
    <w:rsid w:val="11643A43"/>
    <w:rsid w:val="1182211B"/>
    <w:rsid w:val="118963A1"/>
    <w:rsid w:val="11C24C0D"/>
    <w:rsid w:val="11C6522A"/>
    <w:rsid w:val="11E104CC"/>
    <w:rsid w:val="11E20309"/>
    <w:rsid w:val="12255233"/>
    <w:rsid w:val="12303805"/>
    <w:rsid w:val="12530213"/>
    <w:rsid w:val="127723A9"/>
    <w:rsid w:val="12862074"/>
    <w:rsid w:val="12883966"/>
    <w:rsid w:val="12946612"/>
    <w:rsid w:val="1299596E"/>
    <w:rsid w:val="129E45B4"/>
    <w:rsid w:val="12D41701"/>
    <w:rsid w:val="12D81596"/>
    <w:rsid w:val="12DE3D56"/>
    <w:rsid w:val="13072A44"/>
    <w:rsid w:val="135F4BE2"/>
    <w:rsid w:val="13923F34"/>
    <w:rsid w:val="139B1A0A"/>
    <w:rsid w:val="139D25C7"/>
    <w:rsid w:val="13BF3CE4"/>
    <w:rsid w:val="13DA769E"/>
    <w:rsid w:val="141008D8"/>
    <w:rsid w:val="14125FE6"/>
    <w:rsid w:val="14432035"/>
    <w:rsid w:val="146D271E"/>
    <w:rsid w:val="148D505F"/>
    <w:rsid w:val="14982588"/>
    <w:rsid w:val="149A5AD9"/>
    <w:rsid w:val="14A7619D"/>
    <w:rsid w:val="150536C3"/>
    <w:rsid w:val="150C1963"/>
    <w:rsid w:val="15103AFE"/>
    <w:rsid w:val="151412DC"/>
    <w:rsid w:val="151447A0"/>
    <w:rsid w:val="152B4878"/>
    <w:rsid w:val="15323E58"/>
    <w:rsid w:val="15405C16"/>
    <w:rsid w:val="154A6454"/>
    <w:rsid w:val="15762120"/>
    <w:rsid w:val="15B4486D"/>
    <w:rsid w:val="15D54F0F"/>
    <w:rsid w:val="15F555B1"/>
    <w:rsid w:val="16100AFF"/>
    <w:rsid w:val="16A8729C"/>
    <w:rsid w:val="16B33777"/>
    <w:rsid w:val="16BC70A7"/>
    <w:rsid w:val="16C6339E"/>
    <w:rsid w:val="16CF328B"/>
    <w:rsid w:val="16D97E36"/>
    <w:rsid w:val="172D0D7B"/>
    <w:rsid w:val="172F2D79"/>
    <w:rsid w:val="17557BEF"/>
    <w:rsid w:val="175B1444"/>
    <w:rsid w:val="179E7A78"/>
    <w:rsid w:val="17B1375A"/>
    <w:rsid w:val="17CB401E"/>
    <w:rsid w:val="17D349C1"/>
    <w:rsid w:val="181066D2"/>
    <w:rsid w:val="1830729E"/>
    <w:rsid w:val="18334B66"/>
    <w:rsid w:val="18354985"/>
    <w:rsid w:val="1870062C"/>
    <w:rsid w:val="18817102"/>
    <w:rsid w:val="18830A15"/>
    <w:rsid w:val="18852B28"/>
    <w:rsid w:val="188B5321"/>
    <w:rsid w:val="193452F4"/>
    <w:rsid w:val="19932372"/>
    <w:rsid w:val="19A20DD5"/>
    <w:rsid w:val="19AE03F1"/>
    <w:rsid w:val="19AF7573"/>
    <w:rsid w:val="1A071A03"/>
    <w:rsid w:val="1A1F16AE"/>
    <w:rsid w:val="1A3B5C77"/>
    <w:rsid w:val="1A442663"/>
    <w:rsid w:val="1A557924"/>
    <w:rsid w:val="1A984BAD"/>
    <w:rsid w:val="1A9D1D74"/>
    <w:rsid w:val="1AB81E7E"/>
    <w:rsid w:val="1AB8220E"/>
    <w:rsid w:val="1AE4166C"/>
    <w:rsid w:val="1AF06CFB"/>
    <w:rsid w:val="1AF11B8D"/>
    <w:rsid w:val="1B11359C"/>
    <w:rsid w:val="1B2A271F"/>
    <w:rsid w:val="1B530544"/>
    <w:rsid w:val="1B713184"/>
    <w:rsid w:val="1BA209CF"/>
    <w:rsid w:val="1BB4777D"/>
    <w:rsid w:val="1BD75AB8"/>
    <w:rsid w:val="1BFB1448"/>
    <w:rsid w:val="1C0459C2"/>
    <w:rsid w:val="1C1B3B4A"/>
    <w:rsid w:val="1C3D55BC"/>
    <w:rsid w:val="1C580A26"/>
    <w:rsid w:val="1C5D6DCA"/>
    <w:rsid w:val="1C7725CD"/>
    <w:rsid w:val="1C88086E"/>
    <w:rsid w:val="1C8C3BB7"/>
    <w:rsid w:val="1D1665A1"/>
    <w:rsid w:val="1D266CE1"/>
    <w:rsid w:val="1D383FD6"/>
    <w:rsid w:val="1D3963AF"/>
    <w:rsid w:val="1D3D0FE5"/>
    <w:rsid w:val="1D6A673C"/>
    <w:rsid w:val="1D882867"/>
    <w:rsid w:val="1D8F5231"/>
    <w:rsid w:val="1D9247AE"/>
    <w:rsid w:val="1D9B5EF2"/>
    <w:rsid w:val="1DB20242"/>
    <w:rsid w:val="1DB567EC"/>
    <w:rsid w:val="1DF51A98"/>
    <w:rsid w:val="1E161AB5"/>
    <w:rsid w:val="1E3D060F"/>
    <w:rsid w:val="1E3F7D2E"/>
    <w:rsid w:val="1E4134E4"/>
    <w:rsid w:val="1E5062B3"/>
    <w:rsid w:val="1E523514"/>
    <w:rsid w:val="1E714A66"/>
    <w:rsid w:val="1E802593"/>
    <w:rsid w:val="1E8B6156"/>
    <w:rsid w:val="1E91399D"/>
    <w:rsid w:val="1EA03724"/>
    <w:rsid w:val="1EA41923"/>
    <w:rsid w:val="1EA703CC"/>
    <w:rsid w:val="1EB47AA8"/>
    <w:rsid w:val="1EB7330C"/>
    <w:rsid w:val="1EB82E15"/>
    <w:rsid w:val="1F0A0FF3"/>
    <w:rsid w:val="1F5771FF"/>
    <w:rsid w:val="1F904124"/>
    <w:rsid w:val="1FAD7B0D"/>
    <w:rsid w:val="1FC73179"/>
    <w:rsid w:val="1FE868A9"/>
    <w:rsid w:val="20034907"/>
    <w:rsid w:val="20173E4B"/>
    <w:rsid w:val="20361CE9"/>
    <w:rsid w:val="204E48BC"/>
    <w:rsid w:val="20622AB2"/>
    <w:rsid w:val="208921B3"/>
    <w:rsid w:val="20973DEB"/>
    <w:rsid w:val="20B26522"/>
    <w:rsid w:val="20B44310"/>
    <w:rsid w:val="20F52909"/>
    <w:rsid w:val="210F3994"/>
    <w:rsid w:val="211116EB"/>
    <w:rsid w:val="211319FF"/>
    <w:rsid w:val="212E76D6"/>
    <w:rsid w:val="2132536A"/>
    <w:rsid w:val="214116C2"/>
    <w:rsid w:val="216133FC"/>
    <w:rsid w:val="217C7701"/>
    <w:rsid w:val="21951A5D"/>
    <w:rsid w:val="21D56769"/>
    <w:rsid w:val="21DC5877"/>
    <w:rsid w:val="21E52EF3"/>
    <w:rsid w:val="21FB5D7B"/>
    <w:rsid w:val="22015E94"/>
    <w:rsid w:val="220B1C3D"/>
    <w:rsid w:val="22186033"/>
    <w:rsid w:val="221D1D20"/>
    <w:rsid w:val="22334A87"/>
    <w:rsid w:val="22407560"/>
    <w:rsid w:val="22651ABC"/>
    <w:rsid w:val="226D42F6"/>
    <w:rsid w:val="22842389"/>
    <w:rsid w:val="22BE6801"/>
    <w:rsid w:val="22CF0F38"/>
    <w:rsid w:val="22E06CA1"/>
    <w:rsid w:val="23047A11"/>
    <w:rsid w:val="233500BF"/>
    <w:rsid w:val="23377FF7"/>
    <w:rsid w:val="233A565A"/>
    <w:rsid w:val="233C211C"/>
    <w:rsid w:val="236B425F"/>
    <w:rsid w:val="23836192"/>
    <w:rsid w:val="23901F29"/>
    <w:rsid w:val="239C0061"/>
    <w:rsid w:val="23B908A4"/>
    <w:rsid w:val="23E95BEF"/>
    <w:rsid w:val="23F65BCE"/>
    <w:rsid w:val="23F70746"/>
    <w:rsid w:val="23FD0064"/>
    <w:rsid w:val="24122282"/>
    <w:rsid w:val="24155071"/>
    <w:rsid w:val="245375B0"/>
    <w:rsid w:val="24642C0A"/>
    <w:rsid w:val="246F652F"/>
    <w:rsid w:val="24997A50"/>
    <w:rsid w:val="24B22173"/>
    <w:rsid w:val="24B93C4E"/>
    <w:rsid w:val="24B95AD9"/>
    <w:rsid w:val="24BE24DA"/>
    <w:rsid w:val="24CF5825"/>
    <w:rsid w:val="24D663E6"/>
    <w:rsid w:val="24D77F2B"/>
    <w:rsid w:val="251931C4"/>
    <w:rsid w:val="254925FD"/>
    <w:rsid w:val="254A703B"/>
    <w:rsid w:val="254D36B0"/>
    <w:rsid w:val="25530643"/>
    <w:rsid w:val="258B00E2"/>
    <w:rsid w:val="25956469"/>
    <w:rsid w:val="25A917A6"/>
    <w:rsid w:val="25B42C20"/>
    <w:rsid w:val="25BE27CC"/>
    <w:rsid w:val="25C96D92"/>
    <w:rsid w:val="25F74A5C"/>
    <w:rsid w:val="260047A6"/>
    <w:rsid w:val="26042723"/>
    <w:rsid w:val="2628662C"/>
    <w:rsid w:val="262D45DE"/>
    <w:rsid w:val="265A4FBD"/>
    <w:rsid w:val="266876DA"/>
    <w:rsid w:val="26773801"/>
    <w:rsid w:val="26871DC8"/>
    <w:rsid w:val="26A06AEA"/>
    <w:rsid w:val="26A53EF9"/>
    <w:rsid w:val="26A86367"/>
    <w:rsid w:val="26A86F43"/>
    <w:rsid w:val="26A94201"/>
    <w:rsid w:val="26AC274F"/>
    <w:rsid w:val="26B15520"/>
    <w:rsid w:val="26C37006"/>
    <w:rsid w:val="26C505E9"/>
    <w:rsid w:val="27044A29"/>
    <w:rsid w:val="270A69E3"/>
    <w:rsid w:val="270D0373"/>
    <w:rsid w:val="271D34C8"/>
    <w:rsid w:val="276142BF"/>
    <w:rsid w:val="276E51C4"/>
    <w:rsid w:val="277255B9"/>
    <w:rsid w:val="27783712"/>
    <w:rsid w:val="27907362"/>
    <w:rsid w:val="28147979"/>
    <w:rsid w:val="28333E1D"/>
    <w:rsid w:val="283D7F45"/>
    <w:rsid w:val="28454BD6"/>
    <w:rsid w:val="28455253"/>
    <w:rsid w:val="28551971"/>
    <w:rsid w:val="285B1C53"/>
    <w:rsid w:val="28750676"/>
    <w:rsid w:val="289F7086"/>
    <w:rsid w:val="28C32028"/>
    <w:rsid w:val="28CC490F"/>
    <w:rsid w:val="28DE40AA"/>
    <w:rsid w:val="28F25980"/>
    <w:rsid w:val="28F6721F"/>
    <w:rsid w:val="29104C1F"/>
    <w:rsid w:val="292250A7"/>
    <w:rsid w:val="29345E77"/>
    <w:rsid w:val="29433BA2"/>
    <w:rsid w:val="294C65AD"/>
    <w:rsid w:val="296A5517"/>
    <w:rsid w:val="29790CBE"/>
    <w:rsid w:val="29806583"/>
    <w:rsid w:val="298B3C4C"/>
    <w:rsid w:val="29F26D24"/>
    <w:rsid w:val="29FD282F"/>
    <w:rsid w:val="2A15033F"/>
    <w:rsid w:val="2A1662C1"/>
    <w:rsid w:val="2A1C7367"/>
    <w:rsid w:val="2A2815FA"/>
    <w:rsid w:val="2A4A162B"/>
    <w:rsid w:val="2A6D6092"/>
    <w:rsid w:val="2A7D76B4"/>
    <w:rsid w:val="2A825080"/>
    <w:rsid w:val="2AAA2063"/>
    <w:rsid w:val="2AD30360"/>
    <w:rsid w:val="2AED0654"/>
    <w:rsid w:val="2B437463"/>
    <w:rsid w:val="2B603075"/>
    <w:rsid w:val="2B7807EE"/>
    <w:rsid w:val="2BA50BF7"/>
    <w:rsid w:val="2BBF00EC"/>
    <w:rsid w:val="2BC37CFD"/>
    <w:rsid w:val="2BD5237F"/>
    <w:rsid w:val="2BE536CE"/>
    <w:rsid w:val="2BE758D9"/>
    <w:rsid w:val="2C09049E"/>
    <w:rsid w:val="2C0A653C"/>
    <w:rsid w:val="2C191F85"/>
    <w:rsid w:val="2C720EE2"/>
    <w:rsid w:val="2C7D3887"/>
    <w:rsid w:val="2C82701B"/>
    <w:rsid w:val="2CC55886"/>
    <w:rsid w:val="2CE82D6F"/>
    <w:rsid w:val="2CF02F61"/>
    <w:rsid w:val="2D037DFD"/>
    <w:rsid w:val="2D2F0F51"/>
    <w:rsid w:val="2D343236"/>
    <w:rsid w:val="2DC84F02"/>
    <w:rsid w:val="2DD15014"/>
    <w:rsid w:val="2DF72DE4"/>
    <w:rsid w:val="2E0220AF"/>
    <w:rsid w:val="2E4B082A"/>
    <w:rsid w:val="2E4B5103"/>
    <w:rsid w:val="2E5D4E86"/>
    <w:rsid w:val="2E5D790B"/>
    <w:rsid w:val="2E8D60F4"/>
    <w:rsid w:val="2E9A3C18"/>
    <w:rsid w:val="2EBB0FEE"/>
    <w:rsid w:val="2EC63002"/>
    <w:rsid w:val="2F0A6B38"/>
    <w:rsid w:val="2F946CCB"/>
    <w:rsid w:val="2FD25781"/>
    <w:rsid w:val="2FDC745C"/>
    <w:rsid w:val="2FFD7934"/>
    <w:rsid w:val="306163E6"/>
    <w:rsid w:val="30733ACD"/>
    <w:rsid w:val="308C3862"/>
    <w:rsid w:val="309379D8"/>
    <w:rsid w:val="30A270F7"/>
    <w:rsid w:val="30DF1478"/>
    <w:rsid w:val="30EC586F"/>
    <w:rsid w:val="30EE16B1"/>
    <w:rsid w:val="31883CF0"/>
    <w:rsid w:val="319C6071"/>
    <w:rsid w:val="31A11ECE"/>
    <w:rsid w:val="31AC537E"/>
    <w:rsid w:val="31E3679B"/>
    <w:rsid w:val="31E732FD"/>
    <w:rsid w:val="31E931F7"/>
    <w:rsid w:val="32517576"/>
    <w:rsid w:val="32BE5C2C"/>
    <w:rsid w:val="32C64E6F"/>
    <w:rsid w:val="32D63C1D"/>
    <w:rsid w:val="32E3401B"/>
    <w:rsid w:val="32FB6478"/>
    <w:rsid w:val="332410BB"/>
    <w:rsid w:val="33263B3F"/>
    <w:rsid w:val="33475064"/>
    <w:rsid w:val="336963EB"/>
    <w:rsid w:val="33756F9C"/>
    <w:rsid w:val="33816EEB"/>
    <w:rsid w:val="33EB55CD"/>
    <w:rsid w:val="33EC4C02"/>
    <w:rsid w:val="33FC5673"/>
    <w:rsid w:val="33FF7F86"/>
    <w:rsid w:val="340D2360"/>
    <w:rsid w:val="3410665D"/>
    <w:rsid w:val="34211214"/>
    <w:rsid w:val="342E63AB"/>
    <w:rsid w:val="34395441"/>
    <w:rsid w:val="349476C3"/>
    <w:rsid w:val="34950E68"/>
    <w:rsid w:val="34986E94"/>
    <w:rsid w:val="34A27892"/>
    <w:rsid w:val="34A55F9D"/>
    <w:rsid w:val="34AF62C9"/>
    <w:rsid w:val="34BB0E6C"/>
    <w:rsid w:val="34CB4388"/>
    <w:rsid w:val="34CE1050"/>
    <w:rsid w:val="34EF55D5"/>
    <w:rsid w:val="34FA6E12"/>
    <w:rsid w:val="35280085"/>
    <w:rsid w:val="354D7158"/>
    <w:rsid w:val="358D5588"/>
    <w:rsid w:val="360246AF"/>
    <w:rsid w:val="363A3B40"/>
    <w:rsid w:val="365302AE"/>
    <w:rsid w:val="36607A0A"/>
    <w:rsid w:val="366E227C"/>
    <w:rsid w:val="366F2E0D"/>
    <w:rsid w:val="367125DA"/>
    <w:rsid w:val="367B6A5C"/>
    <w:rsid w:val="367D5E6C"/>
    <w:rsid w:val="36A52284"/>
    <w:rsid w:val="36A74ADA"/>
    <w:rsid w:val="36AD60D5"/>
    <w:rsid w:val="36B129D7"/>
    <w:rsid w:val="36B224F9"/>
    <w:rsid w:val="36EC0CC9"/>
    <w:rsid w:val="371E0226"/>
    <w:rsid w:val="373F410B"/>
    <w:rsid w:val="37BF7375"/>
    <w:rsid w:val="37EE37B7"/>
    <w:rsid w:val="37EE7094"/>
    <w:rsid w:val="3802360F"/>
    <w:rsid w:val="3809239F"/>
    <w:rsid w:val="380E11B5"/>
    <w:rsid w:val="38296C89"/>
    <w:rsid w:val="383002EB"/>
    <w:rsid w:val="38586797"/>
    <w:rsid w:val="388859B9"/>
    <w:rsid w:val="38BC0149"/>
    <w:rsid w:val="38C56C0D"/>
    <w:rsid w:val="38D87D1C"/>
    <w:rsid w:val="38DF0E61"/>
    <w:rsid w:val="3902576C"/>
    <w:rsid w:val="39403E42"/>
    <w:rsid w:val="39624AD9"/>
    <w:rsid w:val="39636459"/>
    <w:rsid w:val="396B7F6C"/>
    <w:rsid w:val="39B417A9"/>
    <w:rsid w:val="39B45A4A"/>
    <w:rsid w:val="39CF79FB"/>
    <w:rsid w:val="39FC5695"/>
    <w:rsid w:val="3A00388D"/>
    <w:rsid w:val="3A006D8E"/>
    <w:rsid w:val="3A190FBF"/>
    <w:rsid w:val="3A204F94"/>
    <w:rsid w:val="3A3651E5"/>
    <w:rsid w:val="3A744481"/>
    <w:rsid w:val="3A8C7BEF"/>
    <w:rsid w:val="3A906246"/>
    <w:rsid w:val="3A995C5C"/>
    <w:rsid w:val="3AAA1C17"/>
    <w:rsid w:val="3ADF21C2"/>
    <w:rsid w:val="3AE67AB9"/>
    <w:rsid w:val="3B147F21"/>
    <w:rsid w:val="3B2349B7"/>
    <w:rsid w:val="3B616CFF"/>
    <w:rsid w:val="3B6259F6"/>
    <w:rsid w:val="3B862684"/>
    <w:rsid w:val="3B976654"/>
    <w:rsid w:val="3BC01EFC"/>
    <w:rsid w:val="3BCA786A"/>
    <w:rsid w:val="3BD31E2F"/>
    <w:rsid w:val="3BD74C8E"/>
    <w:rsid w:val="3BF15831"/>
    <w:rsid w:val="3C105946"/>
    <w:rsid w:val="3C471448"/>
    <w:rsid w:val="3C5F759A"/>
    <w:rsid w:val="3C6C525A"/>
    <w:rsid w:val="3C7760E1"/>
    <w:rsid w:val="3CAD3311"/>
    <w:rsid w:val="3CCE23CB"/>
    <w:rsid w:val="3CD17D17"/>
    <w:rsid w:val="3D3C7F39"/>
    <w:rsid w:val="3D422F12"/>
    <w:rsid w:val="3D440F09"/>
    <w:rsid w:val="3D4504A0"/>
    <w:rsid w:val="3D460FB8"/>
    <w:rsid w:val="3D8734BB"/>
    <w:rsid w:val="3D9A11D4"/>
    <w:rsid w:val="3DA16D89"/>
    <w:rsid w:val="3DA364BE"/>
    <w:rsid w:val="3DE041CB"/>
    <w:rsid w:val="3E0D48F6"/>
    <w:rsid w:val="3E1868B4"/>
    <w:rsid w:val="3E35446A"/>
    <w:rsid w:val="3E377251"/>
    <w:rsid w:val="3E42664B"/>
    <w:rsid w:val="3E58678A"/>
    <w:rsid w:val="3E5A7334"/>
    <w:rsid w:val="3E7B5D6B"/>
    <w:rsid w:val="3E843E66"/>
    <w:rsid w:val="3E8F51FE"/>
    <w:rsid w:val="3E926F87"/>
    <w:rsid w:val="3E9A59DE"/>
    <w:rsid w:val="3E9B4B1E"/>
    <w:rsid w:val="3EAF4836"/>
    <w:rsid w:val="3EC00860"/>
    <w:rsid w:val="3EC33DFA"/>
    <w:rsid w:val="3F060E16"/>
    <w:rsid w:val="3F1D1096"/>
    <w:rsid w:val="3F2F0234"/>
    <w:rsid w:val="3F6363FE"/>
    <w:rsid w:val="3F746C97"/>
    <w:rsid w:val="3F756B8F"/>
    <w:rsid w:val="3F852C53"/>
    <w:rsid w:val="3F95482B"/>
    <w:rsid w:val="3FA74527"/>
    <w:rsid w:val="4019356B"/>
    <w:rsid w:val="40592157"/>
    <w:rsid w:val="406E1CAE"/>
    <w:rsid w:val="407A64FE"/>
    <w:rsid w:val="40A0133A"/>
    <w:rsid w:val="40C1415E"/>
    <w:rsid w:val="40C31A53"/>
    <w:rsid w:val="40D55514"/>
    <w:rsid w:val="40FF545D"/>
    <w:rsid w:val="410067C8"/>
    <w:rsid w:val="41285F8B"/>
    <w:rsid w:val="4152091B"/>
    <w:rsid w:val="416176D3"/>
    <w:rsid w:val="41827BD7"/>
    <w:rsid w:val="418F0D2A"/>
    <w:rsid w:val="4198795D"/>
    <w:rsid w:val="41D01505"/>
    <w:rsid w:val="41DD5DCE"/>
    <w:rsid w:val="42132D21"/>
    <w:rsid w:val="4246491B"/>
    <w:rsid w:val="42474939"/>
    <w:rsid w:val="424961B9"/>
    <w:rsid w:val="424C3C57"/>
    <w:rsid w:val="42613FF3"/>
    <w:rsid w:val="42660D96"/>
    <w:rsid w:val="428667D2"/>
    <w:rsid w:val="42951DBC"/>
    <w:rsid w:val="42CD1CE0"/>
    <w:rsid w:val="42E1381E"/>
    <w:rsid w:val="42E47279"/>
    <w:rsid w:val="42ED6459"/>
    <w:rsid w:val="42FE58DD"/>
    <w:rsid w:val="43174B3D"/>
    <w:rsid w:val="4339622E"/>
    <w:rsid w:val="434B790E"/>
    <w:rsid w:val="434C75CB"/>
    <w:rsid w:val="4360274F"/>
    <w:rsid w:val="437D25BE"/>
    <w:rsid w:val="43977AB6"/>
    <w:rsid w:val="43A3342B"/>
    <w:rsid w:val="43B243C5"/>
    <w:rsid w:val="43C77C27"/>
    <w:rsid w:val="43DE09EE"/>
    <w:rsid w:val="43EC14F2"/>
    <w:rsid w:val="44002FAD"/>
    <w:rsid w:val="4408510A"/>
    <w:rsid w:val="441A4823"/>
    <w:rsid w:val="441C37AA"/>
    <w:rsid w:val="441F0A36"/>
    <w:rsid w:val="444B3D92"/>
    <w:rsid w:val="449101DD"/>
    <w:rsid w:val="449A2CFC"/>
    <w:rsid w:val="44BA0D71"/>
    <w:rsid w:val="44CD797E"/>
    <w:rsid w:val="44DE1391"/>
    <w:rsid w:val="44E61BF1"/>
    <w:rsid w:val="451B225C"/>
    <w:rsid w:val="451E0AF1"/>
    <w:rsid w:val="452410C9"/>
    <w:rsid w:val="45317DFB"/>
    <w:rsid w:val="456D3CE4"/>
    <w:rsid w:val="4579042C"/>
    <w:rsid w:val="457F0571"/>
    <w:rsid w:val="45851176"/>
    <w:rsid w:val="45C55BC2"/>
    <w:rsid w:val="45C63B94"/>
    <w:rsid w:val="460E7DA5"/>
    <w:rsid w:val="46195EA3"/>
    <w:rsid w:val="46422483"/>
    <w:rsid w:val="464473C4"/>
    <w:rsid w:val="464A0752"/>
    <w:rsid w:val="464E1FF0"/>
    <w:rsid w:val="4659254A"/>
    <w:rsid w:val="465B0637"/>
    <w:rsid w:val="465E3F0D"/>
    <w:rsid w:val="466A16E6"/>
    <w:rsid w:val="46893F2B"/>
    <w:rsid w:val="46911EDD"/>
    <w:rsid w:val="46C444E6"/>
    <w:rsid w:val="46C4686E"/>
    <w:rsid w:val="46FE5BC0"/>
    <w:rsid w:val="47052704"/>
    <w:rsid w:val="477B778F"/>
    <w:rsid w:val="478203EC"/>
    <w:rsid w:val="47956946"/>
    <w:rsid w:val="47B025FA"/>
    <w:rsid w:val="47B6609F"/>
    <w:rsid w:val="47D84C18"/>
    <w:rsid w:val="47F2678E"/>
    <w:rsid w:val="47FD3CCE"/>
    <w:rsid w:val="48007A58"/>
    <w:rsid w:val="480473E7"/>
    <w:rsid w:val="4809698F"/>
    <w:rsid w:val="4811697D"/>
    <w:rsid w:val="487A3E25"/>
    <w:rsid w:val="488B5503"/>
    <w:rsid w:val="48937E21"/>
    <w:rsid w:val="489A0361"/>
    <w:rsid w:val="48A8102D"/>
    <w:rsid w:val="48B94FF3"/>
    <w:rsid w:val="48E37AAB"/>
    <w:rsid w:val="48FD4B4C"/>
    <w:rsid w:val="490A68E0"/>
    <w:rsid w:val="491055FE"/>
    <w:rsid w:val="4916491B"/>
    <w:rsid w:val="492E1B8B"/>
    <w:rsid w:val="492F5D76"/>
    <w:rsid w:val="494D6D05"/>
    <w:rsid w:val="495F5B3E"/>
    <w:rsid w:val="496F77D7"/>
    <w:rsid w:val="497654FD"/>
    <w:rsid w:val="497A30FC"/>
    <w:rsid w:val="49B64211"/>
    <w:rsid w:val="49D41AAC"/>
    <w:rsid w:val="49F6167F"/>
    <w:rsid w:val="4A064FA0"/>
    <w:rsid w:val="4A16615C"/>
    <w:rsid w:val="4A4424D7"/>
    <w:rsid w:val="4A553B36"/>
    <w:rsid w:val="4AA23939"/>
    <w:rsid w:val="4AB82D0F"/>
    <w:rsid w:val="4AEB7664"/>
    <w:rsid w:val="4AFD7C19"/>
    <w:rsid w:val="4B0567D1"/>
    <w:rsid w:val="4B236AAE"/>
    <w:rsid w:val="4B2F799D"/>
    <w:rsid w:val="4B4C1113"/>
    <w:rsid w:val="4B5F2907"/>
    <w:rsid w:val="4B707271"/>
    <w:rsid w:val="4B9739F7"/>
    <w:rsid w:val="4BB01057"/>
    <w:rsid w:val="4BE43BF5"/>
    <w:rsid w:val="4BEE2503"/>
    <w:rsid w:val="4BF727EA"/>
    <w:rsid w:val="4C150274"/>
    <w:rsid w:val="4C245A30"/>
    <w:rsid w:val="4C6836E0"/>
    <w:rsid w:val="4C6D0CF6"/>
    <w:rsid w:val="4CB6685F"/>
    <w:rsid w:val="4CC367FE"/>
    <w:rsid w:val="4CE40929"/>
    <w:rsid w:val="4D077F3C"/>
    <w:rsid w:val="4D123355"/>
    <w:rsid w:val="4D2A3B31"/>
    <w:rsid w:val="4D312C52"/>
    <w:rsid w:val="4D330192"/>
    <w:rsid w:val="4D834C75"/>
    <w:rsid w:val="4D905305"/>
    <w:rsid w:val="4D9329DF"/>
    <w:rsid w:val="4D964A72"/>
    <w:rsid w:val="4D9C1254"/>
    <w:rsid w:val="4D9E5B15"/>
    <w:rsid w:val="4DA150FB"/>
    <w:rsid w:val="4DAE2411"/>
    <w:rsid w:val="4DC112FA"/>
    <w:rsid w:val="4DDE0552"/>
    <w:rsid w:val="4DE022DF"/>
    <w:rsid w:val="4E1458CD"/>
    <w:rsid w:val="4E201A58"/>
    <w:rsid w:val="4E3715BC"/>
    <w:rsid w:val="4E793892"/>
    <w:rsid w:val="4E800872"/>
    <w:rsid w:val="4E8A3DE2"/>
    <w:rsid w:val="4EC569ED"/>
    <w:rsid w:val="4ECB5AAD"/>
    <w:rsid w:val="4ED50EA1"/>
    <w:rsid w:val="4EEC050C"/>
    <w:rsid w:val="4F104EC3"/>
    <w:rsid w:val="4F47354A"/>
    <w:rsid w:val="4F667847"/>
    <w:rsid w:val="4F836998"/>
    <w:rsid w:val="4F911C54"/>
    <w:rsid w:val="4FCD7C33"/>
    <w:rsid w:val="4FE625E0"/>
    <w:rsid w:val="5021480F"/>
    <w:rsid w:val="505C301C"/>
    <w:rsid w:val="505D502C"/>
    <w:rsid w:val="50962ECB"/>
    <w:rsid w:val="50A42E38"/>
    <w:rsid w:val="50A4577F"/>
    <w:rsid w:val="50B73D1F"/>
    <w:rsid w:val="50BD5BC9"/>
    <w:rsid w:val="50C11EEE"/>
    <w:rsid w:val="50E97CFC"/>
    <w:rsid w:val="50FA4028"/>
    <w:rsid w:val="510065DD"/>
    <w:rsid w:val="510D65B7"/>
    <w:rsid w:val="511157AB"/>
    <w:rsid w:val="5142540C"/>
    <w:rsid w:val="51491D32"/>
    <w:rsid w:val="518832C8"/>
    <w:rsid w:val="519531C9"/>
    <w:rsid w:val="519D3C50"/>
    <w:rsid w:val="51A0432A"/>
    <w:rsid w:val="51A86090"/>
    <w:rsid w:val="51B7396D"/>
    <w:rsid w:val="522E4CC3"/>
    <w:rsid w:val="5244713B"/>
    <w:rsid w:val="52552958"/>
    <w:rsid w:val="52615633"/>
    <w:rsid w:val="526F4DE4"/>
    <w:rsid w:val="5287592D"/>
    <w:rsid w:val="52977FD4"/>
    <w:rsid w:val="529F2E40"/>
    <w:rsid w:val="52A25790"/>
    <w:rsid w:val="52A96B6F"/>
    <w:rsid w:val="52B45975"/>
    <w:rsid w:val="52D7511B"/>
    <w:rsid w:val="52D94AA4"/>
    <w:rsid w:val="52E15F9A"/>
    <w:rsid w:val="52EA3A62"/>
    <w:rsid w:val="52F50BB8"/>
    <w:rsid w:val="52F61A46"/>
    <w:rsid w:val="53097272"/>
    <w:rsid w:val="530F48B5"/>
    <w:rsid w:val="53376E9E"/>
    <w:rsid w:val="534C1537"/>
    <w:rsid w:val="53544462"/>
    <w:rsid w:val="53754537"/>
    <w:rsid w:val="53780771"/>
    <w:rsid w:val="538437E9"/>
    <w:rsid w:val="5397158E"/>
    <w:rsid w:val="53E325D5"/>
    <w:rsid w:val="54013861"/>
    <w:rsid w:val="54487265"/>
    <w:rsid w:val="544D6070"/>
    <w:rsid w:val="54520EFE"/>
    <w:rsid w:val="545963E7"/>
    <w:rsid w:val="54605E1E"/>
    <w:rsid w:val="549556E2"/>
    <w:rsid w:val="54B3506A"/>
    <w:rsid w:val="54C55B73"/>
    <w:rsid w:val="54CA0D16"/>
    <w:rsid w:val="54DD4057"/>
    <w:rsid w:val="54E7490F"/>
    <w:rsid w:val="54F75F49"/>
    <w:rsid w:val="550764A4"/>
    <w:rsid w:val="550B2BF6"/>
    <w:rsid w:val="55191A1B"/>
    <w:rsid w:val="551A3A79"/>
    <w:rsid w:val="55214EB5"/>
    <w:rsid w:val="55364EFD"/>
    <w:rsid w:val="553C572D"/>
    <w:rsid w:val="555D4828"/>
    <w:rsid w:val="55664241"/>
    <w:rsid w:val="557A4C8B"/>
    <w:rsid w:val="558931E1"/>
    <w:rsid w:val="55923347"/>
    <w:rsid w:val="55925180"/>
    <w:rsid w:val="55983B1B"/>
    <w:rsid w:val="559B68D4"/>
    <w:rsid w:val="55A8376B"/>
    <w:rsid w:val="55D122F6"/>
    <w:rsid w:val="55DC29B6"/>
    <w:rsid w:val="55DD4241"/>
    <w:rsid w:val="55EE10FA"/>
    <w:rsid w:val="55F935FB"/>
    <w:rsid w:val="562C39D0"/>
    <w:rsid w:val="566B6D1E"/>
    <w:rsid w:val="56946307"/>
    <w:rsid w:val="56B71078"/>
    <w:rsid w:val="57032A2C"/>
    <w:rsid w:val="570F5219"/>
    <w:rsid w:val="572E78E5"/>
    <w:rsid w:val="574975DB"/>
    <w:rsid w:val="575D12B5"/>
    <w:rsid w:val="57610A87"/>
    <w:rsid w:val="57684EDC"/>
    <w:rsid w:val="57715B3F"/>
    <w:rsid w:val="577B1140"/>
    <w:rsid w:val="577B7F21"/>
    <w:rsid w:val="577F181B"/>
    <w:rsid w:val="57921984"/>
    <w:rsid w:val="579737F0"/>
    <w:rsid w:val="57AB7B30"/>
    <w:rsid w:val="57AC43C7"/>
    <w:rsid w:val="57AF5251"/>
    <w:rsid w:val="57B26373"/>
    <w:rsid w:val="57B63F04"/>
    <w:rsid w:val="57CD20C2"/>
    <w:rsid w:val="57D675AB"/>
    <w:rsid w:val="57D95FDD"/>
    <w:rsid w:val="58096624"/>
    <w:rsid w:val="582C1122"/>
    <w:rsid w:val="58596FB4"/>
    <w:rsid w:val="585F62DF"/>
    <w:rsid w:val="58763360"/>
    <w:rsid w:val="58917D2F"/>
    <w:rsid w:val="5894085C"/>
    <w:rsid w:val="58975A79"/>
    <w:rsid w:val="58A504A8"/>
    <w:rsid w:val="58AE4F0C"/>
    <w:rsid w:val="58B85899"/>
    <w:rsid w:val="58C41652"/>
    <w:rsid w:val="58CE0D6F"/>
    <w:rsid w:val="58CF5213"/>
    <w:rsid w:val="58D00680"/>
    <w:rsid w:val="58E363A9"/>
    <w:rsid w:val="591E264C"/>
    <w:rsid w:val="595E1678"/>
    <w:rsid w:val="596D5BD4"/>
    <w:rsid w:val="597E3DD8"/>
    <w:rsid w:val="599B0F4B"/>
    <w:rsid w:val="599E5B95"/>
    <w:rsid w:val="59C6644B"/>
    <w:rsid w:val="59F80043"/>
    <w:rsid w:val="5A09252F"/>
    <w:rsid w:val="5A0B2778"/>
    <w:rsid w:val="5A2A7C7B"/>
    <w:rsid w:val="5A3E2560"/>
    <w:rsid w:val="5A5D3B6E"/>
    <w:rsid w:val="5A637A76"/>
    <w:rsid w:val="5A6D33BA"/>
    <w:rsid w:val="5A7871E4"/>
    <w:rsid w:val="5A7914CD"/>
    <w:rsid w:val="5A792B1F"/>
    <w:rsid w:val="5A874767"/>
    <w:rsid w:val="5A93401E"/>
    <w:rsid w:val="5AA13C8E"/>
    <w:rsid w:val="5AA85BE2"/>
    <w:rsid w:val="5AAD6F28"/>
    <w:rsid w:val="5ABE2749"/>
    <w:rsid w:val="5AD63A24"/>
    <w:rsid w:val="5AE51A4D"/>
    <w:rsid w:val="5B1A029B"/>
    <w:rsid w:val="5B2E1A1D"/>
    <w:rsid w:val="5B3061CC"/>
    <w:rsid w:val="5B3D63BA"/>
    <w:rsid w:val="5B821789"/>
    <w:rsid w:val="5B843A1C"/>
    <w:rsid w:val="5B873E3F"/>
    <w:rsid w:val="5BF803A6"/>
    <w:rsid w:val="5C02690E"/>
    <w:rsid w:val="5C196DA7"/>
    <w:rsid w:val="5C2A048C"/>
    <w:rsid w:val="5C4D2220"/>
    <w:rsid w:val="5C583771"/>
    <w:rsid w:val="5C6D406A"/>
    <w:rsid w:val="5C765E63"/>
    <w:rsid w:val="5C80234E"/>
    <w:rsid w:val="5C8A680C"/>
    <w:rsid w:val="5CA109A2"/>
    <w:rsid w:val="5CAA564F"/>
    <w:rsid w:val="5CE51D10"/>
    <w:rsid w:val="5CFD1E17"/>
    <w:rsid w:val="5D0C4701"/>
    <w:rsid w:val="5D0F0395"/>
    <w:rsid w:val="5D1A006B"/>
    <w:rsid w:val="5D221076"/>
    <w:rsid w:val="5D397964"/>
    <w:rsid w:val="5D4C2378"/>
    <w:rsid w:val="5D5A391C"/>
    <w:rsid w:val="5D5F10C0"/>
    <w:rsid w:val="5D6D01BF"/>
    <w:rsid w:val="5D790E2F"/>
    <w:rsid w:val="5D891B7B"/>
    <w:rsid w:val="5DA402F0"/>
    <w:rsid w:val="5DAD38EE"/>
    <w:rsid w:val="5DBA5079"/>
    <w:rsid w:val="5DC76063"/>
    <w:rsid w:val="5DE66666"/>
    <w:rsid w:val="5DF70EE1"/>
    <w:rsid w:val="5E006862"/>
    <w:rsid w:val="5E0207B9"/>
    <w:rsid w:val="5E1834A1"/>
    <w:rsid w:val="5E261785"/>
    <w:rsid w:val="5E3F0AE5"/>
    <w:rsid w:val="5E4A7017"/>
    <w:rsid w:val="5E552BBA"/>
    <w:rsid w:val="5E611C10"/>
    <w:rsid w:val="5E7A0F3F"/>
    <w:rsid w:val="5EF332DD"/>
    <w:rsid w:val="5EF527CE"/>
    <w:rsid w:val="5EFC7377"/>
    <w:rsid w:val="5F06174D"/>
    <w:rsid w:val="5F3A3602"/>
    <w:rsid w:val="5F45733B"/>
    <w:rsid w:val="5F6277C6"/>
    <w:rsid w:val="5F6D0B1D"/>
    <w:rsid w:val="5F8D0B82"/>
    <w:rsid w:val="5FCC5339"/>
    <w:rsid w:val="5FE34A5B"/>
    <w:rsid w:val="5FFE1E36"/>
    <w:rsid w:val="601B1160"/>
    <w:rsid w:val="60232584"/>
    <w:rsid w:val="60465054"/>
    <w:rsid w:val="604714C1"/>
    <w:rsid w:val="60600E46"/>
    <w:rsid w:val="607330CE"/>
    <w:rsid w:val="607466A0"/>
    <w:rsid w:val="60825176"/>
    <w:rsid w:val="609F2AC4"/>
    <w:rsid w:val="60DD2680"/>
    <w:rsid w:val="60FA2EE8"/>
    <w:rsid w:val="61054A27"/>
    <w:rsid w:val="610A52BC"/>
    <w:rsid w:val="610D059B"/>
    <w:rsid w:val="610E4C57"/>
    <w:rsid w:val="610F77E0"/>
    <w:rsid w:val="611D2366"/>
    <w:rsid w:val="61421856"/>
    <w:rsid w:val="615227C4"/>
    <w:rsid w:val="61654E3F"/>
    <w:rsid w:val="616A14E3"/>
    <w:rsid w:val="616C7742"/>
    <w:rsid w:val="617D1968"/>
    <w:rsid w:val="6182292A"/>
    <w:rsid w:val="618A738C"/>
    <w:rsid w:val="619C04EF"/>
    <w:rsid w:val="619F7F92"/>
    <w:rsid w:val="61F94C26"/>
    <w:rsid w:val="62000E56"/>
    <w:rsid w:val="624B1296"/>
    <w:rsid w:val="624F3E49"/>
    <w:rsid w:val="62632286"/>
    <w:rsid w:val="62710E5F"/>
    <w:rsid w:val="62885958"/>
    <w:rsid w:val="628D38D1"/>
    <w:rsid w:val="62A579B9"/>
    <w:rsid w:val="62CF72F8"/>
    <w:rsid w:val="62F40B65"/>
    <w:rsid w:val="62FC2CFE"/>
    <w:rsid w:val="63024505"/>
    <w:rsid w:val="63454CBA"/>
    <w:rsid w:val="634E24E0"/>
    <w:rsid w:val="635600A5"/>
    <w:rsid w:val="635B1DB5"/>
    <w:rsid w:val="63711FED"/>
    <w:rsid w:val="637559D7"/>
    <w:rsid w:val="63880DDC"/>
    <w:rsid w:val="638D750D"/>
    <w:rsid w:val="63AC6CC0"/>
    <w:rsid w:val="63EB4ECB"/>
    <w:rsid w:val="63F23480"/>
    <w:rsid w:val="64055776"/>
    <w:rsid w:val="641F5B67"/>
    <w:rsid w:val="64240056"/>
    <w:rsid w:val="64341C13"/>
    <w:rsid w:val="643E143A"/>
    <w:rsid w:val="64491666"/>
    <w:rsid w:val="64495E0B"/>
    <w:rsid w:val="644F5459"/>
    <w:rsid w:val="64601415"/>
    <w:rsid w:val="64691305"/>
    <w:rsid w:val="648B6EEF"/>
    <w:rsid w:val="64B96711"/>
    <w:rsid w:val="64C158BF"/>
    <w:rsid w:val="64CE2EAA"/>
    <w:rsid w:val="64CF0348"/>
    <w:rsid w:val="653C3090"/>
    <w:rsid w:val="65401246"/>
    <w:rsid w:val="65562818"/>
    <w:rsid w:val="65854376"/>
    <w:rsid w:val="658767BE"/>
    <w:rsid w:val="65892531"/>
    <w:rsid w:val="65BB267B"/>
    <w:rsid w:val="65C634F9"/>
    <w:rsid w:val="65CC62CA"/>
    <w:rsid w:val="65D877BB"/>
    <w:rsid w:val="66195831"/>
    <w:rsid w:val="662E75B1"/>
    <w:rsid w:val="66342C2E"/>
    <w:rsid w:val="663E784C"/>
    <w:rsid w:val="664B7EA3"/>
    <w:rsid w:val="667A4D80"/>
    <w:rsid w:val="668A0D6B"/>
    <w:rsid w:val="668B6A45"/>
    <w:rsid w:val="66D863DF"/>
    <w:rsid w:val="66E33128"/>
    <w:rsid w:val="66E83943"/>
    <w:rsid w:val="67112C4A"/>
    <w:rsid w:val="6727446C"/>
    <w:rsid w:val="672F3F24"/>
    <w:rsid w:val="673E055F"/>
    <w:rsid w:val="67551CE3"/>
    <w:rsid w:val="676D546F"/>
    <w:rsid w:val="67A22552"/>
    <w:rsid w:val="67AA4E8D"/>
    <w:rsid w:val="67B22DCC"/>
    <w:rsid w:val="67BE71AA"/>
    <w:rsid w:val="67CF7323"/>
    <w:rsid w:val="67D90273"/>
    <w:rsid w:val="67D92476"/>
    <w:rsid w:val="67DE5875"/>
    <w:rsid w:val="67E1286C"/>
    <w:rsid w:val="67E55852"/>
    <w:rsid w:val="67EB1AB4"/>
    <w:rsid w:val="67FA1285"/>
    <w:rsid w:val="68203D1B"/>
    <w:rsid w:val="68551F4F"/>
    <w:rsid w:val="687C10C9"/>
    <w:rsid w:val="68840C16"/>
    <w:rsid w:val="68876EFB"/>
    <w:rsid w:val="68884654"/>
    <w:rsid w:val="689F444F"/>
    <w:rsid w:val="68B96DBB"/>
    <w:rsid w:val="68CA2805"/>
    <w:rsid w:val="68E937A3"/>
    <w:rsid w:val="68F264B9"/>
    <w:rsid w:val="68FB149A"/>
    <w:rsid w:val="691B3DD3"/>
    <w:rsid w:val="692E2278"/>
    <w:rsid w:val="6939050C"/>
    <w:rsid w:val="693E15D3"/>
    <w:rsid w:val="694A1976"/>
    <w:rsid w:val="69627681"/>
    <w:rsid w:val="6977531D"/>
    <w:rsid w:val="69CC2BFF"/>
    <w:rsid w:val="69F148BD"/>
    <w:rsid w:val="69F35EE6"/>
    <w:rsid w:val="69FA5E67"/>
    <w:rsid w:val="69FD55B8"/>
    <w:rsid w:val="6A0B1C62"/>
    <w:rsid w:val="6A2406C8"/>
    <w:rsid w:val="6A2627B9"/>
    <w:rsid w:val="6A2F6D4A"/>
    <w:rsid w:val="6A60030A"/>
    <w:rsid w:val="6A9A1ADF"/>
    <w:rsid w:val="6ADE0BD1"/>
    <w:rsid w:val="6ADF7409"/>
    <w:rsid w:val="6AE81378"/>
    <w:rsid w:val="6AE96859"/>
    <w:rsid w:val="6AEB57B0"/>
    <w:rsid w:val="6AFF774B"/>
    <w:rsid w:val="6B147746"/>
    <w:rsid w:val="6B24787C"/>
    <w:rsid w:val="6B4B135A"/>
    <w:rsid w:val="6B573233"/>
    <w:rsid w:val="6B5B6274"/>
    <w:rsid w:val="6B6356B9"/>
    <w:rsid w:val="6B935D53"/>
    <w:rsid w:val="6B9D4CFC"/>
    <w:rsid w:val="6BD20370"/>
    <w:rsid w:val="6C1316F7"/>
    <w:rsid w:val="6C196F71"/>
    <w:rsid w:val="6C226FCB"/>
    <w:rsid w:val="6C31226F"/>
    <w:rsid w:val="6C517EC7"/>
    <w:rsid w:val="6C53505A"/>
    <w:rsid w:val="6C552F0B"/>
    <w:rsid w:val="6C8C67B7"/>
    <w:rsid w:val="6C9D744C"/>
    <w:rsid w:val="6CDC0A28"/>
    <w:rsid w:val="6D167928"/>
    <w:rsid w:val="6D26299B"/>
    <w:rsid w:val="6D4772EC"/>
    <w:rsid w:val="6D521531"/>
    <w:rsid w:val="6D9078AF"/>
    <w:rsid w:val="6DAA3FEF"/>
    <w:rsid w:val="6DC0172B"/>
    <w:rsid w:val="6DC903DE"/>
    <w:rsid w:val="6DCB690C"/>
    <w:rsid w:val="6DD41A5B"/>
    <w:rsid w:val="6DDB7D5E"/>
    <w:rsid w:val="6DF43C2E"/>
    <w:rsid w:val="6DF51CA3"/>
    <w:rsid w:val="6E0E0133"/>
    <w:rsid w:val="6E3155F7"/>
    <w:rsid w:val="6E6F0A62"/>
    <w:rsid w:val="6E8335BD"/>
    <w:rsid w:val="6E8E12EF"/>
    <w:rsid w:val="6E972936"/>
    <w:rsid w:val="6EC95E08"/>
    <w:rsid w:val="6ED446C5"/>
    <w:rsid w:val="6F2A7D94"/>
    <w:rsid w:val="6F5C0EDE"/>
    <w:rsid w:val="6F8331F1"/>
    <w:rsid w:val="6FAE1A09"/>
    <w:rsid w:val="6FBC59BA"/>
    <w:rsid w:val="6FD75BF8"/>
    <w:rsid w:val="707324D0"/>
    <w:rsid w:val="707723D0"/>
    <w:rsid w:val="70862203"/>
    <w:rsid w:val="70D37F0E"/>
    <w:rsid w:val="70F5661B"/>
    <w:rsid w:val="71360107"/>
    <w:rsid w:val="713B688E"/>
    <w:rsid w:val="713E0B8F"/>
    <w:rsid w:val="714459EF"/>
    <w:rsid w:val="7148279F"/>
    <w:rsid w:val="714D2D21"/>
    <w:rsid w:val="71841E1F"/>
    <w:rsid w:val="71D43752"/>
    <w:rsid w:val="71E96DDC"/>
    <w:rsid w:val="71F1796A"/>
    <w:rsid w:val="71FB63D5"/>
    <w:rsid w:val="720C351F"/>
    <w:rsid w:val="72154626"/>
    <w:rsid w:val="721E387A"/>
    <w:rsid w:val="72262B5D"/>
    <w:rsid w:val="72283FF7"/>
    <w:rsid w:val="722E7212"/>
    <w:rsid w:val="723A0474"/>
    <w:rsid w:val="725923E4"/>
    <w:rsid w:val="72864BF7"/>
    <w:rsid w:val="729023FC"/>
    <w:rsid w:val="729C763A"/>
    <w:rsid w:val="729E5013"/>
    <w:rsid w:val="73142912"/>
    <w:rsid w:val="731534B1"/>
    <w:rsid w:val="739D1E38"/>
    <w:rsid w:val="73C0646E"/>
    <w:rsid w:val="73E92965"/>
    <w:rsid w:val="742222F5"/>
    <w:rsid w:val="74476126"/>
    <w:rsid w:val="74647B0B"/>
    <w:rsid w:val="74706664"/>
    <w:rsid w:val="74753C1E"/>
    <w:rsid w:val="74791AE3"/>
    <w:rsid w:val="747F3682"/>
    <w:rsid w:val="748E2A25"/>
    <w:rsid w:val="749A44CF"/>
    <w:rsid w:val="749C4185"/>
    <w:rsid w:val="74E2079B"/>
    <w:rsid w:val="74E76FE8"/>
    <w:rsid w:val="75067759"/>
    <w:rsid w:val="752E6DCD"/>
    <w:rsid w:val="7551380D"/>
    <w:rsid w:val="755A7918"/>
    <w:rsid w:val="755D394A"/>
    <w:rsid w:val="75600BE5"/>
    <w:rsid w:val="75630CCD"/>
    <w:rsid w:val="7564475C"/>
    <w:rsid w:val="75774810"/>
    <w:rsid w:val="7583797F"/>
    <w:rsid w:val="759F4AB9"/>
    <w:rsid w:val="75D20F1D"/>
    <w:rsid w:val="75DA2C18"/>
    <w:rsid w:val="75DF48DB"/>
    <w:rsid w:val="75F54412"/>
    <w:rsid w:val="761D08E0"/>
    <w:rsid w:val="76227771"/>
    <w:rsid w:val="7633643A"/>
    <w:rsid w:val="764327B9"/>
    <w:rsid w:val="765D347C"/>
    <w:rsid w:val="76654669"/>
    <w:rsid w:val="76766876"/>
    <w:rsid w:val="76826699"/>
    <w:rsid w:val="768C2661"/>
    <w:rsid w:val="769351CE"/>
    <w:rsid w:val="76C87133"/>
    <w:rsid w:val="76CD08D5"/>
    <w:rsid w:val="76DB4B92"/>
    <w:rsid w:val="77052AA4"/>
    <w:rsid w:val="77136511"/>
    <w:rsid w:val="77157E52"/>
    <w:rsid w:val="77340A39"/>
    <w:rsid w:val="77351FD0"/>
    <w:rsid w:val="77472422"/>
    <w:rsid w:val="775766A7"/>
    <w:rsid w:val="776337C2"/>
    <w:rsid w:val="777727FC"/>
    <w:rsid w:val="777D1965"/>
    <w:rsid w:val="777F31F2"/>
    <w:rsid w:val="778E5E41"/>
    <w:rsid w:val="779720EC"/>
    <w:rsid w:val="77D1700D"/>
    <w:rsid w:val="77EC04CC"/>
    <w:rsid w:val="77EE6736"/>
    <w:rsid w:val="780454B4"/>
    <w:rsid w:val="786A6A9A"/>
    <w:rsid w:val="78775729"/>
    <w:rsid w:val="78A42DB0"/>
    <w:rsid w:val="78A656AB"/>
    <w:rsid w:val="78B2245C"/>
    <w:rsid w:val="78B96EEE"/>
    <w:rsid w:val="78E172CC"/>
    <w:rsid w:val="78EA1D1F"/>
    <w:rsid w:val="79036DC3"/>
    <w:rsid w:val="7904172F"/>
    <w:rsid w:val="790F7E27"/>
    <w:rsid w:val="792A231A"/>
    <w:rsid w:val="79305402"/>
    <w:rsid w:val="79314B25"/>
    <w:rsid w:val="79316829"/>
    <w:rsid w:val="79424897"/>
    <w:rsid w:val="794830FC"/>
    <w:rsid w:val="79631D75"/>
    <w:rsid w:val="797E66A9"/>
    <w:rsid w:val="798518A4"/>
    <w:rsid w:val="798D7F66"/>
    <w:rsid w:val="79A97383"/>
    <w:rsid w:val="79E27E8B"/>
    <w:rsid w:val="79F850CE"/>
    <w:rsid w:val="79FD003C"/>
    <w:rsid w:val="79FD443C"/>
    <w:rsid w:val="7A1D1975"/>
    <w:rsid w:val="7A3E5150"/>
    <w:rsid w:val="7A400926"/>
    <w:rsid w:val="7A4670D6"/>
    <w:rsid w:val="7A534B63"/>
    <w:rsid w:val="7A5E70D0"/>
    <w:rsid w:val="7A615382"/>
    <w:rsid w:val="7A67303B"/>
    <w:rsid w:val="7A9279F6"/>
    <w:rsid w:val="7AA1503F"/>
    <w:rsid w:val="7AAB1D04"/>
    <w:rsid w:val="7ABA4368"/>
    <w:rsid w:val="7AD05746"/>
    <w:rsid w:val="7B0326A2"/>
    <w:rsid w:val="7B164183"/>
    <w:rsid w:val="7B257FFD"/>
    <w:rsid w:val="7B343476"/>
    <w:rsid w:val="7B51204A"/>
    <w:rsid w:val="7B5A2978"/>
    <w:rsid w:val="7B5A7E4C"/>
    <w:rsid w:val="7B667AF9"/>
    <w:rsid w:val="7B7468F8"/>
    <w:rsid w:val="7B9250B1"/>
    <w:rsid w:val="7BC34A15"/>
    <w:rsid w:val="7BEE0103"/>
    <w:rsid w:val="7C032906"/>
    <w:rsid w:val="7C0A0FE4"/>
    <w:rsid w:val="7C254906"/>
    <w:rsid w:val="7C590818"/>
    <w:rsid w:val="7C7C10F6"/>
    <w:rsid w:val="7C853BEA"/>
    <w:rsid w:val="7C881368"/>
    <w:rsid w:val="7CA95FA6"/>
    <w:rsid w:val="7CD564F7"/>
    <w:rsid w:val="7CDE33C7"/>
    <w:rsid w:val="7CE27788"/>
    <w:rsid w:val="7D0C32F1"/>
    <w:rsid w:val="7D0F408D"/>
    <w:rsid w:val="7D491C6C"/>
    <w:rsid w:val="7D5429C0"/>
    <w:rsid w:val="7D624406"/>
    <w:rsid w:val="7D6E6D43"/>
    <w:rsid w:val="7DB57A34"/>
    <w:rsid w:val="7DBB54B6"/>
    <w:rsid w:val="7DE60973"/>
    <w:rsid w:val="7DEF0916"/>
    <w:rsid w:val="7DFF25D4"/>
    <w:rsid w:val="7E1E5218"/>
    <w:rsid w:val="7E693D3E"/>
    <w:rsid w:val="7E6C679B"/>
    <w:rsid w:val="7E802F68"/>
    <w:rsid w:val="7E9A4E1F"/>
    <w:rsid w:val="7EA7723A"/>
    <w:rsid w:val="7EF56FBB"/>
    <w:rsid w:val="7F0768EB"/>
    <w:rsid w:val="7F122F1E"/>
    <w:rsid w:val="7F143BEC"/>
    <w:rsid w:val="7F362021"/>
    <w:rsid w:val="7F412978"/>
    <w:rsid w:val="7F715AF2"/>
    <w:rsid w:val="7F7B47F9"/>
    <w:rsid w:val="7F886E69"/>
    <w:rsid w:val="7FA91A6A"/>
    <w:rsid w:val="BB7FA927"/>
    <w:rsid w:val="EFF72F48"/>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5"/>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link w:val="119"/>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30"/>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9"/>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6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4"/>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4"/>
    <w:autoRedefine/>
    <w:qFormat/>
    <w:uiPriority w:val="0"/>
    <w:pPr>
      <w:ind w:firstLine="420"/>
    </w:pPr>
    <w:rPr>
      <w:rFonts w:hAnsi="Calibri" w:cs="Times New Roman"/>
      <w:snapToGrid/>
      <w:szCs w:val="20"/>
    </w:rPr>
  </w:style>
  <w:style w:type="paragraph" w:styleId="3">
    <w:name w:val="Body Text"/>
    <w:basedOn w:val="1"/>
    <w:next w:val="2"/>
    <w:link w:val="433"/>
    <w:autoRedefine/>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autoRedefine/>
    <w:qFormat/>
    <w:uiPriority w:val="0"/>
    <w:pPr>
      <w:ind w:left="2100" w:leftChars="1000"/>
    </w:p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Normal Indent"/>
    <w:basedOn w:val="1"/>
    <w:link w:val="195"/>
    <w:autoRedefine/>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31"/>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4"/>
    <w:autoRedefine/>
    <w:qFormat/>
    <w:uiPriority w:val="0"/>
    <w:pPr>
      <w:shd w:val="clear" w:color="auto" w:fill="000080"/>
    </w:pPr>
  </w:style>
  <w:style w:type="paragraph" w:styleId="22">
    <w:name w:val="annotation text"/>
    <w:basedOn w:val="1"/>
    <w:link w:val="347"/>
    <w:autoRedefine/>
    <w:qFormat/>
    <w:uiPriority w:val="99"/>
    <w:pPr>
      <w:jc w:val="left"/>
    </w:pPr>
  </w:style>
  <w:style w:type="paragraph" w:styleId="23">
    <w:name w:val="Salutation"/>
    <w:basedOn w:val="1"/>
    <w:next w:val="1"/>
    <w:link w:val="300"/>
    <w:autoRedefine/>
    <w:qFormat/>
    <w:uiPriority w:val="0"/>
    <w:rPr>
      <w:rFonts w:ascii="仿宋_GB2312" w:eastAsia="仿宋_GB2312"/>
      <w:sz w:val="28"/>
      <w:szCs w:val="20"/>
    </w:rPr>
  </w:style>
  <w:style w:type="paragraph" w:styleId="24">
    <w:name w:val="Body Text 3"/>
    <w:basedOn w:val="1"/>
    <w:link w:val="333"/>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Indent"/>
    <w:basedOn w:val="1"/>
    <w:next w:val="27"/>
    <w:link w:val="267"/>
    <w:autoRedefine/>
    <w:qFormat/>
    <w:uiPriority w:val="0"/>
    <w:pPr>
      <w:spacing w:line="480" w:lineRule="exact"/>
      <w:ind w:firstLine="480" w:firstLineChars="200"/>
    </w:pPr>
    <w:rPr>
      <w:rFonts w:ascii="宋体" w:hAnsi="宋体"/>
      <w:sz w:val="24"/>
    </w:rPr>
  </w:style>
  <w:style w:type="paragraph" w:styleId="27">
    <w:name w:val="envelope return"/>
    <w:basedOn w:val="1"/>
    <w:autoRedefine/>
    <w:qFormat/>
    <w:uiPriority w:val="0"/>
    <w:pPr>
      <w:snapToGrid w:val="0"/>
    </w:pPr>
    <w:rPr>
      <w:rFonts w:ascii="Arial" w:hAnsi="Arial"/>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1"/>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7"/>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3"/>
    <w:autoRedefine/>
    <w:qFormat/>
    <w:uiPriority w:val="0"/>
    <w:pPr>
      <w:ind w:left="100" w:leftChars="2500"/>
    </w:pPr>
    <w:rPr>
      <w:rFonts w:ascii="宋体"/>
      <w:sz w:val="24"/>
      <w:szCs w:val="21"/>
      <w:lang w:val="zh-CN"/>
    </w:rPr>
  </w:style>
  <w:style w:type="paragraph" w:styleId="39">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4"/>
    <w:autoRedefine/>
    <w:qFormat/>
    <w:uiPriority w:val="0"/>
    <w:rPr>
      <w:lang w:val="zh-CN"/>
    </w:rPr>
  </w:style>
  <w:style w:type="paragraph" w:styleId="41">
    <w:name w:val="Balloon Text"/>
    <w:basedOn w:val="1"/>
    <w:link w:val="190"/>
    <w:autoRedefine/>
    <w:qFormat/>
    <w:uiPriority w:val="0"/>
    <w:rPr>
      <w:sz w:val="18"/>
      <w:szCs w:val="18"/>
    </w:rPr>
  </w:style>
  <w:style w:type="paragraph" w:styleId="42">
    <w:name w:val="footer"/>
    <w:basedOn w:val="1"/>
    <w:link w:val="386"/>
    <w:autoRedefine/>
    <w:qFormat/>
    <w:uiPriority w:val="99"/>
    <w:pPr>
      <w:tabs>
        <w:tab w:val="center" w:pos="4153"/>
        <w:tab w:val="right" w:pos="8306"/>
      </w:tabs>
      <w:snapToGrid w:val="0"/>
      <w:jc w:val="left"/>
    </w:pPr>
    <w:rPr>
      <w:sz w:val="18"/>
      <w:szCs w:val="18"/>
    </w:rPr>
  </w:style>
  <w:style w:type="paragraph" w:styleId="43">
    <w:name w:val="header"/>
    <w:basedOn w:val="1"/>
    <w:link w:val="395"/>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35"/>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8"/>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8"/>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4"/>
    <w:autoRedefine/>
    <w:qFormat/>
    <w:uiPriority w:val="0"/>
    <w:pPr>
      <w:spacing w:after="120" w:line="480" w:lineRule="auto"/>
    </w:pPr>
  </w:style>
  <w:style w:type="paragraph" w:styleId="58">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98"/>
    <w:autoRedefine/>
    <w:qFormat/>
    <w:uiPriority w:val="0"/>
    <w:rPr>
      <w:b/>
      <w:bCs/>
    </w:rPr>
  </w:style>
  <w:style w:type="paragraph" w:styleId="62">
    <w:name w:val="Body Text First Indent 2"/>
    <w:basedOn w:val="26"/>
    <w:link w:val="123"/>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paragraph" w:customStyle="1" w:styleId="82">
    <w:name w:val="正文首行缩进 21"/>
    <w:basedOn w:val="83"/>
    <w:autoRedefine/>
    <w:qFormat/>
    <w:uiPriority w:val="0"/>
    <w:pPr>
      <w:ind w:firstLine="420"/>
    </w:pPr>
    <w:rPr>
      <w:szCs w:val="22"/>
    </w:rPr>
  </w:style>
  <w:style w:type="paragraph" w:customStyle="1" w:styleId="83">
    <w:name w:val="正文文本缩进1"/>
    <w:basedOn w:val="1"/>
    <w:autoRedefine/>
    <w:qFormat/>
    <w:uiPriority w:val="0"/>
    <w:pPr>
      <w:spacing w:line="500" w:lineRule="exact"/>
      <w:ind w:firstLine="880" w:firstLineChars="200"/>
    </w:pPr>
  </w:style>
  <w:style w:type="character" w:customStyle="1" w:styleId="84">
    <w:name w:val="表格非标题文字 Char"/>
    <w:link w:val="85"/>
    <w:autoRedefine/>
    <w:qFormat/>
    <w:uiPriority w:val="0"/>
    <w:rPr>
      <w:rFonts w:ascii="Futura Bk" w:hAnsi="Futura Bk"/>
      <w:kern w:val="2"/>
      <w:sz w:val="18"/>
      <w:szCs w:val="21"/>
      <w:lang w:val="en-US" w:eastAsia="zh-CN" w:bidi="ar-SA"/>
    </w:rPr>
  </w:style>
  <w:style w:type="paragraph" w:customStyle="1" w:styleId="85">
    <w:name w:val="表格非标题文字"/>
    <w:link w:val="84"/>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autoRedefine/>
    <w:qFormat/>
    <w:locked/>
    <w:uiPriority w:val="0"/>
    <w:rPr>
      <w:rFonts w:ascii="宋体" w:hAnsi="宋体"/>
      <w:sz w:val="24"/>
    </w:rPr>
  </w:style>
  <w:style w:type="paragraph" w:customStyle="1" w:styleId="87">
    <w:name w:val="*正文"/>
    <w:basedOn w:val="1"/>
    <w:link w:val="86"/>
    <w:autoRedefine/>
    <w:qFormat/>
    <w:uiPriority w:val="0"/>
    <w:pPr>
      <w:snapToGrid w:val="0"/>
      <w:spacing w:line="360" w:lineRule="auto"/>
      <w:ind w:firstLine="482"/>
      <w:jc w:val="left"/>
    </w:pPr>
    <w:rPr>
      <w:rFonts w:ascii="宋体" w:hAnsi="宋体"/>
      <w:kern w:val="0"/>
      <w:sz w:val="24"/>
      <w:szCs w:val="20"/>
    </w:rPr>
  </w:style>
  <w:style w:type="character" w:customStyle="1" w:styleId="88">
    <w:name w:val="Char Char71"/>
    <w:autoRedefine/>
    <w:semiHidden/>
    <w:qFormat/>
    <w:uiPriority w:val="0"/>
    <w:rPr>
      <w:rFonts w:eastAsia="宋体"/>
      <w:kern w:val="2"/>
      <w:sz w:val="21"/>
      <w:szCs w:val="24"/>
      <w:lang w:val="en-US" w:eastAsia="zh-CN" w:bidi="ar-SA"/>
    </w:rPr>
  </w:style>
  <w:style w:type="character" w:customStyle="1" w:styleId="89">
    <w:name w:val="Char Char6"/>
    <w:autoRedefine/>
    <w:qFormat/>
    <w:uiPriority w:val="0"/>
    <w:rPr>
      <w:rFonts w:eastAsia="宋体"/>
      <w:kern w:val="2"/>
      <w:sz w:val="21"/>
      <w:szCs w:val="24"/>
      <w:lang w:val="en-US" w:eastAsia="zh-CN" w:bidi="ar-SA"/>
    </w:rPr>
  </w:style>
  <w:style w:type="character" w:customStyle="1" w:styleId="90">
    <w:name w:val="正文缩进 Char"/>
    <w:autoRedefine/>
    <w:qFormat/>
    <w:uiPriority w:val="0"/>
    <w:rPr>
      <w:rFonts w:eastAsia="宋体"/>
      <w:kern w:val="2"/>
      <w:sz w:val="21"/>
      <w:lang w:val="en-US" w:eastAsia="zh-CN"/>
    </w:rPr>
  </w:style>
  <w:style w:type="character" w:customStyle="1" w:styleId="91">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2">
    <w:name w:val="Char Char28"/>
    <w:autoRedefine/>
    <w:qFormat/>
    <w:uiPriority w:val="6"/>
    <w:rPr>
      <w:rFonts w:ascii="仿宋_GB2312" w:hAnsi="仿宋_GB2312" w:eastAsia="仿宋_GB2312"/>
      <w:kern w:val="1"/>
      <w:sz w:val="28"/>
    </w:rPr>
  </w:style>
  <w:style w:type="character" w:customStyle="1" w:styleId="9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autoRedefine/>
    <w:qFormat/>
    <w:uiPriority w:val="6"/>
    <w:rPr>
      <w:rFonts w:ascii="Times New Roman" w:hAnsi="Times New Roman" w:eastAsia="黑体" w:cs="Times New Roman"/>
      <w:b/>
      <w:kern w:val="0"/>
      <w:sz w:val="24"/>
      <w:szCs w:val="24"/>
    </w:rPr>
  </w:style>
  <w:style w:type="character" w:customStyle="1" w:styleId="95">
    <w:name w:val="U_正文 Char"/>
    <w:link w:val="96"/>
    <w:autoRedefine/>
    <w:qFormat/>
    <w:uiPriority w:val="0"/>
    <w:rPr>
      <w:sz w:val="24"/>
      <w:szCs w:val="24"/>
    </w:rPr>
  </w:style>
  <w:style w:type="paragraph" w:customStyle="1" w:styleId="96">
    <w:name w:val="U_正文"/>
    <w:basedOn w:val="1"/>
    <w:link w:val="95"/>
    <w:autoRedefine/>
    <w:qFormat/>
    <w:uiPriority w:val="0"/>
    <w:pPr>
      <w:adjustRightInd/>
      <w:spacing w:beforeLines="20" w:afterLines="20" w:line="300" w:lineRule="auto"/>
      <w:ind w:firstLine="200" w:firstLineChars="200"/>
    </w:pPr>
    <w:rPr>
      <w:kern w:val="0"/>
      <w:sz w:val="24"/>
    </w:rPr>
  </w:style>
  <w:style w:type="character" w:customStyle="1" w:styleId="97">
    <w:name w:val="HTML 地址 Char1"/>
    <w:autoRedefine/>
    <w:qFormat/>
    <w:uiPriority w:val="0"/>
    <w:rPr>
      <w:rFonts w:ascii="Times New Roman" w:hAnsi="Times New Roman" w:eastAsia="宋体" w:cs="Times New Roman"/>
      <w:i/>
      <w:iCs/>
      <w:szCs w:val="24"/>
    </w:rPr>
  </w:style>
  <w:style w:type="character" w:customStyle="1" w:styleId="98">
    <w:name w:val="批注主题 字符"/>
    <w:link w:val="61"/>
    <w:autoRedefine/>
    <w:qFormat/>
    <w:uiPriority w:val="0"/>
    <w:rPr>
      <w:b/>
      <w:bCs/>
      <w:kern w:val="2"/>
      <w:sz w:val="21"/>
      <w:szCs w:val="24"/>
    </w:rPr>
  </w:style>
  <w:style w:type="character" w:customStyle="1" w:styleId="99">
    <w:name w:val="Char Char51"/>
    <w:autoRedefine/>
    <w:qFormat/>
    <w:uiPriority w:val="0"/>
    <w:rPr>
      <w:rFonts w:ascii="宋体" w:hAnsi="Courier New" w:eastAsia="宋体"/>
      <w:kern w:val="2"/>
      <w:sz w:val="21"/>
      <w:lang w:val="en-US" w:eastAsia="zh-CN"/>
    </w:rPr>
  </w:style>
  <w:style w:type="character" w:customStyle="1" w:styleId="100">
    <w:name w:val="表正文 Char"/>
    <w:autoRedefine/>
    <w:qFormat/>
    <w:uiPriority w:val="0"/>
    <w:rPr>
      <w:rFonts w:ascii="宋体" w:eastAsia="宋体"/>
      <w:snapToGrid w:val="0"/>
      <w:color w:val="000000"/>
      <w:kern w:val="28"/>
      <w:sz w:val="28"/>
      <w:lang w:val="en-US" w:eastAsia="zh-CN" w:bidi="ar-SA"/>
    </w:rPr>
  </w:style>
  <w:style w:type="character" w:customStyle="1" w:styleId="101">
    <w:name w:val="Char Char34"/>
    <w:autoRedefine/>
    <w:qFormat/>
    <w:uiPriority w:val="6"/>
    <w:rPr>
      <w:b/>
      <w:kern w:val="1"/>
      <w:sz w:val="28"/>
      <w:szCs w:val="28"/>
    </w:rPr>
  </w:style>
  <w:style w:type="character" w:customStyle="1" w:styleId="102">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autoRedefine/>
    <w:qFormat/>
    <w:uiPriority w:val="0"/>
    <w:rPr>
      <w:rFonts w:ascii="宋体" w:hAnsi="宋体" w:eastAsia="宋体"/>
      <w:kern w:val="2"/>
      <w:sz w:val="24"/>
      <w:lang w:bidi="ar-SA"/>
    </w:rPr>
  </w:style>
  <w:style w:type="paragraph" w:customStyle="1" w:styleId="104">
    <w:name w:val="哈哈正文"/>
    <w:basedOn w:val="1"/>
    <w:link w:val="103"/>
    <w:autoRedefine/>
    <w:qFormat/>
    <w:uiPriority w:val="0"/>
    <w:pPr>
      <w:adjustRightInd/>
      <w:spacing w:line="360" w:lineRule="auto"/>
      <w:ind w:firstLine="200" w:firstLineChars="200"/>
    </w:pPr>
    <w:rPr>
      <w:rFonts w:ascii="宋体" w:hAnsi="宋体"/>
      <w:sz w:val="24"/>
      <w:szCs w:val="20"/>
    </w:rPr>
  </w:style>
  <w:style w:type="character" w:customStyle="1" w:styleId="105">
    <w:name w:val="未处理的提及1"/>
    <w:autoRedefine/>
    <w:qFormat/>
    <w:uiPriority w:val="0"/>
    <w:rPr>
      <w:color w:val="808080"/>
      <w:shd w:val="clear" w:color="auto" w:fill="E6E6E6"/>
    </w:rPr>
  </w:style>
  <w:style w:type="character" w:customStyle="1" w:styleId="106">
    <w:name w:val="txt"/>
    <w:autoRedefine/>
    <w:qFormat/>
    <w:uiPriority w:val="0"/>
    <w:rPr>
      <w:rFonts w:ascii="仿宋_GB2312" w:eastAsia="微软雅黑"/>
      <w:b/>
      <w:kern w:val="2"/>
      <w:sz w:val="32"/>
      <w:szCs w:val="32"/>
      <w:lang w:val="en-US" w:eastAsia="zh-CN" w:bidi="ar-SA"/>
    </w:rPr>
  </w:style>
  <w:style w:type="character" w:customStyle="1" w:styleId="10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8">
    <w:name w:val="Char Char32"/>
    <w:autoRedefine/>
    <w:qFormat/>
    <w:uiPriority w:val="6"/>
    <w:rPr>
      <w:b/>
      <w:kern w:val="1"/>
      <w:sz w:val="24"/>
      <w:szCs w:val="24"/>
    </w:rPr>
  </w:style>
  <w:style w:type="character" w:customStyle="1" w:styleId="109">
    <w:name w:val="PI Char1"/>
    <w:autoRedefine/>
    <w:qFormat/>
    <w:uiPriority w:val="0"/>
    <w:rPr>
      <w:rFonts w:ascii="宋体" w:hAnsi="宋体"/>
      <w:kern w:val="2"/>
      <w:sz w:val="24"/>
      <w:szCs w:val="24"/>
    </w:rPr>
  </w:style>
  <w:style w:type="character" w:customStyle="1" w:styleId="110">
    <w:name w:val="tw4winTerm"/>
    <w:autoRedefine/>
    <w:qFormat/>
    <w:uiPriority w:val="0"/>
    <w:rPr>
      <w:color w:val="0000FF"/>
    </w:rPr>
  </w:style>
  <w:style w:type="character" w:customStyle="1" w:styleId="111">
    <w:name w:val="Footer Char"/>
    <w:autoRedefine/>
    <w:qFormat/>
    <w:locked/>
    <w:uiPriority w:val="0"/>
    <w:rPr>
      <w:rFonts w:eastAsia="宋体"/>
      <w:kern w:val="2"/>
      <w:sz w:val="18"/>
      <w:lang w:val="en-US" w:eastAsia="zh-CN" w:bidi="ar-SA"/>
    </w:rPr>
  </w:style>
  <w:style w:type="character" w:customStyle="1" w:styleId="112">
    <w:name w:val="普通文字 Char Char1"/>
    <w:autoRedefine/>
    <w:qFormat/>
    <w:uiPriority w:val="0"/>
    <w:rPr>
      <w:rFonts w:ascii="宋体" w:hAnsi="Courier New"/>
      <w:kern w:val="2"/>
      <w:sz w:val="21"/>
    </w:rPr>
  </w:style>
  <w:style w:type="character" w:customStyle="1" w:styleId="113">
    <w:name w:val="Char Char101"/>
    <w:autoRedefine/>
    <w:qFormat/>
    <w:uiPriority w:val="6"/>
    <w:rPr>
      <w:rFonts w:ascii="宋体" w:hAnsi="宋体"/>
      <w:kern w:val="2"/>
      <w:sz w:val="21"/>
      <w:szCs w:val="24"/>
      <w:lang w:val="en-US" w:eastAsia="zh-CN"/>
    </w:rPr>
  </w:style>
  <w:style w:type="character" w:customStyle="1" w:styleId="114">
    <w:name w:val="标题 4 Char"/>
    <w:autoRedefine/>
    <w:qFormat/>
    <w:uiPriority w:val="0"/>
    <w:rPr>
      <w:rFonts w:ascii="Arial" w:hAnsi="Arial" w:eastAsia="黑体"/>
      <w:b/>
      <w:kern w:val="2"/>
      <w:sz w:val="28"/>
    </w:rPr>
  </w:style>
  <w:style w:type="character" w:customStyle="1" w:styleId="115">
    <w:name w:val="链接"/>
    <w:autoRedefine/>
    <w:qFormat/>
    <w:uiPriority w:val="0"/>
    <w:rPr>
      <w:color w:val="0000FF"/>
      <w:sz w:val="21"/>
      <w:szCs w:val="21"/>
      <w:u w:val="single"/>
    </w:rPr>
  </w:style>
  <w:style w:type="character" w:customStyle="1" w:styleId="116">
    <w:name w:val="h4 Char"/>
    <w:autoRedefine/>
    <w:qFormat/>
    <w:uiPriority w:val="0"/>
    <w:rPr>
      <w:rFonts w:ascii="Arial" w:hAnsi="Arial" w:eastAsia="黑体"/>
      <w:b/>
      <w:bCs/>
      <w:kern w:val="2"/>
      <w:sz w:val="28"/>
      <w:szCs w:val="28"/>
      <w:lang w:val="zh-CN" w:eastAsia="zh-CN" w:bidi="ar-SA"/>
    </w:rPr>
  </w:style>
  <w:style w:type="character" w:customStyle="1" w:styleId="117">
    <w:name w:val="5正文 Char"/>
    <w:link w:val="118"/>
    <w:autoRedefine/>
    <w:qFormat/>
    <w:uiPriority w:val="0"/>
    <w:rPr>
      <w:rFonts w:ascii="仿宋_GB2312" w:hAnsi="微软雅黑" w:eastAsia="仿宋_GB2312"/>
      <w:sz w:val="28"/>
      <w:szCs w:val="21"/>
    </w:rPr>
  </w:style>
  <w:style w:type="paragraph" w:customStyle="1" w:styleId="118">
    <w:name w:val="5正文"/>
    <w:basedOn w:val="1"/>
    <w:link w:val="117"/>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basedOn w:val="70"/>
    <w:link w:val="7"/>
    <w:autoRedefine/>
    <w:qFormat/>
    <w:uiPriority w:val="9"/>
    <w:rPr>
      <w:b/>
      <w:bCs/>
      <w:sz w:val="32"/>
      <w:szCs w:val="32"/>
    </w:rPr>
  </w:style>
  <w:style w:type="character" w:customStyle="1" w:styleId="120">
    <w:name w:val="样式6 Char"/>
    <w:autoRedefine/>
    <w:qFormat/>
    <w:uiPriority w:val="0"/>
    <w:rPr>
      <w:rFonts w:ascii="仿宋_GB2312" w:hAnsi="宋体" w:eastAsia="仿宋_GB2312"/>
      <w:b/>
      <w:bCs/>
      <w:kern w:val="2"/>
      <w:sz w:val="24"/>
      <w:szCs w:val="24"/>
      <w:lang w:val="en-US" w:eastAsia="zh-CN" w:bidi="ar-SA"/>
    </w:rPr>
  </w:style>
  <w:style w:type="character" w:customStyle="1" w:styleId="121">
    <w:name w:val="Char Char14"/>
    <w:autoRedefine/>
    <w:qFormat/>
    <w:uiPriority w:val="6"/>
    <w:rPr>
      <w:rFonts w:ascii="黑体" w:hAnsi="黑体" w:eastAsia="黑体"/>
    </w:rPr>
  </w:style>
  <w:style w:type="character" w:customStyle="1" w:styleId="122">
    <w:name w:val="Heading 2 Hidden Char"/>
    <w:autoRedefine/>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62"/>
    <w:autoRedefine/>
    <w:qFormat/>
    <w:uiPriority w:val="0"/>
    <w:rPr>
      <w:rFonts w:ascii="宋体" w:hAnsi="宋体"/>
      <w:kern w:val="2"/>
      <w:sz w:val="21"/>
      <w:szCs w:val="24"/>
    </w:rPr>
  </w:style>
  <w:style w:type="character" w:customStyle="1" w:styleId="124">
    <w:name w:val="font11"/>
    <w:autoRedefine/>
    <w:qFormat/>
    <w:uiPriority w:val="0"/>
    <w:rPr>
      <w:rFonts w:hint="default" w:ascii="Times New Roman" w:hAnsi="Times New Roman" w:cs="Times New Roman"/>
      <w:color w:val="000000"/>
      <w:sz w:val="22"/>
      <w:szCs w:val="22"/>
      <w:u w:val="none"/>
    </w:rPr>
  </w:style>
  <w:style w:type="character" w:customStyle="1" w:styleId="125">
    <w:name w:val="表正文 Char1"/>
    <w:autoRedefine/>
    <w:qFormat/>
    <w:uiPriority w:val="0"/>
    <w:rPr>
      <w:rFonts w:ascii="宋体" w:eastAsia="宋体"/>
      <w:snapToGrid w:val="0"/>
      <w:color w:val="000000"/>
      <w:kern w:val="28"/>
      <w:sz w:val="28"/>
    </w:rPr>
  </w:style>
  <w:style w:type="character" w:customStyle="1" w:styleId="126">
    <w:name w:val="blue1"/>
    <w:basedOn w:val="70"/>
    <w:autoRedefine/>
    <w:qFormat/>
    <w:uiPriority w:val="0"/>
    <w:rPr>
      <w:rFonts w:ascii="Arial" w:hAnsi="Arial" w:eastAsia="黑体" w:cs="Arial"/>
      <w:snapToGrid w:val="0"/>
      <w:kern w:val="0"/>
      <w:szCs w:val="21"/>
    </w:rPr>
  </w:style>
  <w:style w:type="character" w:customStyle="1" w:styleId="127">
    <w:name w:val="纯文本 字符1"/>
    <w:link w:val="35"/>
    <w:autoRedefine/>
    <w:qFormat/>
    <w:uiPriority w:val="0"/>
    <w:rPr>
      <w:rFonts w:ascii="宋体" w:hAnsi="Courier New" w:eastAsia="宋体" w:cs="Arial"/>
      <w:snapToGrid w:val="0"/>
      <w:kern w:val="2"/>
      <w:sz w:val="21"/>
      <w:szCs w:val="21"/>
      <w:lang w:val="en-US" w:eastAsia="zh-CN" w:bidi="ar-SA"/>
    </w:rPr>
  </w:style>
  <w:style w:type="character" w:customStyle="1" w:styleId="128">
    <w:name w:val="标书1 Char"/>
    <w:autoRedefine/>
    <w:qFormat/>
    <w:uiPriority w:val="0"/>
    <w:rPr>
      <w:rFonts w:eastAsia="宋体"/>
      <w:b/>
      <w:bCs/>
      <w:kern w:val="44"/>
      <w:sz w:val="44"/>
      <w:szCs w:val="44"/>
      <w:lang w:val="en-US" w:eastAsia="zh-CN" w:bidi="ar-SA"/>
    </w:rPr>
  </w:style>
  <w:style w:type="character" w:customStyle="1" w:styleId="129">
    <w:name w:val="样式5 Char"/>
    <w:autoRedefine/>
    <w:qFormat/>
    <w:uiPriority w:val="0"/>
    <w:rPr>
      <w:rFonts w:ascii="仿宋_GB2312" w:hAnsi="仿宋" w:eastAsia="仿宋_GB2312"/>
      <w:kern w:val="2"/>
      <w:sz w:val="24"/>
      <w:szCs w:val="24"/>
    </w:rPr>
  </w:style>
  <w:style w:type="character" w:customStyle="1" w:styleId="130">
    <w:name w:val="样式4 Char"/>
    <w:autoRedefine/>
    <w:qFormat/>
    <w:uiPriority w:val="0"/>
    <w:rPr>
      <w:rFonts w:ascii="仿宋_GB2312" w:hAnsi="仿宋" w:eastAsia="仿宋_GB2312"/>
      <w:b/>
      <w:kern w:val="2"/>
      <w:sz w:val="32"/>
      <w:szCs w:val="32"/>
      <w:lang w:bidi="ar-SA"/>
    </w:rPr>
  </w:style>
  <w:style w:type="character" w:customStyle="1" w:styleId="131">
    <w:name w:val="插图说明 Char"/>
    <w:autoRedefine/>
    <w:qFormat/>
    <w:uiPriority w:val="0"/>
    <w:rPr>
      <w:rFonts w:eastAsia="黑体"/>
      <w:sz w:val="24"/>
      <w:lang w:val="en-US" w:eastAsia="zh-CN"/>
    </w:rPr>
  </w:style>
  <w:style w:type="character" w:customStyle="1" w:styleId="132">
    <w:name w:val="正文2 Char Char"/>
    <w:link w:val="133"/>
    <w:autoRedefine/>
    <w:qFormat/>
    <w:uiPriority w:val="0"/>
    <w:rPr>
      <w:rFonts w:eastAsia="宋体"/>
      <w:kern w:val="2"/>
      <w:sz w:val="24"/>
      <w:lang w:val="en-US" w:eastAsia="zh-CN" w:bidi="ar-SA"/>
    </w:rPr>
  </w:style>
  <w:style w:type="paragraph" w:customStyle="1" w:styleId="133">
    <w:name w:val="正文2"/>
    <w:basedOn w:val="1"/>
    <w:link w:val="132"/>
    <w:autoRedefine/>
    <w:qFormat/>
    <w:uiPriority w:val="0"/>
    <w:pPr>
      <w:spacing w:before="156" w:line="360" w:lineRule="auto"/>
      <w:ind w:firstLine="510" w:firstLineChars="200"/>
    </w:pPr>
    <w:rPr>
      <w:sz w:val="24"/>
      <w:szCs w:val="20"/>
    </w:rPr>
  </w:style>
  <w:style w:type="character" w:customStyle="1" w:styleId="134">
    <w:name w:val="Char Char24"/>
    <w:autoRedefine/>
    <w:qFormat/>
    <w:uiPriority w:val="6"/>
    <w:rPr>
      <w:kern w:val="1"/>
      <w:sz w:val="21"/>
    </w:rPr>
  </w:style>
  <w:style w:type="character" w:customStyle="1" w:styleId="135">
    <w:name w:val="副标题 字符"/>
    <w:link w:val="49"/>
    <w:autoRedefine/>
    <w:qFormat/>
    <w:uiPriority w:val="0"/>
    <w:rPr>
      <w:rFonts w:ascii="Arial" w:hAnsi="Arial" w:eastAsia="隶书"/>
      <w:b/>
      <w:bCs/>
      <w:kern w:val="28"/>
      <w:sz w:val="44"/>
      <w:szCs w:val="32"/>
      <w:lang w:val="en-US" w:eastAsia="zh-CN" w:bidi="ar-SA"/>
    </w:rPr>
  </w:style>
  <w:style w:type="character" w:customStyle="1" w:styleId="136">
    <w:name w:val="普通文字 Char1 Char"/>
    <w:autoRedefine/>
    <w:qFormat/>
    <w:uiPriority w:val="0"/>
    <w:rPr>
      <w:rFonts w:ascii="宋体" w:hAnsi="Courier New" w:eastAsia="宋体"/>
      <w:kern w:val="2"/>
      <w:sz w:val="21"/>
      <w:szCs w:val="24"/>
      <w:lang w:val="en-US" w:eastAsia="zh-CN" w:bidi="ar-SA"/>
    </w:rPr>
  </w:style>
  <w:style w:type="character" w:customStyle="1" w:styleId="137">
    <w:name w:val="h3 Char1"/>
    <w:autoRedefine/>
    <w:qFormat/>
    <w:uiPriority w:val="0"/>
    <w:rPr>
      <w:rFonts w:eastAsia="宋体"/>
      <w:b/>
      <w:bCs/>
      <w:kern w:val="2"/>
      <w:sz w:val="32"/>
      <w:szCs w:val="32"/>
      <w:lang w:bidi="ar-SA"/>
    </w:rPr>
  </w:style>
  <w:style w:type="character" w:customStyle="1" w:styleId="138">
    <w:name w:val="标题 Char1"/>
    <w:autoRedefine/>
    <w:qFormat/>
    <w:uiPriority w:val="0"/>
    <w:rPr>
      <w:rFonts w:ascii="Cambria" w:hAnsi="Cambria" w:eastAsia="宋体" w:cs="Times New Roman"/>
      <w:b/>
      <w:bCs/>
      <w:sz w:val="32"/>
      <w:szCs w:val="32"/>
      <w:lang w:bidi="ar-SA"/>
    </w:rPr>
  </w:style>
  <w:style w:type="character" w:customStyle="1" w:styleId="139">
    <w:name w:val="gf正文1 Char"/>
    <w:autoRedefine/>
    <w:qFormat/>
    <w:uiPriority w:val="0"/>
    <w:rPr>
      <w:rFonts w:ascii="宋体" w:hAnsi="宋体" w:eastAsia="宋体" w:cs="宋体"/>
      <w:kern w:val="2"/>
      <w:sz w:val="24"/>
      <w:szCs w:val="24"/>
      <w:lang w:val="en-US" w:eastAsia="zh-CN" w:bidi="ar-SA"/>
    </w:rPr>
  </w:style>
  <w:style w:type="character" w:customStyle="1" w:styleId="140">
    <w:name w:val="正文文本缩进 Char1"/>
    <w:autoRedefine/>
    <w:qFormat/>
    <w:uiPriority w:val="0"/>
    <w:rPr>
      <w:rFonts w:ascii="Calibri" w:hAnsi="Calibri"/>
      <w:sz w:val="28"/>
    </w:rPr>
  </w:style>
  <w:style w:type="character" w:customStyle="1" w:styleId="141">
    <w:name w:val="No Spacing Char"/>
    <w:link w:val="142"/>
    <w:autoRedefine/>
    <w:qFormat/>
    <w:uiPriority w:val="1"/>
    <w:rPr>
      <w:sz w:val="22"/>
      <w:szCs w:val="22"/>
      <w:lang w:val="en-US" w:eastAsia="zh-CN" w:bidi="ar-SA"/>
    </w:rPr>
  </w:style>
  <w:style w:type="paragraph" w:customStyle="1" w:styleId="142">
    <w:name w:val="无间隔1"/>
    <w:link w:val="141"/>
    <w:autoRedefine/>
    <w:qFormat/>
    <w:uiPriority w:val="1"/>
    <w:rPr>
      <w:rFonts w:ascii="Times New Roman" w:hAnsi="Times New Roman" w:eastAsia="宋体" w:cs="Times New Roman"/>
      <w:sz w:val="22"/>
      <w:szCs w:val="22"/>
      <w:lang w:val="en-US" w:eastAsia="zh-CN" w:bidi="ar-SA"/>
    </w:rPr>
  </w:style>
  <w:style w:type="character" w:customStyle="1" w:styleId="143">
    <w:name w:val="样式7 Char"/>
    <w:autoRedefine/>
    <w:qFormat/>
    <w:uiPriority w:val="0"/>
    <w:rPr>
      <w:rFonts w:ascii="仿宋_GB2312" w:hAnsi="仿宋" w:eastAsia="仿宋_GB2312"/>
      <w:b/>
      <w:kern w:val="2"/>
      <w:sz w:val="24"/>
      <w:szCs w:val="24"/>
    </w:rPr>
  </w:style>
  <w:style w:type="character" w:customStyle="1" w:styleId="144">
    <w:name w:val="font12gray1"/>
    <w:autoRedefine/>
    <w:qFormat/>
    <w:uiPriority w:val="0"/>
    <w:rPr>
      <w:rFonts w:ascii="仿宋_GB2312" w:eastAsia="微软雅黑"/>
      <w:b/>
      <w:spacing w:val="300"/>
      <w:kern w:val="2"/>
      <w:sz w:val="18"/>
      <w:szCs w:val="18"/>
      <w:lang w:val="en-US" w:eastAsia="zh-CN" w:bidi="ar-SA"/>
    </w:rPr>
  </w:style>
  <w:style w:type="character" w:customStyle="1" w:styleId="145">
    <w:name w:val="Char Char7"/>
    <w:autoRedefine/>
    <w:semiHidden/>
    <w:qFormat/>
    <w:uiPriority w:val="0"/>
    <w:rPr>
      <w:rFonts w:eastAsia="宋体"/>
      <w:kern w:val="2"/>
      <w:sz w:val="21"/>
      <w:szCs w:val="24"/>
      <w:lang w:val="en-US" w:eastAsia="zh-CN" w:bidi="ar-SA"/>
    </w:rPr>
  </w:style>
  <w:style w:type="character" w:customStyle="1" w:styleId="146">
    <w:name w:val="表名 Char"/>
    <w:autoRedefine/>
    <w:qFormat/>
    <w:uiPriority w:val="0"/>
    <w:rPr>
      <w:rFonts w:eastAsia="宋体"/>
      <w:b/>
      <w:bCs/>
      <w:kern w:val="2"/>
      <w:sz w:val="24"/>
      <w:szCs w:val="24"/>
      <w:lang w:val="en-US" w:eastAsia="zh-CN" w:bidi="ar-SA"/>
    </w:rPr>
  </w:style>
  <w:style w:type="character" w:customStyle="1" w:styleId="147">
    <w:name w:val="Document Map Char"/>
    <w:autoRedefine/>
    <w:qFormat/>
    <w:locked/>
    <w:uiPriority w:val="0"/>
    <w:rPr>
      <w:rFonts w:eastAsia="宋体"/>
      <w:kern w:val="2"/>
      <w:sz w:val="21"/>
      <w:szCs w:val="24"/>
      <w:lang w:val="en-US" w:eastAsia="zh-CN" w:bidi="ar-SA"/>
    </w:rPr>
  </w:style>
  <w:style w:type="character" w:customStyle="1" w:styleId="148">
    <w:name w:val="font41"/>
    <w:autoRedefine/>
    <w:qFormat/>
    <w:uiPriority w:val="0"/>
    <w:rPr>
      <w:rFonts w:hint="eastAsia" w:ascii="仿宋_GB2312" w:eastAsia="仿宋_GB2312" w:cs="仿宋_GB2312"/>
      <w:color w:val="000000"/>
      <w:sz w:val="22"/>
      <w:szCs w:val="22"/>
      <w:u w:val="none"/>
    </w:rPr>
  </w:style>
  <w:style w:type="character" w:customStyle="1" w:styleId="149">
    <w:name w:val="标题 6 字符"/>
    <w:link w:val="10"/>
    <w:autoRedefine/>
    <w:qFormat/>
    <w:uiPriority w:val="0"/>
    <w:rPr>
      <w:rFonts w:ascii="Arial" w:hAnsi="Arial" w:eastAsia="黑体"/>
      <w:b/>
      <w:bCs/>
      <w:kern w:val="2"/>
      <w:sz w:val="24"/>
      <w:szCs w:val="24"/>
    </w:rPr>
  </w:style>
  <w:style w:type="character" w:customStyle="1" w:styleId="150">
    <w:name w:val="纯文本 Char_0"/>
    <w:link w:val="151"/>
    <w:autoRedefine/>
    <w:qFormat/>
    <w:uiPriority w:val="0"/>
    <w:rPr>
      <w:rFonts w:ascii="宋体" w:hAnsi="Courier New"/>
      <w:kern w:val="2"/>
      <w:sz w:val="21"/>
      <w:szCs w:val="21"/>
      <w:lang w:val="en-US" w:eastAsia="zh-CN"/>
    </w:rPr>
  </w:style>
  <w:style w:type="paragraph" w:customStyle="1" w:styleId="151">
    <w:name w:val="纯文本_0_0"/>
    <w:basedOn w:val="152"/>
    <w:link w:val="150"/>
    <w:autoRedefine/>
    <w:qFormat/>
    <w:uiPriority w:val="0"/>
    <w:rPr>
      <w:rFonts w:ascii="宋体" w:hAnsi="Courier New"/>
      <w:szCs w:val="21"/>
    </w:rPr>
  </w:style>
  <w:style w:type="paragraph" w:customStyle="1" w:styleId="15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autoRedefine/>
    <w:qFormat/>
    <w:locked/>
    <w:uiPriority w:val="0"/>
    <w:rPr>
      <w:rFonts w:eastAsia="宋体"/>
      <w:kern w:val="2"/>
      <w:sz w:val="18"/>
      <w:szCs w:val="18"/>
      <w:lang w:val="en-US" w:eastAsia="zh-CN" w:bidi="ar-SA"/>
    </w:rPr>
  </w:style>
  <w:style w:type="character" w:customStyle="1" w:styleId="154">
    <w:name w:val="正文 项目2 Char"/>
    <w:basedOn w:val="155"/>
    <w:autoRedefine/>
    <w:qFormat/>
    <w:uiPriority w:val="0"/>
    <w:rPr>
      <w:rFonts w:ascii="仿宋_GB2312" w:hAnsi="仿宋_GB2312" w:eastAsia="仿宋_GB2312"/>
      <w:kern w:val="2"/>
      <w:sz w:val="24"/>
      <w:lang w:bidi="ar-SA"/>
    </w:rPr>
  </w:style>
  <w:style w:type="character" w:customStyle="1" w:styleId="155">
    <w:name w:val="正文 项目 Char"/>
    <w:autoRedefine/>
    <w:qFormat/>
    <w:uiPriority w:val="0"/>
    <w:rPr>
      <w:rFonts w:ascii="仿宋_GB2312" w:hAnsi="仿宋_GB2312" w:eastAsia="仿宋_GB2312"/>
      <w:kern w:val="2"/>
      <w:sz w:val="24"/>
      <w:lang w:bidi="ar-SA"/>
    </w:rPr>
  </w:style>
  <w:style w:type="character" w:customStyle="1" w:styleId="156">
    <w:name w:val="h Char Char1"/>
    <w:autoRedefine/>
    <w:qFormat/>
    <w:uiPriority w:val="0"/>
    <w:rPr>
      <w:rFonts w:eastAsia="宋体"/>
      <w:kern w:val="2"/>
      <w:sz w:val="18"/>
      <w:szCs w:val="18"/>
      <w:lang w:val="en-US" w:eastAsia="zh-CN" w:bidi="ar-SA"/>
    </w:rPr>
  </w:style>
  <w:style w:type="character" w:customStyle="1" w:styleId="157">
    <w:name w:val="Char Char27"/>
    <w:autoRedefine/>
    <w:qFormat/>
    <w:uiPriority w:val="6"/>
    <w:rPr>
      <w:rFonts w:ascii="宋体" w:hAnsi="宋体" w:eastAsia="宋体"/>
      <w:color w:val="000000"/>
      <w:kern w:val="1"/>
      <w:sz w:val="28"/>
      <w:lang w:val="en-US" w:eastAsia="zh-CN" w:bidi="ar-SA"/>
    </w:rPr>
  </w:style>
  <w:style w:type="character" w:customStyle="1" w:styleId="158">
    <w:name w:val="px14"/>
    <w:autoRedefine/>
    <w:qFormat/>
    <w:uiPriority w:val="0"/>
    <w:rPr>
      <w:rFonts w:ascii="仿宋_GB2312" w:eastAsia="微软雅黑" w:cs="Times New Roman"/>
      <w:b/>
      <w:kern w:val="2"/>
      <w:sz w:val="32"/>
      <w:szCs w:val="32"/>
      <w:lang w:val="en-US" w:eastAsia="zh-CN" w:bidi="ar-SA"/>
    </w:rPr>
  </w:style>
  <w:style w:type="character" w:customStyle="1" w:styleId="159">
    <w:name w:val="HTML 预设格式 Char1"/>
    <w:autoRedefine/>
    <w:qFormat/>
    <w:uiPriority w:val="0"/>
    <w:rPr>
      <w:rFonts w:ascii="Courier New" w:hAnsi="Courier New" w:eastAsia="宋体" w:cs="Courier New"/>
      <w:sz w:val="20"/>
      <w:szCs w:val="20"/>
    </w:rPr>
  </w:style>
  <w:style w:type="character" w:customStyle="1" w:styleId="160">
    <w:name w:val="普通文字 Char1"/>
    <w:autoRedefine/>
    <w:qFormat/>
    <w:uiPriority w:val="0"/>
    <w:rPr>
      <w:rFonts w:ascii="宋体" w:hAnsi="Courier New" w:eastAsia="宋体"/>
      <w:kern w:val="2"/>
      <w:sz w:val="21"/>
      <w:lang w:val="en-US" w:eastAsia="zh-CN"/>
    </w:rPr>
  </w:style>
  <w:style w:type="character" w:customStyle="1" w:styleId="161">
    <w:name w:val="hei16b1"/>
    <w:autoRedefine/>
    <w:qFormat/>
    <w:uiPriority w:val="0"/>
    <w:rPr>
      <w:rFonts w:hint="default" w:ascii="Arial" w:hAnsi="Arial" w:cs="Arial"/>
      <w:b/>
      <w:bCs/>
      <w:color w:val="000000"/>
      <w:sz w:val="24"/>
      <w:szCs w:val="24"/>
    </w:rPr>
  </w:style>
  <w:style w:type="character" w:customStyle="1" w:styleId="162">
    <w:name w:val="正文（绿盟科技） Char"/>
    <w:link w:val="163"/>
    <w:autoRedefine/>
    <w:qFormat/>
    <w:uiPriority w:val="0"/>
    <w:rPr>
      <w:rFonts w:ascii="Arial" w:hAnsi="Arial"/>
      <w:sz w:val="21"/>
      <w:szCs w:val="21"/>
    </w:rPr>
  </w:style>
  <w:style w:type="paragraph" w:customStyle="1" w:styleId="163">
    <w:name w:val="正文（绿盟科技）"/>
    <w:link w:val="162"/>
    <w:autoRedefine/>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autoRedefine/>
    <w:qFormat/>
    <w:uiPriority w:val="6"/>
    <w:rPr>
      <w:rFonts w:ascii="宋体" w:hAnsi="宋体"/>
      <w:i/>
      <w:sz w:val="24"/>
      <w:szCs w:val="24"/>
    </w:rPr>
  </w:style>
  <w:style w:type="character" w:customStyle="1" w:styleId="165">
    <w:name w:val="页脚 Char"/>
    <w:autoRedefine/>
    <w:qFormat/>
    <w:uiPriority w:val="0"/>
    <w:rPr>
      <w:rFonts w:eastAsia="仿宋_GB2312"/>
      <w:kern w:val="2"/>
      <w:sz w:val="18"/>
      <w:lang w:val="en-US" w:eastAsia="zh-CN"/>
    </w:rPr>
  </w:style>
  <w:style w:type="character" w:customStyle="1" w:styleId="166">
    <w:name w:val="批注主题 Char"/>
    <w:autoRedefine/>
    <w:qFormat/>
    <w:uiPriority w:val="0"/>
    <w:rPr>
      <w:rFonts w:eastAsia="宋体"/>
      <w:b/>
      <w:bCs/>
      <w:kern w:val="2"/>
      <w:sz w:val="21"/>
      <w:szCs w:val="24"/>
      <w:lang w:val="en-US" w:eastAsia="zh-CN" w:bidi="ar-SA"/>
    </w:rPr>
  </w:style>
  <w:style w:type="character" w:customStyle="1" w:styleId="167">
    <w:name w:val="Comment Text Char"/>
    <w:autoRedefine/>
    <w:qFormat/>
    <w:locked/>
    <w:uiPriority w:val="0"/>
    <w:rPr>
      <w:rFonts w:ascii="宋体" w:hAnsi="宋体" w:eastAsia="宋体"/>
      <w:kern w:val="2"/>
      <w:sz w:val="24"/>
      <w:lang w:val="en-US" w:eastAsia="zh-CN" w:bidi="ar-SA"/>
    </w:rPr>
  </w:style>
  <w:style w:type="character" w:customStyle="1" w:styleId="168">
    <w:name w:val="标题 2 字符"/>
    <w:autoRedefine/>
    <w:qFormat/>
    <w:uiPriority w:val="1"/>
    <w:rPr>
      <w:rFonts w:ascii="仿宋_GB2312" w:hAnsi="Times New Roman" w:eastAsia="仿宋_GB2312" w:cs="Times New Roman"/>
      <w:b/>
      <w:kern w:val="2"/>
      <w:sz w:val="24"/>
      <w:lang w:val="zh-CN"/>
    </w:rPr>
  </w:style>
  <w:style w:type="character" w:customStyle="1" w:styleId="169">
    <w:name w:val="Char Char72"/>
    <w:autoRedefine/>
    <w:qFormat/>
    <w:uiPriority w:val="0"/>
    <w:rPr>
      <w:rFonts w:eastAsia="宋体"/>
      <w:kern w:val="2"/>
      <w:sz w:val="21"/>
      <w:szCs w:val="24"/>
      <w:lang w:val="en-US" w:eastAsia="zh-CN" w:bidi="ar-SA"/>
    </w:rPr>
  </w:style>
  <w:style w:type="character" w:customStyle="1" w:styleId="170">
    <w:name w:val="正文文本缩进 Char2"/>
    <w:autoRedefine/>
    <w:qFormat/>
    <w:uiPriority w:val="0"/>
    <w:rPr>
      <w:rFonts w:ascii="Times New Roman" w:hAnsi="Times New Roman" w:eastAsia="宋体" w:cs="Times New Roman"/>
      <w:snapToGrid w:val="0"/>
      <w:kern w:val="0"/>
      <w:szCs w:val="24"/>
    </w:rPr>
  </w:style>
  <w:style w:type="character" w:customStyle="1" w:styleId="171">
    <w:name w:val="样式2 Char"/>
    <w:autoRedefine/>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autoRedefine/>
    <w:qFormat/>
    <w:uiPriority w:val="0"/>
    <w:rPr>
      <w:sz w:val="32"/>
    </w:rPr>
  </w:style>
  <w:style w:type="paragraph" w:customStyle="1" w:styleId="173">
    <w:name w:val="表格名称"/>
    <w:basedOn w:val="6"/>
    <w:link w:val="17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autoRedefine/>
    <w:qFormat/>
    <w:uiPriority w:val="0"/>
    <w:rPr>
      <w:rFonts w:eastAsia="宋体"/>
      <w:b/>
      <w:sz w:val="24"/>
      <w:lang w:val="en-GB" w:eastAsia="zh-CN" w:bidi="ar-SA"/>
    </w:rPr>
  </w:style>
  <w:style w:type="character" w:customStyle="1" w:styleId="175">
    <w:name w:val="c7 style3"/>
    <w:autoRedefine/>
    <w:qFormat/>
    <w:uiPriority w:val="0"/>
  </w:style>
  <w:style w:type="character" w:customStyle="1" w:styleId="176">
    <w:name w:val="正文文本 3 Char1"/>
    <w:autoRedefine/>
    <w:semiHidden/>
    <w:qFormat/>
    <w:uiPriority w:val="99"/>
    <w:rPr>
      <w:rFonts w:ascii="Times New Roman" w:hAnsi="Times New Roman" w:eastAsia="宋体" w:cs="Times New Roman"/>
      <w:sz w:val="16"/>
      <w:szCs w:val="16"/>
    </w:rPr>
  </w:style>
  <w:style w:type="character" w:customStyle="1" w:styleId="177">
    <w:name w:val="tw4winInternal"/>
    <w:autoRedefine/>
    <w:qFormat/>
    <w:uiPriority w:val="0"/>
    <w:rPr>
      <w:rFonts w:ascii="Courier New" w:hAnsi="Courier New" w:cs="Courier New"/>
      <w:color w:val="FF0000"/>
      <w:lang w:val="en-US" w:eastAsia="zh-CN"/>
    </w:rPr>
  </w:style>
  <w:style w:type="character" w:customStyle="1" w:styleId="178">
    <w:name w:val="Char Char10"/>
    <w:autoRedefine/>
    <w:semiHidden/>
    <w:qFormat/>
    <w:uiPriority w:val="0"/>
    <w:rPr>
      <w:rFonts w:ascii="宋体" w:hAnsi="宋体"/>
      <w:kern w:val="2"/>
      <w:sz w:val="21"/>
      <w:szCs w:val="24"/>
      <w:lang w:val="en-US" w:eastAsia="zh-CN"/>
    </w:rPr>
  </w:style>
  <w:style w:type="character" w:customStyle="1" w:styleId="179">
    <w:name w:val="shadow11"/>
    <w:autoRedefine/>
    <w:qFormat/>
    <w:uiPriority w:val="0"/>
    <w:rPr>
      <w:color w:val="000000"/>
      <w:sz w:val="21"/>
    </w:rPr>
  </w:style>
  <w:style w:type="character" w:customStyle="1" w:styleId="180">
    <w:name w:val="正文非缩进 Char3"/>
    <w:autoRedefine/>
    <w:qFormat/>
    <w:uiPriority w:val="0"/>
    <w:rPr>
      <w:rFonts w:ascii="宋体" w:eastAsia="宋体"/>
      <w:snapToGrid w:val="0"/>
      <w:color w:val="000000"/>
      <w:kern w:val="28"/>
      <w:sz w:val="28"/>
      <w:lang w:val="en-US" w:eastAsia="zh-CN" w:bidi="ar-SA"/>
    </w:rPr>
  </w:style>
  <w:style w:type="character" w:customStyle="1" w:styleId="181">
    <w:name w:val="Char Char"/>
    <w:autoRedefine/>
    <w:qFormat/>
    <w:uiPriority w:val="0"/>
    <w:rPr>
      <w:rFonts w:ascii="宋体" w:hAnsi="Courier New" w:eastAsia="宋体"/>
      <w:kern w:val="2"/>
      <w:sz w:val="21"/>
      <w:lang w:val="en-US" w:eastAsia="zh-CN" w:bidi="ar-SA"/>
    </w:rPr>
  </w:style>
  <w:style w:type="character" w:customStyle="1" w:styleId="182">
    <w:name w:val="签名 Char1"/>
    <w:autoRedefine/>
    <w:qFormat/>
    <w:uiPriority w:val="0"/>
    <w:rPr>
      <w:rFonts w:ascii="Times New Roman" w:hAnsi="Times New Roman" w:eastAsia="宋体" w:cs="Times New Roman"/>
      <w:szCs w:val="24"/>
    </w:rPr>
  </w:style>
  <w:style w:type="character" w:customStyle="1" w:styleId="183">
    <w:name w:val="日期 字符"/>
    <w:link w:val="38"/>
    <w:autoRedefine/>
    <w:qFormat/>
    <w:uiPriority w:val="0"/>
    <w:rPr>
      <w:rFonts w:ascii="宋体"/>
      <w:kern w:val="2"/>
      <w:sz w:val="24"/>
      <w:szCs w:val="21"/>
      <w:lang w:val="zh-CN"/>
    </w:rPr>
  </w:style>
  <w:style w:type="character" w:customStyle="1" w:styleId="184">
    <w:name w:val="标题 9 字符"/>
    <w:link w:val="13"/>
    <w:autoRedefine/>
    <w:qFormat/>
    <w:uiPriority w:val="0"/>
    <w:rPr>
      <w:rFonts w:ascii="Arial" w:hAnsi="Arial" w:eastAsia="黑体"/>
      <w:kern w:val="2"/>
      <w:sz w:val="21"/>
      <w:szCs w:val="21"/>
    </w:rPr>
  </w:style>
  <w:style w:type="character" w:customStyle="1" w:styleId="185">
    <w:name w:val="Char Char18"/>
    <w:autoRedefine/>
    <w:qFormat/>
    <w:uiPriority w:val="6"/>
    <w:rPr>
      <w:rFonts w:ascii="宋体" w:hAnsi="宋体"/>
      <w:sz w:val="28"/>
    </w:rPr>
  </w:style>
  <w:style w:type="character" w:customStyle="1" w:styleId="186">
    <w:name w:val="批注文字 Char"/>
    <w:autoRedefine/>
    <w:qFormat/>
    <w:uiPriority w:val="99"/>
    <w:rPr>
      <w:kern w:val="2"/>
      <w:sz w:val="21"/>
      <w:szCs w:val="24"/>
    </w:rPr>
  </w:style>
  <w:style w:type="character" w:customStyle="1" w:styleId="187">
    <w:name w:val="Char Char22"/>
    <w:autoRedefine/>
    <w:qFormat/>
    <w:uiPriority w:val="6"/>
    <w:rPr>
      <w:rFonts w:ascii="宋体" w:hAnsi="宋体"/>
      <w:kern w:val="1"/>
      <w:sz w:val="24"/>
      <w:szCs w:val="24"/>
    </w:rPr>
  </w:style>
  <w:style w:type="character" w:customStyle="1" w:styleId="188">
    <w:name w:val="pt141"/>
    <w:autoRedefine/>
    <w:qFormat/>
    <w:uiPriority w:val="0"/>
    <w:rPr>
      <w:color w:val="330066"/>
      <w:sz w:val="22"/>
      <w:szCs w:val="22"/>
    </w:rPr>
  </w:style>
  <w:style w:type="character" w:customStyle="1" w:styleId="189">
    <w:name w:val="正文文本缩进 2 Char1"/>
    <w:autoRedefine/>
    <w:semiHidden/>
    <w:qFormat/>
    <w:uiPriority w:val="99"/>
    <w:rPr>
      <w:rFonts w:ascii="Times New Roman" w:hAnsi="Times New Roman" w:eastAsia="宋体" w:cs="Times New Roman"/>
      <w:szCs w:val="24"/>
    </w:rPr>
  </w:style>
  <w:style w:type="character" w:customStyle="1" w:styleId="190">
    <w:name w:val="批注框文本 字符1"/>
    <w:link w:val="41"/>
    <w:autoRedefine/>
    <w:qFormat/>
    <w:uiPriority w:val="0"/>
    <w:rPr>
      <w:kern w:val="2"/>
      <w:sz w:val="18"/>
      <w:szCs w:val="18"/>
    </w:rPr>
  </w:style>
  <w:style w:type="character" w:customStyle="1" w:styleId="191">
    <w:name w:val="Char Char611"/>
    <w:autoRedefine/>
    <w:qFormat/>
    <w:uiPriority w:val="0"/>
    <w:rPr>
      <w:rFonts w:eastAsia="宋体"/>
      <w:kern w:val="2"/>
      <w:sz w:val="21"/>
      <w:szCs w:val="24"/>
      <w:lang w:val="en-US" w:eastAsia="zh-CN" w:bidi="ar-SA"/>
    </w:rPr>
  </w:style>
  <w:style w:type="character" w:customStyle="1" w:styleId="192">
    <w:name w:val="highlight1"/>
    <w:autoRedefine/>
    <w:qFormat/>
    <w:uiPriority w:val="0"/>
    <w:rPr>
      <w:rFonts w:ascii="仿宋_GB2312" w:eastAsia="微软雅黑"/>
      <w:b/>
      <w:kern w:val="2"/>
      <w:sz w:val="23"/>
      <w:szCs w:val="23"/>
      <w:lang w:val="en-US" w:eastAsia="zh-CN" w:bidi="ar-SA"/>
    </w:rPr>
  </w:style>
  <w:style w:type="character" w:customStyle="1" w:styleId="193">
    <w:name w:val="my正文 Char"/>
    <w:link w:val="194"/>
    <w:autoRedefine/>
    <w:qFormat/>
    <w:locked/>
    <w:uiPriority w:val="0"/>
    <w:rPr>
      <w:rFonts w:ascii="Tahoma" w:hAnsi="Tahoma"/>
      <w:sz w:val="24"/>
      <w:szCs w:val="24"/>
    </w:rPr>
  </w:style>
  <w:style w:type="paragraph" w:customStyle="1" w:styleId="194">
    <w:name w:val="my正文"/>
    <w:basedOn w:val="1"/>
    <w:link w:val="193"/>
    <w:autoRedefine/>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8"/>
    <w:autoRedefine/>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autoRedefine/>
    <w:qFormat/>
    <w:uiPriority w:val="0"/>
    <w:rPr>
      <w:color w:val="0000FF"/>
      <w:sz w:val="21"/>
    </w:rPr>
  </w:style>
  <w:style w:type="character" w:customStyle="1" w:styleId="197">
    <w:name w:val="页眉 Char"/>
    <w:autoRedefine/>
    <w:qFormat/>
    <w:uiPriority w:val="0"/>
    <w:rPr>
      <w:rFonts w:eastAsia="仿宋_GB2312"/>
      <w:kern w:val="2"/>
      <w:sz w:val="18"/>
      <w:lang w:val="en-US" w:eastAsia="zh-CN"/>
    </w:rPr>
  </w:style>
  <w:style w:type="character" w:customStyle="1" w:styleId="198">
    <w:name w:val="FA正文 Char Char"/>
    <w:autoRedefine/>
    <w:qFormat/>
    <w:uiPriority w:val="0"/>
    <w:rPr>
      <w:rFonts w:hAnsi="宋体"/>
      <w:kern w:val="2"/>
      <w:sz w:val="24"/>
      <w:lang w:bidi="ar-SA"/>
    </w:rPr>
  </w:style>
  <w:style w:type="character" w:customStyle="1" w:styleId="19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autoRedefine/>
    <w:qFormat/>
    <w:uiPriority w:val="0"/>
    <w:rPr>
      <w:rFonts w:ascii="宋体" w:hAnsi="宋体"/>
      <w:b/>
      <w:bCs/>
      <w:snapToGrid/>
      <w:sz w:val="28"/>
    </w:rPr>
  </w:style>
  <w:style w:type="paragraph" w:customStyle="1" w:styleId="201">
    <w:name w:val="3级"/>
    <w:basedOn w:val="202"/>
    <w:link w:val="200"/>
    <w:autoRedefine/>
    <w:qFormat/>
    <w:uiPriority w:val="0"/>
    <w:pPr>
      <w:ind w:left="0" w:right="466" w:firstLine="288"/>
    </w:pPr>
    <w:rPr>
      <w:rFonts w:hAnsi="宋体"/>
      <w:snapToGrid/>
    </w:rPr>
  </w:style>
  <w:style w:type="paragraph" w:customStyle="1" w:styleId="202">
    <w:name w:val="样式 标题 3h33rd level3BOD 0H3l3CTHeading 3 - oldLevel 3 He..."/>
    <w:basedOn w:val="7"/>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autoRedefine/>
    <w:qFormat/>
    <w:uiPriority w:val="0"/>
    <w:rPr>
      <w:rFonts w:ascii="仿宋_GB2312" w:eastAsia="微软雅黑"/>
      <w:b/>
      <w:kern w:val="2"/>
      <w:sz w:val="32"/>
      <w:szCs w:val="32"/>
      <w:lang w:val="en-US" w:eastAsia="zh-CN" w:bidi="ar-SA"/>
    </w:rPr>
  </w:style>
  <w:style w:type="character" w:customStyle="1" w:styleId="204">
    <w:name w:val="文档结构图 字符"/>
    <w:link w:val="21"/>
    <w:autoRedefine/>
    <w:qFormat/>
    <w:uiPriority w:val="0"/>
    <w:rPr>
      <w:kern w:val="2"/>
      <w:sz w:val="21"/>
      <w:szCs w:val="24"/>
      <w:shd w:val="clear" w:color="auto" w:fill="000080"/>
    </w:rPr>
  </w:style>
  <w:style w:type="character" w:customStyle="1" w:styleId="205">
    <w:name w:val="H6 Char"/>
    <w:autoRedefine/>
    <w:qFormat/>
    <w:uiPriority w:val="0"/>
    <w:rPr>
      <w:rFonts w:ascii="Arial" w:hAnsi="Arial" w:eastAsia="黑体"/>
      <w:b/>
      <w:bCs/>
      <w:kern w:val="2"/>
      <w:sz w:val="24"/>
      <w:szCs w:val="24"/>
    </w:rPr>
  </w:style>
  <w:style w:type="character" w:customStyle="1" w:styleId="206">
    <w:name w:val="Char Char91"/>
    <w:autoRedefine/>
    <w:qFormat/>
    <w:uiPriority w:val="0"/>
    <w:rPr>
      <w:rFonts w:eastAsia="宋体"/>
      <w:kern w:val="2"/>
      <w:sz w:val="18"/>
      <w:szCs w:val="18"/>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font61"/>
    <w:autoRedefine/>
    <w:qFormat/>
    <w:uiPriority w:val="0"/>
    <w:rPr>
      <w:rFonts w:hint="eastAsia" w:ascii="仿宋" w:hAnsi="仿宋" w:eastAsia="仿宋" w:cs="仿宋"/>
      <w:color w:val="000000"/>
      <w:sz w:val="20"/>
      <w:szCs w:val="20"/>
      <w:u w:val="none"/>
    </w:rPr>
  </w:style>
  <w:style w:type="character" w:customStyle="1" w:styleId="20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autoRedefine/>
    <w:qFormat/>
    <w:uiPriority w:val="0"/>
    <w:rPr>
      <w:rFonts w:eastAsia="宋体"/>
      <w:b/>
      <w:bCs/>
      <w:kern w:val="2"/>
      <w:sz w:val="21"/>
      <w:szCs w:val="24"/>
      <w:lang w:val="en-US" w:eastAsia="zh-CN" w:bidi="ar-SA"/>
    </w:rPr>
  </w:style>
  <w:style w:type="character" w:customStyle="1" w:styleId="211">
    <w:name w:val="标题 2 Char"/>
    <w:autoRedefine/>
    <w:qFormat/>
    <w:uiPriority w:val="0"/>
    <w:rPr>
      <w:rFonts w:ascii="Arial" w:hAnsi="Arial" w:eastAsia="黑体"/>
      <w:b/>
      <w:kern w:val="2"/>
      <w:sz w:val="32"/>
      <w:lang w:val="en-US" w:eastAsia="zh-CN"/>
    </w:rPr>
  </w:style>
  <w:style w:type="character" w:customStyle="1" w:styleId="212">
    <w:name w:val="maywed421"/>
    <w:autoRedefine/>
    <w:qFormat/>
    <w:uiPriority w:val="0"/>
    <w:rPr>
      <w:color w:val="366FB6"/>
      <w:u w:val="none"/>
    </w:rPr>
  </w:style>
  <w:style w:type="character" w:customStyle="1" w:styleId="213">
    <w:name w:val="正文文本缩进 Char"/>
    <w:autoRedefine/>
    <w:qFormat/>
    <w:uiPriority w:val="0"/>
    <w:rPr>
      <w:rFonts w:ascii="宋体" w:hAnsi="宋体"/>
      <w:kern w:val="2"/>
      <w:sz w:val="24"/>
      <w:szCs w:val="24"/>
    </w:rPr>
  </w:style>
  <w:style w:type="character" w:customStyle="1" w:styleId="214">
    <w:name w:val="Char Char102"/>
    <w:autoRedefine/>
    <w:semiHidden/>
    <w:qFormat/>
    <w:uiPriority w:val="0"/>
    <w:rPr>
      <w:rFonts w:ascii="宋体" w:hAnsi="宋体"/>
      <w:kern w:val="2"/>
      <w:sz w:val="21"/>
      <w:szCs w:val="24"/>
      <w:lang w:val="en-US" w:eastAsia="zh-CN"/>
    </w:rPr>
  </w:style>
  <w:style w:type="character" w:customStyle="1" w:styleId="215">
    <w:name w:val="页眉 Char1"/>
    <w:autoRedefine/>
    <w:qFormat/>
    <w:uiPriority w:val="0"/>
    <w:rPr>
      <w:rFonts w:eastAsia="宋体"/>
      <w:kern w:val="2"/>
      <w:sz w:val="18"/>
      <w:szCs w:val="18"/>
      <w:lang w:val="en-US" w:eastAsia="zh-CN" w:bidi="ar-SA"/>
    </w:rPr>
  </w:style>
  <w:style w:type="character" w:customStyle="1" w:styleId="216">
    <w:name w:val="md"/>
    <w:basedOn w:val="70"/>
    <w:autoRedefine/>
    <w:qFormat/>
    <w:uiPriority w:val="0"/>
    <w:rPr>
      <w:rFonts w:ascii="Arial" w:hAnsi="Arial" w:eastAsia="黑体" w:cs="Arial"/>
      <w:snapToGrid w:val="0"/>
      <w:kern w:val="0"/>
      <w:szCs w:val="21"/>
    </w:rPr>
  </w:style>
  <w:style w:type="character" w:customStyle="1" w:styleId="217">
    <w:name w:val="big1"/>
    <w:autoRedefine/>
    <w:qFormat/>
    <w:uiPriority w:val="0"/>
    <w:rPr>
      <w:rFonts w:hint="eastAsia" w:ascii="宋体" w:hAnsi="宋体" w:eastAsia="宋体"/>
      <w:color w:val="333333"/>
      <w:sz w:val="22"/>
      <w:szCs w:val="22"/>
    </w:rPr>
  </w:style>
  <w:style w:type="character" w:customStyle="1" w:styleId="218">
    <w:name w:val="Char Char311"/>
    <w:autoRedefine/>
    <w:qFormat/>
    <w:uiPriority w:val="0"/>
    <w:rPr>
      <w:rFonts w:eastAsia="宋体"/>
      <w:kern w:val="2"/>
      <w:sz w:val="21"/>
      <w:szCs w:val="24"/>
      <w:lang w:val="en-US" w:eastAsia="zh-CN" w:bidi="ar-SA"/>
    </w:rPr>
  </w:style>
  <w:style w:type="character" w:customStyle="1" w:styleId="219">
    <w:name w:val="Char Char81"/>
    <w:autoRedefine/>
    <w:qFormat/>
    <w:uiPriority w:val="6"/>
    <w:rPr>
      <w:rFonts w:eastAsia="宋体"/>
      <w:b/>
      <w:sz w:val="24"/>
      <w:lang w:val="en-GB" w:eastAsia="zh-CN"/>
    </w:rPr>
  </w:style>
  <w:style w:type="character" w:customStyle="1" w:styleId="220">
    <w:name w:val="样式3 Char"/>
    <w:basedOn w:val="171"/>
    <w:autoRedefine/>
    <w:qFormat/>
    <w:uiPriority w:val="0"/>
    <w:rPr>
      <w:rFonts w:ascii="仿宋_GB2312" w:hAnsi="仿宋" w:eastAsia="仿宋_GB2312" w:cs="仿宋_GB2312"/>
      <w:sz w:val="32"/>
      <w:szCs w:val="30"/>
      <w:lang w:val="zh-CN"/>
    </w:rPr>
  </w:style>
  <w:style w:type="character" w:customStyle="1" w:styleId="221">
    <w:name w:val="HTML 地址 字符"/>
    <w:link w:val="32"/>
    <w:autoRedefine/>
    <w:qFormat/>
    <w:uiPriority w:val="0"/>
    <w:rPr>
      <w:rFonts w:ascii="宋体" w:hAnsi="宋体"/>
      <w:i/>
      <w:iCs/>
      <w:sz w:val="24"/>
      <w:szCs w:val="24"/>
    </w:rPr>
  </w:style>
  <w:style w:type="character" w:customStyle="1" w:styleId="222">
    <w:name w:val="正文首行缩进 2 Char1"/>
    <w:autoRedefine/>
    <w:qFormat/>
    <w:uiPriority w:val="0"/>
    <w:rPr>
      <w:rFonts w:ascii="Times New Roman" w:hAnsi="Times New Roman" w:eastAsia="宋体" w:cs="Times New Roman"/>
      <w:kern w:val="2"/>
      <w:sz w:val="24"/>
      <w:szCs w:val="24"/>
    </w:rPr>
  </w:style>
  <w:style w:type="character" w:customStyle="1" w:styleId="223">
    <w:name w:val="副标题 Char2"/>
    <w:autoRedefine/>
    <w:qFormat/>
    <w:uiPriority w:val="0"/>
    <w:rPr>
      <w:rFonts w:ascii="Cambria" w:hAnsi="Cambria" w:eastAsia="宋体" w:cs="Times New Roman"/>
      <w:b/>
      <w:bCs/>
      <w:snapToGrid w:val="0"/>
      <w:kern w:val="28"/>
      <w:sz w:val="32"/>
      <w:szCs w:val="32"/>
    </w:rPr>
  </w:style>
  <w:style w:type="character" w:customStyle="1" w:styleId="224">
    <w:name w:val="标题4-dyf Char"/>
    <w:link w:val="225"/>
    <w:autoRedefine/>
    <w:qFormat/>
    <w:uiPriority w:val="0"/>
    <w:rPr>
      <w:rFonts w:ascii="Cambria" w:hAnsi="Cambria"/>
      <w:b/>
      <w:bCs/>
      <w:color w:val="000000"/>
      <w:kern w:val="2"/>
      <w:sz w:val="21"/>
      <w:szCs w:val="21"/>
    </w:rPr>
  </w:style>
  <w:style w:type="paragraph" w:customStyle="1" w:styleId="225">
    <w:name w:val="标题4-dyf"/>
    <w:basedOn w:val="8"/>
    <w:link w:val="224"/>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autoRedefine/>
    <w:qFormat/>
    <w:uiPriority w:val="0"/>
    <w:rPr>
      <w:rFonts w:ascii="宋体" w:hAnsi="宋体" w:eastAsia="宋体"/>
      <w:color w:val="333333"/>
      <w:sz w:val="21"/>
      <w:szCs w:val="21"/>
      <w:u w:val="none"/>
    </w:rPr>
  </w:style>
  <w:style w:type="character" w:customStyle="1" w:styleId="227">
    <w:name w:val="冯 Char"/>
    <w:link w:val="228"/>
    <w:autoRedefine/>
    <w:qFormat/>
    <w:uiPriority w:val="0"/>
    <w:rPr>
      <w:rFonts w:ascii="宋体" w:hAnsi="宋体"/>
      <w:color w:val="000000"/>
      <w:sz w:val="24"/>
      <w:szCs w:val="24"/>
    </w:rPr>
  </w:style>
  <w:style w:type="paragraph" w:customStyle="1" w:styleId="228">
    <w:name w:val="冯"/>
    <w:basedOn w:val="1"/>
    <w:link w:val="227"/>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autoRedefine/>
    <w:qFormat/>
    <w:locked/>
    <w:uiPriority w:val="0"/>
    <w:rPr>
      <w:rFonts w:eastAsia="宋体"/>
      <w:kern w:val="2"/>
      <w:sz w:val="18"/>
      <w:szCs w:val="18"/>
      <w:lang w:val="en-US" w:eastAsia="zh-CN" w:bidi="ar-SA"/>
    </w:rPr>
  </w:style>
  <w:style w:type="character" w:customStyle="1" w:styleId="230">
    <w:name w:val="Char Char12"/>
    <w:autoRedefine/>
    <w:qFormat/>
    <w:uiPriority w:val="0"/>
    <w:rPr>
      <w:rFonts w:ascii="仿宋_GB2312" w:eastAsia="仿宋_GB2312"/>
      <w:b/>
      <w:bCs/>
      <w:kern w:val="2"/>
      <w:sz w:val="24"/>
      <w:szCs w:val="24"/>
      <w:lang w:val="zh-CN" w:eastAsia="zh-CN" w:bidi="ar-SA"/>
    </w:rPr>
  </w:style>
  <w:style w:type="character" w:customStyle="1" w:styleId="231">
    <w:name w:val="题注 字符"/>
    <w:link w:val="19"/>
    <w:autoRedefine/>
    <w:qFormat/>
    <w:uiPriority w:val="0"/>
    <w:rPr>
      <w:b/>
      <w:kern w:val="2"/>
      <w:sz w:val="28"/>
    </w:rPr>
  </w:style>
  <w:style w:type="character" w:customStyle="1" w:styleId="232">
    <w:name w:val="普通文字 Char3"/>
    <w:autoRedefine/>
    <w:qFormat/>
    <w:uiPriority w:val="0"/>
    <w:rPr>
      <w:rFonts w:ascii="宋体" w:hAnsi="Courier New" w:eastAsia="宋体"/>
      <w:kern w:val="2"/>
      <w:sz w:val="21"/>
      <w:lang w:val="en-US" w:eastAsia="zh-CN" w:bidi="ar-SA"/>
    </w:rPr>
  </w:style>
  <w:style w:type="character" w:customStyle="1" w:styleId="233">
    <w:name w:val="公文正文 Char"/>
    <w:autoRedefine/>
    <w:qFormat/>
    <w:uiPriority w:val="0"/>
    <w:rPr>
      <w:rFonts w:ascii="仿宋_GB2312" w:eastAsia="仿宋_GB2312"/>
      <w:kern w:val="2"/>
      <w:sz w:val="24"/>
      <w:szCs w:val="24"/>
      <w:lang w:val="en-US" w:eastAsia="zh-CN" w:bidi="ar-SA"/>
    </w:rPr>
  </w:style>
  <w:style w:type="character" w:customStyle="1" w:styleId="234">
    <w:name w:val="正文首行缩进 Char Char Char Char Char"/>
    <w:autoRedefine/>
    <w:qFormat/>
    <w:uiPriority w:val="0"/>
    <w:rPr>
      <w:rFonts w:ascii="宋体"/>
      <w:kern w:val="2"/>
      <w:sz w:val="24"/>
      <w:lang w:val="zh-CN"/>
    </w:rPr>
  </w:style>
  <w:style w:type="character" w:customStyle="1" w:styleId="235">
    <w:name w:val="PI Char"/>
    <w:autoRedefine/>
    <w:qFormat/>
    <w:uiPriority w:val="0"/>
    <w:rPr>
      <w:rFonts w:ascii="宋体" w:hAnsi="宋体" w:eastAsia="宋体"/>
      <w:kern w:val="2"/>
      <w:sz w:val="24"/>
      <w:szCs w:val="24"/>
      <w:lang w:val="en-US" w:eastAsia="zh-CN" w:bidi="ar-SA"/>
    </w:rPr>
  </w:style>
  <w:style w:type="character" w:customStyle="1" w:styleId="236">
    <w:name w:val="Default Char"/>
    <w:link w:val="237"/>
    <w:autoRedefine/>
    <w:qFormat/>
    <w:uiPriority w:val="0"/>
    <w:rPr>
      <w:rFonts w:ascii="仿宋_GB2312" w:eastAsia="仿宋_GB2312" w:cs="仿宋_GB2312"/>
      <w:color w:val="000000"/>
      <w:sz w:val="24"/>
      <w:szCs w:val="24"/>
      <w:lang w:val="en-US" w:eastAsia="zh-CN" w:bidi="ar-SA"/>
    </w:rPr>
  </w:style>
  <w:style w:type="paragraph" w:customStyle="1" w:styleId="237">
    <w:name w:val="Default"/>
    <w:link w:val="23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autoRedefine/>
    <w:qFormat/>
    <w:uiPriority w:val="0"/>
    <w:rPr>
      <w:color w:val="333333"/>
    </w:rPr>
  </w:style>
  <w:style w:type="character" w:customStyle="1" w:styleId="239">
    <w:name w:val="列出段落 Char2"/>
    <w:autoRedefine/>
    <w:qFormat/>
    <w:uiPriority w:val="34"/>
    <w:rPr>
      <w:rFonts w:ascii="Calibri" w:hAnsi="Calibri"/>
      <w:kern w:val="2"/>
      <w:sz w:val="28"/>
    </w:rPr>
  </w:style>
  <w:style w:type="character" w:customStyle="1" w:styleId="240">
    <w:name w:val="mdeck"/>
    <w:autoRedefine/>
    <w:qFormat/>
    <w:uiPriority w:val="0"/>
    <w:rPr>
      <w:rFonts w:ascii="仿宋_GB2312" w:eastAsia="微软雅黑"/>
      <w:b/>
      <w:kern w:val="2"/>
      <w:sz w:val="32"/>
      <w:szCs w:val="32"/>
      <w:lang w:val="en-US" w:eastAsia="zh-CN" w:bidi="ar-SA"/>
    </w:rPr>
  </w:style>
  <w:style w:type="character" w:customStyle="1" w:styleId="241">
    <w:name w:val="unnamed11"/>
    <w:autoRedefine/>
    <w:qFormat/>
    <w:uiPriority w:val="0"/>
    <w:rPr>
      <w:sz w:val="20"/>
      <w:szCs w:val="20"/>
    </w:rPr>
  </w:style>
  <w:style w:type="character" w:customStyle="1" w:styleId="242">
    <w:name w:val="正文文本 Char2"/>
    <w:autoRedefine/>
    <w:semiHidden/>
    <w:qFormat/>
    <w:uiPriority w:val="99"/>
    <w:rPr>
      <w:rFonts w:ascii="Times New Roman" w:hAnsi="Times New Roman" w:eastAsia="宋体" w:cs="Times New Roman"/>
      <w:snapToGrid w:val="0"/>
      <w:kern w:val="0"/>
      <w:szCs w:val="24"/>
    </w:rPr>
  </w:style>
  <w:style w:type="character" w:customStyle="1" w:styleId="243">
    <w:name w:val="标书正文格式 Char"/>
    <w:autoRedefine/>
    <w:qFormat/>
    <w:uiPriority w:val="0"/>
    <w:rPr>
      <w:rFonts w:eastAsia="楷体_GB2312"/>
      <w:kern w:val="2"/>
      <w:sz w:val="24"/>
      <w:szCs w:val="24"/>
      <w:lang w:bidi="ar-SA"/>
    </w:rPr>
  </w:style>
  <w:style w:type="character" w:customStyle="1" w:styleId="244">
    <w:name w:val="Char Char11"/>
    <w:autoRedefine/>
    <w:qFormat/>
    <w:locked/>
    <w:uiPriority w:val="0"/>
    <w:rPr>
      <w:rFonts w:ascii="宋体" w:hAnsi="宋体" w:eastAsia="宋体"/>
      <w:b/>
      <w:kern w:val="2"/>
      <w:sz w:val="24"/>
      <w:szCs w:val="24"/>
      <w:lang w:val="en-US" w:eastAsia="zh-CN" w:bidi="ar-SA"/>
    </w:rPr>
  </w:style>
  <w:style w:type="character" w:customStyle="1" w:styleId="245">
    <w:name w:val="ca-131"/>
    <w:autoRedefine/>
    <w:qFormat/>
    <w:uiPriority w:val="0"/>
    <w:rPr>
      <w:rFonts w:hint="eastAsia" w:ascii="仿宋_GB2312" w:eastAsia="仿宋_GB2312"/>
      <w:b/>
      <w:bCs/>
      <w:color w:val="000000"/>
      <w:spacing w:val="-20"/>
      <w:sz w:val="24"/>
      <w:szCs w:val="24"/>
    </w:rPr>
  </w:style>
  <w:style w:type="character" w:customStyle="1" w:styleId="246">
    <w:name w:val="tw4winMark"/>
    <w:autoRedefine/>
    <w:qFormat/>
    <w:uiPriority w:val="0"/>
    <w:rPr>
      <w:rFonts w:ascii="Courier New" w:hAnsi="Courier New" w:cs="Courier New"/>
      <w:vanish/>
      <w:color w:val="800080"/>
      <w:sz w:val="24"/>
      <w:szCs w:val="24"/>
      <w:vertAlign w:val="subscript"/>
    </w:rPr>
  </w:style>
  <w:style w:type="character" w:customStyle="1" w:styleId="247">
    <w:name w:val="正文样式 Char"/>
    <w:link w:val="248"/>
    <w:autoRedefine/>
    <w:qFormat/>
    <w:uiPriority w:val="0"/>
    <w:rPr>
      <w:rFonts w:ascii="Calibri" w:hAnsi="Calibri"/>
      <w:sz w:val="24"/>
      <w:szCs w:val="24"/>
    </w:rPr>
  </w:style>
  <w:style w:type="paragraph" w:customStyle="1" w:styleId="248">
    <w:name w:val="正文样式"/>
    <w:basedOn w:val="1"/>
    <w:link w:val="247"/>
    <w:autoRedefine/>
    <w:qFormat/>
    <w:uiPriority w:val="0"/>
    <w:pPr>
      <w:adjustRightInd/>
      <w:spacing w:line="360" w:lineRule="auto"/>
      <w:ind w:firstLine="480" w:firstLineChars="200"/>
    </w:pPr>
    <w:rPr>
      <w:kern w:val="0"/>
      <w:sz w:val="24"/>
    </w:rPr>
  </w:style>
  <w:style w:type="character" w:customStyle="1" w:styleId="249">
    <w:name w:val="表正文 Char3"/>
    <w:autoRedefine/>
    <w:qFormat/>
    <w:uiPriority w:val="0"/>
    <w:rPr>
      <w:rFonts w:eastAsia="宋体"/>
    </w:rPr>
  </w:style>
  <w:style w:type="character" w:customStyle="1" w:styleId="250">
    <w:name w:val="H5 Char"/>
    <w:autoRedefine/>
    <w:qFormat/>
    <w:uiPriority w:val="0"/>
    <w:rPr>
      <w:b/>
      <w:bCs/>
      <w:kern w:val="2"/>
      <w:sz w:val="28"/>
      <w:szCs w:val="28"/>
    </w:rPr>
  </w:style>
  <w:style w:type="character" w:customStyle="1" w:styleId="251">
    <w:name w:val="Char Char3"/>
    <w:autoRedefine/>
    <w:qFormat/>
    <w:uiPriority w:val="0"/>
    <w:rPr>
      <w:rFonts w:eastAsia="宋体"/>
      <w:kern w:val="2"/>
      <w:sz w:val="21"/>
      <w:szCs w:val="24"/>
      <w:lang w:val="en-US" w:eastAsia="zh-CN" w:bidi="ar-SA"/>
    </w:rPr>
  </w:style>
  <w:style w:type="character" w:customStyle="1" w:styleId="252">
    <w:name w:val="正文 编号 Char"/>
    <w:autoRedefine/>
    <w:qFormat/>
    <w:uiPriority w:val="0"/>
    <w:rPr>
      <w:rFonts w:ascii="仿宋_GB2312" w:hAnsi="仿宋_GB2312" w:eastAsia="仿宋_GB2312"/>
      <w:kern w:val="2"/>
      <w:sz w:val="24"/>
      <w:lang w:bidi="ar-SA"/>
    </w:rPr>
  </w:style>
  <w:style w:type="character" w:customStyle="1" w:styleId="253">
    <w:name w:val="question-title2"/>
    <w:autoRedefine/>
    <w:qFormat/>
    <w:uiPriority w:val="6"/>
    <w:rPr>
      <w:rFonts w:ascii="Arial" w:hAnsi="Arial" w:eastAsia="黑体" w:cs="Arial"/>
      <w:snapToGrid w:val="0"/>
      <w:kern w:val="0"/>
      <w:szCs w:val="21"/>
    </w:rPr>
  </w:style>
  <w:style w:type="character" w:customStyle="1" w:styleId="254">
    <w:name w:val="gf正文1 Char Char"/>
    <w:link w:val="255"/>
    <w:autoRedefine/>
    <w:qFormat/>
    <w:uiPriority w:val="0"/>
    <w:rPr>
      <w:rFonts w:ascii="宋体" w:hAnsi="宋体" w:cs="宋体"/>
      <w:kern w:val="2"/>
      <w:sz w:val="24"/>
      <w:szCs w:val="24"/>
    </w:rPr>
  </w:style>
  <w:style w:type="paragraph" w:customStyle="1" w:styleId="255">
    <w:name w:val="gf正文1"/>
    <w:basedOn w:val="1"/>
    <w:link w:val="254"/>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autoRedefine/>
    <w:qFormat/>
    <w:uiPriority w:val="6"/>
    <w:rPr>
      <w:rFonts w:ascii="宋体" w:hAnsi="宋体"/>
      <w:kern w:val="1"/>
      <w:sz w:val="21"/>
    </w:rPr>
  </w:style>
  <w:style w:type="character" w:customStyle="1" w:styleId="257">
    <w:name w:val="正文缩进 Char3"/>
    <w:autoRedefine/>
    <w:qFormat/>
    <w:uiPriority w:val="0"/>
    <w:rPr>
      <w:rFonts w:ascii="宋体" w:eastAsia="宋体"/>
      <w:snapToGrid w:val="0"/>
      <w:color w:val="000000"/>
      <w:kern w:val="28"/>
      <w:sz w:val="28"/>
      <w:lang w:val="en-US" w:eastAsia="zh-CN" w:bidi="ar-SA"/>
    </w:rPr>
  </w:style>
  <w:style w:type="character" w:customStyle="1" w:styleId="258">
    <w:name w:val="列出段落 Char1"/>
    <w:link w:val="259"/>
    <w:autoRedefine/>
    <w:qFormat/>
    <w:uiPriority w:val="0"/>
    <w:rPr>
      <w:rFonts w:ascii="Calibri" w:hAnsi="Calibri"/>
      <w:sz w:val="24"/>
      <w:lang w:eastAsia="en-US"/>
    </w:rPr>
  </w:style>
  <w:style w:type="paragraph" w:customStyle="1" w:styleId="259">
    <w:name w:val="列表1"/>
    <w:basedOn w:val="1"/>
    <w:next w:val="260"/>
    <w:link w:val="258"/>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0">
    <w:name w:val="列出段落1"/>
    <w:basedOn w:val="1"/>
    <w:autoRedefine/>
    <w:qFormat/>
    <w:uiPriority w:val="34"/>
    <w:pPr>
      <w:spacing w:line="360" w:lineRule="auto"/>
      <w:ind w:firstLine="200" w:firstLineChars="200"/>
    </w:pPr>
    <w:rPr>
      <w:rFonts w:eastAsia="楷体_GB2312" w:cs="Lucida Sans"/>
      <w:sz w:val="24"/>
    </w:rPr>
  </w:style>
  <w:style w:type="character" w:customStyle="1" w:styleId="261">
    <w:name w:val="Char Char8"/>
    <w:autoRedefine/>
    <w:qFormat/>
    <w:uiPriority w:val="0"/>
    <w:rPr>
      <w:rFonts w:eastAsia="宋体"/>
      <w:b/>
      <w:sz w:val="24"/>
      <w:lang w:val="en-GB" w:eastAsia="zh-CN"/>
    </w:rPr>
  </w:style>
  <w:style w:type="character" w:customStyle="1" w:styleId="262">
    <w:name w:val="Normal Indent Char Char"/>
    <w:autoRedefine/>
    <w:qFormat/>
    <w:uiPriority w:val="0"/>
    <w:rPr>
      <w:rFonts w:eastAsia="宋体"/>
      <w:kern w:val="2"/>
      <w:sz w:val="21"/>
      <w:lang w:val="en-US" w:eastAsia="zh-CN" w:bidi="ar-SA"/>
    </w:rPr>
  </w:style>
  <w:style w:type="character" w:customStyle="1" w:styleId="263">
    <w:name w:val="列表段落 字符"/>
    <w:autoRedefine/>
    <w:qFormat/>
    <w:uiPriority w:val="99"/>
  </w:style>
  <w:style w:type="character" w:customStyle="1" w:styleId="264">
    <w:name w:val="Ò³Ã¼ Char Char1"/>
    <w:autoRedefine/>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字符1"/>
    <w:link w:val="26"/>
    <w:autoRedefine/>
    <w:qFormat/>
    <w:uiPriority w:val="0"/>
    <w:rPr>
      <w:rFonts w:ascii="宋体" w:hAnsi="宋体"/>
      <w:kern w:val="2"/>
      <w:sz w:val="24"/>
      <w:szCs w:val="24"/>
    </w:rPr>
  </w:style>
  <w:style w:type="character" w:customStyle="1" w:styleId="268">
    <w:name w:val="font01"/>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autoRedefine/>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spacing w:line="360" w:lineRule="auto"/>
      <w:ind w:firstLine="200" w:firstLineChars="200"/>
    </w:pPr>
    <w:rPr>
      <w:sz w:val="24"/>
    </w:r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字符1"/>
    <w:link w:val="5"/>
    <w:autoRedefine/>
    <w:qFormat/>
    <w:uiPriority w:val="9"/>
    <w:rPr>
      <w:b/>
      <w:bCs/>
      <w:kern w:val="44"/>
      <w:sz w:val="44"/>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字符"/>
    <w:link w:val="60"/>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字符"/>
    <w:link w:val="9"/>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字符"/>
    <w:link w:val="23"/>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字符"/>
    <w:link w:val="58"/>
    <w:autoRedefine/>
    <w:qFormat/>
    <w:uiPriority w:val="0"/>
    <w:rPr>
      <w:rFonts w:ascii="黑体" w:hAnsi="Courier New" w:eastAsia="黑体"/>
    </w:rPr>
  </w:style>
  <w:style w:type="character" w:customStyle="1" w:styleId="304">
    <w:name w:val="正文文本 2 字符1"/>
    <w:link w:val="57"/>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8"/>
    <w:link w:val="4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字符"/>
    <w:link w:val="11"/>
    <w:autoRedefine/>
    <w:qFormat/>
    <w:uiPriority w:val="0"/>
    <w:rPr>
      <w:b/>
      <w:bCs/>
      <w:kern w:val="2"/>
      <w:sz w:val="24"/>
      <w:szCs w:val="24"/>
    </w:rPr>
  </w:style>
  <w:style w:type="character" w:customStyle="1" w:styleId="310">
    <w:name w:val="正文文本缩进 2 字符"/>
    <w:link w:val="39"/>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字符"/>
    <w:link w:val="52"/>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323"/>
    <w:link w:val="321"/>
    <w:autoRedefine/>
    <w:qFormat/>
    <w:uiPriority w:val="0"/>
    <w:pPr>
      <w:tabs>
        <w:tab w:val="right" w:leader="dot" w:pos="8268"/>
      </w:tabs>
      <w:adjustRightInd/>
    </w:pPr>
    <w:rPr>
      <w:rFonts w:ascii="宋体"/>
      <w:kern w:val="0"/>
      <w:sz w:val="20"/>
      <w:szCs w:val="20"/>
    </w:rPr>
  </w:style>
  <w:style w:type="paragraph" w:customStyle="1" w:styleId="323">
    <w:name w:val="正文1"/>
    <w:basedOn w:val="34"/>
    <w:autoRedefine/>
    <w:qFormat/>
    <w:uiPriority w:val="0"/>
    <w:pPr>
      <w:ind w:left="0" w:leftChars="0" w:firstLine="480" w:firstLineChars="200"/>
    </w:pPr>
    <w:rPr>
      <w:rFonts w:ascii="仿宋_GB2312" w:hAnsi="Courier New" w:eastAsia="仿宋_GB2312"/>
      <w:kern w:val="28"/>
      <w:sz w:val="24"/>
    </w:rPr>
  </w:style>
  <w:style w:type="character" w:customStyle="1" w:styleId="324">
    <w:name w:val="正文文本首行缩进 字符"/>
    <w:link w:val="2"/>
    <w:autoRedefine/>
    <w:qFormat/>
    <w:uiPriority w:val="0"/>
    <w:rPr>
      <w:rFonts w:ascii="宋体"/>
      <w:kern w:val="2"/>
      <w:sz w:val="24"/>
      <w:lang w:val="zh-CN"/>
    </w:rPr>
  </w:style>
  <w:style w:type="character" w:customStyle="1" w:styleId="325">
    <w:name w:val="h3 Char"/>
    <w:autoRedefine/>
    <w:qFormat/>
    <w:uiPriority w:val="0"/>
    <w:rPr>
      <w:rFonts w:eastAsia="宋体"/>
      <w:b/>
      <w:kern w:val="2"/>
      <w:sz w:val="32"/>
      <w:lang w:val="en-US" w:eastAsia="zh-CN" w:bidi="ar-SA"/>
    </w:rPr>
  </w:style>
  <w:style w:type="character" w:customStyle="1" w:styleId="326">
    <w:name w:val="dandyren_title1"/>
    <w:autoRedefine/>
    <w:qFormat/>
    <w:uiPriority w:val="0"/>
    <w:rPr>
      <w:b/>
      <w:bCs/>
      <w:color w:val="FF6633"/>
      <w:sz w:val="18"/>
      <w:szCs w:val="18"/>
    </w:rPr>
  </w:style>
  <w:style w:type="character" w:customStyle="1" w:styleId="327">
    <w:name w:val="Char Char31"/>
    <w:autoRedefine/>
    <w:qFormat/>
    <w:uiPriority w:val="6"/>
    <w:rPr>
      <w:rFonts w:ascii="Arial" w:hAnsi="Arial" w:eastAsia="黑体"/>
      <w:kern w:val="1"/>
      <w:sz w:val="24"/>
      <w:szCs w:val="24"/>
    </w:rPr>
  </w:style>
  <w:style w:type="character" w:customStyle="1" w:styleId="328">
    <w:name w:val="h Char1"/>
    <w:autoRedefine/>
    <w:qFormat/>
    <w:uiPriority w:val="0"/>
    <w:rPr>
      <w:sz w:val="18"/>
      <w:szCs w:val="18"/>
    </w:rPr>
  </w:style>
  <w:style w:type="character" w:customStyle="1" w:styleId="329">
    <w:name w:val="solutionfonts"/>
    <w:autoRedefine/>
    <w:qFormat/>
    <w:uiPriority w:val="0"/>
  </w:style>
  <w:style w:type="character" w:customStyle="1" w:styleId="330">
    <w:name w:val="标题 4 字符1"/>
    <w:link w:val="8"/>
    <w:autoRedefine/>
    <w:qFormat/>
    <w:uiPriority w:val="9"/>
    <w:rPr>
      <w:rFonts w:ascii="Arial" w:hAnsi="Arial" w:eastAsia="黑体"/>
      <w:b/>
      <w:bCs/>
      <w:kern w:val="2"/>
      <w:sz w:val="28"/>
      <w:szCs w:val="28"/>
      <w:lang w:val="zh-CN"/>
    </w:rPr>
  </w:style>
  <w:style w:type="character" w:customStyle="1" w:styleId="331">
    <w:name w:val="首行缩进 Char"/>
    <w:autoRedefine/>
    <w:qFormat/>
    <w:uiPriority w:val="0"/>
    <w:rPr>
      <w:rFonts w:ascii="宋体" w:eastAsia="宋体"/>
      <w:kern w:val="2"/>
      <w:sz w:val="24"/>
      <w:lang w:val="en-US" w:eastAsia="zh-CN" w:bidi="ar-SA"/>
    </w:rPr>
  </w:style>
  <w:style w:type="character" w:customStyle="1" w:styleId="332">
    <w:name w:val="Char Char52"/>
    <w:autoRedefine/>
    <w:qFormat/>
    <w:uiPriority w:val="0"/>
    <w:rPr>
      <w:rFonts w:ascii="宋体" w:hAnsi="Courier New" w:eastAsia="宋体"/>
      <w:kern w:val="2"/>
      <w:sz w:val="21"/>
      <w:lang w:val="en-US" w:eastAsia="zh-CN"/>
    </w:rPr>
  </w:style>
  <w:style w:type="character" w:customStyle="1" w:styleId="333">
    <w:name w:val="正文文本 3 字符"/>
    <w:link w:val="24"/>
    <w:autoRedefine/>
    <w:qFormat/>
    <w:uiPriority w:val="0"/>
    <w:rPr>
      <w:kern w:val="2"/>
      <w:sz w:val="21"/>
    </w:rPr>
  </w:style>
  <w:style w:type="character" w:customStyle="1" w:styleId="334">
    <w:name w:val="font31"/>
    <w:autoRedefine/>
    <w:qFormat/>
    <w:uiPriority w:val="0"/>
    <w:rPr>
      <w:rFonts w:hint="eastAsia" w:ascii="仿宋" w:hAnsi="仿宋" w:eastAsia="仿宋" w:cs="仿宋"/>
      <w:color w:val="000000"/>
      <w:sz w:val="20"/>
      <w:szCs w:val="20"/>
      <w:u w:val="none"/>
    </w:rPr>
  </w:style>
  <w:style w:type="character" w:customStyle="1" w:styleId="335">
    <w:name w:val="正文说明 Char"/>
    <w:link w:val="336"/>
    <w:autoRedefine/>
    <w:qFormat/>
    <w:uiPriority w:val="0"/>
    <w:rPr>
      <w:sz w:val="24"/>
      <w:szCs w:val="24"/>
    </w:rPr>
  </w:style>
  <w:style w:type="paragraph" w:customStyle="1" w:styleId="336">
    <w:name w:val="正文说明"/>
    <w:basedOn w:val="1"/>
    <w:link w:val="335"/>
    <w:autoRedefine/>
    <w:qFormat/>
    <w:uiPriority w:val="0"/>
    <w:pPr>
      <w:adjustRightInd/>
      <w:spacing w:line="360" w:lineRule="auto"/>
    </w:pPr>
    <w:rPr>
      <w:kern w:val="0"/>
      <w:sz w:val="24"/>
    </w:rPr>
  </w:style>
  <w:style w:type="character" w:customStyle="1" w:styleId="337">
    <w:name w:val="脚注文本 Char1"/>
    <w:autoRedefine/>
    <w:qFormat/>
    <w:uiPriority w:val="0"/>
    <w:rPr>
      <w:rFonts w:ascii="Times New Roman" w:hAnsi="Times New Roman" w:eastAsia="宋体" w:cs="Times New Roman"/>
      <w:sz w:val="18"/>
      <w:szCs w:val="18"/>
    </w:rPr>
  </w:style>
  <w:style w:type="character" w:customStyle="1" w:styleId="338">
    <w:name w:val="Char Char1211"/>
    <w:autoRedefine/>
    <w:qFormat/>
    <w:uiPriority w:val="0"/>
    <w:rPr>
      <w:rFonts w:ascii="仿宋_GB2312" w:eastAsia="仿宋_GB2312"/>
      <w:b/>
      <w:bCs/>
      <w:kern w:val="2"/>
      <w:sz w:val="24"/>
      <w:szCs w:val="24"/>
      <w:lang w:val="zh-CN" w:eastAsia="zh-CN" w:bidi="ar-SA"/>
    </w:rPr>
  </w:style>
  <w:style w:type="character" w:customStyle="1" w:styleId="339">
    <w:name w:val="标题 Char"/>
    <w:autoRedefine/>
    <w:qFormat/>
    <w:uiPriority w:val="0"/>
    <w:rPr>
      <w:rFonts w:eastAsia="宋体"/>
      <w:b/>
      <w:sz w:val="24"/>
      <w:lang w:val="en-GB" w:eastAsia="zh-CN" w:bidi="ar-SA"/>
    </w:rPr>
  </w:style>
  <w:style w:type="character" w:customStyle="1" w:styleId="340">
    <w:name w:val="Char Char35"/>
    <w:autoRedefine/>
    <w:qFormat/>
    <w:uiPriority w:val="6"/>
    <w:rPr>
      <w:rFonts w:ascii="Arial" w:hAnsi="Arial" w:eastAsia="黑体"/>
      <w:b/>
      <w:kern w:val="1"/>
      <w:sz w:val="28"/>
      <w:szCs w:val="28"/>
      <w:lang w:val="zh-CN"/>
    </w:rPr>
  </w:style>
  <w:style w:type="character" w:customStyle="1" w:styleId="341">
    <w:name w:val="纯文本 Char Char Char"/>
    <w:autoRedefine/>
    <w:qFormat/>
    <w:uiPriority w:val="0"/>
    <w:rPr>
      <w:rFonts w:ascii="宋体" w:hAnsi="Courier New" w:eastAsia="宋体"/>
      <w:kern w:val="2"/>
      <w:sz w:val="21"/>
      <w:lang w:val="en-US" w:eastAsia="zh-CN" w:bidi="ar-SA"/>
    </w:rPr>
  </w:style>
  <w:style w:type="character" w:customStyle="1" w:styleId="342">
    <w:name w:val="Table Text Char"/>
    <w:link w:val="343"/>
    <w:autoRedefine/>
    <w:qFormat/>
    <w:uiPriority w:val="0"/>
    <w:rPr>
      <w:sz w:val="24"/>
      <w:szCs w:val="24"/>
    </w:rPr>
  </w:style>
  <w:style w:type="paragraph" w:customStyle="1" w:styleId="343">
    <w:name w:val="Table Text"/>
    <w:basedOn w:val="1"/>
    <w:link w:val="342"/>
    <w:autoRedefine/>
    <w:qFormat/>
    <w:uiPriority w:val="0"/>
    <w:pPr>
      <w:widowControl/>
      <w:spacing w:before="60" w:after="60"/>
      <w:jc w:val="left"/>
    </w:pPr>
    <w:rPr>
      <w:kern w:val="0"/>
      <w:sz w:val="24"/>
    </w:rPr>
  </w:style>
  <w:style w:type="character" w:customStyle="1" w:styleId="344">
    <w:name w:val="正文1 Char1"/>
    <w:autoRedefine/>
    <w:qFormat/>
    <w:uiPriority w:val="0"/>
    <w:rPr>
      <w:rFonts w:ascii="仿宋_GB2312" w:hAnsi="Courier New" w:eastAsia="仿宋_GB2312"/>
      <w:kern w:val="28"/>
      <w:sz w:val="24"/>
      <w:szCs w:val="24"/>
      <w:lang w:val="en-US" w:eastAsia="zh-CN"/>
    </w:rPr>
  </w:style>
  <w:style w:type="character" w:customStyle="1" w:styleId="345">
    <w:name w:val="页脚 Char1"/>
    <w:autoRedefine/>
    <w:qFormat/>
    <w:uiPriority w:val="0"/>
    <w:rPr>
      <w:rFonts w:eastAsia="宋体"/>
      <w:kern w:val="2"/>
      <w:sz w:val="18"/>
      <w:szCs w:val="18"/>
      <w:lang w:val="en-US" w:eastAsia="zh-CN" w:bidi="ar-SA"/>
    </w:rPr>
  </w:style>
  <w:style w:type="character" w:customStyle="1" w:styleId="346">
    <w:name w:val="Bold"/>
    <w:autoRedefine/>
    <w:qFormat/>
    <w:uiPriority w:val="0"/>
    <w:rPr>
      <w:rFonts w:ascii="Arial" w:hAnsi="Arial" w:eastAsia="黑体" w:cs="Times New Roman"/>
      <w:b/>
      <w:kern w:val="2"/>
      <w:sz w:val="32"/>
      <w:szCs w:val="32"/>
      <w:lang w:val="en-US" w:eastAsia="zh-CN" w:bidi="ar-SA"/>
    </w:rPr>
  </w:style>
  <w:style w:type="character" w:customStyle="1" w:styleId="347">
    <w:name w:val="批注文字 字符1"/>
    <w:link w:val="22"/>
    <w:autoRedefine/>
    <w:qFormat/>
    <w:uiPriority w:val="99"/>
    <w:rPr>
      <w:kern w:val="2"/>
      <w:sz w:val="21"/>
      <w:szCs w:val="24"/>
    </w:rPr>
  </w:style>
  <w:style w:type="character" w:customStyle="1" w:styleId="348">
    <w:name w:val="签名 字符"/>
    <w:link w:val="44"/>
    <w:autoRedefine/>
    <w:qFormat/>
    <w:uiPriority w:val="0"/>
    <w:rPr>
      <w:rFonts w:eastAsia="仿宋_GB2312"/>
      <w:sz w:val="24"/>
    </w:rPr>
  </w:style>
  <w:style w:type="character" w:customStyle="1" w:styleId="349">
    <w:name w:val="hui3"/>
    <w:autoRedefine/>
    <w:qFormat/>
    <w:uiPriority w:val="0"/>
    <w:rPr>
      <w:color w:val="333333"/>
    </w:rPr>
  </w:style>
  <w:style w:type="character" w:customStyle="1" w:styleId="350">
    <w:name w:val="Char Char17"/>
    <w:autoRedefine/>
    <w:qFormat/>
    <w:uiPriority w:val="6"/>
    <w:rPr>
      <w:rFonts w:eastAsia="仿宋_GB2312"/>
      <w:sz w:val="24"/>
    </w:rPr>
  </w:style>
  <w:style w:type="character" w:customStyle="1" w:styleId="351">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2">
    <w:name w:val="Char Char37"/>
    <w:autoRedefine/>
    <w:qFormat/>
    <w:uiPriority w:val="6"/>
    <w:rPr>
      <w:b/>
      <w:kern w:val="1"/>
      <w:sz w:val="44"/>
      <w:szCs w:val="44"/>
    </w:rPr>
  </w:style>
  <w:style w:type="character" w:customStyle="1" w:styleId="353">
    <w:name w:val="列出段落 Char"/>
    <w:autoRedefine/>
    <w:qFormat/>
    <w:uiPriority w:val="0"/>
    <w:rPr>
      <w:rFonts w:eastAsia="楷体_GB2312" w:cs="Lucida Sans"/>
      <w:kern w:val="2"/>
      <w:sz w:val="24"/>
      <w:szCs w:val="24"/>
      <w:lang w:val="en-US" w:eastAsia="zh-CN" w:bidi="ar-SA"/>
    </w:rPr>
  </w:style>
  <w:style w:type="character" w:customStyle="1" w:styleId="354">
    <w:name w:val="正文文本缩进 3 Char1"/>
    <w:autoRedefine/>
    <w:semiHidden/>
    <w:qFormat/>
    <w:uiPriority w:val="99"/>
    <w:rPr>
      <w:rFonts w:ascii="Times New Roman" w:hAnsi="Times New Roman" w:eastAsia="宋体" w:cs="Times New Roman"/>
      <w:sz w:val="16"/>
      <w:szCs w:val="16"/>
    </w:rPr>
  </w:style>
  <w:style w:type="character" w:customStyle="1" w:styleId="355">
    <w:name w:val="公文正文 Char Char"/>
    <w:link w:val="356"/>
    <w:autoRedefine/>
    <w:qFormat/>
    <w:uiPriority w:val="0"/>
    <w:rPr>
      <w:rFonts w:ascii="仿宋_GB2312" w:eastAsia="仿宋_GB2312"/>
      <w:kern w:val="2"/>
      <w:sz w:val="24"/>
      <w:szCs w:val="24"/>
    </w:rPr>
  </w:style>
  <w:style w:type="paragraph" w:customStyle="1" w:styleId="356">
    <w:name w:val="公文正文"/>
    <w:basedOn w:val="1"/>
    <w:link w:val="355"/>
    <w:autoRedefine/>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autoRedefine/>
    <w:qFormat/>
    <w:uiPriority w:val="0"/>
    <w:rPr>
      <w:rFonts w:eastAsia="宋体"/>
      <w:sz w:val="24"/>
      <w:szCs w:val="24"/>
      <w:lang w:val="en-US" w:eastAsia="zh-CN" w:bidi="ar-SA"/>
    </w:rPr>
  </w:style>
  <w:style w:type="character" w:customStyle="1" w:styleId="358">
    <w:name w:val="标题 1 Char Char"/>
    <w:autoRedefine/>
    <w:qFormat/>
    <w:uiPriority w:val="0"/>
    <w:rPr>
      <w:rFonts w:hint="eastAsia" w:ascii="宋体" w:hAnsi="宋体" w:eastAsia="宋体"/>
      <w:b/>
      <w:spacing w:val="-2"/>
      <w:sz w:val="24"/>
      <w:lang w:val="en-US" w:eastAsia="zh-CN" w:bidi="ar-SA"/>
    </w:rPr>
  </w:style>
  <w:style w:type="character" w:customStyle="1" w:styleId="359">
    <w:name w:val="正文（缩进2汉字） Char"/>
    <w:link w:val="360"/>
    <w:autoRedefine/>
    <w:qFormat/>
    <w:uiPriority w:val="0"/>
    <w:rPr>
      <w:rFonts w:ascii="宋体"/>
    </w:rPr>
  </w:style>
  <w:style w:type="paragraph" w:customStyle="1" w:styleId="360">
    <w:name w:val="正文（缩进2汉字）"/>
    <w:basedOn w:val="1"/>
    <w:link w:val="35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2"/>
    <w:autoRedefine/>
    <w:qFormat/>
    <w:uiPriority w:val="0"/>
    <w:rPr>
      <w:rFonts w:ascii="Arial" w:hAnsi="Arial" w:eastAsia="黑体"/>
      <w:kern w:val="2"/>
      <w:sz w:val="24"/>
      <w:szCs w:val="24"/>
    </w:rPr>
  </w:style>
  <w:style w:type="character" w:customStyle="1" w:styleId="362">
    <w:name w:val="标书表格字体格式 Char"/>
    <w:autoRedefine/>
    <w:qFormat/>
    <w:uiPriority w:val="0"/>
    <w:rPr>
      <w:kern w:val="2"/>
      <w:sz w:val="21"/>
      <w:szCs w:val="24"/>
      <w:lang w:bidi="ar-SA"/>
    </w:rPr>
  </w:style>
  <w:style w:type="character" w:customStyle="1" w:styleId="363">
    <w:name w:val="tw4winError"/>
    <w:autoRedefine/>
    <w:qFormat/>
    <w:uiPriority w:val="0"/>
    <w:rPr>
      <w:rFonts w:ascii="Courier New" w:hAnsi="Courier New" w:cs="Courier New"/>
      <w:color w:val="00FF00"/>
      <w:sz w:val="40"/>
      <w:szCs w:val="40"/>
    </w:rPr>
  </w:style>
  <w:style w:type="character" w:customStyle="1" w:styleId="364">
    <w:name w:val="Body Text(ch) Char Char"/>
    <w:autoRedefine/>
    <w:qFormat/>
    <w:uiPriority w:val="0"/>
    <w:rPr>
      <w:rFonts w:ascii="宋体"/>
      <w:kern w:val="2"/>
      <w:sz w:val="24"/>
      <w:szCs w:val="21"/>
      <w:lang w:val="zh-CN"/>
    </w:rPr>
  </w:style>
  <w:style w:type="character" w:customStyle="1" w:styleId="365">
    <w:name w:val="正文首行缩进两字 Char"/>
    <w:autoRedefine/>
    <w:qFormat/>
    <w:uiPriority w:val="0"/>
    <w:rPr>
      <w:sz w:val="24"/>
      <w:szCs w:val="24"/>
      <w:lang w:val="en-US" w:eastAsia="zh-CN" w:bidi="ar-SA"/>
    </w:rPr>
  </w:style>
  <w:style w:type="character" w:customStyle="1" w:styleId="366">
    <w:name w:val="正文文本 Char"/>
    <w:autoRedefine/>
    <w:qFormat/>
    <w:uiPriority w:val="0"/>
    <w:rPr>
      <w:rFonts w:eastAsia="宋体"/>
      <w:kern w:val="2"/>
      <w:sz w:val="24"/>
      <w:szCs w:val="24"/>
      <w:lang w:val="en-US" w:eastAsia="zh-CN" w:bidi="ar-SA"/>
    </w:rPr>
  </w:style>
  <w:style w:type="character" w:customStyle="1" w:styleId="367">
    <w:name w:val="文档结构图 字符1"/>
    <w:autoRedefine/>
    <w:qFormat/>
    <w:uiPriority w:val="0"/>
    <w:rPr>
      <w:rFonts w:ascii="宋体" w:hAnsi="Calibri" w:eastAsia="黑体" w:cs="Arial"/>
      <w:snapToGrid w:val="0"/>
      <w:kern w:val="2"/>
      <w:sz w:val="18"/>
      <w:szCs w:val="18"/>
    </w:rPr>
  </w:style>
  <w:style w:type="character" w:customStyle="1" w:styleId="368">
    <w:name w:val="content"/>
    <w:autoRedefine/>
    <w:qFormat/>
    <w:uiPriority w:val="0"/>
  </w:style>
  <w:style w:type="character" w:customStyle="1" w:styleId="369">
    <w:name w:val="tw4winPopup"/>
    <w:autoRedefine/>
    <w:qFormat/>
    <w:uiPriority w:val="0"/>
    <w:rPr>
      <w:rFonts w:ascii="Courier New" w:hAnsi="Courier New" w:cs="Courier New"/>
      <w:color w:val="008000"/>
      <w:lang w:val="en-US" w:eastAsia="zh-CN"/>
    </w:rPr>
  </w:style>
  <w:style w:type="character" w:customStyle="1" w:styleId="370">
    <w:name w:val="param-name"/>
    <w:autoRedefine/>
    <w:qFormat/>
    <w:uiPriority w:val="99"/>
    <w:rPr>
      <w:rFonts w:ascii="Arial" w:hAnsi="Arial" w:eastAsia="黑体" w:cs="Arial"/>
      <w:snapToGrid w:val="0"/>
      <w:kern w:val="0"/>
      <w:szCs w:val="21"/>
    </w:rPr>
  </w:style>
  <w:style w:type="character" w:customStyle="1" w:styleId="371">
    <w:name w:val="标准正文格式 Char"/>
    <w:autoRedefine/>
    <w:qFormat/>
    <w:uiPriority w:val="0"/>
    <w:rPr>
      <w:rFonts w:ascii="宋体" w:eastAsia="仿宋_GB2312" w:cs="宋体"/>
      <w:color w:val="000000"/>
      <w:sz w:val="24"/>
      <w:lang w:val="en-US" w:eastAsia="zh-CN" w:bidi="ar-SA"/>
    </w:rPr>
  </w:style>
  <w:style w:type="character" w:customStyle="1" w:styleId="372">
    <w:name w:val="Char Char212"/>
    <w:autoRedefine/>
    <w:qFormat/>
    <w:uiPriority w:val="0"/>
    <w:rPr>
      <w:rFonts w:eastAsia="宋体"/>
      <w:b/>
      <w:bCs/>
      <w:kern w:val="2"/>
      <w:sz w:val="21"/>
      <w:szCs w:val="24"/>
      <w:lang w:val="en-US" w:eastAsia="zh-CN" w:bidi="ar-SA"/>
    </w:rPr>
  </w:style>
  <w:style w:type="character" w:customStyle="1" w:styleId="373">
    <w:name w:val="文档结构图 Char"/>
    <w:autoRedefine/>
    <w:qFormat/>
    <w:uiPriority w:val="0"/>
    <w:rPr>
      <w:rFonts w:eastAsia="宋体"/>
      <w:kern w:val="2"/>
      <w:sz w:val="21"/>
      <w:szCs w:val="24"/>
      <w:lang w:val="en-US" w:eastAsia="zh-CN" w:bidi="ar-SA"/>
    </w:rPr>
  </w:style>
  <w:style w:type="character" w:customStyle="1" w:styleId="374">
    <w:name w:val="zbggmain style9"/>
    <w:autoRedefine/>
    <w:qFormat/>
    <w:uiPriority w:val="0"/>
  </w:style>
  <w:style w:type="character" w:customStyle="1" w:styleId="375">
    <w:name w:val="Char Char16"/>
    <w:autoRedefine/>
    <w:qFormat/>
    <w:uiPriority w:val="6"/>
    <w:rPr>
      <w:kern w:val="1"/>
      <w:sz w:val="18"/>
      <w:szCs w:val="18"/>
    </w:rPr>
  </w:style>
  <w:style w:type="character" w:customStyle="1" w:styleId="376">
    <w:name w:val="font51"/>
    <w:autoRedefine/>
    <w:qFormat/>
    <w:uiPriority w:val="0"/>
    <w:rPr>
      <w:rFonts w:hint="eastAsia" w:ascii="仿宋" w:hAnsi="仿宋" w:eastAsia="仿宋" w:cs="仿宋"/>
      <w:color w:val="000000"/>
      <w:sz w:val="20"/>
      <w:szCs w:val="20"/>
      <w:u w:val="none"/>
    </w:rPr>
  </w:style>
  <w:style w:type="character" w:customStyle="1" w:styleId="377">
    <w:name w:val="Char Char82"/>
    <w:autoRedefine/>
    <w:qFormat/>
    <w:uiPriority w:val="0"/>
    <w:rPr>
      <w:rFonts w:eastAsia="宋体"/>
      <w:b/>
      <w:sz w:val="24"/>
      <w:lang w:val="en-GB" w:eastAsia="zh-CN"/>
    </w:rPr>
  </w:style>
  <w:style w:type="character" w:customStyle="1" w:styleId="378">
    <w:name w:val="正文文本缩进 3 字符"/>
    <w:link w:val="54"/>
    <w:autoRedefine/>
    <w:qFormat/>
    <w:uiPriority w:val="0"/>
    <w:rPr>
      <w:kern w:val="2"/>
      <w:sz w:val="24"/>
    </w:rPr>
  </w:style>
  <w:style w:type="character" w:customStyle="1" w:styleId="379">
    <w:name w:val="日期 Char1"/>
    <w:autoRedefine/>
    <w:semiHidden/>
    <w:qFormat/>
    <w:uiPriority w:val="99"/>
    <w:rPr>
      <w:rFonts w:ascii="Times New Roman" w:hAnsi="Times New Roman" w:eastAsia="宋体" w:cs="Times New Roman"/>
      <w:szCs w:val="24"/>
    </w:rPr>
  </w:style>
  <w:style w:type="character" w:customStyle="1" w:styleId="380">
    <w:name w:val="页眉 字符"/>
    <w:autoRedefine/>
    <w:qFormat/>
    <w:uiPriority w:val="99"/>
    <w:rPr>
      <w:kern w:val="2"/>
      <w:sz w:val="18"/>
      <w:szCs w:val="18"/>
    </w:rPr>
  </w:style>
  <w:style w:type="character" w:customStyle="1" w:styleId="381">
    <w:name w:val="Char Char33"/>
    <w:autoRedefine/>
    <w:qFormat/>
    <w:uiPriority w:val="6"/>
    <w:rPr>
      <w:rFonts w:ascii="Arial" w:hAnsi="Arial" w:eastAsia="黑体"/>
      <w:b/>
      <w:kern w:val="1"/>
      <w:sz w:val="24"/>
      <w:szCs w:val="24"/>
    </w:rPr>
  </w:style>
  <w:style w:type="character" w:customStyle="1" w:styleId="382">
    <w:name w:val="b11_01b Char"/>
    <w:link w:val="383"/>
    <w:autoRedefine/>
    <w:qFormat/>
    <w:uiPriority w:val="0"/>
    <w:rPr>
      <w:rFonts w:ascii="Verdana" w:hAnsi="Verdana"/>
      <w:b/>
      <w:bCs/>
      <w:color w:val="4A82CA"/>
      <w:sz w:val="17"/>
      <w:szCs w:val="17"/>
    </w:rPr>
  </w:style>
  <w:style w:type="paragraph" w:customStyle="1" w:styleId="383">
    <w:name w:val="b11_01b"/>
    <w:basedOn w:val="1"/>
    <w:next w:val="1"/>
    <w:link w:val="382"/>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autoRedefine/>
    <w:qFormat/>
    <w:uiPriority w:val="6"/>
    <w:rPr>
      <w:rFonts w:ascii="仿宋_GB2312" w:eastAsia="仿宋_GB2312"/>
      <w:b/>
      <w:bCs/>
      <w:kern w:val="2"/>
      <w:sz w:val="24"/>
      <w:szCs w:val="24"/>
      <w:lang w:val="zh-CN" w:eastAsia="zh-CN" w:bidi="ar-SA"/>
    </w:rPr>
  </w:style>
  <w:style w:type="character" w:customStyle="1" w:styleId="385">
    <w:name w:val="Footer-Even Char"/>
    <w:autoRedefine/>
    <w:qFormat/>
    <w:uiPriority w:val="0"/>
    <w:rPr>
      <w:rFonts w:eastAsia="宋体"/>
      <w:kern w:val="2"/>
      <w:sz w:val="18"/>
      <w:lang w:val="en-US" w:eastAsia="zh-CN" w:bidi="ar-SA"/>
    </w:rPr>
  </w:style>
  <w:style w:type="character" w:customStyle="1" w:styleId="386">
    <w:name w:val="页脚 字符2"/>
    <w:link w:val="42"/>
    <w:autoRedefine/>
    <w:qFormat/>
    <w:locked/>
    <w:uiPriority w:val="99"/>
    <w:rPr>
      <w:kern w:val="2"/>
      <w:sz w:val="18"/>
      <w:szCs w:val="18"/>
    </w:rPr>
  </w:style>
  <w:style w:type="character" w:customStyle="1" w:styleId="38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8">
    <w:name w:val="Char Char61"/>
    <w:autoRedefine/>
    <w:qFormat/>
    <w:uiPriority w:val="6"/>
    <w:rPr>
      <w:rFonts w:eastAsia="宋体"/>
      <w:kern w:val="2"/>
      <w:sz w:val="21"/>
      <w:szCs w:val="24"/>
      <w:lang w:val="en-US" w:eastAsia="zh-CN" w:bidi="ar-SA"/>
    </w:rPr>
  </w:style>
  <w:style w:type="character" w:customStyle="1" w:styleId="389">
    <w:name w:val="正文文字缩进 2 Char Char"/>
    <w:autoRedefine/>
    <w:qFormat/>
    <w:uiPriority w:val="0"/>
    <w:rPr>
      <w:rFonts w:ascii="宋体"/>
      <w:sz w:val="28"/>
    </w:rPr>
  </w:style>
  <w:style w:type="character" w:customStyle="1" w:styleId="390">
    <w:name w:val="f141"/>
    <w:autoRedefine/>
    <w:qFormat/>
    <w:uiPriority w:val="0"/>
    <w:rPr>
      <w:rFonts w:ascii="Tahoma" w:hAnsi="Tahoma" w:eastAsia="宋体"/>
      <w:b/>
      <w:kern w:val="2"/>
      <w:sz w:val="21"/>
      <w:szCs w:val="21"/>
      <w:lang w:val="en-US" w:eastAsia="zh-CN" w:bidi="ar-SA"/>
    </w:rPr>
  </w:style>
  <w:style w:type="character" w:customStyle="1" w:styleId="391">
    <w:name w:val="段落 Char Char"/>
    <w:link w:val="392"/>
    <w:autoRedefine/>
    <w:qFormat/>
    <w:uiPriority w:val="0"/>
    <w:rPr>
      <w:rFonts w:ascii="宋体" w:hAnsi="宋体"/>
      <w:sz w:val="24"/>
    </w:rPr>
  </w:style>
  <w:style w:type="paragraph" w:customStyle="1" w:styleId="392">
    <w:name w:val="段落"/>
    <w:basedOn w:val="1"/>
    <w:link w:val="391"/>
    <w:autoRedefine/>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autoRedefine/>
    <w:qFormat/>
    <w:uiPriority w:val="0"/>
    <w:rPr>
      <w:rFonts w:eastAsia="宋体"/>
      <w:b/>
      <w:bCs/>
      <w:kern w:val="2"/>
      <w:sz w:val="32"/>
      <w:szCs w:val="32"/>
      <w:lang w:val="en-US" w:eastAsia="zh-CN" w:bidi="ar-SA"/>
    </w:rPr>
  </w:style>
  <w:style w:type="character" w:customStyle="1" w:styleId="394">
    <w:name w:val="apple-converted-space"/>
    <w:autoRedefine/>
    <w:qFormat/>
    <w:uiPriority w:val="0"/>
  </w:style>
  <w:style w:type="character" w:customStyle="1" w:styleId="395">
    <w:name w:val="页眉 字符2"/>
    <w:link w:val="43"/>
    <w:autoRedefine/>
    <w:qFormat/>
    <w:uiPriority w:val="99"/>
    <w:rPr>
      <w:kern w:val="2"/>
      <w:sz w:val="18"/>
      <w:szCs w:val="18"/>
    </w:rPr>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156"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7">
    <w:name w:val="h Char Char"/>
    <w:autoRedefine/>
    <w:qFormat/>
    <w:uiPriority w:val="0"/>
    <w:rPr>
      <w:rFonts w:eastAsia="宋体"/>
      <w:kern w:val="2"/>
      <w:sz w:val="18"/>
      <w:lang w:val="en-US" w:eastAsia="zh-CN" w:bidi="ar-SA"/>
    </w:rPr>
  </w:style>
  <w:style w:type="character" w:customStyle="1" w:styleId="418">
    <w:name w:val="仿宋正文 Char"/>
    <w:link w:val="419"/>
    <w:autoRedefine/>
    <w:qFormat/>
    <w:uiPriority w:val="0"/>
    <w:rPr>
      <w:rFonts w:ascii="仿宋_GB2312" w:eastAsia="仿宋_GB2312"/>
      <w:kern w:val="2"/>
      <w:sz w:val="24"/>
      <w:lang w:val="en-US" w:eastAsia="zh-CN" w:bidi="ar-SA"/>
    </w:rPr>
  </w:style>
  <w:style w:type="paragraph" w:customStyle="1" w:styleId="419">
    <w:name w:val="仿宋正文"/>
    <w:basedOn w:val="1"/>
    <w:link w:val="418"/>
    <w:autoRedefine/>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autoRedefine/>
    <w:qFormat/>
    <w:uiPriority w:val="0"/>
    <w:rPr>
      <w:rFonts w:ascii="宋体" w:eastAsia="宋体"/>
      <w:kern w:val="2"/>
      <w:sz w:val="24"/>
      <w:lang w:val="zh-CN" w:bidi="ar-SA"/>
    </w:rPr>
  </w:style>
  <w:style w:type="character" w:customStyle="1" w:styleId="421">
    <w:name w:val="样式 宋体"/>
    <w:autoRedefine/>
    <w:qFormat/>
    <w:uiPriority w:val="0"/>
    <w:rPr>
      <w:rFonts w:ascii="宋体" w:hAnsi="宋体"/>
      <w:sz w:val="24"/>
    </w:rPr>
  </w:style>
  <w:style w:type="character" w:customStyle="1" w:styleId="422">
    <w:name w:val="tw4winJump"/>
    <w:autoRedefine/>
    <w:qFormat/>
    <w:uiPriority w:val="0"/>
    <w:rPr>
      <w:rFonts w:ascii="Courier New" w:hAnsi="Courier New" w:cs="Courier New"/>
      <w:color w:val="008080"/>
      <w:lang w:val="en-US" w:eastAsia="zh-CN"/>
    </w:rPr>
  </w:style>
  <w:style w:type="character" w:customStyle="1" w:styleId="423">
    <w:name w:val="标题 1 字符"/>
    <w:autoRedefine/>
    <w:qFormat/>
    <w:uiPriority w:val="9"/>
    <w:rPr>
      <w:rFonts w:ascii="Arial" w:hAnsi="Arial" w:eastAsia="黑体" w:cs="Arial"/>
      <w:b/>
      <w:bCs/>
      <w:snapToGrid w:val="0"/>
      <w:kern w:val="44"/>
      <w:sz w:val="44"/>
      <w:szCs w:val="44"/>
    </w:rPr>
  </w:style>
  <w:style w:type="character" w:customStyle="1" w:styleId="424">
    <w:name w:val="style36"/>
    <w:basedOn w:val="70"/>
    <w:autoRedefine/>
    <w:qFormat/>
    <w:uiPriority w:val="0"/>
    <w:rPr>
      <w:rFonts w:ascii="Arial" w:hAnsi="Arial" w:eastAsia="黑体" w:cs="Arial"/>
      <w:snapToGrid w:val="0"/>
      <w:kern w:val="0"/>
      <w:szCs w:val="21"/>
    </w:rPr>
  </w:style>
  <w:style w:type="character" w:customStyle="1" w:styleId="425">
    <w:name w:val="pt9"/>
    <w:autoRedefine/>
    <w:qFormat/>
    <w:uiPriority w:val="0"/>
    <w:rPr>
      <w:rFonts w:ascii="仿宋_GB2312" w:eastAsia="微软雅黑"/>
      <w:b/>
      <w:kern w:val="2"/>
      <w:sz w:val="32"/>
      <w:szCs w:val="32"/>
      <w:lang w:val="en-US" w:eastAsia="zh-CN" w:bidi="ar-SA"/>
    </w:rPr>
  </w:style>
  <w:style w:type="character" w:customStyle="1" w:styleId="426">
    <w:name w:val="DO_NOT_TRANSLATE"/>
    <w:autoRedefine/>
    <w:qFormat/>
    <w:uiPriority w:val="0"/>
    <w:rPr>
      <w:rFonts w:ascii="Courier New" w:hAnsi="Courier New" w:cs="Courier New"/>
      <w:color w:val="800000"/>
      <w:lang w:val="en-US" w:eastAsia="zh-CN"/>
    </w:rPr>
  </w:style>
  <w:style w:type="character" w:customStyle="1" w:styleId="427">
    <w:name w:val="标书1 Char1"/>
    <w:autoRedefine/>
    <w:qFormat/>
    <w:uiPriority w:val="0"/>
    <w:rPr>
      <w:rFonts w:eastAsia="宋体"/>
      <w:b/>
      <w:bCs/>
      <w:kern w:val="44"/>
      <w:sz w:val="44"/>
      <w:szCs w:val="44"/>
      <w:lang w:val="en-US" w:eastAsia="zh-CN" w:bidi="ar-SA"/>
    </w:rPr>
  </w:style>
  <w:style w:type="character" w:customStyle="1" w:styleId="428">
    <w:name w:val="页脚 字符"/>
    <w:autoRedefine/>
    <w:qFormat/>
    <w:uiPriority w:val="99"/>
    <w:rPr>
      <w:kern w:val="2"/>
      <w:sz w:val="18"/>
      <w:szCs w:val="18"/>
    </w:rPr>
  </w:style>
  <w:style w:type="character" w:customStyle="1" w:styleId="429">
    <w:name w:val="正文2 Char"/>
    <w:autoRedefine/>
    <w:qFormat/>
    <w:uiPriority w:val="0"/>
    <w:rPr>
      <w:rFonts w:eastAsia="宋体"/>
      <w:kern w:val="2"/>
      <w:sz w:val="24"/>
      <w:lang w:val="en-US" w:eastAsia="zh-CN" w:bidi="ar-SA"/>
    </w:rPr>
  </w:style>
  <w:style w:type="character" w:customStyle="1" w:styleId="430">
    <w:name w:val="Char Char21"/>
    <w:autoRedefine/>
    <w:qFormat/>
    <w:uiPriority w:val="6"/>
    <w:rPr>
      <w:rFonts w:ascii="宋体" w:hAnsi="宋体"/>
      <w:kern w:val="1"/>
      <w:sz w:val="24"/>
      <w:szCs w:val="21"/>
      <w:lang w:val="zh-CN"/>
    </w:rPr>
  </w:style>
  <w:style w:type="character" w:customStyle="1" w:styleId="431">
    <w:name w:val="样式 正文缩进 + 首行缩进:  2 字符 Char Char"/>
    <w:link w:val="432"/>
    <w:autoRedefine/>
    <w:qFormat/>
    <w:uiPriority w:val="0"/>
    <w:rPr>
      <w:rFonts w:cs="宋体"/>
      <w:kern w:val="2"/>
      <w:sz w:val="24"/>
    </w:rPr>
  </w:style>
  <w:style w:type="paragraph" w:customStyle="1" w:styleId="432">
    <w:name w:val="样式 正文缩进 + 首行缩进:  2 字符"/>
    <w:basedOn w:val="18"/>
    <w:link w:val="431"/>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字符"/>
    <w:link w:val="3"/>
    <w:autoRedefine/>
    <w:qFormat/>
    <w:uiPriority w:val="0"/>
    <w:rPr>
      <w:rFonts w:ascii="宋体" w:hAnsi="Arial" w:eastAsia="宋体" w:cs="Arial"/>
      <w:snapToGrid w:val="0"/>
      <w:kern w:val="2"/>
      <w:sz w:val="24"/>
      <w:szCs w:val="21"/>
      <w:lang w:val="zh-CN" w:eastAsia="zh-CN" w:bidi="ar-SA"/>
    </w:rPr>
  </w:style>
  <w:style w:type="character" w:customStyle="1" w:styleId="434">
    <w:name w:val="gray6"/>
    <w:basedOn w:val="70"/>
    <w:autoRedefine/>
    <w:qFormat/>
    <w:uiPriority w:val="0"/>
    <w:rPr>
      <w:rFonts w:ascii="Arial" w:hAnsi="Arial" w:eastAsia="黑体" w:cs="Arial"/>
      <w:snapToGrid w:val="0"/>
      <w:kern w:val="0"/>
      <w:szCs w:val="21"/>
    </w:rPr>
  </w:style>
  <w:style w:type="character" w:customStyle="1" w:styleId="435">
    <w:name w:val="hui"/>
    <w:basedOn w:val="70"/>
    <w:autoRedefine/>
    <w:qFormat/>
    <w:uiPriority w:val="0"/>
    <w:rPr>
      <w:rFonts w:ascii="Arial" w:hAnsi="Arial" w:eastAsia="黑体" w:cs="Arial"/>
      <w:snapToGrid w:val="0"/>
      <w:kern w:val="0"/>
      <w:szCs w:val="21"/>
    </w:rPr>
  </w:style>
  <w:style w:type="character" w:customStyle="1" w:styleId="436">
    <w:name w:val="哈哈正文 Char Char"/>
    <w:autoRedefine/>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autoRedefine/>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0"/>
    <w:pPr>
      <w:spacing w:before="120" w:line="360" w:lineRule="auto"/>
      <w:ind w:firstLine="567"/>
    </w:pPr>
    <w:rPr>
      <w:rFonts w:ascii="Arial" w:hAnsi="Arial"/>
      <w:sz w:val="20"/>
      <w:szCs w:val="20"/>
    </w:rPr>
  </w:style>
  <w:style w:type="paragraph" w:customStyle="1" w:styleId="44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0"/>
    <w:pPr>
      <w:adjustRightInd/>
      <w:ind w:firstLine="200" w:firstLineChars="200"/>
    </w:pPr>
    <w:rPr>
      <w:rFonts w:ascii="Tahoma" w:hAnsi="Tahoma"/>
      <w:sz w:val="24"/>
      <w:szCs w:val="20"/>
    </w:rPr>
  </w:style>
  <w:style w:type="paragraph" w:customStyle="1" w:styleId="4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0"/>
    <w:pPr>
      <w:tabs>
        <w:tab w:val="left" w:pos="360"/>
      </w:tabs>
    </w:pPr>
    <w:rPr>
      <w:sz w:val="24"/>
      <w:szCs w:val="20"/>
    </w:rPr>
  </w:style>
  <w:style w:type="paragraph" w:customStyle="1" w:styleId="459">
    <w:name w:val="Char Char11 Char Char Char"/>
    <w:basedOn w:val="1"/>
    <w:autoRedefine/>
    <w:qFormat/>
    <w:uiPriority w:val="0"/>
    <w:pPr>
      <w:spacing w:line="360" w:lineRule="auto"/>
    </w:pPr>
    <w:rPr>
      <w:szCs w:val="20"/>
    </w:rPr>
  </w:style>
  <w:style w:type="paragraph" w:customStyle="1" w:styleId="46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autoRedefine/>
    <w:qFormat/>
    <w:uiPriority w:val="0"/>
    <w:pPr>
      <w:tabs>
        <w:tab w:val="left" w:pos="2790"/>
        <w:tab w:val="left" w:pos="4230"/>
      </w:tabs>
      <w:spacing w:before="312" w:beforeLines="100"/>
      <w:jc w:val="left"/>
    </w:pPr>
  </w:style>
  <w:style w:type="paragraph" w:customStyle="1" w:styleId="46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0"/>
    <w:pPr>
      <w:tabs>
        <w:tab w:val="left" w:pos="840"/>
      </w:tabs>
      <w:ind w:left="840" w:hanging="420"/>
    </w:pPr>
    <w:rPr>
      <w:rFonts w:ascii="Tahoma" w:hAnsi="Tahoma"/>
      <w:sz w:val="24"/>
    </w:rPr>
  </w:style>
  <w:style w:type="paragraph" w:customStyle="1" w:styleId="46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6"/>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0"/>
    <w:pPr>
      <w:adjustRightInd/>
      <w:spacing w:before="156" w:line="360" w:lineRule="auto"/>
      <w:ind w:firstLine="510" w:firstLineChars="200"/>
    </w:pPr>
    <w:rPr>
      <w:sz w:val="24"/>
      <w:szCs w:val="20"/>
    </w:rPr>
  </w:style>
  <w:style w:type="paragraph" w:customStyle="1" w:styleId="469">
    <w:name w:val="Test2"/>
    <w:basedOn w:val="6"/>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0"/>
    <w:rPr>
      <w:rFonts w:ascii="仿宋_GB2312" w:eastAsia="仿宋_GB2312"/>
      <w:b/>
      <w:sz w:val="32"/>
      <w:szCs w:val="32"/>
    </w:rPr>
  </w:style>
  <w:style w:type="paragraph" w:customStyle="1" w:styleId="47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0"/>
    <w:pPr>
      <w:keepNext/>
      <w:tabs>
        <w:tab w:val="left" w:pos="360"/>
      </w:tabs>
      <w:spacing w:before="0" w:after="0"/>
      <w:outlineLvl w:val="5"/>
    </w:pPr>
  </w:style>
  <w:style w:type="paragraph" w:customStyle="1" w:styleId="477">
    <w:name w:val="5级标题"/>
    <w:basedOn w:val="478"/>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0"/>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0">
    <w:name w:val="Char2 Char Char"/>
    <w:basedOn w:val="1"/>
    <w:autoRedefine/>
    <w:qFormat/>
    <w:uiPriority w:val="0"/>
    <w:pPr>
      <w:adjustRightInd/>
    </w:pPr>
    <w:rPr>
      <w:rFonts w:ascii="Tahoma" w:hAnsi="Tahoma"/>
      <w:sz w:val="24"/>
      <w:szCs w:val="20"/>
    </w:rPr>
  </w:style>
  <w:style w:type="paragraph" w:customStyle="1" w:styleId="481">
    <w:name w:val="_Style 11"/>
    <w:basedOn w:val="1"/>
    <w:autoRedefine/>
    <w:qFormat/>
    <w:uiPriority w:val="34"/>
    <w:pPr>
      <w:adjustRightInd/>
      <w:ind w:firstLine="420" w:firstLineChars="200"/>
    </w:pPr>
    <w:rPr>
      <w:rFonts w:eastAsia="仿宋_GB2312"/>
      <w:sz w:val="28"/>
    </w:rPr>
  </w:style>
  <w:style w:type="paragraph" w:customStyle="1" w:styleId="48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0"/>
    <w:rPr>
      <w:rFonts w:ascii="Tahoma" w:hAnsi="Tahoma"/>
      <w:sz w:val="24"/>
      <w:szCs w:val="20"/>
    </w:rPr>
  </w:style>
  <w:style w:type="paragraph" w:customStyle="1" w:styleId="484">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无间隔2"/>
    <w:basedOn w:val="1"/>
    <w:link w:val="935"/>
    <w:autoRedefine/>
    <w:qFormat/>
    <w:uiPriority w:val="99"/>
    <w:rPr>
      <w:szCs w:val="22"/>
    </w:rPr>
  </w:style>
  <w:style w:type="paragraph" w:customStyle="1" w:styleId="48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6"/>
    <w:rPr>
      <w:rFonts w:ascii="Tahoma" w:hAnsi="Tahoma" w:cs="仿宋_GB2312"/>
      <w:sz w:val="24"/>
      <w:szCs w:val="20"/>
    </w:rPr>
  </w:style>
  <w:style w:type="paragraph" w:customStyle="1" w:styleId="48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6"/>
    <w:autoRedefine/>
    <w:qFormat/>
    <w:uiPriority w:val="0"/>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0"/>
    <w:pPr>
      <w:adjustRightInd/>
    </w:pPr>
  </w:style>
  <w:style w:type="paragraph" w:customStyle="1" w:styleId="494">
    <w:name w:val="Char5"/>
    <w:basedOn w:val="1"/>
    <w:autoRedefine/>
    <w:qFormat/>
    <w:uiPriority w:val="0"/>
    <w:rPr>
      <w:rFonts w:ascii="仿宋_GB2312" w:eastAsia="仿宋_GB2312"/>
      <w:b/>
      <w:sz w:val="32"/>
      <w:szCs w:val="32"/>
    </w:rPr>
  </w:style>
  <w:style w:type="paragraph" w:customStyle="1" w:styleId="495">
    <w:name w:val="TOC 标题1"/>
    <w:basedOn w:val="5"/>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autoRedefine/>
    <w:qFormat/>
    <w:uiPriority w:val="0"/>
    <w:rPr>
      <w:rFonts w:ascii="仿宋_GB2312" w:eastAsia="仿宋_GB2312"/>
      <w:b/>
      <w:sz w:val="32"/>
      <w:szCs w:val="32"/>
    </w:rPr>
  </w:style>
  <w:style w:type="paragraph" w:customStyle="1" w:styleId="499">
    <w:name w:val="数字标题3"/>
    <w:basedOn w:val="7"/>
    <w:next w:val="1"/>
    <w:autoRedefine/>
    <w:qFormat/>
    <w:uiPriority w:val="0"/>
    <w:pPr>
      <w:spacing w:line="240" w:lineRule="auto"/>
    </w:pPr>
    <w:rPr>
      <w:sz w:val="28"/>
      <w:szCs w:val="28"/>
    </w:rPr>
  </w:style>
  <w:style w:type="paragraph" w:customStyle="1" w:styleId="500">
    <w:name w:val="FA正文"/>
    <w:basedOn w:val="1"/>
    <w:autoRedefine/>
    <w:qFormat/>
    <w:uiPriority w:val="0"/>
    <w:pPr>
      <w:spacing w:line="360" w:lineRule="auto"/>
      <w:ind w:firstLine="480" w:firstLineChars="200"/>
    </w:pPr>
    <w:rPr>
      <w:rFonts w:hAnsi="宋体"/>
      <w:sz w:val="24"/>
      <w:szCs w:val="20"/>
    </w:rPr>
  </w:style>
  <w:style w:type="paragraph" w:customStyle="1" w:styleId="501">
    <w:name w:val="MM Topic 5"/>
    <w:basedOn w:val="9"/>
    <w:autoRedefine/>
    <w:qFormat/>
    <w:uiPriority w:val="0"/>
    <w:pPr>
      <w:tabs>
        <w:tab w:val="left" w:pos="2520"/>
      </w:tabs>
      <w:adjustRightInd/>
      <w:ind w:left="2520" w:hanging="420"/>
    </w:pPr>
  </w:style>
  <w:style w:type="paragraph" w:customStyle="1" w:styleId="502">
    <w:name w:val="Char Char Char Char Char Char Char Char Char Char1"/>
    <w:basedOn w:val="1"/>
    <w:autoRedefine/>
    <w:qFormat/>
    <w:uiPriority w:val="0"/>
    <w:rPr>
      <w:rFonts w:ascii="仿宋_GB2312" w:eastAsia="仿宋_GB2312"/>
      <w:b/>
      <w:sz w:val="32"/>
      <w:szCs w:val="32"/>
    </w:rPr>
  </w:style>
  <w:style w:type="paragraph" w:customStyle="1" w:styleId="50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0"/>
    <w:rPr>
      <w:rFonts w:ascii="仿宋_GB2312" w:eastAsia="仿宋_GB2312"/>
      <w:b/>
      <w:sz w:val="32"/>
      <w:szCs w:val="32"/>
    </w:rPr>
  </w:style>
  <w:style w:type="paragraph" w:customStyle="1" w:styleId="506">
    <w:name w:val="Char2 Char Char Char1"/>
    <w:basedOn w:val="1"/>
    <w:autoRedefine/>
    <w:qFormat/>
    <w:uiPriority w:val="6"/>
    <w:rPr>
      <w:rFonts w:ascii="仿宋_GB2312" w:eastAsia="仿宋_GB2312"/>
      <w:b/>
      <w:sz w:val="32"/>
      <w:szCs w:val="32"/>
    </w:rPr>
  </w:style>
  <w:style w:type="paragraph" w:customStyle="1" w:styleId="507">
    <w:name w:val="默认段落样式"/>
    <w:basedOn w:val="133"/>
    <w:autoRedefine/>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7"/>
    <w:autoRedefine/>
    <w:qFormat/>
    <w:uiPriority w:val="0"/>
    <w:pPr>
      <w:tabs>
        <w:tab w:val="left" w:pos="1680"/>
      </w:tabs>
      <w:adjustRightInd/>
      <w:ind w:left="1680" w:hanging="420"/>
    </w:pPr>
  </w:style>
  <w:style w:type="paragraph" w:customStyle="1" w:styleId="511">
    <w:name w:val="标准小四"/>
    <w:basedOn w:val="1"/>
    <w:autoRedefine/>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6"/>
    <w:autoRedefine/>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0"/>
    <w:pPr>
      <w:adjustRightInd/>
      <w:snapToGrid w:val="0"/>
      <w:spacing w:line="300" w:lineRule="auto"/>
    </w:pPr>
    <w:rPr>
      <w:rFonts w:eastAsia="仿宋"/>
      <w:szCs w:val="21"/>
    </w:rPr>
  </w:style>
  <w:style w:type="paragraph" w:customStyle="1" w:styleId="5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6"/>
    <w:pPr>
      <w:adjustRightInd/>
    </w:pPr>
    <w:rPr>
      <w:rFonts w:ascii="Tahoma" w:hAnsi="Tahoma"/>
      <w:sz w:val="24"/>
      <w:szCs w:val="20"/>
    </w:rPr>
  </w:style>
  <w:style w:type="paragraph" w:customStyle="1" w:styleId="51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18"/>
    <w:autoRedefine/>
    <w:qFormat/>
    <w:uiPriority w:val="0"/>
    <w:pPr>
      <w:adjustRightInd/>
      <w:ind w:firstLine="200" w:firstLineChars="200"/>
    </w:pPr>
    <w:rPr>
      <w:rFonts w:ascii="Arial" w:hAnsi="Arial"/>
      <w:spacing w:val="-5"/>
      <w:kern w:val="0"/>
      <w:sz w:val="24"/>
      <w:szCs w:val="20"/>
    </w:rPr>
  </w:style>
  <w:style w:type="paragraph" w:customStyle="1" w:styleId="51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5"/>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autoRedefine/>
    <w:qFormat/>
    <w:uiPriority w:val="0"/>
    <w:pPr>
      <w:adjustRightInd/>
      <w:ind w:firstLine="420" w:firstLineChars="200"/>
    </w:pPr>
    <w:rPr>
      <w:rFonts w:eastAsia="仿宋_GB2312"/>
      <w:sz w:val="28"/>
    </w:rPr>
  </w:style>
  <w:style w:type="paragraph" w:customStyle="1" w:styleId="52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autoRedefine/>
    <w:qFormat/>
    <w:uiPriority w:val="0"/>
    <w:pPr>
      <w:adjustRightInd/>
      <w:ind w:firstLine="200" w:firstLineChars="200"/>
      <w:jc w:val="right"/>
    </w:pPr>
  </w:style>
  <w:style w:type="paragraph" w:customStyle="1" w:styleId="528">
    <w:name w:val="Char Char11 Char Char Char Char Char Char Char Char Char"/>
    <w:basedOn w:val="1"/>
    <w:autoRedefine/>
    <w:qFormat/>
    <w:uiPriority w:val="0"/>
    <w:pPr>
      <w:spacing w:line="360" w:lineRule="auto"/>
    </w:pPr>
    <w:rPr>
      <w:szCs w:val="20"/>
    </w:rPr>
  </w:style>
  <w:style w:type="paragraph" w:customStyle="1" w:styleId="529">
    <w:name w:val="正文1.25"/>
    <w:basedOn w:val="1"/>
    <w:autoRedefine/>
    <w:qFormat/>
    <w:uiPriority w:val="0"/>
    <w:pPr>
      <w:adjustRightInd/>
      <w:spacing w:line="300" w:lineRule="auto"/>
      <w:ind w:firstLine="480" w:firstLineChars="200"/>
    </w:pPr>
    <w:rPr>
      <w:sz w:val="24"/>
      <w:szCs w:val="20"/>
    </w:rPr>
  </w:style>
  <w:style w:type="paragraph" w:customStyle="1" w:styleId="530">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autoRedefine/>
    <w:qFormat/>
    <w:uiPriority w:val="6"/>
    <w:rPr>
      <w:rFonts w:ascii="仿宋_GB2312" w:eastAsia="仿宋_GB2312"/>
      <w:b/>
      <w:sz w:val="32"/>
      <w:szCs w:val="20"/>
    </w:rPr>
  </w:style>
  <w:style w:type="paragraph" w:customStyle="1" w:styleId="534">
    <w:name w:val="列出段落2"/>
    <w:basedOn w:val="1"/>
    <w:autoRedefine/>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autoRedefine/>
    <w:qFormat/>
    <w:uiPriority w:val="0"/>
    <w:rPr>
      <w:rFonts w:eastAsia="仿宋_GB2312"/>
      <w:sz w:val="28"/>
      <w:szCs w:val="20"/>
    </w:rPr>
  </w:style>
  <w:style w:type="paragraph" w:customStyle="1" w:styleId="536">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8"/>
    <w:autoRedefine/>
    <w:qFormat/>
    <w:uiPriority w:val="0"/>
    <w:pPr>
      <w:widowControl/>
      <w:jc w:val="left"/>
    </w:pPr>
    <w:rPr>
      <w:rFonts w:cs="宋体"/>
      <w:sz w:val="24"/>
      <w:szCs w:val="20"/>
    </w:rPr>
  </w:style>
  <w:style w:type="paragraph" w:customStyle="1" w:styleId="538">
    <w:name w:val="彩色列表 - 强调文字颜色 11"/>
    <w:basedOn w:val="1"/>
    <w:autoRedefine/>
    <w:qFormat/>
    <w:uiPriority w:val="0"/>
    <w:pPr>
      <w:adjustRightInd/>
      <w:ind w:firstLine="420" w:firstLineChars="200"/>
    </w:pPr>
    <w:rPr>
      <w:rFonts w:ascii="Calibri" w:hAnsi="Calibri"/>
      <w:szCs w:val="22"/>
    </w:rPr>
  </w:style>
  <w:style w:type="paragraph" w:customStyle="1" w:styleId="53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autoRedefine/>
    <w:qFormat/>
    <w:uiPriority w:val="6"/>
    <w:rPr>
      <w:szCs w:val="20"/>
    </w:rPr>
  </w:style>
  <w:style w:type="paragraph" w:customStyle="1" w:styleId="54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6"/>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37"/>
    <w:next w:val="237"/>
    <w:autoRedefine/>
    <w:qFormat/>
    <w:uiPriority w:val="0"/>
    <w:pPr>
      <w:spacing w:after="68"/>
    </w:pPr>
    <w:rPr>
      <w:rFonts w:ascii="FHLHE E+ Futura Bk" w:eastAsia="FHLHE E+ Futura Bk" w:cs="Times New Roman"/>
      <w:color w:val="auto"/>
    </w:rPr>
  </w:style>
  <w:style w:type="paragraph" w:customStyle="1" w:styleId="549">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37"/>
    <w:next w:val="237"/>
    <w:autoRedefine/>
    <w:qFormat/>
    <w:uiPriority w:val="0"/>
    <w:rPr>
      <w:rFonts w:ascii="宋体" w:eastAsia="宋体" w:cs="Times New Roman"/>
      <w:color w:val="auto"/>
    </w:rPr>
  </w:style>
  <w:style w:type="paragraph" w:customStyle="1" w:styleId="553">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autoRedefine/>
    <w:qFormat/>
    <w:uiPriority w:val="0"/>
    <w:rPr>
      <w:rFonts w:ascii="仿宋_GB2312" w:eastAsia="仿宋_GB2312"/>
      <w:b/>
      <w:sz w:val="32"/>
      <w:szCs w:val="32"/>
    </w:rPr>
  </w:style>
  <w:style w:type="paragraph" w:customStyle="1" w:styleId="555">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autoRedefine/>
    <w:qFormat/>
    <w:uiPriority w:val="0"/>
    <w:pPr>
      <w:spacing w:line="360" w:lineRule="auto"/>
    </w:pPr>
    <w:rPr>
      <w:szCs w:val="20"/>
    </w:rPr>
  </w:style>
  <w:style w:type="paragraph" w:customStyle="1" w:styleId="558">
    <w:name w:val="Char"/>
    <w:basedOn w:val="1"/>
    <w:autoRedefine/>
    <w:qFormat/>
    <w:uiPriority w:val="0"/>
    <w:rPr>
      <w:rFonts w:ascii="仿宋_GB2312" w:eastAsia="仿宋_GB2312"/>
      <w:b/>
      <w:sz w:val="32"/>
      <w:szCs w:val="32"/>
    </w:rPr>
  </w:style>
  <w:style w:type="paragraph" w:customStyle="1" w:styleId="559">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autoRedefine/>
    <w:qFormat/>
    <w:uiPriority w:val="0"/>
    <w:rPr>
      <w:szCs w:val="20"/>
    </w:rPr>
  </w:style>
  <w:style w:type="paragraph" w:customStyle="1" w:styleId="56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5">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18"/>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autoRedefine/>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7">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8">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autoRedefine/>
    <w:qFormat/>
    <w:uiPriority w:val="0"/>
    <w:rPr>
      <w:szCs w:val="20"/>
    </w:rPr>
  </w:style>
  <w:style w:type="paragraph" w:customStyle="1" w:styleId="585">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autoRedefine/>
    <w:qFormat/>
    <w:uiPriority w:val="0"/>
    <w:rPr>
      <w:rFonts w:ascii="Tahoma" w:hAnsi="Tahoma"/>
      <w:sz w:val="24"/>
      <w:szCs w:val="20"/>
    </w:rPr>
  </w:style>
  <w:style w:type="paragraph" w:customStyle="1" w:styleId="587">
    <w:name w:val="标题五"/>
    <w:basedOn w:val="1"/>
    <w:autoRedefine/>
    <w:qFormat/>
    <w:uiPriority w:val="0"/>
    <w:pPr>
      <w:adjustRightInd/>
      <w:spacing w:before="156" w:beforeLines="50" w:line="360" w:lineRule="auto"/>
    </w:pPr>
    <w:rPr>
      <w:b/>
      <w:sz w:val="24"/>
    </w:rPr>
  </w:style>
  <w:style w:type="paragraph" w:customStyle="1" w:styleId="588">
    <w:name w:val="Char Char1101"/>
    <w:basedOn w:val="1"/>
    <w:autoRedefine/>
    <w:qFormat/>
    <w:uiPriority w:val="0"/>
    <w:pPr>
      <w:spacing w:line="360" w:lineRule="auto"/>
    </w:pPr>
    <w:rPr>
      <w:rFonts w:ascii="Tahoma" w:hAnsi="Tahoma"/>
      <w:sz w:val="24"/>
      <w:szCs w:val="20"/>
    </w:rPr>
  </w:style>
  <w:style w:type="paragraph" w:customStyle="1" w:styleId="589">
    <w:name w:val="Char Char Char Char Char Char Char Char1"/>
    <w:basedOn w:val="1"/>
    <w:autoRedefine/>
    <w:qFormat/>
    <w:uiPriority w:val="0"/>
    <w:pPr>
      <w:tabs>
        <w:tab w:val="left" w:pos="360"/>
      </w:tabs>
    </w:pPr>
    <w:rPr>
      <w:sz w:val="24"/>
      <w:szCs w:val="20"/>
    </w:rPr>
  </w:style>
  <w:style w:type="paragraph" w:customStyle="1" w:styleId="590">
    <w:name w:val="Char Char Char 字元 字元"/>
    <w:basedOn w:val="1"/>
    <w:autoRedefine/>
    <w:qFormat/>
    <w:uiPriority w:val="0"/>
    <w:pPr>
      <w:adjustRightInd/>
      <w:spacing w:line="360" w:lineRule="auto"/>
      <w:ind w:firstLine="200" w:firstLineChars="200"/>
    </w:pPr>
    <w:rPr>
      <w:szCs w:val="20"/>
    </w:rPr>
  </w:style>
  <w:style w:type="paragraph" w:customStyle="1" w:styleId="591">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autoRedefine/>
    <w:qFormat/>
    <w:uiPriority w:val="0"/>
    <w:rPr>
      <w:rFonts w:ascii="仿宋_GB2312" w:eastAsia="仿宋_GB2312"/>
      <w:b/>
      <w:sz w:val="32"/>
      <w:szCs w:val="32"/>
    </w:rPr>
  </w:style>
  <w:style w:type="paragraph" w:customStyle="1" w:styleId="59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6"/>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autoRedefine/>
    <w:qFormat/>
    <w:uiPriority w:val="0"/>
    <w:pPr>
      <w:adjustRightInd/>
    </w:pPr>
    <w:rPr>
      <w:sz w:val="18"/>
      <w:szCs w:val="20"/>
    </w:rPr>
  </w:style>
  <w:style w:type="paragraph" w:customStyle="1" w:styleId="598">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3">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autoRedefine/>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7"/>
    <w:autoRedefine/>
    <w:qFormat/>
    <w:uiPriority w:val="0"/>
    <w:pPr>
      <w:snapToGrid w:val="0"/>
      <w:spacing w:line="360" w:lineRule="auto"/>
    </w:pPr>
    <w:rPr>
      <w:rFonts w:ascii="宋体"/>
      <w:b/>
      <w:sz w:val="24"/>
      <w:szCs w:val="20"/>
    </w:rPr>
  </w:style>
  <w:style w:type="paragraph" w:customStyle="1" w:styleId="608">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7"/>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autoRedefine/>
    <w:qFormat/>
    <w:uiPriority w:val="7"/>
    <w:pPr>
      <w:adjustRightInd/>
    </w:pPr>
    <w:rPr>
      <w:rFonts w:ascii="宋体" w:hAnsi="Courier New"/>
    </w:rPr>
  </w:style>
  <w:style w:type="paragraph" w:customStyle="1" w:styleId="611">
    <w:name w:val="Char3"/>
    <w:basedOn w:val="1"/>
    <w:autoRedefine/>
    <w:qFormat/>
    <w:uiPriority w:val="0"/>
    <w:pPr>
      <w:adjustRightInd/>
    </w:pPr>
    <w:rPr>
      <w:rFonts w:ascii="仿宋_GB2312" w:eastAsia="仿宋_GB2312"/>
      <w:b/>
      <w:sz w:val="32"/>
      <w:szCs w:val="32"/>
    </w:rPr>
  </w:style>
  <w:style w:type="paragraph" w:customStyle="1" w:styleId="612">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6"/>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7"/>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autoRedefine/>
    <w:qFormat/>
    <w:uiPriority w:val="0"/>
    <w:pPr>
      <w:widowControl/>
      <w:adjustRightInd/>
      <w:spacing w:after="160" w:line="240" w:lineRule="exact"/>
      <w:jc w:val="left"/>
    </w:pPr>
    <w:rPr>
      <w:szCs w:val="20"/>
    </w:rPr>
  </w:style>
  <w:style w:type="paragraph" w:customStyle="1" w:styleId="620">
    <w:name w:val="表格标题2"/>
    <w:basedOn w:val="621"/>
    <w:autoRedefine/>
    <w:qFormat/>
    <w:uiPriority w:val="0"/>
    <w:rPr>
      <w:b/>
    </w:rPr>
  </w:style>
  <w:style w:type="paragraph" w:customStyle="1" w:styleId="621">
    <w:name w:val="表格内文"/>
    <w:basedOn w:val="1"/>
    <w:autoRedefine/>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autoRedefine/>
    <w:qFormat/>
    <w:uiPriority w:val="0"/>
    <w:rPr>
      <w:rFonts w:ascii="仿宋_GB2312" w:eastAsia="仿宋_GB2312"/>
      <w:b/>
      <w:sz w:val="32"/>
      <w:szCs w:val="32"/>
    </w:rPr>
  </w:style>
  <w:style w:type="paragraph" w:customStyle="1" w:styleId="623">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autoRedefine/>
    <w:qFormat/>
    <w:uiPriority w:val="0"/>
    <w:pPr>
      <w:spacing w:line="360" w:lineRule="auto"/>
    </w:pPr>
    <w:rPr>
      <w:szCs w:val="20"/>
    </w:rPr>
  </w:style>
  <w:style w:type="paragraph" w:customStyle="1" w:styleId="626">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8">
    <w:name w:val="MM Topic 1"/>
    <w:basedOn w:val="5"/>
    <w:autoRedefine/>
    <w:qFormat/>
    <w:uiPriority w:val="0"/>
    <w:pPr>
      <w:tabs>
        <w:tab w:val="left" w:pos="840"/>
      </w:tabs>
      <w:adjustRightInd/>
      <w:ind w:left="840" w:hanging="420"/>
    </w:pPr>
  </w:style>
  <w:style w:type="paragraph" w:customStyle="1" w:styleId="629">
    <w:name w:val="样式 标题 2标题2H2Heading 2 HiddenHeading 2 CCBSheading 22nd lev..."/>
    <w:basedOn w:val="6"/>
    <w:autoRedefine/>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autoRedefine/>
    <w:qFormat/>
    <w:uiPriority w:val="0"/>
    <w:pPr>
      <w:spacing w:line="360" w:lineRule="auto"/>
      <w:ind w:firstLine="200" w:firstLineChars="200"/>
    </w:pPr>
    <w:rPr>
      <w:kern w:val="0"/>
      <w:sz w:val="24"/>
      <w:szCs w:val="20"/>
    </w:rPr>
  </w:style>
  <w:style w:type="paragraph" w:customStyle="1" w:styleId="631">
    <w:name w:val="表格"/>
    <w:basedOn w:val="1"/>
    <w:autoRedefine/>
    <w:qFormat/>
    <w:uiPriority w:val="0"/>
    <w:pPr>
      <w:snapToGrid w:val="0"/>
      <w:ind w:firstLine="42" w:firstLineChars="21"/>
    </w:pPr>
    <w:rPr>
      <w:rFonts w:ascii="宋体" w:hAnsi="宋体"/>
      <w:kern w:val="0"/>
      <w:sz w:val="20"/>
      <w:szCs w:val="20"/>
    </w:rPr>
  </w:style>
  <w:style w:type="paragraph" w:customStyle="1" w:styleId="632">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autoRedefine/>
    <w:qFormat/>
    <w:uiPriority w:val="0"/>
    <w:pPr>
      <w:adjustRightInd/>
      <w:spacing w:line="300" w:lineRule="auto"/>
      <w:jc w:val="center"/>
    </w:pPr>
  </w:style>
  <w:style w:type="paragraph" w:customStyle="1" w:styleId="637">
    <w:name w:val="_Style 6"/>
    <w:basedOn w:val="1"/>
    <w:autoRedefine/>
    <w:qFormat/>
    <w:uiPriority w:val="34"/>
    <w:pPr>
      <w:adjustRightInd/>
      <w:ind w:firstLine="420" w:firstLineChars="200"/>
    </w:pPr>
    <w:rPr>
      <w:rFonts w:eastAsia="仿宋_GB2312"/>
      <w:sz w:val="28"/>
    </w:rPr>
  </w:style>
  <w:style w:type="paragraph" w:customStyle="1" w:styleId="638">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6"/>
    <w:autoRedefine/>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autoRedefine/>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autoRedefine/>
    <w:qFormat/>
    <w:uiPriority w:val="0"/>
    <w:rPr>
      <w:rFonts w:ascii="仿宋_GB2312" w:eastAsia="仿宋_GB2312"/>
      <w:b/>
      <w:sz w:val="32"/>
      <w:szCs w:val="20"/>
    </w:rPr>
  </w:style>
  <w:style w:type="paragraph" w:customStyle="1" w:styleId="648">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autoRedefine/>
    <w:qFormat/>
    <w:uiPriority w:val="0"/>
    <w:pPr>
      <w:adjustRightInd/>
      <w:ind w:firstLine="200" w:firstLineChars="200"/>
    </w:pPr>
    <w:rPr>
      <w:rFonts w:ascii="Tahoma" w:hAnsi="Tahoma"/>
      <w:sz w:val="24"/>
      <w:szCs w:val="20"/>
    </w:rPr>
  </w:style>
  <w:style w:type="paragraph" w:customStyle="1" w:styleId="650">
    <w:name w:val="a1"/>
    <w:basedOn w:val="1"/>
    <w:autoRedefine/>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autoRedefine/>
    <w:qFormat/>
    <w:uiPriority w:val="0"/>
    <w:pPr>
      <w:spacing w:after="156" w:afterLines="50"/>
      <w:jc w:val="left"/>
      <w:outlineLvl w:val="3"/>
    </w:pPr>
    <w:rPr>
      <w:sz w:val="24"/>
      <w:szCs w:val="24"/>
    </w:rPr>
  </w:style>
  <w:style w:type="paragraph" w:customStyle="1" w:styleId="65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autoRedefine/>
    <w:qFormat/>
    <w:uiPriority w:val="0"/>
    <w:pPr>
      <w:adjustRightInd/>
    </w:pPr>
    <w:rPr>
      <w:rFonts w:ascii="Tahoma" w:hAnsi="Tahoma"/>
      <w:sz w:val="24"/>
      <w:szCs w:val="20"/>
    </w:rPr>
  </w:style>
  <w:style w:type="paragraph" w:customStyle="1" w:styleId="65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autoRedefine/>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autoRedefine/>
    <w:qFormat/>
    <w:uiPriority w:val="0"/>
    <w:pPr>
      <w:tabs>
        <w:tab w:val="left" w:pos="1260"/>
        <w:tab w:val="left" w:pos="1680"/>
        <w:tab w:val="left" w:pos="2100"/>
      </w:tabs>
      <w:ind w:left="0"/>
      <w:outlineLvl w:val="3"/>
    </w:pPr>
  </w:style>
  <w:style w:type="paragraph" w:customStyle="1" w:styleId="660">
    <w:name w:val="一级条标题"/>
    <w:basedOn w:val="661"/>
    <w:next w:val="643"/>
    <w:autoRedefine/>
    <w:qFormat/>
    <w:uiPriority w:val="0"/>
    <w:pPr>
      <w:tabs>
        <w:tab w:val="left" w:pos="1260"/>
        <w:tab w:val="left" w:pos="1680"/>
      </w:tabs>
      <w:spacing w:before="0" w:beforeLines="0" w:after="0" w:afterLines="0"/>
      <w:ind w:left="1680"/>
      <w:outlineLvl w:val="2"/>
    </w:pPr>
  </w:style>
  <w:style w:type="paragraph" w:customStyle="1" w:styleId="661">
    <w:name w:val="章标题"/>
    <w:next w:val="643"/>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6"/>
    <w:next w:val="1"/>
    <w:autoRedefine/>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5"/>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5"/>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autoRedefine/>
    <w:qFormat/>
    <w:uiPriority w:val="0"/>
    <w:pPr>
      <w:tabs>
        <w:tab w:val="left" w:pos="840"/>
      </w:tabs>
      <w:spacing w:after="0"/>
      <w:ind w:left="900"/>
    </w:pPr>
  </w:style>
  <w:style w:type="paragraph" w:customStyle="1" w:styleId="66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autoRedefine/>
    <w:qFormat/>
    <w:uiPriority w:val="6"/>
    <w:pPr>
      <w:widowControl/>
      <w:adjustRightInd/>
      <w:ind w:left="720" w:hanging="720"/>
    </w:pPr>
    <w:rPr>
      <w:color w:val="000000"/>
      <w:kern w:val="0"/>
      <w:sz w:val="24"/>
      <w:szCs w:val="20"/>
      <w:lang w:val="en-GB"/>
    </w:rPr>
  </w:style>
  <w:style w:type="paragraph" w:customStyle="1" w:styleId="671">
    <w:name w:val="表1"/>
    <w:basedOn w:val="1"/>
    <w:autoRedefine/>
    <w:qFormat/>
    <w:uiPriority w:val="0"/>
    <w:pPr>
      <w:tabs>
        <w:tab w:val="left" w:pos="703"/>
      </w:tabs>
      <w:adjustRightInd/>
      <w:spacing w:line="360" w:lineRule="auto"/>
      <w:ind w:left="703"/>
      <w:jc w:val="center"/>
    </w:pPr>
  </w:style>
  <w:style w:type="paragraph" w:customStyle="1" w:styleId="672">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autoRedefine/>
    <w:qFormat/>
    <w:uiPriority w:val="0"/>
    <w:pPr>
      <w:jc w:val="left"/>
      <w:outlineLvl w:val="1"/>
    </w:pPr>
    <w:rPr>
      <w:rFonts w:ascii="Times New Roman" w:hAnsi="Times New Roman" w:eastAsia="仿宋"/>
      <w:sz w:val="30"/>
    </w:rPr>
  </w:style>
  <w:style w:type="paragraph" w:customStyle="1" w:styleId="676">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autoRedefine/>
    <w:qFormat/>
    <w:uiPriority w:val="0"/>
    <w:pPr>
      <w:tabs>
        <w:tab w:val="left" w:pos="840"/>
      </w:tabs>
      <w:adjustRightInd/>
      <w:ind w:left="840" w:hanging="420"/>
    </w:pPr>
  </w:style>
  <w:style w:type="paragraph" w:customStyle="1" w:styleId="682">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8"/>
    <w:autoRedefine/>
    <w:qFormat/>
    <w:uiPriority w:val="0"/>
    <w:pPr>
      <w:tabs>
        <w:tab w:val="left" w:pos="2100"/>
      </w:tabs>
      <w:adjustRightInd/>
      <w:ind w:left="2100" w:hanging="420"/>
    </w:pPr>
    <w:rPr>
      <w:lang w:val="en-US"/>
    </w:rPr>
  </w:style>
  <w:style w:type="paragraph" w:customStyle="1" w:styleId="69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autoRedefine/>
    <w:qFormat/>
    <w:uiPriority w:val="6"/>
    <w:pPr>
      <w:spacing w:line="360" w:lineRule="auto"/>
    </w:pPr>
    <w:rPr>
      <w:szCs w:val="20"/>
    </w:rPr>
  </w:style>
  <w:style w:type="paragraph" w:customStyle="1" w:styleId="693">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9">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autoRedefine/>
    <w:qFormat/>
    <w:uiPriority w:val="0"/>
    <w:pPr>
      <w:adjustRightInd/>
      <w:spacing w:line="360" w:lineRule="auto"/>
      <w:jc w:val="center"/>
    </w:pPr>
    <w:rPr>
      <w:sz w:val="24"/>
    </w:rPr>
  </w:style>
  <w:style w:type="paragraph" w:customStyle="1" w:styleId="703">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autoRedefine/>
    <w:qFormat/>
    <w:uiPriority w:val="6"/>
    <w:rPr>
      <w:rFonts w:ascii="仿宋_GB2312" w:eastAsia="仿宋_GB2312"/>
      <w:b/>
      <w:sz w:val="32"/>
      <w:szCs w:val="32"/>
    </w:rPr>
  </w:style>
  <w:style w:type="paragraph" w:customStyle="1" w:styleId="705">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autoRedefine/>
    <w:qFormat/>
    <w:uiPriority w:val="0"/>
    <w:pPr>
      <w:widowControl/>
      <w:adjustRightInd/>
      <w:spacing w:after="160" w:line="240" w:lineRule="exact"/>
      <w:jc w:val="left"/>
    </w:pPr>
    <w:rPr>
      <w:szCs w:val="20"/>
    </w:rPr>
  </w:style>
  <w:style w:type="paragraph" w:customStyle="1" w:styleId="708">
    <w:name w:val="Char Char1121"/>
    <w:basedOn w:val="1"/>
    <w:autoRedefine/>
    <w:qFormat/>
    <w:uiPriority w:val="0"/>
    <w:pPr>
      <w:spacing w:line="360" w:lineRule="auto"/>
    </w:pPr>
    <w:rPr>
      <w:szCs w:val="20"/>
    </w:rPr>
  </w:style>
  <w:style w:type="paragraph" w:customStyle="1" w:styleId="709">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autoRedefine/>
    <w:qFormat/>
    <w:uiPriority w:val="0"/>
    <w:rPr>
      <w:rFonts w:ascii="Times New Roman" w:hAnsi="Times New Roman" w:eastAsia="宋体" w:cs="Times New Roman"/>
      <w:lang w:val="en-US" w:eastAsia="en-US" w:bidi="ar-SA"/>
    </w:rPr>
  </w:style>
  <w:style w:type="paragraph" w:customStyle="1" w:styleId="712">
    <w:name w:val="带编号样式"/>
    <w:basedOn w:val="630"/>
    <w:autoRedefine/>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6">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autoRedefine/>
    <w:qFormat/>
    <w:uiPriority w:val="0"/>
    <w:pPr>
      <w:spacing w:line="240" w:lineRule="atLeast"/>
      <w:ind w:left="420" w:firstLine="420"/>
    </w:pPr>
    <w:rPr>
      <w:sz w:val="24"/>
    </w:rPr>
  </w:style>
  <w:style w:type="paragraph" w:customStyle="1" w:styleId="719">
    <w:name w:val="WW-正文文字缩进 2"/>
    <w:basedOn w:val="1"/>
    <w:autoRedefine/>
    <w:qFormat/>
    <w:uiPriority w:val="0"/>
    <w:pPr>
      <w:suppressAutoHyphens/>
      <w:adjustRightInd/>
      <w:ind w:firstLine="420"/>
    </w:pPr>
    <w:rPr>
      <w:kern w:val="1"/>
      <w:szCs w:val="20"/>
    </w:rPr>
  </w:style>
  <w:style w:type="paragraph" w:customStyle="1" w:styleId="720">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6"/>
    <w:autoRedefine/>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autoRedefine/>
    <w:qFormat/>
    <w:uiPriority w:val="0"/>
    <w:pPr>
      <w:adjustRightInd/>
      <w:spacing w:line="400" w:lineRule="exact"/>
      <w:ind w:firstLine="200" w:firstLineChars="200"/>
    </w:pPr>
    <w:rPr>
      <w:rFonts w:ascii="Arial" w:hAnsi="Arial"/>
    </w:rPr>
  </w:style>
  <w:style w:type="paragraph" w:customStyle="1" w:styleId="723">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9"/>
    <w:autoRedefine/>
    <w:qFormat/>
    <w:uiPriority w:val="0"/>
    <w:pPr>
      <w:spacing w:after="120" w:line="480" w:lineRule="auto"/>
      <w:ind w:left="420" w:leftChars="200"/>
    </w:pPr>
    <w:rPr>
      <w:sz w:val="24"/>
      <w:szCs w:val="20"/>
    </w:rPr>
  </w:style>
  <w:style w:type="paragraph" w:customStyle="1" w:styleId="726">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7"/>
    <w:autoRedefine/>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0">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autoRedefine/>
    <w:qFormat/>
    <w:uiPriority w:val="0"/>
    <w:rPr>
      <w:rFonts w:ascii="仿宋_GB2312" w:eastAsia="仿宋_GB2312"/>
      <w:b/>
      <w:sz w:val="32"/>
      <w:szCs w:val="20"/>
    </w:rPr>
  </w:style>
  <w:style w:type="paragraph" w:customStyle="1" w:styleId="735">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autoRedefine/>
    <w:qFormat/>
    <w:uiPriority w:val="0"/>
    <w:rPr>
      <w:rFonts w:ascii="仿宋_GB2312" w:eastAsia="仿宋_GB2312"/>
      <w:b/>
      <w:sz w:val="32"/>
      <w:szCs w:val="32"/>
    </w:rPr>
  </w:style>
  <w:style w:type="paragraph" w:customStyle="1" w:styleId="739">
    <w:name w:val="Char3 Char Char Char1"/>
    <w:basedOn w:val="1"/>
    <w:autoRedefine/>
    <w:qFormat/>
    <w:uiPriority w:val="6"/>
    <w:pPr>
      <w:widowControl/>
      <w:adjustRightInd/>
      <w:spacing w:after="160" w:line="240" w:lineRule="exact"/>
      <w:jc w:val="left"/>
    </w:pPr>
    <w:rPr>
      <w:szCs w:val="20"/>
    </w:rPr>
  </w:style>
  <w:style w:type="paragraph" w:customStyle="1" w:styleId="740">
    <w:name w:val="Char1 Char Char Char21"/>
    <w:basedOn w:val="1"/>
    <w:autoRedefine/>
    <w:qFormat/>
    <w:uiPriority w:val="0"/>
    <w:rPr>
      <w:rFonts w:ascii="Tahoma" w:hAnsi="Tahoma"/>
      <w:sz w:val="24"/>
      <w:szCs w:val="20"/>
    </w:rPr>
  </w:style>
  <w:style w:type="paragraph" w:customStyle="1" w:styleId="741">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autoRedefine/>
    <w:qFormat/>
    <w:uiPriority w:val="0"/>
    <w:pPr>
      <w:spacing w:line="360" w:lineRule="auto"/>
      <w:ind w:firstLine="200" w:firstLineChars="200"/>
    </w:pPr>
    <w:rPr>
      <w:sz w:val="24"/>
    </w:rPr>
  </w:style>
  <w:style w:type="paragraph" w:customStyle="1" w:styleId="74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autoRedefine/>
    <w:qFormat/>
    <w:uiPriority w:val="0"/>
    <w:pPr>
      <w:adjustRightInd/>
      <w:ind w:firstLine="200" w:firstLineChars="200"/>
    </w:pPr>
    <w:rPr>
      <w:rFonts w:ascii="Tahoma" w:hAnsi="Tahoma"/>
      <w:sz w:val="24"/>
      <w:szCs w:val="20"/>
    </w:rPr>
  </w:style>
  <w:style w:type="paragraph" w:customStyle="1" w:styleId="749">
    <w:name w:val="_标题2"/>
    <w:basedOn w:val="716"/>
    <w:next w:val="716"/>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autoRedefine/>
    <w:qFormat/>
    <w:uiPriority w:val="0"/>
    <w:pPr>
      <w:adjustRightInd/>
      <w:spacing w:line="360" w:lineRule="auto"/>
    </w:pPr>
    <w:rPr>
      <w:rFonts w:ascii="宋体" w:hAnsi="宋体"/>
      <w:szCs w:val="20"/>
    </w:rPr>
  </w:style>
  <w:style w:type="paragraph" w:customStyle="1" w:styleId="75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autoRedefine/>
    <w:qFormat/>
    <w:uiPriority w:val="0"/>
    <w:pPr>
      <w:adjustRightInd/>
    </w:pPr>
    <w:rPr>
      <w:rFonts w:ascii="Tahoma" w:hAnsi="Tahoma"/>
      <w:sz w:val="24"/>
    </w:rPr>
  </w:style>
  <w:style w:type="paragraph" w:customStyle="1" w:styleId="757">
    <w:name w:val="Char Char Char Char11"/>
    <w:basedOn w:val="1"/>
    <w:autoRedefine/>
    <w:qFormat/>
    <w:uiPriority w:val="0"/>
    <w:rPr>
      <w:rFonts w:ascii="Tahoma" w:hAnsi="Tahoma"/>
      <w:sz w:val="24"/>
      <w:szCs w:val="20"/>
    </w:rPr>
  </w:style>
  <w:style w:type="paragraph" w:customStyle="1" w:styleId="758">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autoRedefine/>
    <w:qFormat/>
    <w:uiPriority w:val="0"/>
    <w:rPr>
      <w:rFonts w:ascii="Tahoma" w:hAnsi="Tahoma"/>
      <w:sz w:val="24"/>
      <w:szCs w:val="20"/>
    </w:rPr>
  </w:style>
  <w:style w:type="paragraph" w:customStyle="1" w:styleId="760">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autoRedefine/>
    <w:qFormat/>
    <w:uiPriority w:val="0"/>
    <w:pPr>
      <w:adjustRightInd/>
    </w:pPr>
    <w:rPr>
      <w:szCs w:val="20"/>
    </w:rPr>
  </w:style>
  <w:style w:type="paragraph" w:customStyle="1" w:styleId="762">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autoRedefine/>
    <w:qFormat/>
    <w:uiPriority w:val="34"/>
    <w:pPr>
      <w:adjustRightInd/>
      <w:ind w:firstLine="420" w:firstLineChars="200"/>
    </w:pPr>
    <w:rPr>
      <w:rFonts w:eastAsia="仿宋_GB2312"/>
      <w:sz w:val="28"/>
    </w:rPr>
  </w:style>
  <w:style w:type="paragraph" w:customStyle="1" w:styleId="765">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autoRedefine/>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autoRedefine/>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3"/>
    <w:autoRedefine/>
    <w:qFormat/>
    <w:uiPriority w:val="0"/>
    <w:pPr>
      <w:autoSpaceDE/>
      <w:autoSpaceDN/>
      <w:snapToGrid w:val="0"/>
      <w:ind w:firstLine="480" w:firstLineChars="200"/>
    </w:pPr>
    <w:rPr>
      <w:rFonts w:ascii="Times New Roman"/>
      <w:szCs w:val="24"/>
      <w:lang w:val="en-US"/>
    </w:rPr>
  </w:style>
  <w:style w:type="paragraph" w:customStyle="1" w:styleId="773">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autoRedefine/>
    <w:qFormat/>
    <w:uiPriority w:val="0"/>
    <w:rPr>
      <w:rFonts w:ascii="宋体" w:hAnsi="Times New Roman" w:eastAsia="宋体" w:cs="Times New Roman"/>
      <w:kern w:val="2"/>
      <w:lang w:val="en-US" w:eastAsia="zh-CN" w:bidi="ar-SA"/>
    </w:rPr>
  </w:style>
  <w:style w:type="paragraph" w:customStyle="1" w:styleId="775">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autoRedefine/>
    <w:qFormat/>
    <w:uiPriority w:val="0"/>
    <w:pPr>
      <w:tabs>
        <w:tab w:val="left" w:pos="360"/>
      </w:tabs>
    </w:pPr>
    <w:rPr>
      <w:sz w:val="24"/>
      <w:szCs w:val="20"/>
    </w:rPr>
  </w:style>
  <w:style w:type="paragraph" w:customStyle="1" w:styleId="779">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18"/>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autoRedefine/>
    <w:qFormat/>
    <w:uiPriority w:val="0"/>
    <w:pPr>
      <w:widowControl/>
      <w:adjustRightInd/>
    </w:pPr>
    <w:rPr>
      <w:kern w:val="0"/>
      <w:szCs w:val="21"/>
    </w:rPr>
  </w:style>
  <w:style w:type="paragraph" w:customStyle="1" w:styleId="788">
    <w:name w:val="Char6"/>
    <w:basedOn w:val="1"/>
    <w:autoRedefine/>
    <w:qFormat/>
    <w:uiPriority w:val="0"/>
    <w:rPr>
      <w:rFonts w:ascii="仿宋_GB2312" w:eastAsia="仿宋_GB2312"/>
      <w:b/>
      <w:sz w:val="32"/>
      <w:szCs w:val="32"/>
    </w:rPr>
  </w:style>
  <w:style w:type="paragraph" w:customStyle="1" w:styleId="789">
    <w:name w:val="Char111"/>
    <w:basedOn w:val="1"/>
    <w:autoRedefine/>
    <w:qFormat/>
    <w:uiPriority w:val="0"/>
    <w:rPr>
      <w:rFonts w:ascii="仿宋_GB2312" w:eastAsia="仿宋_GB2312"/>
      <w:b/>
      <w:sz w:val="32"/>
      <w:szCs w:val="32"/>
    </w:rPr>
  </w:style>
  <w:style w:type="paragraph" w:customStyle="1" w:styleId="790">
    <w:name w:val="标题3"/>
    <w:basedOn w:val="7"/>
    <w:next w:val="54"/>
    <w:autoRedefine/>
    <w:qFormat/>
    <w:uiPriority w:val="0"/>
    <w:pPr>
      <w:tabs>
        <w:tab w:val="clear" w:pos="900"/>
      </w:tabs>
      <w:spacing w:after="0" w:line="360" w:lineRule="auto"/>
    </w:pPr>
    <w:rPr>
      <w:rFonts w:ascii="仿宋" w:hAnsi="仿宋" w:eastAsia="仿宋" w:cs="仿宋"/>
    </w:rPr>
  </w:style>
  <w:style w:type="paragraph" w:customStyle="1" w:styleId="79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autoRedefine/>
    <w:qFormat/>
    <w:uiPriority w:val="0"/>
    <w:pPr>
      <w:adjustRightInd/>
      <w:ind w:firstLine="200" w:firstLineChars="200"/>
    </w:pPr>
    <w:rPr>
      <w:rFonts w:ascii="Tahoma" w:hAnsi="Tahoma"/>
      <w:sz w:val="24"/>
      <w:szCs w:val="20"/>
    </w:rPr>
  </w:style>
  <w:style w:type="paragraph" w:customStyle="1" w:styleId="794">
    <w:name w:val="列出段落11"/>
    <w:basedOn w:val="1"/>
    <w:autoRedefine/>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5"/>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autoRedefine/>
    <w:qFormat/>
    <w:uiPriority w:val="0"/>
    <w:rPr>
      <w:rFonts w:ascii="仿宋_GB2312" w:eastAsia="仿宋_GB2312"/>
      <w:b/>
      <w:sz w:val="32"/>
      <w:szCs w:val="32"/>
    </w:rPr>
  </w:style>
  <w:style w:type="paragraph" w:customStyle="1" w:styleId="797">
    <w:name w:val="五级条标题"/>
    <w:basedOn w:val="798"/>
    <w:next w:val="643"/>
    <w:autoRedefine/>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autoRedefine/>
    <w:qFormat/>
    <w:uiPriority w:val="0"/>
    <w:pPr>
      <w:tabs>
        <w:tab w:val="left" w:pos="2940"/>
        <w:tab w:val="clear" w:pos="2520"/>
      </w:tabs>
      <w:ind w:left="2940"/>
      <w:outlineLvl w:val="5"/>
    </w:pPr>
  </w:style>
  <w:style w:type="paragraph" w:customStyle="1" w:styleId="79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autoRedefine/>
    <w:qFormat/>
    <w:uiPriority w:val="0"/>
    <w:rPr>
      <w:rFonts w:ascii="仿宋_GB2312" w:eastAsia="仿宋_GB2312"/>
      <w:b/>
      <w:sz w:val="32"/>
      <w:szCs w:val="32"/>
    </w:rPr>
  </w:style>
  <w:style w:type="paragraph" w:customStyle="1" w:styleId="80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3">
    <w:name w:val="首行缩进"/>
    <w:basedOn w:val="1"/>
    <w:autoRedefine/>
    <w:qFormat/>
    <w:uiPriority w:val="0"/>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5">
    <w:name w:val="单元格左对齐"/>
    <w:basedOn w:val="1"/>
    <w:autoRedefine/>
    <w:qFormat/>
    <w:uiPriority w:val="0"/>
    <w:pPr>
      <w:adjustRightInd/>
      <w:spacing w:line="360" w:lineRule="auto"/>
    </w:pPr>
    <w:rPr>
      <w:sz w:val="24"/>
    </w:rPr>
  </w:style>
  <w:style w:type="paragraph" w:customStyle="1" w:styleId="806">
    <w:name w:val="正文主体"/>
    <w:basedOn w:val="627"/>
    <w:autoRedefine/>
    <w:qFormat/>
    <w:uiPriority w:val="0"/>
  </w:style>
  <w:style w:type="paragraph" w:customStyle="1" w:styleId="807">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8">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9">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autoRedefine/>
    <w:qFormat/>
    <w:uiPriority w:val="0"/>
    <w:pPr>
      <w:adjustRightInd/>
      <w:spacing w:line="360" w:lineRule="auto"/>
      <w:ind w:firstLine="480" w:firstLineChars="200"/>
    </w:pPr>
    <w:rPr>
      <w:sz w:val="24"/>
      <w:szCs w:val="20"/>
    </w:rPr>
  </w:style>
  <w:style w:type="paragraph" w:customStyle="1" w:styleId="811">
    <w:name w:val="P1"/>
    <w:basedOn w:val="1"/>
    <w:autoRedefine/>
    <w:qFormat/>
    <w:uiPriority w:val="0"/>
    <w:pPr>
      <w:adjustRightInd/>
      <w:spacing w:line="288" w:lineRule="auto"/>
      <w:ind w:firstLine="425" w:firstLineChars="200"/>
    </w:pPr>
  </w:style>
  <w:style w:type="paragraph" w:customStyle="1" w:styleId="812">
    <w:name w:val="列表内容"/>
    <w:basedOn w:val="1"/>
    <w:next w:val="1"/>
    <w:autoRedefine/>
    <w:qFormat/>
    <w:uiPriority w:val="0"/>
    <w:pPr>
      <w:widowControl/>
      <w:tabs>
        <w:tab w:val="left" w:pos="840"/>
      </w:tabs>
      <w:ind w:left="840" w:hanging="420"/>
      <w:jc w:val="left"/>
    </w:pPr>
    <w:rPr>
      <w:kern w:val="0"/>
      <w:sz w:val="18"/>
    </w:rPr>
  </w:style>
  <w:style w:type="paragraph" w:customStyle="1" w:styleId="813">
    <w:name w:val="Char Char11 Char Char Char1"/>
    <w:basedOn w:val="1"/>
    <w:autoRedefine/>
    <w:qFormat/>
    <w:uiPriority w:val="6"/>
    <w:pPr>
      <w:spacing w:line="360" w:lineRule="auto"/>
    </w:pPr>
    <w:rPr>
      <w:szCs w:val="20"/>
    </w:rPr>
  </w:style>
  <w:style w:type="paragraph" w:customStyle="1" w:styleId="814">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5">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6">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8">
    <w:name w:val="正文文字缩进2字"/>
    <w:basedOn w:val="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autoRedefine/>
    <w:qFormat/>
    <w:uiPriority w:val="0"/>
    <w:pPr>
      <w:spacing w:line="360" w:lineRule="auto"/>
    </w:pPr>
    <w:rPr>
      <w:szCs w:val="20"/>
    </w:rPr>
  </w:style>
  <w:style w:type="paragraph" w:customStyle="1" w:styleId="820">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1">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autoRedefine/>
    <w:qFormat/>
    <w:uiPriority w:val="0"/>
    <w:rPr>
      <w:rFonts w:ascii="仿宋_GB2312" w:eastAsia="仿宋_GB2312"/>
      <w:b/>
      <w:sz w:val="32"/>
      <w:szCs w:val="32"/>
    </w:rPr>
  </w:style>
  <w:style w:type="paragraph" w:customStyle="1" w:styleId="823">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6">
    <w:name w:val="Char Char4 Char Char"/>
    <w:basedOn w:val="1"/>
    <w:autoRedefine/>
    <w:qFormat/>
    <w:uiPriority w:val="0"/>
    <w:pPr>
      <w:widowControl/>
      <w:adjustRightInd/>
      <w:spacing w:after="160" w:line="240" w:lineRule="exact"/>
      <w:jc w:val="left"/>
    </w:pPr>
  </w:style>
  <w:style w:type="paragraph" w:customStyle="1" w:styleId="827">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autoRedefine/>
    <w:qFormat/>
    <w:uiPriority w:val="0"/>
    <w:pPr>
      <w:spacing w:line="360" w:lineRule="auto"/>
    </w:pPr>
    <w:rPr>
      <w:szCs w:val="20"/>
    </w:rPr>
  </w:style>
  <w:style w:type="paragraph" w:customStyle="1" w:styleId="829">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0">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1">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3">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4">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autoRedefine/>
    <w:qFormat/>
    <w:uiPriority w:val="0"/>
    <w:pPr>
      <w:adjustRightInd/>
      <w:ind w:firstLine="200" w:firstLineChars="200"/>
    </w:pPr>
    <w:rPr>
      <w:rFonts w:ascii="Tahoma" w:hAnsi="Tahoma"/>
      <w:sz w:val="24"/>
      <w:szCs w:val="20"/>
    </w:rPr>
  </w:style>
  <w:style w:type="paragraph" w:customStyle="1" w:styleId="836">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7">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8">
    <w:name w:val="正文 内标"/>
    <w:basedOn w:val="753"/>
    <w:autoRedefine/>
    <w:qFormat/>
    <w:uiPriority w:val="0"/>
    <w:pPr>
      <w:tabs>
        <w:tab w:val="left" w:pos="0"/>
      </w:tabs>
      <w:ind w:left="900" w:firstLine="0" w:firstLineChars="0"/>
    </w:pPr>
  </w:style>
  <w:style w:type="paragraph" w:customStyle="1" w:styleId="839">
    <w:name w:val="Bulleted List"/>
    <w:basedOn w:val="1"/>
    <w:autoRedefine/>
    <w:qFormat/>
    <w:uiPriority w:val="0"/>
    <w:pPr>
      <w:tabs>
        <w:tab w:val="left" w:pos="1260"/>
      </w:tabs>
      <w:adjustRightInd/>
      <w:ind w:left="1260" w:hanging="420"/>
    </w:pPr>
  </w:style>
  <w:style w:type="paragraph" w:customStyle="1" w:styleId="840">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41">
    <w:name w:val="样式 左侧:  0.85 厘米"/>
    <w:basedOn w:val="1"/>
    <w:autoRedefine/>
    <w:qFormat/>
    <w:uiPriority w:val="2"/>
    <w:pPr>
      <w:adjustRightInd/>
      <w:spacing w:line="360" w:lineRule="auto"/>
    </w:pPr>
    <w:rPr>
      <w:rFonts w:cs="宋体"/>
      <w:sz w:val="24"/>
      <w:szCs w:val="20"/>
    </w:rPr>
  </w:style>
  <w:style w:type="paragraph" w:customStyle="1" w:styleId="842">
    <w:name w:val="Char Char Char Char Char Char Char Char Char Char Char Char1 Char"/>
    <w:basedOn w:val="1"/>
    <w:autoRedefine/>
    <w:qFormat/>
    <w:uiPriority w:val="0"/>
    <w:rPr>
      <w:rFonts w:ascii="Tahoma" w:hAnsi="Tahoma" w:cs="仿宋_GB2312"/>
      <w:sz w:val="24"/>
      <w:szCs w:val="20"/>
    </w:rPr>
  </w:style>
  <w:style w:type="paragraph" w:customStyle="1" w:styleId="843">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6"/>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autoRedefine/>
    <w:qFormat/>
    <w:uiPriority w:val="0"/>
    <w:rPr>
      <w:rFonts w:ascii="仿宋_GB2312" w:eastAsia="仿宋_GB2312"/>
      <w:b/>
      <w:sz w:val="32"/>
      <w:szCs w:val="20"/>
    </w:rPr>
  </w:style>
  <w:style w:type="paragraph" w:customStyle="1" w:styleId="847">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autoRedefine/>
    <w:qFormat/>
    <w:uiPriority w:val="0"/>
    <w:rPr>
      <w:rFonts w:ascii="仿宋_GB2312" w:eastAsia="仿宋_GB2312"/>
      <w:b/>
      <w:sz w:val="32"/>
      <w:szCs w:val="20"/>
    </w:rPr>
  </w:style>
  <w:style w:type="paragraph" w:customStyle="1" w:styleId="849">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1">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6">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autoRedefine/>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7"/>
    <w:autoRedefine/>
    <w:qFormat/>
    <w:uiPriority w:val="0"/>
    <w:pPr>
      <w:snapToGrid w:val="0"/>
      <w:ind w:left="0" w:firstLine="0"/>
      <w:jc w:val="left"/>
    </w:pPr>
    <w:rPr>
      <w:rFonts w:eastAsia="黑体" w:cs="宋体"/>
      <w:sz w:val="28"/>
      <w:szCs w:val="20"/>
    </w:rPr>
  </w:style>
  <w:style w:type="paragraph" w:customStyle="1" w:styleId="860">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autoRedefine/>
    <w:qFormat/>
    <w:uiPriority w:val="0"/>
    <w:pPr>
      <w:widowControl/>
      <w:spacing w:after="160" w:line="240" w:lineRule="exact"/>
      <w:jc w:val="left"/>
    </w:pPr>
    <w:rPr>
      <w:rFonts w:eastAsia="仿宋_GB2312"/>
      <w:sz w:val="28"/>
    </w:rPr>
  </w:style>
  <w:style w:type="paragraph" w:customStyle="1" w:styleId="863">
    <w:name w:val="Char21"/>
    <w:basedOn w:val="1"/>
    <w:autoRedefine/>
    <w:qFormat/>
    <w:uiPriority w:val="0"/>
    <w:pPr>
      <w:adjustRightInd/>
      <w:ind w:firstLine="200" w:firstLineChars="200"/>
    </w:pPr>
    <w:rPr>
      <w:rFonts w:ascii="仿宋_GB2312" w:eastAsia="仿宋_GB2312"/>
      <w:b/>
      <w:sz w:val="32"/>
      <w:szCs w:val="32"/>
    </w:rPr>
  </w:style>
  <w:style w:type="paragraph" w:customStyle="1" w:styleId="864">
    <w:name w:val="列表段落1"/>
    <w:basedOn w:val="1"/>
    <w:autoRedefine/>
    <w:qFormat/>
    <w:uiPriority w:val="34"/>
    <w:pPr>
      <w:adjustRightInd/>
      <w:ind w:right="238" w:firstLine="420"/>
    </w:pPr>
    <w:rPr>
      <w:rFonts w:ascii="Calibri" w:hAnsi="Calibri"/>
      <w:sz w:val="24"/>
    </w:rPr>
  </w:style>
  <w:style w:type="paragraph" w:customStyle="1" w:styleId="865">
    <w:name w:val="Char Char110"/>
    <w:basedOn w:val="1"/>
    <w:autoRedefine/>
    <w:qFormat/>
    <w:uiPriority w:val="6"/>
    <w:pPr>
      <w:spacing w:line="360" w:lineRule="auto"/>
    </w:pPr>
    <w:rPr>
      <w:rFonts w:ascii="Tahoma" w:hAnsi="Tahoma"/>
      <w:sz w:val="24"/>
      <w:szCs w:val="20"/>
    </w:rPr>
  </w:style>
  <w:style w:type="paragraph" w:customStyle="1" w:styleId="866">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8">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autoRedefine/>
    <w:qFormat/>
    <w:uiPriority w:val="0"/>
    <w:rPr>
      <w:rFonts w:ascii="Tahoma" w:hAnsi="Tahoma" w:cs="仿宋_GB2312"/>
      <w:sz w:val="24"/>
      <w:szCs w:val="20"/>
    </w:rPr>
  </w:style>
  <w:style w:type="paragraph" w:customStyle="1" w:styleId="871">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5">
    <w:name w:val="_Style 12"/>
    <w:basedOn w:val="21"/>
    <w:autoRedefine/>
    <w:qFormat/>
    <w:uiPriority w:val="0"/>
    <w:pPr>
      <w:snapToGrid w:val="0"/>
      <w:spacing w:line="360" w:lineRule="auto"/>
    </w:pPr>
  </w:style>
  <w:style w:type="paragraph" w:customStyle="1" w:styleId="876">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autoRedefine/>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5"/>
    <w:autoRedefine/>
    <w:qFormat/>
    <w:uiPriority w:val="0"/>
    <w:pPr>
      <w:outlineLvl w:val="2"/>
    </w:pPr>
  </w:style>
  <w:style w:type="paragraph" w:customStyle="1" w:styleId="883">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autoRedefine/>
    <w:qFormat/>
    <w:uiPriority w:val="0"/>
    <w:pPr>
      <w:adjustRightInd/>
      <w:ind w:firstLine="200" w:firstLineChars="200"/>
    </w:pPr>
    <w:rPr>
      <w:rFonts w:ascii="Tahoma" w:hAnsi="Tahoma"/>
      <w:sz w:val="24"/>
      <w:szCs w:val="20"/>
    </w:rPr>
  </w:style>
  <w:style w:type="paragraph" w:customStyle="1" w:styleId="885">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6">
    <w:name w:val="MM Empty"/>
    <w:basedOn w:val="1"/>
    <w:autoRedefine/>
    <w:qFormat/>
    <w:uiPriority w:val="0"/>
    <w:pPr>
      <w:adjustRightInd/>
    </w:pPr>
  </w:style>
  <w:style w:type="paragraph" w:customStyle="1" w:styleId="887">
    <w:name w:val="Char24"/>
    <w:basedOn w:val="1"/>
    <w:autoRedefine/>
    <w:qFormat/>
    <w:uiPriority w:val="0"/>
    <w:rPr>
      <w:rFonts w:ascii="仿宋_GB2312" w:eastAsia="仿宋_GB2312"/>
      <w:b/>
      <w:sz w:val="32"/>
      <w:szCs w:val="32"/>
    </w:rPr>
  </w:style>
  <w:style w:type="paragraph" w:customStyle="1" w:styleId="888">
    <w:name w:val="正文箭头"/>
    <w:basedOn w:val="541"/>
    <w:autoRedefine/>
    <w:qFormat/>
    <w:uiPriority w:val="0"/>
  </w:style>
  <w:style w:type="paragraph" w:customStyle="1" w:styleId="889">
    <w:name w:val="U_编号2"/>
    <w:basedOn w:val="1"/>
    <w:autoRedefine/>
    <w:qFormat/>
    <w:uiPriority w:val="0"/>
    <w:pPr>
      <w:tabs>
        <w:tab w:val="left" w:pos="785"/>
      </w:tabs>
      <w:adjustRightInd/>
      <w:spacing w:beforeLines="10" w:afterLines="10" w:line="300" w:lineRule="auto"/>
    </w:pPr>
    <w:rPr>
      <w:sz w:val="24"/>
    </w:rPr>
  </w:style>
  <w:style w:type="paragraph" w:customStyle="1" w:styleId="890">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7"/>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5"/>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autoRedefine/>
    <w:qFormat/>
    <w:uiPriority w:val="34"/>
    <w:pPr>
      <w:adjustRightInd/>
      <w:ind w:firstLine="420" w:firstLineChars="200"/>
    </w:pPr>
    <w:rPr>
      <w:rFonts w:eastAsia="仿宋_GB2312"/>
      <w:sz w:val="28"/>
    </w:rPr>
  </w:style>
  <w:style w:type="paragraph" w:customStyle="1" w:styleId="895">
    <w:name w:val="表格 内容"/>
    <w:basedOn w:val="732"/>
    <w:autoRedefine/>
    <w:qFormat/>
    <w:uiPriority w:val="0"/>
    <w:rPr>
      <w:b w:val="0"/>
      <w:sz w:val="20"/>
    </w:rPr>
  </w:style>
  <w:style w:type="paragraph" w:customStyle="1" w:styleId="896">
    <w:name w:val="正文首行缩进1"/>
    <w:basedOn w:val="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9"/>
    <w:next w:val="1"/>
    <w:autoRedefine/>
    <w:qFormat/>
    <w:uiPriority w:val="0"/>
    <w:pPr>
      <w:tabs>
        <w:tab w:val="left" w:pos="1080"/>
      </w:tabs>
      <w:ind w:left="1080" w:hanging="1080"/>
    </w:pPr>
  </w:style>
  <w:style w:type="paragraph" w:customStyle="1" w:styleId="899">
    <w:name w:val="数字标题1"/>
    <w:basedOn w:val="5"/>
    <w:next w:val="1"/>
    <w:autoRedefine/>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autoRedefine/>
    <w:qFormat/>
    <w:uiPriority w:val="0"/>
    <w:pPr>
      <w:widowControl/>
    </w:pPr>
    <w:rPr>
      <w:kern w:val="0"/>
      <w:sz w:val="24"/>
      <w:szCs w:val="20"/>
    </w:rPr>
  </w:style>
  <w:style w:type="paragraph" w:customStyle="1" w:styleId="907">
    <w:name w:val="Char Char113"/>
    <w:basedOn w:val="1"/>
    <w:autoRedefine/>
    <w:qFormat/>
    <w:uiPriority w:val="0"/>
    <w:pPr>
      <w:widowControl/>
      <w:spacing w:after="160" w:line="240" w:lineRule="exact"/>
      <w:jc w:val="left"/>
    </w:pPr>
    <w:rPr>
      <w:rFonts w:eastAsia="仿宋_GB2312"/>
      <w:sz w:val="28"/>
    </w:rPr>
  </w:style>
  <w:style w:type="paragraph" w:customStyle="1" w:styleId="908">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autoRedefine/>
    <w:qFormat/>
    <w:uiPriority w:val="34"/>
    <w:pPr>
      <w:adjustRightInd/>
      <w:ind w:firstLine="420" w:firstLineChars="200"/>
    </w:pPr>
    <w:rPr>
      <w:rFonts w:eastAsia="仿宋_GB2312"/>
      <w:sz w:val="28"/>
    </w:rPr>
  </w:style>
  <w:style w:type="paragraph" w:customStyle="1" w:styleId="910">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2">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autoRedefine/>
    <w:qFormat/>
    <w:uiPriority w:val="6"/>
    <w:pPr>
      <w:widowControl/>
      <w:spacing w:after="160" w:line="240" w:lineRule="exact"/>
      <w:jc w:val="left"/>
    </w:pPr>
    <w:rPr>
      <w:rFonts w:eastAsia="仿宋_GB2312"/>
      <w:sz w:val="28"/>
    </w:rPr>
  </w:style>
  <w:style w:type="paragraph" w:customStyle="1" w:styleId="916">
    <w:name w:val="正文 图"/>
    <w:basedOn w:val="446"/>
    <w:autoRedefine/>
    <w:qFormat/>
    <w:uiPriority w:val="0"/>
    <w:pPr>
      <w:adjustRightInd/>
      <w:spacing w:before="0"/>
      <w:ind w:firstLine="0"/>
      <w:jc w:val="center"/>
    </w:pPr>
    <w:rPr>
      <w:rFonts w:ascii="微软雅黑" w:hAnsi="微软雅黑"/>
    </w:rPr>
  </w:style>
  <w:style w:type="paragraph" w:customStyle="1" w:styleId="917">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5"/>
    <w:autoRedefine/>
    <w:qFormat/>
    <w:uiPriority w:val="0"/>
    <w:pPr>
      <w:ind w:left="0"/>
    </w:pPr>
  </w:style>
  <w:style w:type="paragraph" w:customStyle="1" w:styleId="920">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autoRedefine/>
    <w:qFormat/>
    <w:uiPriority w:val="0"/>
    <w:pPr>
      <w:adjustRightInd/>
      <w:spacing w:line="360" w:lineRule="auto"/>
      <w:ind w:firstLine="480"/>
    </w:pPr>
    <w:rPr>
      <w:sz w:val="24"/>
    </w:rPr>
  </w:style>
  <w:style w:type="table" w:customStyle="1" w:styleId="923">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autoRedefine/>
    <w:qFormat/>
    <w:uiPriority w:val="34"/>
    <w:pPr>
      <w:ind w:firstLine="420" w:firstLineChars="200"/>
    </w:pPr>
  </w:style>
  <w:style w:type="character" w:customStyle="1" w:styleId="930">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autoRedefine/>
    <w:qFormat/>
    <w:uiPriority w:val="0"/>
    <w:rPr>
      <w:rFonts w:ascii="宋体" w:eastAsia="宋体"/>
      <w:snapToGrid w:val="0"/>
      <w:color w:val="000000"/>
      <w:kern w:val="28"/>
      <w:sz w:val="28"/>
      <w:lang w:val="en-US" w:eastAsia="zh-CN" w:bidi="ar-SA"/>
    </w:rPr>
  </w:style>
  <w:style w:type="character" w:customStyle="1" w:styleId="932">
    <w:name w:val="页脚 字符1"/>
    <w:autoRedefine/>
    <w:qFormat/>
    <w:locked/>
    <w:uiPriority w:val="99"/>
    <w:rPr>
      <w:kern w:val="2"/>
      <w:sz w:val="18"/>
      <w:szCs w:val="18"/>
    </w:rPr>
  </w:style>
  <w:style w:type="character" w:customStyle="1" w:styleId="933">
    <w:name w:val="页眉 字符1"/>
    <w:autoRedefine/>
    <w:qFormat/>
    <w:uiPriority w:val="99"/>
    <w:rPr>
      <w:kern w:val="2"/>
      <w:sz w:val="18"/>
      <w:szCs w:val="18"/>
    </w:rPr>
  </w:style>
  <w:style w:type="character" w:customStyle="1" w:styleId="934">
    <w:name w:val="尾注文本 字符"/>
    <w:link w:val="40"/>
    <w:autoRedefine/>
    <w:qFormat/>
    <w:uiPriority w:val="0"/>
    <w:rPr>
      <w:kern w:val="2"/>
      <w:sz w:val="21"/>
      <w:szCs w:val="24"/>
      <w:lang w:val="zh-CN"/>
    </w:rPr>
  </w:style>
  <w:style w:type="character" w:customStyle="1" w:styleId="935">
    <w:name w:val="无间隔 字符"/>
    <w:link w:val="486"/>
    <w:autoRedefine/>
    <w:qFormat/>
    <w:uiPriority w:val="99"/>
    <w:rPr>
      <w:kern w:val="2"/>
      <w:sz w:val="21"/>
      <w:szCs w:val="22"/>
    </w:rPr>
  </w:style>
  <w:style w:type="character" w:customStyle="1" w:styleId="936">
    <w:name w:val="标准文本 Char Char"/>
    <w:link w:val="937"/>
    <w:autoRedefine/>
    <w:qFormat/>
    <w:uiPriority w:val="0"/>
    <w:rPr>
      <w:rFonts w:cs="宋体"/>
      <w:kern w:val="2"/>
      <w:sz w:val="24"/>
    </w:rPr>
  </w:style>
  <w:style w:type="paragraph" w:customStyle="1" w:styleId="937">
    <w:name w:val="标准文本"/>
    <w:basedOn w:val="1"/>
    <w:link w:val="936"/>
    <w:autoRedefine/>
    <w:qFormat/>
    <w:uiPriority w:val="0"/>
    <w:pPr>
      <w:adjustRightInd/>
      <w:spacing w:line="360" w:lineRule="auto"/>
      <w:ind w:firstLine="480" w:firstLineChars="200"/>
    </w:pPr>
    <w:rPr>
      <w:rFonts w:cs="宋体"/>
      <w:sz w:val="24"/>
      <w:szCs w:val="20"/>
    </w:rPr>
  </w:style>
  <w:style w:type="character" w:customStyle="1" w:styleId="938">
    <w:name w:val="Char Char213"/>
    <w:autoRedefine/>
    <w:qFormat/>
    <w:uiPriority w:val="0"/>
    <w:rPr>
      <w:rFonts w:eastAsia="Century Gothic"/>
      <w:b/>
      <w:bCs/>
      <w:kern w:val="44"/>
      <w:sz w:val="32"/>
      <w:szCs w:val="44"/>
      <w:lang w:val="en-US" w:eastAsia="zh-CN" w:bidi="ar-SA"/>
    </w:rPr>
  </w:style>
  <w:style w:type="character" w:customStyle="1" w:styleId="939">
    <w:name w:val="apple-style-span"/>
    <w:autoRedefine/>
    <w:qFormat/>
    <w:uiPriority w:val="0"/>
    <w:rPr>
      <w:rFonts w:ascii="Arial" w:hAnsi="Arial" w:eastAsia="黑体" w:cs="Arial"/>
      <w:snapToGrid w:val="0"/>
      <w:kern w:val="0"/>
      <w:szCs w:val="21"/>
    </w:rPr>
  </w:style>
  <w:style w:type="character" w:customStyle="1" w:styleId="940">
    <w:name w:val="15"/>
    <w:autoRedefine/>
    <w:qFormat/>
    <w:uiPriority w:val="0"/>
    <w:rPr>
      <w:rFonts w:hint="default" w:ascii="Calibri" w:hAnsi="Calibri"/>
      <w:color w:val="0000FF"/>
      <w:u w:val="single"/>
    </w:rPr>
  </w:style>
  <w:style w:type="character" w:customStyle="1" w:styleId="941">
    <w:name w:val="16"/>
    <w:autoRedefine/>
    <w:qFormat/>
    <w:uiPriority w:val="0"/>
    <w:rPr>
      <w:rFonts w:hint="eastAsia" w:ascii="宋体" w:hAnsi="宋体" w:eastAsia="宋体"/>
      <w:color w:val="000000"/>
      <w:sz w:val="20"/>
      <w:szCs w:val="20"/>
    </w:rPr>
  </w:style>
  <w:style w:type="character" w:customStyle="1" w:styleId="942">
    <w:name w:val="edui-unclickable"/>
    <w:autoRedefine/>
    <w:qFormat/>
    <w:uiPriority w:val="0"/>
    <w:rPr>
      <w:color w:val="808080"/>
    </w:rPr>
  </w:style>
  <w:style w:type="character" w:customStyle="1" w:styleId="943">
    <w:name w:val="tpc_content1"/>
    <w:autoRedefine/>
    <w:qFormat/>
    <w:uiPriority w:val="0"/>
    <w:rPr>
      <w:sz w:val="20"/>
      <w:szCs w:val="20"/>
    </w:rPr>
  </w:style>
  <w:style w:type="character" w:customStyle="1" w:styleId="944">
    <w:name w:val="正文文本缩进 字符"/>
    <w:autoRedefine/>
    <w:qFormat/>
    <w:uiPriority w:val="0"/>
    <w:rPr>
      <w:rFonts w:ascii="Century Gothic" w:hAnsi="Century Gothic" w:eastAsia="Century Gothic"/>
      <w:kern w:val="2"/>
      <w:sz w:val="24"/>
      <w:lang w:val="en-US" w:eastAsia="zh-CN" w:bidi="ar-SA"/>
    </w:rPr>
  </w:style>
  <w:style w:type="character" w:customStyle="1" w:styleId="945">
    <w:name w:val="正文文本 2 字符"/>
    <w:autoRedefine/>
    <w:qFormat/>
    <w:uiPriority w:val="0"/>
    <w:rPr>
      <w:rFonts w:ascii="Arial" w:hAnsi="Arial" w:eastAsia="宋体"/>
      <w:kern w:val="2"/>
      <w:sz w:val="24"/>
      <w:szCs w:val="24"/>
      <w:lang w:val="en-US" w:eastAsia="zh-CN" w:bidi="ar-SA"/>
    </w:rPr>
  </w:style>
  <w:style w:type="character" w:customStyle="1" w:styleId="946">
    <w:name w:val="edui-clickable2"/>
    <w:autoRedefine/>
    <w:qFormat/>
    <w:uiPriority w:val="0"/>
    <w:rPr>
      <w:color w:val="0000FF"/>
      <w:u w:val="single"/>
    </w:rPr>
  </w:style>
  <w:style w:type="character" w:customStyle="1" w:styleId="947">
    <w:name w:val="style1"/>
    <w:autoRedefine/>
    <w:qFormat/>
    <w:uiPriority w:val="0"/>
    <w:rPr>
      <w:rFonts w:ascii="Arial" w:hAnsi="Arial" w:eastAsia="黑体" w:cs="Arial"/>
      <w:snapToGrid w:val="0"/>
      <w:kern w:val="0"/>
      <w:szCs w:val="21"/>
    </w:rPr>
  </w:style>
  <w:style w:type="character" w:customStyle="1" w:styleId="948">
    <w:name w:val="zbggtop11 style5"/>
    <w:autoRedefine/>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0">
    <w:name w:val="bulletintext1"/>
    <w:autoRedefine/>
    <w:qFormat/>
    <w:uiPriority w:val="0"/>
    <w:rPr>
      <w:color w:val="000000"/>
      <w:sz w:val="18"/>
    </w:rPr>
  </w:style>
  <w:style w:type="paragraph" w:customStyle="1" w:styleId="951">
    <w:name w:val="_Style 947"/>
    <w:basedOn w:val="1"/>
    <w:next w:val="260"/>
    <w:autoRedefine/>
    <w:qFormat/>
    <w:uiPriority w:val="34"/>
    <w:pPr>
      <w:adjustRightInd/>
      <w:ind w:firstLine="420" w:firstLineChars="200"/>
    </w:pPr>
  </w:style>
  <w:style w:type="paragraph" w:customStyle="1" w:styleId="952">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4">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6"/>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8">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autoRedefine/>
    <w:qFormat/>
    <w:uiPriority w:val="0"/>
    <w:pPr>
      <w:adjustRightInd/>
      <w:jc w:val="left"/>
    </w:pPr>
    <w:rPr>
      <w:rFonts w:ascii="Calibri" w:hAnsi="Calibri"/>
      <w:kern w:val="0"/>
      <w:sz w:val="22"/>
      <w:szCs w:val="22"/>
      <w:lang w:eastAsia="en-US"/>
    </w:rPr>
  </w:style>
  <w:style w:type="paragraph" w:customStyle="1" w:styleId="96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0"/>
    <w:autoRedefine/>
    <w:qFormat/>
    <w:uiPriority w:val="0"/>
    <w:rPr>
      <w:color w:val="000000"/>
      <w:shd w:val="clear" w:color="auto" w:fill="EFD200"/>
    </w:rPr>
  </w:style>
  <w:style w:type="character" w:customStyle="1" w:styleId="964">
    <w:name w:val="font71"/>
    <w:autoRedefine/>
    <w:qFormat/>
    <w:uiPriority w:val="0"/>
    <w:rPr>
      <w:rFonts w:hint="eastAsia" w:ascii="宋体" w:hAnsi="宋体" w:eastAsia="宋体" w:cs="宋体"/>
      <w:color w:val="000000"/>
      <w:sz w:val="22"/>
      <w:szCs w:val="22"/>
      <w:u w:val="none"/>
    </w:rPr>
  </w:style>
  <w:style w:type="character" w:customStyle="1" w:styleId="965">
    <w:name w:val="font91"/>
    <w:autoRedefine/>
    <w:qFormat/>
    <w:uiPriority w:val="0"/>
    <w:rPr>
      <w:rFonts w:hint="eastAsia" w:ascii="仿宋" w:hAnsi="仿宋" w:eastAsia="仿宋" w:cs="仿宋"/>
      <w:color w:val="000000"/>
      <w:sz w:val="22"/>
      <w:szCs w:val="22"/>
      <w:u w:val="none"/>
    </w:rPr>
  </w:style>
  <w:style w:type="paragraph" w:customStyle="1" w:styleId="966">
    <w:name w:val="样式 标题 2 + Times New Roman 四号 非加粗 段前: 5 磅 段后: 0 磅 行距: 固定值 20..."/>
    <w:basedOn w:val="6"/>
    <w:autoRedefine/>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7">
    <w:name w:val="p16"/>
    <w:basedOn w:val="1"/>
    <w:autoRedefine/>
    <w:qFormat/>
    <w:uiPriority w:val="0"/>
    <w:pPr>
      <w:widowControl/>
      <w:spacing w:before="100" w:after="100"/>
      <w:jc w:val="left"/>
    </w:pPr>
    <w:rPr>
      <w:rFonts w:ascii="宋体" w:hAnsi="宋体" w:cs="宋体"/>
      <w:color w:val="000000"/>
      <w:kern w:val="0"/>
      <w:sz w:val="24"/>
    </w:rPr>
  </w:style>
  <w:style w:type="paragraph" w:customStyle="1" w:styleId="968">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9">
    <w:name w:val="列表段落2"/>
    <w:basedOn w:val="1"/>
    <w:autoRedefine/>
    <w:qFormat/>
    <w:uiPriority w:val="34"/>
    <w:pPr>
      <w:spacing w:line="360" w:lineRule="auto"/>
      <w:ind w:firstLine="200" w:firstLineChars="200"/>
    </w:pPr>
    <w:rPr>
      <w:rFonts w:eastAsia="楷体_GB2312" w:cs="Lucida Sans"/>
      <w:sz w:val="24"/>
    </w:rPr>
  </w:style>
  <w:style w:type="paragraph" w:customStyle="1" w:styleId="970">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971">
    <w:name w:val="列表段落3"/>
    <w:basedOn w:val="1"/>
    <w:autoRedefine/>
    <w:qFormat/>
    <w:uiPriority w:val="34"/>
    <w:pPr>
      <w:spacing w:line="360" w:lineRule="auto"/>
      <w:ind w:firstLine="200" w:firstLineChars="200"/>
    </w:pPr>
    <w:rPr>
      <w:rFonts w:eastAsia="楷体_GB2312" w:cs="Lucida Sans"/>
      <w:sz w:val="24"/>
    </w:rPr>
  </w:style>
  <w:style w:type="paragraph" w:customStyle="1" w:styleId="972">
    <w:name w:val="专用标题2"/>
    <w:basedOn w:val="6"/>
    <w:next w:val="1"/>
    <w:autoRedefine/>
    <w:qFormat/>
    <w:uiPriority w:val="0"/>
    <w:pPr>
      <w:keepNext w:val="0"/>
      <w:keepLines w:val="0"/>
      <w:tabs>
        <w:tab w:val="left" w:pos="993"/>
        <w:tab w:val="clear" w:pos="432"/>
      </w:tabs>
      <w:autoSpaceDE w:val="0"/>
      <w:autoSpaceDN w:val="0"/>
      <w:adjustRightInd w:val="0"/>
      <w:ind w:left="3"/>
      <w:jc w:val="left"/>
    </w:pPr>
    <w:rPr>
      <w:rFonts w:ascii="宋体" w:hAnsi="宋体" w:eastAsia="宋体" w:cs="Times"/>
      <w:kern w:val="0"/>
      <w:sz w:val="32"/>
      <w:szCs w:val="32"/>
    </w:rPr>
  </w:style>
  <w:style w:type="paragraph" w:customStyle="1" w:styleId="973">
    <w:name w:val="列出段落6"/>
    <w:basedOn w:val="1"/>
    <w:autoRedefine/>
    <w:qFormat/>
    <w:uiPriority w:val="34"/>
    <w:pPr>
      <w:spacing w:line="360" w:lineRule="auto"/>
      <w:ind w:firstLine="200" w:firstLineChars="200"/>
    </w:pPr>
    <w:rPr>
      <w:rFonts w:eastAsia="楷体_GB2312" w:cs="Lucida Sans"/>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1.png"/><Relationship Id="rId24" Type="http://schemas.openxmlformats.org/officeDocument/2006/relationships/theme" Target="theme/theme1.xml"/><Relationship Id="rId23" Type="http://schemas.openxmlformats.org/officeDocument/2006/relationships/footer" Target="footer15.xml"/><Relationship Id="rId22" Type="http://schemas.openxmlformats.org/officeDocument/2006/relationships/footer" Target="footer14.xml"/><Relationship Id="rId21" Type="http://schemas.openxmlformats.org/officeDocument/2006/relationships/footer" Target="footer13.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101</Pages>
  <Words>25788</Words>
  <Characters>27322</Characters>
  <Lines>516</Lines>
  <Paragraphs>145</Paragraphs>
  <TotalTime>23</TotalTime>
  <ScaleCrop>false</ScaleCrop>
  <LinksUpToDate>false</LinksUpToDate>
  <CharactersWithSpaces>27962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2024-06-14T10:43:00Z</dcterms:created>
  <dc:creator>administrator1</dc:creator>
  <cp:lastModifiedBy>谢</cp:lastModifiedBy>
  <cp:lastPrinted>2021-12-27T11:06:00Z</cp:lastPrinted>
  <dcterms:modified xsi:type="dcterms:W3CDTF">2025-04-21T01:36:23Z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4C68AAFAFC0F4EF1A0F5F19A093518F6_13</vt:lpwstr>
  </property>
  <property fmtid="{D5CDD505-2E9C-101B-9397-08002B2CF9AE}" pid="5" name="commondata">
    <vt:lpwstr>eyJoZGlkIjoiNGNlMmFkMDQ1NDY0ZmRiM2Q0NjY4NTFjN2IwMTllYjMifQ==</vt:lpwstr>
  </property>
  <property fmtid="{D5CDD505-2E9C-101B-9397-08002B2CF9AE}" pid="6" name="KSOTemplateDocerSaveRecord">
    <vt:lpwstr>eyJoZGlkIjoiYzNlYTJjMTgwODNhMzdjNmZkZDViNjA5NDYyNjc0MWYiLCJ1c2VySWQiOiI2NjUzNTQ5ODgifQ==</vt:lpwstr>
  </property>
</Properties>
</file>